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6505">
      <w:pPr>
        <w:spacing w:line="500" w:lineRule="exact"/>
        <w:rPr>
          <w:rFonts w:ascii="宋体" w:hAnsi="宋体" w:cs="宋体"/>
          <w:b/>
          <w:sz w:val="32"/>
          <w:szCs w:val="32"/>
        </w:rPr>
      </w:pPr>
      <w:r>
        <w:rPr>
          <w:rFonts w:hint="eastAsia" w:cs="宋体"/>
          <w:sz w:val="32"/>
          <w:szCs w:val="32"/>
        </w:rPr>
        <w:drawing>
          <wp:anchor distT="0" distB="0" distL="114300" distR="114300" simplePos="0" relativeHeight="251662336" behindDoc="0" locked="0" layoutInCell="1" allowOverlap="1">
            <wp:simplePos x="0" y="0"/>
            <wp:positionH relativeFrom="column">
              <wp:posOffset>4344035</wp:posOffset>
            </wp:positionH>
            <wp:positionV relativeFrom="paragraph">
              <wp:posOffset>-249555</wp:posOffset>
            </wp:positionV>
            <wp:extent cx="898525" cy="1105535"/>
            <wp:effectExtent l="0" t="0" r="15875" b="18415"/>
            <wp:wrapNone/>
            <wp:docPr id="2" name="图片 127" descr="中航招标新标-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7" descr="中航招标新标-竖"/>
                    <pic:cNvPicPr>
                      <a:picLocks noChangeAspect="1"/>
                    </pic:cNvPicPr>
                  </pic:nvPicPr>
                  <pic:blipFill>
                    <a:blip r:embed="rId15"/>
                    <a:stretch>
                      <a:fillRect/>
                    </a:stretch>
                  </pic:blipFill>
                  <pic:spPr>
                    <a:xfrm>
                      <a:off x="0" y="0"/>
                      <a:ext cx="898525" cy="1105535"/>
                    </a:xfrm>
                    <a:prstGeom prst="rect">
                      <a:avLst/>
                    </a:prstGeom>
                    <a:noFill/>
                    <a:ln>
                      <a:noFill/>
                    </a:ln>
                  </pic:spPr>
                </pic:pic>
              </a:graphicData>
            </a:graphic>
          </wp:anchor>
        </w:drawing>
      </w:r>
    </w:p>
    <w:p w14:paraId="3DD94842">
      <w:pPr>
        <w:spacing w:line="500" w:lineRule="exact"/>
        <w:rPr>
          <w:rFonts w:hint="eastAsia" w:ascii="宋体" w:hAnsi="宋体" w:eastAsia="宋体" w:cs="宋体"/>
          <w:b/>
          <w:sz w:val="32"/>
          <w:szCs w:val="32"/>
          <w:lang w:eastAsia="zh-CN"/>
        </w:rPr>
      </w:pPr>
      <w:r>
        <w:rPr>
          <w:rFonts w:hint="eastAsia" w:ascii="宋体" w:hAnsi="宋体" w:cs="宋体"/>
          <w:b/>
          <w:sz w:val="32"/>
          <w:szCs w:val="32"/>
        </w:rPr>
        <w:t>项目编号：</w:t>
      </w:r>
      <w:r>
        <w:rPr>
          <w:rFonts w:hint="eastAsia" w:ascii="宋体" w:hAnsi="宋体" w:cs="宋体"/>
          <w:b/>
          <w:sz w:val="32"/>
          <w:szCs w:val="32"/>
          <w:lang w:eastAsia="zh-CN"/>
        </w:rPr>
        <w:t>E-254112XA011-01</w:t>
      </w:r>
    </w:p>
    <w:p w14:paraId="53B5E4D7">
      <w:pPr>
        <w:spacing w:before="156" w:beforeLines="50" w:after="156" w:afterLines="50" w:line="360" w:lineRule="auto"/>
        <w:rPr>
          <w:b/>
          <w:bCs/>
          <w:sz w:val="54"/>
          <w:szCs w:val="54"/>
        </w:rPr>
      </w:pPr>
    </w:p>
    <w:p w14:paraId="0418F648">
      <w:pPr>
        <w:pStyle w:val="35"/>
        <w:spacing w:before="156" w:beforeLines="50"/>
        <w:rPr>
          <w:rFonts w:ascii="宋体" w:hAnsi="宋体"/>
          <w:b/>
          <w:sz w:val="48"/>
          <w:szCs w:val="48"/>
        </w:rPr>
      </w:pPr>
    </w:p>
    <w:p w14:paraId="4CACEA64">
      <w:pPr>
        <w:spacing w:before="156" w:beforeLines="50" w:after="156" w:afterLines="50"/>
        <w:jc w:val="center"/>
        <w:rPr>
          <w:rFonts w:hint="eastAsia" w:ascii="宋体" w:hAnsi="宋体" w:eastAsia="宋体" w:cs="宋体"/>
          <w:b/>
          <w:spacing w:val="40"/>
          <w:sz w:val="70"/>
          <w:szCs w:val="70"/>
          <w:lang w:eastAsia="zh-CN"/>
        </w:rPr>
      </w:pPr>
      <w:r>
        <w:rPr>
          <w:rFonts w:hint="eastAsia" w:ascii="宋体" w:hAnsi="宋体" w:cs="宋体"/>
          <w:b/>
          <w:spacing w:val="40"/>
          <w:sz w:val="70"/>
          <w:szCs w:val="70"/>
          <w:lang w:eastAsia="zh-CN"/>
        </w:rPr>
        <w:t>远程心电监测</w:t>
      </w:r>
    </w:p>
    <w:p w14:paraId="20A8EE0C">
      <w:pPr>
        <w:pStyle w:val="35"/>
        <w:rPr>
          <w:sz w:val="52"/>
          <w:szCs w:val="52"/>
        </w:rPr>
      </w:pPr>
    </w:p>
    <w:p w14:paraId="0BC11589">
      <w:pPr>
        <w:ind w:firstLine="522" w:firstLineChars="100"/>
        <w:jc w:val="center"/>
        <w:rPr>
          <w:rFonts w:ascii="宋体" w:hAnsi="宋体" w:cs="宋体"/>
          <w:b/>
          <w:sz w:val="52"/>
          <w:szCs w:val="52"/>
        </w:rPr>
      </w:pPr>
    </w:p>
    <w:p w14:paraId="0963CDB6">
      <w:pPr>
        <w:spacing w:line="600" w:lineRule="auto"/>
        <w:jc w:val="center"/>
        <w:rPr>
          <w:rFonts w:ascii="宋体" w:hAnsi="宋体" w:cs="宋体"/>
          <w:b/>
          <w:bCs/>
          <w:spacing w:val="26"/>
          <w:sz w:val="84"/>
          <w:szCs w:val="84"/>
        </w:rPr>
      </w:pPr>
    </w:p>
    <w:p w14:paraId="54D787A6">
      <w:pPr>
        <w:spacing w:line="600" w:lineRule="auto"/>
        <w:jc w:val="center"/>
        <w:rPr>
          <w:rFonts w:hAnsi="宋体"/>
          <w:b/>
          <w:spacing w:val="4"/>
          <w:sz w:val="90"/>
          <w:szCs w:val="90"/>
        </w:rPr>
      </w:pPr>
      <w:r>
        <w:rPr>
          <w:rFonts w:hint="eastAsia" w:ascii="宋体" w:hAnsi="宋体" w:cs="宋体"/>
          <w:b/>
          <w:bCs/>
          <w:spacing w:val="26"/>
          <w:sz w:val="90"/>
          <w:szCs w:val="90"/>
        </w:rPr>
        <w:t>竞争性磋商文件</w:t>
      </w:r>
    </w:p>
    <w:p w14:paraId="6B7BBE8C">
      <w:pPr>
        <w:pStyle w:val="35"/>
        <w:rPr>
          <w:rFonts w:hAnsi="宋体"/>
          <w:b/>
          <w:spacing w:val="4"/>
          <w:sz w:val="32"/>
          <w:szCs w:val="32"/>
        </w:rPr>
      </w:pPr>
    </w:p>
    <w:p w14:paraId="0549F97F">
      <w:pPr>
        <w:pStyle w:val="20"/>
      </w:pPr>
    </w:p>
    <w:p w14:paraId="01F541B3">
      <w:pPr>
        <w:pStyle w:val="20"/>
      </w:pPr>
    </w:p>
    <w:p w14:paraId="38E62B39">
      <w:pPr>
        <w:pStyle w:val="9"/>
      </w:pPr>
    </w:p>
    <w:p w14:paraId="7114F037">
      <w:pPr>
        <w:pStyle w:val="9"/>
      </w:pPr>
    </w:p>
    <w:p w14:paraId="4B505BE6">
      <w:pPr>
        <w:spacing w:line="500" w:lineRule="exact"/>
        <w:ind w:firstLine="321" w:firstLineChars="100"/>
        <w:jc w:val="center"/>
        <w:rPr>
          <w:rFonts w:ascii="宋体" w:hAnsi="宋体" w:cs="宋体"/>
          <w:b/>
          <w:sz w:val="32"/>
          <w:szCs w:val="32"/>
        </w:rPr>
      </w:pPr>
    </w:p>
    <w:p w14:paraId="64E27260">
      <w:pPr>
        <w:spacing w:line="500" w:lineRule="exact"/>
        <w:ind w:left="840" w:leftChars="400"/>
        <w:jc w:val="left"/>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咸阳市中心医院</w:t>
      </w:r>
    </w:p>
    <w:p w14:paraId="5E4AB553">
      <w:pPr>
        <w:spacing w:line="500" w:lineRule="exact"/>
        <w:ind w:firstLine="321" w:firstLineChars="100"/>
        <w:jc w:val="center"/>
        <w:rPr>
          <w:rFonts w:ascii="宋体" w:hAnsi="宋体" w:cs="宋体"/>
          <w:b/>
          <w:sz w:val="32"/>
          <w:szCs w:val="32"/>
        </w:rPr>
      </w:pPr>
      <w:r>
        <w:rPr>
          <w:rFonts w:hint="eastAsia" w:ascii="宋体" w:hAnsi="宋体" w:cs="宋体"/>
          <w:b/>
          <w:sz w:val="32"/>
          <w:szCs w:val="32"/>
        </w:rPr>
        <w:t xml:space="preserve">  </w:t>
      </w:r>
    </w:p>
    <w:p w14:paraId="731B12EE">
      <w:pPr>
        <w:spacing w:line="500" w:lineRule="exact"/>
        <w:ind w:firstLine="321" w:firstLineChars="100"/>
        <w:jc w:val="center"/>
        <w:rPr>
          <w:rFonts w:ascii="宋体" w:hAnsi="宋体" w:cs="宋体"/>
          <w:b/>
          <w:sz w:val="32"/>
          <w:szCs w:val="32"/>
        </w:rPr>
      </w:pPr>
      <w:r>
        <w:rPr>
          <w:rFonts w:hint="eastAsia" w:ascii="宋体" w:hAnsi="宋体" w:cs="宋体"/>
          <w:b/>
          <w:sz w:val="32"/>
          <w:szCs w:val="32"/>
        </w:rPr>
        <w:t xml:space="preserve"> 采购代理机构：中航技（北京）工程管理有限公司</w:t>
      </w:r>
    </w:p>
    <w:p w14:paraId="70B2363C">
      <w:pPr>
        <w:spacing w:line="500" w:lineRule="exact"/>
        <w:ind w:firstLine="321" w:firstLineChars="100"/>
        <w:jc w:val="center"/>
        <w:rPr>
          <w:rFonts w:ascii="宋体" w:hAnsi="宋体" w:cs="宋体"/>
          <w:b/>
          <w:sz w:val="32"/>
          <w:szCs w:val="32"/>
        </w:rPr>
      </w:pPr>
    </w:p>
    <w:p w14:paraId="04875708">
      <w:pPr>
        <w:spacing w:line="500" w:lineRule="exact"/>
        <w:ind w:firstLine="321" w:firstLineChars="100"/>
        <w:jc w:val="center"/>
        <w:rPr>
          <w:rFonts w:ascii="宋体" w:hAnsi="宋体" w:cs="宋体"/>
          <w:b/>
          <w:sz w:val="32"/>
          <w:szCs w:val="32"/>
        </w:rPr>
        <w:sectPr>
          <w:headerReference r:id="rId3" w:type="default"/>
          <w:pgSz w:w="11906" w:h="16838"/>
          <w:pgMar w:top="1440" w:right="1689" w:bottom="1440" w:left="1800" w:header="851" w:footer="992" w:gutter="0"/>
          <w:cols w:space="425" w:num="1"/>
          <w:titlePg/>
          <w:docGrid w:type="lines" w:linePitch="312" w:charSpace="0"/>
        </w:sectPr>
      </w:pPr>
      <w:r>
        <w:rPr>
          <w:rFonts w:hint="eastAsia" w:ascii="宋体" w:hAnsi="宋体" w:cs="宋体"/>
          <w:b/>
          <w:sz w:val="32"/>
          <w:szCs w:val="32"/>
        </w:rPr>
        <w:t>二○二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sdt>
      <w:sdtPr>
        <w:rPr>
          <w:rFonts w:ascii="宋体" w:hAnsi="宋体"/>
        </w:rPr>
        <w:id w:val="147467459"/>
        <w:docPartObj>
          <w:docPartGallery w:val="Table of Contents"/>
          <w:docPartUnique/>
        </w:docPartObj>
      </w:sdtPr>
      <w:sdtEndPr>
        <w:rPr>
          <w:rFonts w:ascii="宋体" w:hAnsi="宋体"/>
        </w:rPr>
      </w:sdtEndPr>
      <w:sdtContent>
        <w:p w14:paraId="0B3E1822">
          <w:pPr>
            <w:jc w:val="center"/>
            <w:rPr>
              <w:rFonts w:ascii="宋体" w:hAnsi="宋体"/>
            </w:rPr>
          </w:pPr>
          <w:bookmarkStart w:id="0" w:name="_Toc9496"/>
          <w:bookmarkStart w:id="1" w:name="_Toc14346"/>
          <w:bookmarkStart w:id="2" w:name="_Toc674"/>
        </w:p>
        <w:p w14:paraId="6830871F">
          <w:pPr>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28BCA800">
          <w:pPr>
            <w:pStyle w:val="19"/>
            <w:tabs>
              <w:tab w:val="right" w:leader="dot" w:pos="8754"/>
            </w:tabs>
          </w:pPr>
        </w:p>
        <w:p w14:paraId="6885C584">
          <w:pPr>
            <w:pStyle w:val="19"/>
            <w:tabs>
              <w:tab w:val="right" w:leader="dot" w:pos="8504"/>
            </w:tabs>
            <w:spacing w:line="396"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"_Toc3667" </w:instrText>
          </w:r>
          <w:r>
            <w:fldChar w:fldCharType="separate"/>
          </w:r>
          <w:r>
            <w:rPr>
              <w:rFonts w:hint="eastAsia" w:ascii="宋体" w:hAnsi="宋体"/>
              <w:bCs/>
              <w:sz w:val="28"/>
              <w:szCs w:val="28"/>
            </w:rPr>
            <w:t>第一章  竞争性磋商公告</w:t>
          </w:r>
          <w:r>
            <w:rPr>
              <w:sz w:val="28"/>
              <w:szCs w:val="28"/>
            </w:rPr>
            <w:tab/>
          </w:r>
          <w:r>
            <w:rPr>
              <w:sz w:val="28"/>
              <w:szCs w:val="28"/>
            </w:rPr>
            <w:fldChar w:fldCharType="begin"/>
          </w:r>
          <w:r>
            <w:rPr>
              <w:sz w:val="28"/>
              <w:szCs w:val="28"/>
            </w:rPr>
            <w:instrText xml:space="preserve"> PAGEREF _Toc3667 \h </w:instrText>
          </w:r>
          <w:r>
            <w:rPr>
              <w:sz w:val="28"/>
              <w:szCs w:val="28"/>
            </w:rPr>
            <w:fldChar w:fldCharType="separate"/>
          </w:r>
          <w:r>
            <w:rPr>
              <w:sz w:val="28"/>
              <w:szCs w:val="28"/>
            </w:rPr>
            <w:t>2</w:t>
          </w:r>
          <w:r>
            <w:rPr>
              <w:sz w:val="28"/>
              <w:szCs w:val="28"/>
            </w:rPr>
            <w:fldChar w:fldCharType="end"/>
          </w:r>
          <w:r>
            <w:rPr>
              <w:sz w:val="28"/>
              <w:szCs w:val="28"/>
            </w:rPr>
            <w:fldChar w:fldCharType="end"/>
          </w:r>
        </w:p>
        <w:p w14:paraId="6EF737A9">
          <w:pPr>
            <w:pStyle w:val="19"/>
            <w:tabs>
              <w:tab w:val="right" w:leader="dot" w:pos="8504"/>
            </w:tabs>
            <w:spacing w:line="396" w:lineRule="auto"/>
            <w:rPr>
              <w:sz w:val="28"/>
              <w:szCs w:val="28"/>
            </w:rPr>
          </w:pPr>
          <w:r>
            <w:fldChar w:fldCharType="begin"/>
          </w:r>
          <w:r>
            <w:instrText xml:space="preserve"> HYPERLINK \l "_Toc4089" </w:instrText>
          </w:r>
          <w:r>
            <w:fldChar w:fldCharType="separate"/>
          </w:r>
          <w:r>
            <w:rPr>
              <w:rFonts w:hint="eastAsia" w:ascii="宋体" w:hAnsi="宋体"/>
              <w:sz w:val="28"/>
              <w:szCs w:val="28"/>
            </w:rPr>
            <w:t>第二章  供应商须知</w:t>
          </w:r>
          <w:r>
            <w:rPr>
              <w:sz w:val="28"/>
              <w:szCs w:val="28"/>
            </w:rPr>
            <w:tab/>
          </w:r>
          <w:r>
            <w:rPr>
              <w:sz w:val="28"/>
              <w:szCs w:val="28"/>
            </w:rPr>
            <w:fldChar w:fldCharType="begin"/>
          </w:r>
          <w:r>
            <w:rPr>
              <w:sz w:val="28"/>
              <w:szCs w:val="28"/>
            </w:rPr>
            <w:instrText xml:space="preserve"> PAGEREF _Toc4089 \h </w:instrText>
          </w:r>
          <w:r>
            <w:rPr>
              <w:sz w:val="28"/>
              <w:szCs w:val="28"/>
            </w:rPr>
            <w:fldChar w:fldCharType="separate"/>
          </w:r>
          <w:r>
            <w:rPr>
              <w:sz w:val="28"/>
              <w:szCs w:val="28"/>
            </w:rPr>
            <w:t>5</w:t>
          </w:r>
          <w:r>
            <w:rPr>
              <w:sz w:val="28"/>
              <w:szCs w:val="28"/>
            </w:rPr>
            <w:fldChar w:fldCharType="end"/>
          </w:r>
          <w:r>
            <w:rPr>
              <w:sz w:val="28"/>
              <w:szCs w:val="28"/>
            </w:rPr>
            <w:fldChar w:fldCharType="end"/>
          </w:r>
        </w:p>
        <w:p w14:paraId="1D1F3F04">
          <w:pPr>
            <w:pStyle w:val="19"/>
            <w:tabs>
              <w:tab w:val="right" w:leader="dot" w:pos="8504"/>
            </w:tabs>
            <w:spacing w:line="396" w:lineRule="auto"/>
            <w:rPr>
              <w:sz w:val="28"/>
              <w:szCs w:val="28"/>
            </w:rPr>
          </w:pPr>
          <w:r>
            <w:fldChar w:fldCharType="begin"/>
          </w:r>
          <w:r>
            <w:instrText xml:space="preserve"> HYPERLINK \l "_Toc15543" </w:instrText>
          </w:r>
          <w:r>
            <w:fldChar w:fldCharType="separate"/>
          </w:r>
          <w:r>
            <w:rPr>
              <w:rFonts w:ascii="宋体" w:hAnsi="宋体"/>
              <w:kern w:val="44"/>
              <w:sz w:val="28"/>
              <w:szCs w:val="28"/>
            </w:rPr>
            <w:t>第</w:t>
          </w:r>
          <w:r>
            <w:rPr>
              <w:rFonts w:hint="eastAsia" w:ascii="宋体" w:hAnsi="宋体"/>
              <w:kern w:val="44"/>
              <w:sz w:val="28"/>
              <w:szCs w:val="28"/>
            </w:rPr>
            <w:t>三</w:t>
          </w:r>
          <w:r>
            <w:rPr>
              <w:rFonts w:ascii="宋体" w:hAnsi="宋体"/>
              <w:kern w:val="44"/>
              <w:sz w:val="28"/>
              <w:szCs w:val="28"/>
            </w:rPr>
            <w:t xml:space="preserve">章  </w:t>
          </w:r>
          <w:r>
            <w:rPr>
              <w:rFonts w:hint="eastAsia" w:ascii="宋体" w:hAnsi="宋体"/>
              <w:kern w:val="44"/>
              <w:sz w:val="28"/>
              <w:szCs w:val="28"/>
            </w:rPr>
            <w:t>评审标准及方法</w:t>
          </w:r>
          <w:r>
            <w:rPr>
              <w:sz w:val="28"/>
              <w:szCs w:val="28"/>
            </w:rPr>
            <w:tab/>
          </w:r>
          <w:r>
            <w:rPr>
              <w:sz w:val="28"/>
              <w:szCs w:val="28"/>
            </w:rPr>
            <w:fldChar w:fldCharType="begin"/>
          </w:r>
          <w:r>
            <w:rPr>
              <w:sz w:val="28"/>
              <w:szCs w:val="28"/>
            </w:rPr>
            <w:instrText xml:space="preserve"> PAGEREF _Toc15543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52C1303A">
          <w:pPr>
            <w:pStyle w:val="19"/>
            <w:tabs>
              <w:tab w:val="right" w:leader="dot" w:pos="8504"/>
            </w:tabs>
            <w:spacing w:line="396" w:lineRule="auto"/>
            <w:rPr>
              <w:sz w:val="28"/>
              <w:szCs w:val="28"/>
            </w:rPr>
          </w:pPr>
          <w:r>
            <w:fldChar w:fldCharType="begin"/>
          </w:r>
          <w:r>
            <w:instrText xml:space="preserve"> HYPERLINK \l "_Toc28428" </w:instrText>
          </w:r>
          <w:r>
            <w:fldChar w:fldCharType="separate"/>
          </w:r>
          <w:r>
            <w:rPr>
              <w:rFonts w:hint="eastAsia" w:ascii="宋体" w:hAnsi="宋体"/>
              <w:kern w:val="44"/>
              <w:sz w:val="28"/>
              <w:szCs w:val="28"/>
            </w:rPr>
            <w:t>第四章  合同条款</w:t>
          </w:r>
          <w:r>
            <w:rPr>
              <w:sz w:val="28"/>
              <w:szCs w:val="28"/>
            </w:rPr>
            <w:tab/>
          </w:r>
          <w:r>
            <w:rPr>
              <w:sz w:val="28"/>
              <w:szCs w:val="28"/>
            </w:rPr>
            <w:fldChar w:fldCharType="begin"/>
          </w:r>
          <w:r>
            <w:rPr>
              <w:sz w:val="28"/>
              <w:szCs w:val="28"/>
            </w:rPr>
            <w:instrText xml:space="preserve"> PAGEREF _Toc28428 \h </w:instrText>
          </w:r>
          <w:r>
            <w:rPr>
              <w:sz w:val="28"/>
              <w:szCs w:val="28"/>
            </w:rPr>
            <w:fldChar w:fldCharType="separate"/>
          </w:r>
          <w:r>
            <w:rPr>
              <w:sz w:val="28"/>
              <w:szCs w:val="28"/>
            </w:rPr>
            <w:t>30</w:t>
          </w:r>
          <w:r>
            <w:rPr>
              <w:sz w:val="28"/>
              <w:szCs w:val="28"/>
            </w:rPr>
            <w:fldChar w:fldCharType="end"/>
          </w:r>
          <w:r>
            <w:rPr>
              <w:sz w:val="28"/>
              <w:szCs w:val="28"/>
            </w:rPr>
            <w:fldChar w:fldCharType="end"/>
          </w:r>
        </w:p>
        <w:p w14:paraId="58640E9D">
          <w:pPr>
            <w:pStyle w:val="19"/>
            <w:tabs>
              <w:tab w:val="right" w:leader="dot" w:pos="8504"/>
            </w:tabs>
            <w:spacing w:line="396" w:lineRule="auto"/>
            <w:rPr>
              <w:sz w:val="28"/>
              <w:szCs w:val="28"/>
            </w:rPr>
          </w:pPr>
          <w:r>
            <w:fldChar w:fldCharType="begin"/>
          </w:r>
          <w:r>
            <w:instrText xml:space="preserve"> HYPERLINK \l "_Toc13715" </w:instrText>
          </w:r>
          <w:r>
            <w:fldChar w:fldCharType="separate"/>
          </w:r>
          <w:r>
            <w:rPr>
              <w:rFonts w:hint="eastAsia" w:ascii="宋体" w:hAnsi="宋体"/>
              <w:kern w:val="44"/>
              <w:sz w:val="28"/>
              <w:szCs w:val="28"/>
            </w:rPr>
            <w:t>第五章  采购内容及要求</w:t>
          </w:r>
          <w:r>
            <w:rPr>
              <w:sz w:val="28"/>
              <w:szCs w:val="28"/>
            </w:rPr>
            <w:tab/>
          </w:r>
          <w:r>
            <w:rPr>
              <w:sz w:val="28"/>
              <w:szCs w:val="28"/>
            </w:rPr>
            <w:fldChar w:fldCharType="begin"/>
          </w:r>
          <w:r>
            <w:rPr>
              <w:sz w:val="28"/>
              <w:szCs w:val="28"/>
            </w:rPr>
            <w:instrText xml:space="preserve"> PAGEREF _Toc13715 \h </w:instrText>
          </w:r>
          <w:r>
            <w:rPr>
              <w:sz w:val="28"/>
              <w:szCs w:val="28"/>
            </w:rPr>
            <w:fldChar w:fldCharType="separate"/>
          </w:r>
          <w:r>
            <w:rPr>
              <w:sz w:val="28"/>
              <w:szCs w:val="28"/>
            </w:rPr>
            <w:t>37</w:t>
          </w:r>
          <w:r>
            <w:rPr>
              <w:sz w:val="28"/>
              <w:szCs w:val="28"/>
            </w:rPr>
            <w:fldChar w:fldCharType="end"/>
          </w:r>
          <w:r>
            <w:rPr>
              <w:sz w:val="28"/>
              <w:szCs w:val="28"/>
            </w:rPr>
            <w:fldChar w:fldCharType="end"/>
          </w:r>
        </w:p>
        <w:p w14:paraId="11918C4F">
          <w:pPr>
            <w:pStyle w:val="19"/>
            <w:tabs>
              <w:tab w:val="right" w:leader="dot" w:pos="8504"/>
            </w:tabs>
            <w:spacing w:line="396" w:lineRule="auto"/>
            <w:rPr>
              <w:sz w:val="28"/>
              <w:szCs w:val="28"/>
            </w:rPr>
          </w:pPr>
          <w:r>
            <w:fldChar w:fldCharType="begin"/>
          </w:r>
          <w:r>
            <w:instrText xml:space="preserve"> HYPERLINK \l "_Toc11227" </w:instrText>
          </w:r>
          <w:r>
            <w:fldChar w:fldCharType="separate"/>
          </w:r>
          <w:r>
            <w:rPr>
              <w:rFonts w:hint="eastAsia" w:ascii="宋体" w:hAnsi="宋体"/>
              <w:sz w:val="28"/>
              <w:szCs w:val="28"/>
            </w:rPr>
            <w:t>第六章  响应文件格式</w:t>
          </w:r>
          <w:r>
            <w:rPr>
              <w:sz w:val="28"/>
              <w:szCs w:val="28"/>
            </w:rPr>
            <w:tab/>
          </w:r>
          <w:r>
            <w:rPr>
              <w:sz w:val="28"/>
              <w:szCs w:val="28"/>
            </w:rPr>
            <w:fldChar w:fldCharType="begin"/>
          </w:r>
          <w:r>
            <w:rPr>
              <w:sz w:val="28"/>
              <w:szCs w:val="28"/>
            </w:rPr>
            <w:instrText xml:space="preserve"> PAGEREF _Toc11227 \h </w:instrText>
          </w:r>
          <w:r>
            <w:rPr>
              <w:sz w:val="28"/>
              <w:szCs w:val="28"/>
            </w:rPr>
            <w:fldChar w:fldCharType="separate"/>
          </w:r>
          <w:r>
            <w:rPr>
              <w:sz w:val="28"/>
              <w:szCs w:val="28"/>
            </w:rPr>
            <w:t>42</w:t>
          </w:r>
          <w:r>
            <w:rPr>
              <w:sz w:val="28"/>
              <w:szCs w:val="28"/>
            </w:rPr>
            <w:fldChar w:fldCharType="end"/>
          </w:r>
          <w:r>
            <w:rPr>
              <w:sz w:val="28"/>
              <w:szCs w:val="28"/>
            </w:rPr>
            <w:fldChar w:fldCharType="end"/>
          </w:r>
        </w:p>
        <w:p w14:paraId="17C05C10">
          <w:pPr>
            <w:pStyle w:val="19"/>
            <w:tabs>
              <w:tab w:val="right" w:leader="dot" w:pos="8504"/>
            </w:tabs>
            <w:spacing w:line="396" w:lineRule="auto"/>
            <w:rPr>
              <w:sz w:val="28"/>
              <w:szCs w:val="28"/>
            </w:rPr>
          </w:pPr>
          <w:r>
            <w:fldChar w:fldCharType="begin"/>
          </w:r>
          <w:r>
            <w:instrText xml:space="preserve"> HYPERLINK \l "_Toc16088" </w:instrText>
          </w:r>
          <w:r>
            <w:fldChar w:fldCharType="separate"/>
          </w:r>
          <w:r>
            <w:rPr>
              <w:rFonts w:hint="eastAsia"/>
              <w:sz w:val="28"/>
              <w:szCs w:val="28"/>
            </w:rPr>
            <w:t>第七章  质疑和投诉</w:t>
          </w:r>
          <w:r>
            <w:rPr>
              <w:sz w:val="28"/>
              <w:szCs w:val="28"/>
            </w:rPr>
            <w:tab/>
          </w:r>
          <w:r>
            <w:rPr>
              <w:sz w:val="28"/>
              <w:szCs w:val="28"/>
            </w:rPr>
            <w:fldChar w:fldCharType="begin"/>
          </w:r>
          <w:r>
            <w:rPr>
              <w:sz w:val="28"/>
              <w:szCs w:val="28"/>
            </w:rPr>
            <w:instrText xml:space="preserve"> PAGEREF _Toc16088 \h </w:instrText>
          </w:r>
          <w:r>
            <w:rPr>
              <w:sz w:val="28"/>
              <w:szCs w:val="28"/>
            </w:rPr>
            <w:fldChar w:fldCharType="separate"/>
          </w:r>
          <w:r>
            <w:rPr>
              <w:sz w:val="28"/>
              <w:szCs w:val="28"/>
            </w:rPr>
            <w:t>66</w:t>
          </w:r>
          <w:r>
            <w:rPr>
              <w:sz w:val="28"/>
              <w:szCs w:val="28"/>
            </w:rPr>
            <w:fldChar w:fldCharType="end"/>
          </w:r>
          <w:r>
            <w:rPr>
              <w:sz w:val="28"/>
              <w:szCs w:val="28"/>
            </w:rPr>
            <w:fldChar w:fldCharType="end"/>
          </w:r>
        </w:p>
        <w:p w14:paraId="49988F7A">
          <w:pPr>
            <w:spacing w:line="396" w:lineRule="auto"/>
          </w:pPr>
          <w:r>
            <w:rPr>
              <w:rFonts w:hint="eastAsia" w:ascii="宋体" w:hAnsi="宋体" w:cs="宋体"/>
              <w:sz w:val="28"/>
              <w:szCs w:val="28"/>
            </w:rPr>
            <w:fldChar w:fldCharType="end"/>
          </w:r>
        </w:p>
      </w:sdtContent>
    </w:sdt>
    <w:p w14:paraId="3D185C14">
      <w:pPr>
        <w:spacing w:line="360" w:lineRule="auto"/>
        <w:ind w:firstLine="643" w:firstLineChars="200"/>
        <w:jc w:val="center"/>
        <w:outlineLvl w:val="0"/>
        <w:rPr>
          <w:rFonts w:ascii="宋体" w:hAnsi="宋体"/>
          <w:b/>
          <w:bCs/>
          <w:sz w:val="32"/>
          <w:szCs w:val="32"/>
        </w:rPr>
        <w:sectPr>
          <w:headerReference r:id="rId4" w:type="default"/>
          <w:footerReference r:id="rId5" w:type="default"/>
          <w:pgSz w:w="11906" w:h="16838"/>
          <w:pgMar w:top="1440" w:right="1701" w:bottom="1440" w:left="1701" w:header="851" w:footer="992" w:gutter="0"/>
          <w:pgNumType w:start="1"/>
          <w:cols w:space="425" w:num="1"/>
          <w:docGrid w:type="lines" w:linePitch="312" w:charSpace="0"/>
        </w:sectPr>
      </w:pPr>
    </w:p>
    <w:p w14:paraId="329B171B">
      <w:pPr>
        <w:spacing w:line="360" w:lineRule="auto"/>
        <w:ind w:firstLine="643" w:firstLineChars="200"/>
        <w:jc w:val="center"/>
        <w:outlineLvl w:val="0"/>
        <w:rPr>
          <w:rFonts w:ascii="宋体" w:hAnsi="宋体"/>
          <w:b/>
          <w:bCs/>
          <w:sz w:val="32"/>
          <w:szCs w:val="32"/>
        </w:rPr>
      </w:pPr>
      <w:bookmarkStart w:id="3" w:name="_Toc3667"/>
      <w:r>
        <w:rPr>
          <w:rFonts w:hint="eastAsia" w:ascii="宋体" w:hAnsi="宋体"/>
          <w:b/>
          <w:bCs/>
          <w:sz w:val="32"/>
          <w:szCs w:val="32"/>
        </w:rPr>
        <w:t>第一章  竞争性磋商公告</w:t>
      </w:r>
      <w:bookmarkEnd w:id="0"/>
      <w:bookmarkEnd w:id="1"/>
      <w:bookmarkEnd w:id="2"/>
      <w:bookmarkEnd w:id="3"/>
    </w:p>
    <w:p w14:paraId="02D241B3">
      <w:pPr>
        <w:pStyle w:val="23"/>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项目概况</w:t>
      </w:r>
    </w:p>
    <w:p w14:paraId="572F302A">
      <w:pPr>
        <w:pStyle w:val="23"/>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lang w:eastAsia="zh-CN"/>
        </w:rPr>
        <w:t>远程心电监测</w:t>
      </w:r>
      <w:r>
        <w:rPr>
          <w:rFonts w:hint="eastAsia" w:cs="宋体"/>
          <w:kern w:val="2"/>
          <w:sz w:val="21"/>
          <w:szCs w:val="21"/>
        </w:rPr>
        <w:t>采购项目的潜在供应商应在西安市高新区沣惠南路34号摩尔中心A座24层获取采购文件，并于20</w:t>
      </w:r>
      <w:r>
        <w:rPr>
          <w:rFonts w:hint="eastAsia" w:cs="宋体"/>
          <w:kern w:val="2"/>
          <w:sz w:val="21"/>
          <w:szCs w:val="21"/>
          <w:lang w:val="en-US" w:eastAsia="zh-CN"/>
        </w:rPr>
        <w:t>25</w:t>
      </w:r>
      <w:r>
        <w:rPr>
          <w:rFonts w:hint="eastAsia" w:cs="宋体"/>
          <w:kern w:val="2"/>
          <w:sz w:val="21"/>
          <w:szCs w:val="21"/>
        </w:rPr>
        <w:t>年</w:t>
      </w:r>
      <w:r>
        <w:rPr>
          <w:rFonts w:hint="eastAsia" w:cs="宋体"/>
          <w:kern w:val="2"/>
          <w:sz w:val="21"/>
          <w:szCs w:val="21"/>
          <w:lang w:val="en-US" w:eastAsia="zh-CN"/>
        </w:rPr>
        <w:t>4</w:t>
      </w:r>
      <w:r>
        <w:rPr>
          <w:rFonts w:hint="eastAsia" w:cs="宋体"/>
          <w:kern w:val="2"/>
          <w:sz w:val="21"/>
          <w:szCs w:val="21"/>
        </w:rPr>
        <w:t>月</w:t>
      </w:r>
      <w:r>
        <w:rPr>
          <w:rFonts w:hint="eastAsia" w:cs="宋体"/>
          <w:kern w:val="2"/>
          <w:sz w:val="21"/>
          <w:szCs w:val="21"/>
          <w:lang w:val="en-US" w:eastAsia="zh-CN"/>
        </w:rPr>
        <w:t>29</w:t>
      </w:r>
      <w:r>
        <w:rPr>
          <w:rFonts w:hint="eastAsia" w:cs="宋体"/>
          <w:kern w:val="2"/>
          <w:sz w:val="21"/>
          <w:szCs w:val="21"/>
        </w:rPr>
        <w:t>日14时</w:t>
      </w:r>
      <w:r>
        <w:rPr>
          <w:rFonts w:hint="eastAsia" w:cs="宋体"/>
          <w:kern w:val="2"/>
          <w:sz w:val="21"/>
          <w:szCs w:val="21"/>
          <w:lang w:val="en-US" w:eastAsia="zh-CN"/>
        </w:rPr>
        <w:t>00</w:t>
      </w:r>
      <w:r>
        <w:rPr>
          <w:rFonts w:hint="eastAsia" w:cs="宋体"/>
          <w:kern w:val="2"/>
          <w:sz w:val="21"/>
          <w:szCs w:val="21"/>
        </w:rPr>
        <w:t>分（北京时间）前提交响应文件。</w:t>
      </w:r>
    </w:p>
    <w:p w14:paraId="4857A7AE">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一、项目基本情况</w:t>
      </w:r>
    </w:p>
    <w:p w14:paraId="65C8A8AF">
      <w:pPr>
        <w:pStyle w:val="23"/>
        <w:shd w:val="clear" w:color="auto" w:fill="FFFFFF"/>
        <w:spacing w:before="0" w:beforeAutospacing="0" w:after="0" w:afterAutospacing="0" w:line="360" w:lineRule="auto"/>
        <w:ind w:firstLine="420" w:firstLineChars="200"/>
        <w:textAlignment w:val="baseline"/>
        <w:rPr>
          <w:rFonts w:hint="eastAsia" w:eastAsia="宋体" w:cs="宋体"/>
          <w:kern w:val="2"/>
          <w:sz w:val="21"/>
          <w:szCs w:val="21"/>
          <w:lang w:eastAsia="zh-CN"/>
        </w:rPr>
      </w:pPr>
      <w:r>
        <w:rPr>
          <w:rFonts w:hint="eastAsia" w:cs="宋体"/>
          <w:kern w:val="2"/>
          <w:sz w:val="21"/>
          <w:szCs w:val="21"/>
        </w:rPr>
        <w:t>项目编号：</w:t>
      </w:r>
      <w:r>
        <w:rPr>
          <w:rFonts w:hint="eastAsia" w:cs="宋体"/>
          <w:kern w:val="2"/>
          <w:sz w:val="21"/>
          <w:szCs w:val="21"/>
          <w:lang w:eastAsia="zh-CN"/>
        </w:rPr>
        <w:t>E-254112XA011-01</w:t>
      </w:r>
    </w:p>
    <w:p w14:paraId="5DFC1FAF">
      <w:pPr>
        <w:pStyle w:val="23"/>
        <w:shd w:val="clear" w:color="auto" w:fill="FFFFFF"/>
        <w:spacing w:before="0" w:beforeAutospacing="0" w:after="0" w:afterAutospacing="0" w:line="360" w:lineRule="auto"/>
        <w:ind w:firstLine="420" w:firstLineChars="200"/>
        <w:textAlignment w:val="baseline"/>
        <w:rPr>
          <w:rFonts w:hint="eastAsia" w:eastAsia="宋体" w:cs="宋体"/>
          <w:kern w:val="2"/>
          <w:sz w:val="21"/>
          <w:szCs w:val="21"/>
          <w:lang w:eastAsia="zh-CN"/>
        </w:rPr>
      </w:pPr>
      <w:r>
        <w:rPr>
          <w:rFonts w:hint="eastAsia" w:cs="宋体"/>
          <w:kern w:val="2"/>
          <w:sz w:val="21"/>
          <w:szCs w:val="21"/>
        </w:rPr>
        <w:t>项目名称：</w:t>
      </w:r>
      <w:r>
        <w:rPr>
          <w:rFonts w:hint="eastAsia" w:cs="宋体"/>
          <w:kern w:val="2"/>
          <w:sz w:val="21"/>
          <w:szCs w:val="21"/>
          <w:lang w:eastAsia="zh-CN"/>
        </w:rPr>
        <w:t>远程心电监测</w:t>
      </w:r>
    </w:p>
    <w:p w14:paraId="2C585BCF">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采购方式：竞争性磋商</w:t>
      </w:r>
    </w:p>
    <w:p w14:paraId="54C6E8DE">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预算金额：</w:t>
      </w:r>
      <w:r>
        <w:rPr>
          <w:rFonts w:hint="eastAsia" w:cs="宋体"/>
          <w:kern w:val="2"/>
          <w:sz w:val="21"/>
          <w:szCs w:val="21"/>
          <w:lang w:val="en-US" w:eastAsia="zh-CN"/>
        </w:rPr>
        <w:t>69.36</w:t>
      </w:r>
      <w:r>
        <w:rPr>
          <w:rFonts w:hint="eastAsia" w:cs="宋体"/>
          <w:kern w:val="2"/>
          <w:sz w:val="21"/>
          <w:szCs w:val="21"/>
        </w:rPr>
        <w:t>万元（人民币）</w:t>
      </w:r>
    </w:p>
    <w:p w14:paraId="6DE0703A">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采购需求：</w:t>
      </w:r>
      <w:r>
        <w:rPr>
          <w:rFonts w:hint="eastAsia" w:cs="宋体"/>
          <w:kern w:val="2"/>
          <w:sz w:val="21"/>
          <w:szCs w:val="21"/>
          <w:lang w:eastAsia="zh-CN"/>
        </w:rPr>
        <w:t>远程心电监测</w:t>
      </w:r>
      <w:r>
        <w:rPr>
          <w:rFonts w:hint="eastAsia" w:cs="宋体"/>
          <w:kern w:val="2"/>
          <w:sz w:val="21"/>
          <w:szCs w:val="21"/>
        </w:rPr>
        <w:t>（具体内容详见磋商文件“第五章采购内容及要求”）。</w:t>
      </w:r>
    </w:p>
    <w:p w14:paraId="563E4A45">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合同履行期限：合同签订后</w:t>
      </w:r>
      <w:r>
        <w:rPr>
          <w:rFonts w:hint="eastAsia" w:cs="宋体"/>
          <w:kern w:val="2"/>
          <w:sz w:val="21"/>
          <w:szCs w:val="21"/>
          <w:lang w:val="en-US" w:eastAsia="zh-CN"/>
        </w:rPr>
        <w:t>一年</w:t>
      </w:r>
      <w:r>
        <w:rPr>
          <w:rFonts w:hint="eastAsia" w:cs="宋体"/>
          <w:kern w:val="2"/>
          <w:sz w:val="21"/>
          <w:szCs w:val="21"/>
        </w:rPr>
        <w:t>。</w:t>
      </w:r>
    </w:p>
    <w:p w14:paraId="2EB413CE">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本项目（不接受）联合体投标。</w:t>
      </w:r>
    </w:p>
    <w:p w14:paraId="4D689E67">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二、申请人的资格要求：</w:t>
      </w:r>
    </w:p>
    <w:p w14:paraId="4191A3B8">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1.满足《中华人民共和国政府采购法》第二十二条规定；</w:t>
      </w:r>
    </w:p>
    <w:p w14:paraId="0B429C91">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2.落实政府采购政策需满足的资格要求：</w:t>
      </w:r>
    </w:p>
    <w:p w14:paraId="31B3AE20">
      <w:pPr>
        <w:pStyle w:val="23"/>
        <w:shd w:val="clear" w:color="auto" w:fill="FFFFFF"/>
        <w:spacing w:before="0" w:beforeAutospacing="0" w:after="0" w:afterAutospacing="0" w:line="360" w:lineRule="auto"/>
        <w:ind w:firstLine="420" w:firstLineChars="200"/>
        <w:textAlignment w:val="baseline"/>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本项目专门面向小微企业。</w:t>
      </w:r>
    </w:p>
    <w:p w14:paraId="7E6EF8A9">
      <w:pPr>
        <w:pStyle w:val="23"/>
        <w:numPr>
          <w:ilvl w:val="0"/>
          <w:numId w:val="1"/>
        </w:numPr>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本项目的特定资格要求：</w:t>
      </w:r>
    </w:p>
    <w:p w14:paraId="024662C2">
      <w:pPr>
        <w:pStyle w:val="23"/>
        <w:numPr>
          <w:ilvl w:val="0"/>
          <w:numId w:val="2"/>
        </w:numPr>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提供供应商法定代表人授权委托书，附法定代表人及授权人代表身份证复印件并依照规定格式签署和盖章，法定代表人参加磋商的提供身份证明及身份证复印件；</w:t>
      </w:r>
    </w:p>
    <w:p w14:paraId="61476D96">
      <w:pPr>
        <w:pStyle w:val="23"/>
        <w:numPr>
          <w:ilvl w:val="0"/>
          <w:numId w:val="2"/>
        </w:numPr>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经查，供应商未被列入“信用中国”网站记录的“失信被执行人”和“重大税收违法案件当事人”名单；不处于“中国政府采购网”记录的“政府采购严重违法失信行为记录名单”中的禁止参加政府采购活动期间。</w:t>
      </w:r>
    </w:p>
    <w:p w14:paraId="0C440DC8">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三、获取采购文件</w:t>
      </w:r>
    </w:p>
    <w:p w14:paraId="29D1668F">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时间：202</w:t>
      </w:r>
      <w:r>
        <w:rPr>
          <w:rFonts w:hint="eastAsia" w:cs="宋体"/>
          <w:kern w:val="2"/>
          <w:sz w:val="21"/>
          <w:szCs w:val="21"/>
          <w:lang w:val="en-US" w:eastAsia="zh-CN"/>
        </w:rPr>
        <w:t>5</w:t>
      </w:r>
      <w:r>
        <w:rPr>
          <w:rFonts w:hint="eastAsia" w:cs="宋体"/>
          <w:kern w:val="2"/>
          <w:sz w:val="21"/>
          <w:szCs w:val="21"/>
        </w:rPr>
        <w:t>年</w:t>
      </w:r>
      <w:r>
        <w:rPr>
          <w:rFonts w:hint="eastAsia" w:cs="宋体"/>
          <w:kern w:val="2"/>
          <w:sz w:val="21"/>
          <w:szCs w:val="21"/>
          <w:lang w:val="en-US" w:eastAsia="zh-CN"/>
        </w:rPr>
        <w:t>4</w:t>
      </w:r>
      <w:r>
        <w:rPr>
          <w:rFonts w:hint="eastAsia" w:cs="宋体"/>
          <w:kern w:val="2"/>
          <w:sz w:val="21"/>
          <w:szCs w:val="21"/>
        </w:rPr>
        <w:t>月</w:t>
      </w:r>
      <w:r>
        <w:rPr>
          <w:rFonts w:hint="eastAsia" w:cs="宋体"/>
          <w:kern w:val="2"/>
          <w:sz w:val="21"/>
          <w:szCs w:val="21"/>
          <w:lang w:val="en-US" w:eastAsia="zh-CN"/>
        </w:rPr>
        <w:t>17</w:t>
      </w:r>
      <w:r>
        <w:rPr>
          <w:rFonts w:hint="eastAsia" w:cs="宋体"/>
          <w:kern w:val="2"/>
          <w:sz w:val="21"/>
          <w:szCs w:val="21"/>
        </w:rPr>
        <w:t>日至202</w:t>
      </w:r>
      <w:r>
        <w:rPr>
          <w:rFonts w:hint="eastAsia" w:cs="宋体"/>
          <w:kern w:val="2"/>
          <w:sz w:val="21"/>
          <w:szCs w:val="21"/>
          <w:lang w:val="en-US" w:eastAsia="zh-CN"/>
        </w:rPr>
        <w:t>5</w:t>
      </w:r>
      <w:r>
        <w:rPr>
          <w:rFonts w:hint="eastAsia" w:cs="宋体"/>
          <w:kern w:val="2"/>
          <w:sz w:val="21"/>
          <w:szCs w:val="21"/>
        </w:rPr>
        <w:t>年</w:t>
      </w:r>
      <w:r>
        <w:rPr>
          <w:rFonts w:hint="eastAsia" w:cs="宋体"/>
          <w:kern w:val="2"/>
          <w:sz w:val="21"/>
          <w:szCs w:val="21"/>
          <w:lang w:val="en-US" w:eastAsia="zh-CN"/>
        </w:rPr>
        <w:t>4</w:t>
      </w:r>
      <w:r>
        <w:rPr>
          <w:rFonts w:hint="eastAsia" w:cs="宋体"/>
          <w:kern w:val="2"/>
          <w:sz w:val="21"/>
          <w:szCs w:val="21"/>
        </w:rPr>
        <w:t>月</w:t>
      </w:r>
      <w:r>
        <w:rPr>
          <w:rFonts w:hint="eastAsia" w:cs="宋体"/>
          <w:kern w:val="2"/>
          <w:sz w:val="21"/>
          <w:szCs w:val="21"/>
          <w:lang w:val="en-US" w:eastAsia="zh-CN"/>
        </w:rPr>
        <w:t>23</w:t>
      </w:r>
      <w:r>
        <w:rPr>
          <w:rFonts w:hint="eastAsia" w:cs="宋体"/>
          <w:kern w:val="2"/>
          <w:sz w:val="21"/>
          <w:szCs w:val="21"/>
        </w:rPr>
        <w:t>日，每天上午9:00至12:00，下午14:00至17:00。（北京时间，法定节假日除外）</w:t>
      </w:r>
    </w:p>
    <w:p w14:paraId="61583891">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地点：西安市高新区沣惠南路34号摩尔中心A座24层</w:t>
      </w:r>
    </w:p>
    <w:p w14:paraId="2B45FE54">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方式：现场获取</w:t>
      </w:r>
    </w:p>
    <w:p w14:paraId="6FF6B91D">
      <w:pPr>
        <w:pStyle w:val="23"/>
        <w:shd w:val="clear" w:color="auto" w:fill="FFFFFF"/>
        <w:spacing w:before="0" w:beforeAutospacing="0" w:after="0" w:afterAutospacing="0" w:line="360" w:lineRule="auto"/>
        <w:ind w:firstLine="420" w:firstLineChars="200"/>
        <w:textAlignment w:val="baseline"/>
        <w:rPr>
          <w:rFonts w:hint="default" w:eastAsia="宋体" w:cs="宋体"/>
          <w:kern w:val="2"/>
          <w:sz w:val="21"/>
          <w:szCs w:val="21"/>
          <w:lang w:val="en-US" w:eastAsia="zh-CN"/>
        </w:rPr>
      </w:pPr>
      <w:r>
        <w:rPr>
          <w:rFonts w:hint="eastAsia" w:cs="宋体"/>
          <w:kern w:val="2"/>
          <w:sz w:val="21"/>
          <w:szCs w:val="21"/>
        </w:rPr>
        <w:t>售价：</w:t>
      </w:r>
      <w:r>
        <w:rPr>
          <w:rFonts w:hint="eastAsia" w:cs="宋体"/>
          <w:kern w:val="2"/>
          <w:sz w:val="21"/>
          <w:szCs w:val="21"/>
          <w:lang w:val="en-US" w:eastAsia="zh-CN"/>
        </w:rPr>
        <w:t>免费获取</w:t>
      </w:r>
    </w:p>
    <w:p w14:paraId="67288977">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四、响应文件提交</w:t>
      </w:r>
    </w:p>
    <w:p w14:paraId="192E84DB">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截止时间：202</w:t>
      </w:r>
      <w:r>
        <w:rPr>
          <w:rFonts w:hint="eastAsia" w:cs="宋体"/>
          <w:kern w:val="2"/>
          <w:sz w:val="21"/>
          <w:szCs w:val="21"/>
          <w:lang w:val="en-US" w:eastAsia="zh-CN"/>
        </w:rPr>
        <w:t>5</w:t>
      </w:r>
      <w:r>
        <w:rPr>
          <w:rFonts w:hint="eastAsia" w:cs="宋体"/>
          <w:kern w:val="2"/>
          <w:sz w:val="21"/>
          <w:szCs w:val="21"/>
        </w:rPr>
        <w:t>年</w:t>
      </w:r>
      <w:r>
        <w:rPr>
          <w:rFonts w:hint="eastAsia" w:cs="宋体"/>
          <w:kern w:val="2"/>
          <w:sz w:val="21"/>
          <w:szCs w:val="21"/>
          <w:lang w:val="en-US" w:eastAsia="zh-CN"/>
        </w:rPr>
        <w:t>4</w:t>
      </w:r>
      <w:r>
        <w:rPr>
          <w:rFonts w:hint="eastAsia" w:cs="宋体"/>
          <w:kern w:val="2"/>
          <w:sz w:val="21"/>
          <w:szCs w:val="21"/>
        </w:rPr>
        <w:t>月</w:t>
      </w:r>
      <w:r>
        <w:rPr>
          <w:rFonts w:hint="eastAsia" w:cs="宋体"/>
          <w:kern w:val="2"/>
          <w:sz w:val="21"/>
          <w:szCs w:val="21"/>
          <w:lang w:val="en-US" w:eastAsia="zh-CN"/>
        </w:rPr>
        <w:t>29</w:t>
      </w:r>
      <w:r>
        <w:rPr>
          <w:rFonts w:hint="eastAsia" w:cs="宋体"/>
          <w:kern w:val="2"/>
          <w:sz w:val="21"/>
          <w:szCs w:val="21"/>
        </w:rPr>
        <w:t>日14时</w:t>
      </w:r>
      <w:r>
        <w:rPr>
          <w:rFonts w:hint="eastAsia" w:cs="宋体"/>
          <w:kern w:val="2"/>
          <w:sz w:val="21"/>
          <w:szCs w:val="21"/>
          <w:lang w:val="en-US" w:eastAsia="zh-CN"/>
        </w:rPr>
        <w:t>00</w:t>
      </w:r>
      <w:r>
        <w:rPr>
          <w:rFonts w:hint="eastAsia" w:cs="宋体"/>
          <w:kern w:val="2"/>
          <w:sz w:val="21"/>
          <w:szCs w:val="21"/>
        </w:rPr>
        <w:t>分（北京时间）</w:t>
      </w:r>
    </w:p>
    <w:p w14:paraId="28AB8B3E">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地点：西安市高新区沣惠南路34号摩尔中心A座24层</w:t>
      </w:r>
    </w:p>
    <w:p w14:paraId="5809A084">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五、开启</w:t>
      </w:r>
    </w:p>
    <w:p w14:paraId="4BBFF84A">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时间：202</w:t>
      </w:r>
      <w:r>
        <w:rPr>
          <w:rFonts w:hint="eastAsia" w:cs="宋体"/>
          <w:kern w:val="2"/>
          <w:sz w:val="21"/>
          <w:szCs w:val="21"/>
          <w:lang w:val="en-US" w:eastAsia="zh-CN"/>
        </w:rPr>
        <w:t>5</w:t>
      </w:r>
      <w:r>
        <w:rPr>
          <w:rFonts w:hint="eastAsia" w:cs="宋体"/>
          <w:kern w:val="2"/>
          <w:sz w:val="21"/>
          <w:szCs w:val="21"/>
        </w:rPr>
        <w:t>年</w:t>
      </w:r>
      <w:r>
        <w:rPr>
          <w:rFonts w:hint="eastAsia" w:cs="宋体"/>
          <w:kern w:val="2"/>
          <w:sz w:val="21"/>
          <w:szCs w:val="21"/>
          <w:lang w:val="en-US" w:eastAsia="zh-CN"/>
        </w:rPr>
        <w:t>4</w:t>
      </w:r>
      <w:r>
        <w:rPr>
          <w:rFonts w:hint="eastAsia" w:cs="宋体"/>
          <w:kern w:val="2"/>
          <w:sz w:val="21"/>
          <w:szCs w:val="21"/>
        </w:rPr>
        <w:t>月</w:t>
      </w:r>
      <w:r>
        <w:rPr>
          <w:rFonts w:hint="eastAsia" w:cs="宋体"/>
          <w:kern w:val="2"/>
          <w:sz w:val="21"/>
          <w:szCs w:val="21"/>
          <w:lang w:val="en-US" w:eastAsia="zh-CN"/>
        </w:rPr>
        <w:t>29</w:t>
      </w:r>
      <w:r>
        <w:rPr>
          <w:rFonts w:hint="eastAsia" w:cs="宋体"/>
          <w:kern w:val="2"/>
          <w:sz w:val="21"/>
          <w:szCs w:val="21"/>
        </w:rPr>
        <w:t>日14时</w:t>
      </w:r>
      <w:r>
        <w:rPr>
          <w:rFonts w:hint="eastAsia" w:cs="宋体"/>
          <w:kern w:val="2"/>
          <w:sz w:val="21"/>
          <w:szCs w:val="21"/>
          <w:lang w:val="en-US" w:eastAsia="zh-CN"/>
        </w:rPr>
        <w:t>00</w:t>
      </w:r>
      <w:r>
        <w:rPr>
          <w:rFonts w:hint="eastAsia" w:cs="宋体"/>
          <w:kern w:val="2"/>
          <w:sz w:val="21"/>
          <w:szCs w:val="21"/>
        </w:rPr>
        <w:t>分（北京时间）</w:t>
      </w:r>
    </w:p>
    <w:p w14:paraId="67F0C20C">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地点：西安市高新区沣惠南路34号摩尔中心A座24层</w:t>
      </w:r>
    </w:p>
    <w:p w14:paraId="1A512CB7">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六、公告期限</w:t>
      </w:r>
    </w:p>
    <w:p w14:paraId="372D209A">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自本公告发布之日起3个工作日。</w:t>
      </w:r>
    </w:p>
    <w:p w14:paraId="59488FA8">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七、其他补充事宜</w:t>
      </w:r>
    </w:p>
    <w:p w14:paraId="124CCEDC">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lang w:val="en-US" w:eastAsia="zh-CN"/>
        </w:rPr>
        <w:t>7.1</w:t>
      </w:r>
      <w:r>
        <w:rPr>
          <w:rFonts w:hint="eastAsia" w:cs="宋体"/>
          <w:kern w:val="2"/>
          <w:sz w:val="21"/>
          <w:szCs w:val="21"/>
        </w:rPr>
        <w:t>供应商须在磋商文件获取时间内携带单位介绍信或授权委托书、经办人身份证及身份证复印件（加盖公章）</w:t>
      </w:r>
      <w:r>
        <w:rPr>
          <w:rFonts w:hint="eastAsia" w:cs="宋体"/>
          <w:kern w:val="2"/>
          <w:sz w:val="21"/>
          <w:szCs w:val="21"/>
          <w:lang w:val="en-US" w:eastAsia="zh-CN"/>
        </w:rPr>
        <w:t>至代理公司获取采购文件</w:t>
      </w:r>
      <w:r>
        <w:rPr>
          <w:rFonts w:hint="eastAsia" w:cs="宋体"/>
          <w:kern w:val="2"/>
          <w:sz w:val="21"/>
          <w:szCs w:val="21"/>
        </w:rPr>
        <w:t>。</w:t>
      </w:r>
    </w:p>
    <w:p w14:paraId="7B509BF4">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7.</w:t>
      </w:r>
      <w:r>
        <w:rPr>
          <w:rFonts w:hint="eastAsia" w:cs="宋体"/>
          <w:kern w:val="2"/>
          <w:sz w:val="21"/>
          <w:szCs w:val="21"/>
          <w:lang w:val="en-US" w:eastAsia="zh-CN"/>
        </w:rPr>
        <w:t>2</w:t>
      </w:r>
      <w:r>
        <w:rPr>
          <w:rFonts w:hint="eastAsia" w:cs="宋体"/>
          <w:kern w:val="2"/>
          <w:sz w:val="21"/>
          <w:szCs w:val="21"/>
        </w:rPr>
        <w:t>本项目采购活动执行下列政府采购政策：</w:t>
      </w:r>
    </w:p>
    <w:p w14:paraId="5E7BDD98">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(1)《关于进一步加大政府采购支持中小企业力度的通知》财库〔2022〕19号；</w:t>
      </w:r>
    </w:p>
    <w:p w14:paraId="50F0F718">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(2)《财政部、农业农村部、国家乡村振兴局关于运用政府采购政策支持乡村产业振兴的通知》（财库〔2021〕19号）；</w:t>
      </w:r>
    </w:p>
    <w:p w14:paraId="47443C9E">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(3)《政府采购促进中小企业发展管理办法》（财库〔2020〕46号）；</w:t>
      </w:r>
    </w:p>
    <w:p w14:paraId="1FD65EA1">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(4)《财政部发展改革委生态环境部市场监管总局关于调整优化节能产品、环境标志产品政府采购执行机制的通知》（财库〔2019〕9号）；</w:t>
      </w:r>
    </w:p>
    <w:p w14:paraId="7DF9092C">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(5)《关于印发节能产品政府采购品目清单的通知》（财库〔2019〕19号）；</w:t>
      </w:r>
    </w:p>
    <w:p w14:paraId="55E1D026">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(6)关于印发环境标志产品政府采购品目清单的通知（财库〔2019〕18号）；</w:t>
      </w:r>
    </w:p>
    <w:p w14:paraId="52FB22B0">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(7)《陕西省中小企业政府采购信用融资办法》（陕财办采〔2018〕23号）；</w:t>
      </w:r>
    </w:p>
    <w:p w14:paraId="076E8E76">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(8)《三部门联合发布关于促进残疾人就业政府采购政策的通知》（财库〔2017〕141号）；</w:t>
      </w:r>
    </w:p>
    <w:p w14:paraId="375BF426">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(9)《财政部司法部关于政府采购支持监狱企业发展有关问题的通知》（财库〔2014〕68 号）；</w:t>
      </w:r>
    </w:p>
    <w:p w14:paraId="5DB220E2">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(10)《国务院办公厅关于建立政府强制采购节能产品制度的通知》（国发办〔2007〕51号）；</w:t>
      </w:r>
    </w:p>
    <w:p w14:paraId="15A45818">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(11)财政部、国家环保总局联合印发《关于环境标志产品政府采购实施的意见》（财库〔2006〕90号）；</w:t>
      </w:r>
    </w:p>
    <w:p w14:paraId="5CD449F6">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(12)财政部、国家发展改革委《关于印发〈节能产品政府采购实施意见〉的通知》（财库〔2004〕185号）；</w:t>
      </w:r>
    </w:p>
    <w:p w14:paraId="572659E0">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(13)其他需要落实的政府采购政策。如有最新颁布的政府采购政策，按最新的文件执行。</w:t>
      </w:r>
    </w:p>
    <w:p w14:paraId="2AA77E3F">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7.</w:t>
      </w:r>
      <w:r>
        <w:rPr>
          <w:rFonts w:hint="eastAsia" w:cs="宋体"/>
          <w:kern w:val="2"/>
          <w:sz w:val="21"/>
          <w:szCs w:val="21"/>
          <w:lang w:val="en-US" w:eastAsia="zh-CN"/>
        </w:rPr>
        <w:t>3</w:t>
      </w:r>
      <w:r>
        <w:rPr>
          <w:rFonts w:hint="eastAsia" w:cs="宋体"/>
          <w:kern w:val="2"/>
          <w:sz w:val="21"/>
          <w:szCs w:val="21"/>
        </w:rPr>
        <w:t>请投标人按照陕西省财政厅关于政府采购供应商注册登记有关事项的通知中的要求，通过陕西省政府采购网（http://www.ccgp-shaanxi.gov.cn/）注册登记加入陕西省政府采购供应商库。</w:t>
      </w:r>
    </w:p>
    <w:p w14:paraId="7552DBB6">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7.</w:t>
      </w:r>
      <w:r>
        <w:rPr>
          <w:rFonts w:hint="eastAsia" w:cs="宋体"/>
          <w:kern w:val="2"/>
          <w:sz w:val="21"/>
          <w:szCs w:val="21"/>
          <w:lang w:val="en-US" w:eastAsia="zh-CN"/>
        </w:rPr>
        <w:t>4</w:t>
      </w:r>
      <w:r>
        <w:rPr>
          <w:rFonts w:hint="eastAsia" w:cs="宋体"/>
          <w:kern w:val="2"/>
          <w:sz w:val="21"/>
          <w:szCs w:val="21"/>
        </w:rPr>
        <w:t>本项目竞争性磋商公告在《</w:t>
      </w:r>
      <w:r>
        <w:rPr>
          <w:rFonts w:hint="eastAsia" w:cs="宋体"/>
          <w:kern w:val="2"/>
          <w:sz w:val="21"/>
          <w:szCs w:val="21"/>
          <w:lang w:val="en-US" w:eastAsia="zh-CN"/>
        </w:rPr>
        <w:t>陕西省</w:t>
      </w:r>
      <w:r>
        <w:rPr>
          <w:rFonts w:hint="eastAsia" w:cs="宋体"/>
          <w:kern w:val="2"/>
          <w:sz w:val="21"/>
          <w:szCs w:val="21"/>
        </w:rPr>
        <w:t>政府采购网》网站发布。</w:t>
      </w:r>
    </w:p>
    <w:p w14:paraId="06C3C032">
      <w:pPr>
        <w:pStyle w:val="23"/>
        <w:shd w:val="clear" w:color="auto" w:fill="FFFFFF"/>
        <w:spacing w:beforeAutospacing="0" w:afterAutospacing="0" w:line="360" w:lineRule="auto"/>
        <w:ind w:firstLine="422" w:firstLineChars="200"/>
        <w:textAlignment w:val="baseline"/>
        <w:rPr>
          <w:rFonts w:cs="宋体"/>
          <w:b/>
          <w:bCs/>
          <w:kern w:val="2"/>
          <w:sz w:val="21"/>
          <w:szCs w:val="21"/>
        </w:rPr>
      </w:pPr>
      <w:r>
        <w:rPr>
          <w:rFonts w:hint="eastAsia" w:cs="宋体"/>
          <w:b/>
          <w:bCs/>
          <w:kern w:val="2"/>
          <w:sz w:val="21"/>
          <w:szCs w:val="21"/>
        </w:rPr>
        <w:t>八、凡对本次采购提出询问，请按以下方式联系。</w:t>
      </w:r>
    </w:p>
    <w:p w14:paraId="1EB0E102">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1.采购人信息</w:t>
      </w:r>
    </w:p>
    <w:p w14:paraId="6F358B46">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招标人：咸阳市中心医院</w:t>
      </w:r>
    </w:p>
    <w:p w14:paraId="136967A1">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地址：咸阳市人民东路78号</w:t>
      </w:r>
    </w:p>
    <w:p w14:paraId="3D0DC2AA">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联系人：</w:t>
      </w:r>
      <w:r>
        <w:rPr>
          <w:rFonts w:hint="eastAsia" w:cs="宋体"/>
          <w:kern w:val="2"/>
          <w:sz w:val="21"/>
          <w:szCs w:val="21"/>
          <w:lang w:val="en-US" w:eastAsia="zh-CN"/>
        </w:rPr>
        <w:t>祁</w:t>
      </w:r>
      <w:r>
        <w:rPr>
          <w:rFonts w:hint="eastAsia" w:cs="宋体"/>
          <w:kern w:val="2"/>
          <w:sz w:val="21"/>
          <w:szCs w:val="21"/>
        </w:rPr>
        <w:t>老师</w:t>
      </w:r>
    </w:p>
    <w:p w14:paraId="0BB0519F">
      <w:pPr>
        <w:pStyle w:val="23"/>
        <w:shd w:val="clear" w:color="auto" w:fill="FFFFFF"/>
        <w:spacing w:before="0" w:beforeAutospacing="0" w:after="0" w:afterAutospacing="0" w:line="360" w:lineRule="auto"/>
        <w:ind w:firstLine="420" w:firstLineChars="200"/>
        <w:textAlignment w:val="baseline"/>
        <w:rPr>
          <w:rFonts w:hint="eastAsia" w:cs="宋体"/>
          <w:kern w:val="2"/>
          <w:sz w:val="21"/>
          <w:szCs w:val="21"/>
        </w:rPr>
      </w:pPr>
      <w:r>
        <w:rPr>
          <w:rFonts w:hint="eastAsia" w:cs="宋体"/>
          <w:kern w:val="2"/>
          <w:sz w:val="21"/>
          <w:szCs w:val="21"/>
        </w:rPr>
        <w:t>电话：029-33284535</w:t>
      </w:r>
    </w:p>
    <w:p w14:paraId="0707E4C1">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2.采购代理机构信息</w:t>
      </w:r>
    </w:p>
    <w:p w14:paraId="54DF6CC5">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名称：中航技（北京）工程管理有限公司</w:t>
      </w:r>
    </w:p>
    <w:p w14:paraId="1A5CA54C">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地址：西安市高新区沣惠南路34号摩尔中心A座24层</w:t>
      </w:r>
    </w:p>
    <w:p w14:paraId="6F3E2561">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联系方式：赵伟、杨晶莹、李珂</w:t>
      </w:r>
      <w:r>
        <w:rPr>
          <w:rFonts w:hint="eastAsia" w:cs="宋体"/>
          <w:kern w:val="2"/>
          <w:sz w:val="21"/>
          <w:szCs w:val="21"/>
          <w:lang w:eastAsia="zh-CN"/>
        </w:rPr>
        <w:t>、</w:t>
      </w:r>
      <w:r>
        <w:rPr>
          <w:rFonts w:hint="eastAsia" w:cs="宋体"/>
          <w:kern w:val="2"/>
          <w:sz w:val="21"/>
          <w:szCs w:val="21"/>
          <w:lang w:val="en-US" w:eastAsia="zh-CN"/>
        </w:rPr>
        <w:t>李静</w:t>
      </w:r>
      <w:r>
        <w:rPr>
          <w:rFonts w:hint="eastAsia" w:cs="宋体"/>
          <w:kern w:val="2"/>
          <w:sz w:val="21"/>
          <w:szCs w:val="21"/>
        </w:rPr>
        <w:t>029-89187077</w:t>
      </w:r>
    </w:p>
    <w:p w14:paraId="3E2CF319">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3.项目联系方式</w:t>
      </w:r>
    </w:p>
    <w:p w14:paraId="5D76DF78">
      <w:pPr>
        <w:pStyle w:val="23"/>
        <w:shd w:val="clear" w:color="auto" w:fill="FFFFFF"/>
        <w:spacing w:before="0" w:beforeAutospacing="0" w:after="0" w:afterAutospacing="0" w:line="360" w:lineRule="auto"/>
        <w:ind w:firstLine="420" w:firstLineChars="200"/>
        <w:textAlignment w:val="baseline"/>
        <w:rPr>
          <w:rFonts w:hint="default" w:eastAsia="宋体" w:cs="宋体"/>
          <w:kern w:val="2"/>
          <w:sz w:val="21"/>
          <w:szCs w:val="21"/>
          <w:lang w:val="en-US" w:eastAsia="zh-CN"/>
        </w:rPr>
      </w:pPr>
      <w:r>
        <w:rPr>
          <w:rFonts w:hint="eastAsia" w:cs="宋体"/>
          <w:kern w:val="2"/>
          <w:sz w:val="21"/>
          <w:szCs w:val="21"/>
        </w:rPr>
        <w:t>项目联系人：赵伟、杨晶莹、李珂</w:t>
      </w:r>
      <w:r>
        <w:rPr>
          <w:rFonts w:hint="eastAsia" w:cs="宋体"/>
          <w:kern w:val="2"/>
          <w:sz w:val="21"/>
          <w:szCs w:val="21"/>
          <w:lang w:eastAsia="zh-CN"/>
        </w:rPr>
        <w:t>、</w:t>
      </w:r>
      <w:r>
        <w:rPr>
          <w:rFonts w:hint="eastAsia" w:cs="宋体"/>
          <w:kern w:val="2"/>
          <w:sz w:val="21"/>
          <w:szCs w:val="21"/>
          <w:lang w:val="en-US" w:eastAsia="zh-CN"/>
        </w:rPr>
        <w:t>李静</w:t>
      </w:r>
    </w:p>
    <w:p w14:paraId="3467F32F">
      <w:pPr>
        <w:pStyle w:val="23"/>
        <w:shd w:val="clear" w:color="auto" w:fill="FFFFFF"/>
        <w:spacing w:before="0" w:beforeAutospacing="0" w:after="0" w:afterAutospacing="0" w:line="360" w:lineRule="auto"/>
        <w:ind w:firstLine="420" w:firstLineChars="200"/>
        <w:textAlignment w:val="baseline"/>
        <w:rPr>
          <w:rFonts w:cs="宋体"/>
          <w:kern w:val="2"/>
          <w:sz w:val="21"/>
          <w:szCs w:val="21"/>
        </w:rPr>
      </w:pPr>
      <w:r>
        <w:rPr>
          <w:rFonts w:hint="eastAsia" w:cs="宋体"/>
          <w:kern w:val="2"/>
          <w:sz w:val="21"/>
          <w:szCs w:val="21"/>
        </w:rPr>
        <w:t>电话：029-89187077</w:t>
      </w:r>
    </w:p>
    <w:p w14:paraId="12E91DD4">
      <w:pPr>
        <w:spacing w:line="360" w:lineRule="auto"/>
        <w:ind w:firstLine="420" w:firstLineChars="200"/>
        <w:rPr>
          <w:rFonts w:ascii="宋体" w:hAnsi="宋体" w:cs="宋体"/>
          <w:szCs w:val="21"/>
        </w:rPr>
      </w:pPr>
      <w:r>
        <w:rPr>
          <w:rFonts w:hint="eastAsia" w:ascii="宋体" w:hAnsi="宋体" w:cs="宋体"/>
          <w:szCs w:val="21"/>
        </w:rPr>
        <w:t>邮箱：zhjbj123456@163.com</w:t>
      </w:r>
    </w:p>
    <w:p w14:paraId="142A19FF">
      <w:pPr>
        <w:rPr>
          <w:rFonts w:ascii="宋体" w:hAnsi="宋体"/>
          <w:sz w:val="24"/>
        </w:rPr>
      </w:pPr>
      <w:r>
        <w:rPr>
          <w:rFonts w:hint="eastAsia" w:ascii="宋体" w:hAnsi="宋体"/>
          <w:sz w:val="24"/>
        </w:rPr>
        <w:br w:type="page"/>
      </w:r>
    </w:p>
    <w:p w14:paraId="2E340628">
      <w:pPr>
        <w:pStyle w:val="2"/>
        <w:spacing w:after="240" w:line="240" w:lineRule="auto"/>
        <w:ind w:left="0" w:firstLine="0"/>
        <w:jc w:val="center"/>
        <w:rPr>
          <w:rFonts w:ascii="宋体" w:hAnsi="宋体"/>
          <w:sz w:val="32"/>
          <w:szCs w:val="32"/>
        </w:rPr>
      </w:pPr>
      <w:bookmarkStart w:id="4" w:name="_Toc18266"/>
      <w:bookmarkStart w:id="5" w:name="_Toc5339"/>
      <w:bookmarkStart w:id="6" w:name="_Toc21204"/>
      <w:bookmarkStart w:id="7" w:name="_Toc1447"/>
      <w:bookmarkStart w:id="8" w:name="_Toc4089"/>
      <w:r>
        <w:rPr>
          <w:rFonts w:hint="eastAsia" w:ascii="宋体" w:hAnsi="宋体"/>
          <w:sz w:val="32"/>
          <w:szCs w:val="32"/>
        </w:rPr>
        <w:t xml:space="preserve">第二章  </w:t>
      </w:r>
      <w:bookmarkEnd w:id="4"/>
      <w:bookmarkEnd w:id="5"/>
      <w:bookmarkEnd w:id="6"/>
      <w:bookmarkEnd w:id="7"/>
      <w:r>
        <w:rPr>
          <w:rFonts w:hint="eastAsia" w:ascii="宋体" w:hAnsi="宋体"/>
          <w:sz w:val="32"/>
          <w:szCs w:val="32"/>
        </w:rPr>
        <w:t>供应商须知</w:t>
      </w:r>
      <w:bookmarkEnd w:id="8"/>
    </w:p>
    <w:p w14:paraId="1CDD010E">
      <w:pPr>
        <w:keepNext/>
        <w:keepLines/>
        <w:tabs>
          <w:tab w:val="left" w:pos="567"/>
        </w:tabs>
        <w:jc w:val="center"/>
        <w:rPr>
          <w:b/>
          <w:bCs/>
          <w:sz w:val="28"/>
          <w:szCs w:val="36"/>
        </w:rPr>
      </w:pPr>
      <w:r>
        <w:rPr>
          <w:rFonts w:hint="eastAsia"/>
          <w:b/>
          <w:bCs/>
          <w:sz w:val="28"/>
          <w:szCs w:val="36"/>
        </w:rPr>
        <w:t>供应商须知</w:t>
      </w:r>
      <w:r>
        <w:rPr>
          <w:b/>
          <w:bCs/>
          <w:sz w:val="28"/>
          <w:szCs w:val="36"/>
        </w:rPr>
        <w:t>前附表</w:t>
      </w:r>
    </w:p>
    <w:tbl>
      <w:tblPr>
        <w:tblStyle w:val="28"/>
        <w:tblW w:w="97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040"/>
        <w:gridCol w:w="7017"/>
      </w:tblGrid>
      <w:tr w14:paraId="2B1B0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7" w:type="dxa"/>
            <w:vAlign w:val="center"/>
          </w:tcPr>
          <w:p w14:paraId="657E255D">
            <w:pPr>
              <w:jc w:val="center"/>
              <w:rPr>
                <w:rFonts w:ascii="宋体" w:hAnsi="宋体" w:cs="宋体"/>
                <w:b/>
                <w:szCs w:val="21"/>
              </w:rPr>
            </w:pPr>
            <w:r>
              <w:rPr>
                <w:rFonts w:hint="eastAsia" w:ascii="宋体" w:hAnsi="宋体" w:cs="宋体"/>
                <w:b/>
                <w:szCs w:val="21"/>
              </w:rPr>
              <w:t>序号</w:t>
            </w:r>
          </w:p>
        </w:tc>
        <w:tc>
          <w:tcPr>
            <w:tcW w:w="2040" w:type="dxa"/>
            <w:vAlign w:val="center"/>
          </w:tcPr>
          <w:p w14:paraId="336C523A">
            <w:pPr>
              <w:jc w:val="center"/>
              <w:rPr>
                <w:rFonts w:ascii="宋体" w:hAnsi="宋体" w:cs="宋体"/>
                <w:b/>
                <w:szCs w:val="21"/>
              </w:rPr>
            </w:pPr>
            <w:r>
              <w:rPr>
                <w:rFonts w:hint="eastAsia" w:ascii="宋体" w:hAnsi="宋体" w:cs="宋体"/>
                <w:b/>
                <w:szCs w:val="21"/>
              </w:rPr>
              <w:t>条款名称</w:t>
            </w:r>
          </w:p>
        </w:tc>
        <w:tc>
          <w:tcPr>
            <w:tcW w:w="7017" w:type="dxa"/>
            <w:vAlign w:val="center"/>
          </w:tcPr>
          <w:p w14:paraId="5D9B550F">
            <w:pPr>
              <w:spacing w:line="400" w:lineRule="exact"/>
              <w:jc w:val="center"/>
              <w:rPr>
                <w:rFonts w:ascii="宋体" w:hAnsi="宋体" w:cs="宋体"/>
                <w:b/>
                <w:szCs w:val="21"/>
              </w:rPr>
            </w:pPr>
            <w:r>
              <w:rPr>
                <w:rFonts w:hint="eastAsia" w:ascii="宋体" w:hAnsi="宋体" w:cs="宋体"/>
                <w:b/>
                <w:szCs w:val="21"/>
              </w:rPr>
              <w:t xml:space="preserve"> 内    容</w:t>
            </w:r>
          </w:p>
        </w:tc>
      </w:tr>
      <w:tr w14:paraId="4FD8F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7" w:type="dxa"/>
            <w:vAlign w:val="center"/>
          </w:tcPr>
          <w:p w14:paraId="45DE1099">
            <w:pPr>
              <w:jc w:val="center"/>
              <w:rPr>
                <w:rFonts w:ascii="宋体" w:hAnsi="宋体" w:cs="宋体"/>
                <w:szCs w:val="21"/>
              </w:rPr>
            </w:pPr>
            <w:r>
              <w:rPr>
                <w:rFonts w:hint="eastAsia" w:ascii="宋体" w:hAnsi="宋体" w:cs="宋体"/>
                <w:szCs w:val="21"/>
              </w:rPr>
              <w:t>1</w:t>
            </w:r>
          </w:p>
        </w:tc>
        <w:tc>
          <w:tcPr>
            <w:tcW w:w="2040" w:type="dxa"/>
            <w:vAlign w:val="center"/>
          </w:tcPr>
          <w:p w14:paraId="732F8C8E">
            <w:pPr>
              <w:jc w:val="center"/>
              <w:rPr>
                <w:rFonts w:ascii="宋体" w:hAnsi="宋体" w:cs="宋体"/>
                <w:szCs w:val="21"/>
              </w:rPr>
            </w:pPr>
            <w:r>
              <w:rPr>
                <w:rFonts w:hint="eastAsia" w:ascii="宋体" w:hAnsi="宋体" w:cs="宋体"/>
                <w:szCs w:val="21"/>
              </w:rPr>
              <w:t>采购人</w:t>
            </w:r>
          </w:p>
        </w:tc>
        <w:tc>
          <w:tcPr>
            <w:tcW w:w="7017" w:type="dxa"/>
            <w:vAlign w:val="center"/>
          </w:tcPr>
          <w:p w14:paraId="68E56609">
            <w:pPr>
              <w:widowControl/>
              <w:spacing w:line="360" w:lineRule="exact"/>
              <w:rPr>
                <w:rFonts w:hint="eastAsia" w:ascii="宋体" w:hAnsi="宋体" w:cs="宋体"/>
                <w:szCs w:val="21"/>
              </w:rPr>
            </w:pPr>
            <w:r>
              <w:rPr>
                <w:rFonts w:hint="eastAsia" w:ascii="宋体" w:hAnsi="宋体" w:cs="宋体"/>
                <w:szCs w:val="21"/>
              </w:rPr>
              <w:t>招标人：咸阳市中心医院</w:t>
            </w:r>
          </w:p>
          <w:p w14:paraId="2828D1B2">
            <w:pPr>
              <w:widowControl/>
              <w:spacing w:line="360" w:lineRule="exact"/>
              <w:rPr>
                <w:rFonts w:hint="eastAsia" w:ascii="宋体" w:hAnsi="宋体" w:cs="宋体"/>
                <w:szCs w:val="21"/>
              </w:rPr>
            </w:pPr>
            <w:r>
              <w:rPr>
                <w:rFonts w:hint="eastAsia" w:ascii="宋体" w:hAnsi="宋体" w:cs="宋体"/>
                <w:szCs w:val="21"/>
              </w:rPr>
              <w:t>地址：咸阳市人民东路78号</w:t>
            </w:r>
          </w:p>
          <w:p w14:paraId="0B6046C2">
            <w:pPr>
              <w:widowControl/>
              <w:spacing w:line="36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祁</w:t>
            </w:r>
            <w:r>
              <w:rPr>
                <w:rFonts w:hint="eastAsia" w:ascii="宋体" w:hAnsi="宋体" w:cs="宋体"/>
                <w:szCs w:val="21"/>
              </w:rPr>
              <w:t>老师</w:t>
            </w:r>
          </w:p>
          <w:p w14:paraId="0AD5880D">
            <w:pPr>
              <w:widowControl/>
              <w:spacing w:line="360" w:lineRule="exact"/>
              <w:rPr>
                <w:rFonts w:ascii="宋体" w:hAnsi="宋体" w:cs="宋体"/>
                <w:szCs w:val="21"/>
              </w:rPr>
            </w:pPr>
            <w:r>
              <w:rPr>
                <w:rFonts w:hint="eastAsia" w:ascii="宋体" w:hAnsi="宋体" w:cs="宋体"/>
                <w:szCs w:val="21"/>
              </w:rPr>
              <w:t>电话：029-33284535</w:t>
            </w:r>
          </w:p>
        </w:tc>
      </w:tr>
      <w:tr w14:paraId="11252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7" w:type="dxa"/>
            <w:vAlign w:val="center"/>
          </w:tcPr>
          <w:p w14:paraId="5223AE03">
            <w:pPr>
              <w:jc w:val="center"/>
              <w:rPr>
                <w:rFonts w:ascii="宋体" w:hAnsi="宋体" w:cs="宋体"/>
                <w:szCs w:val="21"/>
              </w:rPr>
            </w:pPr>
            <w:r>
              <w:rPr>
                <w:rFonts w:hint="eastAsia" w:ascii="宋体" w:hAnsi="宋体" w:cs="宋体"/>
                <w:szCs w:val="21"/>
              </w:rPr>
              <w:t>2</w:t>
            </w:r>
          </w:p>
        </w:tc>
        <w:tc>
          <w:tcPr>
            <w:tcW w:w="2040" w:type="dxa"/>
            <w:vAlign w:val="center"/>
          </w:tcPr>
          <w:p w14:paraId="3DD77AD6">
            <w:pPr>
              <w:jc w:val="center"/>
              <w:rPr>
                <w:rFonts w:ascii="宋体" w:hAnsi="宋体" w:cs="宋体"/>
                <w:szCs w:val="21"/>
              </w:rPr>
            </w:pPr>
            <w:r>
              <w:rPr>
                <w:rFonts w:hint="eastAsia" w:ascii="宋体" w:hAnsi="宋体" w:cs="宋体"/>
                <w:szCs w:val="21"/>
              </w:rPr>
              <w:t>采购代理机构</w:t>
            </w:r>
          </w:p>
        </w:tc>
        <w:tc>
          <w:tcPr>
            <w:tcW w:w="7017" w:type="dxa"/>
            <w:vAlign w:val="center"/>
          </w:tcPr>
          <w:p w14:paraId="0E90441A">
            <w:pPr>
              <w:widowControl/>
              <w:spacing w:line="360" w:lineRule="exact"/>
              <w:rPr>
                <w:rFonts w:ascii="宋体" w:hAnsi="宋体" w:cs="宋体"/>
                <w:szCs w:val="21"/>
              </w:rPr>
            </w:pPr>
            <w:r>
              <w:rPr>
                <w:rFonts w:hint="eastAsia" w:ascii="宋体" w:hAnsi="宋体" w:cs="宋体"/>
                <w:szCs w:val="21"/>
              </w:rPr>
              <w:t>名称：中航技（北京）工程管理有限公司</w:t>
            </w:r>
          </w:p>
          <w:p w14:paraId="4F91638C">
            <w:pPr>
              <w:widowControl/>
              <w:spacing w:line="360" w:lineRule="exact"/>
              <w:rPr>
                <w:rFonts w:ascii="宋体" w:hAnsi="宋体" w:cs="宋体"/>
                <w:szCs w:val="21"/>
              </w:rPr>
            </w:pPr>
            <w:r>
              <w:rPr>
                <w:rFonts w:hint="eastAsia" w:ascii="宋体" w:hAnsi="宋体" w:cs="宋体"/>
                <w:szCs w:val="21"/>
              </w:rPr>
              <w:t>地址：西安市高新区沣惠南路34号摩尔中心A座24层</w:t>
            </w:r>
          </w:p>
          <w:p w14:paraId="17A4E45A">
            <w:pPr>
              <w:widowControl/>
              <w:spacing w:line="360" w:lineRule="exact"/>
              <w:rPr>
                <w:rFonts w:ascii="宋体" w:hAnsi="宋体" w:cs="宋体"/>
                <w:szCs w:val="21"/>
              </w:rPr>
            </w:pPr>
            <w:r>
              <w:rPr>
                <w:rFonts w:hint="eastAsia" w:ascii="宋体" w:hAnsi="宋体" w:cs="宋体"/>
                <w:szCs w:val="21"/>
              </w:rPr>
              <w:t>项目联系人：</w:t>
            </w:r>
            <w:r>
              <w:rPr>
                <w:rFonts w:hint="eastAsia" w:cs="宋体"/>
                <w:szCs w:val="21"/>
              </w:rPr>
              <w:t>赵伟、杨晶莹、李珂</w:t>
            </w:r>
          </w:p>
          <w:p w14:paraId="2BD91927">
            <w:pPr>
              <w:widowControl/>
              <w:spacing w:line="360" w:lineRule="exact"/>
              <w:rPr>
                <w:rFonts w:ascii="宋体" w:hAnsi="宋体" w:cs="宋体"/>
                <w:szCs w:val="21"/>
              </w:rPr>
            </w:pPr>
            <w:r>
              <w:rPr>
                <w:rFonts w:hint="eastAsia" w:ascii="宋体" w:hAnsi="宋体" w:cs="宋体"/>
                <w:szCs w:val="21"/>
              </w:rPr>
              <w:t>电话：029-89187077</w:t>
            </w:r>
          </w:p>
          <w:p w14:paraId="42A6B972">
            <w:pPr>
              <w:widowControl/>
              <w:spacing w:line="360" w:lineRule="exact"/>
              <w:rPr>
                <w:rFonts w:ascii="宋体" w:hAnsi="宋体" w:cs="宋体"/>
                <w:szCs w:val="21"/>
              </w:rPr>
            </w:pPr>
            <w:r>
              <w:rPr>
                <w:rFonts w:hint="eastAsia" w:ascii="宋体" w:hAnsi="宋体" w:cs="宋体"/>
                <w:szCs w:val="21"/>
              </w:rPr>
              <w:t>邮箱：zhjbj123456@163.com</w:t>
            </w:r>
          </w:p>
        </w:tc>
      </w:tr>
      <w:tr w14:paraId="20F65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7" w:type="dxa"/>
            <w:vAlign w:val="center"/>
          </w:tcPr>
          <w:p w14:paraId="5868693C">
            <w:pPr>
              <w:jc w:val="center"/>
              <w:rPr>
                <w:rFonts w:ascii="宋体" w:hAnsi="宋体" w:cs="宋体"/>
                <w:szCs w:val="21"/>
              </w:rPr>
            </w:pPr>
            <w:r>
              <w:rPr>
                <w:rFonts w:hint="eastAsia" w:ascii="宋体" w:hAnsi="宋体" w:cs="宋体"/>
                <w:szCs w:val="21"/>
              </w:rPr>
              <w:t>3</w:t>
            </w:r>
          </w:p>
        </w:tc>
        <w:tc>
          <w:tcPr>
            <w:tcW w:w="2040" w:type="dxa"/>
            <w:vAlign w:val="center"/>
          </w:tcPr>
          <w:p w14:paraId="3899F9F0">
            <w:pPr>
              <w:jc w:val="center"/>
              <w:rPr>
                <w:rFonts w:ascii="宋体" w:hAnsi="宋体" w:cs="宋体"/>
                <w:szCs w:val="21"/>
              </w:rPr>
            </w:pPr>
            <w:r>
              <w:rPr>
                <w:rFonts w:hint="eastAsia" w:ascii="宋体" w:hAnsi="宋体" w:cs="宋体"/>
                <w:szCs w:val="21"/>
              </w:rPr>
              <w:t>项目名称</w:t>
            </w:r>
          </w:p>
        </w:tc>
        <w:tc>
          <w:tcPr>
            <w:tcW w:w="7017" w:type="dxa"/>
            <w:vAlign w:val="center"/>
          </w:tcPr>
          <w:p w14:paraId="06164F8C">
            <w:pPr>
              <w:rPr>
                <w:rFonts w:hint="eastAsia" w:ascii="宋体" w:hAnsi="宋体" w:eastAsia="宋体" w:cs="宋体"/>
                <w:szCs w:val="21"/>
                <w:lang w:eastAsia="zh-CN"/>
              </w:rPr>
            </w:pPr>
            <w:r>
              <w:rPr>
                <w:rFonts w:hint="eastAsia" w:ascii="宋体" w:hAnsi="宋体" w:cs="宋体"/>
                <w:szCs w:val="21"/>
                <w:lang w:eastAsia="zh-CN"/>
              </w:rPr>
              <w:t>远程心电监测</w:t>
            </w:r>
          </w:p>
        </w:tc>
      </w:tr>
      <w:tr w14:paraId="25E51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7" w:type="dxa"/>
            <w:vAlign w:val="center"/>
          </w:tcPr>
          <w:p w14:paraId="262C3B7C">
            <w:pPr>
              <w:jc w:val="center"/>
              <w:rPr>
                <w:rFonts w:ascii="宋体" w:hAnsi="宋体" w:cs="宋体"/>
                <w:szCs w:val="21"/>
              </w:rPr>
            </w:pPr>
            <w:r>
              <w:rPr>
                <w:rFonts w:hint="eastAsia" w:ascii="宋体" w:hAnsi="宋体" w:cs="宋体"/>
                <w:szCs w:val="21"/>
              </w:rPr>
              <w:t>4</w:t>
            </w:r>
          </w:p>
        </w:tc>
        <w:tc>
          <w:tcPr>
            <w:tcW w:w="2040" w:type="dxa"/>
            <w:vAlign w:val="center"/>
          </w:tcPr>
          <w:p w14:paraId="09F2DB7E">
            <w:pPr>
              <w:jc w:val="center"/>
              <w:rPr>
                <w:rFonts w:ascii="宋体" w:hAnsi="宋体" w:cs="宋体"/>
                <w:szCs w:val="21"/>
              </w:rPr>
            </w:pPr>
            <w:r>
              <w:rPr>
                <w:rFonts w:hint="eastAsia" w:ascii="宋体" w:hAnsi="宋体" w:cs="宋体"/>
                <w:szCs w:val="21"/>
              </w:rPr>
              <w:t>项目概况</w:t>
            </w:r>
          </w:p>
        </w:tc>
        <w:tc>
          <w:tcPr>
            <w:tcW w:w="7017" w:type="dxa"/>
            <w:vAlign w:val="center"/>
          </w:tcPr>
          <w:p w14:paraId="44DB2346">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采购远程心电监测服务，服务内容包含提供远程心电监测服务及所需的动态心电监护仪、动态血压监测仪、相关软件。</w:t>
            </w:r>
          </w:p>
        </w:tc>
      </w:tr>
      <w:tr w14:paraId="412A1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61D3E28B">
            <w:pPr>
              <w:jc w:val="center"/>
              <w:rPr>
                <w:rFonts w:ascii="宋体" w:hAnsi="宋体" w:cs="宋体"/>
                <w:szCs w:val="21"/>
              </w:rPr>
            </w:pPr>
            <w:r>
              <w:rPr>
                <w:rFonts w:hint="eastAsia" w:ascii="宋体" w:hAnsi="宋体" w:cs="宋体"/>
                <w:szCs w:val="21"/>
              </w:rPr>
              <w:t>5</w:t>
            </w:r>
          </w:p>
        </w:tc>
        <w:tc>
          <w:tcPr>
            <w:tcW w:w="2040" w:type="dxa"/>
            <w:vAlign w:val="center"/>
          </w:tcPr>
          <w:p w14:paraId="18A6DE38">
            <w:pPr>
              <w:jc w:val="center"/>
              <w:rPr>
                <w:rFonts w:hint="default" w:ascii="宋体" w:hAnsi="宋体" w:eastAsia="宋体" w:cs="宋体"/>
                <w:szCs w:val="21"/>
                <w:lang w:val="en-US" w:eastAsia="zh-CN"/>
              </w:rPr>
            </w:pPr>
            <w:r>
              <w:rPr>
                <w:rFonts w:hint="eastAsia" w:ascii="宋体" w:hAnsi="宋体" w:cs="宋体"/>
                <w:szCs w:val="21"/>
                <w:lang w:val="en-US" w:eastAsia="zh-CN"/>
              </w:rPr>
              <w:t>服务地点</w:t>
            </w:r>
          </w:p>
        </w:tc>
        <w:tc>
          <w:tcPr>
            <w:tcW w:w="7017" w:type="dxa"/>
            <w:vAlign w:val="center"/>
          </w:tcPr>
          <w:p w14:paraId="54A7B726">
            <w:pPr>
              <w:widowControl/>
              <w:rPr>
                <w:rFonts w:ascii="宋体" w:hAnsi="宋体" w:cs="宋体"/>
                <w:b/>
                <w:szCs w:val="21"/>
              </w:rPr>
            </w:pPr>
            <w:r>
              <w:rPr>
                <w:rFonts w:hint="eastAsia" w:ascii="宋体" w:hAnsi="宋体" w:cs="宋体"/>
                <w:szCs w:val="21"/>
                <w:lang w:eastAsia="zh-CN"/>
              </w:rPr>
              <w:t>咸阳市中心医院</w:t>
            </w:r>
          </w:p>
        </w:tc>
      </w:tr>
      <w:tr w14:paraId="173B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07DFD07E">
            <w:pPr>
              <w:jc w:val="center"/>
              <w:rPr>
                <w:rFonts w:ascii="宋体" w:hAnsi="宋体" w:cs="宋体"/>
                <w:szCs w:val="21"/>
                <w:highlight w:val="yellow"/>
              </w:rPr>
            </w:pPr>
            <w:r>
              <w:rPr>
                <w:rFonts w:hint="eastAsia" w:ascii="宋体" w:hAnsi="宋体" w:cs="宋体"/>
                <w:szCs w:val="21"/>
              </w:rPr>
              <w:t>6</w:t>
            </w:r>
          </w:p>
        </w:tc>
        <w:tc>
          <w:tcPr>
            <w:tcW w:w="2040" w:type="dxa"/>
            <w:vAlign w:val="center"/>
          </w:tcPr>
          <w:p w14:paraId="304E1EA8">
            <w:pPr>
              <w:jc w:val="center"/>
              <w:rPr>
                <w:rFonts w:ascii="宋体" w:hAnsi="宋体" w:cs="宋体"/>
                <w:szCs w:val="21"/>
              </w:rPr>
            </w:pPr>
            <w:r>
              <w:rPr>
                <w:rFonts w:hint="eastAsia" w:ascii="宋体" w:hAnsi="宋体" w:cs="宋体"/>
                <w:szCs w:val="21"/>
              </w:rPr>
              <w:t>采购预算</w:t>
            </w:r>
          </w:p>
        </w:tc>
        <w:tc>
          <w:tcPr>
            <w:tcW w:w="7017" w:type="dxa"/>
            <w:vAlign w:val="center"/>
          </w:tcPr>
          <w:p w14:paraId="3FFAE54E">
            <w:pPr>
              <w:rPr>
                <w:rFonts w:ascii="宋体" w:hAnsi="宋体" w:cs="宋体"/>
                <w:szCs w:val="21"/>
              </w:rPr>
            </w:pPr>
            <w:r>
              <w:rPr>
                <w:rFonts w:hint="eastAsia" w:ascii="宋体" w:hAnsi="宋体" w:cs="宋体"/>
                <w:szCs w:val="21"/>
                <w:lang w:val="en-US" w:eastAsia="zh-CN"/>
              </w:rPr>
              <w:t>69.36</w:t>
            </w:r>
            <w:r>
              <w:rPr>
                <w:rFonts w:hint="eastAsia" w:ascii="宋体" w:hAnsi="宋体" w:cs="宋体"/>
                <w:szCs w:val="21"/>
              </w:rPr>
              <w:t>万元（人民币）</w:t>
            </w:r>
          </w:p>
        </w:tc>
      </w:tr>
      <w:tr w14:paraId="6CD69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66526401">
            <w:pPr>
              <w:jc w:val="center"/>
              <w:rPr>
                <w:rFonts w:ascii="宋体" w:hAnsi="宋体" w:cs="宋体"/>
                <w:szCs w:val="21"/>
              </w:rPr>
            </w:pPr>
            <w:r>
              <w:rPr>
                <w:rFonts w:hint="eastAsia" w:ascii="宋体" w:hAnsi="宋体" w:cs="宋体"/>
                <w:szCs w:val="21"/>
              </w:rPr>
              <w:t>7</w:t>
            </w:r>
          </w:p>
        </w:tc>
        <w:tc>
          <w:tcPr>
            <w:tcW w:w="2040" w:type="dxa"/>
            <w:vAlign w:val="center"/>
          </w:tcPr>
          <w:p w14:paraId="01D36F7B">
            <w:pPr>
              <w:jc w:val="center"/>
              <w:rPr>
                <w:rFonts w:hint="eastAsia" w:ascii="宋体" w:hAnsi="宋体" w:eastAsia="宋体" w:cs="宋体"/>
                <w:szCs w:val="21"/>
                <w:lang w:eastAsia="zh-CN"/>
              </w:rPr>
            </w:pPr>
            <w:r>
              <w:rPr>
                <w:rFonts w:hint="eastAsia" w:ascii="宋体" w:hAnsi="宋体" w:cs="宋体"/>
                <w:szCs w:val="21"/>
                <w:lang w:val="en-US" w:eastAsia="zh-CN"/>
              </w:rPr>
              <w:t>服务期</w:t>
            </w:r>
          </w:p>
        </w:tc>
        <w:tc>
          <w:tcPr>
            <w:tcW w:w="7017" w:type="dxa"/>
            <w:vAlign w:val="center"/>
          </w:tcPr>
          <w:p w14:paraId="2768717D">
            <w:pPr>
              <w:rPr>
                <w:rFonts w:hint="default" w:ascii="宋体" w:hAnsi="宋体" w:eastAsia="宋体" w:cs="宋体"/>
                <w:szCs w:val="21"/>
                <w:lang w:val="en-US" w:eastAsia="zh-CN"/>
              </w:rPr>
            </w:pPr>
            <w:r>
              <w:rPr>
                <w:rFonts w:hint="eastAsia" w:ascii="宋体" w:hAnsi="宋体" w:cs="宋体"/>
                <w:szCs w:val="21"/>
                <w:lang w:val="en-US" w:eastAsia="zh-CN"/>
              </w:rPr>
              <w:t>一年，到期后考核合格，可续签两次，每次续签服务期为一年。</w:t>
            </w:r>
          </w:p>
        </w:tc>
      </w:tr>
      <w:tr w14:paraId="21305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7" w:type="dxa"/>
            <w:shd w:val="clear" w:color="auto" w:fill="auto"/>
            <w:vAlign w:val="center"/>
          </w:tcPr>
          <w:p w14:paraId="0074A16E">
            <w:pPr>
              <w:jc w:val="center"/>
              <w:rPr>
                <w:rFonts w:ascii="宋体" w:hAnsi="宋体" w:cs="宋体"/>
                <w:szCs w:val="21"/>
              </w:rPr>
            </w:pPr>
            <w:r>
              <w:rPr>
                <w:rFonts w:hint="eastAsia" w:ascii="宋体" w:hAnsi="宋体" w:cs="宋体"/>
                <w:szCs w:val="21"/>
              </w:rPr>
              <w:t>8</w:t>
            </w:r>
          </w:p>
        </w:tc>
        <w:tc>
          <w:tcPr>
            <w:tcW w:w="2040" w:type="dxa"/>
            <w:shd w:val="clear" w:color="auto" w:fill="auto"/>
            <w:vAlign w:val="center"/>
          </w:tcPr>
          <w:p w14:paraId="1561ABD7">
            <w:pPr>
              <w:jc w:val="center"/>
              <w:rPr>
                <w:rFonts w:ascii="宋体" w:hAnsi="宋体" w:cs="宋体"/>
                <w:szCs w:val="21"/>
              </w:rPr>
            </w:pPr>
            <w:r>
              <w:rPr>
                <w:rFonts w:hint="eastAsia" w:ascii="宋体" w:hAnsi="宋体" w:cs="宋体"/>
                <w:szCs w:val="21"/>
              </w:rPr>
              <w:t>采购范围</w:t>
            </w:r>
          </w:p>
        </w:tc>
        <w:tc>
          <w:tcPr>
            <w:tcW w:w="7017" w:type="dxa"/>
            <w:shd w:val="clear" w:color="auto" w:fill="auto"/>
            <w:vAlign w:val="center"/>
          </w:tcPr>
          <w:p w14:paraId="5F0A1765">
            <w:pPr>
              <w:rPr>
                <w:rFonts w:ascii="宋体" w:hAnsi="宋体" w:cs="宋体"/>
                <w:szCs w:val="21"/>
                <w:u w:val="single"/>
              </w:rPr>
            </w:pPr>
            <w:r>
              <w:rPr>
                <w:rFonts w:hint="eastAsia" w:ascii="宋体" w:hAnsi="宋体" w:cs="宋体"/>
                <w:szCs w:val="21"/>
              </w:rPr>
              <w:t>本项目磋商文件包含的全部内容。</w:t>
            </w:r>
          </w:p>
        </w:tc>
      </w:tr>
      <w:tr w14:paraId="57192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14:paraId="5773D45A">
            <w:pPr>
              <w:jc w:val="center"/>
              <w:rPr>
                <w:rFonts w:ascii="宋体" w:hAnsi="宋体" w:cs="宋体"/>
                <w:szCs w:val="21"/>
              </w:rPr>
            </w:pPr>
            <w:r>
              <w:rPr>
                <w:rFonts w:hint="eastAsia" w:ascii="宋体" w:hAnsi="宋体" w:cs="宋体"/>
                <w:szCs w:val="21"/>
              </w:rPr>
              <w:t>9</w:t>
            </w:r>
          </w:p>
        </w:tc>
        <w:tc>
          <w:tcPr>
            <w:tcW w:w="2040" w:type="dxa"/>
            <w:shd w:val="clear" w:color="auto" w:fill="auto"/>
            <w:vAlign w:val="center"/>
          </w:tcPr>
          <w:p w14:paraId="11A65957">
            <w:pPr>
              <w:jc w:val="center"/>
              <w:rPr>
                <w:rFonts w:ascii="宋体" w:hAnsi="宋体" w:cs="宋体"/>
                <w:szCs w:val="21"/>
              </w:rPr>
            </w:pPr>
            <w:r>
              <w:rPr>
                <w:rFonts w:hint="eastAsia" w:ascii="宋体" w:hAnsi="宋体" w:cs="宋体"/>
                <w:szCs w:val="21"/>
              </w:rPr>
              <w:t>付款方式</w:t>
            </w:r>
          </w:p>
        </w:tc>
        <w:tc>
          <w:tcPr>
            <w:tcW w:w="7017" w:type="dxa"/>
            <w:shd w:val="clear" w:color="auto" w:fill="auto"/>
            <w:vAlign w:val="center"/>
          </w:tcPr>
          <w:p w14:paraId="35BE0D83">
            <w:pPr>
              <w:rPr>
                <w:rFonts w:ascii="宋体" w:hAnsi="宋体" w:cs="宋体"/>
                <w:szCs w:val="21"/>
              </w:rPr>
            </w:pPr>
            <w:r>
              <w:rPr>
                <w:rFonts w:hint="eastAsia" w:ascii="宋体" w:hAnsi="宋体" w:cs="宋体"/>
                <w:szCs w:val="21"/>
              </w:rPr>
              <w:t>详见第四章合同条款</w:t>
            </w:r>
          </w:p>
        </w:tc>
      </w:tr>
      <w:tr w14:paraId="12850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14:paraId="7B4E0507">
            <w:pPr>
              <w:jc w:val="center"/>
              <w:rPr>
                <w:rFonts w:ascii="宋体" w:hAnsi="宋体" w:cs="宋体"/>
                <w:szCs w:val="21"/>
              </w:rPr>
            </w:pPr>
            <w:r>
              <w:rPr>
                <w:rFonts w:hint="eastAsia" w:ascii="宋体" w:hAnsi="宋体" w:cs="宋体"/>
                <w:szCs w:val="21"/>
              </w:rPr>
              <w:t>10</w:t>
            </w:r>
          </w:p>
        </w:tc>
        <w:tc>
          <w:tcPr>
            <w:tcW w:w="2040" w:type="dxa"/>
            <w:shd w:val="clear" w:color="auto" w:fill="auto"/>
            <w:vAlign w:val="center"/>
          </w:tcPr>
          <w:p w14:paraId="7B23E1A3">
            <w:pPr>
              <w:jc w:val="center"/>
              <w:rPr>
                <w:rFonts w:ascii="宋体" w:hAnsi="宋体" w:eastAsia="宋体" w:cs="宋体"/>
                <w:kern w:val="2"/>
                <w:sz w:val="21"/>
                <w:szCs w:val="21"/>
                <w:lang w:val="en-US" w:eastAsia="zh-CN" w:bidi="ar-SA"/>
              </w:rPr>
            </w:pPr>
            <w:r>
              <w:rPr>
                <w:rFonts w:hint="eastAsia" w:ascii="宋体" w:hAnsi="宋体" w:cs="宋体"/>
                <w:szCs w:val="21"/>
              </w:rPr>
              <w:t>供应商资格要求</w:t>
            </w:r>
          </w:p>
        </w:tc>
        <w:tc>
          <w:tcPr>
            <w:tcW w:w="7017" w:type="dxa"/>
            <w:shd w:val="clear" w:color="auto" w:fill="auto"/>
            <w:vAlign w:val="center"/>
          </w:tcPr>
          <w:p w14:paraId="62B76818">
            <w:pPr>
              <w:pStyle w:val="23"/>
              <w:spacing w:before="0" w:beforeAutospacing="0" w:after="0" w:afterAutospacing="0" w:line="360" w:lineRule="exact"/>
              <w:rPr>
                <w:rFonts w:cs="宋体"/>
                <w:sz w:val="21"/>
                <w:szCs w:val="21"/>
              </w:rPr>
            </w:pPr>
            <w:r>
              <w:rPr>
                <w:rFonts w:hint="eastAsia" w:cs="宋体"/>
                <w:sz w:val="21"/>
                <w:szCs w:val="21"/>
              </w:rPr>
              <w:t>1、参加政府采购活动的供应商应当满足政府采购法第二十二条规定，并提供下列材料：</w:t>
            </w:r>
          </w:p>
          <w:p w14:paraId="0CD1032B">
            <w:pPr>
              <w:pStyle w:val="23"/>
              <w:spacing w:before="0" w:beforeAutospacing="0" w:after="0" w:afterAutospacing="0" w:line="360" w:lineRule="exact"/>
              <w:rPr>
                <w:rFonts w:cs="宋体"/>
                <w:sz w:val="21"/>
                <w:szCs w:val="21"/>
              </w:rPr>
            </w:pPr>
            <w:r>
              <w:rPr>
                <w:rFonts w:hint="eastAsia" w:cs="宋体"/>
                <w:sz w:val="21"/>
                <w:szCs w:val="21"/>
              </w:rPr>
              <w:t>1）法人或者其他组织的营业执照等复印件；</w:t>
            </w:r>
          </w:p>
          <w:p w14:paraId="270A789C">
            <w:pPr>
              <w:pStyle w:val="23"/>
              <w:spacing w:before="0" w:beforeAutospacing="0" w:after="0" w:afterAutospacing="0" w:line="360" w:lineRule="exact"/>
              <w:rPr>
                <w:rFonts w:cs="宋体"/>
                <w:sz w:val="21"/>
                <w:szCs w:val="21"/>
              </w:rPr>
            </w:pPr>
            <w:r>
              <w:rPr>
                <w:rFonts w:hint="eastAsia" w:cs="宋体"/>
                <w:sz w:val="21"/>
                <w:szCs w:val="21"/>
              </w:rPr>
              <w:t>2）2023年度</w:t>
            </w:r>
            <w:r>
              <w:rPr>
                <w:rFonts w:hint="eastAsia" w:cs="宋体"/>
                <w:sz w:val="21"/>
                <w:szCs w:val="21"/>
                <w:lang w:val="en-US" w:eastAsia="zh-CN"/>
              </w:rPr>
              <w:t>或2024年度</w:t>
            </w:r>
            <w:r>
              <w:rPr>
                <w:rFonts w:hint="eastAsia" w:cs="宋体"/>
                <w:sz w:val="21"/>
                <w:szCs w:val="21"/>
              </w:rPr>
              <w:t>经会计师事务所审计的财务报告复印件，或响应文件递交截止时间前6个月内任意时段的资产负债表，或响应文件递交截止时间前六个月内任意时间由基本开户银行出具的资信证明；</w:t>
            </w:r>
          </w:p>
          <w:p w14:paraId="55B2DA80">
            <w:pPr>
              <w:pStyle w:val="23"/>
              <w:spacing w:before="0" w:beforeAutospacing="0" w:after="0" w:afterAutospacing="0" w:line="360" w:lineRule="exact"/>
              <w:rPr>
                <w:rFonts w:cs="宋体"/>
                <w:sz w:val="21"/>
                <w:szCs w:val="21"/>
              </w:rPr>
            </w:pPr>
            <w:r>
              <w:rPr>
                <w:rFonts w:hint="eastAsia" w:cs="宋体"/>
                <w:sz w:val="21"/>
                <w:szCs w:val="21"/>
              </w:rPr>
              <w:t>3）响应文件递交截止时间前6个月内至少一个月的纳税证明或完税证明。依法免税的供应商应提供相关证明材料；</w:t>
            </w:r>
          </w:p>
          <w:p w14:paraId="76AA154E">
            <w:pPr>
              <w:pStyle w:val="23"/>
              <w:spacing w:before="0" w:beforeAutospacing="0" w:after="0" w:afterAutospacing="0" w:line="360" w:lineRule="exact"/>
              <w:rPr>
                <w:rFonts w:cs="宋体"/>
                <w:sz w:val="21"/>
                <w:szCs w:val="21"/>
              </w:rPr>
            </w:pPr>
            <w:r>
              <w:rPr>
                <w:rFonts w:hint="eastAsia" w:cs="宋体"/>
                <w:sz w:val="21"/>
                <w:szCs w:val="21"/>
              </w:rPr>
              <w:t>4）响应文件递交截止时间前6个月内至少一个月的社会保障资金缴存单据或社保机构开具的社会保险参保缴费情况证明。依法不需要缴纳社会保障资金的供应商应提供相关证明材料；</w:t>
            </w:r>
          </w:p>
          <w:p w14:paraId="39F1A421">
            <w:pPr>
              <w:pStyle w:val="23"/>
              <w:spacing w:before="0" w:beforeAutospacing="0" w:after="0" w:afterAutospacing="0" w:line="360" w:lineRule="exact"/>
              <w:rPr>
                <w:rFonts w:cs="宋体"/>
                <w:sz w:val="21"/>
                <w:szCs w:val="21"/>
              </w:rPr>
            </w:pPr>
            <w:r>
              <w:rPr>
                <w:rFonts w:hint="eastAsia" w:cs="宋体"/>
                <w:sz w:val="21"/>
                <w:szCs w:val="21"/>
              </w:rPr>
              <w:t>5）具有履行合同所必需的设备和专业技术能力的承诺函；</w:t>
            </w:r>
          </w:p>
          <w:p w14:paraId="29CB2590">
            <w:pPr>
              <w:pStyle w:val="23"/>
              <w:spacing w:before="0" w:beforeAutospacing="0" w:after="0" w:afterAutospacing="0" w:line="360" w:lineRule="exact"/>
              <w:rPr>
                <w:rFonts w:cs="宋体"/>
                <w:sz w:val="21"/>
                <w:szCs w:val="21"/>
              </w:rPr>
            </w:pPr>
            <w:r>
              <w:rPr>
                <w:rFonts w:hint="eastAsia" w:cs="宋体"/>
                <w:sz w:val="21"/>
                <w:szCs w:val="21"/>
              </w:rPr>
              <w:t>6）参加政府采购活动前3年内在经营活动中没有重大违法记录的书面声明；</w:t>
            </w:r>
          </w:p>
          <w:p w14:paraId="6E3BAEBA">
            <w:pPr>
              <w:pStyle w:val="23"/>
              <w:spacing w:before="0" w:beforeAutospacing="0" w:after="0" w:afterAutospacing="0" w:line="360" w:lineRule="exact"/>
              <w:rPr>
                <w:rFonts w:hint="eastAsia" w:cs="宋体"/>
                <w:sz w:val="21"/>
                <w:szCs w:val="21"/>
              </w:rPr>
            </w:pPr>
            <w:r>
              <w:rPr>
                <w:rFonts w:hint="eastAsia" w:cs="宋体"/>
                <w:sz w:val="21"/>
                <w:szCs w:val="21"/>
              </w:rPr>
              <w:t>2</w:t>
            </w:r>
            <w:r>
              <w:rPr>
                <w:rFonts w:hint="eastAsia" w:cs="宋体"/>
                <w:sz w:val="21"/>
                <w:szCs w:val="21"/>
                <w:lang w:eastAsia="zh-CN"/>
              </w:rPr>
              <w:t>、</w:t>
            </w:r>
            <w:r>
              <w:rPr>
                <w:rFonts w:hint="eastAsia" w:cs="宋体"/>
                <w:sz w:val="21"/>
                <w:szCs w:val="21"/>
              </w:rPr>
              <w:t>落实政府采购政策需满足的资格要求：</w:t>
            </w:r>
          </w:p>
          <w:p w14:paraId="03DD2A54">
            <w:pPr>
              <w:pStyle w:val="23"/>
              <w:spacing w:before="0" w:beforeAutospacing="0" w:after="0" w:afterAutospacing="0" w:line="360" w:lineRule="exact"/>
              <w:rPr>
                <w:rFonts w:hint="default" w:cs="宋体"/>
                <w:sz w:val="21"/>
                <w:szCs w:val="21"/>
                <w:lang w:val="en-US"/>
              </w:rPr>
            </w:pPr>
            <w:r>
              <w:rPr>
                <w:rFonts w:hint="eastAsia" w:cs="宋体"/>
                <w:sz w:val="21"/>
                <w:szCs w:val="21"/>
                <w:lang w:val="en-US" w:eastAsia="zh-CN"/>
              </w:rPr>
              <w:t>1）本项目专门面向小微企业，供应商需提供《小微企业声明函》或《监狱企业证明函》或《残疾人福利性单位声明函》。</w:t>
            </w:r>
          </w:p>
          <w:p w14:paraId="16E62962">
            <w:pPr>
              <w:pStyle w:val="23"/>
              <w:spacing w:before="0" w:beforeAutospacing="0" w:after="0" w:afterAutospacing="0" w:line="360" w:lineRule="exact"/>
              <w:rPr>
                <w:rFonts w:cs="宋体"/>
                <w:sz w:val="21"/>
                <w:szCs w:val="21"/>
              </w:rPr>
            </w:pPr>
            <w:r>
              <w:rPr>
                <w:rFonts w:hint="eastAsia" w:cs="宋体"/>
                <w:sz w:val="21"/>
                <w:szCs w:val="21"/>
              </w:rPr>
              <w:t>2、本项目的特定资格要求：</w:t>
            </w:r>
          </w:p>
          <w:p w14:paraId="44638873">
            <w:pPr>
              <w:pStyle w:val="23"/>
              <w:spacing w:before="0" w:beforeAutospacing="0" w:after="0" w:afterAutospacing="0" w:line="360" w:lineRule="exact"/>
              <w:rPr>
                <w:rFonts w:cs="宋体"/>
                <w:sz w:val="21"/>
                <w:szCs w:val="21"/>
              </w:rPr>
            </w:pPr>
            <w:r>
              <w:rPr>
                <w:rFonts w:hint="eastAsia" w:cs="宋体"/>
                <w:sz w:val="21"/>
                <w:szCs w:val="21"/>
              </w:rPr>
              <w:t>1）提供供应商法定代表人授权委托书，附法定代表人及授权人代表身份证复印件并依照规定格式签署和盖章，法定代表人参加磋商的提供身份证明及身份证复印件；</w:t>
            </w:r>
          </w:p>
          <w:p w14:paraId="137E6A22">
            <w:pPr>
              <w:pStyle w:val="23"/>
              <w:spacing w:before="0" w:beforeAutospacing="0" w:after="0" w:afterAutospacing="0" w:line="360" w:lineRule="exact"/>
              <w:rPr>
                <w:rFonts w:hint="eastAsia" w:eastAsia="宋体" w:cs="宋体"/>
                <w:sz w:val="21"/>
                <w:szCs w:val="21"/>
                <w:lang w:val="en-US" w:eastAsia="zh-CN"/>
              </w:rPr>
            </w:pPr>
            <w:r>
              <w:rPr>
                <w:rFonts w:hint="eastAsia" w:cs="宋体"/>
                <w:sz w:val="21"/>
                <w:szCs w:val="21"/>
              </w:rPr>
              <w:t>2）经查，供应商未被列入“信用中国”网站记录的“失信被执行人”和“重大税收违法案件当事人”名单；不处于“中国政府采购网”记录的“政府采购严重违法失信行为记录名单”中的禁止参加政府采购活动期间。（由代理机构于开标当日现场查询）</w:t>
            </w:r>
          </w:p>
          <w:p w14:paraId="672313F0">
            <w:pPr>
              <w:pStyle w:val="23"/>
              <w:spacing w:before="0" w:beforeAutospacing="0" w:after="0" w:afterAutospacing="0" w:line="360" w:lineRule="exact"/>
              <w:rPr>
                <w:rFonts w:ascii="宋体" w:hAnsi="宋体" w:eastAsia="宋体" w:cs="Times New Roman"/>
                <w:kern w:val="0"/>
                <w:sz w:val="21"/>
                <w:szCs w:val="21"/>
                <w:lang w:val="en-US" w:eastAsia="zh-CN" w:bidi="ar-SA"/>
              </w:rPr>
            </w:pPr>
            <w:r>
              <w:rPr>
                <w:rFonts w:hint="eastAsia" w:cs="宋体"/>
                <w:sz w:val="21"/>
                <w:szCs w:val="21"/>
              </w:rPr>
              <w:t>以上资格条件为必备资格要求，缺一项或某项达不到要求，按无效文件处理。</w:t>
            </w:r>
          </w:p>
        </w:tc>
      </w:tr>
      <w:tr w14:paraId="53592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14:paraId="15545CA4">
            <w:pPr>
              <w:jc w:val="center"/>
              <w:rPr>
                <w:rFonts w:ascii="宋体" w:hAnsi="宋体" w:cs="宋体"/>
                <w:szCs w:val="21"/>
              </w:rPr>
            </w:pPr>
            <w:r>
              <w:rPr>
                <w:rFonts w:hint="eastAsia" w:ascii="宋体" w:hAnsi="宋体" w:cs="宋体"/>
                <w:szCs w:val="21"/>
              </w:rPr>
              <w:t>11</w:t>
            </w:r>
          </w:p>
        </w:tc>
        <w:tc>
          <w:tcPr>
            <w:tcW w:w="2040" w:type="dxa"/>
            <w:shd w:val="clear" w:color="auto" w:fill="auto"/>
            <w:vAlign w:val="center"/>
          </w:tcPr>
          <w:p w14:paraId="6072A9E9">
            <w:pPr>
              <w:jc w:val="center"/>
              <w:rPr>
                <w:rFonts w:ascii="宋体" w:hAnsi="宋体" w:eastAsia="宋体" w:cs="宋体"/>
                <w:kern w:val="2"/>
                <w:sz w:val="21"/>
                <w:szCs w:val="21"/>
                <w:lang w:val="en-US" w:eastAsia="zh-CN" w:bidi="ar-SA"/>
              </w:rPr>
            </w:pPr>
            <w:r>
              <w:rPr>
                <w:rFonts w:hint="eastAsia" w:ascii="宋体" w:hAnsi="宋体" w:cs="宋体"/>
                <w:szCs w:val="21"/>
              </w:rPr>
              <w:t>采购方式</w:t>
            </w:r>
          </w:p>
        </w:tc>
        <w:tc>
          <w:tcPr>
            <w:tcW w:w="7017" w:type="dxa"/>
            <w:shd w:val="clear" w:color="auto" w:fill="auto"/>
            <w:vAlign w:val="center"/>
          </w:tcPr>
          <w:p w14:paraId="15615DD3">
            <w:pPr>
              <w:rPr>
                <w:rFonts w:ascii="宋体" w:hAnsi="宋体" w:eastAsia="宋体" w:cs="宋体"/>
                <w:kern w:val="2"/>
                <w:sz w:val="21"/>
                <w:szCs w:val="21"/>
                <w:lang w:val="en-US" w:eastAsia="zh-CN" w:bidi="ar-SA"/>
              </w:rPr>
            </w:pPr>
            <w:r>
              <w:rPr>
                <w:rFonts w:hint="eastAsia" w:ascii="宋体" w:hAnsi="宋体" w:cs="宋体"/>
                <w:szCs w:val="21"/>
              </w:rPr>
              <w:t>竞争性磋商</w:t>
            </w:r>
          </w:p>
        </w:tc>
      </w:tr>
      <w:tr w14:paraId="39A52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7" w:type="dxa"/>
            <w:shd w:val="clear" w:color="auto" w:fill="auto"/>
            <w:vAlign w:val="center"/>
          </w:tcPr>
          <w:p w14:paraId="1EAE98ED">
            <w:pPr>
              <w:jc w:val="center"/>
              <w:rPr>
                <w:rFonts w:ascii="宋体" w:hAnsi="宋体" w:cs="宋体"/>
                <w:szCs w:val="21"/>
              </w:rPr>
            </w:pPr>
            <w:r>
              <w:rPr>
                <w:rFonts w:hint="eastAsia" w:ascii="宋体" w:hAnsi="宋体" w:cs="宋体"/>
                <w:szCs w:val="21"/>
              </w:rPr>
              <w:t>12</w:t>
            </w:r>
          </w:p>
        </w:tc>
        <w:tc>
          <w:tcPr>
            <w:tcW w:w="2040" w:type="dxa"/>
            <w:shd w:val="clear" w:color="auto" w:fill="auto"/>
            <w:vAlign w:val="center"/>
          </w:tcPr>
          <w:p w14:paraId="2B2D8707">
            <w:pPr>
              <w:spacing w:line="360" w:lineRule="exact"/>
              <w:jc w:val="center"/>
              <w:rPr>
                <w:rFonts w:ascii="宋体" w:hAnsi="宋体" w:eastAsia="宋体" w:cs="宋体"/>
                <w:kern w:val="2"/>
                <w:sz w:val="21"/>
                <w:szCs w:val="21"/>
                <w:lang w:val="en-US" w:eastAsia="zh-CN" w:bidi="ar-SA"/>
              </w:rPr>
            </w:pPr>
            <w:r>
              <w:rPr>
                <w:rFonts w:hint="eastAsia" w:ascii="宋体" w:hAnsi="宋体" w:cs="宋体"/>
                <w:szCs w:val="21"/>
              </w:rPr>
              <w:t>磋商文件澄清和修改</w:t>
            </w:r>
          </w:p>
        </w:tc>
        <w:tc>
          <w:tcPr>
            <w:tcW w:w="7017" w:type="dxa"/>
            <w:shd w:val="clear" w:color="auto" w:fill="auto"/>
            <w:vAlign w:val="center"/>
          </w:tcPr>
          <w:p w14:paraId="0AA6866D">
            <w:pPr>
              <w:spacing w:line="360" w:lineRule="exact"/>
              <w:rPr>
                <w:rFonts w:ascii="宋体" w:hAnsi="宋体" w:cs="宋体"/>
                <w:szCs w:val="21"/>
              </w:rPr>
            </w:pPr>
            <w:r>
              <w:rPr>
                <w:rFonts w:hint="eastAsia" w:ascii="宋体" w:hAnsi="宋体" w:cs="宋体"/>
                <w:szCs w:val="21"/>
              </w:rPr>
              <w:t>磋商文件的澄清和修改：响应文件递交截止时间5日前</w:t>
            </w:r>
          </w:p>
          <w:p w14:paraId="4285B2B7">
            <w:pPr>
              <w:spacing w:line="360" w:lineRule="exact"/>
              <w:rPr>
                <w:rFonts w:ascii="宋体" w:hAnsi="宋体" w:eastAsia="宋体" w:cs="宋体"/>
                <w:kern w:val="2"/>
                <w:sz w:val="21"/>
                <w:szCs w:val="21"/>
                <w:lang w:val="en-US" w:eastAsia="zh-CN" w:bidi="ar-SA"/>
              </w:rPr>
            </w:pPr>
            <w:r>
              <w:rPr>
                <w:rFonts w:hint="eastAsia" w:ascii="宋体" w:hAnsi="宋体" w:cs="宋体"/>
                <w:szCs w:val="21"/>
              </w:rPr>
              <w:t>采购人可以澄清或修改磋商文件，并以书面形式通知各供应商。</w:t>
            </w:r>
            <w:r>
              <w:rPr>
                <w:rFonts w:hint="eastAsia" w:ascii="宋体" w:hAnsi="宋体"/>
                <w:szCs w:val="21"/>
                <w:lang w:val="zh-CN"/>
              </w:rPr>
              <w:t>澄清或者修改发出的时间距</w:t>
            </w:r>
            <w:r>
              <w:rPr>
                <w:rFonts w:hint="eastAsia" w:ascii="宋体" w:hAnsi="宋体"/>
                <w:szCs w:val="21"/>
              </w:rPr>
              <w:t>响应</w:t>
            </w:r>
            <w:r>
              <w:rPr>
                <w:rFonts w:hint="eastAsia" w:ascii="宋体" w:hAnsi="宋体"/>
                <w:szCs w:val="21"/>
                <w:lang w:val="zh-CN"/>
              </w:rPr>
              <w:t>截止时间不足5日的，并且澄清或者修改的内容可能影响响应文件编制的，将相应延长</w:t>
            </w:r>
            <w:r>
              <w:rPr>
                <w:rFonts w:hint="eastAsia" w:ascii="宋体" w:hAnsi="宋体"/>
                <w:szCs w:val="21"/>
              </w:rPr>
              <w:t>响应</w:t>
            </w:r>
            <w:r>
              <w:rPr>
                <w:rFonts w:hint="eastAsia" w:ascii="宋体" w:hAnsi="宋体"/>
                <w:szCs w:val="21"/>
                <w:lang w:val="zh-CN"/>
              </w:rPr>
              <w:t>截止时间。</w:t>
            </w:r>
          </w:p>
        </w:tc>
      </w:tr>
      <w:tr w14:paraId="04C31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0FB250F1">
            <w:pPr>
              <w:jc w:val="center"/>
              <w:rPr>
                <w:rFonts w:ascii="宋体" w:hAnsi="宋体" w:cs="宋体"/>
                <w:szCs w:val="21"/>
              </w:rPr>
            </w:pPr>
            <w:r>
              <w:rPr>
                <w:rFonts w:hint="eastAsia" w:ascii="宋体" w:hAnsi="宋体" w:cs="宋体"/>
                <w:szCs w:val="21"/>
              </w:rPr>
              <w:t>13</w:t>
            </w:r>
          </w:p>
        </w:tc>
        <w:tc>
          <w:tcPr>
            <w:tcW w:w="2040" w:type="dxa"/>
            <w:shd w:val="clear" w:color="auto" w:fill="auto"/>
            <w:vAlign w:val="center"/>
          </w:tcPr>
          <w:p w14:paraId="46D7DD35">
            <w:pPr>
              <w:spacing w:line="360" w:lineRule="exact"/>
              <w:jc w:val="center"/>
              <w:rPr>
                <w:rFonts w:ascii="宋体" w:hAnsi="宋体" w:eastAsia="宋体" w:cs="宋体"/>
                <w:kern w:val="2"/>
                <w:sz w:val="21"/>
                <w:szCs w:val="21"/>
                <w:lang w:val="en-US" w:eastAsia="zh-CN" w:bidi="ar-SA"/>
              </w:rPr>
            </w:pPr>
            <w:r>
              <w:rPr>
                <w:rFonts w:hint="eastAsia" w:ascii="宋体" w:hAnsi="宋体" w:cs="宋体"/>
                <w:szCs w:val="21"/>
              </w:rPr>
              <w:t>响应文件递交截止时间</w:t>
            </w:r>
          </w:p>
        </w:tc>
        <w:tc>
          <w:tcPr>
            <w:tcW w:w="7017" w:type="dxa"/>
            <w:shd w:val="clear" w:color="auto" w:fill="auto"/>
            <w:vAlign w:val="center"/>
          </w:tcPr>
          <w:p w14:paraId="65A84DF2">
            <w:pPr>
              <w:rPr>
                <w:rFonts w:ascii="宋体" w:hAnsi="宋体" w:eastAsia="宋体" w:cs="宋体"/>
                <w:kern w:val="2"/>
                <w:sz w:val="21"/>
                <w:szCs w:val="21"/>
                <w:lang w:val="en-US" w:eastAsia="zh-CN" w:bidi="ar-SA"/>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日14时</w:t>
            </w:r>
            <w:r>
              <w:rPr>
                <w:rFonts w:hint="eastAsia" w:ascii="宋体" w:hAnsi="宋体" w:cs="宋体"/>
                <w:szCs w:val="21"/>
                <w:lang w:val="en-US" w:eastAsia="zh-CN"/>
              </w:rPr>
              <w:t>00</w:t>
            </w:r>
            <w:r>
              <w:rPr>
                <w:rFonts w:hint="eastAsia" w:ascii="宋体" w:hAnsi="宋体" w:cs="宋体"/>
                <w:szCs w:val="21"/>
              </w:rPr>
              <w:t>分</w:t>
            </w:r>
          </w:p>
        </w:tc>
      </w:tr>
      <w:tr w14:paraId="76775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7" w:type="dxa"/>
            <w:vAlign w:val="center"/>
          </w:tcPr>
          <w:p w14:paraId="4C71EE98">
            <w:pPr>
              <w:jc w:val="center"/>
              <w:rPr>
                <w:rFonts w:ascii="宋体" w:hAnsi="宋体" w:cs="宋体"/>
                <w:szCs w:val="21"/>
              </w:rPr>
            </w:pPr>
            <w:r>
              <w:rPr>
                <w:rFonts w:hint="eastAsia" w:ascii="宋体" w:hAnsi="宋体" w:cs="宋体"/>
                <w:szCs w:val="21"/>
              </w:rPr>
              <w:t>14</w:t>
            </w:r>
          </w:p>
        </w:tc>
        <w:tc>
          <w:tcPr>
            <w:tcW w:w="2040" w:type="dxa"/>
            <w:shd w:val="clear" w:color="auto" w:fill="auto"/>
            <w:vAlign w:val="center"/>
          </w:tcPr>
          <w:p w14:paraId="49DB1842">
            <w:pPr>
              <w:jc w:val="center"/>
              <w:rPr>
                <w:rFonts w:ascii="宋体" w:hAnsi="宋体" w:eastAsia="宋体" w:cs="宋体"/>
                <w:kern w:val="2"/>
                <w:sz w:val="21"/>
                <w:szCs w:val="21"/>
                <w:lang w:val="en-US" w:eastAsia="zh-CN" w:bidi="ar-SA"/>
              </w:rPr>
            </w:pPr>
            <w:r>
              <w:rPr>
                <w:rFonts w:hint="eastAsia" w:ascii="宋体" w:hAnsi="宋体" w:cs="宋体"/>
                <w:szCs w:val="21"/>
              </w:rPr>
              <w:t>磋商有效期</w:t>
            </w:r>
          </w:p>
        </w:tc>
        <w:tc>
          <w:tcPr>
            <w:tcW w:w="7017" w:type="dxa"/>
            <w:shd w:val="clear" w:color="auto" w:fill="auto"/>
            <w:vAlign w:val="center"/>
          </w:tcPr>
          <w:p w14:paraId="753E6A0D">
            <w:pPr>
              <w:rPr>
                <w:rFonts w:ascii="宋体" w:hAnsi="宋体" w:eastAsia="宋体" w:cs="宋体"/>
                <w:kern w:val="2"/>
                <w:sz w:val="21"/>
                <w:szCs w:val="21"/>
                <w:lang w:val="en-US" w:eastAsia="zh-CN" w:bidi="ar-SA"/>
              </w:rPr>
            </w:pPr>
            <w:r>
              <w:rPr>
                <w:rFonts w:hint="eastAsia" w:ascii="宋体" w:hAnsi="宋体" w:cs="宋体"/>
                <w:kern w:val="0"/>
                <w:szCs w:val="21"/>
              </w:rPr>
              <w:t>90天（从提交响应文件的截止之日起算）</w:t>
            </w:r>
          </w:p>
        </w:tc>
      </w:tr>
      <w:tr w14:paraId="769E3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5B9A6A36">
            <w:pPr>
              <w:jc w:val="center"/>
              <w:rPr>
                <w:rFonts w:ascii="宋体" w:hAnsi="宋体" w:cs="宋体"/>
                <w:szCs w:val="21"/>
              </w:rPr>
            </w:pPr>
            <w:r>
              <w:rPr>
                <w:rFonts w:hint="eastAsia" w:ascii="宋体" w:hAnsi="宋体" w:cs="宋体"/>
                <w:szCs w:val="21"/>
              </w:rPr>
              <w:t>15</w:t>
            </w:r>
          </w:p>
        </w:tc>
        <w:tc>
          <w:tcPr>
            <w:tcW w:w="2040" w:type="dxa"/>
            <w:shd w:val="clear" w:color="auto" w:fill="auto"/>
            <w:vAlign w:val="center"/>
          </w:tcPr>
          <w:p w14:paraId="4DE980CB">
            <w:pPr>
              <w:jc w:val="center"/>
              <w:rPr>
                <w:rFonts w:ascii="宋体" w:hAnsi="宋体" w:eastAsia="宋体" w:cs="宋体"/>
                <w:kern w:val="2"/>
                <w:sz w:val="21"/>
                <w:szCs w:val="21"/>
                <w:lang w:val="en-US" w:eastAsia="zh-CN" w:bidi="ar-SA"/>
              </w:rPr>
            </w:pPr>
            <w:r>
              <w:rPr>
                <w:rFonts w:hint="eastAsia" w:ascii="宋体" w:hAnsi="宋体" w:cs="宋体"/>
                <w:szCs w:val="21"/>
              </w:rPr>
              <w:t>磋商保证金</w:t>
            </w:r>
          </w:p>
        </w:tc>
        <w:tc>
          <w:tcPr>
            <w:tcW w:w="7017" w:type="dxa"/>
            <w:shd w:val="clear" w:color="auto" w:fill="auto"/>
            <w:vAlign w:val="center"/>
          </w:tcPr>
          <w:p w14:paraId="2243B5C4">
            <w:pPr>
              <w:spacing w:line="360" w:lineRule="exact"/>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本项目不收取保证金</w:t>
            </w:r>
          </w:p>
        </w:tc>
      </w:tr>
      <w:tr w14:paraId="7C067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14:paraId="26130194">
            <w:pPr>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2040" w:type="dxa"/>
            <w:vAlign w:val="center"/>
          </w:tcPr>
          <w:p w14:paraId="42304788">
            <w:pPr>
              <w:spacing w:line="360" w:lineRule="exact"/>
              <w:jc w:val="center"/>
              <w:rPr>
                <w:rFonts w:ascii="宋体" w:hAnsi="宋体" w:cs="宋体"/>
                <w:szCs w:val="21"/>
              </w:rPr>
            </w:pPr>
            <w:r>
              <w:rPr>
                <w:rFonts w:hint="eastAsia" w:ascii="宋体" w:hAnsi="宋体" w:cs="宋体"/>
                <w:szCs w:val="21"/>
              </w:rPr>
              <w:t>是否允许递交备选方案</w:t>
            </w:r>
          </w:p>
        </w:tc>
        <w:tc>
          <w:tcPr>
            <w:tcW w:w="7017" w:type="dxa"/>
            <w:vAlign w:val="center"/>
          </w:tcPr>
          <w:p w14:paraId="51351228">
            <w:pPr>
              <w:spacing w:line="400" w:lineRule="exact"/>
              <w:rPr>
                <w:rFonts w:ascii="宋体" w:hAnsi="宋体" w:cs="宋体"/>
                <w:szCs w:val="21"/>
              </w:rPr>
            </w:pPr>
            <w:r>
              <w:rPr>
                <w:rFonts w:hint="eastAsia" w:ascii="宋体" w:hAnsi="宋体" w:cs="宋体"/>
                <w:szCs w:val="21"/>
              </w:rPr>
              <w:t>不允许</w:t>
            </w:r>
          </w:p>
        </w:tc>
      </w:tr>
      <w:tr w14:paraId="315E8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14:paraId="1FCFBBF5">
            <w:pPr>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2040" w:type="dxa"/>
            <w:vAlign w:val="center"/>
          </w:tcPr>
          <w:p w14:paraId="7F6A6311">
            <w:pPr>
              <w:jc w:val="center"/>
              <w:rPr>
                <w:rFonts w:ascii="宋体" w:hAnsi="宋体" w:cs="宋体"/>
                <w:szCs w:val="21"/>
              </w:rPr>
            </w:pPr>
            <w:r>
              <w:rPr>
                <w:rFonts w:hint="eastAsia" w:ascii="宋体" w:hAnsi="宋体" w:cs="宋体"/>
                <w:szCs w:val="21"/>
              </w:rPr>
              <w:t>签字或盖章要求</w:t>
            </w:r>
          </w:p>
        </w:tc>
        <w:tc>
          <w:tcPr>
            <w:tcW w:w="7017" w:type="dxa"/>
            <w:vAlign w:val="center"/>
          </w:tcPr>
          <w:p w14:paraId="2F6784CE">
            <w:pPr>
              <w:spacing w:line="360" w:lineRule="exact"/>
              <w:rPr>
                <w:rFonts w:ascii="宋体" w:hAnsi="宋体" w:cs="宋体"/>
                <w:szCs w:val="21"/>
              </w:rPr>
            </w:pPr>
            <w:r>
              <w:rPr>
                <w:rFonts w:hint="eastAsia" w:ascii="宋体" w:hAnsi="宋体" w:cs="宋体"/>
                <w:szCs w:val="21"/>
              </w:rPr>
              <w:t>纸质响应文件封面及其它有要求的部位应加盖供应商公章并经法定代表人（负责人）或其委托代理人签字或盖章。</w:t>
            </w:r>
          </w:p>
        </w:tc>
      </w:tr>
      <w:tr w14:paraId="6AA00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7" w:type="dxa"/>
            <w:vAlign w:val="center"/>
          </w:tcPr>
          <w:p w14:paraId="13B7ECB3">
            <w:pPr>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2040" w:type="dxa"/>
            <w:vAlign w:val="center"/>
          </w:tcPr>
          <w:p w14:paraId="12005C22">
            <w:pPr>
              <w:spacing w:line="360" w:lineRule="exact"/>
              <w:jc w:val="center"/>
              <w:rPr>
                <w:rFonts w:ascii="宋体" w:hAnsi="宋体" w:cs="宋体"/>
                <w:szCs w:val="21"/>
              </w:rPr>
            </w:pPr>
            <w:r>
              <w:rPr>
                <w:rFonts w:hint="eastAsia" w:ascii="宋体" w:hAnsi="宋体" w:cs="宋体"/>
                <w:szCs w:val="21"/>
              </w:rPr>
              <w:t>响应文件的份数及装订要求</w:t>
            </w:r>
          </w:p>
        </w:tc>
        <w:tc>
          <w:tcPr>
            <w:tcW w:w="7017" w:type="dxa"/>
            <w:vAlign w:val="center"/>
          </w:tcPr>
          <w:p w14:paraId="32DB344F">
            <w:pPr>
              <w:numPr>
                <w:ilvl w:val="0"/>
                <w:numId w:val="3"/>
              </w:numPr>
              <w:spacing w:line="360" w:lineRule="exact"/>
              <w:rPr>
                <w:rFonts w:ascii="宋体" w:hAnsi="宋体" w:cs="宋体"/>
                <w:szCs w:val="21"/>
              </w:rPr>
            </w:pPr>
            <w:r>
              <w:rPr>
                <w:rFonts w:hint="eastAsia" w:ascii="宋体" w:hAnsi="宋体" w:cs="宋体"/>
                <w:szCs w:val="21"/>
              </w:rPr>
              <w:t>份数要求：</w:t>
            </w:r>
          </w:p>
          <w:p w14:paraId="1E7277C5">
            <w:pPr>
              <w:widowControl/>
              <w:spacing w:line="360" w:lineRule="exact"/>
              <w:jc w:val="left"/>
              <w:rPr>
                <w:rFonts w:ascii="宋体" w:hAnsi="宋体"/>
                <w:color w:val="000000"/>
                <w:szCs w:val="21"/>
              </w:rPr>
            </w:pPr>
            <w:r>
              <w:rPr>
                <w:rFonts w:hint="eastAsia" w:ascii="宋体" w:hAnsi="宋体"/>
                <w:color w:val="000000"/>
                <w:szCs w:val="21"/>
              </w:rPr>
              <w:t>1）</w:t>
            </w:r>
            <w:r>
              <w:rPr>
                <w:rFonts w:hint="eastAsia" w:ascii="宋体" w:hAnsi="宋体"/>
                <w:b/>
                <w:bCs/>
                <w:color w:val="000000"/>
                <w:szCs w:val="21"/>
              </w:rPr>
              <w:t>1</w:t>
            </w:r>
            <w:r>
              <w:rPr>
                <w:rFonts w:ascii="宋体" w:hAnsi="宋体"/>
                <w:b/>
                <w:bCs/>
                <w:color w:val="000000"/>
                <w:szCs w:val="21"/>
              </w:rPr>
              <w:t>份</w:t>
            </w:r>
            <w:r>
              <w:rPr>
                <w:rFonts w:hint="eastAsia" w:ascii="宋体" w:hAnsi="宋体"/>
                <w:b/>
                <w:bCs/>
                <w:color w:val="000000"/>
                <w:szCs w:val="21"/>
              </w:rPr>
              <w:t>响应文件</w:t>
            </w:r>
            <w:r>
              <w:rPr>
                <w:rFonts w:ascii="宋体" w:hAnsi="宋体"/>
                <w:b/>
                <w:bCs/>
                <w:color w:val="000000"/>
                <w:szCs w:val="21"/>
              </w:rPr>
              <w:t>正本和</w:t>
            </w:r>
            <w:r>
              <w:rPr>
                <w:rFonts w:hint="eastAsia" w:ascii="宋体" w:hAnsi="宋体"/>
                <w:b/>
                <w:bCs/>
                <w:color w:val="000000"/>
                <w:szCs w:val="21"/>
              </w:rPr>
              <w:t>2份</w:t>
            </w:r>
            <w:r>
              <w:rPr>
                <w:rFonts w:ascii="宋体" w:hAnsi="宋体"/>
                <w:b/>
                <w:bCs/>
                <w:color w:val="000000"/>
                <w:szCs w:val="21"/>
              </w:rPr>
              <w:t>副本</w:t>
            </w:r>
            <w:r>
              <w:rPr>
                <w:rFonts w:ascii="宋体" w:hAnsi="宋体"/>
                <w:color w:val="000000"/>
                <w:szCs w:val="21"/>
              </w:rPr>
              <w:t>，每套</w:t>
            </w:r>
            <w:r>
              <w:rPr>
                <w:rFonts w:hint="eastAsia" w:ascii="宋体" w:hAnsi="宋体"/>
                <w:color w:val="000000"/>
                <w:szCs w:val="21"/>
              </w:rPr>
              <w:t>响应文件</w:t>
            </w:r>
            <w:r>
              <w:rPr>
                <w:rFonts w:ascii="宋体" w:hAnsi="宋体"/>
                <w:color w:val="000000"/>
                <w:szCs w:val="21"/>
              </w:rPr>
              <w:t>须清楚地标明“正本”或“副本”</w:t>
            </w:r>
            <w:r>
              <w:rPr>
                <w:rFonts w:hint="eastAsia" w:ascii="宋体" w:hAnsi="宋体"/>
                <w:color w:val="000000"/>
                <w:szCs w:val="21"/>
              </w:rPr>
              <w:t>，</w:t>
            </w:r>
            <w:r>
              <w:rPr>
                <w:rFonts w:ascii="宋体" w:hAnsi="宋体"/>
                <w:color w:val="000000"/>
                <w:szCs w:val="21"/>
              </w:rPr>
              <w:t>若副本与正本不符，以正本为准</w:t>
            </w:r>
            <w:r>
              <w:rPr>
                <w:rFonts w:hint="eastAsia" w:ascii="宋体" w:hAnsi="宋体"/>
                <w:color w:val="000000"/>
                <w:szCs w:val="21"/>
              </w:rPr>
              <w:t>；</w:t>
            </w:r>
          </w:p>
          <w:p w14:paraId="28697578">
            <w:pPr>
              <w:widowControl/>
              <w:spacing w:line="360" w:lineRule="exact"/>
              <w:jc w:val="left"/>
              <w:rPr>
                <w:rFonts w:ascii="宋体" w:hAnsi="宋体"/>
                <w:color w:val="000000"/>
                <w:szCs w:val="21"/>
              </w:rPr>
            </w:pPr>
            <w:r>
              <w:rPr>
                <w:rFonts w:hint="eastAsia" w:ascii="宋体" w:hAnsi="宋体"/>
                <w:color w:val="000000"/>
                <w:szCs w:val="21"/>
              </w:rPr>
              <w:t>2）</w:t>
            </w:r>
            <w:r>
              <w:rPr>
                <w:rFonts w:hint="eastAsia" w:ascii="宋体" w:hAnsi="宋体"/>
                <w:b/>
                <w:bCs/>
                <w:color w:val="000000"/>
                <w:szCs w:val="21"/>
              </w:rPr>
              <w:t>按磋商文件要求签字盖章的“磋商一览表”1份</w:t>
            </w:r>
            <w:r>
              <w:rPr>
                <w:rFonts w:hint="eastAsia" w:ascii="宋体" w:hAnsi="宋体"/>
                <w:color w:val="000000"/>
                <w:szCs w:val="21"/>
              </w:rPr>
              <w:t>；</w:t>
            </w:r>
          </w:p>
          <w:p w14:paraId="70CC3935">
            <w:pPr>
              <w:pStyle w:val="9"/>
              <w:spacing w:after="0" w:line="360" w:lineRule="exact"/>
              <w:rPr>
                <w:rFonts w:ascii="宋体" w:hAnsi="宋体" w:cs="宋体"/>
                <w:b/>
                <w:bCs/>
                <w:szCs w:val="21"/>
              </w:rPr>
            </w:pPr>
            <w:r>
              <w:rPr>
                <w:rFonts w:hint="eastAsia" w:ascii="宋体" w:hAnsi="宋体"/>
                <w:color w:val="000000"/>
                <w:szCs w:val="21"/>
              </w:rPr>
              <w:t>3）</w:t>
            </w:r>
            <w:r>
              <w:rPr>
                <w:rFonts w:hint="eastAsia" w:ascii="宋体" w:hAnsi="宋体"/>
                <w:b/>
                <w:bCs/>
                <w:color w:val="000000"/>
                <w:szCs w:val="21"/>
              </w:rPr>
              <w:t>1份</w:t>
            </w:r>
            <w:r>
              <w:rPr>
                <w:rFonts w:ascii="宋体" w:hAnsi="宋体"/>
                <w:b/>
                <w:bCs/>
                <w:color w:val="000000"/>
                <w:szCs w:val="21"/>
              </w:rPr>
              <w:t>电子介质的</w:t>
            </w:r>
            <w:r>
              <w:rPr>
                <w:rFonts w:hint="eastAsia" w:ascii="宋体" w:hAnsi="宋体"/>
                <w:b/>
                <w:bCs/>
                <w:color w:val="000000"/>
                <w:szCs w:val="21"/>
              </w:rPr>
              <w:t>响应文件（U盘）</w:t>
            </w:r>
            <w:r>
              <w:rPr>
                <w:rFonts w:hint="eastAsia" w:ascii="宋体" w:hAnsi="宋体"/>
                <w:color w:val="000000"/>
                <w:szCs w:val="21"/>
              </w:rPr>
              <w:t>，包括响应文件正本完整版（响应文件签字盖章完整的PDF格式及WORD格式</w:t>
            </w:r>
            <w:r>
              <w:rPr>
                <w:rFonts w:ascii="宋体" w:hAnsi="宋体"/>
                <w:color w:val="000000"/>
                <w:szCs w:val="21"/>
              </w:rPr>
              <w:t>。电子介质的</w:t>
            </w:r>
            <w:r>
              <w:rPr>
                <w:rFonts w:hint="eastAsia" w:ascii="宋体" w:hAnsi="宋体"/>
                <w:color w:val="000000"/>
                <w:szCs w:val="21"/>
              </w:rPr>
              <w:t>响应文件</w:t>
            </w:r>
            <w:r>
              <w:rPr>
                <w:rFonts w:ascii="宋体" w:hAnsi="宋体"/>
                <w:color w:val="000000"/>
                <w:szCs w:val="21"/>
              </w:rPr>
              <w:t>与纸质</w:t>
            </w:r>
            <w:r>
              <w:rPr>
                <w:rFonts w:hint="eastAsia" w:ascii="宋体" w:hAnsi="宋体"/>
                <w:color w:val="000000"/>
                <w:szCs w:val="21"/>
              </w:rPr>
              <w:t>响应文件</w:t>
            </w:r>
            <w:r>
              <w:rPr>
                <w:rFonts w:ascii="宋体" w:hAnsi="宋体"/>
                <w:color w:val="000000"/>
                <w:szCs w:val="21"/>
              </w:rPr>
              <w:t>具有同等的法律效力。当电子介质的</w:t>
            </w:r>
            <w:r>
              <w:rPr>
                <w:rFonts w:hint="eastAsia" w:ascii="宋体" w:hAnsi="宋体"/>
                <w:color w:val="000000"/>
                <w:szCs w:val="21"/>
              </w:rPr>
              <w:t>响应文件</w:t>
            </w:r>
            <w:r>
              <w:rPr>
                <w:rFonts w:ascii="宋体" w:hAnsi="宋体"/>
                <w:color w:val="000000"/>
                <w:szCs w:val="21"/>
              </w:rPr>
              <w:t>与纸质</w:t>
            </w:r>
            <w:r>
              <w:rPr>
                <w:rFonts w:hint="eastAsia" w:ascii="宋体" w:hAnsi="宋体"/>
                <w:color w:val="000000"/>
                <w:szCs w:val="21"/>
              </w:rPr>
              <w:t>响应文件</w:t>
            </w:r>
            <w:r>
              <w:rPr>
                <w:rFonts w:ascii="宋体" w:hAnsi="宋体"/>
                <w:color w:val="000000"/>
                <w:szCs w:val="21"/>
              </w:rPr>
              <w:t>不一致时，以纸质</w:t>
            </w:r>
            <w:r>
              <w:rPr>
                <w:rFonts w:hint="eastAsia" w:ascii="宋体" w:hAnsi="宋体"/>
                <w:color w:val="000000"/>
                <w:szCs w:val="21"/>
              </w:rPr>
              <w:t>响应文件</w:t>
            </w:r>
            <w:r>
              <w:rPr>
                <w:rFonts w:ascii="宋体" w:hAnsi="宋体"/>
                <w:color w:val="000000"/>
                <w:szCs w:val="21"/>
              </w:rPr>
              <w:t>为准。</w:t>
            </w:r>
          </w:p>
          <w:p w14:paraId="65BBA46E">
            <w:pPr>
              <w:numPr>
                <w:ilvl w:val="0"/>
                <w:numId w:val="3"/>
              </w:numPr>
              <w:spacing w:line="360" w:lineRule="exact"/>
              <w:rPr>
                <w:rFonts w:ascii="宋体" w:hAnsi="宋体" w:cs="宋体"/>
                <w:szCs w:val="21"/>
              </w:rPr>
            </w:pPr>
            <w:r>
              <w:rPr>
                <w:rFonts w:hint="eastAsia" w:ascii="宋体" w:hAnsi="宋体" w:cs="宋体"/>
                <w:szCs w:val="21"/>
              </w:rPr>
              <w:t>装订要求：正、副本分别胶装成册，如有彩页应装订成册，不允许活页夹装订；</w:t>
            </w:r>
            <w:r>
              <w:rPr>
                <w:rFonts w:hint="eastAsia" w:ascii="宋体" w:hAnsi="宋体" w:cs="宋体"/>
                <w:b/>
                <w:bCs/>
                <w:szCs w:val="21"/>
              </w:rPr>
              <w:t>书脊处标明项目名称及供应商名称。</w:t>
            </w:r>
          </w:p>
        </w:tc>
      </w:tr>
      <w:tr w14:paraId="4DFE1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7" w:type="dxa"/>
            <w:vMerge w:val="restart"/>
            <w:vAlign w:val="center"/>
          </w:tcPr>
          <w:p w14:paraId="18EC74B1">
            <w:pPr>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2040" w:type="dxa"/>
            <w:vMerge w:val="restart"/>
            <w:vAlign w:val="center"/>
          </w:tcPr>
          <w:p w14:paraId="42456E69">
            <w:pPr>
              <w:spacing w:line="360" w:lineRule="exact"/>
              <w:jc w:val="center"/>
              <w:rPr>
                <w:rFonts w:ascii="宋体" w:hAnsi="宋体" w:cs="宋体"/>
                <w:szCs w:val="21"/>
              </w:rPr>
            </w:pPr>
            <w:r>
              <w:rPr>
                <w:rFonts w:hint="eastAsia" w:ascii="宋体" w:hAnsi="宋体" w:cs="宋体"/>
                <w:szCs w:val="21"/>
              </w:rPr>
              <w:t>响应文件的密封和标记</w:t>
            </w:r>
          </w:p>
        </w:tc>
        <w:tc>
          <w:tcPr>
            <w:tcW w:w="7017" w:type="dxa"/>
            <w:vAlign w:val="center"/>
          </w:tcPr>
          <w:p w14:paraId="7CA99040">
            <w:pPr>
              <w:spacing w:line="360" w:lineRule="exact"/>
              <w:rPr>
                <w:rFonts w:ascii="宋体" w:hAnsi="宋体" w:cs="宋体"/>
                <w:szCs w:val="21"/>
              </w:rPr>
            </w:pPr>
            <w:r>
              <w:rPr>
                <w:rFonts w:hint="eastAsia" w:ascii="宋体" w:hAnsi="宋体" w:cs="宋体"/>
                <w:szCs w:val="21"/>
              </w:rPr>
              <w:t>①磋商一览表与电子介质响应文件封装在一个信封中提交并在信封上标注“磋商一览表及电子响应文件”字样。</w:t>
            </w:r>
          </w:p>
          <w:p w14:paraId="100FECDA">
            <w:pPr>
              <w:spacing w:line="360" w:lineRule="exact"/>
              <w:rPr>
                <w:rFonts w:ascii="宋体" w:hAnsi="宋体" w:cs="宋体"/>
                <w:szCs w:val="21"/>
              </w:rPr>
            </w:pPr>
            <w:r>
              <w:rPr>
                <w:rFonts w:hint="eastAsia" w:ascii="宋体" w:hAnsi="宋体" w:cs="宋体"/>
                <w:szCs w:val="21"/>
              </w:rPr>
              <w:t>②响应文件正本、所有的副本封装在一个信封中，如响应文件副本厚重体积大造成递交不便利，允许将副本分为1或最多2个信封密封包装。采购人将拒收不按磋商文件要求密封的响应文件。</w:t>
            </w:r>
          </w:p>
        </w:tc>
      </w:tr>
      <w:tr w14:paraId="0279A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7" w:type="dxa"/>
            <w:vMerge w:val="continue"/>
            <w:vAlign w:val="center"/>
          </w:tcPr>
          <w:p w14:paraId="278E92F4">
            <w:pPr>
              <w:jc w:val="center"/>
              <w:rPr>
                <w:rFonts w:ascii="宋体" w:hAnsi="宋体" w:cs="宋体"/>
                <w:szCs w:val="21"/>
              </w:rPr>
            </w:pPr>
          </w:p>
        </w:tc>
        <w:tc>
          <w:tcPr>
            <w:tcW w:w="2040" w:type="dxa"/>
            <w:vMerge w:val="continue"/>
            <w:vAlign w:val="center"/>
          </w:tcPr>
          <w:p w14:paraId="23A8595C">
            <w:pPr>
              <w:spacing w:line="400" w:lineRule="exact"/>
              <w:jc w:val="center"/>
              <w:rPr>
                <w:rFonts w:ascii="宋体" w:hAnsi="宋体" w:cs="宋体"/>
                <w:szCs w:val="21"/>
              </w:rPr>
            </w:pPr>
          </w:p>
        </w:tc>
        <w:tc>
          <w:tcPr>
            <w:tcW w:w="7017" w:type="dxa"/>
            <w:vAlign w:val="center"/>
          </w:tcPr>
          <w:p w14:paraId="0C78D32D">
            <w:pPr>
              <w:spacing w:line="360" w:lineRule="exact"/>
              <w:rPr>
                <w:rFonts w:ascii="宋体" w:hAnsi="宋体" w:cs="宋体"/>
                <w:szCs w:val="21"/>
              </w:rPr>
            </w:pPr>
            <w:r>
              <w:rPr>
                <w:rFonts w:hint="eastAsia" w:ascii="宋体" w:hAnsi="宋体" w:cs="宋体"/>
                <w:szCs w:val="21"/>
              </w:rPr>
              <w:t>③外层信封均应标明以下字样：</w:t>
            </w:r>
          </w:p>
          <w:p w14:paraId="124A1408">
            <w:pPr>
              <w:spacing w:line="36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远程心电监测</w:t>
            </w:r>
          </w:p>
          <w:p w14:paraId="3EEF309A">
            <w:pPr>
              <w:pStyle w:val="9"/>
              <w:spacing w:after="0" w:line="360" w:lineRule="exact"/>
            </w:pPr>
            <w:r>
              <w:rPr>
                <w:rFonts w:hint="eastAsia" w:ascii="宋体" w:hAnsi="宋体" w:cs="宋体"/>
                <w:szCs w:val="21"/>
              </w:rPr>
              <w:t>文件内容：磋商一览表及电子响应文件/磋商响应文件正本及副本</w:t>
            </w:r>
          </w:p>
          <w:p w14:paraId="79285889">
            <w:pPr>
              <w:spacing w:line="360" w:lineRule="exact"/>
              <w:rPr>
                <w:rFonts w:ascii="宋体" w:hAnsi="宋体" w:cs="宋体"/>
                <w:szCs w:val="21"/>
              </w:rPr>
            </w:pPr>
            <w:r>
              <w:rPr>
                <w:rFonts w:hint="eastAsia" w:ascii="宋体" w:hAnsi="宋体" w:cs="宋体"/>
                <w:szCs w:val="21"/>
              </w:rPr>
              <w:t>供应商名称（盖章）：</w:t>
            </w:r>
          </w:p>
          <w:p w14:paraId="1BD982BF">
            <w:pPr>
              <w:spacing w:line="360" w:lineRule="exact"/>
              <w:rPr>
                <w:rFonts w:ascii="宋体" w:hAnsi="宋体" w:cs="宋体"/>
                <w:szCs w:val="21"/>
              </w:rPr>
            </w:pPr>
            <w:r>
              <w:rPr>
                <w:rFonts w:hint="eastAsia" w:ascii="宋体" w:hAnsi="宋体" w:cs="宋体"/>
                <w:szCs w:val="21"/>
              </w:rPr>
              <w:t>在响应文件递交截止时间之前不得启封。</w:t>
            </w:r>
          </w:p>
        </w:tc>
      </w:tr>
      <w:tr w14:paraId="0E2A6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0F092A56">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040" w:type="dxa"/>
            <w:vAlign w:val="center"/>
          </w:tcPr>
          <w:p w14:paraId="6DA9DAF7">
            <w:pPr>
              <w:jc w:val="center"/>
              <w:rPr>
                <w:rFonts w:ascii="宋体" w:hAnsi="宋体" w:cs="宋体"/>
                <w:szCs w:val="21"/>
              </w:rPr>
            </w:pPr>
            <w:r>
              <w:rPr>
                <w:rFonts w:hint="eastAsia" w:ascii="宋体" w:hAnsi="宋体" w:cs="宋体"/>
                <w:szCs w:val="21"/>
              </w:rPr>
              <w:t>递交响应文件地点</w:t>
            </w:r>
          </w:p>
        </w:tc>
        <w:tc>
          <w:tcPr>
            <w:tcW w:w="7017" w:type="dxa"/>
            <w:vAlign w:val="center"/>
          </w:tcPr>
          <w:p w14:paraId="28422FA4">
            <w:pPr>
              <w:widowControl/>
              <w:jc w:val="left"/>
              <w:rPr>
                <w:rFonts w:ascii="宋体" w:hAnsi="宋体" w:cs="宋体"/>
                <w:szCs w:val="21"/>
              </w:rPr>
            </w:pPr>
            <w:r>
              <w:rPr>
                <w:rFonts w:hint="eastAsia" w:ascii="宋体" w:hAnsi="宋体" w:cs="宋体"/>
                <w:szCs w:val="21"/>
              </w:rPr>
              <w:t>西安市高新区沣惠南路34号摩尔中心A座24层</w:t>
            </w:r>
          </w:p>
        </w:tc>
      </w:tr>
      <w:tr w14:paraId="44DEB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87" w:type="dxa"/>
            <w:vAlign w:val="center"/>
          </w:tcPr>
          <w:p w14:paraId="0CDB7996">
            <w:pPr>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2040" w:type="dxa"/>
            <w:vAlign w:val="center"/>
          </w:tcPr>
          <w:p w14:paraId="5AD41A20">
            <w:pPr>
              <w:jc w:val="center"/>
              <w:rPr>
                <w:rFonts w:ascii="宋体" w:hAnsi="宋体" w:cs="宋体"/>
                <w:szCs w:val="21"/>
              </w:rPr>
            </w:pPr>
            <w:r>
              <w:rPr>
                <w:rFonts w:hint="eastAsia" w:ascii="宋体" w:hAnsi="宋体" w:cs="宋体"/>
                <w:szCs w:val="21"/>
              </w:rPr>
              <w:t>磋商时间和地点</w:t>
            </w:r>
          </w:p>
        </w:tc>
        <w:tc>
          <w:tcPr>
            <w:tcW w:w="7017" w:type="dxa"/>
            <w:vAlign w:val="center"/>
          </w:tcPr>
          <w:p w14:paraId="15FB2507">
            <w:pPr>
              <w:spacing w:line="360" w:lineRule="exact"/>
              <w:rPr>
                <w:rFonts w:ascii="宋体" w:hAnsi="宋体" w:cs="宋体"/>
                <w:szCs w:val="21"/>
              </w:rPr>
            </w:pPr>
            <w:r>
              <w:rPr>
                <w:rFonts w:hint="eastAsia" w:ascii="宋体" w:hAnsi="宋体" w:cs="宋体"/>
                <w:szCs w:val="21"/>
              </w:rPr>
              <w:t>磋商时间：202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日14时</w:t>
            </w:r>
            <w:r>
              <w:rPr>
                <w:rFonts w:hint="eastAsia" w:ascii="宋体" w:hAnsi="宋体" w:cs="宋体"/>
                <w:szCs w:val="21"/>
                <w:lang w:val="en-US" w:eastAsia="zh-CN"/>
              </w:rPr>
              <w:t>00</w:t>
            </w:r>
            <w:r>
              <w:rPr>
                <w:rFonts w:hint="eastAsia" w:ascii="宋体" w:hAnsi="宋体" w:cs="宋体"/>
                <w:szCs w:val="21"/>
              </w:rPr>
              <w:t>分</w:t>
            </w:r>
          </w:p>
          <w:p w14:paraId="5EC84A7E">
            <w:pPr>
              <w:spacing w:line="360" w:lineRule="exact"/>
              <w:rPr>
                <w:rFonts w:ascii="宋体" w:hAnsi="宋体" w:cs="宋体"/>
                <w:szCs w:val="21"/>
              </w:rPr>
            </w:pPr>
            <w:r>
              <w:rPr>
                <w:rFonts w:hint="eastAsia" w:ascii="宋体" w:hAnsi="宋体" w:cs="宋体"/>
                <w:szCs w:val="21"/>
              </w:rPr>
              <w:t>磋商地点：西安市高新区沣惠南路34号摩尔中心A座24层</w:t>
            </w:r>
          </w:p>
        </w:tc>
      </w:tr>
      <w:tr w14:paraId="005C1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14:paraId="2E735DA0">
            <w:pPr>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2040" w:type="dxa"/>
            <w:vAlign w:val="center"/>
          </w:tcPr>
          <w:p w14:paraId="1ADB9DA4">
            <w:pPr>
              <w:jc w:val="center"/>
              <w:rPr>
                <w:rFonts w:ascii="宋体" w:hAnsi="宋体" w:cs="宋体"/>
                <w:szCs w:val="21"/>
              </w:rPr>
            </w:pPr>
            <w:r>
              <w:rPr>
                <w:rFonts w:hint="eastAsia" w:ascii="宋体" w:hAnsi="宋体" w:cs="宋体"/>
                <w:szCs w:val="21"/>
              </w:rPr>
              <w:t>磋商小组的组建</w:t>
            </w:r>
          </w:p>
        </w:tc>
        <w:tc>
          <w:tcPr>
            <w:tcW w:w="7017" w:type="dxa"/>
            <w:vAlign w:val="center"/>
          </w:tcPr>
          <w:p w14:paraId="763B603C">
            <w:pPr>
              <w:spacing w:line="360" w:lineRule="exact"/>
              <w:jc w:val="left"/>
              <w:rPr>
                <w:rFonts w:ascii="宋体" w:hAnsi="宋体" w:cs="宋体"/>
                <w:szCs w:val="21"/>
              </w:rPr>
            </w:pPr>
            <w:r>
              <w:rPr>
                <w:rFonts w:hint="eastAsia" w:ascii="宋体" w:hAnsi="宋体" w:cs="宋体"/>
                <w:szCs w:val="21"/>
              </w:rPr>
              <w:t>磋商小组构成：</w:t>
            </w:r>
            <w:r>
              <w:rPr>
                <w:rFonts w:hint="eastAsia" w:ascii="宋体" w:hAnsi="宋体" w:cs="宋体"/>
                <w:szCs w:val="21"/>
                <w:lang w:val="en-US" w:eastAsia="zh-CN"/>
              </w:rPr>
              <w:t>3</w:t>
            </w:r>
            <w:r>
              <w:rPr>
                <w:rFonts w:hint="eastAsia" w:ascii="宋体" w:hAnsi="宋体" w:cs="宋体"/>
                <w:szCs w:val="21"/>
              </w:rPr>
              <w:t>人，其中采购人代表1名、评审专家</w:t>
            </w:r>
            <w:r>
              <w:rPr>
                <w:rFonts w:hint="eastAsia" w:ascii="宋体" w:hAnsi="宋体" w:cs="宋体"/>
                <w:szCs w:val="21"/>
                <w:lang w:val="en-US" w:eastAsia="zh-CN"/>
              </w:rPr>
              <w:t>2</w:t>
            </w:r>
            <w:r>
              <w:rPr>
                <w:rFonts w:hint="eastAsia" w:ascii="宋体" w:hAnsi="宋体" w:cs="宋体"/>
                <w:szCs w:val="21"/>
              </w:rPr>
              <w:t>名。</w:t>
            </w:r>
          </w:p>
          <w:p w14:paraId="5EE7DED2">
            <w:pPr>
              <w:spacing w:line="360" w:lineRule="exact"/>
              <w:jc w:val="left"/>
              <w:rPr>
                <w:rFonts w:ascii="宋体" w:hAnsi="宋体" w:cs="宋体"/>
                <w:szCs w:val="21"/>
              </w:rPr>
            </w:pPr>
            <w:r>
              <w:rPr>
                <w:rFonts w:hint="eastAsia" w:ascii="宋体" w:hAnsi="宋体" w:cs="宋体"/>
                <w:szCs w:val="21"/>
              </w:rPr>
              <w:t>磋商小组确定方式：在省级政府采购评审专家库中随机抽取。</w:t>
            </w:r>
          </w:p>
        </w:tc>
      </w:tr>
      <w:tr w14:paraId="10DAF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14:paraId="67D42769">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2040" w:type="dxa"/>
            <w:vAlign w:val="center"/>
          </w:tcPr>
          <w:p w14:paraId="50F8D79D">
            <w:pPr>
              <w:jc w:val="center"/>
              <w:rPr>
                <w:rFonts w:ascii="宋体" w:hAnsi="宋体" w:cs="宋体"/>
                <w:szCs w:val="21"/>
              </w:rPr>
            </w:pPr>
            <w:r>
              <w:rPr>
                <w:rFonts w:hint="eastAsia" w:ascii="宋体" w:hAnsi="宋体" w:cs="宋体"/>
                <w:szCs w:val="21"/>
              </w:rPr>
              <w:t>成交候选人的推荐数量</w:t>
            </w:r>
          </w:p>
        </w:tc>
        <w:tc>
          <w:tcPr>
            <w:tcW w:w="7017" w:type="dxa"/>
            <w:vAlign w:val="center"/>
          </w:tcPr>
          <w:p w14:paraId="75747C8C">
            <w:pPr>
              <w:rPr>
                <w:rFonts w:ascii="宋体" w:hAnsi="宋体" w:cs="宋体"/>
                <w:szCs w:val="21"/>
              </w:rPr>
            </w:pPr>
            <w:r>
              <w:rPr>
                <w:rFonts w:hint="eastAsia" w:ascii="宋体" w:hAnsi="宋体" w:cs="宋体"/>
                <w:szCs w:val="21"/>
              </w:rPr>
              <w:t>3名</w:t>
            </w:r>
          </w:p>
        </w:tc>
      </w:tr>
      <w:tr w14:paraId="78328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7" w:type="dxa"/>
            <w:vAlign w:val="center"/>
          </w:tcPr>
          <w:p w14:paraId="3A57E8D7">
            <w:pPr>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9057" w:type="dxa"/>
            <w:gridSpan w:val="2"/>
            <w:vAlign w:val="center"/>
          </w:tcPr>
          <w:p w14:paraId="598C58AB">
            <w:pPr>
              <w:jc w:val="left"/>
              <w:rPr>
                <w:rFonts w:ascii="宋体" w:hAnsi="宋体" w:cs="宋体"/>
                <w:szCs w:val="21"/>
              </w:rPr>
            </w:pPr>
            <w:r>
              <w:rPr>
                <w:rFonts w:hint="eastAsia" w:ascii="宋体" w:hAnsi="宋体" w:cs="宋体"/>
                <w:szCs w:val="21"/>
              </w:rPr>
              <w:t>需要补充的其他内容</w:t>
            </w:r>
          </w:p>
        </w:tc>
      </w:tr>
      <w:tr w14:paraId="1D9D0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7" w:type="dxa"/>
            <w:vAlign w:val="center"/>
          </w:tcPr>
          <w:p w14:paraId="464FCDBE">
            <w:pPr>
              <w:jc w:val="center"/>
              <w:rPr>
                <w:rFonts w:ascii="宋体" w:hAnsi="宋体" w:cs="宋体"/>
                <w:szCs w:val="21"/>
              </w:rPr>
            </w:pPr>
            <w:r>
              <w:rPr>
                <w:rFonts w:hint="eastAsia" w:ascii="宋体" w:hAnsi="宋体" w:cs="宋体"/>
                <w:szCs w:val="21"/>
              </w:rPr>
              <w:t>（1）</w:t>
            </w:r>
          </w:p>
        </w:tc>
        <w:tc>
          <w:tcPr>
            <w:tcW w:w="2040" w:type="dxa"/>
            <w:vAlign w:val="center"/>
          </w:tcPr>
          <w:p w14:paraId="7E94B9E0">
            <w:pPr>
              <w:jc w:val="center"/>
              <w:rPr>
                <w:rFonts w:ascii="宋体" w:hAnsi="宋体" w:cs="宋体"/>
                <w:szCs w:val="21"/>
              </w:rPr>
            </w:pPr>
            <w:r>
              <w:rPr>
                <w:rFonts w:hint="eastAsia" w:ascii="宋体" w:hAnsi="宋体" w:cs="宋体"/>
                <w:szCs w:val="21"/>
              </w:rPr>
              <w:t>采购代理服务费</w:t>
            </w:r>
          </w:p>
        </w:tc>
        <w:tc>
          <w:tcPr>
            <w:tcW w:w="7017" w:type="dxa"/>
            <w:vAlign w:val="center"/>
          </w:tcPr>
          <w:p w14:paraId="2AABCDFF">
            <w:pPr>
              <w:spacing w:line="360" w:lineRule="exact"/>
              <w:jc w:val="left"/>
              <w:rPr>
                <w:rFonts w:ascii="宋体" w:hAnsi="宋体" w:cs="宋体"/>
                <w:szCs w:val="21"/>
                <w:lang w:val="zh-CN"/>
              </w:rPr>
            </w:pPr>
            <w:r>
              <w:rPr>
                <w:rFonts w:hint="eastAsia" w:ascii="宋体" w:hAnsi="宋体" w:cs="宋体"/>
                <w:szCs w:val="21"/>
                <w:lang w:val="zh-CN"/>
              </w:rPr>
              <w:t>1、按照国家计委颁布的《招标代理服务收费管理暂行办法》（计价格[2002]1980号）和国家发改委办公厅颁布的《国家发改委办公厅关于招标代理服务收费有关问题的通知》（发改办价格[2003]857号）的规定</w:t>
            </w:r>
            <w:r>
              <w:rPr>
                <w:rFonts w:hint="eastAsia" w:ascii="宋体" w:hAnsi="宋体" w:cs="宋体"/>
                <w:szCs w:val="21"/>
              </w:rPr>
              <w:t>标准取费的</w:t>
            </w:r>
            <w:r>
              <w:rPr>
                <w:rFonts w:hint="eastAsia" w:ascii="宋体" w:hAnsi="宋体" w:cs="宋体"/>
                <w:szCs w:val="21"/>
                <w:lang w:val="en-US" w:eastAsia="zh-CN"/>
              </w:rPr>
              <w:t>70</w:t>
            </w:r>
            <w:r>
              <w:rPr>
                <w:rFonts w:hint="eastAsia" w:ascii="宋体" w:hAnsi="宋体" w:cs="宋体"/>
                <w:szCs w:val="21"/>
              </w:rPr>
              <w:t>%</w:t>
            </w:r>
            <w:r>
              <w:rPr>
                <w:rFonts w:hint="eastAsia" w:ascii="宋体" w:hAnsi="宋体" w:cs="宋体"/>
                <w:szCs w:val="21"/>
                <w:lang w:val="zh-CN"/>
              </w:rPr>
              <w:t>收取。由</w:t>
            </w:r>
            <w:r>
              <w:rPr>
                <w:rFonts w:hint="eastAsia" w:ascii="宋体" w:hAnsi="宋体" w:cs="宋体"/>
                <w:szCs w:val="21"/>
              </w:rPr>
              <w:t>成交供应商</w:t>
            </w:r>
            <w:r>
              <w:rPr>
                <w:rFonts w:hint="eastAsia" w:ascii="宋体" w:hAnsi="宋体" w:cs="宋体"/>
                <w:szCs w:val="21"/>
                <w:lang w:val="zh-CN"/>
              </w:rPr>
              <w:t>在领取</w:t>
            </w:r>
            <w:r>
              <w:rPr>
                <w:rFonts w:hint="eastAsia" w:ascii="宋体" w:hAnsi="宋体" w:cs="宋体"/>
                <w:szCs w:val="21"/>
              </w:rPr>
              <w:t>成交</w:t>
            </w:r>
            <w:r>
              <w:rPr>
                <w:rFonts w:hint="eastAsia" w:ascii="宋体" w:hAnsi="宋体" w:cs="宋体"/>
                <w:szCs w:val="21"/>
                <w:lang w:val="zh-CN"/>
              </w:rPr>
              <w:t>通知书前向</w:t>
            </w:r>
            <w:r>
              <w:rPr>
                <w:rFonts w:hint="eastAsia" w:ascii="宋体" w:hAnsi="宋体" w:cs="宋体"/>
                <w:szCs w:val="21"/>
              </w:rPr>
              <w:t>采购代理机构</w:t>
            </w:r>
            <w:r>
              <w:rPr>
                <w:rFonts w:hint="eastAsia" w:ascii="宋体" w:hAnsi="宋体" w:cs="宋体"/>
                <w:szCs w:val="21"/>
                <w:lang w:val="zh-CN"/>
              </w:rPr>
              <w:t>一次性支付。</w:t>
            </w:r>
          </w:p>
          <w:p w14:paraId="1C0A80C9">
            <w:pPr>
              <w:spacing w:line="360" w:lineRule="exact"/>
              <w:jc w:val="left"/>
              <w:rPr>
                <w:rFonts w:ascii="宋体" w:hAnsi="宋体" w:cs="宋体"/>
                <w:szCs w:val="21"/>
              </w:rPr>
            </w:pPr>
            <w:r>
              <w:rPr>
                <w:rFonts w:hint="eastAsia" w:ascii="宋体" w:hAnsi="宋体" w:cs="宋体"/>
                <w:szCs w:val="21"/>
              </w:rPr>
              <w:t>2、采购代理服务费交纳信息</w:t>
            </w:r>
          </w:p>
          <w:p w14:paraId="59FB6DFE">
            <w:pPr>
              <w:spacing w:line="360" w:lineRule="exact"/>
              <w:ind w:left="417" w:leftChars="24" w:hanging="367" w:hangingChars="175"/>
              <w:jc w:val="left"/>
              <w:rPr>
                <w:rFonts w:ascii="宋体" w:hAnsi="宋体" w:cs="仿宋_GB2312"/>
                <w:kern w:val="0"/>
                <w:szCs w:val="21"/>
              </w:rPr>
            </w:pPr>
            <w:r>
              <w:rPr>
                <w:rFonts w:hint="eastAsia" w:ascii="宋体" w:hAnsi="宋体" w:cs="仿宋_GB2312"/>
                <w:kern w:val="0"/>
                <w:szCs w:val="21"/>
              </w:rPr>
              <w:t>户名：</w:t>
            </w:r>
            <w:r>
              <w:rPr>
                <w:rFonts w:hint="eastAsia" w:ascii="宋体" w:hAnsi="宋体" w:cs="宋体"/>
                <w:szCs w:val="21"/>
                <w:lang w:val="zh-CN"/>
              </w:rPr>
              <w:t>中航技（北京）工程管理有限公司</w:t>
            </w:r>
            <w:r>
              <w:rPr>
                <w:rFonts w:hint="eastAsia" w:ascii="宋体" w:hAnsi="宋体" w:cs="宋体"/>
                <w:szCs w:val="21"/>
              </w:rPr>
              <w:t>西安分公司</w:t>
            </w:r>
          </w:p>
          <w:p w14:paraId="1DB79459">
            <w:pPr>
              <w:spacing w:line="360" w:lineRule="exact"/>
              <w:ind w:left="417" w:leftChars="24" w:hanging="367" w:hangingChars="175"/>
              <w:jc w:val="left"/>
              <w:rPr>
                <w:rFonts w:ascii="宋体" w:hAnsi="宋体" w:cs="仿宋_GB2312"/>
                <w:kern w:val="0"/>
                <w:szCs w:val="21"/>
              </w:rPr>
            </w:pPr>
            <w:r>
              <w:rPr>
                <w:rFonts w:hint="eastAsia" w:ascii="宋体" w:hAnsi="宋体" w:cs="仿宋_GB2312"/>
                <w:kern w:val="0"/>
                <w:szCs w:val="21"/>
              </w:rPr>
              <w:t>账号：</w:t>
            </w:r>
            <w:r>
              <w:rPr>
                <w:rFonts w:hint="eastAsia" w:ascii="宋体" w:hAnsi="宋体" w:cs="宋体"/>
                <w:szCs w:val="21"/>
              </w:rPr>
              <w:t>102876626131</w:t>
            </w:r>
          </w:p>
          <w:p w14:paraId="26C2E377">
            <w:pPr>
              <w:spacing w:line="360" w:lineRule="exact"/>
              <w:ind w:left="417" w:leftChars="24" w:hanging="367" w:hangingChars="175"/>
              <w:jc w:val="left"/>
              <w:rPr>
                <w:rFonts w:ascii="宋体" w:hAnsi="宋体" w:cs="宋体"/>
                <w:szCs w:val="21"/>
              </w:rPr>
            </w:pPr>
            <w:r>
              <w:rPr>
                <w:rFonts w:hint="eastAsia" w:ascii="宋体" w:hAnsi="宋体" w:cs="仿宋_GB2312"/>
                <w:kern w:val="0"/>
                <w:szCs w:val="21"/>
              </w:rPr>
              <w:t>开户银行：</w:t>
            </w:r>
            <w:r>
              <w:rPr>
                <w:rFonts w:hint="eastAsia" w:ascii="宋体" w:hAnsi="宋体" w:cs="宋体"/>
                <w:szCs w:val="21"/>
              </w:rPr>
              <w:t>中国银行西安高科智慧园支行</w:t>
            </w:r>
          </w:p>
        </w:tc>
      </w:tr>
      <w:tr w14:paraId="0F093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7" w:type="dxa"/>
            <w:shd w:val="clear" w:color="auto" w:fill="auto"/>
            <w:vAlign w:val="center"/>
          </w:tcPr>
          <w:p w14:paraId="2CA881CE">
            <w:pPr>
              <w:jc w:val="center"/>
              <w:rPr>
                <w:rFonts w:ascii="宋体" w:hAnsi="宋体" w:cs="宋体"/>
                <w:szCs w:val="21"/>
              </w:rPr>
            </w:pPr>
            <w:r>
              <w:rPr>
                <w:rFonts w:hint="eastAsia" w:ascii="宋体" w:hAnsi="宋体" w:cs="宋体"/>
                <w:szCs w:val="21"/>
              </w:rPr>
              <w:t>（2）</w:t>
            </w:r>
          </w:p>
        </w:tc>
        <w:tc>
          <w:tcPr>
            <w:tcW w:w="2040" w:type="dxa"/>
            <w:shd w:val="clear" w:color="auto" w:fill="auto"/>
            <w:vAlign w:val="center"/>
          </w:tcPr>
          <w:p w14:paraId="5788833E">
            <w:pPr>
              <w:jc w:val="center"/>
              <w:rPr>
                <w:rFonts w:ascii="宋体" w:hAnsi="宋体" w:cs="宋体"/>
                <w:szCs w:val="21"/>
              </w:rPr>
            </w:pPr>
            <w:r>
              <w:rPr>
                <w:rFonts w:hint="eastAsia" w:ascii="宋体" w:hAnsi="宋体" w:cs="宋体"/>
                <w:szCs w:val="21"/>
              </w:rPr>
              <w:t>履约保证金</w:t>
            </w:r>
          </w:p>
        </w:tc>
        <w:tc>
          <w:tcPr>
            <w:tcW w:w="7017" w:type="dxa"/>
            <w:shd w:val="clear" w:color="auto" w:fill="auto"/>
            <w:vAlign w:val="center"/>
          </w:tcPr>
          <w:p w14:paraId="2B1FBF56">
            <w:pPr>
              <w:spacing w:line="360" w:lineRule="exact"/>
              <w:jc w:val="left"/>
              <w:rPr>
                <w:rFonts w:ascii="宋体" w:hAnsi="宋体" w:cs="宋体"/>
                <w:szCs w:val="21"/>
              </w:rPr>
            </w:pPr>
            <w:r>
              <w:rPr>
                <w:rFonts w:hint="eastAsia" w:ascii="宋体" w:hAnsi="宋体" w:cs="宋体"/>
                <w:szCs w:val="21"/>
              </w:rPr>
              <w:t>履约保证金的金额：履约保证金为合同金额的5%。</w:t>
            </w:r>
          </w:p>
          <w:p w14:paraId="7BFC0999">
            <w:pPr>
              <w:spacing w:line="360" w:lineRule="exact"/>
              <w:jc w:val="left"/>
              <w:rPr>
                <w:rFonts w:ascii="宋体" w:hAnsi="宋体" w:cs="宋体"/>
                <w:szCs w:val="21"/>
              </w:rPr>
            </w:pPr>
            <w:r>
              <w:rPr>
                <w:rFonts w:hint="eastAsia" w:ascii="宋体" w:hAnsi="宋体" w:cs="宋体"/>
                <w:szCs w:val="21"/>
              </w:rPr>
              <w:t>履约保证金的形式：银行转账、履约担保或银行保函</w:t>
            </w:r>
          </w:p>
        </w:tc>
      </w:tr>
      <w:tr w14:paraId="1F630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7" w:type="dxa"/>
            <w:vAlign w:val="center"/>
          </w:tcPr>
          <w:p w14:paraId="70A0274F">
            <w:pPr>
              <w:jc w:val="center"/>
              <w:rPr>
                <w:rFonts w:ascii="宋体" w:hAnsi="宋体" w:cs="宋体"/>
                <w:szCs w:val="21"/>
              </w:rPr>
            </w:pPr>
            <w:r>
              <w:rPr>
                <w:rFonts w:hint="eastAsia" w:ascii="宋体" w:hAnsi="宋体" w:cs="宋体"/>
                <w:szCs w:val="21"/>
              </w:rPr>
              <w:t>（3）</w:t>
            </w:r>
          </w:p>
        </w:tc>
        <w:tc>
          <w:tcPr>
            <w:tcW w:w="2040" w:type="dxa"/>
            <w:vAlign w:val="center"/>
          </w:tcPr>
          <w:p w14:paraId="4B1106EC">
            <w:pPr>
              <w:jc w:val="center"/>
              <w:rPr>
                <w:rFonts w:ascii="宋体" w:hAnsi="宋体" w:cs="宋体"/>
                <w:szCs w:val="21"/>
                <w:lang w:val="zh-CN"/>
              </w:rPr>
            </w:pPr>
            <w:r>
              <w:rPr>
                <w:rFonts w:hint="eastAsia" w:ascii="宋体" w:hAnsi="宋体" w:cs="宋体"/>
                <w:szCs w:val="21"/>
              </w:rPr>
              <w:t>报价方式</w:t>
            </w:r>
          </w:p>
        </w:tc>
        <w:tc>
          <w:tcPr>
            <w:tcW w:w="7017" w:type="dxa"/>
            <w:vAlign w:val="center"/>
          </w:tcPr>
          <w:p w14:paraId="67436413">
            <w:pPr>
              <w:rPr>
                <w:rFonts w:ascii="宋体" w:hAnsi="宋体" w:cs="宋体"/>
                <w:szCs w:val="21"/>
                <w:lang w:val="zh-CN"/>
              </w:rPr>
            </w:pPr>
            <w:r>
              <w:rPr>
                <w:rFonts w:hint="eastAsia" w:ascii="宋体" w:hAnsi="宋体" w:cs="宋体"/>
                <w:szCs w:val="21"/>
              </w:rPr>
              <w:t>固定总价</w:t>
            </w:r>
          </w:p>
        </w:tc>
      </w:tr>
      <w:tr w14:paraId="2A45B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7" w:type="dxa"/>
            <w:vAlign w:val="center"/>
          </w:tcPr>
          <w:p w14:paraId="35E98E7B">
            <w:pPr>
              <w:jc w:val="center"/>
              <w:rPr>
                <w:rFonts w:ascii="宋体" w:hAnsi="宋体" w:cs="宋体"/>
                <w:szCs w:val="21"/>
              </w:rPr>
            </w:pPr>
            <w:r>
              <w:rPr>
                <w:rFonts w:hint="eastAsia" w:ascii="宋体" w:hAnsi="宋体" w:cs="宋体"/>
                <w:szCs w:val="21"/>
              </w:rPr>
              <w:t>（4）</w:t>
            </w:r>
          </w:p>
        </w:tc>
        <w:tc>
          <w:tcPr>
            <w:tcW w:w="2040" w:type="dxa"/>
            <w:vAlign w:val="center"/>
          </w:tcPr>
          <w:p w14:paraId="5C0BCB6A">
            <w:pPr>
              <w:jc w:val="center"/>
              <w:rPr>
                <w:rFonts w:ascii="宋体" w:hAnsi="宋体" w:cs="宋体"/>
                <w:szCs w:val="21"/>
              </w:rPr>
            </w:pPr>
            <w:r>
              <w:rPr>
                <w:rFonts w:hint="eastAsia" w:ascii="宋体" w:hAnsi="宋体" w:cs="宋体"/>
                <w:szCs w:val="21"/>
                <w:lang w:val="zh-CN"/>
              </w:rPr>
              <w:t>项目所属行业</w:t>
            </w:r>
          </w:p>
        </w:tc>
        <w:tc>
          <w:tcPr>
            <w:tcW w:w="7017" w:type="dxa"/>
            <w:vAlign w:val="center"/>
          </w:tcPr>
          <w:p w14:paraId="4B878D54">
            <w:pPr>
              <w:jc w:val="left"/>
              <w:rPr>
                <w:rFonts w:hint="default" w:ascii="宋体" w:hAnsi="宋体" w:eastAsia="宋体" w:cs="宋体"/>
                <w:szCs w:val="21"/>
                <w:shd w:val="clear" w:color="auto" w:fill="FFFFFF"/>
                <w:lang w:val="en-US" w:eastAsia="zh-CN"/>
              </w:rPr>
            </w:pPr>
            <w:r>
              <w:rPr>
                <w:rFonts w:hint="eastAsia" w:ascii="宋体" w:hAnsi="宋体" w:cs="宋体"/>
                <w:szCs w:val="21"/>
                <w:lang w:val="zh-CN"/>
              </w:rPr>
              <w:t>本项目采购标的对应的《中小企业划型标准规定》所属行业为：</w:t>
            </w:r>
            <w:r>
              <w:rPr>
                <w:rFonts w:hint="eastAsia" w:ascii="宋体" w:hAnsi="宋体" w:cs="宋体"/>
                <w:szCs w:val="21"/>
                <w:lang w:val="en-US" w:eastAsia="zh-CN"/>
              </w:rPr>
              <w:t>租赁和商务服务业</w:t>
            </w:r>
          </w:p>
        </w:tc>
      </w:tr>
      <w:tr w14:paraId="72FAB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7" w:type="dxa"/>
            <w:vAlign w:val="center"/>
          </w:tcPr>
          <w:p w14:paraId="4FAF6083">
            <w:pPr>
              <w:jc w:val="center"/>
              <w:rPr>
                <w:rFonts w:ascii="宋体" w:hAnsi="宋体" w:cs="宋体"/>
                <w:szCs w:val="21"/>
              </w:rPr>
            </w:pPr>
            <w:r>
              <w:rPr>
                <w:rFonts w:hint="eastAsia" w:ascii="宋体" w:hAnsi="宋体" w:cs="宋体"/>
                <w:szCs w:val="21"/>
              </w:rPr>
              <w:t>（5）</w:t>
            </w:r>
          </w:p>
        </w:tc>
        <w:tc>
          <w:tcPr>
            <w:tcW w:w="9057" w:type="dxa"/>
            <w:gridSpan w:val="2"/>
            <w:vAlign w:val="center"/>
          </w:tcPr>
          <w:p w14:paraId="16165D01">
            <w:pPr>
              <w:jc w:val="left"/>
              <w:rPr>
                <w:rFonts w:ascii="宋体" w:hAnsi="宋体" w:cs="宋体"/>
                <w:szCs w:val="21"/>
              </w:rPr>
            </w:pPr>
            <w:r>
              <w:rPr>
                <w:rFonts w:hint="eastAsia" w:ascii="宋体" w:hAnsi="宋体" w:cs="宋体"/>
                <w:szCs w:val="21"/>
              </w:rPr>
              <w:t>供应商须知前附表和须知不一致的地方，以前附表为准。</w:t>
            </w:r>
          </w:p>
        </w:tc>
      </w:tr>
      <w:tr w14:paraId="27559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14:paraId="17BB3BF3">
            <w:pPr>
              <w:jc w:val="center"/>
              <w:rPr>
                <w:rFonts w:ascii="宋体" w:hAnsi="宋体" w:cs="宋体"/>
                <w:szCs w:val="21"/>
              </w:rPr>
            </w:pPr>
            <w:r>
              <w:rPr>
                <w:rFonts w:hint="eastAsia" w:ascii="宋体" w:hAnsi="宋体" w:cs="宋体"/>
                <w:szCs w:val="21"/>
              </w:rPr>
              <w:t>（6）</w:t>
            </w:r>
          </w:p>
        </w:tc>
        <w:tc>
          <w:tcPr>
            <w:tcW w:w="9057" w:type="dxa"/>
            <w:gridSpan w:val="2"/>
            <w:vAlign w:val="center"/>
          </w:tcPr>
          <w:p w14:paraId="04F78929">
            <w:pPr>
              <w:jc w:val="left"/>
              <w:rPr>
                <w:rFonts w:ascii="宋体" w:hAnsi="宋体" w:cs="宋体"/>
                <w:szCs w:val="21"/>
              </w:rPr>
            </w:pPr>
            <w:r>
              <w:rPr>
                <w:rFonts w:hint="eastAsia" w:ascii="宋体" w:hAnsi="宋体" w:cs="宋体"/>
                <w:szCs w:val="21"/>
              </w:rPr>
              <w:t>文件未明确的其他事项，按照有关法律、法规或省市有关规定执行。</w:t>
            </w:r>
          </w:p>
        </w:tc>
      </w:tr>
    </w:tbl>
    <w:p w14:paraId="1AE7B2A9">
      <w:r>
        <w:br w:type="page"/>
      </w:r>
    </w:p>
    <w:p w14:paraId="45BDB9A3">
      <w:pPr>
        <w:pStyle w:val="3"/>
        <w:rPr>
          <w:sz w:val="22"/>
          <w:szCs w:val="16"/>
        </w:rPr>
      </w:pPr>
      <w:r>
        <w:rPr>
          <w:rFonts w:hint="eastAsia"/>
          <w:sz w:val="22"/>
          <w:szCs w:val="16"/>
        </w:rPr>
        <w:t>一、总  则</w:t>
      </w:r>
    </w:p>
    <w:p w14:paraId="1A877D8E">
      <w:pPr>
        <w:spacing w:line="360" w:lineRule="auto"/>
        <w:outlineLvl w:val="2"/>
        <w:rPr>
          <w:rFonts w:ascii="宋体" w:hAnsi="宋体"/>
          <w:b/>
          <w:szCs w:val="21"/>
        </w:rPr>
      </w:pPr>
      <w:bookmarkStart w:id="9" w:name="_Toc235544703"/>
      <w:bookmarkStart w:id="10" w:name="_Toc269407612"/>
      <w:bookmarkStart w:id="11" w:name="_Toc54404815"/>
      <w:bookmarkStart w:id="12" w:name="_Toc67552688"/>
      <w:bookmarkStart w:id="13" w:name="_Toc250572264"/>
      <w:bookmarkStart w:id="14" w:name="_Toc30853"/>
      <w:bookmarkStart w:id="15" w:name="_Toc238899378"/>
      <w:r>
        <w:rPr>
          <w:rFonts w:hint="eastAsia" w:ascii="宋体" w:hAnsi="宋体"/>
          <w:b/>
          <w:szCs w:val="21"/>
        </w:rPr>
        <w:t>1.1 项目概况</w:t>
      </w:r>
    </w:p>
    <w:p w14:paraId="5AE8742C">
      <w:pPr>
        <w:spacing w:line="360" w:lineRule="auto"/>
        <w:ind w:firstLine="420" w:firstLineChars="200"/>
        <w:rPr>
          <w:rFonts w:ascii="宋体" w:hAnsi="宋体"/>
          <w:szCs w:val="21"/>
        </w:rPr>
      </w:pPr>
      <w:r>
        <w:rPr>
          <w:rFonts w:hint="eastAsia" w:ascii="宋体" w:hAnsi="宋体"/>
          <w:szCs w:val="21"/>
        </w:rPr>
        <w:t>1.1.1根据《中华人民共和国政府采购法》及实施条例等有关法律、法规和规章的规定，本采购项目已具备采购条件，现对本项目进行采购。</w:t>
      </w:r>
    </w:p>
    <w:p w14:paraId="22BD8FAE">
      <w:pPr>
        <w:spacing w:line="360" w:lineRule="auto"/>
        <w:ind w:firstLine="420" w:firstLineChars="200"/>
        <w:rPr>
          <w:rFonts w:ascii="宋体" w:hAnsi="宋体"/>
          <w:szCs w:val="21"/>
        </w:rPr>
      </w:pPr>
      <w:r>
        <w:rPr>
          <w:rFonts w:hint="eastAsia" w:ascii="宋体" w:hAnsi="宋体"/>
          <w:szCs w:val="21"/>
        </w:rPr>
        <w:t>1.1.2采购人：见供应商须知前附表。</w:t>
      </w:r>
    </w:p>
    <w:p w14:paraId="5D3DDBED">
      <w:pPr>
        <w:spacing w:line="360" w:lineRule="auto"/>
        <w:ind w:firstLine="420" w:firstLineChars="200"/>
        <w:rPr>
          <w:rFonts w:ascii="宋体" w:hAnsi="宋体"/>
          <w:szCs w:val="21"/>
        </w:rPr>
      </w:pPr>
      <w:r>
        <w:rPr>
          <w:rFonts w:hint="eastAsia" w:ascii="宋体" w:hAnsi="宋体"/>
          <w:szCs w:val="21"/>
        </w:rPr>
        <w:t>1.1.3采购代理机构：见供应商须知前附表。</w:t>
      </w:r>
    </w:p>
    <w:p w14:paraId="292B0B82">
      <w:pPr>
        <w:spacing w:line="360" w:lineRule="auto"/>
        <w:ind w:firstLine="420" w:firstLineChars="200"/>
        <w:rPr>
          <w:rFonts w:ascii="宋体" w:hAnsi="宋体"/>
          <w:szCs w:val="21"/>
        </w:rPr>
      </w:pPr>
      <w:r>
        <w:rPr>
          <w:rFonts w:hint="eastAsia" w:ascii="宋体" w:hAnsi="宋体"/>
          <w:szCs w:val="21"/>
        </w:rPr>
        <w:t>1.1.4项目名称：见供应商须知前附表。</w:t>
      </w:r>
    </w:p>
    <w:p w14:paraId="73655017">
      <w:pPr>
        <w:spacing w:line="360" w:lineRule="auto"/>
        <w:ind w:firstLine="420" w:firstLineChars="200"/>
        <w:rPr>
          <w:rFonts w:ascii="宋体" w:hAnsi="宋体"/>
          <w:szCs w:val="21"/>
        </w:rPr>
      </w:pPr>
      <w:r>
        <w:rPr>
          <w:rFonts w:hint="eastAsia" w:ascii="宋体" w:hAnsi="宋体"/>
          <w:szCs w:val="21"/>
        </w:rPr>
        <w:t>1.1.5</w:t>
      </w:r>
      <w:r>
        <w:rPr>
          <w:rFonts w:hint="eastAsia" w:ascii="宋体" w:hAnsi="宋体"/>
          <w:szCs w:val="21"/>
          <w:lang w:val="en-US" w:eastAsia="zh-CN"/>
        </w:rPr>
        <w:t>服务地点</w:t>
      </w:r>
      <w:r>
        <w:rPr>
          <w:rFonts w:hint="eastAsia" w:ascii="宋体" w:hAnsi="宋体"/>
          <w:szCs w:val="21"/>
        </w:rPr>
        <w:t>：见供应商须知前附表。</w:t>
      </w:r>
    </w:p>
    <w:p w14:paraId="10BE88B5">
      <w:pPr>
        <w:spacing w:line="360" w:lineRule="auto"/>
        <w:ind w:firstLine="420" w:firstLineChars="200"/>
        <w:outlineLvl w:val="2"/>
        <w:rPr>
          <w:rFonts w:ascii="宋体" w:hAnsi="宋体"/>
          <w:szCs w:val="21"/>
          <w:highlight w:val="none"/>
        </w:rPr>
      </w:pPr>
      <w:r>
        <w:rPr>
          <w:rFonts w:hint="eastAsia" w:ascii="宋体" w:hAnsi="宋体"/>
          <w:szCs w:val="21"/>
          <w:highlight w:val="none"/>
        </w:rPr>
        <w:t>1.1.6项目</w:t>
      </w:r>
      <w:r>
        <w:rPr>
          <w:rFonts w:hint="eastAsia" w:ascii="宋体" w:hAnsi="宋体"/>
          <w:szCs w:val="21"/>
          <w:highlight w:val="none"/>
          <w:lang w:val="en-US" w:eastAsia="zh-CN"/>
        </w:rPr>
        <w:t>服务期</w:t>
      </w:r>
      <w:r>
        <w:rPr>
          <w:rFonts w:hint="eastAsia" w:ascii="宋体" w:hAnsi="宋体"/>
          <w:szCs w:val="21"/>
          <w:highlight w:val="none"/>
        </w:rPr>
        <w:t>：见供应商须知前附表。</w:t>
      </w:r>
    </w:p>
    <w:p w14:paraId="788F2F17">
      <w:pPr>
        <w:spacing w:line="360" w:lineRule="auto"/>
        <w:outlineLvl w:val="2"/>
        <w:rPr>
          <w:rFonts w:ascii="宋体" w:hAnsi="宋体"/>
          <w:b/>
          <w:szCs w:val="21"/>
        </w:rPr>
      </w:pPr>
      <w:r>
        <w:rPr>
          <w:rFonts w:hint="eastAsia" w:ascii="宋体" w:hAnsi="宋体"/>
          <w:b/>
          <w:szCs w:val="21"/>
        </w:rPr>
        <w:t>1.2 资金来源</w:t>
      </w:r>
    </w:p>
    <w:p w14:paraId="280E6D0F">
      <w:pPr>
        <w:spacing w:line="360" w:lineRule="auto"/>
        <w:ind w:firstLine="420" w:firstLineChars="200"/>
        <w:rPr>
          <w:rFonts w:ascii="宋体" w:hAnsi="宋体"/>
          <w:szCs w:val="21"/>
        </w:rPr>
      </w:pPr>
      <w:r>
        <w:rPr>
          <w:rFonts w:hint="eastAsia" w:ascii="宋体" w:hAnsi="宋体"/>
          <w:szCs w:val="21"/>
        </w:rPr>
        <w:t>1.2.1资金来源：财政性资金。</w:t>
      </w:r>
    </w:p>
    <w:p w14:paraId="4C7A9AE9">
      <w:pPr>
        <w:spacing w:line="360" w:lineRule="auto"/>
        <w:outlineLvl w:val="2"/>
        <w:rPr>
          <w:rFonts w:ascii="宋体" w:hAnsi="宋体"/>
          <w:b/>
          <w:szCs w:val="21"/>
        </w:rPr>
      </w:pPr>
      <w:r>
        <w:rPr>
          <w:rFonts w:hint="eastAsia" w:ascii="宋体" w:hAnsi="宋体"/>
          <w:b/>
          <w:szCs w:val="21"/>
        </w:rPr>
        <w:t>1.3 采购范围</w:t>
      </w:r>
    </w:p>
    <w:p w14:paraId="1695BAE8">
      <w:pPr>
        <w:spacing w:line="360" w:lineRule="auto"/>
        <w:ind w:firstLine="420" w:firstLineChars="200"/>
        <w:rPr>
          <w:rFonts w:ascii="宋体" w:hAnsi="宋体"/>
          <w:szCs w:val="21"/>
        </w:rPr>
      </w:pPr>
      <w:r>
        <w:rPr>
          <w:rFonts w:hint="eastAsia" w:ascii="宋体" w:hAnsi="宋体"/>
          <w:szCs w:val="21"/>
        </w:rPr>
        <w:t>1.3.1本次采购范围：见供应商须知前附表。</w:t>
      </w:r>
    </w:p>
    <w:p w14:paraId="09301D18">
      <w:pPr>
        <w:spacing w:line="360" w:lineRule="auto"/>
        <w:outlineLvl w:val="2"/>
        <w:rPr>
          <w:rFonts w:ascii="宋体" w:hAnsi="宋体"/>
          <w:b/>
          <w:szCs w:val="21"/>
        </w:rPr>
      </w:pPr>
      <w:r>
        <w:rPr>
          <w:rFonts w:hint="eastAsia" w:ascii="宋体" w:hAnsi="宋体"/>
          <w:b/>
          <w:szCs w:val="21"/>
        </w:rPr>
        <w:t>1.4 供应商资格要求</w:t>
      </w:r>
    </w:p>
    <w:p w14:paraId="15D8C7C9">
      <w:pPr>
        <w:spacing w:line="360" w:lineRule="auto"/>
        <w:ind w:firstLine="420" w:firstLineChars="200"/>
        <w:rPr>
          <w:rFonts w:ascii="宋体" w:hAnsi="宋体"/>
          <w:szCs w:val="21"/>
        </w:rPr>
      </w:pPr>
      <w:r>
        <w:rPr>
          <w:rFonts w:hint="eastAsia" w:ascii="宋体" w:hAnsi="宋体"/>
          <w:szCs w:val="21"/>
        </w:rPr>
        <w:t>1.4.1供应商应具备承担本项目的资质条件：见供应商须知前附表。</w:t>
      </w:r>
    </w:p>
    <w:p w14:paraId="387527FC">
      <w:pPr>
        <w:spacing w:line="360" w:lineRule="auto"/>
        <w:ind w:firstLine="420" w:firstLineChars="200"/>
        <w:rPr>
          <w:rFonts w:ascii="宋体" w:hAnsi="宋体"/>
          <w:szCs w:val="21"/>
        </w:rPr>
      </w:pPr>
      <w:r>
        <w:rPr>
          <w:rFonts w:hint="eastAsia" w:ascii="宋体" w:hAnsi="宋体"/>
          <w:szCs w:val="21"/>
        </w:rPr>
        <w:t>1.4.2单位负责人为同一人或者存在控股、管理关系的不同单位，不得同时参加本采购项目的磋商。</w:t>
      </w:r>
    </w:p>
    <w:p w14:paraId="018BD0B5">
      <w:pPr>
        <w:spacing w:line="360" w:lineRule="auto"/>
        <w:outlineLvl w:val="2"/>
        <w:rPr>
          <w:rFonts w:ascii="宋体" w:hAnsi="宋体"/>
          <w:b/>
          <w:szCs w:val="21"/>
        </w:rPr>
      </w:pPr>
      <w:r>
        <w:rPr>
          <w:rFonts w:hint="eastAsia" w:ascii="宋体" w:hAnsi="宋体"/>
          <w:b/>
          <w:szCs w:val="21"/>
        </w:rPr>
        <w:t>1.5 费用承担</w:t>
      </w:r>
    </w:p>
    <w:p w14:paraId="6BD26147">
      <w:pPr>
        <w:spacing w:line="360" w:lineRule="auto"/>
        <w:ind w:firstLine="420" w:firstLineChars="200"/>
        <w:rPr>
          <w:rFonts w:ascii="宋体" w:hAnsi="宋体"/>
          <w:szCs w:val="21"/>
        </w:rPr>
      </w:pPr>
      <w:r>
        <w:rPr>
          <w:rFonts w:hint="eastAsia" w:ascii="宋体" w:hAnsi="宋体"/>
          <w:szCs w:val="21"/>
        </w:rPr>
        <w:t>供应商准备和参加磋商活动发生的费用自理。</w:t>
      </w:r>
    </w:p>
    <w:p w14:paraId="00EAE379">
      <w:pPr>
        <w:spacing w:line="360" w:lineRule="auto"/>
        <w:outlineLvl w:val="2"/>
        <w:rPr>
          <w:rFonts w:ascii="宋体" w:hAnsi="宋体"/>
          <w:b/>
          <w:szCs w:val="21"/>
        </w:rPr>
      </w:pPr>
      <w:r>
        <w:rPr>
          <w:rFonts w:hint="eastAsia" w:ascii="宋体" w:hAnsi="宋体"/>
          <w:b/>
          <w:szCs w:val="21"/>
        </w:rPr>
        <w:t>1.6 保密</w:t>
      </w:r>
    </w:p>
    <w:p w14:paraId="4E254F94">
      <w:pPr>
        <w:spacing w:line="360" w:lineRule="auto"/>
        <w:ind w:firstLine="420" w:firstLineChars="200"/>
        <w:rPr>
          <w:rFonts w:ascii="宋体" w:hAnsi="宋体"/>
          <w:szCs w:val="21"/>
        </w:rPr>
      </w:pPr>
      <w:r>
        <w:rPr>
          <w:rFonts w:hint="eastAsia" w:ascii="宋体" w:hAnsi="宋体"/>
          <w:szCs w:val="21"/>
        </w:rPr>
        <w:t>参与采购活动的各方应对磋商文件和响应文件中的商业和技术等秘密保密，违者应对由此造成的后果承担法律责任。</w:t>
      </w:r>
    </w:p>
    <w:p w14:paraId="086ACA92">
      <w:pPr>
        <w:spacing w:line="360" w:lineRule="auto"/>
        <w:outlineLvl w:val="2"/>
        <w:rPr>
          <w:rFonts w:ascii="宋体" w:hAnsi="宋体"/>
          <w:b/>
          <w:szCs w:val="21"/>
        </w:rPr>
      </w:pPr>
      <w:r>
        <w:rPr>
          <w:rFonts w:hint="eastAsia" w:ascii="宋体" w:hAnsi="宋体"/>
          <w:b/>
          <w:szCs w:val="21"/>
        </w:rPr>
        <w:t>1.7 语言文字</w:t>
      </w:r>
    </w:p>
    <w:p w14:paraId="03E9EDE7">
      <w:pPr>
        <w:spacing w:line="360" w:lineRule="auto"/>
        <w:ind w:firstLine="420" w:firstLineChars="200"/>
        <w:rPr>
          <w:rFonts w:ascii="宋体" w:hAnsi="宋体"/>
          <w:szCs w:val="21"/>
        </w:rPr>
      </w:pPr>
      <w:r>
        <w:rPr>
          <w:rFonts w:hint="eastAsia" w:ascii="宋体" w:hAnsi="宋体"/>
          <w:szCs w:val="21"/>
        </w:rPr>
        <w:t>1.7.1供应商提交的响应文件以及供应商与采购代理机构就有关磋商所有来往书面文件均须使用中文简体。响应文件中如附有外文资料，必须对应翻译成中文并加盖供应商公章后附在相关外文资料后面，否则，供应商的响应文件将作为无效磋商响应处理。</w:t>
      </w:r>
    </w:p>
    <w:p w14:paraId="4058667F">
      <w:pPr>
        <w:spacing w:line="360" w:lineRule="auto"/>
        <w:ind w:firstLine="420" w:firstLineChars="200"/>
        <w:rPr>
          <w:rFonts w:ascii="宋体" w:hAnsi="宋体"/>
          <w:szCs w:val="21"/>
        </w:rPr>
      </w:pPr>
      <w:r>
        <w:rPr>
          <w:rFonts w:hint="eastAsia" w:ascii="宋体" w:hAnsi="宋体"/>
          <w:szCs w:val="21"/>
        </w:rPr>
        <w:t>1.7.2翻译的中文资料与外文资料如果出现差异和矛盾以中文为准。供应商不能以响应磋商文件为目的将不满足磋商文件要求和规定的响应故意翻译成满足的响应，否则，供应商的磋商将作为无效磋商响应处理。</w:t>
      </w:r>
    </w:p>
    <w:p w14:paraId="1A60FD17">
      <w:pPr>
        <w:spacing w:line="360" w:lineRule="auto"/>
        <w:outlineLvl w:val="2"/>
        <w:rPr>
          <w:rFonts w:ascii="宋体" w:hAnsi="宋体"/>
          <w:b/>
          <w:szCs w:val="21"/>
        </w:rPr>
      </w:pPr>
      <w:r>
        <w:rPr>
          <w:rFonts w:hint="eastAsia" w:ascii="宋体" w:hAnsi="宋体"/>
          <w:b/>
          <w:szCs w:val="21"/>
        </w:rPr>
        <w:t>1.8 计量单位</w:t>
      </w:r>
    </w:p>
    <w:p w14:paraId="15DA24DD">
      <w:pPr>
        <w:spacing w:line="360" w:lineRule="auto"/>
        <w:ind w:firstLine="420" w:firstLineChars="200"/>
        <w:rPr>
          <w:rFonts w:ascii="宋体" w:hAnsi="宋体"/>
          <w:szCs w:val="21"/>
        </w:rPr>
      </w:pPr>
      <w:r>
        <w:rPr>
          <w:rFonts w:hint="eastAsia" w:ascii="宋体" w:hAnsi="宋体"/>
          <w:szCs w:val="21"/>
        </w:rPr>
        <w:t>响应文件中所使用的计量单位，除技术规格及要求另有规定外，本采购项目的磋商及响应均采用中华人民共和国法定计量单位。</w:t>
      </w:r>
    </w:p>
    <w:p w14:paraId="6CC4ED07">
      <w:pPr>
        <w:spacing w:line="360" w:lineRule="auto"/>
        <w:outlineLvl w:val="2"/>
        <w:rPr>
          <w:rFonts w:ascii="宋体" w:hAnsi="宋体"/>
          <w:b/>
          <w:szCs w:val="21"/>
        </w:rPr>
      </w:pPr>
      <w:r>
        <w:rPr>
          <w:rFonts w:hint="eastAsia" w:ascii="宋体" w:hAnsi="宋体"/>
          <w:b/>
          <w:szCs w:val="21"/>
        </w:rPr>
        <w:t>1.9磋商文件取得</w:t>
      </w:r>
    </w:p>
    <w:p w14:paraId="59C60EF7">
      <w:pPr>
        <w:spacing w:line="360" w:lineRule="auto"/>
        <w:ind w:firstLine="420" w:firstLineChars="200"/>
        <w:rPr>
          <w:rFonts w:ascii="宋体" w:hAnsi="宋体"/>
          <w:szCs w:val="21"/>
        </w:rPr>
      </w:pPr>
      <w:r>
        <w:rPr>
          <w:rFonts w:hint="eastAsia" w:ascii="宋体" w:hAnsi="宋体"/>
          <w:szCs w:val="21"/>
        </w:rPr>
        <w:t>磋商公告在</w:t>
      </w:r>
      <w:r>
        <w:rPr>
          <w:rFonts w:hint="eastAsia" w:ascii="宋体" w:hAnsi="宋体"/>
          <w:b/>
          <w:bCs/>
          <w:szCs w:val="21"/>
          <w:highlight w:val="none"/>
          <w:lang w:val="en-US" w:eastAsia="zh-CN"/>
        </w:rPr>
        <w:t>陕西省政府采购网</w:t>
      </w:r>
      <w:r>
        <w:rPr>
          <w:rFonts w:hint="eastAsia" w:ascii="宋体" w:hAnsi="宋体"/>
          <w:szCs w:val="21"/>
          <w:highlight w:val="none"/>
        </w:rPr>
        <w:t>发布并</w:t>
      </w:r>
      <w:r>
        <w:rPr>
          <w:rFonts w:hint="eastAsia" w:ascii="宋体" w:hAnsi="宋体"/>
          <w:szCs w:val="21"/>
        </w:rPr>
        <w:t>以此为准，有意愿参与的合格供应商必须在采购代理机构获取磋商文件，凡未在采购代理机构获取本项目磋商文件或未在采购代理机构获取本项目磋商文件采取复制他人磋商文件的磋商响应将被拒绝。</w:t>
      </w:r>
    </w:p>
    <w:p w14:paraId="1E390973">
      <w:pPr>
        <w:spacing w:line="360" w:lineRule="auto"/>
        <w:outlineLvl w:val="2"/>
        <w:rPr>
          <w:rFonts w:ascii="宋体" w:hAnsi="宋体"/>
          <w:b/>
          <w:szCs w:val="21"/>
        </w:rPr>
      </w:pPr>
      <w:bookmarkStart w:id="16" w:name="_Toc52064303"/>
      <w:bookmarkStart w:id="17" w:name="_Toc48301710"/>
      <w:bookmarkStart w:id="18" w:name="_Toc52064846"/>
      <w:r>
        <w:rPr>
          <w:rFonts w:hint="eastAsia" w:ascii="宋体" w:hAnsi="宋体"/>
          <w:b/>
          <w:szCs w:val="21"/>
        </w:rPr>
        <w:t>1.10响应文件的货币单位</w:t>
      </w:r>
      <w:bookmarkEnd w:id="16"/>
      <w:bookmarkEnd w:id="17"/>
      <w:bookmarkEnd w:id="18"/>
    </w:p>
    <w:p w14:paraId="0D2C53F4">
      <w:pPr>
        <w:spacing w:line="360" w:lineRule="auto"/>
        <w:ind w:firstLine="420" w:firstLineChars="200"/>
        <w:rPr>
          <w:rFonts w:ascii="宋体" w:hAnsi="宋体"/>
          <w:szCs w:val="21"/>
        </w:rPr>
      </w:pPr>
      <w:r>
        <w:rPr>
          <w:rFonts w:hint="eastAsia" w:ascii="宋体" w:hAnsi="宋体"/>
          <w:szCs w:val="21"/>
        </w:rPr>
        <w:t>本项目响应文件所采用的货币单位：元</w:t>
      </w:r>
    </w:p>
    <w:p w14:paraId="789D5C94">
      <w:pPr>
        <w:spacing w:line="360" w:lineRule="auto"/>
        <w:outlineLvl w:val="2"/>
        <w:rPr>
          <w:rFonts w:ascii="宋体" w:hAnsi="宋体"/>
          <w:b/>
          <w:szCs w:val="21"/>
        </w:rPr>
      </w:pPr>
      <w:bookmarkStart w:id="19" w:name="_Toc52064847"/>
      <w:bookmarkStart w:id="20" w:name="_Toc48301711"/>
      <w:bookmarkStart w:id="21" w:name="_Toc52064304"/>
      <w:r>
        <w:rPr>
          <w:rFonts w:hint="eastAsia" w:ascii="宋体" w:hAnsi="宋体"/>
          <w:b/>
          <w:szCs w:val="21"/>
        </w:rPr>
        <w:t>1.11响应文件的响应范围</w:t>
      </w:r>
      <w:bookmarkEnd w:id="19"/>
      <w:bookmarkEnd w:id="20"/>
      <w:bookmarkEnd w:id="21"/>
    </w:p>
    <w:p w14:paraId="47F588A9">
      <w:pPr>
        <w:spacing w:line="360" w:lineRule="auto"/>
        <w:ind w:firstLine="420" w:firstLineChars="200"/>
        <w:rPr>
          <w:rFonts w:ascii="宋体" w:hAnsi="宋体"/>
          <w:szCs w:val="21"/>
        </w:rPr>
      </w:pPr>
      <w:r>
        <w:rPr>
          <w:rFonts w:hint="eastAsia" w:ascii="宋体" w:hAnsi="宋体"/>
          <w:szCs w:val="21"/>
        </w:rPr>
        <w:t>供应商可以对磋商文件中采购项目所列</w:t>
      </w:r>
      <w:r>
        <w:rPr>
          <w:rFonts w:hint="eastAsia" w:ascii="宋体" w:hAnsi="宋体"/>
          <w:szCs w:val="21"/>
          <w:lang w:val="en-US" w:eastAsia="zh-CN"/>
        </w:rPr>
        <w:t>需求</w:t>
      </w:r>
      <w:r>
        <w:rPr>
          <w:rFonts w:hint="eastAsia" w:ascii="宋体" w:hAnsi="宋体"/>
          <w:szCs w:val="21"/>
        </w:rPr>
        <w:t>进行响应，但不得将同一个包中的内容拆开磋商响应，将同一个包内容拆开的响应将按无效磋商响应处理。</w:t>
      </w:r>
    </w:p>
    <w:p w14:paraId="31888EA4">
      <w:pPr>
        <w:spacing w:line="360" w:lineRule="auto"/>
        <w:outlineLvl w:val="2"/>
        <w:rPr>
          <w:rFonts w:ascii="宋体" w:hAnsi="宋体"/>
          <w:b/>
          <w:szCs w:val="21"/>
        </w:rPr>
      </w:pPr>
      <w:bookmarkStart w:id="22" w:name="_Toc48301712"/>
      <w:bookmarkStart w:id="23" w:name="_Toc52064305"/>
      <w:bookmarkStart w:id="24" w:name="_Toc52064848"/>
      <w:r>
        <w:rPr>
          <w:rFonts w:hint="eastAsia" w:ascii="宋体" w:hAnsi="宋体"/>
          <w:b/>
          <w:szCs w:val="21"/>
        </w:rPr>
        <w:t>1.12联合体磋商响应的规定</w:t>
      </w:r>
      <w:bookmarkEnd w:id="22"/>
      <w:bookmarkEnd w:id="23"/>
      <w:bookmarkEnd w:id="24"/>
    </w:p>
    <w:p w14:paraId="5ED4FBD9">
      <w:pPr>
        <w:spacing w:line="360" w:lineRule="auto"/>
        <w:ind w:firstLine="420" w:firstLineChars="200"/>
        <w:rPr>
          <w:rFonts w:ascii="宋体" w:hAnsi="宋体"/>
          <w:szCs w:val="21"/>
        </w:rPr>
      </w:pPr>
      <w:r>
        <w:rPr>
          <w:rFonts w:hint="eastAsia" w:ascii="宋体" w:hAnsi="宋体"/>
          <w:szCs w:val="21"/>
        </w:rPr>
        <w:t>本次采购活动不接受联合体磋商响应。</w:t>
      </w:r>
    </w:p>
    <w:p w14:paraId="2BCE9E9B">
      <w:pPr>
        <w:spacing w:line="360" w:lineRule="auto"/>
        <w:outlineLvl w:val="2"/>
        <w:rPr>
          <w:rFonts w:ascii="宋体" w:hAnsi="宋体"/>
          <w:b/>
          <w:szCs w:val="21"/>
        </w:rPr>
      </w:pPr>
      <w:bookmarkStart w:id="25" w:name="_Toc48301713"/>
      <w:bookmarkStart w:id="26" w:name="_Toc52064849"/>
      <w:bookmarkStart w:id="27" w:name="_Toc52064306"/>
      <w:r>
        <w:rPr>
          <w:rFonts w:hint="eastAsia" w:ascii="宋体" w:hAnsi="宋体"/>
          <w:b/>
          <w:szCs w:val="21"/>
        </w:rPr>
        <w:t>1.13所涉及的知识产权</w:t>
      </w:r>
      <w:bookmarkEnd w:id="25"/>
      <w:bookmarkEnd w:id="26"/>
      <w:bookmarkEnd w:id="27"/>
    </w:p>
    <w:p w14:paraId="30A773EE">
      <w:pPr>
        <w:spacing w:line="360" w:lineRule="auto"/>
        <w:ind w:firstLine="420" w:firstLineChars="200"/>
        <w:rPr>
          <w:rFonts w:ascii="宋体" w:hAnsi="宋体"/>
          <w:szCs w:val="21"/>
        </w:rPr>
      </w:pPr>
      <w:r>
        <w:rPr>
          <w:rFonts w:hint="eastAsia" w:ascii="宋体" w:hAnsi="宋体"/>
          <w:szCs w:val="21"/>
        </w:rPr>
        <w:t>1.13.1供应商应保证对本项目响应的任何</w:t>
      </w:r>
      <w:r>
        <w:rPr>
          <w:rFonts w:hint="eastAsia" w:ascii="宋体" w:hAnsi="宋体"/>
          <w:szCs w:val="21"/>
          <w:lang w:val="en-US" w:eastAsia="zh-CN"/>
        </w:rPr>
        <w:t>内容</w:t>
      </w:r>
      <w:r>
        <w:rPr>
          <w:rFonts w:hint="eastAsia" w:ascii="宋体" w:hAnsi="宋体"/>
          <w:szCs w:val="21"/>
        </w:rPr>
        <w:t>（包括部分使用）时，不会产生因第三方提出侵犯其专利权、商标权或其它知识产权而引起的法律和经济纠纷，否则，由供应商承担所有相关责任。</w:t>
      </w:r>
    </w:p>
    <w:p w14:paraId="23174036">
      <w:pPr>
        <w:spacing w:line="360" w:lineRule="auto"/>
        <w:ind w:firstLine="420" w:firstLineChars="200"/>
        <w:rPr>
          <w:rFonts w:ascii="宋体" w:hAnsi="宋体"/>
          <w:szCs w:val="21"/>
        </w:rPr>
      </w:pPr>
      <w:r>
        <w:rPr>
          <w:rFonts w:hint="eastAsia" w:ascii="宋体" w:hAnsi="宋体"/>
          <w:szCs w:val="21"/>
        </w:rPr>
        <w:t>1.13.2采购人享有本项目实施过程中产生的知识成果及知识产权。</w:t>
      </w:r>
    </w:p>
    <w:p w14:paraId="4E072DC9">
      <w:pPr>
        <w:spacing w:line="360" w:lineRule="auto"/>
        <w:ind w:firstLine="420" w:firstLineChars="200"/>
        <w:rPr>
          <w:rFonts w:ascii="宋体" w:hAnsi="宋体"/>
          <w:szCs w:val="21"/>
        </w:rPr>
      </w:pPr>
      <w:r>
        <w:rPr>
          <w:rFonts w:hint="eastAsia" w:ascii="宋体" w:hAnsi="宋体"/>
          <w:szCs w:val="21"/>
        </w:rPr>
        <w:t>1.13.3供应商如欲在项目实施过程中采用自有知识成果，需在响应文件中声明并提供知识产权和市场准入的相关证明文件。使用该知识成果后，供应商需提供和开放开发接口和开发手册等技术文档，并承诺提供无限期技术支持，采购人享有永久使用权。</w:t>
      </w:r>
    </w:p>
    <w:p w14:paraId="04744D84">
      <w:pPr>
        <w:spacing w:line="360" w:lineRule="auto"/>
        <w:ind w:firstLine="420" w:firstLineChars="200"/>
        <w:rPr>
          <w:rFonts w:ascii="宋体" w:hAnsi="宋体"/>
          <w:szCs w:val="21"/>
        </w:rPr>
      </w:pPr>
      <w:r>
        <w:rPr>
          <w:rFonts w:hint="eastAsia" w:ascii="宋体" w:hAnsi="宋体"/>
          <w:szCs w:val="21"/>
        </w:rPr>
        <w:t>1.13.4如采用供应商所不拥有的知识产权，则在报价中必须包括合法获取该知识产权无限制使用的相关费用。</w:t>
      </w:r>
    </w:p>
    <w:p w14:paraId="7CCE7E17">
      <w:pPr>
        <w:spacing w:line="360" w:lineRule="auto"/>
        <w:outlineLvl w:val="2"/>
        <w:rPr>
          <w:rFonts w:ascii="宋体" w:hAnsi="宋体"/>
          <w:b/>
          <w:szCs w:val="21"/>
        </w:rPr>
      </w:pPr>
      <w:r>
        <w:rPr>
          <w:rFonts w:hint="eastAsia" w:ascii="宋体" w:hAnsi="宋体"/>
          <w:b/>
          <w:szCs w:val="21"/>
        </w:rPr>
        <w:t>1.14应落实的政府采购政策</w:t>
      </w:r>
    </w:p>
    <w:p w14:paraId="18C840F4">
      <w:pPr>
        <w:spacing w:line="360" w:lineRule="auto"/>
        <w:ind w:firstLine="525" w:firstLineChars="250"/>
        <w:rPr>
          <w:rFonts w:ascii="宋体" w:hAnsi="宋体"/>
          <w:szCs w:val="21"/>
        </w:rPr>
      </w:pPr>
      <w:r>
        <w:rPr>
          <w:rFonts w:hint="eastAsia" w:ascii="宋体" w:hAnsi="宋体"/>
          <w:szCs w:val="21"/>
        </w:rPr>
        <w:t>1.14.1对中小微企业、监狱企业、残疾人福利性单位的优惠政策</w:t>
      </w:r>
    </w:p>
    <w:p w14:paraId="55708936">
      <w:pPr>
        <w:spacing w:line="360" w:lineRule="auto"/>
        <w:ind w:firstLine="525" w:firstLineChars="250"/>
        <w:rPr>
          <w:rFonts w:ascii="宋体" w:hAnsi="宋体"/>
          <w:szCs w:val="21"/>
        </w:rPr>
      </w:pPr>
      <w:r>
        <w:rPr>
          <w:rFonts w:hint="eastAsia" w:ascii="宋体" w:hAnsi="宋体"/>
          <w:szCs w:val="21"/>
        </w:rPr>
        <w:t>（1）对于经主管预算单位统筹后未预留份额专门面向中小企业采购的采购项目，以及预留份额项目中的非预留部分采购包，根据《财政部关于进一步加大政府采购支持中小企业力度的通知》（财库〔2022〕19号）的有关规定，提供小微企业制造的货物、承接的服务（不包括使用大型、中型企业商号或者注册商标的货物）参与政府采购活动时对小型和微型企业产品的报价给予10%—20%的扣除，政府采购工程的价格评审优惠执行《政府采购促进中小企业发展管理办法》财库〔2020〕46号文件，对小型和微型企业产品的报价给予3%—5%的扣除（实际价格扣除比例以第三章《评审标准和方法》中的具体规定为准），用扣除后的价格参加评审。同时，依据该办法第四条第二款规定在货物采购项目中，供应商提供的货物既有中小企业制造货物，也有大型企业制造货物的，不享受中小企业扶持政策。</w:t>
      </w:r>
    </w:p>
    <w:p w14:paraId="594CBBC6">
      <w:pPr>
        <w:spacing w:line="360" w:lineRule="auto"/>
        <w:ind w:firstLine="525" w:firstLineChars="250"/>
        <w:rPr>
          <w:rFonts w:ascii="宋体" w:hAnsi="宋体"/>
          <w:szCs w:val="21"/>
        </w:rPr>
      </w:pPr>
      <w:r>
        <w:rPr>
          <w:rFonts w:hint="eastAsia" w:ascii="宋体" w:hAnsi="宋体"/>
          <w:szCs w:val="21"/>
        </w:rPr>
        <w:t>（2）根据财政部、司法部联合下发的《关于政府采购支持监狱企业发展有关问题的通知》（财库〔2014〕68号）的规定，监狱企业视同小型、微型企业。</w:t>
      </w:r>
    </w:p>
    <w:p w14:paraId="6FCC8EFE">
      <w:pPr>
        <w:spacing w:line="360" w:lineRule="auto"/>
        <w:ind w:firstLine="525" w:firstLineChars="250"/>
        <w:rPr>
          <w:rFonts w:ascii="宋体" w:hAnsi="宋体"/>
          <w:szCs w:val="21"/>
        </w:rPr>
      </w:pPr>
      <w:r>
        <w:rPr>
          <w:rFonts w:hint="eastAsia" w:ascii="宋体" w:hAnsi="宋体"/>
          <w:szCs w:val="21"/>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5968DFA">
      <w:pPr>
        <w:spacing w:line="360" w:lineRule="auto"/>
        <w:ind w:firstLine="525" w:firstLineChars="250"/>
        <w:rPr>
          <w:rFonts w:ascii="宋体" w:hAnsi="宋体"/>
          <w:szCs w:val="21"/>
        </w:rPr>
      </w:pPr>
      <w:r>
        <w:rPr>
          <w:rFonts w:hint="eastAsia" w:ascii="宋体" w:hAnsi="宋体"/>
          <w:szCs w:val="21"/>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但不影响响应文件的有效性。</w:t>
      </w:r>
    </w:p>
    <w:p w14:paraId="4BD17248">
      <w:pPr>
        <w:spacing w:line="360" w:lineRule="auto"/>
        <w:ind w:firstLine="525" w:firstLineChars="250"/>
        <w:rPr>
          <w:rFonts w:ascii="宋体" w:hAnsi="宋体"/>
          <w:szCs w:val="21"/>
        </w:rPr>
      </w:pPr>
      <w:r>
        <w:rPr>
          <w:rFonts w:hint="eastAsia" w:ascii="宋体" w:hAnsi="宋体"/>
          <w:szCs w:val="21"/>
        </w:rPr>
        <w:t>1.14.2节能、环保产品采购政策</w:t>
      </w:r>
    </w:p>
    <w:p w14:paraId="3D1A126B">
      <w:pPr>
        <w:spacing w:line="360" w:lineRule="auto"/>
        <w:ind w:firstLine="525" w:firstLineChars="250"/>
        <w:rPr>
          <w:rFonts w:ascii="宋体" w:hAnsi="宋体"/>
          <w:szCs w:val="21"/>
        </w:rPr>
      </w:pPr>
      <w:r>
        <w:rPr>
          <w:rFonts w:hint="eastAsia" w:ascii="宋体" w:hAnsi="宋体"/>
          <w:szCs w:val="21"/>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2C4159AE">
      <w:pPr>
        <w:spacing w:line="360" w:lineRule="auto"/>
        <w:ind w:firstLine="525" w:firstLineChars="250"/>
        <w:rPr>
          <w:rFonts w:ascii="宋体" w:hAnsi="宋体"/>
          <w:szCs w:val="21"/>
        </w:rPr>
      </w:pPr>
      <w:r>
        <w:rPr>
          <w:rFonts w:hint="eastAsia" w:ascii="宋体" w:hAnsi="宋体"/>
          <w:szCs w:val="21"/>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21A34A3">
      <w:pPr>
        <w:spacing w:line="360" w:lineRule="auto"/>
        <w:ind w:firstLine="525" w:firstLineChars="250"/>
        <w:rPr>
          <w:rFonts w:ascii="宋体" w:hAnsi="宋体"/>
          <w:szCs w:val="21"/>
        </w:rPr>
      </w:pPr>
      <w:r>
        <w:rPr>
          <w:rFonts w:hint="eastAsia" w:ascii="宋体" w:hAnsi="宋体"/>
          <w:szCs w:val="21"/>
        </w:rPr>
        <w:t>（3）《节能产品政府采购品目清单》见财政部、发展改革委《关于印发节能产品政府采购品目清单的通知》（财库〔2019〕19号）附件。</w:t>
      </w:r>
    </w:p>
    <w:p w14:paraId="2262358C">
      <w:pPr>
        <w:spacing w:line="360" w:lineRule="auto"/>
        <w:ind w:firstLine="525" w:firstLineChars="250"/>
        <w:rPr>
          <w:rFonts w:ascii="宋体" w:hAnsi="宋体"/>
          <w:szCs w:val="21"/>
        </w:rPr>
      </w:pPr>
      <w:r>
        <w:rPr>
          <w:rFonts w:hint="eastAsia" w:ascii="宋体" w:hAnsi="宋体"/>
          <w:szCs w:val="21"/>
        </w:rPr>
        <w:t>（4）《环境标志产品政府采购品目清单》见财政部、生态环境部《关于印发环境标志产品政府采购品目清单的通知》（财库〔2019〕18号）附件。</w:t>
      </w:r>
    </w:p>
    <w:p w14:paraId="2CACF7A7">
      <w:pPr>
        <w:spacing w:line="360" w:lineRule="auto"/>
        <w:ind w:firstLine="525" w:firstLineChars="250"/>
        <w:rPr>
          <w:rFonts w:ascii="宋体" w:hAnsi="宋体"/>
          <w:szCs w:val="21"/>
        </w:rPr>
      </w:pPr>
      <w:r>
        <w:rPr>
          <w:rFonts w:hint="eastAsia" w:ascii="宋体" w:hAnsi="宋体"/>
          <w:szCs w:val="21"/>
        </w:rPr>
        <w:t>（5）“国家确定的认证机构”名单见市场监管总局《关于发布参与实施政府采购节能产品、环境标志产品认证机构名录的公告》（2019年第16号）。</w:t>
      </w:r>
    </w:p>
    <w:p w14:paraId="02A59990">
      <w:pPr>
        <w:spacing w:line="360" w:lineRule="auto"/>
        <w:ind w:firstLine="525" w:firstLineChars="250"/>
        <w:rPr>
          <w:rFonts w:ascii="宋体" w:hAnsi="宋体"/>
          <w:szCs w:val="21"/>
        </w:rPr>
      </w:pPr>
      <w:r>
        <w:rPr>
          <w:rFonts w:hint="eastAsia" w:ascii="宋体" w:hAnsi="宋体"/>
          <w:szCs w:val="21"/>
        </w:rPr>
        <w:t>1.14.3陕西省中小企业政府采购信用融资办法</w:t>
      </w:r>
    </w:p>
    <w:p w14:paraId="2600DF43">
      <w:pPr>
        <w:spacing w:line="360" w:lineRule="auto"/>
        <w:ind w:firstLine="525" w:firstLineChars="250"/>
        <w:rPr>
          <w:rFonts w:ascii="宋体" w:hAnsi="宋体"/>
          <w:szCs w:val="21"/>
        </w:rPr>
      </w:pPr>
      <w:r>
        <w:rPr>
          <w:rFonts w:hint="eastAsia" w:ascii="宋体" w:hAnsi="宋体"/>
          <w:szCs w:val="21"/>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陕西省财政厅、中国人民银行西安分行关于深入推进政府采购信用融资业务的通知》（陕财办采〔2023〕5号）。</w:t>
      </w:r>
    </w:p>
    <w:p w14:paraId="074A953A">
      <w:pPr>
        <w:pStyle w:val="3"/>
        <w:rPr>
          <w:sz w:val="22"/>
          <w:szCs w:val="16"/>
        </w:rPr>
      </w:pPr>
      <w:r>
        <w:rPr>
          <w:rFonts w:hint="eastAsia"/>
          <w:sz w:val="22"/>
          <w:szCs w:val="16"/>
        </w:rPr>
        <w:t>二、</w:t>
      </w:r>
      <w:bookmarkEnd w:id="9"/>
      <w:bookmarkEnd w:id="10"/>
      <w:bookmarkEnd w:id="11"/>
      <w:bookmarkEnd w:id="12"/>
      <w:bookmarkEnd w:id="13"/>
      <w:bookmarkEnd w:id="14"/>
      <w:bookmarkEnd w:id="15"/>
      <w:r>
        <w:rPr>
          <w:rFonts w:hint="eastAsia"/>
          <w:sz w:val="22"/>
          <w:szCs w:val="16"/>
        </w:rPr>
        <w:t>磋商文件</w:t>
      </w:r>
    </w:p>
    <w:p w14:paraId="534B822C">
      <w:pPr>
        <w:spacing w:line="360" w:lineRule="auto"/>
        <w:ind w:firstLine="420" w:firstLineChars="200"/>
        <w:jc w:val="left"/>
        <w:rPr>
          <w:rFonts w:ascii="宋体" w:hAnsi="宋体" w:cs="宋体"/>
          <w:szCs w:val="21"/>
        </w:rPr>
      </w:pPr>
      <w:r>
        <w:rPr>
          <w:rFonts w:hint="eastAsia" w:ascii="宋体" w:hAnsi="宋体" w:cs="宋体"/>
          <w:szCs w:val="21"/>
        </w:rPr>
        <w:t>2.1磋商文件的构成</w:t>
      </w:r>
    </w:p>
    <w:p w14:paraId="12CDC35B">
      <w:pPr>
        <w:spacing w:line="360" w:lineRule="auto"/>
        <w:ind w:firstLine="525" w:firstLineChars="250"/>
        <w:rPr>
          <w:rFonts w:ascii="宋体" w:hAnsi="宋体"/>
          <w:szCs w:val="21"/>
        </w:rPr>
      </w:pPr>
      <w:r>
        <w:rPr>
          <w:rFonts w:hint="eastAsia" w:ascii="宋体" w:hAnsi="宋体"/>
          <w:szCs w:val="21"/>
        </w:rPr>
        <w:t>2.1.1磋商文件包括下列内容：</w:t>
      </w:r>
    </w:p>
    <w:p w14:paraId="7ACC26B6">
      <w:pPr>
        <w:spacing w:line="360" w:lineRule="auto"/>
        <w:ind w:firstLine="420" w:firstLineChars="200"/>
        <w:jc w:val="left"/>
        <w:rPr>
          <w:rFonts w:ascii="宋体" w:hAnsi="宋体" w:cs="宋体"/>
          <w:szCs w:val="21"/>
        </w:rPr>
      </w:pPr>
      <w:r>
        <w:fldChar w:fldCharType="begin"/>
      </w:r>
      <w:r>
        <w:instrText xml:space="preserve"> HYPERLINK \l "_Toc749" </w:instrText>
      </w:r>
      <w:r>
        <w:fldChar w:fldCharType="separate"/>
      </w:r>
      <w:r>
        <w:rPr>
          <w:rFonts w:hint="eastAsia" w:ascii="宋体" w:hAnsi="宋体" w:cs="宋体"/>
          <w:szCs w:val="21"/>
        </w:rPr>
        <w:t>第一章  竞争性磋商公告</w:t>
      </w:r>
      <w:r>
        <w:rPr>
          <w:rFonts w:hint="eastAsia" w:ascii="宋体" w:hAnsi="宋体" w:cs="宋体"/>
          <w:szCs w:val="21"/>
        </w:rPr>
        <w:fldChar w:fldCharType="end"/>
      </w:r>
    </w:p>
    <w:p w14:paraId="04F61E37">
      <w:pPr>
        <w:spacing w:line="360" w:lineRule="auto"/>
        <w:ind w:firstLine="420" w:firstLineChars="200"/>
        <w:jc w:val="left"/>
        <w:rPr>
          <w:rFonts w:ascii="宋体" w:hAnsi="宋体" w:cs="宋体"/>
          <w:szCs w:val="21"/>
        </w:rPr>
      </w:pPr>
      <w:r>
        <w:fldChar w:fldCharType="begin"/>
      </w:r>
      <w:r>
        <w:instrText xml:space="preserve"> HYPERLINK \l "_Toc30014" </w:instrText>
      </w:r>
      <w:r>
        <w:fldChar w:fldCharType="separate"/>
      </w:r>
      <w:r>
        <w:rPr>
          <w:rFonts w:hint="eastAsia" w:ascii="宋体" w:hAnsi="宋体" w:cs="宋体"/>
          <w:szCs w:val="21"/>
        </w:rPr>
        <w:t>第二章  供应商须知</w:t>
      </w:r>
      <w:r>
        <w:rPr>
          <w:rFonts w:hint="eastAsia" w:ascii="宋体" w:hAnsi="宋体" w:cs="宋体"/>
          <w:szCs w:val="21"/>
        </w:rPr>
        <w:fldChar w:fldCharType="end"/>
      </w:r>
    </w:p>
    <w:p w14:paraId="70F1CE76">
      <w:pPr>
        <w:spacing w:line="360" w:lineRule="auto"/>
        <w:ind w:firstLine="420" w:firstLineChars="200"/>
        <w:jc w:val="left"/>
        <w:rPr>
          <w:rFonts w:ascii="宋体" w:hAnsi="宋体" w:cs="宋体"/>
          <w:szCs w:val="21"/>
        </w:rPr>
      </w:pPr>
      <w:r>
        <w:fldChar w:fldCharType="begin"/>
      </w:r>
      <w:r>
        <w:instrText xml:space="preserve"> HYPERLINK \l "_Toc12410" </w:instrText>
      </w:r>
      <w:r>
        <w:fldChar w:fldCharType="separate"/>
      </w:r>
      <w:r>
        <w:rPr>
          <w:rFonts w:hint="eastAsia" w:ascii="宋体" w:hAnsi="宋体" w:cs="宋体"/>
          <w:szCs w:val="21"/>
        </w:rPr>
        <w:t>第三章  评审标准及方法</w:t>
      </w:r>
      <w:r>
        <w:rPr>
          <w:rFonts w:hint="eastAsia" w:ascii="宋体" w:hAnsi="宋体" w:cs="宋体"/>
          <w:szCs w:val="21"/>
        </w:rPr>
        <w:fldChar w:fldCharType="end"/>
      </w:r>
    </w:p>
    <w:p w14:paraId="078A84B3">
      <w:pPr>
        <w:spacing w:line="360" w:lineRule="auto"/>
        <w:ind w:firstLine="420" w:firstLineChars="200"/>
        <w:jc w:val="left"/>
        <w:rPr>
          <w:rFonts w:ascii="宋体" w:hAnsi="宋体" w:cs="宋体"/>
          <w:szCs w:val="21"/>
        </w:rPr>
      </w:pPr>
      <w:r>
        <w:fldChar w:fldCharType="begin"/>
      </w:r>
      <w:r>
        <w:instrText xml:space="preserve"> HYPERLINK \l "_Toc1391" </w:instrText>
      </w:r>
      <w:r>
        <w:fldChar w:fldCharType="separate"/>
      </w:r>
      <w:r>
        <w:rPr>
          <w:rFonts w:hint="eastAsia" w:ascii="宋体" w:hAnsi="宋体" w:cs="宋体"/>
          <w:szCs w:val="21"/>
        </w:rPr>
        <w:t>第四章  合同条款</w:t>
      </w:r>
      <w:r>
        <w:rPr>
          <w:rFonts w:hint="eastAsia" w:ascii="宋体" w:hAnsi="宋体" w:cs="宋体"/>
          <w:szCs w:val="21"/>
        </w:rPr>
        <w:fldChar w:fldCharType="end"/>
      </w:r>
    </w:p>
    <w:p w14:paraId="68117601">
      <w:pPr>
        <w:spacing w:line="360" w:lineRule="auto"/>
        <w:ind w:firstLine="420" w:firstLineChars="200"/>
        <w:jc w:val="left"/>
        <w:rPr>
          <w:rFonts w:ascii="宋体" w:hAnsi="宋体" w:cs="宋体"/>
          <w:szCs w:val="21"/>
        </w:rPr>
      </w:pPr>
      <w:r>
        <w:fldChar w:fldCharType="begin"/>
      </w:r>
      <w:r>
        <w:instrText xml:space="preserve"> HYPERLINK \l "_Toc31497" </w:instrText>
      </w:r>
      <w:r>
        <w:fldChar w:fldCharType="separate"/>
      </w:r>
      <w:r>
        <w:rPr>
          <w:rFonts w:hint="eastAsia" w:ascii="宋体" w:hAnsi="宋体" w:cs="宋体"/>
          <w:szCs w:val="21"/>
        </w:rPr>
        <w:t>第五章  采购</w:t>
      </w:r>
      <w:r>
        <w:rPr>
          <w:rFonts w:hint="eastAsia" w:ascii="宋体" w:hAnsi="宋体" w:cs="宋体"/>
          <w:szCs w:val="21"/>
        </w:rPr>
        <w:fldChar w:fldCharType="end"/>
      </w:r>
      <w:r>
        <w:rPr>
          <w:rFonts w:hint="eastAsia" w:ascii="宋体" w:hAnsi="宋体" w:cs="宋体"/>
          <w:szCs w:val="21"/>
        </w:rPr>
        <w:t>内容及要求</w:t>
      </w:r>
    </w:p>
    <w:p w14:paraId="00E9004D">
      <w:pPr>
        <w:spacing w:line="360" w:lineRule="auto"/>
        <w:ind w:firstLine="420" w:firstLineChars="200"/>
        <w:jc w:val="left"/>
        <w:rPr>
          <w:rFonts w:ascii="宋体" w:hAnsi="宋体" w:cs="宋体"/>
          <w:szCs w:val="21"/>
        </w:rPr>
      </w:pPr>
      <w:r>
        <w:fldChar w:fldCharType="begin"/>
      </w:r>
      <w:r>
        <w:instrText xml:space="preserve"> HYPERLINK \l "_Toc396" </w:instrText>
      </w:r>
      <w:r>
        <w:fldChar w:fldCharType="separate"/>
      </w:r>
      <w:r>
        <w:rPr>
          <w:rFonts w:hint="eastAsia" w:ascii="宋体" w:hAnsi="宋体" w:cs="宋体"/>
          <w:szCs w:val="21"/>
        </w:rPr>
        <w:t>第六章  响应文件格式</w:t>
      </w:r>
      <w:r>
        <w:rPr>
          <w:rFonts w:hint="eastAsia" w:ascii="宋体" w:hAnsi="宋体" w:cs="宋体"/>
          <w:szCs w:val="21"/>
        </w:rPr>
        <w:fldChar w:fldCharType="end"/>
      </w:r>
    </w:p>
    <w:p w14:paraId="05BD27B9">
      <w:pPr>
        <w:spacing w:line="360" w:lineRule="auto"/>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_Toc21540 </w:instrText>
      </w:r>
      <w:r>
        <w:rPr>
          <w:rFonts w:hint="eastAsia" w:ascii="宋体" w:hAnsi="宋体" w:cs="宋体"/>
          <w:szCs w:val="21"/>
        </w:rPr>
        <w:fldChar w:fldCharType="separate"/>
      </w:r>
      <w:r>
        <w:rPr>
          <w:rFonts w:hint="eastAsia" w:ascii="宋体" w:hAnsi="宋体" w:cs="宋体"/>
          <w:szCs w:val="21"/>
        </w:rPr>
        <w:t>第七章  质疑和投诉</w:t>
      </w:r>
    </w:p>
    <w:p w14:paraId="44A99BF4">
      <w:pPr>
        <w:spacing w:line="360" w:lineRule="auto"/>
        <w:ind w:firstLine="420" w:firstLineChars="200"/>
        <w:jc w:val="left"/>
        <w:rPr>
          <w:rFonts w:ascii="宋体" w:hAnsi="宋体" w:cs="宋体"/>
          <w:szCs w:val="21"/>
        </w:rPr>
      </w:pPr>
      <w:r>
        <w:rPr>
          <w:rFonts w:hint="eastAsia" w:ascii="宋体" w:hAnsi="宋体" w:cs="宋体"/>
          <w:szCs w:val="21"/>
        </w:rPr>
        <w:fldChar w:fldCharType="end"/>
      </w:r>
      <w:r>
        <w:rPr>
          <w:rFonts w:hint="eastAsia" w:ascii="宋体" w:hAnsi="宋体" w:cs="宋体"/>
          <w:szCs w:val="21"/>
        </w:rPr>
        <w:t>2.1.2采购代理机构以书面形式发给供应商的解释、修改、补充通知等也是本磋商文件的正式组成部分。</w:t>
      </w:r>
    </w:p>
    <w:p w14:paraId="39D0CA5F">
      <w:pPr>
        <w:spacing w:line="360" w:lineRule="auto"/>
        <w:ind w:firstLine="420" w:firstLineChars="200"/>
        <w:jc w:val="left"/>
        <w:rPr>
          <w:rFonts w:ascii="宋体" w:hAnsi="宋体" w:cs="宋体"/>
          <w:szCs w:val="21"/>
        </w:rPr>
      </w:pPr>
      <w:bookmarkStart w:id="28" w:name="_Toc48301700"/>
      <w:bookmarkStart w:id="29" w:name="_Toc52064835"/>
      <w:bookmarkStart w:id="30" w:name="_Toc52064292"/>
      <w:r>
        <w:rPr>
          <w:rFonts w:hint="eastAsia" w:ascii="宋体" w:hAnsi="宋体" w:cs="宋体"/>
          <w:szCs w:val="21"/>
        </w:rPr>
        <w:t>2.2磋商文件澄清或者修改</w:t>
      </w:r>
      <w:bookmarkEnd w:id="28"/>
      <w:bookmarkEnd w:id="29"/>
      <w:bookmarkEnd w:id="30"/>
    </w:p>
    <w:p w14:paraId="19F07A3A">
      <w:pPr>
        <w:spacing w:line="360" w:lineRule="auto"/>
        <w:ind w:firstLine="420" w:firstLineChars="200"/>
        <w:jc w:val="left"/>
        <w:rPr>
          <w:rFonts w:ascii="宋体" w:hAnsi="宋体" w:cs="宋体"/>
          <w:szCs w:val="21"/>
        </w:rPr>
      </w:pPr>
      <w:r>
        <w:rPr>
          <w:rFonts w:hint="eastAsia" w:ascii="宋体" w:hAnsi="宋体" w:cs="宋体"/>
          <w:szCs w:val="21"/>
        </w:rPr>
        <w:t>2.2.1采购代理机构可以对已发出的磋商文件进行必要澄清和修改，但不得改变采购标的和资格条件。澄清或者修改应当在原公告发布媒体上发布澄清公告。澄清或修改的内容为磋商文件组成部分。</w:t>
      </w:r>
    </w:p>
    <w:p w14:paraId="398DC322">
      <w:pPr>
        <w:spacing w:line="360" w:lineRule="auto"/>
        <w:ind w:firstLine="420" w:firstLineChars="200"/>
        <w:jc w:val="left"/>
        <w:rPr>
          <w:rFonts w:ascii="宋体" w:hAnsi="宋体" w:cs="宋体"/>
          <w:szCs w:val="21"/>
        </w:rPr>
      </w:pPr>
      <w:r>
        <w:rPr>
          <w:rFonts w:hint="eastAsia" w:ascii="宋体" w:hAnsi="宋体" w:cs="宋体"/>
          <w:szCs w:val="21"/>
        </w:rPr>
        <w:t>2.2.2提交首次响应文件截止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E83D4CF">
      <w:pPr>
        <w:pStyle w:val="3"/>
        <w:rPr>
          <w:sz w:val="22"/>
          <w:szCs w:val="16"/>
        </w:rPr>
      </w:pPr>
      <w:bookmarkStart w:id="31" w:name="_Toc14169"/>
      <w:bookmarkStart w:id="32" w:name="_Toc54404816"/>
      <w:bookmarkStart w:id="33" w:name="_Toc250572265"/>
      <w:bookmarkStart w:id="34" w:name="_Toc269407613"/>
      <w:bookmarkStart w:id="35" w:name="_Toc67552689"/>
      <w:bookmarkStart w:id="36" w:name="_Toc235544704"/>
      <w:bookmarkStart w:id="37" w:name="_Toc238899379"/>
      <w:r>
        <w:rPr>
          <w:rFonts w:hint="eastAsia"/>
          <w:sz w:val="22"/>
          <w:szCs w:val="16"/>
        </w:rPr>
        <w:t>三、</w:t>
      </w:r>
      <w:bookmarkEnd w:id="31"/>
      <w:bookmarkEnd w:id="32"/>
      <w:bookmarkEnd w:id="33"/>
      <w:bookmarkEnd w:id="34"/>
      <w:bookmarkEnd w:id="35"/>
      <w:bookmarkEnd w:id="36"/>
      <w:bookmarkEnd w:id="37"/>
      <w:r>
        <w:rPr>
          <w:rFonts w:hint="eastAsia"/>
          <w:sz w:val="22"/>
          <w:szCs w:val="16"/>
        </w:rPr>
        <w:t>响应文件</w:t>
      </w:r>
    </w:p>
    <w:p w14:paraId="7287BA6D">
      <w:pPr>
        <w:spacing w:line="360" w:lineRule="auto"/>
        <w:ind w:firstLine="420" w:firstLineChars="200"/>
        <w:jc w:val="left"/>
        <w:rPr>
          <w:rFonts w:ascii="宋体" w:hAnsi="宋体" w:cs="宋体"/>
          <w:szCs w:val="21"/>
        </w:rPr>
      </w:pPr>
      <w:r>
        <w:rPr>
          <w:rFonts w:hint="eastAsia" w:ascii="宋体" w:hAnsi="宋体" w:cs="宋体"/>
          <w:szCs w:val="21"/>
        </w:rPr>
        <w:t>3.1磋商响应要求</w:t>
      </w:r>
    </w:p>
    <w:p w14:paraId="5C07CE66">
      <w:pPr>
        <w:spacing w:line="360" w:lineRule="auto"/>
        <w:ind w:firstLine="420" w:firstLineChars="200"/>
        <w:jc w:val="left"/>
        <w:rPr>
          <w:rFonts w:ascii="宋体" w:hAnsi="宋体" w:cs="宋体"/>
          <w:szCs w:val="21"/>
        </w:rPr>
      </w:pPr>
      <w:r>
        <w:rPr>
          <w:rFonts w:hint="eastAsia" w:ascii="宋体" w:hAnsi="宋体" w:cs="宋体"/>
          <w:szCs w:val="21"/>
        </w:rPr>
        <w:t>3.1.1 供应商获取磋商文件后，应仔细检查磋商文件的所有内容，如有残缺、印刷不清等问题应在获得磋商文件2日内向采购代理机构提出，否则，由此引起的损失由供应商自行承担。供应商同时应认真阅读磋商文件中的所有内容、格式、条款和规范要求，按磋商文件的要求编写和提交响应文件，并保证所提供的全部资料的真实性。若供应商的响应文件没有按磋商文件要求提交，或响应文件没有对磋商文件作出实质性的响应等，根据相关条款规定其磋商响应可能被拒绝。</w:t>
      </w:r>
    </w:p>
    <w:p w14:paraId="328600FD">
      <w:pPr>
        <w:spacing w:line="360" w:lineRule="auto"/>
        <w:ind w:firstLine="420" w:firstLineChars="200"/>
        <w:jc w:val="left"/>
        <w:rPr>
          <w:rFonts w:ascii="宋体" w:hAnsi="宋体" w:cs="宋体"/>
          <w:szCs w:val="21"/>
        </w:rPr>
      </w:pPr>
      <w:r>
        <w:rPr>
          <w:rFonts w:hint="eastAsia" w:ascii="宋体" w:hAnsi="宋体" w:cs="宋体"/>
          <w:szCs w:val="21"/>
        </w:rPr>
        <w:t>3.2响应文件的组成</w:t>
      </w:r>
    </w:p>
    <w:p w14:paraId="59E0ACE5">
      <w:pPr>
        <w:spacing w:line="360" w:lineRule="auto"/>
        <w:ind w:firstLine="420" w:firstLineChars="200"/>
        <w:jc w:val="left"/>
        <w:rPr>
          <w:rFonts w:ascii="宋体" w:hAnsi="宋体" w:cs="宋体"/>
          <w:szCs w:val="21"/>
        </w:rPr>
      </w:pPr>
      <w:r>
        <w:rPr>
          <w:rFonts w:hint="eastAsia" w:ascii="宋体" w:hAnsi="宋体" w:cs="宋体"/>
          <w:szCs w:val="21"/>
        </w:rPr>
        <w:t>响应文件由以下内容、并按顺序以及提供的格式（如有）组成：</w:t>
      </w:r>
    </w:p>
    <w:p w14:paraId="1B55B5DE">
      <w:pPr>
        <w:spacing w:line="360" w:lineRule="auto"/>
        <w:ind w:firstLine="420" w:firstLineChars="200"/>
        <w:jc w:val="left"/>
        <w:rPr>
          <w:rFonts w:ascii="宋体" w:hAnsi="宋体" w:cs="宋体"/>
          <w:szCs w:val="21"/>
        </w:rPr>
      </w:pPr>
      <w:r>
        <w:rPr>
          <w:rFonts w:hint="eastAsia" w:ascii="宋体" w:hAnsi="宋体" w:cs="宋体"/>
          <w:szCs w:val="21"/>
        </w:rPr>
        <w:t>一  磋商响应函</w:t>
      </w:r>
    </w:p>
    <w:p w14:paraId="422ED5F9">
      <w:pPr>
        <w:spacing w:line="360" w:lineRule="auto"/>
        <w:ind w:firstLine="420" w:firstLineChars="200"/>
        <w:jc w:val="left"/>
        <w:rPr>
          <w:rFonts w:ascii="宋体" w:hAnsi="宋体" w:cs="宋体"/>
          <w:szCs w:val="21"/>
        </w:rPr>
      </w:pPr>
      <w:r>
        <w:rPr>
          <w:rFonts w:hint="eastAsia" w:ascii="宋体" w:hAnsi="宋体" w:cs="宋体"/>
          <w:szCs w:val="21"/>
        </w:rPr>
        <w:t>二  磋商一览表</w:t>
      </w:r>
    </w:p>
    <w:p w14:paraId="19D38082">
      <w:pPr>
        <w:spacing w:line="360" w:lineRule="auto"/>
        <w:ind w:firstLine="420" w:firstLineChars="200"/>
        <w:jc w:val="left"/>
        <w:rPr>
          <w:rFonts w:ascii="宋体" w:hAnsi="宋体" w:cs="宋体"/>
          <w:szCs w:val="21"/>
        </w:rPr>
      </w:pPr>
      <w:r>
        <w:rPr>
          <w:rFonts w:hint="eastAsia" w:ascii="宋体" w:hAnsi="宋体" w:cs="宋体"/>
          <w:szCs w:val="21"/>
        </w:rPr>
        <w:t>三  供应商资格</w:t>
      </w:r>
    </w:p>
    <w:p w14:paraId="61F5C6E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四  </w:t>
      </w:r>
      <w:r>
        <w:rPr>
          <w:rFonts w:hint="eastAsia" w:ascii="宋体" w:hAnsi="宋体" w:cs="宋体"/>
          <w:szCs w:val="21"/>
          <w:highlight w:val="none"/>
          <w:lang w:val="en-US" w:eastAsia="zh-CN"/>
        </w:rPr>
        <w:t>技术商务</w:t>
      </w:r>
      <w:r>
        <w:rPr>
          <w:rFonts w:hint="eastAsia" w:ascii="宋体" w:hAnsi="宋体" w:cs="宋体"/>
          <w:szCs w:val="21"/>
          <w:highlight w:val="none"/>
        </w:rPr>
        <w:t>方案</w:t>
      </w:r>
    </w:p>
    <w:p w14:paraId="2CDC774B">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五  </w:t>
      </w:r>
      <w:r>
        <w:rPr>
          <w:rFonts w:hint="eastAsia" w:ascii="宋体" w:hAnsi="宋体" w:cs="宋体"/>
          <w:szCs w:val="21"/>
          <w:highlight w:val="none"/>
          <w:lang w:val="en-US" w:eastAsia="zh-CN"/>
        </w:rPr>
        <w:t>商务响应偏离表</w:t>
      </w:r>
    </w:p>
    <w:p w14:paraId="20D936E3">
      <w:pPr>
        <w:spacing w:line="360" w:lineRule="auto"/>
        <w:ind w:firstLine="420" w:firstLineChars="200"/>
        <w:jc w:val="left"/>
        <w:rPr>
          <w:rFonts w:ascii="宋体" w:hAnsi="宋体" w:cs="宋体"/>
          <w:szCs w:val="21"/>
        </w:rPr>
      </w:pPr>
      <w:r>
        <w:rPr>
          <w:rFonts w:hint="eastAsia" w:ascii="宋体" w:hAnsi="宋体" w:cs="宋体"/>
          <w:szCs w:val="21"/>
          <w:lang w:val="en-US" w:eastAsia="zh-CN"/>
        </w:rPr>
        <w:t xml:space="preserve">六  </w:t>
      </w:r>
      <w:r>
        <w:rPr>
          <w:rFonts w:hint="eastAsia" w:ascii="宋体" w:hAnsi="宋体" w:cs="宋体"/>
          <w:szCs w:val="21"/>
        </w:rPr>
        <w:t>合同基本条款响应</w:t>
      </w:r>
    </w:p>
    <w:p w14:paraId="481B769C">
      <w:pPr>
        <w:spacing w:line="360" w:lineRule="auto"/>
        <w:ind w:firstLine="420" w:firstLineChars="200"/>
        <w:jc w:val="left"/>
        <w:rPr>
          <w:rFonts w:ascii="宋体" w:hAnsi="宋体" w:cs="宋体"/>
          <w:szCs w:val="21"/>
        </w:rPr>
      </w:pPr>
      <w:r>
        <w:rPr>
          <w:rFonts w:hint="eastAsia" w:ascii="宋体" w:hAnsi="宋体" w:cs="宋体"/>
          <w:szCs w:val="21"/>
          <w:lang w:val="en-US" w:eastAsia="zh-CN"/>
        </w:rPr>
        <w:t>七</w:t>
      </w:r>
      <w:r>
        <w:rPr>
          <w:rFonts w:hint="eastAsia" w:ascii="宋体" w:hAnsi="宋体" w:cs="宋体"/>
          <w:szCs w:val="21"/>
        </w:rPr>
        <w:t xml:space="preserve">  其他资料</w:t>
      </w:r>
    </w:p>
    <w:p w14:paraId="60A217D6">
      <w:pPr>
        <w:spacing w:line="360" w:lineRule="auto"/>
        <w:ind w:firstLine="420" w:firstLineChars="200"/>
        <w:jc w:val="left"/>
        <w:rPr>
          <w:rFonts w:ascii="宋体" w:hAnsi="宋体" w:cs="宋体"/>
          <w:szCs w:val="21"/>
        </w:rPr>
      </w:pPr>
      <w:r>
        <w:rPr>
          <w:rFonts w:hint="eastAsia" w:ascii="宋体" w:hAnsi="宋体" w:cs="宋体"/>
          <w:szCs w:val="21"/>
          <w:lang w:val="en-US" w:eastAsia="zh-CN"/>
        </w:rPr>
        <w:t>八</w:t>
      </w:r>
      <w:r>
        <w:rPr>
          <w:rFonts w:hint="eastAsia" w:ascii="宋体" w:hAnsi="宋体" w:cs="宋体"/>
          <w:szCs w:val="21"/>
        </w:rPr>
        <w:t xml:space="preserve">  供应商认为需要提供的其他资料</w:t>
      </w:r>
    </w:p>
    <w:p w14:paraId="45794C6D">
      <w:pPr>
        <w:spacing w:line="360" w:lineRule="auto"/>
        <w:ind w:firstLine="420" w:firstLineChars="200"/>
        <w:jc w:val="left"/>
        <w:rPr>
          <w:rFonts w:ascii="宋体" w:hAnsi="宋体" w:cs="宋体"/>
          <w:szCs w:val="21"/>
        </w:rPr>
      </w:pPr>
      <w:r>
        <w:rPr>
          <w:rFonts w:hint="eastAsia" w:ascii="宋体" w:hAnsi="宋体" w:cs="宋体"/>
          <w:szCs w:val="21"/>
        </w:rPr>
        <w:t>3.3响应文件格式</w:t>
      </w:r>
    </w:p>
    <w:p w14:paraId="5975C9B6">
      <w:pPr>
        <w:spacing w:line="360" w:lineRule="auto"/>
        <w:ind w:firstLine="420" w:firstLineChars="200"/>
        <w:jc w:val="left"/>
        <w:rPr>
          <w:rFonts w:ascii="宋体" w:hAnsi="宋体" w:cs="宋体"/>
          <w:szCs w:val="21"/>
        </w:rPr>
      </w:pPr>
      <w:r>
        <w:rPr>
          <w:rFonts w:hint="eastAsia" w:ascii="宋体" w:hAnsi="宋体" w:cs="宋体"/>
          <w:szCs w:val="21"/>
        </w:rPr>
        <w:t>3.3.1 供应商提供的响应文件应设置目录且逐页标注页码。</w:t>
      </w:r>
    </w:p>
    <w:p w14:paraId="16C83C56">
      <w:pPr>
        <w:spacing w:line="360" w:lineRule="auto"/>
        <w:ind w:firstLine="420" w:firstLineChars="200"/>
        <w:jc w:val="left"/>
        <w:rPr>
          <w:rFonts w:ascii="宋体" w:hAnsi="宋体" w:cs="宋体"/>
          <w:szCs w:val="21"/>
        </w:rPr>
      </w:pPr>
      <w:r>
        <w:rPr>
          <w:rFonts w:hint="eastAsia" w:ascii="宋体" w:hAnsi="宋体" w:cs="宋体"/>
          <w:szCs w:val="21"/>
        </w:rPr>
        <w:t>3.3.2 供应商应严格按磋商文件中提供的响应文件格式填写磋商响应函、技术要求响应表、磋商报价清单等。</w:t>
      </w:r>
    </w:p>
    <w:p w14:paraId="1ABF7454">
      <w:pPr>
        <w:spacing w:line="360" w:lineRule="auto"/>
        <w:ind w:firstLine="420" w:firstLineChars="200"/>
        <w:jc w:val="left"/>
        <w:rPr>
          <w:rFonts w:ascii="宋体" w:hAnsi="宋体" w:cs="宋体"/>
          <w:szCs w:val="21"/>
        </w:rPr>
      </w:pPr>
      <w:r>
        <w:rPr>
          <w:rFonts w:hint="eastAsia" w:ascii="宋体" w:hAnsi="宋体" w:cs="宋体"/>
          <w:szCs w:val="21"/>
        </w:rPr>
        <w:t>3.4 磋商报价</w:t>
      </w:r>
    </w:p>
    <w:p w14:paraId="3DDE8020">
      <w:pPr>
        <w:spacing w:line="360" w:lineRule="auto"/>
        <w:ind w:firstLine="420" w:firstLineChars="200"/>
        <w:jc w:val="left"/>
        <w:rPr>
          <w:rFonts w:ascii="宋体" w:hAnsi="宋体" w:cs="宋体"/>
          <w:szCs w:val="21"/>
        </w:rPr>
      </w:pPr>
      <w:r>
        <w:rPr>
          <w:rFonts w:hint="eastAsia" w:ascii="宋体" w:hAnsi="宋体" w:cs="宋体"/>
          <w:szCs w:val="21"/>
        </w:rPr>
        <w:t>3.4.1磋商报价不得超过本项目采购预算，否则按废标处理。</w:t>
      </w:r>
    </w:p>
    <w:p w14:paraId="1BE61BA7">
      <w:pPr>
        <w:spacing w:line="360" w:lineRule="auto"/>
        <w:ind w:firstLine="420" w:firstLineChars="200"/>
        <w:jc w:val="left"/>
        <w:rPr>
          <w:rFonts w:ascii="宋体" w:hAnsi="宋体" w:cs="宋体"/>
          <w:szCs w:val="21"/>
        </w:rPr>
      </w:pPr>
      <w:r>
        <w:rPr>
          <w:rFonts w:hint="eastAsia" w:ascii="宋体" w:hAnsi="宋体" w:cs="宋体"/>
          <w:szCs w:val="21"/>
        </w:rPr>
        <w:t>3.4.2供应商应列出详细的清单及报价，并对此项目所列的所有</w:t>
      </w:r>
      <w:r>
        <w:rPr>
          <w:rFonts w:hint="eastAsia" w:ascii="宋体" w:hAnsi="宋体" w:cs="宋体"/>
          <w:szCs w:val="21"/>
          <w:lang w:val="en-US" w:eastAsia="zh-CN"/>
        </w:rPr>
        <w:t>服务</w:t>
      </w:r>
      <w:r>
        <w:rPr>
          <w:rFonts w:hint="eastAsia" w:ascii="宋体" w:hAnsi="宋体" w:cs="宋体"/>
          <w:szCs w:val="21"/>
        </w:rPr>
        <w:t>及</w:t>
      </w:r>
      <w:r>
        <w:rPr>
          <w:rFonts w:hint="eastAsia" w:ascii="宋体" w:hAnsi="宋体" w:cs="宋体"/>
          <w:szCs w:val="21"/>
          <w:lang w:val="en-US" w:eastAsia="zh-CN"/>
        </w:rPr>
        <w:t>货物</w:t>
      </w:r>
      <w:r>
        <w:rPr>
          <w:rFonts w:hint="eastAsia" w:ascii="宋体" w:hAnsi="宋体" w:cs="宋体"/>
          <w:szCs w:val="21"/>
        </w:rPr>
        <w:t>进行报价。</w:t>
      </w:r>
    </w:p>
    <w:p w14:paraId="65BF88D8">
      <w:pPr>
        <w:spacing w:line="360" w:lineRule="auto"/>
        <w:ind w:firstLine="420" w:firstLineChars="200"/>
        <w:jc w:val="left"/>
        <w:rPr>
          <w:rFonts w:ascii="宋体" w:hAnsi="宋体" w:cs="宋体"/>
          <w:szCs w:val="21"/>
        </w:rPr>
      </w:pPr>
      <w:r>
        <w:rPr>
          <w:rFonts w:hint="eastAsia" w:ascii="宋体" w:hAnsi="宋体" w:cs="宋体"/>
          <w:szCs w:val="21"/>
        </w:rPr>
        <w:t>3.4.3 任何有选择的磋商报价采购人不接受。</w:t>
      </w:r>
    </w:p>
    <w:p w14:paraId="7FF1A2A1">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rPr>
        <w:t xml:space="preserve">3.4.4 </w:t>
      </w:r>
      <w:r>
        <w:rPr>
          <w:rFonts w:hint="eastAsia" w:ascii="宋体" w:hAnsi="宋体"/>
          <w:szCs w:val="21"/>
          <w:lang w:val="zh-CN"/>
        </w:rPr>
        <w:t>供应商的</w:t>
      </w:r>
      <w:r>
        <w:rPr>
          <w:rFonts w:hint="eastAsia" w:ascii="宋体" w:hAnsi="宋体"/>
          <w:szCs w:val="21"/>
        </w:rPr>
        <w:t>第一次</w:t>
      </w:r>
      <w:r>
        <w:rPr>
          <w:rFonts w:hint="eastAsia" w:ascii="宋体" w:hAnsi="宋体"/>
          <w:szCs w:val="21"/>
          <w:lang w:val="zh-CN"/>
        </w:rPr>
        <w:t>报价不得超过采购预算，否则按无效</w:t>
      </w:r>
      <w:r>
        <w:rPr>
          <w:rFonts w:hint="eastAsia" w:ascii="宋体" w:hAnsi="宋体"/>
          <w:szCs w:val="21"/>
        </w:rPr>
        <w:t>响应</w:t>
      </w:r>
      <w:r>
        <w:rPr>
          <w:rFonts w:hint="eastAsia" w:ascii="宋体" w:hAnsi="宋体"/>
          <w:szCs w:val="21"/>
          <w:lang w:val="zh-CN"/>
        </w:rPr>
        <w:t>处理，不</w:t>
      </w:r>
      <w:r>
        <w:rPr>
          <w:rFonts w:hint="eastAsia" w:ascii="宋体" w:hAnsi="宋体"/>
          <w:szCs w:val="21"/>
        </w:rPr>
        <w:t>再</w:t>
      </w:r>
      <w:r>
        <w:rPr>
          <w:rFonts w:hint="eastAsia" w:ascii="宋体" w:hAnsi="宋体"/>
          <w:szCs w:val="21"/>
          <w:lang w:val="zh-CN"/>
        </w:rPr>
        <w:t>进入下一步磋商程序。</w:t>
      </w:r>
    </w:p>
    <w:p w14:paraId="73F8E45C">
      <w:pPr>
        <w:spacing w:line="360" w:lineRule="auto"/>
        <w:ind w:firstLine="420" w:firstLineChars="200"/>
        <w:jc w:val="left"/>
        <w:rPr>
          <w:rFonts w:ascii="宋体" w:hAnsi="宋体" w:cs="宋体"/>
          <w:szCs w:val="21"/>
        </w:rPr>
      </w:pPr>
      <w:r>
        <w:rPr>
          <w:rFonts w:hint="eastAsia" w:ascii="宋体" w:hAnsi="宋体" w:cs="宋体"/>
          <w:szCs w:val="21"/>
        </w:rPr>
        <w:t>3.4.5 磋商报价为完成本项目所发生的一切费用,包括但不限于</w:t>
      </w:r>
      <w:r>
        <w:rPr>
          <w:rFonts w:hint="eastAsia" w:ascii="宋体" w:hAnsi="宋体" w:cs="宋体"/>
          <w:szCs w:val="21"/>
          <w:lang w:val="en-US" w:eastAsia="zh-CN"/>
        </w:rPr>
        <w:t>设备费用、人员费用</w:t>
      </w:r>
      <w:r>
        <w:rPr>
          <w:rFonts w:hint="eastAsia" w:ascii="宋体" w:hAnsi="宋体" w:cs="宋体"/>
          <w:szCs w:val="21"/>
        </w:rPr>
        <w:t>及售后保修期间更换备品备件发生的费用、税金、调试配合及技术资料、技术服务等所有费用，如有遗漏，视为已包含在内。</w:t>
      </w:r>
    </w:p>
    <w:p w14:paraId="2E5D9097">
      <w:pPr>
        <w:spacing w:line="360" w:lineRule="auto"/>
        <w:ind w:firstLine="420" w:firstLineChars="200"/>
        <w:jc w:val="left"/>
        <w:rPr>
          <w:rFonts w:ascii="宋体" w:hAnsi="宋体" w:cs="宋体"/>
          <w:szCs w:val="21"/>
        </w:rPr>
      </w:pPr>
      <w:r>
        <w:rPr>
          <w:rFonts w:hint="eastAsia" w:ascii="宋体" w:hAnsi="宋体" w:cs="宋体"/>
          <w:szCs w:val="21"/>
        </w:rPr>
        <w:t>供应商应充分考虑各种费用、市场风险、责任、合同主要条款和付款条件等。磋商报价不受市场价格变化的影响，一次包死。</w:t>
      </w:r>
    </w:p>
    <w:p w14:paraId="5680AB60">
      <w:pPr>
        <w:spacing w:line="360" w:lineRule="auto"/>
        <w:ind w:firstLine="420" w:firstLineChars="200"/>
        <w:rPr>
          <w:rFonts w:ascii="宋体" w:hAnsi="宋体" w:cs="宋体"/>
          <w:szCs w:val="21"/>
        </w:rPr>
      </w:pPr>
      <w:r>
        <w:rPr>
          <w:rFonts w:hint="eastAsia" w:ascii="宋体" w:hAnsi="宋体"/>
          <w:szCs w:val="21"/>
        </w:rPr>
        <w:t>3.4.6</w:t>
      </w:r>
      <w:r>
        <w:rPr>
          <w:rFonts w:hint="eastAsia" w:ascii="宋体" w:hAnsi="宋体" w:cs="宋体"/>
          <w:szCs w:val="21"/>
        </w:rPr>
        <w:t>采取二次报价的方法。磋商开始后，经过磋商小组对竞争性磋商响应文件的审查，和对审查后合格的供应商磋商，在规定时间内进行最终承诺（澄清）、最终报价。</w:t>
      </w:r>
    </w:p>
    <w:p w14:paraId="213B5665">
      <w:pPr>
        <w:spacing w:line="360" w:lineRule="auto"/>
        <w:ind w:firstLine="420" w:firstLineChars="200"/>
        <w:jc w:val="left"/>
        <w:rPr>
          <w:rFonts w:ascii="宋体" w:hAnsi="宋体" w:cs="宋体"/>
          <w:szCs w:val="21"/>
        </w:rPr>
      </w:pPr>
      <w:r>
        <w:rPr>
          <w:rFonts w:hint="eastAsia" w:ascii="宋体" w:hAnsi="宋体" w:cs="宋体"/>
          <w:szCs w:val="21"/>
        </w:rPr>
        <w:t>3.5响应文件符合磋商文件规定的技术规格参数及其他要求。</w:t>
      </w:r>
    </w:p>
    <w:p w14:paraId="7C6E3655">
      <w:pPr>
        <w:spacing w:line="360" w:lineRule="auto"/>
        <w:ind w:firstLine="420" w:firstLineChars="200"/>
        <w:jc w:val="left"/>
        <w:rPr>
          <w:rFonts w:ascii="宋体" w:hAnsi="宋体" w:cs="宋体"/>
          <w:szCs w:val="21"/>
        </w:rPr>
      </w:pPr>
      <w:r>
        <w:rPr>
          <w:rFonts w:hint="eastAsia" w:ascii="宋体" w:hAnsi="宋体" w:cs="宋体"/>
          <w:szCs w:val="21"/>
        </w:rPr>
        <w:t>3.5.1供应商应对磋商文件中的各项条款做出清晰准确的答复。</w:t>
      </w:r>
    </w:p>
    <w:p w14:paraId="2B274C52">
      <w:pPr>
        <w:spacing w:line="360" w:lineRule="auto"/>
        <w:ind w:firstLine="420" w:firstLineChars="200"/>
        <w:jc w:val="left"/>
        <w:rPr>
          <w:rFonts w:ascii="宋体" w:hAnsi="宋体" w:cs="宋体"/>
          <w:szCs w:val="21"/>
        </w:rPr>
      </w:pPr>
      <w:r>
        <w:rPr>
          <w:rFonts w:hint="eastAsia" w:ascii="宋体" w:hAnsi="宋体" w:cs="宋体"/>
          <w:szCs w:val="21"/>
        </w:rPr>
        <w:t>3.5.2 上述文件可以是文字资料、图纸和数据，并须提供施工方案的详细描述。</w:t>
      </w:r>
    </w:p>
    <w:p w14:paraId="1DA7BFEE">
      <w:pPr>
        <w:spacing w:line="360" w:lineRule="auto"/>
        <w:ind w:firstLine="420" w:firstLineChars="200"/>
        <w:jc w:val="left"/>
        <w:rPr>
          <w:rFonts w:ascii="宋体" w:hAnsi="宋体" w:cs="宋体"/>
          <w:szCs w:val="21"/>
        </w:rPr>
      </w:pPr>
      <w:r>
        <w:rPr>
          <w:rFonts w:hint="eastAsia" w:ascii="宋体" w:hAnsi="宋体" w:cs="宋体"/>
          <w:szCs w:val="21"/>
        </w:rPr>
        <w:t>3.6磋商保证金</w:t>
      </w:r>
    </w:p>
    <w:p w14:paraId="477AD4A5">
      <w:pPr>
        <w:spacing w:line="360" w:lineRule="auto"/>
        <w:ind w:firstLine="420" w:firstLineChars="200"/>
        <w:jc w:val="left"/>
        <w:rPr>
          <w:rFonts w:ascii="宋体" w:hAnsi="宋体" w:cs="宋体"/>
          <w:szCs w:val="21"/>
        </w:rPr>
      </w:pPr>
      <w:r>
        <w:rPr>
          <w:rFonts w:hint="eastAsia" w:ascii="宋体" w:hAnsi="宋体" w:cs="宋体"/>
          <w:szCs w:val="21"/>
        </w:rPr>
        <w:t>3.6.1 磋商保证金为磋商文件的组成部分之一。</w:t>
      </w:r>
    </w:p>
    <w:p w14:paraId="4E3C86D9">
      <w:pPr>
        <w:spacing w:line="360" w:lineRule="auto"/>
        <w:ind w:firstLine="420" w:firstLineChars="200"/>
        <w:jc w:val="left"/>
        <w:rPr>
          <w:rFonts w:ascii="宋体" w:hAnsi="宋体" w:cs="宋体"/>
          <w:szCs w:val="21"/>
        </w:rPr>
      </w:pPr>
      <w:r>
        <w:rPr>
          <w:rFonts w:hint="eastAsia" w:ascii="宋体" w:hAnsi="宋体" w:cs="宋体"/>
          <w:szCs w:val="21"/>
        </w:rPr>
        <w:t>3.6.2 供应商应向代理机构提交磋商保证金：金额及方式见供应商须知前附表。</w:t>
      </w:r>
    </w:p>
    <w:p w14:paraId="030E028F">
      <w:pPr>
        <w:spacing w:line="360" w:lineRule="auto"/>
        <w:ind w:firstLine="420" w:firstLineChars="200"/>
        <w:jc w:val="left"/>
        <w:rPr>
          <w:rFonts w:ascii="宋体" w:hAnsi="宋体" w:cs="宋体"/>
          <w:szCs w:val="21"/>
        </w:rPr>
      </w:pPr>
      <w:r>
        <w:rPr>
          <w:rFonts w:hint="eastAsia" w:ascii="宋体" w:hAnsi="宋体" w:cs="宋体"/>
          <w:szCs w:val="21"/>
        </w:rPr>
        <w:t>3.6.3 磋商保证金用于本次磋商免受因供应商的行为而引起的风险。</w:t>
      </w:r>
    </w:p>
    <w:p w14:paraId="4B84E59D">
      <w:pPr>
        <w:spacing w:line="360" w:lineRule="auto"/>
        <w:ind w:firstLine="420" w:firstLineChars="200"/>
        <w:jc w:val="left"/>
        <w:rPr>
          <w:rFonts w:ascii="宋体" w:hAnsi="宋体" w:cs="宋体"/>
          <w:szCs w:val="21"/>
        </w:rPr>
      </w:pPr>
      <w:r>
        <w:rPr>
          <w:rFonts w:hint="eastAsia" w:ascii="宋体" w:hAnsi="宋体" w:cs="宋体"/>
          <w:szCs w:val="21"/>
        </w:rPr>
        <w:t>3.6.4 未按前附表规定提交磋商保证金的磋商，将被视为磋商无效。</w:t>
      </w:r>
    </w:p>
    <w:p w14:paraId="4469A4AF">
      <w:pPr>
        <w:spacing w:line="360" w:lineRule="auto"/>
        <w:ind w:firstLine="420" w:firstLineChars="200"/>
        <w:jc w:val="left"/>
        <w:rPr>
          <w:rFonts w:ascii="宋体" w:hAnsi="宋体" w:cs="宋体"/>
          <w:szCs w:val="21"/>
          <w:lang w:val="zh-CN"/>
        </w:rPr>
      </w:pPr>
      <w:r>
        <w:rPr>
          <w:rFonts w:hint="eastAsia" w:ascii="宋体" w:hAnsi="宋体" w:cs="宋体"/>
          <w:szCs w:val="21"/>
        </w:rPr>
        <w:t xml:space="preserve">3.6.5 </w:t>
      </w:r>
      <w:r>
        <w:rPr>
          <w:rFonts w:hint="eastAsia" w:ascii="宋体" w:hAnsi="宋体" w:cs="宋体"/>
          <w:szCs w:val="21"/>
          <w:lang w:val="zh-CN"/>
        </w:rPr>
        <w:t>自</w:t>
      </w:r>
      <w:r>
        <w:rPr>
          <w:rFonts w:hint="eastAsia" w:ascii="宋体" w:hAnsi="宋体" w:cs="宋体"/>
          <w:szCs w:val="21"/>
        </w:rPr>
        <w:t>成交</w:t>
      </w:r>
      <w:r>
        <w:rPr>
          <w:rFonts w:hint="eastAsia" w:ascii="宋体" w:hAnsi="宋体" w:cs="宋体"/>
          <w:szCs w:val="21"/>
          <w:lang w:val="zh-CN"/>
        </w:rPr>
        <w:t>通知书发出之日起5个工作日内退还未</w:t>
      </w:r>
      <w:r>
        <w:rPr>
          <w:rFonts w:hint="eastAsia" w:ascii="宋体" w:hAnsi="宋体" w:cs="宋体"/>
          <w:szCs w:val="21"/>
        </w:rPr>
        <w:t>成交供应商</w:t>
      </w:r>
      <w:r>
        <w:rPr>
          <w:rFonts w:hint="eastAsia" w:ascii="宋体" w:hAnsi="宋体" w:cs="宋体"/>
          <w:szCs w:val="21"/>
          <w:lang w:val="zh-CN"/>
        </w:rPr>
        <w:t>的</w:t>
      </w:r>
      <w:r>
        <w:rPr>
          <w:rFonts w:hint="eastAsia" w:ascii="宋体" w:hAnsi="宋体" w:cs="宋体"/>
          <w:szCs w:val="21"/>
        </w:rPr>
        <w:t>磋商</w:t>
      </w:r>
      <w:r>
        <w:rPr>
          <w:rFonts w:hint="eastAsia" w:ascii="宋体" w:hAnsi="宋体" w:cs="宋体"/>
          <w:szCs w:val="21"/>
          <w:lang w:val="zh-CN"/>
        </w:rPr>
        <w:t>保证金，</w:t>
      </w:r>
      <w:r>
        <w:rPr>
          <w:rFonts w:hint="eastAsia" w:ascii="宋体" w:hAnsi="宋体" w:cs="宋体"/>
          <w:kern w:val="0"/>
          <w:szCs w:val="21"/>
          <w:lang w:val="zh-CN"/>
        </w:rPr>
        <w:t>自采购合同签订</w:t>
      </w:r>
      <w:r>
        <w:rPr>
          <w:rFonts w:hint="eastAsia" w:ascii="宋体" w:hAnsi="宋体" w:cs="宋体"/>
          <w:szCs w:val="21"/>
          <w:lang w:val="zh-CN"/>
        </w:rPr>
        <w:t>之日起5个工作日内退还</w:t>
      </w:r>
      <w:r>
        <w:rPr>
          <w:rFonts w:hint="eastAsia" w:ascii="宋体" w:hAnsi="宋体" w:cs="宋体"/>
          <w:szCs w:val="21"/>
        </w:rPr>
        <w:t>成交供应商</w:t>
      </w:r>
      <w:r>
        <w:rPr>
          <w:rFonts w:hint="eastAsia" w:ascii="宋体" w:hAnsi="宋体" w:cs="宋体"/>
          <w:szCs w:val="21"/>
          <w:lang w:val="zh-CN"/>
        </w:rPr>
        <w:t>的</w:t>
      </w:r>
      <w:r>
        <w:rPr>
          <w:rFonts w:hint="eastAsia" w:ascii="宋体" w:hAnsi="宋体" w:cs="宋体"/>
          <w:szCs w:val="21"/>
        </w:rPr>
        <w:t>磋商</w:t>
      </w:r>
      <w:r>
        <w:rPr>
          <w:rFonts w:hint="eastAsia" w:ascii="宋体" w:hAnsi="宋体" w:cs="宋体"/>
          <w:szCs w:val="21"/>
          <w:lang w:val="zh-CN"/>
        </w:rPr>
        <w:t>保证金。</w:t>
      </w:r>
    </w:p>
    <w:p w14:paraId="23DFA697">
      <w:pPr>
        <w:spacing w:line="360" w:lineRule="auto"/>
        <w:ind w:firstLine="420" w:firstLineChars="200"/>
        <w:jc w:val="left"/>
        <w:rPr>
          <w:rFonts w:ascii="宋体" w:hAnsi="宋体" w:cs="宋体"/>
          <w:szCs w:val="21"/>
        </w:rPr>
      </w:pPr>
      <w:r>
        <w:rPr>
          <w:rFonts w:hint="eastAsia" w:ascii="宋体" w:hAnsi="宋体" w:cs="宋体"/>
          <w:szCs w:val="21"/>
        </w:rPr>
        <w:t>3.6.6 如供应商有下列情况之一，将不予退还磋商保证金：</w:t>
      </w:r>
    </w:p>
    <w:p w14:paraId="5606C09A">
      <w:pPr>
        <w:spacing w:line="360" w:lineRule="auto"/>
        <w:ind w:firstLine="420" w:firstLineChars="200"/>
        <w:jc w:val="left"/>
        <w:rPr>
          <w:rFonts w:ascii="宋体" w:hAnsi="宋体" w:cs="宋体"/>
          <w:szCs w:val="21"/>
        </w:rPr>
      </w:pPr>
      <w:r>
        <w:rPr>
          <w:rFonts w:hint="eastAsia" w:ascii="宋体" w:hAnsi="宋体" w:cs="宋体"/>
          <w:szCs w:val="21"/>
        </w:rPr>
        <w:t>3.6.6.1 开标后供应商在磋商有效期内撤回响应文件的；</w:t>
      </w:r>
    </w:p>
    <w:p w14:paraId="5C17B44D">
      <w:pPr>
        <w:spacing w:line="360" w:lineRule="auto"/>
        <w:ind w:firstLine="420" w:firstLineChars="200"/>
        <w:jc w:val="left"/>
        <w:rPr>
          <w:rFonts w:ascii="宋体" w:hAnsi="宋体" w:cs="宋体"/>
          <w:szCs w:val="21"/>
        </w:rPr>
      </w:pPr>
      <w:r>
        <w:rPr>
          <w:rFonts w:hint="eastAsia" w:ascii="宋体" w:hAnsi="宋体" w:cs="宋体"/>
          <w:szCs w:val="21"/>
        </w:rPr>
        <w:t>3.6.6.2 成交供应商未能按磋商文件规定签订合同的；</w:t>
      </w:r>
    </w:p>
    <w:p w14:paraId="146CDE71">
      <w:pPr>
        <w:spacing w:line="360" w:lineRule="auto"/>
        <w:ind w:firstLine="420" w:firstLineChars="200"/>
        <w:jc w:val="left"/>
        <w:rPr>
          <w:rFonts w:ascii="宋体" w:hAnsi="宋体" w:cs="宋体"/>
          <w:szCs w:val="21"/>
        </w:rPr>
      </w:pPr>
      <w:r>
        <w:rPr>
          <w:rFonts w:hint="eastAsia" w:ascii="宋体" w:hAnsi="宋体" w:cs="宋体"/>
          <w:szCs w:val="21"/>
        </w:rPr>
        <w:t>3.6.6.3供应商弄虚作假、采取不正当手段骗取成交的。</w:t>
      </w:r>
    </w:p>
    <w:p w14:paraId="2F9E612E">
      <w:pPr>
        <w:spacing w:line="360" w:lineRule="auto"/>
        <w:ind w:firstLine="420" w:firstLineChars="200"/>
        <w:jc w:val="left"/>
        <w:rPr>
          <w:rFonts w:ascii="宋体" w:hAnsi="宋体" w:cs="宋体"/>
          <w:szCs w:val="21"/>
        </w:rPr>
      </w:pPr>
      <w:r>
        <w:rPr>
          <w:rFonts w:hint="eastAsia" w:ascii="宋体" w:hAnsi="宋体" w:cs="宋体"/>
          <w:szCs w:val="21"/>
        </w:rPr>
        <w:t>3.7磋商有效期</w:t>
      </w:r>
    </w:p>
    <w:p w14:paraId="6A02EA2A">
      <w:pPr>
        <w:spacing w:line="360" w:lineRule="auto"/>
        <w:ind w:firstLine="420" w:firstLineChars="200"/>
        <w:jc w:val="left"/>
        <w:rPr>
          <w:rFonts w:ascii="宋体" w:hAnsi="宋体" w:cs="宋体"/>
          <w:szCs w:val="21"/>
        </w:rPr>
      </w:pPr>
      <w:r>
        <w:rPr>
          <w:rFonts w:hint="eastAsia" w:ascii="宋体" w:hAnsi="宋体" w:cs="宋体"/>
          <w:szCs w:val="21"/>
        </w:rPr>
        <w:t>3.7.1 磋商有效期：见供应商须知前附表。</w:t>
      </w:r>
    </w:p>
    <w:p w14:paraId="0CDE3FE7">
      <w:pPr>
        <w:spacing w:line="360" w:lineRule="auto"/>
        <w:ind w:firstLine="420" w:firstLineChars="200"/>
        <w:jc w:val="left"/>
        <w:rPr>
          <w:rFonts w:ascii="宋体" w:hAnsi="宋体" w:cs="宋体"/>
          <w:szCs w:val="21"/>
        </w:rPr>
      </w:pPr>
      <w:r>
        <w:rPr>
          <w:rFonts w:hint="eastAsia" w:ascii="宋体" w:hAnsi="宋体" w:cs="宋体"/>
          <w:szCs w:val="21"/>
        </w:rPr>
        <w:t>3.7.2 特殊情况下，供应商可于磋商有效期满之前要求供应商同意延长有效期，要求与答复均以书面形式。供应商可以拒绝上述要求而其磋商保证金将予以退还。对于同意该要求的供应商，既不要求也不允许其修改响应文件，但将要求其相应延长磋商保证金的有效期，有关退还和不予退还磋商保证金的规定在磋商有效期的延长期内继续有效。</w:t>
      </w:r>
    </w:p>
    <w:p w14:paraId="454630F2">
      <w:pPr>
        <w:spacing w:line="360" w:lineRule="auto"/>
        <w:ind w:firstLine="420" w:firstLineChars="200"/>
        <w:jc w:val="left"/>
        <w:rPr>
          <w:rFonts w:ascii="宋体" w:hAnsi="宋体" w:cs="宋体"/>
          <w:szCs w:val="21"/>
        </w:rPr>
      </w:pPr>
      <w:r>
        <w:rPr>
          <w:rFonts w:hint="eastAsia" w:ascii="宋体" w:hAnsi="宋体" w:cs="宋体"/>
          <w:szCs w:val="21"/>
        </w:rPr>
        <w:t>3.8响应文件的签署及规定</w:t>
      </w:r>
    </w:p>
    <w:p w14:paraId="30D09E50">
      <w:pPr>
        <w:spacing w:line="360" w:lineRule="auto"/>
        <w:ind w:firstLine="420" w:firstLineChars="200"/>
        <w:jc w:val="left"/>
        <w:rPr>
          <w:rFonts w:ascii="宋体" w:hAnsi="宋体" w:cs="宋体"/>
          <w:szCs w:val="21"/>
        </w:rPr>
      </w:pPr>
      <w:r>
        <w:rPr>
          <w:rFonts w:hint="eastAsia" w:ascii="宋体" w:hAnsi="宋体" w:cs="宋体"/>
          <w:szCs w:val="21"/>
        </w:rPr>
        <w:t>3.8.1 供应商须按照磋商文件的份数要求提供响应文件，在每一份响应文件上要明确注明“正本”、“副本”字样，正副本内容不致的，以正本为准。</w:t>
      </w:r>
    </w:p>
    <w:p w14:paraId="4E563A34">
      <w:pPr>
        <w:spacing w:line="360" w:lineRule="auto"/>
        <w:ind w:firstLine="420" w:firstLineChars="200"/>
        <w:jc w:val="left"/>
        <w:rPr>
          <w:rFonts w:ascii="宋体" w:hAnsi="宋体" w:cs="宋体"/>
          <w:szCs w:val="21"/>
        </w:rPr>
      </w:pPr>
      <w:r>
        <w:rPr>
          <w:rFonts w:hint="eastAsia" w:ascii="宋体" w:hAnsi="宋体" w:cs="宋体"/>
          <w:szCs w:val="21"/>
        </w:rPr>
        <w:t>3.8.2 响应文件正本和副本均应使用不能擦去的墨水打印或书写，建议双面打印，并由供应商法定代表人或其正式授权的委托代理人签署，且加盖供应商公章。</w:t>
      </w:r>
    </w:p>
    <w:p w14:paraId="5D03C03E">
      <w:pPr>
        <w:spacing w:line="360" w:lineRule="auto"/>
        <w:ind w:firstLine="420" w:firstLineChars="200"/>
        <w:jc w:val="left"/>
        <w:rPr>
          <w:rFonts w:ascii="宋体" w:hAnsi="宋体" w:cs="宋体"/>
          <w:szCs w:val="21"/>
        </w:rPr>
      </w:pPr>
      <w:r>
        <w:rPr>
          <w:rFonts w:hint="eastAsia" w:ascii="宋体" w:hAnsi="宋体" w:cs="宋体"/>
          <w:szCs w:val="21"/>
        </w:rPr>
        <w:t>3.8.3 供应商除对错处作必要修改外，响应文件中不许有加行、涂抹或改写。若有修改须由响应文件法定代表人（负责人）或其委托代理人签字。</w:t>
      </w:r>
    </w:p>
    <w:p w14:paraId="73F3052E">
      <w:pPr>
        <w:spacing w:line="360" w:lineRule="auto"/>
        <w:ind w:firstLine="420" w:firstLineChars="200"/>
        <w:jc w:val="left"/>
        <w:rPr>
          <w:rFonts w:ascii="宋体" w:hAnsi="宋体" w:cs="宋体"/>
          <w:b/>
          <w:bCs/>
          <w:szCs w:val="21"/>
        </w:rPr>
      </w:pPr>
      <w:r>
        <w:rPr>
          <w:rFonts w:hint="eastAsia" w:ascii="宋体" w:hAnsi="宋体" w:cs="宋体"/>
          <w:szCs w:val="21"/>
        </w:rPr>
        <w:t>3.8.4 以电报、电话、传真、电子邮件等形式磋商响应概不接受。</w:t>
      </w:r>
      <w:bookmarkStart w:id="38" w:name="_Toc238899380"/>
      <w:bookmarkStart w:id="39" w:name="_Toc235544705"/>
      <w:bookmarkStart w:id="40" w:name="_Toc269407614"/>
      <w:bookmarkStart w:id="41" w:name="_Toc250572266"/>
      <w:bookmarkStart w:id="42" w:name="_Toc12453"/>
      <w:bookmarkStart w:id="43" w:name="_Toc54404817"/>
      <w:bookmarkStart w:id="44" w:name="_Toc67552690"/>
    </w:p>
    <w:p w14:paraId="4D1A9CD0">
      <w:pPr>
        <w:pStyle w:val="3"/>
        <w:rPr>
          <w:sz w:val="22"/>
          <w:szCs w:val="16"/>
        </w:rPr>
      </w:pPr>
      <w:r>
        <w:rPr>
          <w:rFonts w:hint="eastAsia"/>
          <w:sz w:val="22"/>
          <w:szCs w:val="16"/>
        </w:rPr>
        <w:t>四、响应文件的递交</w:t>
      </w:r>
      <w:bookmarkEnd w:id="38"/>
      <w:bookmarkEnd w:id="39"/>
      <w:bookmarkEnd w:id="40"/>
      <w:bookmarkEnd w:id="41"/>
      <w:bookmarkEnd w:id="42"/>
      <w:bookmarkEnd w:id="43"/>
      <w:bookmarkEnd w:id="44"/>
    </w:p>
    <w:p w14:paraId="10FEAF02">
      <w:pPr>
        <w:spacing w:line="360" w:lineRule="auto"/>
        <w:ind w:firstLine="420" w:firstLineChars="200"/>
        <w:jc w:val="left"/>
        <w:rPr>
          <w:rFonts w:ascii="宋体" w:hAnsi="宋体" w:cs="宋体"/>
          <w:szCs w:val="21"/>
        </w:rPr>
      </w:pPr>
      <w:r>
        <w:rPr>
          <w:rFonts w:hint="eastAsia" w:ascii="宋体" w:hAnsi="宋体" w:cs="宋体"/>
          <w:szCs w:val="21"/>
        </w:rPr>
        <w:t>4.1响应文件的密封、标记</w:t>
      </w:r>
    </w:p>
    <w:p w14:paraId="158C923B">
      <w:pPr>
        <w:spacing w:line="360" w:lineRule="auto"/>
        <w:ind w:firstLine="420" w:firstLineChars="200"/>
        <w:jc w:val="left"/>
        <w:rPr>
          <w:rFonts w:ascii="宋体" w:hAnsi="宋体" w:cs="宋体"/>
          <w:szCs w:val="21"/>
        </w:rPr>
      </w:pPr>
      <w:r>
        <w:rPr>
          <w:rFonts w:hint="eastAsia" w:ascii="宋体" w:hAnsi="宋体" w:cs="宋体"/>
          <w:szCs w:val="21"/>
        </w:rPr>
        <w:t>4.1.1 供应商应将正、副本分别胶装成册，密封包装，密封袋上标明的内容见供应商须知前附表，并在密封袋封口处加盖供应商公章。</w:t>
      </w:r>
    </w:p>
    <w:p w14:paraId="4CD2A53E">
      <w:pPr>
        <w:spacing w:line="360" w:lineRule="auto"/>
        <w:ind w:firstLine="420" w:firstLineChars="200"/>
        <w:jc w:val="left"/>
        <w:rPr>
          <w:rFonts w:ascii="宋体" w:hAnsi="宋体" w:cs="宋体"/>
          <w:szCs w:val="21"/>
        </w:rPr>
      </w:pPr>
      <w:r>
        <w:rPr>
          <w:rFonts w:hint="eastAsia" w:ascii="宋体" w:hAnsi="宋体" w:cs="宋体"/>
          <w:szCs w:val="21"/>
        </w:rPr>
        <w:t>4.1.2 如果未按上述规定进行密封和标记，采购人可以拒收或者告知供应商，采购人将不承担响应文件错放、提前开封、泄露商业机密等任何责任。对于提前开封的响应文件将视为磋商响应无效。</w:t>
      </w:r>
    </w:p>
    <w:p w14:paraId="481A2420">
      <w:pPr>
        <w:spacing w:line="360" w:lineRule="auto"/>
        <w:ind w:firstLine="420" w:firstLineChars="200"/>
        <w:jc w:val="left"/>
        <w:rPr>
          <w:rFonts w:ascii="宋体" w:hAnsi="宋体" w:cs="宋体"/>
          <w:szCs w:val="21"/>
        </w:rPr>
      </w:pPr>
      <w:r>
        <w:rPr>
          <w:rFonts w:hint="eastAsia" w:ascii="宋体" w:hAnsi="宋体" w:cs="宋体"/>
          <w:szCs w:val="21"/>
        </w:rPr>
        <w:t>4.2递交响应文件的截止时间</w:t>
      </w:r>
    </w:p>
    <w:p w14:paraId="2DE8A8FB">
      <w:pPr>
        <w:spacing w:line="360" w:lineRule="auto"/>
        <w:ind w:firstLine="420" w:firstLineChars="200"/>
        <w:jc w:val="left"/>
        <w:rPr>
          <w:rFonts w:ascii="宋体" w:hAnsi="宋体" w:cs="宋体"/>
          <w:szCs w:val="21"/>
        </w:rPr>
      </w:pPr>
      <w:r>
        <w:rPr>
          <w:rFonts w:hint="eastAsia" w:ascii="宋体" w:hAnsi="宋体" w:cs="宋体"/>
          <w:szCs w:val="21"/>
        </w:rPr>
        <w:t>4.2.1 响应文件由被授权人委托人提交，供应商应将响应文件按供应商须知的规定进行密封和标记，按供应商须知前附表要求的时间、地点送交采购代理机构，超过规定时限送交的响应文件，采购人将不予接收。</w:t>
      </w:r>
    </w:p>
    <w:p w14:paraId="51A7785A">
      <w:pPr>
        <w:spacing w:line="360" w:lineRule="auto"/>
        <w:ind w:firstLine="420" w:firstLineChars="200"/>
        <w:jc w:val="left"/>
        <w:rPr>
          <w:rFonts w:ascii="宋体" w:hAnsi="宋体" w:cs="宋体"/>
          <w:szCs w:val="21"/>
        </w:rPr>
      </w:pPr>
      <w:r>
        <w:rPr>
          <w:rFonts w:hint="eastAsia" w:ascii="宋体" w:hAnsi="宋体" w:cs="宋体"/>
          <w:szCs w:val="21"/>
        </w:rPr>
        <w:t>4.2.2 采购人可以以修改补充通知的方式，酌情延长提交响应文件的截止时间。在此情况下，供应商的所有权利和义务以及供应商受制约的截止时间，均以延长后新的响应文件递交截止时间为准。</w:t>
      </w:r>
    </w:p>
    <w:p w14:paraId="20C1065D">
      <w:pPr>
        <w:spacing w:line="360" w:lineRule="auto"/>
        <w:ind w:firstLine="420" w:firstLineChars="200"/>
        <w:jc w:val="left"/>
        <w:rPr>
          <w:rFonts w:ascii="宋体" w:hAnsi="宋体" w:cs="宋体"/>
          <w:szCs w:val="21"/>
        </w:rPr>
      </w:pPr>
      <w:r>
        <w:rPr>
          <w:rFonts w:hint="eastAsia" w:ascii="宋体" w:hAnsi="宋体" w:cs="宋体"/>
          <w:szCs w:val="21"/>
        </w:rPr>
        <w:t>4.3响应文件有下列情形之一的，采购人不予受理：</w:t>
      </w:r>
    </w:p>
    <w:p w14:paraId="281DE651">
      <w:pPr>
        <w:spacing w:line="360" w:lineRule="auto"/>
        <w:ind w:firstLine="420" w:firstLineChars="200"/>
        <w:jc w:val="left"/>
        <w:rPr>
          <w:rFonts w:ascii="宋体" w:hAnsi="宋体" w:cs="宋体"/>
          <w:szCs w:val="21"/>
        </w:rPr>
      </w:pPr>
      <w:r>
        <w:rPr>
          <w:rFonts w:hint="eastAsia" w:ascii="宋体" w:hAnsi="宋体" w:cs="宋体"/>
          <w:szCs w:val="21"/>
        </w:rPr>
        <w:t>（一）逾期送达的或者未送达指定地点的；</w:t>
      </w:r>
    </w:p>
    <w:p w14:paraId="1E1984AC">
      <w:pPr>
        <w:spacing w:line="360" w:lineRule="auto"/>
        <w:ind w:firstLine="420" w:firstLineChars="200"/>
        <w:jc w:val="left"/>
        <w:rPr>
          <w:rFonts w:ascii="宋体" w:hAnsi="宋体" w:cs="宋体"/>
          <w:szCs w:val="21"/>
        </w:rPr>
      </w:pPr>
      <w:r>
        <w:rPr>
          <w:rFonts w:hint="eastAsia" w:ascii="宋体" w:hAnsi="宋体" w:cs="宋体"/>
          <w:szCs w:val="21"/>
        </w:rPr>
        <w:t>（二）未按磋商文件要求密封的。</w:t>
      </w:r>
    </w:p>
    <w:p w14:paraId="54038CC1">
      <w:pPr>
        <w:spacing w:line="360" w:lineRule="auto"/>
        <w:ind w:firstLine="420" w:firstLineChars="200"/>
        <w:jc w:val="left"/>
        <w:rPr>
          <w:rFonts w:ascii="宋体" w:hAnsi="宋体" w:cs="宋体"/>
          <w:szCs w:val="21"/>
        </w:rPr>
      </w:pPr>
      <w:r>
        <w:rPr>
          <w:rFonts w:hint="eastAsia" w:ascii="宋体" w:hAnsi="宋体" w:cs="宋体"/>
          <w:szCs w:val="21"/>
        </w:rPr>
        <w:t>4.4响应文件的修改和撤销</w:t>
      </w:r>
    </w:p>
    <w:p w14:paraId="273BB2E3">
      <w:pPr>
        <w:spacing w:line="360" w:lineRule="auto"/>
        <w:ind w:firstLine="420" w:firstLineChars="200"/>
        <w:jc w:val="left"/>
        <w:rPr>
          <w:rFonts w:ascii="宋体" w:hAnsi="宋体" w:cs="宋体"/>
          <w:szCs w:val="21"/>
        </w:rPr>
      </w:pPr>
      <w:r>
        <w:rPr>
          <w:rFonts w:hint="eastAsia" w:ascii="宋体" w:hAnsi="宋体" w:cs="宋体"/>
          <w:szCs w:val="21"/>
        </w:rPr>
        <w:t>4.4.1 供应商在提交响应文件以后，在规定的响应文件递交截止时间之前，可以书面形式补充修改或撤回已提交的响应文件，并以书面形式通知采购人。补充、修改的内容作为响应文件的组成部分。</w:t>
      </w:r>
    </w:p>
    <w:p w14:paraId="384A8216">
      <w:pPr>
        <w:spacing w:line="360" w:lineRule="auto"/>
        <w:ind w:firstLine="420" w:firstLineChars="200"/>
        <w:jc w:val="left"/>
        <w:rPr>
          <w:rFonts w:ascii="宋体" w:hAnsi="宋体" w:cs="宋体"/>
          <w:szCs w:val="21"/>
        </w:rPr>
      </w:pPr>
      <w:r>
        <w:rPr>
          <w:rFonts w:hint="eastAsia" w:ascii="宋体" w:hAnsi="宋体" w:cs="宋体"/>
          <w:szCs w:val="21"/>
        </w:rPr>
        <w:t>4.4.2 供应商对响应文件的补充、修改，应按本须知有关规定密封、标记和提交，并在内外层响应文件密封袋上清楚标明“补充、修改”或“撤回”字样。</w:t>
      </w:r>
    </w:p>
    <w:p w14:paraId="1D6D54BF">
      <w:pPr>
        <w:spacing w:line="360" w:lineRule="auto"/>
        <w:ind w:firstLine="420" w:firstLineChars="200"/>
        <w:jc w:val="left"/>
        <w:rPr>
          <w:rFonts w:ascii="宋体" w:hAnsi="宋体" w:cs="宋体"/>
          <w:szCs w:val="21"/>
        </w:rPr>
      </w:pPr>
      <w:r>
        <w:rPr>
          <w:rFonts w:hint="eastAsia" w:ascii="宋体" w:hAnsi="宋体" w:cs="宋体"/>
          <w:szCs w:val="21"/>
        </w:rPr>
        <w:t>4.4.3 响应文件递交截止时间以后，供应商不得补充、修改响应文件。</w:t>
      </w:r>
    </w:p>
    <w:p w14:paraId="0658D332">
      <w:pPr>
        <w:spacing w:line="360" w:lineRule="auto"/>
        <w:ind w:firstLine="420" w:firstLineChars="200"/>
        <w:jc w:val="left"/>
        <w:rPr>
          <w:rFonts w:ascii="宋体" w:hAnsi="宋体" w:cs="宋体"/>
          <w:szCs w:val="21"/>
        </w:rPr>
      </w:pPr>
      <w:r>
        <w:rPr>
          <w:rFonts w:hint="eastAsia" w:ascii="宋体" w:hAnsi="宋体" w:cs="宋体"/>
          <w:szCs w:val="21"/>
        </w:rPr>
        <w:t>4.4.4 供应商不得在磋商有效期内，撤销响应文件。否则采购人将不予退还其磋商保证金。</w:t>
      </w:r>
    </w:p>
    <w:p w14:paraId="18AAD44C">
      <w:pPr>
        <w:pStyle w:val="3"/>
        <w:rPr>
          <w:sz w:val="22"/>
          <w:szCs w:val="16"/>
        </w:rPr>
      </w:pPr>
      <w:r>
        <w:rPr>
          <w:rFonts w:hint="eastAsia"/>
          <w:sz w:val="22"/>
          <w:szCs w:val="16"/>
        </w:rPr>
        <w:t>五、磋商</w:t>
      </w:r>
    </w:p>
    <w:p w14:paraId="6C9F24C0">
      <w:pPr>
        <w:spacing w:line="360" w:lineRule="auto"/>
        <w:ind w:firstLine="420" w:firstLineChars="200"/>
        <w:jc w:val="left"/>
        <w:rPr>
          <w:rFonts w:ascii="宋体" w:hAnsi="宋体" w:cs="宋体"/>
          <w:szCs w:val="21"/>
          <w:lang w:val="zh-CN"/>
        </w:rPr>
      </w:pPr>
      <w:r>
        <w:rPr>
          <w:rFonts w:hint="eastAsia" w:ascii="宋体" w:hAnsi="宋体" w:cs="宋体"/>
          <w:szCs w:val="21"/>
        </w:rPr>
        <w:t>5.1 磋商</w:t>
      </w:r>
      <w:r>
        <w:rPr>
          <w:rFonts w:hint="eastAsia" w:ascii="宋体" w:hAnsi="宋体" w:cs="宋体"/>
          <w:szCs w:val="21"/>
          <w:lang w:val="zh-CN"/>
        </w:rPr>
        <w:t>时间和地点</w:t>
      </w:r>
    </w:p>
    <w:p w14:paraId="3051BBFB">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采购人在本章规定的</w:t>
      </w:r>
      <w:r>
        <w:rPr>
          <w:rFonts w:hint="eastAsia" w:ascii="宋体" w:hAnsi="宋体"/>
          <w:szCs w:val="21"/>
        </w:rPr>
        <w:t>磋商</w:t>
      </w:r>
      <w:r>
        <w:rPr>
          <w:rFonts w:hint="eastAsia" w:ascii="宋体" w:hAnsi="宋体"/>
          <w:szCs w:val="21"/>
          <w:lang w:val="zh-CN"/>
        </w:rPr>
        <w:t>截止时间（</w:t>
      </w:r>
      <w:r>
        <w:rPr>
          <w:rFonts w:hint="eastAsia" w:ascii="宋体" w:hAnsi="宋体"/>
          <w:szCs w:val="21"/>
        </w:rPr>
        <w:t>磋商</w:t>
      </w:r>
      <w:r>
        <w:rPr>
          <w:rFonts w:hint="eastAsia" w:ascii="宋体" w:hAnsi="宋体"/>
          <w:szCs w:val="21"/>
          <w:lang w:val="zh-CN"/>
        </w:rPr>
        <w:t>时间）和供应商须知前附表规定的地点</w:t>
      </w:r>
      <w:r>
        <w:rPr>
          <w:rFonts w:hint="eastAsia" w:ascii="宋体" w:hAnsi="宋体"/>
          <w:szCs w:val="21"/>
        </w:rPr>
        <w:t>磋商</w:t>
      </w:r>
      <w:r>
        <w:rPr>
          <w:rFonts w:hint="eastAsia" w:ascii="宋体" w:hAnsi="宋体"/>
          <w:szCs w:val="21"/>
          <w:lang w:val="zh-CN"/>
        </w:rPr>
        <w:t>。</w:t>
      </w:r>
    </w:p>
    <w:p w14:paraId="4AA56B1E">
      <w:pPr>
        <w:spacing w:line="360" w:lineRule="auto"/>
        <w:ind w:firstLine="420" w:firstLineChars="200"/>
        <w:jc w:val="left"/>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 xml:space="preserve">.2 </w:t>
      </w:r>
      <w:r>
        <w:rPr>
          <w:rFonts w:hint="eastAsia" w:ascii="宋体" w:hAnsi="宋体" w:cs="宋体"/>
          <w:szCs w:val="21"/>
        </w:rPr>
        <w:t>磋商</w:t>
      </w:r>
      <w:r>
        <w:rPr>
          <w:rFonts w:hint="eastAsia" w:ascii="宋体" w:hAnsi="宋体" w:cs="宋体"/>
          <w:szCs w:val="21"/>
          <w:lang w:val="zh-CN"/>
        </w:rPr>
        <w:t>程序</w:t>
      </w:r>
    </w:p>
    <w:p w14:paraId="470B3D0F">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（1）宣布</w:t>
      </w:r>
      <w:r>
        <w:rPr>
          <w:rFonts w:hint="eastAsia" w:ascii="宋体" w:hAnsi="宋体"/>
          <w:szCs w:val="21"/>
        </w:rPr>
        <w:t>磋商</w:t>
      </w:r>
      <w:r>
        <w:rPr>
          <w:rFonts w:hint="eastAsia" w:ascii="宋体" w:hAnsi="宋体"/>
          <w:szCs w:val="21"/>
          <w:lang w:val="zh-CN"/>
        </w:rPr>
        <w:t>纪律；</w:t>
      </w:r>
    </w:p>
    <w:p w14:paraId="15323627">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（2）公布在磋商响应截止时间前递交响应文件的供应商名称；</w:t>
      </w:r>
    </w:p>
    <w:p w14:paraId="42543781">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（3）宣布唱标人、监标人等有关人员姓名；</w:t>
      </w:r>
    </w:p>
    <w:p w14:paraId="33E238B0">
      <w:pPr>
        <w:autoSpaceDE w:val="0"/>
        <w:autoSpaceDN w:val="0"/>
        <w:adjustRightInd w:val="0"/>
        <w:spacing w:line="360" w:lineRule="auto"/>
        <w:ind w:left="420" w:leftChars="200"/>
        <w:rPr>
          <w:rFonts w:ascii="宋体" w:hAnsi="宋体"/>
          <w:szCs w:val="21"/>
          <w:lang w:val="zh-CN"/>
        </w:rPr>
      </w:pPr>
      <w:r>
        <w:rPr>
          <w:rFonts w:hint="eastAsia" w:ascii="宋体" w:hAnsi="宋体"/>
          <w:szCs w:val="21"/>
          <w:lang w:val="zh-CN"/>
        </w:rPr>
        <w:t>（4）检查响应文件的密封情况并</w:t>
      </w:r>
      <w:r>
        <w:rPr>
          <w:rFonts w:hint="eastAsia" w:ascii="宋体" w:hAnsi="宋体"/>
          <w:szCs w:val="21"/>
        </w:rPr>
        <w:t>随机启封</w:t>
      </w:r>
      <w:r>
        <w:rPr>
          <w:rFonts w:hint="eastAsia" w:ascii="宋体" w:hAnsi="宋体"/>
          <w:szCs w:val="21"/>
          <w:lang w:val="zh-CN"/>
        </w:rPr>
        <w:t>；</w:t>
      </w:r>
    </w:p>
    <w:p w14:paraId="08A59633">
      <w:pPr>
        <w:autoSpaceDE w:val="0"/>
        <w:autoSpaceDN w:val="0"/>
        <w:adjustRightInd w:val="0"/>
        <w:spacing w:line="360" w:lineRule="auto"/>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w:t>
      </w:r>
      <w:r>
        <w:rPr>
          <w:rFonts w:hint="eastAsia" w:ascii="宋体" w:hAnsi="宋体"/>
          <w:szCs w:val="21"/>
        </w:rPr>
        <w:t>磋商会议结束</w:t>
      </w:r>
      <w:r>
        <w:rPr>
          <w:rFonts w:hint="eastAsia" w:ascii="宋体" w:hAnsi="宋体"/>
          <w:szCs w:val="21"/>
          <w:lang w:val="zh-CN"/>
        </w:rPr>
        <w:t>。</w:t>
      </w:r>
    </w:p>
    <w:p w14:paraId="537FE955">
      <w:pPr>
        <w:pStyle w:val="3"/>
        <w:rPr>
          <w:sz w:val="22"/>
          <w:szCs w:val="16"/>
        </w:rPr>
      </w:pPr>
      <w:r>
        <w:rPr>
          <w:rFonts w:hint="eastAsia"/>
          <w:sz w:val="22"/>
          <w:szCs w:val="16"/>
        </w:rPr>
        <w:t>六、评审</w:t>
      </w:r>
    </w:p>
    <w:p w14:paraId="6D2754AB">
      <w:pPr>
        <w:spacing w:line="360" w:lineRule="auto"/>
        <w:ind w:firstLine="420" w:firstLineChars="200"/>
        <w:jc w:val="left"/>
        <w:rPr>
          <w:rFonts w:ascii="宋体" w:hAnsi="宋体" w:cs="宋体"/>
          <w:szCs w:val="21"/>
        </w:rPr>
      </w:pPr>
      <w:r>
        <w:rPr>
          <w:rFonts w:hint="eastAsia" w:ascii="宋体" w:hAnsi="宋体" w:cs="宋体"/>
          <w:szCs w:val="21"/>
        </w:rPr>
        <w:t>6.1 磋商小组按照第三章“评审标准及办法”规定的方法、评审因素、标准和程序对响应文件进行评审。第三章“评审标准及办法”没有规定的方法、评审因素和标准，不作为评审依据。</w:t>
      </w:r>
    </w:p>
    <w:p w14:paraId="18E80874">
      <w:pPr>
        <w:spacing w:line="360" w:lineRule="auto"/>
        <w:ind w:firstLine="420" w:firstLineChars="200"/>
        <w:jc w:val="left"/>
        <w:rPr>
          <w:rFonts w:ascii="宋体" w:hAnsi="宋体" w:cs="宋体"/>
          <w:szCs w:val="21"/>
        </w:rPr>
      </w:pPr>
      <w:r>
        <w:rPr>
          <w:rFonts w:hint="eastAsia" w:ascii="宋体" w:hAnsi="宋体" w:cs="宋体"/>
          <w:szCs w:val="21"/>
        </w:rPr>
        <w:t>6.2 评审过程的保密</w:t>
      </w:r>
    </w:p>
    <w:p w14:paraId="18990603">
      <w:pPr>
        <w:spacing w:line="360" w:lineRule="auto"/>
        <w:ind w:firstLine="420" w:firstLineChars="200"/>
        <w:jc w:val="left"/>
        <w:rPr>
          <w:rFonts w:ascii="宋体" w:hAnsi="宋体" w:cs="宋体"/>
          <w:szCs w:val="21"/>
        </w:rPr>
      </w:pPr>
      <w:r>
        <w:rPr>
          <w:rFonts w:hint="eastAsia" w:ascii="宋体" w:hAnsi="宋体" w:cs="宋体"/>
          <w:szCs w:val="21"/>
        </w:rPr>
        <w:t>6.2.1磋商开始后，直至授予成交供应商合同为止，凡属于对响应文件的审查、澄清、评价和比较的有关资料以及成交候选人的推荐情况，与磋商有关的其他任何情况均严格保密。</w:t>
      </w:r>
    </w:p>
    <w:p w14:paraId="41885996">
      <w:pPr>
        <w:spacing w:line="360" w:lineRule="auto"/>
        <w:ind w:firstLine="420" w:firstLineChars="200"/>
        <w:jc w:val="left"/>
        <w:rPr>
          <w:rFonts w:ascii="宋体" w:hAnsi="宋体" w:cs="宋体"/>
          <w:szCs w:val="21"/>
        </w:rPr>
      </w:pPr>
      <w:r>
        <w:rPr>
          <w:rFonts w:hint="eastAsia" w:ascii="宋体" w:hAnsi="宋体" w:cs="宋体"/>
          <w:szCs w:val="21"/>
        </w:rPr>
        <w:t>6.2.2在响应文件的评审和比较、成交候选人推荐以及授予合同的过程中，供应商向采购人和磋商小组施加影响的任何行为，都将会导致其磋商响应被拒绝。</w:t>
      </w:r>
    </w:p>
    <w:p w14:paraId="26E1A7AF">
      <w:pPr>
        <w:spacing w:line="360" w:lineRule="auto"/>
        <w:ind w:firstLine="420" w:firstLineChars="200"/>
        <w:jc w:val="left"/>
        <w:rPr>
          <w:rFonts w:ascii="宋体" w:hAnsi="宋体" w:cs="宋体"/>
          <w:szCs w:val="21"/>
        </w:rPr>
      </w:pPr>
      <w:r>
        <w:rPr>
          <w:rFonts w:hint="eastAsia" w:ascii="宋体" w:hAnsi="宋体" w:cs="宋体"/>
          <w:szCs w:val="21"/>
        </w:rPr>
        <w:t>6.2.3成交供应商确定后，采购人不对未成交供应商就评审过程以及未能成交原因作出任何解释,亦不退回响应文件。未成交供应商不得向磋商小组组成人员和采购人或其他有关人员索问评审过程的情况和材料。</w:t>
      </w:r>
    </w:p>
    <w:p w14:paraId="39EAB666">
      <w:pPr>
        <w:pStyle w:val="3"/>
        <w:rPr>
          <w:sz w:val="22"/>
          <w:szCs w:val="16"/>
        </w:rPr>
      </w:pPr>
      <w:r>
        <w:rPr>
          <w:rFonts w:hint="eastAsia"/>
          <w:sz w:val="22"/>
          <w:szCs w:val="16"/>
        </w:rPr>
        <w:t>七、成交</w:t>
      </w:r>
    </w:p>
    <w:p w14:paraId="7C642804">
      <w:pPr>
        <w:spacing w:line="360" w:lineRule="auto"/>
        <w:ind w:firstLine="420" w:firstLineChars="200"/>
        <w:jc w:val="left"/>
        <w:rPr>
          <w:rFonts w:ascii="宋体" w:hAnsi="宋体" w:cs="宋体"/>
          <w:szCs w:val="21"/>
        </w:rPr>
      </w:pPr>
      <w:r>
        <w:rPr>
          <w:rFonts w:hint="eastAsia" w:ascii="宋体" w:hAnsi="宋体" w:cs="宋体"/>
          <w:szCs w:val="21"/>
        </w:rPr>
        <w:t>7.1采购代理机构在评审结束后2个工作日内将磋商评审报告送采购人；</w:t>
      </w:r>
    </w:p>
    <w:p w14:paraId="29600DCD">
      <w:pPr>
        <w:spacing w:line="360" w:lineRule="auto"/>
        <w:ind w:firstLine="420" w:firstLineChars="200"/>
        <w:jc w:val="left"/>
        <w:rPr>
          <w:rFonts w:ascii="宋体" w:hAnsi="宋体" w:cs="宋体"/>
          <w:szCs w:val="21"/>
        </w:rPr>
      </w:pPr>
      <w:r>
        <w:rPr>
          <w:rFonts w:hint="eastAsia" w:ascii="宋体" w:hAnsi="宋体" w:cs="宋体"/>
          <w:szCs w:val="21"/>
        </w:rPr>
        <w:t>7.2采购人在收到磋商评审报告后5个工作日内，按照磋商评审报告中推荐的成交候选人顺序确定成交供应商；</w:t>
      </w:r>
    </w:p>
    <w:p w14:paraId="64FE3E1F">
      <w:pPr>
        <w:spacing w:line="360" w:lineRule="auto"/>
        <w:ind w:firstLine="420" w:firstLineChars="200"/>
        <w:jc w:val="left"/>
        <w:rPr>
          <w:rFonts w:ascii="宋体" w:hAnsi="宋体" w:cs="宋体"/>
          <w:szCs w:val="21"/>
        </w:rPr>
      </w:pPr>
      <w:r>
        <w:rPr>
          <w:rFonts w:hint="eastAsia" w:ascii="宋体" w:hAnsi="宋体" w:cs="宋体"/>
          <w:szCs w:val="21"/>
        </w:rPr>
        <w:t>7.3根据采购人确定的成交供应商，采购代理机构在采购人确定成交供应商之日起2个工作日内在</w:t>
      </w:r>
      <w:r>
        <w:rPr>
          <w:rFonts w:hint="eastAsia" w:ascii="宋体" w:hAnsi="宋体" w:cs="宋体"/>
          <w:szCs w:val="21"/>
          <w:lang w:val="en-US" w:eastAsia="zh-CN"/>
        </w:rPr>
        <w:t>陕西省政府采购网</w:t>
      </w:r>
      <w:r>
        <w:rPr>
          <w:rFonts w:hint="eastAsia" w:ascii="宋体" w:hAnsi="宋体" w:cs="宋体"/>
          <w:szCs w:val="21"/>
        </w:rPr>
        <w:t>发布成交公告，同时向成交供应商发出成交通知书；</w:t>
      </w:r>
    </w:p>
    <w:p w14:paraId="08A22480">
      <w:pPr>
        <w:spacing w:line="360" w:lineRule="auto"/>
        <w:ind w:firstLine="420" w:firstLineChars="200"/>
        <w:jc w:val="left"/>
        <w:rPr>
          <w:rFonts w:ascii="宋体" w:hAnsi="宋体" w:cs="宋体"/>
          <w:szCs w:val="21"/>
        </w:rPr>
      </w:pPr>
      <w:r>
        <w:rPr>
          <w:rFonts w:hint="eastAsia" w:ascii="宋体" w:hAnsi="宋体" w:cs="宋体"/>
          <w:szCs w:val="21"/>
        </w:rPr>
        <w:t>7.4成交公告期限为1个工作日；</w:t>
      </w:r>
    </w:p>
    <w:p w14:paraId="4F5EF1EE">
      <w:pPr>
        <w:spacing w:line="360" w:lineRule="auto"/>
        <w:ind w:firstLine="420" w:firstLineChars="200"/>
        <w:jc w:val="left"/>
        <w:rPr>
          <w:rFonts w:ascii="宋体" w:hAnsi="宋体" w:cs="宋体"/>
          <w:szCs w:val="21"/>
        </w:rPr>
      </w:pPr>
      <w:r>
        <w:rPr>
          <w:rFonts w:hint="eastAsia" w:ascii="宋体" w:hAnsi="宋体" w:cs="宋体"/>
          <w:szCs w:val="21"/>
        </w:rPr>
        <w:t>7.5对未通过资格审查的供应商，采购代理机构应当告知其未通过的原因，以及未成交供应商的评审得分与排序；</w:t>
      </w:r>
    </w:p>
    <w:p w14:paraId="0874107B">
      <w:pPr>
        <w:spacing w:line="360" w:lineRule="auto"/>
        <w:ind w:firstLine="420" w:firstLineChars="200"/>
        <w:jc w:val="left"/>
        <w:rPr>
          <w:rFonts w:ascii="宋体" w:hAnsi="宋体" w:cs="宋体"/>
          <w:szCs w:val="21"/>
        </w:rPr>
      </w:pPr>
      <w:r>
        <w:rPr>
          <w:rFonts w:hint="eastAsia" w:ascii="宋体" w:hAnsi="宋体" w:cs="宋体"/>
          <w:szCs w:val="21"/>
        </w:rPr>
        <w:t>7.8成交通知书：</w:t>
      </w:r>
    </w:p>
    <w:p w14:paraId="67A8EA11">
      <w:pPr>
        <w:spacing w:line="360" w:lineRule="auto"/>
        <w:ind w:firstLine="420" w:firstLineChars="200"/>
        <w:jc w:val="left"/>
        <w:rPr>
          <w:rFonts w:ascii="宋体" w:hAnsi="宋体" w:cs="宋体"/>
          <w:szCs w:val="21"/>
        </w:rPr>
      </w:pPr>
      <w:r>
        <w:rPr>
          <w:rFonts w:hint="eastAsia" w:ascii="宋体" w:hAnsi="宋体" w:cs="宋体"/>
          <w:szCs w:val="21"/>
        </w:rPr>
        <w:t>7.8.1成交通知书为签订采购合同的依据，是合同的有效组成部分；</w:t>
      </w:r>
    </w:p>
    <w:p w14:paraId="56286E88">
      <w:pPr>
        <w:spacing w:line="360" w:lineRule="auto"/>
        <w:ind w:firstLine="420" w:firstLineChars="200"/>
        <w:jc w:val="left"/>
        <w:rPr>
          <w:rFonts w:ascii="宋体" w:hAnsi="宋体" w:cs="宋体"/>
          <w:szCs w:val="21"/>
        </w:rPr>
      </w:pPr>
      <w:r>
        <w:rPr>
          <w:rFonts w:hint="eastAsia" w:ascii="宋体" w:hAnsi="宋体" w:cs="宋体"/>
          <w:szCs w:val="21"/>
        </w:rPr>
        <w:t>7.8.2成交通知书对采购人和成交供应商均具有法律效力。成交通知书发出后，采购人改变成交结果，或者成交供应商无正当理由放弃成交的，应当承担相应的法律责任；</w:t>
      </w:r>
    </w:p>
    <w:p w14:paraId="682547DF">
      <w:pPr>
        <w:spacing w:line="360" w:lineRule="auto"/>
        <w:ind w:firstLine="420" w:firstLineChars="200"/>
        <w:jc w:val="left"/>
        <w:rPr>
          <w:rFonts w:ascii="宋体" w:hAnsi="宋体" w:cs="宋体"/>
          <w:szCs w:val="21"/>
        </w:rPr>
      </w:pPr>
      <w:r>
        <w:rPr>
          <w:rFonts w:hint="eastAsia" w:ascii="宋体" w:hAnsi="宋体" w:cs="宋体"/>
          <w:szCs w:val="21"/>
        </w:rPr>
        <w:t>7.8.3成交供应商的响应文件本应作为无效磋商响应处理或者有采购相关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79432880">
      <w:pPr>
        <w:spacing w:line="360" w:lineRule="auto"/>
        <w:ind w:firstLine="420" w:firstLineChars="200"/>
        <w:jc w:val="left"/>
        <w:rPr>
          <w:rFonts w:ascii="宋体" w:hAnsi="宋体" w:cs="宋体"/>
          <w:szCs w:val="21"/>
        </w:rPr>
      </w:pPr>
      <w:r>
        <w:rPr>
          <w:rFonts w:hint="eastAsia" w:ascii="宋体" w:hAnsi="宋体" w:cs="宋体"/>
          <w:szCs w:val="21"/>
        </w:rPr>
        <w:t>7.9采购代理服务费</w:t>
      </w:r>
    </w:p>
    <w:p w14:paraId="2075A552">
      <w:pPr>
        <w:spacing w:line="360" w:lineRule="auto"/>
        <w:ind w:firstLine="420" w:firstLineChars="200"/>
        <w:jc w:val="left"/>
        <w:rPr>
          <w:rFonts w:ascii="宋体" w:hAnsi="宋体" w:cs="宋体"/>
          <w:szCs w:val="21"/>
        </w:rPr>
      </w:pPr>
      <w:r>
        <w:rPr>
          <w:rFonts w:hint="eastAsia" w:ascii="宋体" w:hAnsi="宋体" w:cs="宋体"/>
          <w:szCs w:val="21"/>
        </w:rPr>
        <w:t>7.9.1采购代理服务费依据《国家计委关于印发招标代理服务收费管理暂行办法的通知》（计价格〔2002〕1980号）和国家发改委办公厅颁发的《关于招标代理服务收费有关问题的通知》（发改办价格〔2003〕857号）文件规定标准的</w:t>
      </w:r>
      <w:r>
        <w:rPr>
          <w:rFonts w:hint="eastAsia" w:ascii="宋体" w:hAnsi="宋体" w:cs="宋体"/>
          <w:szCs w:val="21"/>
          <w:lang w:val="en-US" w:eastAsia="zh-CN"/>
        </w:rPr>
        <w:t>30</w:t>
      </w:r>
      <w:r>
        <w:rPr>
          <w:rFonts w:hint="eastAsia" w:ascii="宋体" w:hAnsi="宋体" w:cs="宋体"/>
          <w:szCs w:val="21"/>
        </w:rPr>
        <w:t>%收取。</w:t>
      </w:r>
    </w:p>
    <w:p w14:paraId="5C540724">
      <w:pPr>
        <w:pStyle w:val="3"/>
        <w:rPr>
          <w:sz w:val="22"/>
          <w:szCs w:val="16"/>
        </w:rPr>
      </w:pPr>
      <w:r>
        <w:rPr>
          <w:rFonts w:hint="eastAsia"/>
          <w:sz w:val="22"/>
          <w:szCs w:val="16"/>
        </w:rPr>
        <w:t>八、合同授予</w:t>
      </w:r>
    </w:p>
    <w:p w14:paraId="1EA2CD71">
      <w:pPr>
        <w:spacing w:line="360" w:lineRule="auto"/>
        <w:ind w:firstLine="420" w:firstLineChars="200"/>
        <w:jc w:val="left"/>
        <w:rPr>
          <w:rFonts w:ascii="宋体" w:hAnsi="宋体" w:cs="宋体"/>
          <w:szCs w:val="21"/>
        </w:rPr>
      </w:pPr>
      <w:r>
        <w:rPr>
          <w:rFonts w:hint="eastAsia" w:ascii="宋体" w:hAnsi="宋体" w:cs="宋体"/>
          <w:szCs w:val="21"/>
        </w:rPr>
        <w:t>8.1签订时间的约束</w:t>
      </w:r>
    </w:p>
    <w:p w14:paraId="66B027F6">
      <w:pPr>
        <w:spacing w:line="360" w:lineRule="auto"/>
        <w:ind w:firstLine="420" w:firstLineChars="200"/>
        <w:jc w:val="left"/>
        <w:rPr>
          <w:rFonts w:ascii="宋体" w:hAnsi="宋体" w:cs="宋体"/>
          <w:szCs w:val="21"/>
        </w:rPr>
      </w:pPr>
      <w:r>
        <w:rPr>
          <w:rFonts w:hint="eastAsia" w:ascii="宋体" w:hAnsi="宋体" w:cs="宋体"/>
          <w:szCs w:val="21"/>
        </w:rPr>
        <w:t>自成交通知书发出之日起30日内，按照磋商文件和成交供应商响应文件的规定，采购人应当与成交供应商签订书面合同。采购人不得违法改变成交结果，成交供应商无正当理由不得放弃成交。</w:t>
      </w:r>
    </w:p>
    <w:p w14:paraId="0EFA0640">
      <w:pPr>
        <w:spacing w:line="360" w:lineRule="auto"/>
        <w:ind w:firstLine="420" w:firstLineChars="200"/>
        <w:jc w:val="left"/>
        <w:rPr>
          <w:rFonts w:ascii="宋体" w:hAnsi="宋体" w:cs="宋体"/>
          <w:szCs w:val="21"/>
        </w:rPr>
      </w:pPr>
      <w:r>
        <w:rPr>
          <w:rFonts w:hint="eastAsia" w:ascii="宋体" w:hAnsi="宋体" w:cs="宋体"/>
          <w:szCs w:val="21"/>
        </w:rPr>
        <w:t>8.2签订内容的约束</w:t>
      </w:r>
    </w:p>
    <w:p w14:paraId="28CE7EB9">
      <w:pPr>
        <w:spacing w:line="360" w:lineRule="auto"/>
        <w:ind w:firstLine="420" w:firstLineChars="200"/>
        <w:jc w:val="left"/>
        <w:rPr>
          <w:rFonts w:ascii="宋体" w:hAnsi="宋体" w:cs="宋体"/>
          <w:szCs w:val="21"/>
        </w:rPr>
      </w:pPr>
      <w:r>
        <w:rPr>
          <w:rFonts w:hint="eastAsia" w:ascii="宋体" w:hAnsi="宋体" w:cs="宋体"/>
          <w:szCs w:val="21"/>
        </w:rPr>
        <w:t>8.2.1所签订的合同不得对磋商文件确定的事项和成交供应商响应文件作实质性修改，成交供应商应当严格接受磋商文件和成交供应商响应文件的约束，不得对响应文件响应内容和磋商文件要求的内容做实质性变动。采购人不得向成交供应商提出任何不合理的要求作为签订合同的条件。</w:t>
      </w:r>
    </w:p>
    <w:p w14:paraId="14E03EE6">
      <w:pPr>
        <w:spacing w:line="360" w:lineRule="auto"/>
        <w:ind w:firstLine="420" w:firstLineChars="200"/>
        <w:jc w:val="left"/>
        <w:rPr>
          <w:rFonts w:ascii="宋体" w:hAnsi="宋体" w:cs="宋体"/>
          <w:szCs w:val="21"/>
        </w:rPr>
      </w:pPr>
      <w:r>
        <w:rPr>
          <w:rFonts w:hint="eastAsia" w:ascii="宋体" w:hAnsi="宋体" w:cs="宋体"/>
          <w:szCs w:val="21"/>
        </w:rPr>
        <w:t>8.2.2政府采购合同应当包括采购人与成交供应商的名称和住所、标的、数量、质量、价款或者报酬、履行期限及地点和方式、验收要求、违约责任、解决争议的方法等内容。</w:t>
      </w:r>
    </w:p>
    <w:p w14:paraId="79D9C02A">
      <w:pPr>
        <w:spacing w:line="360" w:lineRule="auto"/>
        <w:ind w:firstLine="420" w:firstLineChars="200"/>
        <w:jc w:val="left"/>
        <w:rPr>
          <w:rFonts w:ascii="宋体" w:hAnsi="宋体" w:cs="宋体"/>
          <w:szCs w:val="21"/>
        </w:rPr>
      </w:pPr>
      <w:r>
        <w:rPr>
          <w:rFonts w:hint="eastAsia" w:ascii="宋体" w:hAnsi="宋体" w:cs="宋体"/>
          <w:szCs w:val="21"/>
        </w:rPr>
        <w:t>8.2.3采购人与成交供应商应当根据合同的约定依法履行合同义务。政府采购合同的履行、违约责任和解决争议的方法等适用《中华人民共和国民法典》。</w:t>
      </w:r>
    </w:p>
    <w:p w14:paraId="31ADF775">
      <w:pPr>
        <w:spacing w:line="360" w:lineRule="auto"/>
        <w:ind w:firstLine="420" w:firstLineChars="200"/>
        <w:jc w:val="left"/>
        <w:rPr>
          <w:rFonts w:ascii="宋体" w:hAnsi="宋体" w:cs="宋体"/>
          <w:szCs w:val="21"/>
        </w:rPr>
      </w:pPr>
      <w:r>
        <w:rPr>
          <w:rFonts w:hint="eastAsia" w:ascii="宋体" w:hAnsi="宋体" w:cs="宋体"/>
          <w:szCs w:val="21"/>
        </w:rPr>
        <w:t>8.3合同签订事项</w:t>
      </w:r>
    </w:p>
    <w:p w14:paraId="79FB0211">
      <w:pPr>
        <w:spacing w:line="360" w:lineRule="auto"/>
        <w:ind w:firstLine="420" w:firstLineChars="200"/>
        <w:jc w:val="left"/>
        <w:rPr>
          <w:rFonts w:ascii="宋体" w:hAnsi="宋体" w:cs="宋体"/>
          <w:szCs w:val="21"/>
        </w:rPr>
      </w:pPr>
      <w:r>
        <w:rPr>
          <w:rFonts w:hint="eastAsia" w:ascii="宋体" w:hAnsi="宋体" w:cs="宋体"/>
          <w:szCs w:val="21"/>
        </w:rPr>
        <w:t>8.3.1成交供应商在收到采购人发出的《成交通知书》后，应在规定的时间内与采购人签订采购合同。由于成交供应商的原因逾期未与采购人签订采购合同的，将视为放弃成交，取消其成交资格并将按相关规定进行处理。</w:t>
      </w:r>
    </w:p>
    <w:p w14:paraId="2D8B39B7">
      <w:pPr>
        <w:spacing w:line="360" w:lineRule="auto"/>
        <w:ind w:firstLine="420" w:firstLineChars="200"/>
        <w:jc w:val="left"/>
        <w:rPr>
          <w:rFonts w:ascii="宋体" w:hAnsi="宋体" w:cs="宋体"/>
          <w:szCs w:val="21"/>
        </w:rPr>
      </w:pPr>
      <w:r>
        <w:rPr>
          <w:rFonts w:hint="eastAsia" w:ascii="宋体" w:hAnsi="宋体" w:cs="宋体"/>
          <w:szCs w:val="21"/>
        </w:rPr>
        <w:t>8.3.2采购人不得向成交供应商提出任何不合理的要求，作为签订合同的条件。成交供应商拒绝按照磋商文件和响应文件签订合同的或者签订的合同对服务内容做出了实质性修改，采购人有权终止合同，并保留要求经济赔偿的权利。</w:t>
      </w:r>
    </w:p>
    <w:p w14:paraId="5131FEEA">
      <w:pPr>
        <w:spacing w:line="360" w:lineRule="auto"/>
        <w:ind w:firstLine="420" w:firstLineChars="200"/>
        <w:jc w:val="left"/>
        <w:rPr>
          <w:rFonts w:ascii="宋体" w:hAnsi="宋体" w:cs="宋体"/>
          <w:szCs w:val="21"/>
        </w:rPr>
      </w:pPr>
      <w:r>
        <w:rPr>
          <w:rFonts w:hint="eastAsia" w:ascii="宋体" w:hAnsi="宋体" w:cs="宋体"/>
          <w:szCs w:val="21"/>
        </w:rPr>
        <w:t>8.3.3成交供应商因不可抗力原因不能履行采购合同或放弃成交的，采购人可以与排在成交供应商之后第一位的成交候选人签订采购合同，以此类推。</w:t>
      </w:r>
    </w:p>
    <w:p w14:paraId="060D4442">
      <w:pPr>
        <w:spacing w:line="360" w:lineRule="auto"/>
        <w:ind w:firstLine="420" w:firstLineChars="200"/>
        <w:jc w:val="left"/>
        <w:rPr>
          <w:rFonts w:ascii="宋体" w:hAnsi="宋体" w:cs="宋体"/>
          <w:szCs w:val="21"/>
        </w:rPr>
      </w:pPr>
      <w:r>
        <w:rPr>
          <w:rFonts w:hint="eastAsia" w:ascii="宋体" w:hAnsi="宋体" w:cs="宋体"/>
          <w:szCs w:val="21"/>
        </w:rPr>
        <w:t>8.3.4成交供应商在合同签订之后三个工作日内，将签订的合同（原件1份）送采购代理机构留存。</w:t>
      </w:r>
    </w:p>
    <w:p w14:paraId="46004502">
      <w:pPr>
        <w:spacing w:line="360" w:lineRule="auto"/>
        <w:ind w:firstLine="420" w:firstLineChars="200"/>
        <w:jc w:val="left"/>
        <w:rPr>
          <w:rFonts w:ascii="宋体" w:hAnsi="宋体" w:cs="宋体"/>
          <w:szCs w:val="21"/>
        </w:rPr>
      </w:pPr>
      <w:r>
        <w:rPr>
          <w:rFonts w:hint="eastAsia" w:ascii="宋体" w:hAnsi="宋体" w:cs="宋体"/>
          <w:szCs w:val="21"/>
        </w:rPr>
        <w:t>8.4 履约保证金</w:t>
      </w:r>
    </w:p>
    <w:p w14:paraId="13643DF0">
      <w:pPr>
        <w:spacing w:line="360" w:lineRule="auto"/>
        <w:ind w:firstLine="420" w:firstLineChars="200"/>
        <w:jc w:val="left"/>
        <w:rPr>
          <w:rFonts w:ascii="宋体" w:hAnsi="宋体" w:cs="宋体"/>
          <w:szCs w:val="21"/>
        </w:rPr>
      </w:pPr>
      <w:r>
        <w:rPr>
          <w:rFonts w:hint="eastAsia" w:ascii="宋体" w:hAnsi="宋体" w:cs="宋体"/>
          <w:szCs w:val="21"/>
        </w:rPr>
        <w:t>详见供应商须知前附表。</w:t>
      </w:r>
    </w:p>
    <w:p w14:paraId="07A8DC5C">
      <w:pPr>
        <w:pStyle w:val="3"/>
        <w:rPr>
          <w:sz w:val="22"/>
          <w:szCs w:val="16"/>
        </w:rPr>
      </w:pPr>
      <w:r>
        <w:rPr>
          <w:rFonts w:hint="eastAsia"/>
          <w:sz w:val="22"/>
          <w:szCs w:val="16"/>
        </w:rPr>
        <w:t>九、样品</w:t>
      </w:r>
    </w:p>
    <w:p w14:paraId="741A636D">
      <w:pPr>
        <w:spacing w:line="360" w:lineRule="auto"/>
        <w:ind w:firstLine="420" w:firstLineChars="200"/>
        <w:jc w:val="left"/>
        <w:rPr>
          <w:rFonts w:ascii="宋体" w:hAnsi="宋体" w:cs="宋体"/>
          <w:szCs w:val="21"/>
        </w:rPr>
      </w:pPr>
      <w:r>
        <w:rPr>
          <w:rFonts w:hint="eastAsia" w:ascii="宋体" w:hAnsi="宋体" w:cs="宋体"/>
          <w:szCs w:val="21"/>
        </w:rPr>
        <w:t>不要求提供。</w:t>
      </w:r>
    </w:p>
    <w:p w14:paraId="33653AAB">
      <w:pPr>
        <w:pStyle w:val="3"/>
        <w:rPr>
          <w:sz w:val="22"/>
          <w:szCs w:val="16"/>
        </w:rPr>
      </w:pPr>
      <w:r>
        <w:rPr>
          <w:rFonts w:hint="eastAsia"/>
          <w:sz w:val="22"/>
          <w:szCs w:val="16"/>
        </w:rPr>
        <w:t>十、采购活动的终止</w:t>
      </w:r>
    </w:p>
    <w:p w14:paraId="4D888584">
      <w:pPr>
        <w:spacing w:line="360" w:lineRule="auto"/>
        <w:ind w:firstLine="420" w:firstLineChars="200"/>
        <w:jc w:val="left"/>
        <w:rPr>
          <w:rFonts w:ascii="宋体" w:hAnsi="宋体" w:cs="宋体"/>
          <w:szCs w:val="21"/>
        </w:rPr>
      </w:pPr>
      <w:r>
        <w:rPr>
          <w:rFonts w:hint="eastAsia" w:ascii="宋体" w:hAnsi="宋体" w:cs="宋体"/>
          <w:szCs w:val="21"/>
        </w:rPr>
        <w:t>采购代理机构在发布磋商公告后，除因重大变故采购任务取消情况外，不得擅自终止采购活动。</w:t>
      </w:r>
    </w:p>
    <w:p w14:paraId="0976F92A">
      <w:pPr>
        <w:spacing w:line="360" w:lineRule="auto"/>
        <w:ind w:firstLine="420" w:firstLineChars="200"/>
        <w:jc w:val="left"/>
        <w:rPr>
          <w:rFonts w:ascii="宋体" w:hAnsi="宋体" w:cs="宋体"/>
          <w:szCs w:val="21"/>
        </w:rPr>
      </w:pPr>
      <w:r>
        <w:rPr>
          <w:rFonts w:hint="eastAsia" w:ascii="宋体" w:hAnsi="宋体" w:cs="宋体"/>
          <w:szCs w:val="21"/>
        </w:rPr>
        <w:t>终止采购的，采购代理机构应当及时在原公告发布媒体上发布终止公告，以书面或电子邮件形式通知已获取磋商文件的潜在供应商。</w:t>
      </w:r>
    </w:p>
    <w:p w14:paraId="34417C6D">
      <w:pPr>
        <w:pStyle w:val="3"/>
        <w:rPr>
          <w:sz w:val="22"/>
          <w:szCs w:val="16"/>
        </w:rPr>
      </w:pPr>
      <w:r>
        <w:rPr>
          <w:rFonts w:hint="eastAsia"/>
          <w:sz w:val="22"/>
          <w:szCs w:val="16"/>
        </w:rPr>
        <w:t>十一、行贿与受贿约束</w:t>
      </w:r>
    </w:p>
    <w:p w14:paraId="4F4F35F7">
      <w:pPr>
        <w:spacing w:line="360" w:lineRule="auto"/>
        <w:ind w:firstLine="420" w:firstLineChars="200"/>
        <w:jc w:val="left"/>
        <w:rPr>
          <w:rFonts w:ascii="宋体" w:hAnsi="宋体" w:cs="宋体"/>
          <w:szCs w:val="21"/>
        </w:rPr>
      </w:pPr>
      <w:r>
        <w:rPr>
          <w:rFonts w:hint="eastAsia" w:ascii="宋体" w:hAnsi="宋体" w:cs="宋体"/>
          <w:szCs w:val="21"/>
        </w:rPr>
        <w:t>供应商在获取磋商文件后，在磋商响应过程中不得向采购代理机构工作人员提供、赠予、给予等任何形式的有价物品，不得向采购人给予赠品、回扣或者与采购无关的其他商品、服务，坚决杜绝和抵制影响采购的正常决策行为。供应商一旦发生上述行为且证据明确，其磋商响应资格被取消并承担相应法律责任。</w:t>
      </w:r>
    </w:p>
    <w:p w14:paraId="2CD632CD">
      <w:pPr>
        <w:pStyle w:val="3"/>
        <w:rPr>
          <w:sz w:val="22"/>
          <w:szCs w:val="16"/>
        </w:rPr>
      </w:pPr>
      <w:r>
        <w:rPr>
          <w:rFonts w:hint="eastAsia"/>
          <w:sz w:val="22"/>
          <w:szCs w:val="16"/>
        </w:rPr>
        <w:t>十二、供应商信用查询方法和途径</w:t>
      </w:r>
    </w:p>
    <w:p w14:paraId="3067B5CB">
      <w:pPr>
        <w:spacing w:line="360" w:lineRule="auto"/>
        <w:ind w:firstLine="420" w:firstLineChars="200"/>
        <w:jc w:val="left"/>
        <w:rPr>
          <w:rFonts w:ascii="宋体" w:hAnsi="宋体" w:cs="宋体"/>
          <w:szCs w:val="21"/>
        </w:rPr>
      </w:pPr>
      <w:r>
        <w:rPr>
          <w:rFonts w:hint="eastAsia" w:ascii="宋体" w:hAnsi="宋体" w:cs="宋体"/>
          <w:szCs w:val="21"/>
        </w:rPr>
        <w:t>13.1根据财政部《关于在政府采购活动中查询及使用信用记录有关问题的通知》（财库〔2016〕125号）第二条有关要求，采购人将在资格审查阶段通过〔信用中国〕（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Fonts w:hint="eastAsia" w:ascii="宋体" w:hAnsi="宋体" w:cs="宋体"/>
          <w:szCs w:val="21"/>
        </w:rPr>
        <w:t>https://www.creditchina.gov.cn</w:t>
      </w:r>
      <w:r>
        <w:rPr>
          <w:rFonts w:hint="eastAsia" w:ascii="宋体" w:hAnsi="宋体" w:cs="宋体"/>
          <w:szCs w:val="21"/>
        </w:rPr>
        <w:fldChar w:fldCharType="end"/>
      </w:r>
      <w:r>
        <w:rPr>
          <w:rFonts w:hint="eastAsia" w:ascii="宋体" w:hAnsi="宋体" w:cs="宋体"/>
          <w:szCs w:val="21"/>
        </w:rPr>
        <w:t>/）和〔中国政府采购网〕（</w:t>
      </w:r>
      <w:r>
        <w:fldChar w:fldCharType="begin"/>
      </w:r>
      <w:r>
        <w:instrText xml:space="preserve"> HYPERLINK "http://www.ccgp.gov.cn/" </w:instrText>
      </w:r>
      <w:r>
        <w:fldChar w:fldCharType="separate"/>
      </w:r>
      <w:r>
        <w:rPr>
          <w:rFonts w:hint="eastAsia" w:ascii="宋体" w:hAnsi="宋体" w:cs="宋体"/>
          <w:szCs w:val="21"/>
        </w:rPr>
        <w:t>http://www.ccgp.gov.cn/）</w:t>
      </w:r>
      <w:r>
        <w:rPr>
          <w:rFonts w:hint="eastAsia" w:ascii="宋体" w:hAnsi="宋体" w:cs="宋体"/>
          <w:szCs w:val="21"/>
        </w:rPr>
        <w:fldChar w:fldCharType="end"/>
      </w:r>
      <w:r>
        <w:rPr>
          <w:rFonts w:hint="eastAsia" w:ascii="宋体" w:hAnsi="宋体" w:cs="宋体"/>
          <w:szCs w:val="21"/>
        </w:rPr>
        <w:t>对供应商的信用情况进行甄别。</w:t>
      </w:r>
    </w:p>
    <w:p w14:paraId="15B605FD">
      <w:pPr>
        <w:spacing w:line="360" w:lineRule="auto"/>
        <w:ind w:firstLine="420" w:firstLineChars="200"/>
        <w:jc w:val="left"/>
        <w:rPr>
          <w:rFonts w:ascii="宋体" w:hAnsi="宋体" w:cs="宋体"/>
          <w:szCs w:val="21"/>
        </w:rPr>
      </w:pPr>
      <w:r>
        <w:rPr>
          <w:rFonts w:hint="eastAsia" w:ascii="宋体" w:hAnsi="宋体" w:cs="宋体"/>
          <w:szCs w:val="21"/>
        </w:rPr>
        <w:t>13.2对列入失信被执行人、重大税收违法案件当事人名单、政府采购严重违法失信行为记录名单及其他不符合《中华人民共和国政府采购法》第二十二条规定条件的供应商，将拒绝其参与政府采购活动。</w:t>
      </w:r>
    </w:p>
    <w:p w14:paraId="03107B34">
      <w:pPr>
        <w:spacing w:line="360" w:lineRule="auto"/>
        <w:ind w:firstLine="420" w:firstLineChars="200"/>
        <w:jc w:val="left"/>
        <w:rPr>
          <w:rFonts w:ascii="宋体" w:hAnsi="宋体" w:cs="宋体"/>
          <w:szCs w:val="21"/>
        </w:rPr>
      </w:pPr>
      <w:r>
        <w:rPr>
          <w:rFonts w:hint="eastAsia" w:ascii="宋体" w:hAnsi="宋体" w:cs="宋体"/>
          <w:szCs w:val="21"/>
        </w:rPr>
        <w:t>13.3供应商在参加政府采购活动前3年内因违法经营被禁止在一定期限内参加政府采购活动，期限届满的，可以参加政府采购活动的，但供应商应提供相关证明材料。</w:t>
      </w:r>
    </w:p>
    <w:p w14:paraId="2A532786">
      <w:pPr>
        <w:spacing w:line="360" w:lineRule="auto"/>
        <w:ind w:firstLine="420" w:firstLineChars="200"/>
        <w:jc w:val="left"/>
        <w:rPr>
          <w:rFonts w:ascii="宋体" w:hAnsi="宋体" w:cs="宋体"/>
          <w:szCs w:val="21"/>
        </w:rPr>
      </w:pPr>
      <w:r>
        <w:rPr>
          <w:rFonts w:hint="eastAsia" w:ascii="宋体" w:hAnsi="宋体" w:cs="宋体"/>
          <w:szCs w:val="21"/>
        </w:rPr>
        <w:t>13.4信用记录查询结果打印后，将与其他采购文件一并保存。</w:t>
      </w:r>
    </w:p>
    <w:p w14:paraId="53200AE9">
      <w:pPr>
        <w:pStyle w:val="3"/>
        <w:rPr>
          <w:sz w:val="22"/>
          <w:szCs w:val="16"/>
        </w:rPr>
      </w:pPr>
      <w:r>
        <w:rPr>
          <w:rFonts w:hint="eastAsia"/>
          <w:sz w:val="22"/>
          <w:szCs w:val="16"/>
        </w:rPr>
        <w:t>十三、其他说明</w:t>
      </w:r>
    </w:p>
    <w:p w14:paraId="0F4F653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供应商不得存在下列情形之一，否则</w:t>
      </w:r>
      <w:r>
        <w:rPr>
          <w:rFonts w:hint="eastAsia" w:ascii="宋体" w:hAnsi="宋体" w:cs="宋体"/>
          <w:color w:val="000000"/>
          <w:szCs w:val="21"/>
        </w:rPr>
        <w:t>其磋商响应将被否决：</w:t>
      </w:r>
    </w:p>
    <w:p w14:paraId="73EA96E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（1）为采购人不具有独立法人资格的附属机构（单位）； </w:t>
      </w:r>
    </w:p>
    <w:p w14:paraId="09AC8818">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（2）为本项目提供采购代理服务的；</w:t>
      </w:r>
    </w:p>
    <w:p w14:paraId="3AEDC89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（3）被责令停业的； </w:t>
      </w:r>
    </w:p>
    <w:p w14:paraId="4F3490A9">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（4）被暂停或取消</w:t>
      </w:r>
      <w:r>
        <w:rPr>
          <w:rFonts w:hint="eastAsia" w:ascii="宋体" w:hAnsi="宋体" w:cs="宋体"/>
          <w:color w:val="000000"/>
          <w:szCs w:val="21"/>
        </w:rPr>
        <w:t>磋商响应</w:t>
      </w:r>
      <w:r>
        <w:rPr>
          <w:rFonts w:hint="eastAsia" w:ascii="宋体" w:hAnsi="宋体" w:cs="宋体"/>
          <w:kern w:val="0"/>
          <w:szCs w:val="21"/>
        </w:rPr>
        <w:t>资格的；</w:t>
      </w:r>
    </w:p>
    <w:p w14:paraId="2E9E7465">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（5）财产被接管或冻结的；</w:t>
      </w:r>
    </w:p>
    <w:p w14:paraId="0FE407B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（6）在最近三年内有骗取成交或严重违约或重大质量问题的；</w:t>
      </w:r>
    </w:p>
    <w:p w14:paraId="3A095DE3">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（7）存在提供虚假的财务状况、业绩、虚假的信用状况等弄虚作假的行为；</w:t>
      </w:r>
    </w:p>
    <w:p w14:paraId="146395D9">
      <w:pPr>
        <w:widowControl/>
        <w:spacing w:line="360" w:lineRule="auto"/>
        <w:ind w:firstLine="420" w:firstLineChars="200"/>
        <w:jc w:val="left"/>
        <w:rPr>
          <w:rFonts w:ascii="宋体" w:hAnsi="宋体" w:cs="宋体"/>
          <w:kern w:val="0"/>
          <w:szCs w:val="21"/>
        </w:rPr>
      </w:pPr>
      <w:r>
        <w:rPr>
          <w:rFonts w:hint="eastAsia" w:ascii="宋体" w:hAnsi="宋体" w:cs="宋体"/>
          <w:color w:val="000000"/>
          <w:szCs w:val="21"/>
        </w:rPr>
        <w:t>（8）</w:t>
      </w:r>
      <w:r>
        <w:rPr>
          <w:rFonts w:hint="eastAsia" w:ascii="宋体" w:hAnsi="宋体" w:cs="宋体"/>
          <w:szCs w:val="21"/>
        </w:rPr>
        <w:t>不按磋商小组要求澄清、说明或补正的。</w:t>
      </w:r>
    </w:p>
    <w:p w14:paraId="4B786B2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br w:type="page"/>
      </w:r>
    </w:p>
    <w:p w14:paraId="65B31E97">
      <w:pPr>
        <w:spacing w:line="360" w:lineRule="auto"/>
        <w:jc w:val="center"/>
        <w:outlineLvl w:val="0"/>
        <w:rPr>
          <w:rFonts w:ascii="宋体" w:hAnsi="宋体"/>
          <w:b/>
          <w:kern w:val="44"/>
          <w:sz w:val="32"/>
        </w:rPr>
      </w:pPr>
      <w:bookmarkStart w:id="45" w:name="_Toc32758"/>
      <w:bookmarkStart w:id="46" w:name="_Toc23925"/>
      <w:bookmarkStart w:id="47" w:name="_Toc20329"/>
      <w:bookmarkStart w:id="48" w:name="_Toc15543"/>
      <w:r>
        <w:rPr>
          <w:rFonts w:ascii="宋体" w:hAnsi="宋体"/>
          <w:b/>
          <w:kern w:val="44"/>
          <w:sz w:val="32"/>
        </w:rPr>
        <w:t>第</w:t>
      </w:r>
      <w:r>
        <w:rPr>
          <w:rFonts w:hint="eastAsia" w:ascii="宋体" w:hAnsi="宋体"/>
          <w:b/>
          <w:kern w:val="44"/>
          <w:sz w:val="32"/>
        </w:rPr>
        <w:t>三</w:t>
      </w:r>
      <w:r>
        <w:rPr>
          <w:rFonts w:ascii="宋体" w:hAnsi="宋体"/>
          <w:b/>
          <w:kern w:val="44"/>
          <w:sz w:val="32"/>
        </w:rPr>
        <w:t xml:space="preserve">章  </w:t>
      </w:r>
      <w:bookmarkEnd w:id="45"/>
      <w:bookmarkEnd w:id="46"/>
      <w:bookmarkEnd w:id="47"/>
      <w:r>
        <w:rPr>
          <w:rFonts w:hint="eastAsia" w:ascii="宋体" w:hAnsi="宋体"/>
          <w:b/>
          <w:kern w:val="44"/>
          <w:sz w:val="32"/>
        </w:rPr>
        <w:t>评审标准及方法</w:t>
      </w:r>
      <w:bookmarkEnd w:id="48"/>
    </w:p>
    <w:p w14:paraId="23A970E2">
      <w:pPr>
        <w:pStyle w:val="3"/>
        <w:spacing w:before="78" w:after="78"/>
      </w:pPr>
      <w:bookmarkStart w:id="49" w:name="_Toc29875"/>
      <w:bookmarkStart w:id="50" w:name="_Toc363463332"/>
      <w:r>
        <w:rPr>
          <w:rFonts w:hint="eastAsia"/>
        </w:rPr>
        <w:t>一、评审方法</w:t>
      </w:r>
      <w:bookmarkEnd w:id="49"/>
      <w:bookmarkEnd w:id="50"/>
    </w:p>
    <w:p w14:paraId="365C4267">
      <w:pPr>
        <w:spacing w:line="360" w:lineRule="auto"/>
        <w:ind w:firstLine="420" w:firstLineChars="200"/>
        <w:rPr>
          <w:rFonts w:ascii="宋体" w:hAnsi="宋体" w:cs="宋体"/>
          <w:bCs/>
          <w:szCs w:val="21"/>
        </w:rPr>
      </w:pPr>
      <w:r>
        <w:rPr>
          <w:rFonts w:hint="eastAsia" w:ascii="宋体" w:hAnsi="宋体"/>
          <w:szCs w:val="21"/>
        </w:rPr>
        <w:t>按照《中华人民共和国政府采购法》、《中华人民共和国政府采购法实施条例》、《政府采购竞争性磋商采购方式管理暂行办法》、《关于政府采购竞争性磋商采购方式管理暂行办法有关问题的补充通知》的规定，本次评审采用综合评分法--响应文件满足磋商文件全部实质性要求，且按照评审因素的量化指标评审得分最高的供应商为成交候选人。（最低报价不是成交的唯一标准）。</w:t>
      </w:r>
    </w:p>
    <w:p w14:paraId="0C6C3B05">
      <w:pPr>
        <w:pStyle w:val="3"/>
        <w:spacing w:before="78" w:after="78"/>
      </w:pPr>
      <w:bookmarkStart w:id="51" w:name="_Toc30213"/>
      <w:r>
        <w:rPr>
          <w:rFonts w:hint="eastAsia"/>
        </w:rPr>
        <w:t>二、资格性审查</w:t>
      </w:r>
      <w:bookmarkEnd w:id="51"/>
    </w:p>
    <w:p w14:paraId="2F20DAE0">
      <w:pPr>
        <w:spacing w:line="360" w:lineRule="auto"/>
        <w:ind w:firstLine="420" w:firstLineChars="200"/>
        <w:rPr>
          <w:rFonts w:ascii="宋体" w:hAnsi="宋体"/>
          <w:szCs w:val="21"/>
        </w:rPr>
      </w:pPr>
      <w:r>
        <w:rPr>
          <w:rFonts w:hint="eastAsia" w:ascii="宋体" w:hAnsi="宋体"/>
          <w:szCs w:val="21"/>
        </w:rPr>
        <w:t>资格评审标准：开标结束后，采购代理机构应当依法对供应商的资格进行审查。合格供应商不足三家的，不得评审。</w:t>
      </w:r>
    </w:p>
    <w:p w14:paraId="1A7995B9">
      <w:pPr>
        <w:spacing w:line="360" w:lineRule="auto"/>
        <w:ind w:firstLine="420" w:firstLineChars="200"/>
        <w:rPr>
          <w:rFonts w:ascii="宋体" w:hAnsi="宋体"/>
          <w:szCs w:val="21"/>
        </w:rPr>
      </w:pPr>
      <w:r>
        <w:rPr>
          <w:rFonts w:hint="eastAsia" w:ascii="宋体" w:hAnsi="宋体"/>
          <w:szCs w:val="21"/>
        </w:rPr>
        <w:t>审查内容出现任何一项不符合，按无效文件处理。资格审查内容如下：</w:t>
      </w:r>
    </w:p>
    <w:tbl>
      <w:tblPr>
        <w:tblStyle w:val="28"/>
        <w:tblW w:w="9990"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6626"/>
        <w:gridCol w:w="2667"/>
      </w:tblGrid>
      <w:tr w14:paraId="7F6A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4571A596">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序号</w:t>
            </w:r>
          </w:p>
        </w:tc>
        <w:tc>
          <w:tcPr>
            <w:tcW w:w="6626" w:type="dxa"/>
            <w:vAlign w:val="center"/>
          </w:tcPr>
          <w:p w14:paraId="33EA3AFE">
            <w:pPr>
              <w:keepNext w:val="0"/>
              <w:keepLines w:val="0"/>
              <w:pageBreakBefore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审查内容</w:t>
            </w:r>
          </w:p>
        </w:tc>
        <w:tc>
          <w:tcPr>
            <w:tcW w:w="2667" w:type="dxa"/>
            <w:vAlign w:val="center"/>
          </w:tcPr>
          <w:p w14:paraId="3BE5F166">
            <w:pPr>
              <w:keepNext w:val="0"/>
              <w:keepLines w:val="0"/>
              <w:pageBreakBefore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审查标准</w:t>
            </w:r>
          </w:p>
        </w:tc>
      </w:tr>
      <w:tr w14:paraId="5A8F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9D6C247">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1</w:t>
            </w:r>
          </w:p>
        </w:tc>
        <w:tc>
          <w:tcPr>
            <w:tcW w:w="6626" w:type="dxa"/>
            <w:vAlign w:val="center"/>
          </w:tcPr>
          <w:p w14:paraId="7EE80351">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法人或者其他组织的营业执照等复印件。</w:t>
            </w:r>
          </w:p>
        </w:tc>
        <w:tc>
          <w:tcPr>
            <w:tcW w:w="2667" w:type="dxa"/>
            <w:vAlign w:val="center"/>
          </w:tcPr>
          <w:p w14:paraId="25D43F5A">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56BE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F384123">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2</w:t>
            </w:r>
          </w:p>
        </w:tc>
        <w:tc>
          <w:tcPr>
            <w:tcW w:w="6626" w:type="dxa"/>
            <w:vAlign w:val="center"/>
          </w:tcPr>
          <w:p w14:paraId="6C27B94C">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2023年度</w:t>
            </w:r>
            <w:r>
              <w:rPr>
                <w:rFonts w:hint="eastAsia" w:ascii="宋体" w:hAnsi="宋体" w:cs="宋体"/>
                <w:kern w:val="0"/>
                <w:szCs w:val="21"/>
                <w:lang w:val="en-US" w:eastAsia="zh-CN"/>
              </w:rPr>
              <w:t>或2024年度</w:t>
            </w:r>
            <w:r>
              <w:rPr>
                <w:rFonts w:hint="eastAsia" w:ascii="宋体" w:hAnsi="宋体" w:cs="宋体"/>
                <w:kern w:val="0"/>
                <w:szCs w:val="21"/>
              </w:rPr>
              <w:t>经会计师事务所审计的财务报告复印件，或响应文件递交截止时间前6个月内任意时段的资产负债表，或响应文件递交截止时间前六个月内任意时间由基本开户银行出具的资信证明。</w:t>
            </w:r>
          </w:p>
        </w:tc>
        <w:tc>
          <w:tcPr>
            <w:tcW w:w="2667" w:type="dxa"/>
            <w:vAlign w:val="center"/>
          </w:tcPr>
          <w:p w14:paraId="4AFC93CB">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040A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69BC6182">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3</w:t>
            </w:r>
          </w:p>
        </w:tc>
        <w:tc>
          <w:tcPr>
            <w:tcW w:w="6626" w:type="dxa"/>
            <w:vAlign w:val="center"/>
          </w:tcPr>
          <w:p w14:paraId="7AF5BA13">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响应文件递交截止时间前6个月内至少一个月的纳税证明或完税证明。依法免税的供应商应提供相关证明材料。</w:t>
            </w:r>
          </w:p>
        </w:tc>
        <w:tc>
          <w:tcPr>
            <w:tcW w:w="2667" w:type="dxa"/>
            <w:vAlign w:val="center"/>
          </w:tcPr>
          <w:p w14:paraId="3FF062CA">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6099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2848AA36">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4</w:t>
            </w:r>
          </w:p>
        </w:tc>
        <w:tc>
          <w:tcPr>
            <w:tcW w:w="6626" w:type="dxa"/>
            <w:vAlign w:val="center"/>
          </w:tcPr>
          <w:p w14:paraId="06B6A4A0">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响应文件递交截止时间前6个月内至少一个月的社会保障资金缴存单据或社保机构开具的社会保险参保缴费情况证明。依法不需要缴纳社会保障资金的供应商应提供相关证明材料。</w:t>
            </w:r>
          </w:p>
        </w:tc>
        <w:tc>
          <w:tcPr>
            <w:tcW w:w="2667" w:type="dxa"/>
            <w:vAlign w:val="center"/>
          </w:tcPr>
          <w:p w14:paraId="27D63AC9">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0B36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0C5B1CBE">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5</w:t>
            </w:r>
          </w:p>
        </w:tc>
        <w:tc>
          <w:tcPr>
            <w:tcW w:w="6626" w:type="dxa"/>
            <w:vAlign w:val="center"/>
          </w:tcPr>
          <w:p w14:paraId="1E6A5129">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具有履行合同所必需的设备和专业技术能力的承诺函。</w:t>
            </w:r>
          </w:p>
        </w:tc>
        <w:tc>
          <w:tcPr>
            <w:tcW w:w="2667" w:type="dxa"/>
            <w:vAlign w:val="center"/>
          </w:tcPr>
          <w:p w14:paraId="6FB844D8">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6BF8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1AE424E">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6</w:t>
            </w:r>
          </w:p>
        </w:tc>
        <w:tc>
          <w:tcPr>
            <w:tcW w:w="6626" w:type="dxa"/>
            <w:vAlign w:val="center"/>
          </w:tcPr>
          <w:p w14:paraId="05327CE9">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参加政府采购活动前3年内在经营活动中没有重大违法记录的书面声明。</w:t>
            </w:r>
          </w:p>
        </w:tc>
        <w:tc>
          <w:tcPr>
            <w:tcW w:w="2667" w:type="dxa"/>
            <w:vAlign w:val="center"/>
          </w:tcPr>
          <w:p w14:paraId="7CEEB090">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0BF11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49994D0">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7</w:t>
            </w:r>
          </w:p>
        </w:tc>
        <w:tc>
          <w:tcPr>
            <w:tcW w:w="6626" w:type="dxa"/>
            <w:vAlign w:val="center"/>
          </w:tcPr>
          <w:p w14:paraId="02EEB7B9">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提供供应商法定代表人授权委托书并附法定代表人及授权人代表身份证复印件并依照规定格式签署和盖章，法定代表人参加磋商的提供身份证明及身份证复印件。</w:t>
            </w:r>
          </w:p>
        </w:tc>
        <w:tc>
          <w:tcPr>
            <w:tcW w:w="2667" w:type="dxa"/>
            <w:vAlign w:val="center"/>
          </w:tcPr>
          <w:p w14:paraId="1B0AE49D">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2CAE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BBAC9C3">
            <w:pPr>
              <w:keepNext w:val="0"/>
              <w:keepLines w:val="0"/>
              <w:pageBreakBefore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8</w:t>
            </w:r>
          </w:p>
        </w:tc>
        <w:tc>
          <w:tcPr>
            <w:tcW w:w="6626" w:type="dxa"/>
            <w:vAlign w:val="center"/>
          </w:tcPr>
          <w:p w14:paraId="07DB1A01">
            <w:pPr>
              <w:pStyle w:val="23"/>
              <w:keepNext w:val="0"/>
              <w:keepLines w:val="0"/>
              <w:pageBreakBefore w:val="0"/>
              <w:kinsoku/>
              <w:wordWrap/>
              <w:overflowPunct/>
              <w:topLinePunct w:val="0"/>
              <w:autoSpaceDE/>
              <w:autoSpaceDN/>
              <w:bidi w:val="0"/>
              <w:adjustRightInd/>
              <w:snapToGrid/>
              <w:spacing w:before="0" w:beforeAutospacing="0" w:after="0" w:afterAutospacing="0"/>
              <w:textAlignment w:val="auto"/>
              <w:rPr>
                <w:sz w:val="21"/>
                <w:szCs w:val="21"/>
              </w:rPr>
            </w:pPr>
            <w:r>
              <w:rPr>
                <w:rFonts w:hint="eastAsia"/>
                <w:sz w:val="21"/>
                <w:szCs w:val="21"/>
              </w:rPr>
              <w:t>单位负责人为同一人或者存在直接控股、管理关系的不同供应商，不得参加同一合同项下的政府采购活动（提供承诺书）。</w:t>
            </w:r>
          </w:p>
        </w:tc>
        <w:tc>
          <w:tcPr>
            <w:tcW w:w="2667" w:type="dxa"/>
            <w:vAlign w:val="center"/>
          </w:tcPr>
          <w:p w14:paraId="7B815BDF">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3FF16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623F2198">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6626" w:type="dxa"/>
            <w:vAlign w:val="center"/>
          </w:tcPr>
          <w:p w14:paraId="203218FB">
            <w:pPr>
              <w:pStyle w:val="23"/>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sz w:val="21"/>
                <w:szCs w:val="21"/>
                <w:lang w:val="en-US"/>
              </w:rPr>
            </w:pPr>
            <w:r>
              <w:rPr>
                <w:rFonts w:hint="eastAsia"/>
                <w:sz w:val="21"/>
                <w:szCs w:val="21"/>
                <w:lang w:val="en-US" w:eastAsia="zh-CN"/>
              </w:rPr>
              <w:t>本项目专门面向小微企业，供应商需提供《小微企业声明函》或《监狱企业证明函》或《残疾人福利性单位声明函》。</w:t>
            </w:r>
          </w:p>
        </w:tc>
        <w:tc>
          <w:tcPr>
            <w:tcW w:w="2667" w:type="dxa"/>
            <w:vAlign w:val="center"/>
          </w:tcPr>
          <w:p w14:paraId="6767165F">
            <w:pPr>
              <w:keepNext w:val="0"/>
              <w:keepLines w:val="0"/>
              <w:pageBreakBefore w:val="0"/>
              <w:kinsoku/>
              <w:wordWrap/>
              <w:overflowPunct/>
              <w:topLinePunct w:val="0"/>
              <w:autoSpaceDE/>
              <w:autoSpaceDN/>
              <w:bidi w:val="0"/>
              <w:adjustRightInd/>
              <w:snapToGrid/>
              <w:textAlignment w:val="auto"/>
              <w:rPr>
                <w:rFonts w:hint="eastAsia" w:ascii="宋体" w:hAnsi="宋体" w:cs="宋体"/>
                <w:kern w:val="0"/>
                <w:szCs w:val="21"/>
              </w:rPr>
            </w:pPr>
            <w:r>
              <w:rPr>
                <w:rFonts w:hint="eastAsia" w:ascii="宋体" w:hAnsi="宋体" w:cs="宋体"/>
                <w:kern w:val="0"/>
                <w:szCs w:val="21"/>
              </w:rPr>
              <w:t>符合磋商文件要求，通过。</w:t>
            </w:r>
          </w:p>
        </w:tc>
      </w:tr>
      <w:tr w14:paraId="505E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vAlign w:val="center"/>
          </w:tcPr>
          <w:p w14:paraId="3A9C5849">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6626" w:type="dxa"/>
            <w:vAlign w:val="center"/>
          </w:tcPr>
          <w:p w14:paraId="1AF3BA32">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信用查询</w:t>
            </w:r>
          </w:p>
        </w:tc>
        <w:tc>
          <w:tcPr>
            <w:tcW w:w="2667" w:type="dxa"/>
            <w:vAlign w:val="center"/>
          </w:tcPr>
          <w:p w14:paraId="133AC331">
            <w:pPr>
              <w:keepNext w:val="0"/>
              <w:keepLines w:val="0"/>
              <w:pageBreakBefore w:val="0"/>
              <w:kinsoku/>
              <w:wordWrap/>
              <w:overflowPunct/>
              <w:topLinePunct w:val="0"/>
              <w:autoSpaceDE/>
              <w:autoSpaceDN/>
              <w:bidi w:val="0"/>
              <w:adjustRightInd/>
              <w:snapToGrid/>
              <w:textAlignment w:val="auto"/>
              <w:rPr>
                <w:rFonts w:ascii="宋体" w:hAnsi="宋体" w:cs="宋体"/>
                <w:kern w:val="0"/>
                <w:szCs w:val="21"/>
              </w:rPr>
            </w:pPr>
            <w:r>
              <w:rPr>
                <w:rFonts w:hint="eastAsia" w:ascii="宋体" w:hAnsi="宋体" w:cs="宋体"/>
                <w:kern w:val="0"/>
                <w:szCs w:val="21"/>
              </w:rPr>
              <w:t>符合磋商文件要求，通过。</w:t>
            </w:r>
          </w:p>
        </w:tc>
      </w:tr>
      <w:tr w14:paraId="3D81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7" w:type="dxa"/>
            <w:vAlign w:val="center"/>
          </w:tcPr>
          <w:p w14:paraId="671DC14B">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6626" w:type="dxa"/>
            <w:vAlign w:val="center"/>
          </w:tcPr>
          <w:p w14:paraId="7B8D4C95">
            <w:pPr>
              <w:pStyle w:val="23"/>
              <w:adjustRightInd w:val="0"/>
              <w:snapToGrid w:val="0"/>
              <w:spacing w:before="0" w:beforeAutospacing="0" w:after="0" w:afterAutospacing="0"/>
              <w:rPr>
                <w:sz w:val="21"/>
                <w:szCs w:val="21"/>
              </w:rPr>
            </w:pPr>
            <w:r>
              <w:rPr>
                <w:rFonts w:hint="eastAsia"/>
                <w:sz w:val="21"/>
                <w:szCs w:val="21"/>
              </w:rPr>
              <w:t>提供非联合体磋商承诺函。</w:t>
            </w:r>
          </w:p>
        </w:tc>
        <w:tc>
          <w:tcPr>
            <w:tcW w:w="2667" w:type="dxa"/>
            <w:vAlign w:val="center"/>
          </w:tcPr>
          <w:p w14:paraId="76BFF75F">
            <w:pPr>
              <w:rPr>
                <w:rFonts w:ascii="宋体" w:hAnsi="宋体" w:cs="宋体"/>
                <w:kern w:val="0"/>
                <w:szCs w:val="21"/>
              </w:rPr>
            </w:pPr>
            <w:r>
              <w:rPr>
                <w:rFonts w:hint="eastAsia" w:ascii="宋体" w:hAnsi="宋体" w:cs="宋体"/>
                <w:kern w:val="0"/>
                <w:szCs w:val="21"/>
              </w:rPr>
              <w:t>符合磋商文件要求，通过。</w:t>
            </w:r>
          </w:p>
        </w:tc>
      </w:tr>
    </w:tbl>
    <w:p w14:paraId="3D3FC248">
      <w:bookmarkStart w:id="52" w:name="_Toc52064327"/>
      <w:bookmarkStart w:id="53" w:name="_Toc52064870"/>
      <w:bookmarkStart w:id="54" w:name="_Toc48301729"/>
      <w:bookmarkStart w:id="55" w:name="_Toc25772"/>
      <w:r>
        <w:rPr>
          <w:rFonts w:hint="eastAsia"/>
        </w:rPr>
        <w:br w:type="page"/>
      </w:r>
    </w:p>
    <w:p w14:paraId="520D1215">
      <w:pPr>
        <w:pStyle w:val="3"/>
        <w:spacing w:before="78" w:after="78"/>
      </w:pPr>
      <w:r>
        <w:rPr>
          <w:rFonts w:hint="eastAsia"/>
        </w:rPr>
        <w:t>三、评</w:t>
      </w:r>
      <w:bookmarkEnd w:id="52"/>
      <w:bookmarkEnd w:id="53"/>
      <w:bookmarkEnd w:id="54"/>
      <w:bookmarkEnd w:id="55"/>
      <w:r>
        <w:rPr>
          <w:rFonts w:hint="eastAsia"/>
        </w:rPr>
        <w:t>审</w:t>
      </w:r>
    </w:p>
    <w:p w14:paraId="5A7B85DF">
      <w:pPr>
        <w:spacing w:line="360" w:lineRule="auto"/>
        <w:ind w:firstLine="420" w:firstLineChars="200"/>
        <w:rPr>
          <w:rFonts w:ascii="宋体" w:hAnsi="宋体"/>
          <w:szCs w:val="21"/>
        </w:rPr>
      </w:pPr>
      <w:r>
        <w:rPr>
          <w:rFonts w:hint="eastAsia" w:ascii="宋体" w:hAnsi="宋体"/>
          <w:szCs w:val="21"/>
        </w:rPr>
        <w:t>（一）采购代理机构负责组织评审工作，并履行下列职责：</w:t>
      </w:r>
    </w:p>
    <w:p w14:paraId="4FCB9879">
      <w:pPr>
        <w:spacing w:line="360" w:lineRule="auto"/>
        <w:ind w:firstLine="420" w:firstLineChars="200"/>
        <w:rPr>
          <w:rFonts w:ascii="宋体" w:hAnsi="宋体"/>
          <w:szCs w:val="21"/>
        </w:rPr>
      </w:pPr>
      <w:r>
        <w:rPr>
          <w:rFonts w:hint="eastAsia" w:ascii="宋体" w:hAnsi="宋体"/>
          <w:szCs w:val="21"/>
        </w:rPr>
        <w:t>1、核对评审专家身份和采购人对采购人代表授权函，对评审专家在政府采购活动重的职责履行情况予以记录，并及时将有关违法违规行为向财政部门报告；</w:t>
      </w:r>
    </w:p>
    <w:p w14:paraId="50A53957">
      <w:pPr>
        <w:spacing w:line="360" w:lineRule="auto"/>
        <w:ind w:firstLine="420" w:firstLineChars="200"/>
        <w:rPr>
          <w:rFonts w:ascii="宋体" w:hAnsi="宋体"/>
          <w:szCs w:val="21"/>
        </w:rPr>
      </w:pPr>
      <w:r>
        <w:rPr>
          <w:rFonts w:hint="eastAsia" w:ascii="宋体" w:hAnsi="宋体"/>
          <w:szCs w:val="21"/>
        </w:rPr>
        <w:t>2、宣布评审纪律；</w:t>
      </w:r>
    </w:p>
    <w:p w14:paraId="6D95A135">
      <w:pPr>
        <w:spacing w:line="360" w:lineRule="auto"/>
        <w:ind w:firstLine="420" w:firstLineChars="200"/>
        <w:rPr>
          <w:rFonts w:ascii="宋体" w:hAnsi="宋体"/>
          <w:szCs w:val="21"/>
        </w:rPr>
      </w:pPr>
      <w:r>
        <w:rPr>
          <w:rFonts w:hint="eastAsia" w:ascii="宋体" w:hAnsi="宋体"/>
          <w:szCs w:val="21"/>
        </w:rPr>
        <w:t>3、公布供应商名单，告知评审专家应当回避的情形；</w:t>
      </w:r>
    </w:p>
    <w:p w14:paraId="20566FF5">
      <w:pPr>
        <w:spacing w:line="360" w:lineRule="auto"/>
        <w:ind w:firstLine="420" w:firstLineChars="200"/>
        <w:rPr>
          <w:rFonts w:ascii="宋体" w:hAnsi="宋体"/>
          <w:szCs w:val="21"/>
        </w:rPr>
      </w:pPr>
      <w:r>
        <w:rPr>
          <w:rFonts w:hint="eastAsia" w:ascii="宋体" w:hAnsi="宋体"/>
          <w:szCs w:val="21"/>
        </w:rPr>
        <w:t>4、组织磋商小组推选评审组长；</w:t>
      </w:r>
    </w:p>
    <w:p w14:paraId="2F11CDAA">
      <w:pPr>
        <w:spacing w:line="360" w:lineRule="auto"/>
        <w:ind w:firstLine="420" w:firstLineChars="200"/>
        <w:rPr>
          <w:rFonts w:ascii="宋体" w:hAnsi="宋体"/>
          <w:szCs w:val="21"/>
        </w:rPr>
      </w:pPr>
      <w:r>
        <w:rPr>
          <w:rFonts w:hint="eastAsia" w:ascii="宋体" w:hAnsi="宋体"/>
          <w:szCs w:val="21"/>
        </w:rPr>
        <w:t>5、在评审期间采取必要的通讯管理措施，保证评审活动不受外界干扰；</w:t>
      </w:r>
    </w:p>
    <w:p w14:paraId="590BCD6B">
      <w:pPr>
        <w:spacing w:line="360" w:lineRule="auto"/>
        <w:ind w:firstLine="420" w:firstLineChars="200"/>
        <w:rPr>
          <w:rFonts w:ascii="宋体" w:hAnsi="宋体"/>
          <w:szCs w:val="21"/>
        </w:rPr>
      </w:pPr>
      <w:r>
        <w:rPr>
          <w:rFonts w:hint="eastAsia" w:ascii="宋体" w:hAnsi="宋体"/>
          <w:szCs w:val="21"/>
        </w:rPr>
        <w:t>6、根据磋商小组的要求介绍政府采购相关法规和磋商文件规定及要求；</w:t>
      </w:r>
    </w:p>
    <w:p w14:paraId="34D479D5">
      <w:pPr>
        <w:spacing w:line="360" w:lineRule="auto"/>
        <w:ind w:firstLine="420" w:firstLineChars="200"/>
        <w:rPr>
          <w:rFonts w:ascii="宋体" w:hAnsi="宋体"/>
          <w:szCs w:val="21"/>
        </w:rPr>
      </w:pPr>
      <w:r>
        <w:rPr>
          <w:rFonts w:hint="eastAsia" w:ascii="宋体" w:hAnsi="宋体"/>
          <w:szCs w:val="21"/>
        </w:rPr>
        <w:t>7、维护评审秩序，监督磋商小组依照磋商文件规定的评审程序、方法和标准进行独立评审，及时制止和纠正采购人代表、评审专家的倾向性言论或者违法违规行为；</w:t>
      </w:r>
    </w:p>
    <w:p w14:paraId="5652B2CD">
      <w:pPr>
        <w:spacing w:line="360" w:lineRule="auto"/>
        <w:ind w:firstLine="420" w:firstLineChars="200"/>
        <w:rPr>
          <w:rFonts w:ascii="宋体" w:hAnsi="宋体"/>
          <w:szCs w:val="21"/>
        </w:rPr>
      </w:pPr>
      <w:r>
        <w:rPr>
          <w:rFonts w:hint="eastAsia" w:ascii="宋体" w:hAnsi="宋体"/>
          <w:szCs w:val="21"/>
        </w:rPr>
        <w:t>8、核对评审结果；</w:t>
      </w:r>
    </w:p>
    <w:p w14:paraId="3DA234D2">
      <w:pPr>
        <w:spacing w:line="360" w:lineRule="auto"/>
        <w:ind w:firstLine="420" w:firstLineChars="200"/>
        <w:rPr>
          <w:rFonts w:ascii="宋体" w:hAnsi="宋体"/>
          <w:szCs w:val="21"/>
        </w:rPr>
      </w:pPr>
      <w:r>
        <w:rPr>
          <w:rFonts w:hint="eastAsia" w:ascii="宋体" w:hAnsi="宋体"/>
          <w:szCs w:val="21"/>
        </w:rPr>
        <w:t>9、处理与评审有关的其他事项。</w:t>
      </w:r>
    </w:p>
    <w:p w14:paraId="12D127AC">
      <w:pPr>
        <w:spacing w:line="360" w:lineRule="auto"/>
        <w:ind w:firstLine="420" w:firstLineChars="200"/>
        <w:rPr>
          <w:rFonts w:ascii="宋体" w:hAnsi="宋体"/>
          <w:szCs w:val="21"/>
        </w:rPr>
      </w:pPr>
      <w:r>
        <w:rPr>
          <w:rFonts w:hint="eastAsia" w:ascii="宋体" w:hAnsi="宋体"/>
          <w:szCs w:val="21"/>
        </w:rPr>
        <w:t>（二）磋商小组由采购人代表和评审专家组成，按监督部门规定于开标之前抽取。</w:t>
      </w:r>
    </w:p>
    <w:p w14:paraId="7CEB9A9E">
      <w:pPr>
        <w:spacing w:line="360" w:lineRule="auto"/>
        <w:ind w:firstLine="420" w:firstLineChars="200"/>
        <w:rPr>
          <w:rFonts w:ascii="宋体" w:hAnsi="宋体"/>
          <w:szCs w:val="21"/>
        </w:rPr>
      </w:pPr>
      <w:r>
        <w:rPr>
          <w:rFonts w:hint="eastAsia" w:ascii="宋体" w:hAnsi="宋体"/>
          <w:szCs w:val="21"/>
        </w:rPr>
        <w:t xml:space="preserve">（三）磋商小组负责具体评审事务，磋商小组成员应当按照客观、公正、审慎的原则，根据磋商文件规定的评审程序、评审方法和评审标准进行独立评审。未实质性响应磋商文件的响应文件按无效文件处理，磋商小组应当告知提交响应文件的供应商。 </w:t>
      </w:r>
    </w:p>
    <w:p w14:paraId="759794E2">
      <w:pPr>
        <w:spacing w:line="360" w:lineRule="auto"/>
        <w:ind w:firstLine="420" w:firstLineChars="200"/>
        <w:rPr>
          <w:rFonts w:ascii="宋体" w:hAnsi="宋体"/>
          <w:szCs w:val="21"/>
        </w:rPr>
      </w:pPr>
      <w:r>
        <w:rPr>
          <w:rFonts w:hint="eastAsia" w:ascii="宋体" w:hAnsi="宋体"/>
          <w:szCs w:val="21"/>
        </w:rPr>
        <w:t>磋商文件内容违反国家有关强制性规定的，磋商小组应当停止评审并向采购人或者采购代理机构说明情况，并履行下列职责：</w:t>
      </w:r>
    </w:p>
    <w:p w14:paraId="53379B1C">
      <w:pPr>
        <w:spacing w:line="360" w:lineRule="auto"/>
        <w:ind w:firstLine="420" w:firstLineChars="200"/>
        <w:rPr>
          <w:rFonts w:ascii="宋体" w:hAnsi="宋体"/>
          <w:szCs w:val="21"/>
        </w:rPr>
      </w:pPr>
      <w:r>
        <w:rPr>
          <w:rFonts w:hint="eastAsia" w:ascii="宋体" w:hAnsi="宋体"/>
          <w:szCs w:val="21"/>
        </w:rPr>
        <w:t>1、通过符合性审查，审查、评价响应文件是否符合磋商文件要求的完整性、签署和盖章，以及是否满足商务、技术实质性要求。</w:t>
      </w:r>
    </w:p>
    <w:p w14:paraId="17466880">
      <w:pPr>
        <w:spacing w:line="360" w:lineRule="auto"/>
        <w:ind w:firstLine="420" w:firstLineChars="200"/>
        <w:rPr>
          <w:rFonts w:ascii="宋体" w:hAnsi="宋体"/>
          <w:szCs w:val="21"/>
        </w:rPr>
      </w:pPr>
      <w:r>
        <w:rPr>
          <w:rFonts w:hint="eastAsia" w:ascii="宋体" w:hAnsi="宋体"/>
          <w:szCs w:val="21"/>
        </w:rPr>
        <w:t>2、审查内容出现任何一项不符合，按无效文件处理。符合性审查内容如下：</w:t>
      </w:r>
    </w:p>
    <w:tbl>
      <w:tblPr>
        <w:tblStyle w:val="28"/>
        <w:tblW w:w="9172"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7"/>
        <w:gridCol w:w="5467"/>
        <w:gridCol w:w="2948"/>
      </w:tblGrid>
      <w:tr w14:paraId="425A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757" w:type="dxa"/>
            <w:vAlign w:val="center"/>
          </w:tcPr>
          <w:p w14:paraId="0323BC7D">
            <w:pPr>
              <w:jc w:val="center"/>
              <w:rPr>
                <w:rFonts w:ascii="宋体" w:hAnsi="宋体"/>
                <w:szCs w:val="21"/>
              </w:rPr>
            </w:pPr>
            <w:r>
              <w:rPr>
                <w:rFonts w:hint="eastAsia" w:ascii="宋体" w:hAnsi="宋体"/>
                <w:szCs w:val="21"/>
              </w:rPr>
              <w:t>序号</w:t>
            </w:r>
          </w:p>
        </w:tc>
        <w:tc>
          <w:tcPr>
            <w:tcW w:w="5467" w:type="dxa"/>
            <w:vAlign w:val="center"/>
          </w:tcPr>
          <w:p w14:paraId="0D02AD8D">
            <w:pPr>
              <w:jc w:val="center"/>
              <w:rPr>
                <w:rFonts w:ascii="宋体" w:hAnsi="宋体"/>
                <w:szCs w:val="21"/>
              </w:rPr>
            </w:pPr>
            <w:r>
              <w:rPr>
                <w:rFonts w:hint="eastAsia" w:ascii="宋体" w:hAnsi="宋体"/>
                <w:szCs w:val="21"/>
              </w:rPr>
              <w:t>审查内容</w:t>
            </w:r>
          </w:p>
        </w:tc>
        <w:tc>
          <w:tcPr>
            <w:tcW w:w="2948" w:type="dxa"/>
            <w:vAlign w:val="center"/>
          </w:tcPr>
          <w:p w14:paraId="3AC8BF29">
            <w:pPr>
              <w:jc w:val="center"/>
              <w:rPr>
                <w:rFonts w:ascii="宋体" w:hAnsi="宋体"/>
                <w:szCs w:val="21"/>
              </w:rPr>
            </w:pPr>
            <w:r>
              <w:rPr>
                <w:rFonts w:hint="eastAsia" w:ascii="宋体" w:hAnsi="宋体"/>
                <w:szCs w:val="21"/>
              </w:rPr>
              <w:t>审查标准</w:t>
            </w:r>
          </w:p>
        </w:tc>
      </w:tr>
      <w:tr w14:paraId="6C762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757" w:type="dxa"/>
            <w:vAlign w:val="center"/>
          </w:tcPr>
          <w:p w14:paraId="5D6C63CE">
            <w:pPr>
              <w:jc w:val="center"/>
              <w:rPr>
                <w:rFonts w:hint="eastAsia" w:ascii="宋体" w:hAnsi="宋体" w:eastAsia="宋体"/>
                <w:szCs w:val="21"/>
                <w:lang w:val="en-US" w:eastAsia="zh-CN"/>
              </w:rPr>
            </w:pPr>
            <w:r>
              <w:rPr>
                <w:rFonts w:hint="eastAsia" w:ascii="宋体" w:hAnsi="宋体"/>
                <w:szCs w:val="21"/>
                <w:lang w:val="en-US" w:eastAsia="zh-CN"/>
              </w:rPr>
              <w:t>1</w:t>
            </w:r>
          </w:p>
        </w:tc>
        <w:tc>
          <w:tcPr>
            <w:tcW w:w="5467" w:type="dxa"/>
            <w:vAlign w:val="center"/>
          </w:tcPr>
          <w:p w14:paraId="2BCFBC5B">
            <w:pPr>
              <w:jc w:val="left"/>
              <w:rPr>
                <w:rFonts w:hint="eastAsia" w:ascii="宋体" w:hAnsi="宋体"/>
                <w:szCs w:val="21"/>
              </w:rPr>
            </w:pPr>
            <w:r>
              <w:rPr>
                <w:rFonts w:hint="eastAsia" w:ascii="宋体" w:hAnsi="宋体"/>
                <w:szCs w:val="21"/>
              </w:rPr>
              <w:t>投标内容基本完整，无重大错漏，并按“</w:t>
            </w:r>
            <w:r>
              <w:rPr>
                <w:rFonts w:hint="eastAsia" w:ascii="宋体" w:hAnsi="宋体"/>
                <w:szCs w:val="21"/>
                <w:lang w:val="en-US" w:eastAsia="zh-CN"/>
              </w:rPr>
              <w:t>响应</w:t>
            </w:r>
            <w:r>
              <w:rPr>
                <w:rFonts w:hint="eastAsia" w:ascii="宋体" w:hAnsi="宋体"/>
                <w:szCs w:val="21"/>
              </w:rPr>
              <w:t>文件格式”和</w:t>
            </w:r>
            <w:r>
              <w:rPr>
                <w:rFonts w:hint="eastAsia" w:ascii="宋体" w:hAnsi="宋体"/>
                <w:szCs w:val="21"/>
                <w:lang w:val="en-US" w:eastAsia="zh-CN"/>
              </w:rPr>
              <w:t>磋商</w:t>
            </w:r>
            <w:r>
              <w:rPr>
                <w:rFonts w:hint="eastAsia" w:ascii="宋体" w:hAnsi="宋体"/>
                <w:szCs w:val="21"/>
              </w:rPr>
              <w:t>文件要求填写、签署、盖章。（不得因文件排序等非实质性的格式、形式问题限制和影响</w:t>
            </w:r>
            <w:r>
              <w:rPr>
                <w:rFonts w:hint="eastAsia" w:ascii="宋体" w:hAnsi="宋体"/>
                <w:szCs w:val="21"/>
                <w:lang w:val="en-US" w:eastAsia="zh-CN"/>
              </w:rPr>
              <w:t>供应商</w:t>
            </w:r>
            <w:r>
              <w:rPr>
                <w:rFonts w:hint="eastAsia" w:ascii="宋体" w:hAnsi="宋体"/>
                <w:szCs w:val="21"/>
              </w:rPr>
              <w:t>投标)</w:t>
            </w:r>
          </w:p>
        </w:tc>
        <w:tc>
          <w:tcPr>
            <w:tcW w:w="2948" w:type="dxa"/>
            <w:vAlign w:val="center"/>
          </w:tcPr>
          <w:p w14:paraId="55949109">
            <w:pPr>
              <w:jc w:val="left"/>
              <w:rPr>
                <w:rFonts w:hint="eastAsia" w:ascii="宋体" w:hAnsi="宋体"/>
                <w:szCs w:val="21"/>
              </w:rPr>
            </w:pPr>
            <w:r>
              <w:rPr>
                <w:rFonts w:hint="eastAsia" w:ascii="宋体" w:hAnsi="宋体"/>
                <w:szCs w:val="21"/>
              </w:rPr>
              <w:t>符合磋商文件要求，通过。</w:t>
            </w:r>
          </w:p>
        </w:tc>
      </w:tr>
      <w:tr w14:paraId="3EF92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757" w:type="dxa"/>
            <w:vAlign w:val="center"/>
          </w:tcPr>
          <w:p w14:paraId="5DCF5AE7">
            <w:pPr>
              <w:jc w:val="center"/>
              <w:rPr>
                <w:rFonts w:hint="eastAsia" w:ascii="宋体" w:hAnsi="宋体" w:eastAsia="宋体"/>
                <w:szCs w:val="21"/>
                <w:lang w:eastAsia="zh-CN"/>
              </w:rPr>
            </w:pPr>
            <w:r>
              <w:rPr>
                <w:rFonts w:hint="eastAsia" w:ascii="宋体" w:hAnsi="宋体"/>
                <w:szCs w:val="21"/>
                <w:lang w:val="en-US" w:eastAsia="zh-CN"/>
              </w:rPr>
              <w:t>2</w:t>
            </w:r>
          </w:p>
        </w:tc>
        <w:tc>
          <w:tcPr>
            <w:tcW w:w="5467" w:type="dxa"/>
            <w:vAlign w:val="center"/>
          </w:tcPr>
          <w:p w14:paraId="76DF2F4C">
            <w:pPr>
              <w:jc w:val="left"/>
              <w:rPr>
                <w:rFonts w:ascii="宋体" w:hAnsi="宋体"/>
                <w:szCs w:val="21"/>
              </w:rPr>
            </w:pPr>
            <w:r>
              <w:rPr>
                <w:rFonts w:hint="eastAsia" w:ascii="宋体" w:hAnsi="宋体"/>
                <w:szCs w:val="21"/>
              </w:rPr>
              <w:t>磋商有效期符合磋商文件要求。</w:t>
            </w:r>
          </w:p>
        </w:tc>
        <w:tc>
          <w:tcPr>
            <w:tcW w:w="2948" w:type="dxa"/>
            <w:vAlign w:val="center"/>
          </w:tcPr>
          <w:p w14:paraId="6B267F93">
            <w:pPr>
              <w:jc w:val="left"/>
              <w:rPr>
                <w:rFonts w:ascii="宋体" w:hAnsi="宋体"/>
                <w:szCs w:val="21"/>
              </w:rPr>
            </w:pPr>
            <w:r>
              <w:rPr>
                <w:rFonts w:hint="eastAsia" w:ascii="宋体" w:hAnsi="宋体"/>
                <w:szCs w:val="21"/>
              </w:rPr>
              <w:t>符合磋商文件要求，通过。</w:t>
            </w:r>
          </w:p>
        </w:tc>
      </w:tr>
      <w:tr w14:paraId="7AA75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757" w:type="dxa"/>
            <w:vAlign w:val="center"/>
          </w:tcPr>
          <w:p w14:paraId="781DCB77">
            <w:pPr>
              <w:jc w:val="center"/>
              <w:rPr>
                <w:rFonts w:hint="eastAsia" w:ascii="宋体" w:hAnsi="宋体" w:eastAsia="宋体"/>
                <w:szCs w:val="21"/>
                <w:lang w:eastAsia="zh-CN"/>
              </w:rPr>
            </w:pPr>
            <w:r>
              <w:rPr>
                <w:rFonts w:hint="eastAsia" w:ascii="宋体" w:hAnsi="宋体"/>
                <w:szCs w:val="21"/>
                <w:lang w:val="en-US" w:eastAsia="zh-CN"/>
              </w:rPr>
              <w:t>3</w:t>
            </w:r>
          </w:p>
        </w:tc>
        <w:tc>
          <w:tcPr>
            <w:tcW w:w="5467" w:type="dxa"/>
            <w:vAlign w:val="center"/>
          </w:tcPr>
          <w:p w14:paraId="2A139542">
            <w:pPr>
              <w:jc w:val="left"/>
              <w:rPr>
                <w:rFonts w:ascii="宋体" w:hAnsi="宋体"/>
                <w:szCs w:val="21"/>
              </w:rPr>
            </w:pPr>
            <w:r>
              <w:rPr>
                <w:rFonts w:hint="eastAsia" w:ascii="宋体" w:hAnsi="宋体"/>
                <w:szCs w:val="21"/>
              </w:rPr>
              <w:t>磋商报价未超过采购预算。</w:t>
            </w:r>
          </w:p>
        </w:tc>
        <w:tc>
          <w:tcPr>
            <w:tcW w:w="2948" w:type="dxa"/>
            <w:vAlign w:val="center"/>
          </w:tcPr>
          <w:p w14:paraId="4C51D6B9">
            <w:pPr>
              <w:jc w:val="left"/>
              <w:rPr>
                <w:rFonts w:ascii="宋体" w:hAnsi="宋体"/>
                <w:szCs w:val="21"/>
              </w:rPr>
            </w:pPr>
            <w:r>
              <w:rPr>
                <w:rFonts w:hint="eastAsia" w:ascii="宋体" w:hAnsi="宋体"/>
                <w:szCs w:val="21"/>
              </w:rPr>
              <w:t>符合磋商文件要求，通过。</w:t>
            </w:r>
          </w:p>
        </w:tc>
      </w:tr>
      <w:tr w14:paraId="0AF8F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757" w:type="dxa"/>
            <w:vAlign w:val="center"/>
          </w:tcPr>
          <w:p w14:paraId="00D71FC9">
            <w:pPr>
              <w:jc w:val="center"/>
              <w:rPr>
                <w:rFonts w:hint="eastAsia" w:ascii="宋体" w:hAnsi="宋体" w:eastAsia="宋体"/>
                <w:szCs w:val="21"/>
                <w:lang w:eastAsia="zh-CN"/>
              </w:rPr>
            </w:pPr>
            <w:r>
              <w:rPr>
                <w:rFonts w:hint="eastAsia" w:ascii="宋体" w:hAnsi="宋体"/>
                <w:szCs w:val="21"/>
                <w:lang w:val="en-US" w:eastAsia="zh-CN"/>
              </w:rPr>
              <w:t>4</w:t>
            </w:r>
          </w:p>
        </w:tc>
        <w:tc>
          <w:tcPr>
            <w:tcW w:w="5467" w:type="dxa"/>
            <w:vAlign w:val="center"/>
          </w:tcPr>
          <w:p w14:paraId="57EB07DB">
            <w:pPr>
              <w:jc w:val="left"/>
              <w:rPr>
                <w:rFonts w:ascii="宋体" w:hAnsi="宋体"/>
                <w:szCs w:val="21"/>
              </w:rPr>
            </w:pPr>
            <w:r>
              <w:rPr>
                <w:rFonts w:hint="eastAsia" w:ascii="宋体" w:hAnsi="宋体"/>
                <w:szCs w:val="21"/>
                <w:lang w:val="en-US" w:eastAsia="zh-CN"/>
              </w:rPr>
              <w:t>服务期、服务地点</w:t>
            </w:r>
            <w:r>
              <w:rPr>
                <w:rFonts w:hint="eastAsia" w:ascii="宋体" w:hAnsi="宋体"/>
                <w:szCs w:val="21"/>
              </w:rPr>
              <w:t>符合磋商文件要求。</w:t>
            </w:r>
          </w:p>
        </w:tc>
        <w:tc>
          <w:tcPr>
            <w:tcW w:w="2948" w:type="dxa"/>
            <w:vAlign w:val="center"/>
          </w:tcPr>
          <w:p w14:paraId="6E995258">
            <w:pPr>
              <w:jc w:val="left"/>
              <w:rPr>
                <w:rFonts w:ascii="宋体" w:hAnsi="宋体"/>
                <w:szCs w:val="21"/>
              </w:rPr>
            </w:pPr>
            <w:r>
              <w:rPr>
                <w:rFonts w:hint="eastAsia" w:ascii="宋体" w:hAnsi="宋体"/>
                <w:szCs w:val="21"/>
              </w:rPr>
              <w:t>符合磋商文件要求，通过。</w:t>
            </w:r>
          </w:p>
        </w:tc>
      </w:tr>
      <w:tr w14:paraId="0F79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757" w:type="dxa"/>
            <w:vAlign w:val="center"/>
          </w:tcPr>
          <w:p w14:paraId="50AB975C">
            <w:pPr>
              <w:jc w:val="center"/>
              <w:rPr>
                <w:rFonts w:hint="eastAsia" w:ascii="宋体" w:hAnsi="宋体" w:eastAsia="宋体"/>
                <w:szCs w:val="21"/>
                <w:lang w:val="en-US" w:eastAsia="zh-CN"/>
              </w:rPr>
            </w:pPr>
            <w:r>
              <w:rPr>
                <w:rFonts w:hint="eastAsia" w:ascii="宋体" w:hAnsi="宋体"/>
                <w:szCs w:val="21"/>
                <w:lang w:val="en-US" w:eastAsia="zh-CN"/>
              </w:rPr>
              <w:t>5</w:t>
            </w:r>
          </w:p>
        </w:tc>
        <w:tc>
          <w:tcPr>
            <w:tcW w:w="5467" w:type="dxa"/>
            <w:vAlign w:val="center"/>
          </w:tcPr>
          <w:p w14:paraId="5BC8BB9F">
            <w:pPr>
              <w:jc w:val="left"/>
              <w:rPr>
                <w:rFonts w:hint="default" w:ascii="宋体" w:hAnsi="宋体"/>
                <w:szCs w:val="21"/>
                <w:lang w:val="en-US" w:eastAsia="zh-CN"/>
              </w:rPr>
            </w:pPr>
            <w:r>
              <w:rPr>
                <w:rFonts w:hint="eastAsia" w:ascii="宋体" w:hAnsi="宋体"/>
                <w:szCs w:val="21"/>
                <w:lang w:val="en-US" w:eastAsia="zh-CN"/>
              </w:rPr>
              <w:t>*号项参数满足磋商文件要求</w:t>
            </w:r>
          </w:p>
        </w:tc>
        <w:tc>
          <w:tcPr>
            <w:tcW w:w="2948" w:type="dxa"/>
            <w:vAlign w:val="center"/>
          </w:tcPr>
          <w:p w14:paraId="29F7D127">
            <w:pPr>
              <w:jc w:val="left"/>
              <w:rPr>
                <w:rFonts w:hint="eastAsia" w:ascii="宋体" w:hAnsi="宋体"/>
                <w:szCs w:val="21"/>
              </w:rPr>
            </w:pPr>
            <w:r>
              <w:rPr>
                <w:rFonts w:hint="eastAsia" w:ascii="宋体" w:hAnsi="宋体"/>
                <w:szCs w:val="21"/>
              </w:rPr>
              <w:t>符合磋商文件要求，通过。</w:t>
            </w:r>
          </w:p>
        </w:tc>
      </w:tr>
      <w:tr w14:paraId="4EE2B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57" w:type="dxa"/>
            <w:vAlign w:val="center"/>
          </w:tcPr>
          <w:p w14:paraId="1A542E82">
            <w:pPr>
              <w:jc w:val="center"/>
              <w:rPr>
                <w:rFonts w:hint="eastAsia" w:ascii="宋体" w:hAnsi="宋体" w:eastAsia="宋体"/>
                <w:szCs w:val="21"/>
                <w:lang w:eastAsia="zh-CN"/>
              </w:rPr>
            </w:pPr>
            <w:r>
              <w:rPr>
                <w:rFonts w:hint="eastAsia" w:ascii="宋体" w:hAnsi="宋体"/>
                <w:szCs w:val="21"/>
                <w:lang w:val="en-US" w:eastAsia="zh-CN"/>
              </w:rPr>
              <w:t>6</w:t>
            </w:r>
          </w:p>
        </w:tc>
        <w:tc>
          <w:tcPr>
            <w:tcW w:w="5467" w:type="dxa"/>
            <w:vAlign w:val="center"/>
          </w:tcPr>
          <w:p w14:paraId="43887A8D">
            <w:pPr>
              <w:jc w:val="left"/>
              <w:rPr>
                <w:rFonts w:hint="eastAsia" w:ascii="宋体" w:hAnsi="宋体"/>
                <w:szCs w:val="21"/>
                <w:lang w:val="en-US" w:eastAsia="zh-CN"/>
              </w:rPr>
            </w:pPr>
            <w:r>
              <w:rPr>
                <w:rFonts w:hint="eastAsia" w:ascii="宋体" w:hAnsi="宋体"/>
                <w:szCs w:val="21"/>
                <w:lang w:val="en-US" w:eastAsia="zh-CN"/>
              </w:rPr>
              <w:t>1、响应文件未含有采购人不可接受的附加条件；</w:t>
            </w:r>
          </w:p>
          <w:p w14:paraId="2A88E9B9">
            <w:pPr>
              <w:jc w:val="left"/>
              <w:rPr>
                <w:rFonts w:ascii="宋体" w:hAnsi="宋体"/>
                <w:szCs w:val="21"/>
              </w:rPr>
            </w:pPr>
            <w:r>
              <w:rPr>
                <w:rFonts w:hint="eastAsia" w:ascii="宋体" w:hAnsi="宋体"/>
                <w:szCs w:val="21"/>
                <w:lang w:val="en-US" w:eastAsia="zh-CN"/>
              </w:rPr>
              <w:t>2、</w:t>
            </w:r>
            <w:r>
              <w:rPr>
                <w:rFonts w:hint="eastAsia" w:ascii="宋体" w:hAnsi="宋体"/>
                <w:szCs w:val="21"/>
              </w:rPr>
              <w:t>响应文件中没有出现磋商文件规定的其它无效响应情形。</w:t>
            </w:r>
          </w:p>
        </w:tc>
        <w:tc>
          <w:tcPr>
            <w:tcW w:w="2948" w:type="dxa"/>
            <w:vAlign w:val="center"/>
          </w:tcPr>
          <w:p w14:paraId="617B3665">
            <w:pPr>
              <w:jc w:val="left"/>
              <w:rPr>
                <w:rFonts w:ascii="宋体" w:hAnsi="宋体"/>
                <w:szCs w:val="21"/>
              </w:rPr>
            </w:pPr>
            <w:r>
              <w:rPr>
                <w:rFonts w:hint="eastAsia" w:ascii="宋体" w:hAnsi="宋体"/>
                <w:szCs w:val="21"/>
              </w:rPr>
              <w:t>符合磋商文件要求，通过。</w:t>
            </w:r>
          </w:p>
        </w:tc>
      </w:tr>
    </w:tbl>
    <w:p w14:paraId="6ADB50B3">
      <w:pPr>
        <w:spacing w:line="360" w:lineRule="auto"/>
        <w:ind w:firstLine="420" w:firstLineChars="200"/>
        <w:rPr>
          <w:rFonts w:ascii="宋体" w:hAnsi="宋体"/>
          <w:szCs w:val="21"/>
        </w:rPr>
      </w:pPr>
      <w:r>
        <w:rPr>
          <w:rFonts w:hint="eastAsia" w:ascii="宋体" w:hAnsi="宋体"/>
          <w:szCs w:val="21"/>
        </w:rPr>
        <w:t>3、要求供应商对响应文件有关事项作出澄清或者说明；</w:t>
      </w:r>
    </w:p>
    <w:p w14:paraId="7AB3CF5F">
      <w:pPr>
        <w:spacing w:line="360" w:lineRule="auto"/>
        <w:ind w:firstLine="420" w:firstLineChars="200"/>
        <w:rPr>
          <w:rFonts w:ascii="宋体" w:hAnsi="宋体"/>
          <w:szCs w:val="21"/>
        </w:rPr>
      </w:pPr>
      <w:r>
        <w:rPr>
          <w:rFonts w:hint="eastAsia" w:ascii="宋体" w:hAnsi="宋体"/>
          <w:szCs w:val="21"/>
        </w:rPr>
        <w:t>4、对响应文件进行对比和评价，磋商小组所有成员应当集中与单一供应商分别进行磋商，并给予所有参加磋商的供应商平等的磋商机会；</w:t>
      </w:r>
    </w:p>
    <w:p w14:paraId="5F276286">
      <w:pPr>
        <w:spacing w:line="360" w:lineRule="auto"/>
        <w:ind w:firstLine="420" w:firstLineChars="200"/>
        <w:rPr>
          <w:rFonts w:ascii="宋体" w:hAnsi="宋体"/>
          <w:szCs w:val="21"/>
        </w:rPr>
      </w:pPr>
      <w:r>
        <w:rPr>
          <w:rFonts w:hint="eastAsia" w:ascii="宋体" w:hAnsi="宋体"/>
          <w:szCs w:val="21"/>
        </w:rPr>
        <w:t>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4FBA7FE">
      <w:pPr>
        <w:spacing w:line="360" w:lineRule="auto"/>
        <w:ind w:firstLine="420" w:firstLineChars="200"/>
        <w:rPr>
          <w:rFonts w:ascii="宋体" w:hAnsi="宋体"/>
          <w:szCs w:val="21"/>
        </w:rPr>
      </w:pPr>
      <w:r>
        <w:rPr>
          <w:rFonts w:hint="eastAsia" w:ascii="宋体" w:hAnsi="宋体"/>
          <w:szCs w:val="21"/>
        </w:rPr>
        <w:t>6、磋商文件能够详细列明采购标的的技术、服务要求的，磋商结束后，磋商小组应当要求所有实质性响应的供应商在规定时间内提交最后报价，提交最后报价的供应商不得少于 3 家。最后报价是供应商响应文件的有效组成部分；</w:t>
      </w:r>
    </w:p>
    <w:p w14:paraId="456871AC">
      <w:pPr>
        <w:spacing w:line="360" w:lineRule="auto"/>
        <w:ind w:firstLine="420" w:firstLineChars="200"/>
        <w:rPr>
          <w:rFonts w:ascii="宋体" w:hAnsi="宋体"/>
          <w:szCs w:val="21"/>
        </w:rPr>
      </w:pPr>
      <w:r>
        <w:rPr>
          <w:rFonts w:hint="eastAsia" w:ascii="宋体" w:hAnsi="宋体"/>
          <w:szCs w:val="21"/>
        </w:rPr>
        <w:t>7、经磋商确定最终采购需求和提交最后报价的供应商后，由磋商小组采用综合评分法对提交最后报价的供应商的响应文件和最后报价进行综合评分。</w:t>
      </w:r>
    </w:p>
    <w:p w14:paraId="52DDA861">
      <w:pPr>
        <w:spacing w:line="360" w:lineRule="auto"/>
        <w:ind w:firstLine="420" w:firstLineChars="200"/>
        <w:rPr>
          <w:rFonts w:ascii="宋体" w:hAnsi="宋体"/>
          <w:szCs w:val="21"/>
        </w:rPr>
      </w:pPr>
      <w:r>
        <w:rPr>
          <w:rFonts w:hint="eastAsia" w:ascii="宋体" w:hAnsi="宋体"/>
          <w:szCs w:val="21"/>
        </w:rPr>
        <w:t>8、确定成交候选人名单，以及根据采购人委托直接确定成交供应商；</w:t>
      </w:r>
    </w:p>
    <w:p w14:paraId="1C91635D">
      <w:pPr>
        <w:spacing w:line="360" w:lineRule="auto"/>
        <w:ind w:firstLine="420" w:firstLineChars="200"/>
        <w:rPr>
          <w:rFonts w:ascii="宋体" w:hAnsi="宋体"/>
          <w:szCs w:val="21"/>
        </w:rPr>
      </w:pPr>
      <w:r>
        <w:rPr>
          <w:rFonts w:hint="eastAsia" w:ascii="宋体" w:hAnsi="宋体"/>
          <w:szCs w:val="21"/>
        </w:rPr>
        <w:t>9、向采购代理机构或者有关部门报告评审中发现的违法行为。</w:t>
      </w:r>
    </w:p>
    <w:p w14:paraId="109D9D43">
      <w:pPr>
        <w:spacing w:line="360" w:lineRule="auto"/>
        <w:ind w:firstLine="420" w:firstLineChars="200"/>
        <w:rPr>
          <w:rFonts w:ascii="宋体" w:hAnsi="宋体"/>
          <w:szCs w:val="21"/>
        </w:rPr>
      </w:pPr>
      <w:r>
        <w:rPr>
          <w:rFonts w:hint="eastAsia" w:ascii="宋体" w:hAnsi="宋体"/>
          <w:szCs w:val="21"/>
        </w:rPr>
        <w:t>（四）磋商小组应当按照磋商文件中规定的评审方法和标准，对符合性审查合格的响应文件进行商务和技术评审，综合比较与评价。</w:t>
      </w:r>
    </w:p>
    <w:p w14:paraId="09A6C8D8">
      <w:pPr>
        <w:spacing w:line="360" w:lineRule="auto"/>
        <w:ind w:firstLine="420" w:firstLineChars="200"/>
        <w:rPr>
          <w:rFonts w:ascii="宋体" w:hAnsi="宋体"/>
          <w:szCs w:val="21"/>
        </w:rPr>
      </w:pPr>
      <w:r>
        <w:rPr>
          <w:rFonts w:hint="eastAsia" w:ascii="宋体" w:hAnsi="宋体"/>
          <w:szCs w:val="21"/>
        </w:rPr>
        <w:t>1、本项目评标以</w:t>
      </w:r>
      <w:r>
        <w:rPr>
          <w:rFonts w:hint="eastAsia" w:ascii="宋体" w:hAnsi="宋体"/>
          <w:szCs w:val="21"/>
          <w:lang w:val="en-US" w:eastAsia="zh-CN"/>
        </w:rPr>
        <w:t>服务</w:t>
      </w:r>
      <w:r>
        <w:rPr>
          <w:rFonts w:hint="eastAsia" w:ascii="宋体" w:hAnsi="宋体"/>
          <w:szCs w:val="21"/>
        </w:rPr>
        <w:t>为核心采用综合评分法，评审因素与供应商所提供的</w:t>
      </w:r>
      <w:r>
        <w:rPr>
          <w:rFonts w:hint="eastAsia" w:ascii="宋体" w:hAnsi="宋体"/>
          <w:szCs w:val="21"/>
          <w:lang w:val="en-US" w:eastAsia="zh-CN"/>
        </w:rPr>
        <w:t>服务内容</w:t>
      </w:r>
      <w:r>
        <w:rPr>
          <w:rFonts w:hint="eastAsia" w:ascii="宋体" w:hAnsi="宋体"/>
          <w:szCs w:val="21"/>
        </w:rPr>
        <w:t>和服务的标准相关，包括报价、技术参数响应、实施</w:t>
      </w:r>
      <w:r>
        <w:rPr>
          <w:rFonts w:hint="eastAsia" w:ascii="宋体" w:hAnsi="宋体"/>
          <w:szCs w:val="21"/>
          <w:lang w:val="zh-CN"/>
        </w:rPr>
        <w:t>方案</w:t>
      </w:r>
      <w:r>
        <w:rPr>
          <w:rFonts w:hint="eastAsia" w:ascii="宋体" w:hAnsi="宋体"/>
          <w:szCs w:val="21"/>
        </w:rPr>
        <w:t>、售后服务方案等因素。</w:t>
      </w:r>
    </w:p>
    <w:p w14:paraId="5E73AE1B">
      <w:pPr>
        <w:spacing w:line="360" w:lineRule="auto"/>
        <w:ind w:firstLine="420" w:firstLineChars="200"/>
        <w:rPr>
          <w:rFonts w:hint="eastAsia" w:ascii="宋体" w:hAnsi="宋体"/>
          <w:szCs w:val="21"/>
        </w:rPr>
      </w:pPr>
      <w:r>
        <w:rPr>
          <w:rFonts w:hint="eastAsia" w:ascii="宋体" w:hAnsi="宋体"/>
          <w:szCs w:val="21"/>
        </w:rPr>
        <w:t>2、综合评审因素及分值：</w:t>
      </w:r>
    </w:p>
    <w:tbl>
      <w:tblPr>
        <w:tblStyle w:val="28"/>
        <w:tblW w:w="9317" w:type="dxa"/>
        <w:tblInd w:w="-19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5"/>
        <w:gridCol w:w="995"/>
        <w:gridCol w:w="6742"/>
        <w:gridCol w:w="555"/>
      </w:tblGrid>
      <w:tr w14:paraId="1BE81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8" w:hRule="atLeast"/>
        </w:trPr>
        <w:tc>
          <w:tcPr>
            <w:tcW w:w="2020" w:type="dxa"/>
            <w:gridSpan w:val="2"/>
            <w:vAlign w:val="center"/>
          </w:tcPr>
          <w:p w14:paraId="3D0F35C2">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分值构成</w:t>
            </w:r>
          </w:p>
        </w:tc>
        <w:tc>
          <w:tcPr>
            <w:tcW w:w="7297" w:type="dxa"/>
            <w:gridSpan w:val="2"/>
            <w:vAlign w:val="center"/>
          </w:tcPr>
          <w:p w14:paraId="578064A2">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详细评审</w:t>
            </w:r>
            <w:r>
              <w:rPr>
                <w:rFonts w:hint="eastAsia" w:ascii="宋体" w:hAnsi="宋体" w:eastAsia="宋体" w:cs="宋体"/>
                <w:sz w:val="21"/>
                <w:szCs w:val="21"/>
                <w:lang w:val="en-US" w:eastAsia="zh-CN"/>
              </w:rPr>
              <w:t>80</w:t>
            </w:r>
            <w:r>
              <w:rPr>
                <w:rFonts w:hint="eastAsia" w:ascii="宋体" w:hAnsi="宋体" w:eastAsia="宋体" w:cs="宋体"/>
                <w:sz w:val="21"/>
                <w:szCs w:val="21"/>
              </w:rPr>
              <w:t>.00分</w:t>
            </w:r>
          </w:p>
          <w:p w14:paraId="21011CF9">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报价得分</w:t>
            </w:r>
            <w:r>
              <w:rPr>
                <w:rFonts w:hint="eastAsia" w:ascii="宋体" w:hAnsi="宋体" w:eastAsia="宋体" w:cs="宋体"/>
                <w:sz w:val="21"/>
                <w:szCs w:val="21"/>
                <w:lang w:val="en-US" w:eastAsia="zh-CN"/>
              </w:rPr>
              <w:t>2</w:t>
            </w:r>
            <w:r>
              <w:rPr>
                <w:rFonts w:hint="eastAsia" w:ascii="宋体" w:hAnsi="宋体" w:eastAsia="宋体" w:cs="宋体"/>
                <w:sz w:val="21"/>
                <w:szCs w:val="21"/>
              </w:rPr>
              <w:t>0.00分</w:t>
            </w:r>
          </w:p>
        </w:tc>
      </w:tr>
      <w:tr w14:paraId="323E6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5" w:hRule="atLeast"/>
        </w:trPr>
        <w:tc>
          <w:tcPr>
            <w:tcW w:w="1025" w:type="dxa"/>
            <w:vAlign w:val="center"/>
          </w:tcPr>
          <w:p w14:paraId="087A7D2A">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评审因素分类</w:t>
            </w:r>
          </w:p>
        </w:tc>
        <w:tc>
          <w:tcPr>
            <w:tcW w:w="995" w:type="dxa"/>
            <w:vAlign w:val="center"/>
          </w:tcPr>
          <w:p w14:paraId="5115BDD0">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评审项</w:t>
            </w:r>
          </w:p>
        </w:tc>
        <w:tc>
          <w:tcPr>
            <w:tcW w:w="6742" w:type="dxa"/>
            <w:vAlign w:val="center"/>
          </w:tcPr>
          <w:p w14:paraId="39D9CE16">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详细描述</w:t>
            </w:r>
          </w:p>
        </w:tc>
        <w:tc>
          <w:tcPr>
            <w:tcW w:w="555" w:type="dxa"/>
            <w:vAlign w:val="center"/>
          </w:tcPr>
          <w:p w14:paraId="57699618">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分值</w:t>
            </w:r>
          </w:p>
        </w:tc>
      </w:tr>
      <w:tr w14:paraId="1CDEB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7" w:hRule="atLeast"/>
        </w:trPr>
        <w:tc>
          <w:tcPr>
            <w:tcW w:w="1025" w:type="dxa"/>
            <w:vMerge w:val="restart"/>
            <w:vAlign w:val="center"/>
          </w:tcPr>
          <w:p w14:paraId="55BAC99A">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详细评审</w:t>
            </w:r>
          </w:p>
        </w:tc>
        <w:tc>
          <w:tcPr>
            <w:tcW w:w="995" w:type="dxa"/>
            <w:vAlign w:val="center"/>
          </w:tcPr>
          <w:p w14:paraId="42886135">
            <w:pPr>
              <w:pStyle w:val="76"/>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技术</w:t>
            </w:r>
            <w:r>
              <w:rPr>
                <w:rFonts w:hint="eastAsia" w:ascii="宋体" w:hAnsi="宋体" w:eastAsia="宋体" w:cs="宋体"/>
                <w:sz w:val="21"/>
                <w:szCs w:val="21"/>
                <w:lang w:val="en-US" w:eastAsia="zh-CN"/>
              </w:rPr>
              <w:t>参数响应</w:t>
            </w:r>
          </w:p>
        </w:tc>
        <w:tc>
          <w:tcPr>
            <w:tcW w:w="6742" w:type="dxa"/>
            <w:vAlign w:val="center"/>
          </w:tcPr>
          <w:p w14:paraId="23265C53">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根据供应商所响应的采购需求，经评审专家审定得分。</w:t>
            </w:r>
          </w:p>
          <w:p w14:paraId="7B109C79">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1、完全满足采购需求得20分，每有一项负偏离扣1分，扣完为止。</w:t>
            </w:r>
          </w:p>
          <w:p w14:paraId="46A19ADD">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2、每正偏离一项加2分，最高加10分；</w:t>
            </w:r>
          </w:p>
          <w:p w14:paraId="1B0A8CF1">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3、*号参数为重点参数，不允许偏离，偏离按无效响应处理。</w:t>
            </w:r>
          </w:p>
          <w:p w14:paraId="094516E2">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*号参数需提供证明材料，否则按无效响应处理；正偏离需提供相应的证明材料，未提供不予得分。</w:t>
            </w:r>
          </w:p>
        </w:tc>
        <w:tc>
          <w:tcPr>
            <w:tcW w:w="555" w:type="dxa"/>
            <w:vAlign w:val="center"/>
          </w:tcPr>
          <w:p w14:paraId="27592482">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14:paraId="342B1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5" w:hRule="atLeast"/>
        </w:trPr>
        <w:tc>
          <w:tcPr>
            <w:tcW w:w="1025" w:type="dxa"/>
            <w:vMerge w:val="continue"/>
            <w:vAlign w:val="center"/>
          </w:tcPr>
          <w:p w14:paraId="4970D440">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Align w:val="center"/>
          </w:tcPr>
          <w:p w14:paraId="39FBB760">
            <w:pPr>
              <w:pStyle w:val="76"/>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技术服务方案</w:t>
            </w:r>
          </w:p>
        </w:tc>
        <w:tc>
          <w:tcPr>
            <w:tcW w:w="6742" w:type="dxa"/>
            <w:vAlign w:val="center"/>
          </w:tcPr>
          <w:p w14:paraId="514872B0">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评审内容：</w:t>
            </w:r>
          </w:p>
          <w:p w14:paraId="4A09EA28">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根据供应商提供的</w:t>
            </w:r>
            <w:r>
              <w:rPr>
                <w:rFonts w:hint="eastAsia" w:ascii="宋体" w:hAnsi="宋体" w:eastAsia="宋体" w:cs="宋体"/>
                <w:sz w:val="21"/>
                <w:szCs w:val="21"/>
                <w:lang w:val="en-US" w:eastAsia="zh-CN"/>
              </w:rPr>
              <w:t>项目总体服务内容包括</w:t>
            </w:r>
          </w:p>
          <w:p w14:paraId="19024BB5">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所提供硬件产品的配置方案（包含但不限于产品的说明书或彩页或加盖厂家公章的说明资料）</w:t>
            </w:r>
          </w:p>
          <w:p w14:paraId="2934F675">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所提供</w:t>
            </w:r>
            <w:r>
              <w:rPr>
                <w:rFonts w:hint="eastAsia" w:eastAsia="宋体"/>
                <w:color w:val="000000" w:themeColor="text1"/>
                <w:sz w:val="21"/>
                <w:szCs w:val="21"/>
                <w:lang w:val="en-US" w:eastAsia="zh-CN"/>
                <w14:textFill>
                  <w14:solidFill>
                    <w14:schemeClr w14:val="tx1"/>
                  </w14:solidFill>
                </w14:textFill>
              </w:rPr>
              <w:t>软件产品的配置方案</w:t>
            </w:r>
            <w:r>
              <w:rPr>
                <w:rFonts w:hint="eastAsia" w:ascii="宋体" w:hAnsi="宋体" w:eastAsia="宋体" w:cs="宋体"/>
                <w:sz w:val="21"/>
                <w:szCs w:val="21"/>
                <w:lang w:val="en-US" w:eastAsia="zh-CN"/>
              </w:rPr>
              <w:t>（包含但不限于产品的说明书或彩页或加盖厂家公章的说明资料）</w:t>
            </w:r>
          </w:p>
          <w:p w14:paraId="0C9EC0E4">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监测服务方案</w:t>
            </w:r>
          </w:p>
          <w:p w14:paraId="021F2CC9">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w:t>
            </w:r>
          </w:p>
          <w:p w14:paraId="6FF241B4">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①方案内容齐全、详尽，</w:t>
            </w:r>
            <w:r>
              <w:rPr>
                <w:rFonts w:hint="eastAsia" w:ascii="宋体" w:hAnsi="宋体" w:eastAsia="宋体" w:cs="宋体"/>
                <w:sz w:val="21"/>
                <w:szCs w:val="21"/>
                <w:lang w:val="en-US" w:eastAsia="zh-CN"/>
              </w:rPr>
              <w:t>内容</w:t>
            </w:r>
            <w:r>
              <w:rPr>
                <w:rFonts w:hint="eastAsia" w:ascii="宋体" w:hAnsi="宋体" w:eastAsia="宋体" w:cs="宋体"/>
                <w:sz w:val="21"/>
                <w:szCs w:val="21"/>
              </w:rPr>
              <w:t>完全满足磋商文件要求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每项</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352DE2B1">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②方案</w:t>
            </w:r>
            <w:r>
              <w:rPr>
                <w:rFonts w:hint="eastAsia" w:ascii="宋体" w:hAnsi="宋体" w:eastAsia="宋体" w:cs="宋体"/>
                <w:sz w:val="21"/>
                <w:szCs w:val="21"/>
                <w:lang w:val="en-US" w:eastAsia="zh-CN"/>
              </w:rPr>
              <w:t>内容不全面，描述不完整</w:t>
            </w:r>
            <w:r>
              <w:rPr>
                <w:rFonts w:hint="eastAsia" w:ascii="宋体" w:hAnsi="宋体" w:eastAsia="宋体" w:cs="宋体"/>
                <w:sz w:val="21"/>
                <w:szCs w:val="21"/>
              </w:rPr>
              <w:t>，</w:t>
            </w:r>
            <w:r>
              <w:rPr>
                <w:rFonts w:hint="eastAsia" w:ascii="宋体" w:hAnsi="宋体" w:eastAsia="宋体" w:cs="宋体"/>
                <w:sz w:val="21"/>
                <w:szCs w:val="21"/>
                <w:lang w:val="en-US" w:eastAsia="zh-CN"/>
              </w:rPr>
              <w:t>部分满足磋商文件要求，每项得3分，</w:t>
            </w:r>
          </w:p>
          <w:p w14:paraId="206A2F49">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③方案内容</w:t>
            </w:r>
            <w:r>
              <w:rPr>
                <w:rFonts w:hint="eastAsia" w:ascii="宋体" w:hAnsi="宋体" w:eastAsia="宋体" w:cs="宋体"/>
                <w:sz w:val="21"/>
                <w:szCs w:val="21"/>
                <w:lang w:val="en-US" w:eastAsia="zh-CN"/>
              </w:rPr>
              <w:t>有描述，但不能满足采购需求，每项得1分</w:t>
            </w:r>
            <w:r>
              <w:rPr>
                <w:rFonts w:hint="eastAsia" w:ascii="宋体" w:hAnsi="宋体" w:eastAsia="宋体" w:cs="宋体"/>
                <w:sz w:val="21"/>
                <w:szCs w:val="21"/>
              </w:rPr>
              <w:t>。</w:t>
            </w:r>
          </w:p>
          <w:p w14:paraId="0A9C83FD">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④未提供不得分，本项最高合计得15分</w:t>
            </w:r>
          </w:p>
        </w:tc>
        <w:tc>
          <w:tcPr>
            <w:tcW w:w="555" w:type="dxa"/>
            <w:vAlign w:val="center"/>
          </w:tcPr>
          <w:p w14:paraId="4697D174">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05E27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52" w:hRule="atLeast"/>
        </w:trPr>
        <w:tc>
          <w:tcPr>
            <w:tcW w:w="1025" w:type="dxa"/>
            <w:vMerge w:val="continue"/>
            <w:vAlign w:val="center"/>
          </w:tcPr>
          <w:p w14:paraId="69BEA8DB">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Merge w:val="restart"/>
            <w:vAlign w:val="center"/>
          </w:tcPr>
          <w:p w14:paraId="1AED6507">
            <w:pPr>
              <w:pStyle w:val="76"/>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质量保证措施</w:t>
            </w:r>
          </w:p>
        </w:tc>
        <w:tc>
          <w:tcPr>
            <w:tcW w:w="6742" w:type="dxa"/>
            <w:vAlign w:val="center"/>
          </w:tcPr>
          <w:p w14:paraId="2EB05F1C">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评审内容：</w:t>
            </w:r>
          </w:p>
          <w:p w14:paraId="6FD479BB">
            <w:pPr>
              <w:pStyle w:val="76"/>
              <w:jc w:val="both"/>
              <w:rPr>
                <w:rFonts w:hint="eastAsia" w:ascii="宋体" w:hAnsi="宋体" w:eastAsia="宋体" w:cs="宋体"/>
                <w:sz w:val="21"/>
                <w:szCs w:val="21"/>
              </w:rPr>
            </w:pPr>
            <w:r>
              <w:rPr>
                <w:rFonts w:hint="eastAsia" w:ascii="宋体" w:hAnsi="宋体" w:eastAsia="宋体" w:cs="宋体"/>
                <w:sz w:val="21"/>
                <w:szCs w:val="21"/>
              </w:rPr>
              <w:t>根据供应商提供的</w:t>
            </w:r>
          </w:p>
          <w:p w14:paraId="49840E28">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rPr>
              <w:t>①动态心电监护仪</w:t>
            </w:r>
            <w:r>
              <w:rPr>
                <w:rFonts w:hint="eastAsia" w:ascii="宋体" w:hAnsi="宋体" w:eastAsia="宋体" w:cs="宋体"/>
                <w:sz w:val="21"/>
                <w:szCs w:val="21"/>
                <w:lang w:val="en-US" w:eastAsia="zh-CN"/>
              </w:rPr>
              <w:t>质量保证措施；</w:t>
            </w:r>
          </w:p>
          <w:p w14:paraId="163D4C0C">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rPr>
              <w:t>②动态血压监测仪</w:t>
            </w:r>
            <w:r>
              <w:rPr>
                <w:rFonts w:hint="eastAsia" w:ascii="宋体" w:hAnsi="宋体" w:eastAsia="宋体" w:cs="宋体"/>
                <w:sz w:val="21"/>
                <w:szCs w:val="21"/>
                <w:lang w:val="en-US" w:eastAsia="zh-CN"/>
              </w:rPr>
              <w:t>质量保证措施；</w:t>
            </w:r>
          </w:p>
          <w:p w14:paraId="6FCE5307">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软件产品质量保证措施。</w:t>
            </w:r>
          </w:p>
          <w:p w14:paraId="3923CF06">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w:t>
            </w:r>
          </w:p>
          <w:p w14:paraId="7C31D194">
            <w:pPr>
              <w:pStyle w:val="76"/>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可以提供详细的产品质量证明材料包括但不限于厂家授权或自主生产的证明材料或代理销售合同等。每提供一项得2分，合计最高得6分。</w:t>
            </w:r>
          </w:p>
        </w:tc>
        <w:tc>
          <w:tcPr>
            <w:tcW w:w="555" w:type="dxa"/>
            <w:vAlign w:val="center"/>
          </w:tcPr>
          <w:p w14:paraId="6FC984C0">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3D1E3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52" w:hRule="atLeast"/>
        </w:trPr>
        <w:tc>
          <w:tcPr>
            <w:tcW w:w="1025" w:type="dxa"/>
            <w:vMerge w:val="continue"/>
            <w:vAlign w:val="center"/>
          </w:tcPr>
          <w:p w14:paraId="09AC19D7">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Merge w:val="continue"/>
            <w:vAlign w:val="center"/>
          </w:tcPr>
          <w:p w14:paraId="12D0CA89">
            <w:pPr>
              <w:pStyle w:val="76"/>
              <w:jc w:val="center"/>
              <w:rPr>
                <w:rFonts w:hint="eastAsia" w:ascii="宋体" w:hAnsi="宋体" w:eastAsia="宋体" w:cs="宋体"/>
                <w:sz w:val="21"/>
                <w:szCs w:val="21"/>
                <w:lang w:val="en-US" w:eastAsia="zh-CN"/>
              </w:rPr>
            </w:pPr>
          </w:p>
        </w:tc>
        <w:tc>
          <w:tcPr>
            <w:tcW w:w="6742" w:type="dxa"/>
            <w:vAlign w:val="center"/>
          </w:tcPr>
          <w:p w14:paraId="757B829F">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评审内容：</w:t>
            </w:r>
          </w:p>
          <w:p w14:paraId="7B57925D">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根据供应商提供本项目的整体质量保障方案包括</w:t>
            </w:r>
          </w:p>
          <w:p w14:paraId="599ADE70">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软硬件产品</w:t>
            </w:r>
          </w:p>
          <w:p w14:paraId="09FB08D7">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服务方案</w:t>
            </w:r>
          </w:p>
          <w:p w14:paraId="39583855">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w:t>
            </w:r>
          </w:p>
          <w:p w14:paraId="2C7175F5">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①方案内容齐全、详尽，</w:t>
            </w:r>
            <w:r>
              <w:rPr>
                <w:rFonts w:hint="eastAsia" w:ascii="宋体" w:hAnsi="宋体" w:eastAsia="宋体" w:cs="宋体"/>
                <w:sz w:val="21"/>
                <w:szCs w:val="21"/>
                <w:lang w:val="en-US" w:eastAsia="zh-CN"/>
              </w:rPr>
              <w:t>切实可行每项</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6743446C">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②方案</w:t>
            </w:r>
            <w:r>
              <w:rPr>
                <w:rFonts w:hint="eastAsia" w:ascii="宋体" w:hAnsi="宋体" w:eastAsia="宋体" w:cs="宋体"/>
                <w:sz w:val="21"/>
                <w:szCs w:val="21"/>
                <w:lang w:val="en-US" w:eastAsia="zh-CN"/>
              </w:rPr>
              <w:t>内容不全面，描述不完整，可行性较差，每项得2分；</w:t>
            </w:r>
          </w:p>
          <w:p w14:paraId="14E2964D">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③方案内容</w:t>
            </w:r>
            <w:r>
              <w:rPr>
                <w:rFonts w:hint="eastAsia" w:ascii="宋体" w:hAnsi="宋体" w:eastAsia="宋体" w:cs="宋体"/>
                <w:sz w:val="21"/>
                <w:szCs w:val="21"/>
                <w:lang w:val="en-US" w:eastAsia="zh-CN"/>
              </w:rPr>
              <w:t>有描述，但不可行，每项得1分；</w:t>
            </w:r>
          </w:p>
          <w:p w14:paraId="5DE6A504">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④未提供不得分，本项最高合计得6分。</w:t>
            </w:r>
          </w:p>
        </w:tc>
        <w:tc>
          <w:tcPr>
            <w:tcW w:w="555" w:type="dxa"/>
            <w:vAlign w:val="center"/>
          </w:tcPr>
          <w:p w14:paraId="3D83C9F8">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0E9D6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vMerge w:val="continue"/>
            <w:vAlign w:val="center"/>
          </w:tcPr>
          <w:p w14:paraId="563D0848">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Align w:val="center"/>
          </w:tcPr>
          <w:p w14:paraId="457E91AC">
            <w:pPr>
              <w:pStyle w:val="76"/>
              <w:jc w:val="center"/>
              <w:rPr>
                <w:rFonts w:hint="eastAsia" w:ascii="宋体" w:hAnsi="宋体" w:eastAsia="宋体" w:cs="宋体"/>
                <w:b/>
                <w:bCs/>
                <w:sz w:val="21"/>
                <w:szCs w:val="21"/>
                <w:lang w:val="en-US" w:eastAsia="zh-Hans"/>
              </w:rPr>
            </w:pPr>
            <w:r>
              <w:rPr>
                <w:rFonts w:hint="eastAsia" w:ascii="宋体" w:hAnsi="宋体" w:eastAsia="宋体" w:cs="宋体"/>
                <w:sz w:val="21"/>
                <w:szCs w:val="21"/>
              </w:rPr>
              <w:t>团队人员</w:t>
            </w:r>
          </w:p>
        </w:tc>
        <w:tc>
          <w:tcPr>
            <w:tcW w:w="6742" w:type="dxa"/>
            <w:vAlign w:val="center"/>
          </w:tcPr>
          <w:p w14:paraId="1E313889">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监护团队成员为5人不得分，每增加一人得2分，最高得6分。拟派人员需具备执业医师资格，提供执业资格证书。</w:t>
            </w:r>
          </w:p>
          <w:p w14:paraId="1B97A531">
            <w:pPr>
              <w:pStyle w:val="76"/>
              <w:jc w:val="both"/>
              <w:rPr>
                <w:rFonts w:hint="eastAsia" w:ascii="宋体" w:hAnsi="宋体" w:eastAsia="宋体" w:cs="宋体"/>
                <w:b/>
                <w:bCs/>
                <w:sz w:val="21"/>
                <w:szCs w:val="21"/>
                <w:lang w:val="en-US" w:eastAsia="zh-Hans"/>
              </w:rPr>
            </w:pPr>
            <w:r>
              <w:rPr>
                <w:rFonts w:hint="eastAsia" w:ascii="宋体" w:hAnsi="宋体" w:eastAsia="宋体" w:cs="宋体"/>
                <w:sz w:val="21"/>
                <w:szCs w:val="21"/>
              </w:rPr>
              <w:t>②</w:t>
            </w:r>
            <w:r>
              <w:rPr>
                <w:rFonts w:hint="eastAsia" w:ascii="宋体" w:hAnsi="宋体" w:eastAsia="宋体" w:cs="宋体"/>
                <w:sz w:val="21"/>
                <w:szCs w:val="21"/>
                <w:lang w:val="en-US" w:eastAsia="zh-CN"/>
              </w:rPr>
              <w:t>针对本项目还需配备专门售后人员，对硬件设备进行售后巡检、维护。每提供一人得3分，最高得6分。拟派人员需提供相关资料。</w:t>
            </w:r>
          </w:p>
        </w:tc>
        <w:tc>
          <w:tcPr>
            <w:tcW w:w="555" w:type="dxa"/>
            <w:vAlign w:val="center"/>
          </w:tcPr>
          <w:p w14:paraId="6FC0D18B">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r>
      <w:tr w14:paraId="30825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9" w:hRule="atLeast"/>
        </w:trPr>
        <w:tc>
          <w:tcPr>
            <w:tcW w:w="1025" w:type="dxa"/>
            <w:vMerge w:val="continue"/>
            <w:vAlign w:val="center"/>
          </w:tcPr>
          <w:p w14:paraId="1B54F408">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Merge w:val="restart"/>
            <w:vAlign w:val="center"/>
          </w:tcPr>
          <w:p w14:paraId="4492498B">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6742" w:type="dxa"/>
            <w:vAlign w:val="center"/>
          </w:tcPr>
          <w:p w14:paraId="5F7AAA11">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响应时间</w:t>
            </w:r>
            <w:r>
              <w:rPr>
                <w:rFonts w:hint="eastAsia" w:ascii="宋体" w:hAnsi="宋体" w:eastAsia="宋体" w:cs="宋体"/>
                <w:sz w:val="21"/>
                <w:szCs w:val="21"/>
                <w:lang w:val="en-US" w:eastAsia="zh-CN"/>
              </w:rPr>
              <w:t>满足采购需求不得分，承诺可在1小时内到达现场得1分。</w:t>
            </w:r>
          </w:p>
        </w:tc>
        <w:tc>
          <w:tcPr>
            <w:tcW w:w="555" w:type="dxa"/>
            <w:vAlign w:val="center"/>
          </w:tcPr>
          <w:p w14:paraId="64DB9F1F">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r w14:paraId="38AB9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5" w:type="dxa"/>
            <w:vMerge w:val="continue"/>
            <w:vAlign w:val="center"/>
          </w:tcPr>
          <w:p w14:paraId="1424DF43">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Merge w:val="continue"/>
            <w:vAlign w:val="center"/>
          </w:tcPr>
          <w:p w14:paraId="70288E0B">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6742" w:type="dxa"/>
            <w:vAlign w:val="center"/>
          </w:tcPr>
          <w:p w14:paraId="70AE4ADE">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评审内容：</w:t>
            </w:r>
          </w:p>
          <w:p w14:paraId="1992ADA9">
            <w:pPr>
              <w:pStyle w:val="7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根据供应商提供本项目的整体售后服务方案包括：</w:t>
            </w:r>
          </w:p>
          <w:p w14:paraId="615B5F08">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①售后服务保障措施，</w:t>
            </w:r>
          </w:p>
          <w:p w14:paraId="62B8573A">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②售后服务流程，</w:t>
            </w:r>
          </w:p>
          <w:p w14:paraId="6CF964D6">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③应急响应机制，及技术支持等</w:t>
            </w:r>
            <w:r>
              <w:rPr>
                <w:rFonts w:hint="eastAsia" w:ascii="宋体" w:hAnsi="宋体" w:eastAsia="宋体" w:cs="宋体"/>
                <w:sz w:val="21"/>
                <w:szCs w:val="21"/>
                <w:lang w:eastAsia="zh-CN"/>
              </w:rPr>
              <w:t>。</w:t>
            </w:r>
          </w:p>
          <w:p w14:paraId="6482F45B">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w:t>
            </w:r>
          </w:p>
          <w:p w14:paraId="2DBEA1C7">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①方案内容齐全、详尽，</w:t>
            </w:r>
            <w:r>
              <w:rPr>
                <w:rFonts w:hint="eastAsia" w:ascii="宋体" w:hAnsi="宋体" w:eastAsia="宋体" w:cs="宋体"/>
                <w:sz w:val="21"/>
                <w:szCs w:val="21"/>
                <w:lang w:val="en-US" w:eastAsia="zh-CN"/>
              </w:rPr>
              <w:t>切实可行每项</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7765BCE2">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②方案</w:t>
            </w:r>
            <w:r>
              <w:rPr>
                <w:rFonts w:hint="eastAsia" w:ascii="宋体" w:hAnsi="宋体" w:eastAsia="宋体" w:cs="宋体"/>
                <w:sz w:val="21"/>
                <w:szCs w:val="21"/>
                <w:lang w:val="en-US" w:eastAsia="zh-CN"/>
              </w:rPr>
              <w:t>内容不全面，描述不完整，可行性较差，每项得1分；</w:t>
            </w:r>
          </w:p>
          <w:p w14:paraId="1788380E">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③方案内容</w:t>
            </w:r>
            <w:r>
              <w:rPr>
                <w:rFonts w:hint="eastAsia" w:ascii="宋体" w:hAnsi="宋体" w:eastAsia="宋体" w:cs="宋体"/>
                <w:sz w:val="21"/>
                <w:szCs w:val="21"/>
                <w:lang w:val="en-US" w:eastAsia="zh-CN"/>
              </w:rPr>
              <w:t>有描述，但不可行，每项得0.5分；</w:t>
            </w:r>
          </w:p>
          <w:p w14:paraId="133B75F0">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④未提供不得分，本项最高合计得6分。</w:t>
            </w:r>
          </w:p>
        </w:tc>
        <w:tc>
          <w:tcPr>
            <w:tcW w:w="555" w:type="dxa"/>
            <w:vAlign w:val="center"/>
          </w:tcPr>
          <w:p w14:paraId="42696B2C">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402B4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1025" w:type="dxa"/>
            <w:vMerge w:val="continue"/>
            <w:vAlign w:val="center"/>
          </w:tcPr>
          <w:p w14:paraId="3F8EDE5D">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p>
        </w:tc>
        <w:tc>
          <w:tcPr>
            <w:tcW w:w="995" w:type="dxa"/>
            <w:vMerge w:val="continue"/>
            <w:vAlign w:val="center"/>
          </w:tcPr>
          <w:p w14:paraId="1078B637">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6742" w:type="dxa"/>
            <w:vAlign w:val="center"/>
          </w:tcPr>
          <w:p w14:paraId="71F3325A">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承诺对所提供的设备配件、耗材进行免费更换和维修，得2分。</w:t>
            </w:r>
          </w:p>
          <w:p w14:paraId="6F0FD916">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承诺每月对提供的硬件设备定期有巡检、维护、校准等报告，得2分。</w:t>
            </w:r>
          </w:p>
        </w:tc>
        <w:tc>
          <w:tcPr>
            <w:tcW w:w="555" w:type="dxa"/>
            <w:vAlign w:val="center"/>
          </w:tcPr>
          <w:p w14:paraId="7331C6A3">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14:paraId="6171D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0" w:hRule="atLeast"/>
        </w:trPr>
        <w:tc>
          <w:tcPr>
            <w:tcW w:w="1025" w:type="dxa"/>
            <w:vAlign w:val="center"/>
          </w:tcPr>
          <w:p w14:paraId="08FD18C7">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价格分</w:t>
            </w:r>
          </w:p>
        </w:tc>
        <w:tc>
          <w:tcPr>
            <w:tcW w:w="995" w:type="dxa"/>
            <w:vAlign w:val="center"/>
          </w:tcPr>
          <w:p w14:paraId="3B275DB4">
            <w:pPr>
              <w:pStyle w:val="76"/>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价格分</w:t>
            </w:r>
          </w:p>
        </w:tc>
        <w:tc>
          <w:tcPr>
            <w:tcW w:w="6742" w:type="dxa"/>
            <w:vAlign w:val="center"/>
          </w:tcPr>
          <w:p w14:paraId="4BF039F9">
            <w:pPr>
              <w:pStyle w:val="76"/>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sz w:val="21"/>
                <w:szCs w:val="21"/>
              </w:rPr>
              <w:t>经初审合格的</w:t>
            </w:r>
            <w:r>
              <w:rPr>
                <w:rFonts w:hint="eastAsia" w:ascii="宋体" w:hAnsi="宋体" w:eastAsia="宋体" w:cs="宋体"/>
                <w:sz w:val="21"/>
                <w:szCs w:val="21"/>
                <w:lang w:val="en-US" w:eastAsia="zh-CN"/>
              </w:rPr>
              <w:t>响应文件</w:t>
            </w:r>
            <w:r>
              <w:rPr>
                <w:rFonts w:hint="eastAsia" w:ascii="宋体" w:hAnsi="宋体" w:eastAsia="宋体" w:cs="宋体"/>
                <w:sz w:val="21"/>
                <w:szCs w:val="21"/>
              </w:rPr>
              <w:t>，其</w:t>
            </w:r>
            <w:r>
              <w:rPr>
                <w:rFonts w:hint="eastAsia" w:ascii="宋体" w:hAnsi="宋体" w:eastAsia="宋体" w:cs="宋体"/>
                <w:sz w:val="21"/>
                <w:szCs w:val="21"/>
                <w:lang w:val="en-US" w:eastAsia="zh-CN"/>
              </w:rPr>
              <w:t>响应</w:t>
            </w:r>
            <w:r>
              <w:rPr>
                <w:rFonts w:hint="eastAsia" w:ascii="宋体" w:hAnsi="宋体" w:eastAsia="宋体" w:cs="宋体"/>
                <w:sz w:val="21"/>
                <w:szCs w:val="21"/>
              </w:rPr>
              <w:t>报价为有效</w:t>
            </w:r>
            <w:r>
              <w:rPr>
                <w:rFonts w:hint="eastAsia" w:ascii="宋体" w:hAnsi="宋体" w:eastAsia="宋体" w:cs="宋体"/>
                <w:sz w:val="21"/>
                <w:szCs w:val="21"/>
                <w:lang w:val="en-US" w:eastAsia="zh-CN"/>
              </w:rPr>
              <w:t>响应报</w:t>
            </w:r>
            <w:r>
              <w:rPr>
                <w:rFonts w:hint="eastAsia" w:ascii="宋体" w:hAnsi="宋体" w:eastAsia="宋体" w:cs="宋体"/>
                <w:sz w:val="21"/>
                <w:szCs w:val="21"/>
              </w:rPr>
              <w:t>价。评</w:t>
            </w:r>
            <w:r>
              <w:rPr>
                <w:rFonts w:hint="eastAsia" w:ascii="宋体" w:hAnsi="宋体" w:eastAsia="宋体" w:cs="宋体"/>
                <w:sz w:val="21"/>
                <w:szCs w:val="21"/>
                <w:lang w:val="en-US" w:eastAsia="zh-CN"/>
              </w:rPr>
              <w:t>审</w:t>
            </w:r>
            <w:r>
              <w:rPr>
                <w:rFonts w:hint="eastAsia" w:ascii="宋体" w:hAnsi="宋体" w:eastAsia="宋体" w:cs="宋体"/>
                <w:sz w:val="21"/>
                <w:szCs w:val="21"/>
              </w:rPr>
              <w:t>基准价：即满足</w:t>
            </w:r>
            <w:r>
              <w:rPr>
                <w:rFonts w:hint="eastAsia" w:ascii="宋体" w:hAnsi="宋体" w:eastAsia="宋体" w:cs="宋体"/>
                <w:sz w:val="21"/>
                <w:szCs w:val="21"/>
                <w:lang w:eastAsia="zh-CN"/>
              </w:rPr>
              <w:t>磋商文件</w:t>
            </w:r>
            <w:r>
              <w:rPr>
                <w:rFonts w:hint="eastAsia" w:ascii="宋体" w:hAnsi="宋体" w:eastAsia="宋体" w:cs="宋体"/>
                <w:sz w:val="21"/>
                <w:szCs w:val="21"/>
              </w:rPr>
              <w:t>要求且价格最低的</w:t>
            </w:r>
            <w:r>
              <w:rPr>
                <w:rFonts w:hint="eastAsia" w:ascii="宋体" w:hAnsi="宋体" w:eastAsia="宋体" w:cs="宋体"/>
                <w:sz w:val="21"/>
                <w:szCs w:val="21"/>
                <w:lang w:val="en-US" w:eastAsia="zh-CN"/>
              </w:rPr>
              <w:t>响应</w:t>
            </w:r>
            <w:r>
              <w:rPr>
                <w:rFonts w:hint="eastAsia" w:ascii="宋体" w:hAnsi="宋体" w:eastAsia="宋体" w:cs="宋体"/>
                <w:sz w:val="21"/>
                <w:szCs w:val="21"/>
              </w:rPr>
              <w:t>报价为评</w:t>
            </w:r>
            <w:r>
              <w:rPr>
                <w:rFonts w:hint="eastAsia" w:ascii="宋体" w:hAnsi="宋体" w:eastAsia="宋体" w:cs="宋体"/>
                <w:sz w:val="21"/>
                <w:szCs w:val="21"/>
                <w:lang w:val="en-US" w:eastAsia="zh-CN"/>
              </w:rPr>
              <w:t>审</w:t>
            </w:r>
            <w:r>
              <w:rPr>
                <w:rFonts w:hint="eastAsia" w:ascii="宋体" w:hAnsi="宋体" w:eastAsia="宋体" w:cs="宋体"/>
                <w:sz w:val="21"/>
                <w:szCs w:val="21"/>
              </w:rPr>
              <w:t>基准价。其他供应商的价格分值统一按下列公式计算：</w:t>
            </w:r>
            <w:r>
              <w:rPr>
                <w:rFonts w:hint="eastAsia" w:ascii="宋体" w:hAnsi="宋体" w:eastAsia="宋体" w:cs="宋体"/>
                <w:sz w:val="21"/>
                <w:szCs w:val="21"/>
                <w:lang w:val="en-US" w:eastAsia="zh-CN"/>
              </w:rPr>
              <w:t>响应</w:t>
            </w:r>
            <w:r>
              <w:rPr>
                <w:rFonts w:hint="eastAsia" w:ascii="宋体" w:hAnsi="宋体" w:eastAsia="宋体" w:cs="宋体"/>
                <w:sz w:val="21"/>
                <w:szCs w:val="21"/>
              </w:rPr>
              <w:t>报价得分＝（评</w:t>
            </w:r>
            <w:r>
              <w:rPr>
                <w:rFonts w:hint="eastAsia" w:ascii="宋体" w:hAnsi="宋体" w:eastAsia="宋体" w:cs="宋体"/>
                <w:sz w:val="21"/>
                <w:szCs w:val="21"/>
                <w:lang w:val="en-US" w:eastAsia="zh-CN"/>
              </w:rPr>
              <w:t>审</w:t>
            </w:r>
            <w:r>
              <w:rPr>
                <w:rFonts w:hint="eastAsia" w:ascii="宋体" w:hAnsi="宋体" w:eastAsia="宋体" w:cs="宋体"/>
                <w:sz w:val="21"/>
                <w:szCs w:val="21"/>
              </w:rPr>
              <w:t>基准价/</w:t>
            </w:r>
            <w:r>
              <w:rPr>
                <w:rFonts w:hint="eastAsia" w:ascii="宋体" w:hAnsi="宋体" w:eastAsia="宋体" w:cs="宋体"/>
                <w:sz w:val="21"/>
                <w:szCs w:val="21"/>
                <w:lang w:val="en-US" w:eastAsia="zh-CN"/>
              </w:rPr>
              <w:t>响应</w:t>
            </w:r>
            <w:r>
              <w:rPr>
                <w:rFonts w:hint="eastAsia" w:ascii="宋体" w:hAnsi="宋体" w:eastAsia="宋体" w:cs="宋体"/>
                <w:sz w:val="21"/>
                <w:szCs w:val="21"/>
              </w:rPr>
              <w:t>报价）×</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c>
          <w:tcPr>
            <w:tcW w:w="555" w:type="dxa"/>
            <w:vAlign w:val="center"/>
          </w:tcPr>
          <w:p w14:paraId="03B51D2C">
            <w:pPr>
              <w:pStyle w:val="76"/>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r>
    </w:tbl>
    <w:p w14:paraId="21C44F2C">
      <w:pPr>
        <w:pStyle w:val="9"/>
      </w:pPr>
    </w:p>
    <w:p w14:paraId="18A963FD">
      <w:pPr>
        <w:spacing w:line="360" w:lineRule="auto"/>
        <w:ind w:firstLine="210" w:firstLineChars="100"/>
        <w:rPr>
          <w:rFonts w:ascii="宋体" w:hAnsi="宋体"/>
          <w:szCs w:val="21"/>
        </w:rPr>
      </w:pPr>
      <w:r>
        <w:rPr>
          <w:rFonts w:hint="eastAsia" w:ascii="宋体" w:hAnsi="宋体"/>
          <w:szCs w:val="21"/>
        </w:rPr>
        <w:t>（五）响应文件报价出现前后不一致的，除磋商文件另有规定外，按照下列规定修正：</w:t>
      </w:r>
    </w:p>
    <w:p w14:paraId="356D8E65">
      <w:pPr>
        <w:spacing w:line="360" w:lineRule="auto"/>
        <w:ind w:firstLine="420" w:firstLineChars="200"/>
        <w:rPr>
          <w:rFonts w:ascii="宋体" w:hAnsi="宋体"/>
          <w:szCs w:val="21"/>
        </w:rPr>
      </w:pPr>
      <w:r>
        <w:rPr>
          <w:rFonts w:hint="eastAsia" w:ascii="宋体" w:hAnsi="宋体"/>
          <w:szCs w:val="21"/>
        </w:rPr>
        <w:t>1、大写金额和小写金额不一致的，以大写金额为准；</w:t>
      </w:r>
    </w:p>
    <w:p w14:paraId="46FC75FC">
      <w:pPr>
        <w:spacing w:line="360" w:lineRule="auto"/>
        <w:ind w:firstLine="420" w:firstLineChars="200"/>
        <w:rPr>
          <w:rFonts w:ascii="宋体" w:hAnsi="宋体"/>
          <w:szCs w:val="21"/>
        </w:rPr>
      </w:pPr>
      <w:r>
        <w:rPr>
          <w:rFonts w:hint="eastAsia" w:ascii="宋体" w:hAnsi="宋体"/>
          <w:szCs w:val="21"/>
        </w:rPr>
        <w:t>2、总价金额与按单价汇总金额不一致的，以单价金额计算结果为准；</w:t>
      </w:r>
    </w:p>
    <w:p w14:paraId="5E470E5A">
      <w:pPr>
        <w:spacing w:line="360" w:lineRule="auto"/>
        <w:ind w:firstLine="420" w:firstLineChars="200"/>
        <w:rPr>
          <w:rFonts w:ascii="宋体" w:hAnsi="宋体"/>
          <w:szCs w:val="21"/>
        </w:rPr>
      </w:pPr>
      <w:r>
        <w:rPr>
          <w:rFonts w:hint="eastAsia" w:ascii="宋体" w:hAnsi="宋体"/>
          <w:szCs w:val="21"/>
        </w:rPr>
        <w:t>3、单价金额小数点有明显错位的，应以总价为准，并修改单价；</w:t>
      </w:r>
    </w:p>
    <w:p w14:paraId="66FE694F">
      <w:pPr>
        <w:spacing w:line="360" w:lineRule="auto"/>
        <w:ind w:firstLine="420" w:firstLineChars="200"/>
        <w:rPr>
          <w:rFonts w:ascii="宋体" w:hAnsi="宋体"/>
          <w:szCs w:val="21"/>
        </w:rPr>
      </w:pPr>
      <w:r>
        <w:rPr>
          <w:rFonts w:hint="eastAsia" w:ascii="宋体" w:hAnsi="宋体"/>
          <w:szCs w:val="21"/>
        </w:rPr>
        <w:t>4、响应文件磋商一览表（报价表）内容与响应文件中相应内容不一致的，以磋商一览表（报价表）为准；</w:t>
      </w:r>
    </w:p>
    <w:p w14:paraId="491AFB01">
      <w:pPr>
        <w:spacing w:line="360" w:lineRule="auto"/>
        <w:ind w:firstLine="420" w:firstLineChars="200"/>
        <w:rPr>
          <w:rFonts w:ascii="宋体" w:hAnsi="宋体"/>
          <w:szCs w:val="21"/>
        </w:rPr>
      </w:pPr>
      <w:r>
        <w:rPr>
          <w:rFonts w:hint="eastAsia" w:ascii="宋体" w:hAnsi="宋体"/>
          <w:szCs w:val="21"/>
        </w:rPr>
        <w:t>5、修正后的报价经供应商的确认后产生约束力，供应商不确认的，其磋商响应无效；</w:t>
      </w:r>
    </w:p>
    <w:p w14:paraId="2B1C2025">
      <w:pPr>
        <w:spacing w:line="360" w:lineRule="auto"/>
        <w:ind w:firstLine="420" w:firstLineChars="200"/>
        <w:rPr>
          <w:rFonts w:ascii="宋体" w:hAnsi="宋体"/>
          <w:szCs w:val="21"/>
        </w:rPr>
      </w:pPr>
      <w:r>
        <w:rPr>
          <w:rFonts w:hint="eastAsia" w:ascii="宋体" w:hAnsi="宋体"/>
          <w:szCs w:val="21"/>
        </w:rPr>
        <w:t>（六）响应文件内容不一致的，按下列方式处理：</w:t>
      </w:r>
    </w:p>
    <w:p w14:paraId="7109E98E">
      <w:pPr>
        <w:spacing w:line="360" w:lineRule="auto"/>
        <w:ind w:firstLine="420" w:firstLineChars="200"/>
        <w:rPr>
          <w:rFonts w:ascii="宋体" w:hAnsi="宋体"/>
          <w:szCs w:val="21"/>
        </w:rPr>
      </w:pPr>
      <w:r>
        <w:rPr>
          <w:rFonts w:hint="eastAsia" w:ascii="宋体" w:hAnsi="宋体"/>
          <w:szCs w:val="21"/>
        </w:rPr>
        <w:t>1、对不同文字文本响应文件的解释发生异议的，以中文文本为准；</w:t>
      </w:r>
    </w:p>
    <w:p w14:paraId="2451DCAE">
      <w:pPr>
        <w:spacing w:line="360" w:lineRule="auto"/>
        <w:ind w:firstLine="420" w:firstLineChars="200"/>
        <w:rPr>
          <w:rFonts w:ascii="宋体" w:hAnsi="宋体"/>
          <w:szCs w:val="21"/>
        </w:rPr>
      </w:pPr>
      <w:r>
        <w:rPr>
          <w:rFonts w:hint="eastAsia" w:ascii="宋体" w:hAnsi="宋体"/>
          <w:szCs w:val="21"/>
        </w:rPr>
        <w:t>2、文字与图表不一致的，以文字为准；</w:t>
      </w:r>
    </w:p>
    <w:p w14:paraId="738BCEDB">
      <w:pPr>
        <w:spacing w:line="360" w:lineRule="auto"/>
        <w:ind w:firstLine="420" w:firstLineChars="200"/>
        <w:rPr>
          <w:rFonts w:ascii="宋体" w:hAnsi="宋体"/>
          <w:szCs w:val="21"/>
        </w:rPr>
      </w:pPr>
      <w:r>
        <w:rPr>
          <w:rFonts w:hint="eastAsia" w:ascii="宋体" w:hAnsi="宋体"/>
          <w:szCs w:val="21"/>
        </w:rPr>
        <w:t>3、正本与副本不一致的，以正本为准；</w:t>
      </w:r>
    </w:p>
    <w:p w14:paraId="558BAAFB">
      <w:pPr>
        <w:spacing w:line="360" w:lineRule="auto"/>
        <w:ind w:firstLine="420" w:firstLineChars="200"/>
        <w:rPr>
          <w:rFonts w:ascii="宋体" w:hAnsi="宋体"/>
          <w:szCs w:val="21"/>
        </w:rPr>
      </w:pPr>
      <w:r>
        <w:rPr>
          <w:rFonts w:hint="eastAsia" w:ascii="宋体" w:hAnsi="宋体"/>
          <w:szCs w:val="21"/>
        </w:rPr>
        <w:t>4、电子文件与纸质文件不一致的，以纸质文件为准；</w:t>
      </w:r>
    </w:p>
    <w:p w14:paraId="6A2B5019">
      <w:pPr>
        <w:spacing w:line="360" w:lineRule="auto"/>
        <w:ind w:firstLine="420" w:firstLineChars="200"/>
        <w:rPr>
          <w:rFonts w:ascii="宋体" w:hAnsi="宋体"/>
          <w:szCs w:val="21"/>
        </w:rPr>
      </w:pPr>
      <w:r>
        <w:rPr>
          <w:rFonts w:hint="eastAsia" w:ascii="宋体" w:hAnsi="宋体"/>
          <w:szCs w:val="21"/>
        </w:rPr>
        <w:t>5、响应文件的文字叙述与制造厂商的技术白皮书、检测报告不符时，以技术白皮书、检测报告为准，技术资料不包括用于销售宣传的彩页和厂商网站、微信公众号、微博等公开宣传的下载资料。</w:t>
      </w:r>
    </w:p>
    <w:p w14:paraId="1AACC506">
      <w:pPr>
        <w:spacing w:line="360" w:lineRule="auto"/>
        <w:ind w:firstLine="420" w:firstLineChars="200"/>
        <w:rPr>
          <w:rFonts w:ascii="宋体" w:hAnsi="宋体"/>
          <w:szCs w:val="21"/>
        </w:rPr>
      </w:pPr>
      <w:r>
        <w:rPr>
          <w:rFonts w:hint="eastAsia" w:ascii="宋体" w:hAnsi="宋体"/>
          <w:szCs w:val="21"/>
        </w:rPr>
        <w:t>（七）最低报价不作为成交的唯一条件。磋商小组认为供应商的报价明显低于其它通过符合性审查供应商的报价，有可能影响产品质量或者不能诚信履约的，要求供应商应当在评审现场合理的时间内提供书面说明，必要时按照磋商小组允许的时间提交相关证明材料；供应商不能证明其报价合理性和提供证明材料的，磋商小组应当将其作为无效磋商响应处理。</w:t>
      </w:r>
    </w:p>
    <w:p w14:paraId="710F26E8">
      <w:pPr>
        <w:spacing w:line="360" w:lineRule="auto"/>
        <w:ind w:firstLine="420" w:firstLineChars="200"/>
        <w:rPr>
          <w:rFonts w:hint="eastAsia" w:ascii="宋体" w:hAnsi="宋体"/>
          <w:szCs w:val="21"/>
        </w:rPr>
      </w:pPr>
      <w:r>
        <w:rPr>
          <w:rFonts w:hint="eastAsia" w:ascii="宋体" w:hAnsi="宋体"/>
          <w:szCs w:val="21"/>
        </w:rPr>
        <w:t>（八）政府采购政策评分标准</w:t>
      </w:r>
    </w:p>
    <w:p w14:paraId="7078C175">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本项目属于专门面向小微企业</w:t>
      </w:r>
    </w:p>
    <w:p w14:paraId="27EF2393">
      <w:pPr>
        <w:spacing w:line="360" w:lineRule="auto"/>
        <w:ind w:firstLine="420" w:firstLineChars="200"/>
        <w:rPr>
          <w:rFonts w:ascii="宋体" w:hAnsi="宋体"/>
          <w:szCs w:val="21"/>
        </w:rPr>
      </w:pPr>
      <w:r>
        <w:rPr>
          <w:rFonts w:hint="eastAsia" w:ascii="宋体" w:hAnsi="宋体"/>
          <w:szCs w:val="21"/>
        </w:rPr>
        <w:t>（九）磋商小组评价最终得分由高至低排列名序，推荐成交候选供应商。</w:t>
      </w:r>
    </w:p>
    <w:p w14:paraId="1C349027">
      <w:pPr>
        <w:pStyle w:val="3"/>
        <w:spacing w:before="78" w:after="78"/>
      </w:pPr>
      <w:bookmarkStart w:id="56" w:name="_Toc52064871"/>
      <w:bookmarkStart w:id="57" w:name="_Toc48301730"/>
      <w:bookmarkStart w:id="58" w:name="_Toc23246"/>
      <w:bookmarkStart w:id="59" w:name="_Toc52064328"/>
      <w:r>
        <w:rPr>
          <w:rFonts w:hint="eastAsia"/>
        </w:rPr>
        <w:t>四、</w:t>
      </w:r>
      <w:r>
        <w:rPr>
          <w:rFonts w:hint="eastAsia" w:cs="宋体"/>
          <w:color w:val="000000"/>
          <w:kern w:val="0"/>
          <w:szCs w:val="21"/>
          <w:lang w:bidi="ar"/>
        </w:rPr>
        <w:t>响应文件</w:t>
      </w:r>
      <w:r>
        <w:rPr>
          <w:rFonts w:hint="eastAsia"/>
          <w:szCs w:val="21"/>
        </w:rPr>
        <w:t>无效情形</w:t>
      </w:r>
      <w:bookmarkEnd w:id="56"/>
      <w:bookmarkEnd w:id="57"/>
      <w:bookmarkEnd w:id="58"/>
      <w:bookmarkEnd w:id="59"/>
    </w:p>
    <w:p w14:paraId="278AE22A">
      <w:pPr>
        <w:spacing w:line="360" w:lineRule="auto"/>
        <w:ind w:firstLine="420" w:firstLineChars="200"/>
        <w:rPr>
          <w:rFonts w:ascii="宋体" w:hAnsi="宋体"/>
          <w:szCs w:val="21"/>
        </w:rPr>
      </w:pPr>
      <w:r>
        <w:rPr>
          <w:rFonts w:hint="eastAsia" w:ascii="宋体" w:hAnsi="宋体"/>
          <w:szCs w:val="21"/>
        </w:rPr>
        <w:t>（一）响应文件未按磋商文件要求签署、盖章的；</w:t>
      </w:r>
    </w:p>
    <w:p w14:paraId="16132F5D">
      <w:pPr>
        <w:spacing w:line="360" w:lineRule="auto"/>
        <w:ind w:firstLine="420" w:firstLineChars="200"/>
        <w:rPr>
          <w:rFonts w:ascii="宋体" w:hAnsi="宋体"/>
          <w:szCs w:val="21"/>
        </w:rPr>
      </w:pPr>
      <w:r>
        <w:rPr>
          <w:rFonts w:hint="eastAsia" w:ascii="宋体" w:hAnsi="宋体"/>
          <w:szCs w:val="21"/>
        </w:rPr>
        <w:t>（二）不具备磋商文件中规定的资格要求的；</w:t>
      </w:r>
    </w:p>
    <w:p w14:paraId="790CCEE9">
      <w:pPr>
        <w:spacing w:line="360" w:lineRule="auto"/>
        <w:ind w:firstLine="420" w:firstLineChars="200"/>
        <w:rPr>
          <w:rFonts w:ascii="宋体" w:hAnsi="宋体"/>
          <w:szCs w:val="21"/>
        </w:rPr>
      </w:pPr>
      <w:r>
        <w:rPr>
          <w:rFonts w:hint="eastAsia" w:ascii="宋体" w:hAnsi="宋体"/>
          <w:szCs w:val="21"/>
        </w:rPr>
        <w:t>（三）报价超过磋商文件中规定的预算金额或者最高限价的；</w:t>
      </w:r>
    </w:p>
    <w:p w14:paraId="7B6AAF76">
      <w:pPr>
        <w:spacing w:line="360" w:lineRule="auto"/>
        <w:ind w:firstLine="420" w:firstLineChars="200"/>
        <w:rPr>
          <w:rFonts w:ascii="宋体" w:hAnsi="宋体"/>
          <w:szCs w:val="21"/>
        </w:rPr>
      </w:pPr>
      <w:r>
        <w:rPr>
          <w:rFonts w:hint="eastAsia" w:ascii="宋体" w:hAnsi="宋体"/>
          <w:szCs w:val="21"/>
        </w:rPr>
        <w:t>（四）响应文件含有采购人不能接受的附加条件的；</w:t>
      </w:r>
    </w:p>
    <w:p w14:paraId="46DA3495">
      <w:pPr>
        <w:pStyle w:val="11"/>
        <w:spacing w:line="360" w:lineRule="auto"/>
        <w:ind w:left="0" w:leftChars="0" w:right="1470" w:firstLine="420"/>
        <w:rPr>
          <w:rFonts w:ascii="宋体" w:hAnsi="宋体"/>
          <w:szCs w:val="21"/>
        </w:rPr>
      </w:pPr>
      <w:r>
        <w:rPr>
          <w:rFonts w:hint="eastAsia" w:ascii="宋体" w:hAnsi="宋体"/>
          <w:szCs w:val="21"/>
        </w:rPr>
        <w:t>（五）响应文件未实质性响应磋商文件要求的；</w:t>
      </w:r>
    </w:p>
    <w:p w14:paraId="3C201591">
      <w:pPr>
        <w:spacing w:line="360" w:lineRule="auto"/>
        <w:ind w:firstLine="420" w:firstLineChars="200"/>
        <w:rPr>
          <w:rFonts w:ascii="宋体" w:hAnsi="宋体"/>
          <w:szCs w:val="21"/>
        </w:rPr>
      </w:pPr>
      <w:r>
        <w:rPr>
          <w:rFonts w:hint="eastAsia" w:ascii="宋体" w:hAnsi="宋体"/>
          <w:szCs w:val="21"/>
        </w:rPr>
        <w:t xml:space="preserve">（六）有下列情形之一的，视为供应商串通投标，磋商小组应当认定其响应文件无效： </w:t>
      </w:r>
    </w:p>
    <w:p w14:paraId="35E8228F">
      <w:pPr>
        <w:spacing w:line="360" w:lineRule="auto"/>
        <w:ind w:firstLine="840" w:firstLineChars="400"/>
        <w:rPr>
          <w:rFonts w:ascii="宋体" w:hAnsi="宋体"/>
          <w:szCs w:val="21"/>
        </w:rPr>
      </w:pPr>
      <w:r>
        <w:rPr>
          <w:rFonts w:hint="eastAsia" w:ascii="宋体" w:hAnsi="宋体"/>
          <w:szCs w:val="21"/>
        </w:rPr>
        <w:t xml:space="preserve">A、不同供应商的响应文件由同一单位或者个人编制； </w:t>
      </w:r>
    </w:p>
    <w:p w14:paraId="25829B59">
      <w:pPr>
        <w:spacing w:line="360" w:lineRule="auto"/>
        <w:ind w:firstLine="840" w:firstLineChars="400"/>
        <w:rPr>
          <w:rFonts w:ascii="宋体" w:hAnsi="宋体"/>
          <w:szCs w:val="21"/>
        </w:rPr>
      </w:pPr>
      <w:r>
        <w:rPr>
          <w:rFonts w:hint="eastAsia" w:ascii="宋体" w:hAnsi="宋体"/>
          <w:szCs w:val="21"/>
        </w:rPr>
        <w:t>B、不同供应商委托同一单位或者个人办理磋商事宜；</w:t>
      </w:r>
    </w:p>
    <w:p w14:paraId="1E8E5F2E">
      <w:pPr>
        <w:spacing w:line="360" w:lineRule="auto"/>
        <w:ind w:firstLine="840" w:firstLineChars="400"/>
        <w:rPr>
          <w:rFonts w:ascii="宋体" w:hAnsi="宋体"/>
          <w:szCs w:val="21"/>
        </w:rPr>
      </w:pPr>
      <w:r>
        <w:rPr>
          <w:rFonts w:hint="eastAsia" w:ascii="宋体" w:hAnsi="宋体"/>
          <w:szCs w:val="21"/>
        </w:rPr>
        <w:t xml:space="preserve">C、不同供应商的响应文件载明的项目管理成员或者联系人员为同一人； </w:t>
      </w:r>
    </w:p>
    <w:p w14:paraId="56E623E1">
      <w:pPr>
        <w:spacing w:line="360" w:lineRule="auto"/>
        <w:ind w:firstLine="840" w:firstLineChars="400"/>
        <w:rPr>
          <w:rFonts w:ascii="宋体" w:hAnsi="宋体"/>
          <w:szCs w:val="21"/>
        </w:rPr>
      </w:pPr>
      <w:r>
        <w:rPr>
          <w:rFonts w:hint="eastAsia" w:ascii="宋体" w:hAnsi="宋体"/>
          <w:szCs w:val="21"/>
        </w:rPr>
        <w:t xml:space="preserve">D、不同供应商的响应文件异常一致或者磋商报价呈规律性差异； </w:t>
      </w:r>
    </w:p>
    <w:p w14:paraId="55FB431B">
      <w:pPr>
        <w:spacing w:line="360" w:lineRule="auto"/>
        <w:ind w:firstLine="840" w:firstLineChars="400"/>
        <w:rPr>
          <w:rFonts w:ascii="宋体" w:hAnsi="宋体"/>
          <w:szCs w:val="21"/>
        </w:rPr>
      </w:pPr>
      <w:r>
        <w:rPr>
          <w:rFonts w:hint="eastAsia" w:ascii="宋体" w:hAnsi="宋体"/>
          <w:szCs w:val="21"/>
        </w:rPr>
        <w:t>E、不同供应商的响应文件相互混装；</w:t>
      </w:r>
    </w:p>
    <w:p w14:paraId="234A50E1">
      <w:pPr>
        <w:spacing w:line="360" w:lineRule="auto"/>
        <w:ind w:firstLine="840" w:firstLineChars="400"/>
        <w:rPr>
          <w:rFonts w:ascii="宋体" w:hAnsi="宋体"/>
          <w:szCs w:val="21"/>
        </w:rPr>
      </w:pPr>
      <w:r>
        <w:rPr>
          <w:rFonts w:hint="eastAsia" w:ascii="宋体" w:hAnsi="宋体"/>
          <w:szCs w:val="21"/>
        </w:rPr>
        <w:t>F、不同供应商的磋商保证金从同一单位或者个人的账户转出。</w:t>
      </w:r>
    </w:p>
    <w:p w14:paraId="750D9B0E">
      <w:pPr>
        <w:spacing w:line="360" w:lineRule="auto"/>
        <w:ind w:firstLine="420" w:firstLineChars="200"/>
        <w:rPr>
          <w:rFonts w:ascii="宋体" w:hAnsi="宋体"/>
          <w:szCs w:val="21"/>
        </w:rPr>
      </w:pPr>
      <w:r>
        <w:rPr>
          <w:rFonts w:hint="eastAsia" w:ascii="宋体" w:hAnsi="宋体"/>
          <w:szCs w:val="21"/>
        </w:rPr>
        <w:t>（七）法律、法规和磋商文件规定的其他无效情形。</w:t>
      </w:r>
      <w:bookmarkStart w:id="60" w:name="_Toc52064329"/>
      <w:bookmarkStart w:id="61" w:name="_Toc52064872"/>
    </w:p>
    <w:p w14:paraId="260267B1">
      <w:pPr>
        <w:pStyle w:val="3"/>
        <w:spacing w:before="78" w:after="78"/>
      </w:pPr>
      <w:bookmarkStart w:id="62" w:name="_Toc9301"/>
      <w:r>
        <w:rPr>
          <w:rFonts w:hint="eastAsia"/>
        </w:rPr>
        <w:t>五、采购方式改变或重新</w:t>
      </w:r>
      <w:bookmarkEnd w:id="60"/>
      <w:bookmarkEnd w:id="61"/>
      <w:bookmarkEnd w:id="62"/>
      <w:r>
        <w:rPr>
          <w:rFonts w:hint="eastAsia"/>
        </w:rPr>
        <w:t>采购</w:t>
      </w:r>
    </w:p>
    <w:p w14:paraId="4550B1AA">
      <w:pPr>
        <w:spacing w:line="360" w:lineRule="auto"/>
        <w:ind w:firstLine="420" w:firstLineChars="200"/>
        <w:rPr>
          <w:rFonts w:ascii="宋体" w:hAnsi="宋体"/>
          <w:szCs w:val="21"/>
        </w:rPr>
      </w:pPr>
      <w:r>
        <w:rPr>
          <w:rFonts w:hint="eastAsia" w:ascii="宋体" w:hAnsi="宋体"/>
          <w:szCs w:val="21"/>
        </w:rPr>
        <w:t>（一）文件递交截止后供应商不足3家或者通过资格审查或符合性审查的供应商不足3家的，除采购任务取消情形外，按照以下方式处理：</w:t>
      </w:r>
    </w:p>
    <w:p w14:paraId="43BCA1B9">
      <w:pPr>
        <w:spacing w:line="360" w:lineRule="auto"/>
        <w:ind w:firstLine="420" w:firstLineChars="200"/>
        <w:rPr>
          <w:rFonts w:ascii="宋体" w:hAnsi="宋体"/>
          <w:szCs w:val="21"/>
        </w:rPr>
      </w:pPr>
      <w:r>
        <w:rPr>
          <w:rFonts w:hint="eastAsia" w:ascii="宋体" w:hAnsi="宋体"/>
          <w:szCs w:val="21"/>
        </w:rPr>
        <w:t>1.磋商文件存在不合理条款或者招采购程序不符合规定的，采购人、采购代理机构改正后依法重新采购；</w:t>
      </w:r>
    </w:p>
    <w:p w14:paraId="3694FD51">
      <w:pPr>
        <w:spacing w:line="360" w:lineRule="auto"/>
        <w:ind w:firstLine="420" w:firstLineChars="200"/>
        <w:rPr>
          <w:rFonts w:ascii="宋体" w:hAnsi="宋体"/>
          <w:szCs w:val="21"/>
        </w:rPr>
      </w:pPr>
      <w:r>
        <w:rPr>
          <w:rFonts w:hint="eastAsia" w:ascii="宋体" w:hAnsi="宋体"/>
          <w:szCs w:val="21"/>
        </w:rPr>
        <w:t>2.磋商文件没有不合理条款、采购程序符合规定，需要采用其他采购方式采购的，采购人应当依法报财政部门批准；</w:t>
      </w:r>
    </w:p>
    <w:p w14:paraId="0CC6CE5E">
      <w:pPr>
        <w:spacing w:line="360" w:lineRule="auto"/>
        <w:ind w:firstLine="420" w:firstLineChars="200"/>
        <w:rPr>
          <w:rFonts w:ascii="宋体" w:hAnsi="宋体"/>
          <w:szCs w:val="21"/>
        </w:rPr>
      </w:pPr>
      <w:r>
        <w:rPr>
          <w:rFonts w:hint="eastAsia" w:ascii="宋体" w:hAnsi="宋体"/>
          <w:szCs w:val="21"/>
        </w:rPr>
        <w:t>3.磋商文件内容违反法律、行政法规、强制性标准、政府采购政策，或者违反公开透明、公平竞争、公正和诚实信用原则，影响潜在供应商参与的，采购代理机构应当修改磋商文件后重新采购。</w:t>
      </w:r>
      <w:bookmarkStart w:id="63" w:name="_Toc48301732"/>
      <w:bookmarkStart w:id="64" w:name="_Toc52064873"/>
      <w:bookmarkStart w:id="65" w:name="_Toc52064330"/>
    </w:p>
    <w:p w14:paraId="41E799A1">
      <w:pPr>
        <w:pStyle w:val="3"/>
        <w:spacing w:before="78" w:after="78"/>
      </w:pPr>
      <w:bookmarkStart w:id="66" w:name="_Toc11628"/>
      <w:r>
        <w:rPr>
          <w:rFonts w:hint="eastAsia"/>
        </w:rPr>
        <w:t>六、采购项目终止</w:t>
      </w:r>
      <w:bookmarkEnd w:id="63"/>
      <w:bookmarkEnd w:id="64"/>
      <w:bookmarkEnd w:id="65"/>
      <w:bookmarkEnd w:id="66"/>
    </w:p>
    <w:p w14:paraId="6CFD9924">
      <w:pPr>
        <w:spacing w:line="360" w:lineRule="auto"/>
        <w:ind w:firstLine="420" w:firstLineChars="200"/>
        <w:rPr>
          <w:rFonts w:ascii="宋体" w:hAnsi="宋体"/>
          <w:szCs w:val="21"/>
        </w:rPr>
      </w:pPr>
      <w:r>
        <w:rPr>
          <w:rFonts w:hint="eastAsia" w:ascii="宋体" w:hAnsi="宋体"/>
          <w:szCs w:val="21"/>
        </w:rPr>
        <w:t>本次采购活动中，出现下列情形之一的，将终止采购：</w:t>
      </w:r>
    </w:p>
    <w:p w14:paraId="57E8EA3F">
      <w:pPr>
        <w:spacing w:line="360" w:lineRule="auto"/>
        <w:ind w:firstLine="420" w:firstLineChars="200"/>
        <w:rPr>
          <w:rFonts w:ascii="宋体" w:hAnsi="宋体"/>
          <w:szCs w:val="21"/>
        </w:rPr>
      </w:pPr>
      <w:r>
        <w:rPr>
          <w:rFonts w:hint="eastAsia" w:ascii="宋体" w:hAnsi="宋体"/>
          <w:szCs w:val="21"/>
        </w:rPr>
        <w:t>（一）符合专业条件的供应商不足三家或者对磋商文件作实质响应的供应商不足三家，采购人不需要采用其他采购方式采购的；</w:t>
      </w:r>
    </w:p>
    <w:p w14:paraId="1D6F4995">
      <w:pPr>
        <w:spacing w:line="360" w:lineRule="auto"/>
        <w:ind w:firstLine="420" w:firstLineChars="200"/>
        <w:rPr>
          <w:rFonts w:ascii="宋体" w:hAnsi="宋体"/>
          <w:szCs w:val="21"/>
        </w:rPr>
      </w:pPr>
      <w:r>
        <w:rPr>
          <w:rFonts w:hint="eastAsia" w:ascii="宋体" w:hAnsi="宋体"/>
          <w:szCs w:val="21"/>
        </w:rPr>
        <w:t>（二）出现影响采购公正公平的违法、违规行为的；</w:t>
      </w:r>
    </w:p>
    <w:p w14:paraId="516692AC">
      <w:pPr>
        <w:spacing w:line="360" w:lineRule="auto"/>
        <w:ind w:firstLine="420" w:firstLineChars="200"/>
        <w:rPr>
          <w:rFonts w:ascii="宋体" w:hAnsi="宋体"/>
          <w:szCs w:val="21"/>
        </w:rPr>
      </w:pPr>
      <w:r>
        <w:rPr>
          <w:rFonts w:hint="eastAsia" w:ascii="宋体" w:hAnsi="宋体"/>
          <w:szCs w:val="21"/>
        </w:rPr>
        <w:t>（三）因重大变故，采购任务取消的。</w:t>
      </w:r>
    </w:p>
    <w:p w14:paraId="6715BD81">
      <w:pPr>
        <w:spacing w:line="360" w:lineRule="auto"/>
        <w:ind w:firstLine="420" w:firstLineChars="200"/>
        <w:rPr>
          <w:rFonts w:ascii="宋体" w:hAnsi="宋体"/>
          <w:szCs w:val="21"/>
        </w:rPr>
      </w:pPr>
      <w:r>
        <w:rPr>
          <w:rFonts w:hint="eastAsia" w:ascii="宋体" w:hAnsi="宋体"/>
          <w:szCs w:val="21"/>
        </w:rPr>
        <w:t>（四）终止采购后，采购代理机构应当在</w:t>
      </w:r>
      <w:r>
        <w:rPr>
          <w:rFonts w:hint="eastAsia" w:ascii="宋体" w:hAnsi="宋体"/>
          <w:szCs w:val="21"/>
          <w:lang w:val="en-US" w:eastAsia="zh-CN"/>
        </w:rPr>
        <w:t>陕西省政府采购网</w:t>
      </w:r>
      <w:r>
        <w:rPr>
          <w:rFonts w:hint="eastAsia" w:ascii="宋体" w:hAnsi="宋体"/>
          <w:szCs w:val="21"/>
        </w:rPr>
        <w:t>公告。</w:t>
      </w:r>
      <w:r>
        <w:rPr>
          <w:rFonts w:hint="eastAsia" w:ascii="宋体" w:hAnsi="宋体"/>
          <w:szCs w:val="21"/>
        </w:rPr>
        <w:br w:type="page"/>
      </w:r>
    </w:p>
    <w:p w14:paraId="4813E2B7">
      <w:pPr>
        <w:spacing w:line="360" w:lineRule="auto"/>
        <w:jc w:val="center"/>
        <w:outlineLvl w:val="0"/>
        <w:rPr>
          <w:rFonts w:ascii="宋体" w:hAnsi="宋体"/>
          <w:b/>
          <w:kern w:val="44"/>
          <w:sz w:val="32"/>
        </w:rPr>
      </w:pPr>
      <w:bookmarkStart w:id="67" w:name="_Toc28428"/>
      <w:bookmarkStart w:id="68" w:name="_Toc16707"/>
      <w:r>
        <w:rPr>
          <w:rFonts w:hint="eastAsia" w:ascii="宋体" w:hAnsi="宋体"/>
          <w:b/>
          <w:kern w:val="44"/>
          <w:sz w:val="32"/>
        </w:rPr>
        <w:t>第四章  合同条款</w:t>
      </w:r>
      <w:bookmarkEnd w:id="67"/>
    </w:p>
    <w:bookmarkEnd w:id="68"/>
    <w:p w14:paraId="473DA62E">
      <w:pPr>
        <w:spacing w:line="300" w:lineRule="auto"/>
        <w:jc w:val="center"/>
        <w:rPr>
          <w:rFonts w:hint="eastAsia" w:ascii="宋体" w:hAnsi="宋体" w:eastAsia="宋体" w:cs="宋体"/>
          <w:b/>
          <w:bCs/>
          <w:sz w:val="48"/>
          <w:szCs w:val="48"/>
        </w:rPr>
      </w:pPr>
      <w:bookmarkStart w:id="69" w:name="_Toc407177518"/>
      <w:bookmarkEnd w:id="69"/>
      <w:bookmarkStart w:id="70" w:name="_Toc468207027"/>
      <w:bookmarkEnd w:id="70"/>
      <w:bookmarkStart w:id="71" w:name="_Toc294110487"/>
      <w:bookmarkEnd w:id="71"/>
      <w:bookmarkStart w:id="72" w:name="_Toc24974"/>
      <w:bookmarkStart w:id="73" w:name="_Toc23718"/>
      <w:bookmarkStart w:id="74" w:name="_Toc26657"/>
      <w:bookmarkStart w:id="75" w:name="_Toc18418"/>
      <w:r>
        <w:rPr>
          <w:rFonts w:hint="eastAsia" w:ascii="宋体" w:hAnsi="宋体" w:eastAsia="宋体" w:cs="宋体"/>
          <w:b/>
          <w:bCs/>
          <w:sz w:val="48"/>
          <w:szCs w:val="48"/>
        </w:rPr>
        <w:t>咸阳市中心医院设备技术服务合同</w:t>
      </w:r>
    </w:p>
    <w:p w14:paraId="2B09BFF3">
      <w:pPr>
        <w:tabs>
          <w:tab w:val="left" w:pos="3073"/>
          <w:tab w:val="center" w:pos="4213"/>
        </w:tabs>
        <w:jc w:val="left"/>
        <w:rPr>
          <w:rFonts w:hint="eastAsia" w:ascii="宋体" w:hAnsi="宋体" w:eastAsia="宋体" w:cs="宋体"/>
          <w:sz w:val="30"/>
          <w:szCs w:val="30"/>
        </w:rPr>
      </w:pPr>
    </w:p>
    <w:p w14:paraId="021DD7F5">
      <w:pPr>
        <w:keepNext w:val="0"/>
        <w:keepLines w:val="0"/>
        <w:pageBreakBefore w:val="0"/>
        <w:widowControl w:val="0"/>
        <w:tabs>
          <w:tab w:val="left" w:pos="3073"/>
          <w:tab w:val="center" w:pos="4213"/>
        </w:tabs>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合同号：［</w:t>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号</w:t>
      </w:r>
    </w:p>
    <w:p w14:paraId="2249C34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2537131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424C33C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26EC9B4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4DFF5BF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42AE2CB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179D9B7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26AD403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1DDC783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5294D8B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4AC0B6F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1E65311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37210F1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244E34B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32F2020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74D65EA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4684CD1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167E287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18"/>
          <w:szCs w:val="18"/>
        </w:rPr>
      </w:pPr>
    </w:p>
    <w:p w14:paraId="25BC88DE">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18"/>
          <w:szCs w:val="18"/>
        </w:rPr>
      </w:pPr>
    </w:p>
    <w:p w14:paraId="0AB037F2">
      <w:pPr>
        <w:keepNext w:val="0"/>
        <w:keepLines w:val="0"/>
        <w:pageBreakBefore w:val="0"/>
        <w:widowControl w:val="0"/>
        <w:tabs>
          <w:tab w:val="left" w:pos="3073"/>
          <w:tab w:val="center" w:pos="4213"/>
        </w:tabs>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8"/>
          <w:szCs w:val="28"/>
        </w:rPr>
      </w:pPr>
    </w:p>
    <w:p w14:paraId="3688D105">
      <w:pPr>
        <w:keepNext w:val="0"/>
        <w:keepLines w:val="0"/>
        <w:pageBreakBefore w:val="0"/>
        <w:widowControl w:val="0"/>
        <w:tabs>
          <w:tab w:val="left" w:pos="3073"/>
          <w:tab w:val="center" w:pos="4213"/>
        </w:tabs>
        <w:kinsoku/>
        <w:overflowPunct/>
        <w:topLinePunct w:val="0"/>
        <w:autoSpaceDE/>
        <w:autoSpaceDN/>
        <w:bidi w:val="0"/>
        <w:adjustRightInd/>
        <w:snapToGrid/>
        <w:spacing w:line="360" w:lineRule="auto"/>
        <w:ind w:left="0" w:right="0" w:rightChars="0" w:firstLine="1400" w:firstLineChars="500"/>
        <w:jc w:val="both"/>
        <w:textAlignment w:val="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远程心电监测</w:t>
      </w:r>
    </w:p>
    <w:p w14:paraId="2FC33DA4">
      <w:pPr>
        <w:keepNext w:val="0"/>
        <w:keepLines w:val="0"/>
        <w:pageBreakBefore w:val="0"/>
        <w:widowControl w:val="0"/>
        <w:tabs>
          <w:tab w:val="left" w:pos="3073"/>
          <w:tab w:val="center" w:pos="4213"/>
        </w:tabs>
        <w:kinsoku/>
        <w:overflowPunct/>
        <w:topLinePunct w:val="0"/>
        <w:autoSpaceDE/>
        <w:autoSpaceDN/>
        <w:bidi w:val="0"/>
        <w:adjustRightInd/>
        <w:snapToGrid/>
        <w:spacing w:line="360" w:lineRule="auto"/>
        <w:ind w:left="0" w:right="0" w:rightChars="0" w:firstLine="1400" w:firstLineChars="500"/>
        <w:jc w:val="both"/>
        <w:textAlignment w:val="auto"/>
        <w:rPr>
          <w:rFonts w:hint="eastAsia" w:ascii="宋体" w:hAnsi="宋体" w:eastAsia="宋体" w:cs="宋体"/>
          <w:sz w:val="28"/>
          <w:szCs w:val="28"/>
        </w:rPr>
      </w:pPr>
      <w:r>
        <w:rPr>
          <w:rFonts w:hint="eastAsia" w:ascii="宋体" w:hAnsi="宋体" w:eastAsia="宋体" w:cs="宋体"/>
          <w:sz w:val="28"/>
          <w:szCs w:val="28"/>
        </w:rPr>
        <w:t>甲    方：咸阳市中心医院</w:t>
      </w:r>
    </w:p>
    <w:p w14:paraId="7C8D5BDF">
      <w:pPr>
        <w:keepNext w:val="0"/>
        <w:keepLines w:val="0"/>
        <w:pageBreakBefore w:val="0"/>
        <w:widowControl w:val="0"/>
        <w:tabs>
          <w:tab w:val="left" w:pos="3073"/>
          <w:tab w:val="center" w:pos="4213"/>
        </w:tabs>
        <w:kinsoku/>
        <w:overflowPunct/>
        <w:topLinePunct w:val="0"/>
        <w:autoSpaceDE/>
        <w:autoSpaceDN/>
        <w:bidi w:val="0"/>
        <w:adjustRightInd/>
        <w:snapToGrid/>
        <w:spacing w:line="360" w:lineRule="auto"/>
        <w:ind w:right="0" w:rightChars="0" w:firstLine="1400" w:firstLineChars="500"/>
        <w:jc w:val="both"/>
        <w:textAlignment w:val="auto"/>
        <w:rPr>
          <w:rFonts w:hint="eastAsia" w:ascii="宋体" w:hAnsi="宋体" w:eastAsia="宋体" w:cs="宋体"/>
          <w:sz w:val="28"/>
          <w:szCs w:val="28"/>
        </w:rPr>
      </w:pPr>
      <w:r>
        <w:rPr>
          <w:rFonts w:hint="eastAsia" w:ascii="宋体" w:hAnsi="宋体" w:eastAsia="宋体" w:cs="宋体"/>
          <w:sz w:val="28"/>
          <w:szCs w:val="28"/>
        </w:rPr>
        <w:t>乙    方：</w:t>
      </w:r>
    </w:p>
    <w:p w14:paraId="6FA4605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p w14:paraId="221C8D6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357FBF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68325C9">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6C39F1E">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5D839FA">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197DCA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咸阳市中心医院</w:t>
      </w:r>
    </w:p>
    <w:p w14:paraId="7BC99E9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14:paraId="4EF69D8B">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甲、乙双方根据需求对远程心电监测服务项目进行</w:t>
      </w:r>
      <w:r>
        <w:rPr>
          <w:rFonts w:hint="eastAsia" w:ascii="宋体" w:hAnsi="宋体" w:cs="宋体"/>
          <w:sz w:val="21"/>
          <w:szCs w:val="21"/>
          <w:lang w:val="en-US" w:eastAsia="zh-CN"/>
        </w:rPr>
        <w:t>竞争性磋商采购</w:t>
      </w:r>
      <w:r>
        <w:rPr>
          <w:rFonts w:hint="eastAsia" w:ascii="宋体" w:hAnsi="宋体" w:eastAsia="宋体" w:cs="宋体"/>
          <w:sz w:val="21"/>
          <w:szCs w:val="21"/>
        </w:rPr>
        <w:t>，根据中华人民共和国《民法典》及</w:t>
      </w:r>
      <w:r>
        <w:rPr>
          <w:rFonts w:hint="eastAsia" w:ascii="宋体" w:hAnsi="宋体" w:cs="宋体"/>
          <w:sz w:val="21"/>
          <w:szCs w:val="21"/>
          <w:lang w:val="en-US" w:eastAsia="zh-CN"/>
        </w:rPr>
        <w:t>磋商结果</w:t>
      </w:r>
      <w:r>
        <w:rPr>
          <w:rFonts w:hint="eastAsia" w:ascii="宋体" w:hAnsi="宋体" w:eastAsia="宋体" w:cs="宋体"/>
          <w:sz w:val="21"/>
          <w:szCs w:val="21"/>
        </w:rPr>
        <w:t>，就远程心电监测服务项目合作事宜，达成如下协议，双方共同遵照执行。</w:t>
      </w:r>
    </w:p>
    <w:p w14:paraId="200CD22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rPr>
        <w:t>第一条 合作内容</w:t>
      </w:r>
    </w:p>
    <w:p w14:paraId="0F8FC86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1.1 以远程心电项目为核心，甲、乙双方在心血管疾病预防控制领域展开合作，以提高心血管事件早期监测能力，降低甲方所在地区社会人群的心血管急性事件的死亡率、致残率。</w:t>
      </w:r>
    </w:p>
    <w:p w14:paraId="4F19FF4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bookmarkStart w:id="76" w:name="OLE_LINK4"/>
      <w:r>
        <w:rPr>
          <w:rFonts w:hint="eastAsia" w:ascii="宋体" w:hAnsi="宋体" w:eastAsia="宋体" w:cs="宋体"/>
          <w:sz w:val="21"/>
          <w:szCs w:val="21"/>
        </w:rPr>
        <w:t>1.2 合作期间，乙方为甲方提供远程心电产品及远程心电数据筛查、分析服务。</w:t>
      </w:r>
      <w:bookmarkEnd w:id="76"/>
    </w:p>
    <w:p w14:paraId="6EB88D69">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1.3服务内容见下表（清单）</w:t>
      </w:r>
    </w:p>
    <w:p w14:paraId="1B58F4CC">
      <w:pPr>
        <w:keepNext w:val="0"/>
        <w:keepLines w:val="0"/>
        <w:pageBreakBefore w:val="0"/>
        <w:widowControl w:val="0"/>
        <w:kinsoku/>
        <w:wordWrap w:val="0"/>
        <w:overflowPunct/>
        <w:topLinePunct w:val="0"/>
        <w:autoSpaceDE/>
        <w:autoSpaceDN/>
        <w:bidi w:val="0"/>
        <w:adjustRightInd/>
        <w:snapToGrid/>
        <w:spacing w:line="360" w:lineRule="auto"/>
        <w:ind w:left="0" w:right="0" w:rightChars="0"/>
        <w:jc w:val="right"/>
        <w:textAlignment w:val="auto"/>
        <w:rPr>
          <w:rFonts w:hint="eastAsia" w:ascii="宋体" w:hAnsi="宋体" w:eastAsia="宋体" w:cs="宋体"/>
          <w:sz w:val="21"/>
          <w:szCs w:val="21"/>
        </w:rPr>
      </w:pPr>
      <w:r>
        <w:rPr>
          <w:rFonts w:hint="eastAsia" w:ascii="宋体" w:hAnsi="宋体" w:eastAsia="宋体" w:cs="宋体"/>
          <w:sz w:val="21"/>
          <w:szCs w:val="21"/>
        </w:rPr>
        <w:t>表一：                                                      价格单位：人民币元</w:t>
      </w:r>
    </w:p>
    <w:tbl>
      <w:tblPr>
        <w:tblStyle w:val="28"/>
        <w:tblW w:w="1007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425"/>
        <w:gridCol w:w="1800"/>
        <w:gridCol w:w="899"/>
        <w:gridCol w:w="901"/>
        <w:gridCol w:w="2159"/>
      </w:tblGrid>
      <w:tr w14:paraId="4186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5" w:type="dxa"/>
            <w:vAlign w:val="center"/>
          </w:tcPr>
          <w:p w14:paraId="7E5ACB6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425" w:type="dxa"/>
            <w:vAlign w:val="center"/>
          </w:tcPr>
          <w:p w14:paraId="1C30020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800" w:type="dxa"/>
            <w:vAlign w:val="center"/>
          </w:tcPr>
          <w:p w14:paraId="064A2D3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型号</w:t>
            </w:r>
          </w:p>
        </w:tc>
        <w:tc>
          <w:tcPr>
            <w:tcW w:w="899" w:type="dxa"/>
            <w:vAlign w:val="center"/>
          </w:tcPr>
          <w:p w14:paraId="65A35C9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901" w:type="dxa"/>
            <w:vAlign w:val="center"/>
          </w:tcPr>
          <w:p w14:paraId="1592BD2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2159" w:type="dxa"/>
          </w:tcPr>
          <w:p w14:paraId="79A2F2B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月技术服务费说明</w:t>
            </w:r>
          </w:p>
        </w:tc>
      </w:tr>
      <w:tr w14:paraId="7561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5" w:type="dxa"/>
            <w:vAlign w:val="center"/>
          </w:tcPr>
          <w:p w14:paraId="52ACE41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425" w:type="dxa"/>
            <w:vAlign w:val="center"/>
          </w:tcPr>
          <w:p w14:paraId="7B772EE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1800" w:type="dxa"/>
            <w:vAlign w:val="center"/>
          </w:tcPr>
          <w:p w14:paraId="081AB3B4">
            <w:pPr>
              <w:keepNext w:val="0"/>
              <w:keepLines w:val="0"/>
              <w:pageBreakBefore w:val="0"/>
              <w:widowControl w:val="0"/>
              <w:kinsoku/>
              <w:overflowPunct/>
              <w:topLinePunct w:val="0"/>
              <w:autoSpaceDE/>
              <w:autoSpaceDN/>
              <w:bidi w:val="0"/>
              <w:adjustRightInd/>
              <w:snapToGrid/>
              <w:spacing w:line="360" w:lineRule="auto"/>
              <w:ind w:left="0" w:right="0" w:rightChars="0"/>
              <w:jc w:val="both"/>
              <w:textAlignment w:val="auto"/>
              <w:rPr>
                <w:rFonts w:hint="eastAsia" w:ascii="宋体" w:hAnsi="宋体" w:eastAsia="宋体" w:cs="宋体"/>
                <w:color w:val="FF0000"/>
                <w:sz w:val="21"/>
                <w:szCs w:val="21"/>
              </w:rPr>
            </w:pPr>
          </w:p>
        </w:tc>
        <w:tc>
          <w:tcPr>
            <w:tcW w:w="899" w:type="dxa"/>
            <w:vAlign w:val="center"/>
          </w:tcPr>
          <w:p w14:paraId="75BED4E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901" w:type="dxa"/>
            <w:vAlign w:val="center"/>
          </w:tcPr>
          <w:p w14:paraId="4FB4FBE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2159" w:type="dxa"/>
            <w:vMerge w:val="restart"/>
          </w:tcPr>
          <w:p w14:paraId="5BF6404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tc>
      </w:tr>
      <w:tr w14:paraId="38F0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5" w:type="dxa"/>
            <w:vAlign w:val="center"/>
          </w:tcPr>
          <w:p w14:paraId="3D24B84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425" w:type="dxa"/>
            <w:vAlign w:val="center"/>
          </w:tcPr>
          <w:p w14:paraId="5A0F358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1800" w:type="dxa"/>
            <w:vAlign w:val="center"/>
          </w:tcPr>
          <w:p w14:paraId="515AFD4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899" w:type="dxa"/>
            <w:vAlign w:val="center"/>
          </w:tcPr>
          <w:p w14:paraId="35A9EB0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901" w:type="dxa"/>
            <w:vAlign w:val="center"/>
          </w:tcPr>
          <w:p w14:paraId="64A2843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2159" w:type="dxa"/>
            <w:vMerge w:val="continue"/>
            <w:vAlign w:val="center"/>
          </w:tcPr>
          <w:p w14:paraId="475525B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tc>
      </w:tr>
      <w:tr w14:paraId="01AF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5" w:type="dxa"/>
            <w:vAlign w:val="center"/>
          </w:tcPr>
          <w:p w14:paraId="00C8568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425" w:type="dxa"/>
            <w:vAlign w:val="center"/>
          </w:tcPr>
          <w:p w14:paraId="54F1282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1800" w:type="dxa"/>
            <w:vAlign w:val="center"/>
          </w:tcPr>
          <w:p w14:paraId="086945F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899" w:type="dxa"/>
            <w:vAlign w:val="center"/>
          </w:tcPr>
          <w:p w14:paraId="7E0D73E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901" w:type="dxa"/>
            <w:vAlign w:val="center"/>
          </w:tcPr>
          <w:p w14:paraId="6AC87CB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color w:val="FF0000"/>
                <w:sz w:val="21"/>
                <w:szCs w:val="21"/>
              </w:rPr>
            </w:pPr>
          </w:p>
        </w:tc>
        <w:tc>
          <w:tcPr>
            <w:tcW w:w="2159" w:type="dxa"/>
            <w:vMerge w:val="continue"/>
            <w:vAlign w:val="center"/>
          </w:tcPr>
          <w:p w14:paraId="7B6F0B4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tc>
      </w:tr>
      <w:tr w14:paraId="22AC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0" w:type="dxa"/>
            <w:gridSpan w:val="5"/>
            <w:vAlign w:val="center"/>
          </w:tcPr>
          <w:p w14:paraId="798C8BE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合计</w:t>
            </w:r>
          </w:p>
        </w:tc>
        <w:tc>
          <w:tcPr>
            <w:tcW w:w="2159" w:type="dxa"/>
          </w:tcPr>
          <w:p w14:paraId="5301731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bl>
    <w:p w14:paraId="01C9D4E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rPr>
        <w:t>第二条 甲方的权利义务</w:t>
      </w:r>
    </w:p>
    <w:p w14:paraId="443A5A0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2.1本协议签署后【7】个工作日内，甲方须完成项目实施准备工作，包括但不限于项目建设运营所需的场地、设施设备、耗材（包括电极片等）、人员等,并承担相应费用。</w:t>
      </w:r>
    </w:p>
    <w:p w14:paraId="09B2C5C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sz w:val="21"/>
          <w:szCs w:val="21"/>
        </w:rPr>
        <w:t>2.2</w:t>
      </w:r>
      <w:r>
        <w:rPr>
          <w:rFonts w:hint="eastAsia" w:ascii="宋体" w:hAnsi="宋体" w:eastAsia="宋体" w:cs="宋体"/>
          <w:kern w:val="0"/>
          <w:sz w:val="21"/>
          <w:szCs w:val="21"/>
        </w:rPr>
        <w:t>收到乙方提供的远程心电产品【5】个工日内，甲方向乙方提供签章的《收货确认单》（详见附件一）。</w:t>
      </w:r>
    </w:p>
    <w:p w14:paraId="4867662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kern w:val="0"/>
          <w:sz w:val="21"/>
          <w:szCs w:val="21"/>
        </w:rPr>
        <w:t>2.3</w:t>
      </w:r>
      <w:r>
        <w:rPr>
          <w:rFonts w:hint="eastAsia" w:ascii="宋体" w:hAnsi="宋体" w:eastAsia="宋体" w:cs="宋体"/>
          <w:sz w:val="21"/>
          <w:szCs w:val="21"/>
        </w:rPr>
        <w:t>甲方使用乙方提供的远程心电产品，为其患者提供心电检查服务，但不得利用乙方提供的远程心电监护产品从事项目合作内容以外的活动。</w:t>
      </w:r>
    </w:p>
    <w:p w14:paraId="4869359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bookmarkStart w:id="77" w:name="OLE_LINK1"/>
      <w:r>
        <w:rPr>
          <w:rFonts w:hint="eastAsia" w:ascii="宋体" w:hAnsi="宋体" w:eastAsia="宋体" w:cs="宋体"/>
          <w:sz w:val="21"/>
          <w:szCs w:val="21"/>
        </w:rPr>
        <w:t>2.4合作期间，甲方审核乙方出具的远程心电数据筛查、分析报告后，可参考乙方针对心电数据筛查、分析结果，负责与其患者联系，以及相关心电报告的打印及后续的处置、诊疗工作。</w:t>
      </w:r>
      <w:bookmarkEnd w:id="77"/>
    </w:p>
    <w:p w14:paraId="1EB39DD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2.5甲方应妥善保管乙方提供的远程心电产品，并在乙方的指导下维护产品。合作期间，如产品非因质量原因灭失、损毁的，甲方应承担赔偿责任</w:t>
      </w:r>
      <w:bookmarkStart w:id="78" w:name="OLE_LINK5"/>
      <w:r>
        <w:rPr>
          <w:rFonts w:hint="eastAsia" w:ascii="宋体" w:hAnsi="宋体" w:eastAsia="宋体" w:cs="宋体"/>
          <w:sz w:val="21"/>
          <w:szCs w:val="21"/>
        </w:rPr>
        <w:t>；如乙方需盘核所提供的产品，甲方应给予积极的配合。</w:t>
      </w:r>
      <w:bookmarkEnd w:id="78"/>
    </w:p>
    <w:p w14:paraId="05C70C7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sz w:val="21"/>
          <w:szCs w:val="21"/>
        </w:rPr>
      </w:pPr>
      <w:r>
        <w:rPr>
          <w:rFonts w:hint="eastAsia" w:ascii="宋体" w:hAnsi="宋体" w:eastAsia="宋体" w:cs="宋体"/>
          <w:sz w:val="21"/>
          <w:szCs w:val="21"/>
        </w:rPr>
        <w:t>2.6甲方对乙方所提供的产品仅享有使用权，合作终止后【5】个工作日内，甲方归还乙方提供的产品。</w:t>
      </w:r>
    </w:p>
    <w:p w14:paraId="5796F62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rPr>
        <w:t>第三条 乙方的权利义务</w:t>
      </w:r>
    </w:p>
    <w:p w14:paraId="3CBF9EE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3.1乙方向甲方提供合作项目实施、运营所需的远程心电产品,硬件产品的折旧期限为【5】年。乙方对其所提供的产品永久享有所有权。</w:t>
      </w:r>
    </w:p>
    <w:p w14:paraId="227691F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3.2甲方完成项目实施准备工作后【15】个工作日内，乙方应将远程心电产品交付给甲方，并于【5】个工作日内完成产品的安装与调试。</w:t>
      </w:r>
      <w:r>
        <w:rPr>
          <w:rFonts w:hint="eastAsia" w:ascii="宋体" w:hAnsi="宋体" w:eastAsia="宋体" w:cs="宋体"/>
          <w:kern w:val="0"/>
          <w:sz w:val="21"/>
          <w:szCs w:val="21"/>
        </w:rPr>
        <w:t>产品安装、调试过程中，如第三方产品需与【表一】产品对接网络端口的，</w:t>
      </w:r>
      <w:r>
        <w:rPr>
          <w:rFonts w:hint="eastAsia" w:ascii="宋体" w:hAnsi="宋体" w:eastAsia="宋体" w:cs="宋体"/>
          <w:sz w:val="21"/>
          <w:szCs w:val="21"/>
        </w:rPr>
        <w:t>乙方同意免费向甲方提供【表一】产品的网络端口数据信息，乙方技术全力配合支持对接软件接口数据服务(产品安装、调试过程中，第三方产品如需与乙方提供的产品进行对接网络端口的，乙方同意免费提供己方产品的网络端口数据信息，乙方有偿提供端口对接服务)。</w:t>
      </w:r>
    </w:p>
    <w:p w14:paraId="6F558CF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3.3根据本协议规定，乙方为甲方提供动态远程心电数据筛查、分析服务（适用于动态心电监护仪）、常规远程心电数据筛查、分析服务（适用于数字式多道心电图机）。</w:t>
      </w:r>
    </w:p>
    <w:p w14:paraId="394373B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3.4乙方为甲方提供的服务仅限于远程心电数据筛查、分析服务，且该服务不直接面向甲方的患者。在动态远程心电数据筛查、分析服务过程中，乙方发现异常心电数据时须通过预留的科室电话【029-33283642/33253643】向甲方发出预警信息（《预警值》详见附件二）。乙方【5】次拨打其预留电话后仍无法取得有效联系的，视为该次服务终止，乙方不承担由此产生的任何不利后果。</w:t>
      </w:r>
    </w:p>
    <w:p w14:paraId="709832B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3.5乙方收到甲方患者完整的远程心电数据信息后，应于【8】个工作小时内向甲方提供动态远程心电数据筛查、分析报告（适用于动态心电监护仪）；应于【5】分钟内向甲方提供常规远程心电数据筛查、分析报告（适用于数字式多道心电图机）。</w:t>
      </w:r>
    </w:p>
    <w:p w14:paraId="69E30C3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3.6在项目运营期间，乙方负责为甲方提供远程心电产品提供维护、保养及更新服务。</w:t>
      </w:r>
    </w:p>
    <w:p w14:paraId="11BAF11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3.7提供远程心电数据筛查、分析服务时，如因乙方过错产生的医疗纠纷，并给甲方造成实际经济损失的，乙方须承担相关法律责任。</w:t>
      </w:r>
    </w:p>
    <w:p w14:paraId="6E787044">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rPr>
        <w:t>第四条 结算条款</w:t>
      </w:r>
    </w:p>
    <w:p w14:paraId="2FC34E5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sz w:val="21"/>
          <w:szCs w:val="21"/>
        </w:rPr>
        <w:t>4.1</w:t>
      </w:r>
      <w:r>
        <w:rPr>
          <w:rFonts w:hint="eastAsia" w:ascii="宋体" w:hAnsi="宋体" w:eastAsia="宋体" w:cs="宋体"/>
          <w:kern w:val="0"/>
          <w:sz w:val="21"/>
          <w:szCs w:val="21"/>
        </w:rPr>
        <w:t>双方确认，甲方按</w:t>
      </w:r>
      <w:r>
        <w:rPr>
          <w:rFonts w:hint="eastAsia" w:ascii="宋体" w:hAnsi="宋体" w:eastAsia="宋体" w:cs="宋体"/>
          <w:sz w:val="21"/>
          <w:szCs w:val="21"/>
        </w:rPr>
        <w:t>【表一】中约定的服务价格</w:t>
      </w:r>
      <w:r>
        <w:rPr>
          <w:rFonts w:hint="eastAsia" w:ascii="宋体" w:hAnsi="宋体" w:eastAsia="宋体" w:cs="宋体"/>
          <w:kern w:val="0"/>
          <w:sz w:val="21"/>
          <w:szCs w:val="21"/>
        </w:rPr>
        <w:t>向乙方支付远程心电数据筛查、分析服务费。</w:t>
      </w:r>
    </w:p>
    <w:p w14:paraId="75B57E6F">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4.2本协议生效后，双方每【1】个自然月结算一次远程心电数据</w:t>
      </w:r>
      <w:r>
        <w:rPr>
          <w:rFonts w:hint="eastAsia" w:ascii="宋体" w:hAnsi="宋体" w:eastAsia="宋体" w:cs="宋体"/>
          <w:sz w:val="21"/>
          <w:szCs w:val="21"/>
        </w:rPr>
        <w:t>筛查、分析服务费</w:t>
      </w:r>
      <w:r>
        <w:rPr>
          <w:rFonts w:hint="eastAsia" w:ascii="宋体" w:hAnsi="宋体" w:eastAsia="宋体" w:cs="宋体"/>
          <w:kern w:val="0"/>
          <w:sz w:val="21"/>
          <w:szCs w:val="21"/>
        </w:rPr>
        <w:t>。</w:t>
      </w:r>
    </w:p>
    <w:p w14:paraId="049F7528">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4.2.1乙方于结算月结束后【3】个工作日内向甲方提供</w:t>
      </w:r>
      <w:bookmarkStart w:id="79" w:name="OLE_LINK3"/>
      <w:r>
        <w:rPr>
          <w:rFonts w:hint="eastAsia" w:ascii="宋体" w:hAnsi="宋体" w:eastAsia="宋体" w:cs="宋体"/>
          <w:kern w:val="0"/>
          <w:sz w:val="21"/>
          <w:szCs w:val="21"/>
        </w:rPr>
        <w:t>《对账单》</w:t>
      </w:r>
      <w:bookmarkEnd w:id="79"/>
      <w:r>
        <w:rPr>
          <w:rFonts w:hint="eastAsia" w:ascii="宋体" w:hAnsi="宋体" w:eastAsia="宋体" w:cs="宋体"/>
          <w:kern w:val="0"/>
          <w:sz w:val="21"/>
          <w:szCs w:val="21"/>
        </w:rPr>
        <w:t>（详见【附件三】）。甲方有义务在收到《对账单》后【2】个工作日内给予书面确认。如甲方逾期未书面确认，亦未书面提出异议的，即视为甲方已经确认该《对账单》。</w:t>
      </w:r>
    </w:p>
    <w:p w14:paraId="7CECBA31">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4.2.2乙方与甲方确认《对账单》后【3】个工作日内向甲方开具等额服务发票。收到发票后，甲方应于【 15 】个工作日内向乙方支付当期服务费。甲方应按照每次对账单和先期取得的对应发票的金额，按期及时一次性支付服务费。</w:t>
      </w:r>
    </w:p>
    <w:p w14:paraId="26F00A8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4.3甲方须将所有款项汇至合同中约定的乙方银行账户，否则，乙方不承担由此产生的任何损失。</w:t>
      </w:r>
    </w:p>
    <w:p w14:paraId="48217918">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第五条 违约事件</w:t>
      </w:r>
    </w:p>
    <w:p w14:paraId="70B2A91D">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5.1本协议各方均应严格遵守本协议的规定，如果本协议任何一方未能履行其在本协议项下义务的，均构成违约事件。</w:t>
      </w:r>
    </w:p>
    <w:p w14:paraId="4233C841">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5.2违约救济</w:t>
      </w:r>
    </w:p>
    <w:p w14:paraId="648EA358">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违约方应当负责赔偿守约方实际经济损失。</w:t>
      </w:r>
    </w:p>
    <w:p w14:paraId="44B528CD">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第六条 争议解决</w:t>
      </w:r>
    </w:p>
    <w:p w14:paraId="7FF42861">
      <w:pPr>
        <w:pStyle w:val="15"/>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凡因本协议引起的或与本协议相关的任何争议，双方应首先友好协商。自争议发生之日起【30】日内协商未果的，则应将争议提交签约地（咸阳市渭城区）人民法院裁决。</w:t>
      </w:r>
    </w:p>
    <w:p w14:paraId="4F9386A0">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第七条 特别约定</w:t>
      </w:r>
    </w:p>
    <w:p w14:paraId="3B52DF3A">
      <w:pPr>
        <w:pStyle w:val="15"/>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双</w:t>
      </w:r>
      <w:r>
        <w:rPr>
          <w:rFonts w:hint="eastAsia" w:ascii="宋体" w:hAnsi="宋体" w:eastAsia="宋体" w:cs="宋体"/>
          <w:sz w:val="21"/>
          <w:szCs w:val="21"/>
        </w:rPr>
        <w:t>方理解并同意：因受网络通讯服务提供商的原因、患者个人体质的差异、“现有”远程监测技术的局限性，乙方提供的远程心电数据筛查、分析服务并非一定百分之百成功。</w:t>
      </w:r>
    </w:p>
    <w:p w14:paraId="5038F827">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第八条 其他</w:t>
      </w:r>
    </w:p>
    <w:p w14:paraId="0768CDCC">
      <w:pPr>
        <w:pStyle w:val="15"/>
        <w:keepNext w:val="0"/>
        <w:keepLines w:val="0"/>
        <w:pageBreakBefore w:val="0"/>
        <w:widowControl w:val="0"/>
        <w:kinsoku/>
        <w:overflowPunct/>
        <w:topLinePunct w:val="0"/>
        <w:autoSpaceDE/>
        <w:autoSpaceDN/>
        <w:bidi w:val="0"/>
        <w:adjustRightInd/>
        <w:snapToGrid/>
        <w:spacing w:line="360" w:lineRule="auto"/>
        <w:ind w:left="0" w:right="0" w:rightChars="0" w:hanging="420" w:hanging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8.1 本协议自甲乙双方签字盖章之日起生效，本次合作期限从自</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日起至</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日止。</w:t>
      </w:r>
    </w:p>
    <w:p w14:paraId="69EC59A8">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8.2 本协议正本一式五份，甲方三份，乙方二份，每份具有同等法律效力。</w:t>
      </w:r>
    </w:p>
    <w:p w14:paraId="2E1354CA">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8.3 本协议未尽事宜，可由协议双方协商一致后，签署书面补充协议。补充协议与本协议具有同等法律效力，但相关法律法规另有规定或协议另有约定的除外。</w:t>
      </w:r>
    </w:p>
    <w:p w14:paraId="4757B9D5">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以下空白页面</w:t>
      </w:r>
    </w:p>
    <w:p w14:paraId="278F8DB5">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33B9CC64">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2B3CCACC">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26914970">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339B56DD">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198E385B">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5E2419BC">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2E24CFEF">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557C576D">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138DA093">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43A4AC28">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3435A1D6">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10B51C1C">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4E98C921">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14535B12">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1F8D221E">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lang w:eastAsia="zh-CN"/>
        </w:rPr>
      </w:pPr>
    </w:p>
    <w:p w14:paraId="7536FA64">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626F6D74">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272162C2">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03CE8B89">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商务签署部分</w:t>
      </w:r>
    </w:p>
    <w:tbl>
      <w:tblPr>
        <w:tblStyle w:val="28"/>
        <w:tblpPr w:leftFromText="180" w:rightFromText="180" w:vertAnchor="text" w:horzAnchor="margin" w:tblpXSpec="center" w:tblpY="3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719"/>
        <w:gridCol w:w="2475"/>
        <w:gridCol w:w="3857"/>
      </w:tblGrid>
      <w:tr w14:paraId="2525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96" w:type="dxa"/>
            <w:vMerge w:val="restart"/>
            <w:vAlign w:val="center"/>
          </w:tcPr>
          <w:p w14:paraId="551BD32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甲方</w:t>
            </w:r>
          </w:p>
        </w:tc>
        <w:tc>
          <w:tcPr>
            <w:tcW w:w="2719" w:type="dxa"/>
            <w:vMerge w:val="restart"/>
            <w:vAlign w:val="center"/>
          </w:tcPr>
          <w:p w14:paraId="66867E7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p w14:paraId="1843F23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（公章）</w:t>
            </w:r>
          </w:p>
          <w:p w14:paraId="6348052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p w14:paraId="7BAF0F8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法定代表人/委托代理人</w:t>
            </w:r>
          </w:p>
          <w:p w14:paraId="0C5F46F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2737FB0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u w:val="single"/>
              </w:rPr>
            </w:pPr>
            <w:r>
              <w:rPr>
                <w:rFonts w:hint="eastAsia" w:ascii="宋体" w:hAnsi="宋体" w:eastAsia="宋体" w:cs="宋体"/>
                <w:sz w:val="21"/>
                <w:szCs w:val="21"/>
              </w:rPr>
              <w:t>（签名）：</w:t>
            </w:r>
            <w:r>
              <w:rPr>
                <w:rFonts w:hint="eastAsia" w:ascii="宋体" w:hAnsi="宋体" w:eastAsia="宋体" w:cs="宋体"/>
                <w:sz w:val="21"/>
                <w:szCs w:val="21"/>
                <w:u w:val="single"/>
              </w:rPr>
              <w:t xml:space="preserve">             </w:t>
            </w:r>
          </w:p>
          <w:p w14:paraId="4912AC65">
            <w:pPr>
              <w:keepNext w:val="0"/>
              <w:keepLines w:val="0"/>
              <w:pageBreakBefore w:val="0"/>
              <w:widowControl w:val="0"/>
              <w:kinsoku/>
              <w:overflowPunct/>
              <w:topLinePunct w:val="0"/>
              <w:autoSpaceDE/>
              <w:autoSpaceDN/>
              <w:bidi w:val="0"/>
              <w:adjustRightInd/>
              <w:snapToGrid/>
              <w:spacing w:line="360" w:lineRule="auto"/>
              <w:ind w:left="0" w:right="0" w:rightChars="0" w:firstLine="525" w:firstLineChars="250"/>
              <w:textAlignment w:val="auto"/>
              <w:rPr>
                <w:rFonts w:hint="eastAsia" w:ascii="宋体" w:hAnsi="宋体" w:eastAsia="宋体" w:cs="宋体"/>
                <w:sz w:val="21"/>
                <w:szCs w:val="21"/>
                <w:u w:val="single"/>
              </w:rPr>
            </w:pPr>
          </w:p>
          <w:p w14:paraId="1E4FA32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c>
        <w:tc>
          <w:tcPr>
            <w:tcW w:w="2475" w:type="dxa"/>
            <w:vAlign w:val="center"/>
          </w:tcPr>
          <w:p w14:paraId="6362503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单位名称</w:t>
            </w:r>
          </w:p>
        </w:tc>
        <w:tc>
          <w:tcPr>
            <w:tcW w:w="3857" w:type="dxa"/>
            <w:vAlign w:val="center"/>
          </w:tcPr>
          <w:p w14:paraId="0CB19A4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咸阳市中心医院</w:t>
            </w:r>
          </w:p>
        </w:tc>
      </w:tr>
      <w:tr w14:paraId="24B7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96" w:type="dxa"/>
            <w:vMerge w:val="continue"/>
            <w:vAlign w:val="center"/>
          </w:tcPr>
          <w:p w14:paraId="65303CA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3AB6FD2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782B23F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开票地址及电话</w:t>
            </w:r>
          </w:p>
        </w:tc>
        <w:tc>
          <w:tcPr>
            <w:tcW w:w="3857" w:type="dxa"/>
            <w:vAlign w:val="center"/>
          </w:tcPr>
          <w:p w14:paraId="5B1063A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咸阳市人民东路78号029-33288883</w:t>
            </w:r>
          </w:p>
        </w:tc>
      </w:tr>
      <w:tr w14:paraId="6953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96" w:type="dxa"/>
            <w:vMerge w:val="continue"/>
            <w:vAlign w:val="center"/>
          </w:tcPr>
          <w:p w14:paraId="0B178D2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49B362F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34140BC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纳税人识别号</w:t>
            </w:r>
          </w:p>
        </w:tc>
        <w:tc>
          <w:tcPr>
            <w:tcW w:w="3857" w:type="dxa"/>
            <w:vAlign w:val="center"/>
          </w:tcPr>
          <w:p w14:paraId="1CF7C88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126104004356319288</w:t>
            </w:r>
          </w:p>
        </w:tc>
      </w:tr>
      <w:tr w14:paraId="1819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96" w:type="dxa"/>
            <w:vMerge w:val="continue"/>
            <w:vAlign w:val="center"/>
          </w:tcPr>
          <w:p w14:paraId="3B03169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3246F55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5F92EDB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开户行</w:t>
            </w:r>
          </w:p>
        </w:tc>
        <w:tc>
          <w:tcPr>
            <w:tcW w:w="3857" w:type="dxa"/>
            <w:vAlign w:val="center"/>
          </w:tcPr>
          <w:p w14:paraId="59F6E06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工行咸阳市人民东路</w:t>
            </w:r>
          </w:p>
          <w:p w14:paraId="6DB3EE6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支行</w:t>
            </w:r>
          </w:p>
        </w:tc>
      </w:tr>
      <w:tr w14:paraId="0601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696" w:type="dxa"/>
            <w:vMerge w:val="continue"/>
            <w:vAlign w:val="center"/>
          </w:tcPr>
          <w:p w14:paraId="6A5CFA0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4699CB2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0183211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账号</w:t>
            </w:r>
          </w:p>
        </w:tc>
        <w:tc>
          <w:tcPr>
            <w:tcW w:w="3857" w:type="dxa"/>
            <w:vAlign w:val="center"/>
          </w:tcPr>
          <w:p w14:paraId="503C12D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2604020409026406316</w:t>
            </w:r>
          </w:p>
        </w:tc>
      </w:tr>
      <w:tr w14:paraId="4B95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96" w:type="dxa"/>
            <w:vMerge w:val="continue"/>
            <w:vAlign w:val="center"/>
          </w:tcPr>
          <w:p w14:paraId="298DB00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2BDD7C3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507FDCB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地址</w:t>
            </w:r>
          </w:p>
        </w:tc>
        <w:tc>
          <w:tcPr>
            <w:tcW w:w="3857" w:type="dxa"/>
            <w:vAlign w:val="center"/>
          </w:tcPr>
          <w:p w14:paraId="17D6CCC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咸阳市人民东路78号</w:t>
            </w:r>
          </w:p>
        </w:tc>
      </w:tr>
      <w:tr w14:paraId="32B0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vAlign w:val="center"/>
          </w:tcPr>
          <w:p w14:paraId="229E0B7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154DF90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0BDC1C2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电话</w:t>
            </w:r>
          </w:p>
        </w:tc>
        <w:tc>
          <w:tcPr>
            <w:tcW w:w="3857" w:type="dxa"/>
            <w:vAlign w:val="center"/>
          </w:tcPr>
          <w:p w14:paraId="6808968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5985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vAlign w:val="center"/>
          </w:tcPr>
          <w:p w14:paraId="7208CDF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31F0CA7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29AE059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传真</w:t>
            </w:r>
          </w:p>
        </w:tc>
        <w:tc>
          <w:tcPr>
            <w:tcW w:w="3857" w:type="dxa"/>
            <w:vAlign w:val="center"/>
          </w:tcPr>
          <w:p w14:paraId="304731B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51F3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vAlign w:val="center"/>
          </w:tcPr>
          <w:p w14:paraId="0027DC6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7514E36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55E0204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邮编</w:t>
            </w:r>
          </w:p>
        </w:tc>
        <w:tc>
          <w:tcPr>
            <w:tcW w:w="3857" w:type="dxa"/>
            <w:vAlign w:val="center"/>
          </w:tcPr>
          <w:p w14:paraId="36F1ECF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63DA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vAlign w:val="center"/>
          </w:tcPr>
          <w:p w14:paraId="53ADE89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6B4CC9B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5F02168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联系人姓名</w:t>
            </w:r>
          </w:p>
        </w:tc>
        <w:tc>
          <w:tcPr>
            <w:tcW w:w="3857" w:type="dxa"/>
            <w:vAlign w:val="center"/>
          </w:tcPr>
          <w:p w14:paraId="3ABA39D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46B2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vAlign w:val="center"/>
          </w:tcPr>
          <w:p w14:paraId="21538E0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6AE456A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3671BA9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联系人手机</w:t>
            </w:r>
          </w:p>
        </w:tc>
        <w:tc>
          <w:tcPr>
            <w:tcW w:w="3857" w:type="dxa"/>
            <w:vAlign w:val="center"/>
          </w:tcPr>
          <w:p w14:paraId="2CE7563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4C45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vAlign w:val="center"/>
          </w:tcPr>
          <w:p w14:paraId="1CADE81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00ADF51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3CD7A3A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联系人Email</w:t>
            </w:r>
          </w:p>
        </w:tc>
        <w:tc>
          <w:tcPr>
            <w:tcW w:w="3857" w:type="dxa"/>
            <w:vAlign w:val="center"/>
          </w:tcPr>
          <w:p w14:paraId="01510B4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6733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restart"/>
            <w:vAlign w:val="center"/>
          </w:tcPr>
          <w:p w14:paraId="3742C03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乙方</w:t>
            </w:r>
          </w:p>
        </w:tc>
        <w:tc>
          <w:tcPr>
            <w:tcW w:w="2719" w:type="dxa"/>
            <w:vMerge w:val="restart"/>
            <w:vAlign w:val="center"/>
          </w:tcPr>
          <w:p w14:paraId="240BE95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p w14:paraId="5030D44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p w14:paraId="7E9B31C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（公章）</w:t>
            </w:r>
          </w:p>
          <w:p w14:paraId="70BE0AD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p w14:paraId="43EF119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法定代表人/委托代理人</w:t>
            </w:r>
          </w:p>
          <w:p w14:paraId="0C0C31A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B325AC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（签名）：</w:t>
            </w:r>
          </w:p>
          <w:p w14:paraId="61821E3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C91C5B7">
            <w:pPr>
              <w:keepNext w:val="0"/>
              <w:keepLines w:val="0"/>
              <w:pageBreakBefore w:val="0"/>
              <w:widowControl w:val="0"/>
              <w:kinsoku/>
              <w:overflowPunct/>
              <w:topLinePunct w:val="0"/>
              <w:autoSpaceDE/>
              <w:autoSpaceDN/>
              <w:bidi w:val="0"/>
              <w:adjustRightInd/>
              <w:snapToGrid/>
              <w:spacing w:line="360" w:lineRule="auto"/>
              <w:ind w:left="0" w:right="0" w:righ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c>
        <w:tc>
          <w:tcPr>
            <w:tcW w:w="2475" w:type="dxa"/>
            <w:vAlign w:val="center"/>
          </w:tcPr>
          <w:p w14:paraId="395F0F9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单位名称</w:t>
            </w:r>
          </w:p>
        </w:tc>
        <w:tc>
          <w:tcPr>
            <w:tcW w:w="3857" w:type="dxa"/>
            <w:vAlign w:val="center"/>
          </w:tcPr>
          <w:p w14:paraId="2B5F0DF3">
            <w:pPr>
              <w:keepNext w:val="0"/>
              <w:keepLines w:val="0"/>
              <w:pageBreakBefore w:val="0"/>
              <w:widowControl w:val="0"/>
              <w:tabs>
                <w:tab w:val="left" w:pos="217"/>
              </w:tabs>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0D03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96" w:type="dxa"/>
            <w:vMerge w:val="continue"/>
            <w:vAlign w:val="center"/>
          </w:tcPr>
          <w:p w14:paraId="18DD002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7DE79109">
            <w:pPr>
              <w:keepNext w:val="0"/>
              <w:keepLines w:val="0"/>
              <w:pageBreakBefore w:val="0"/>
              <w:widowControl w:val="0"/>
              <w:kinsoku/>
              <w:overflowPunct/>
              <w:topLinePunct w:val="0"/>
              <w:autoSpaceDE/>
              <w:autoSpaceDN/>
              <w:bidi w:val="0"/>
              <w:adjustRightInd/>
              <w:snapToGrid/>
              <w:spacing w:line="360" w:lineRule="auto"/>
              <w:ind w:left="0" w:right="0" w:rightChars="0" w:firstLine="525" w:firstLineChars="250"/>
              <w:textAlignment w:val="auto"/>
              <w:rPr>
                <w:rFonts w:hint="eastAsia" w:ascii="宋体" w:hAnsi="宋体" w:eastAsia="宋体" w:cs="宋体"/>
                <w:sz w:val="21"/>
                <w:szCs w:val="21"/>
              </w:rPr>
            </w:pPr>
          </w:p>
        </w:tc>
        <w:tc>
          <w:tcPr>
            <w:tcW w:w="2475" w:type="dxa"/>
            <w:vAlign w:val="center"/>
          </w:tcPr>
          <w:p w14:paraId="0FF5FB2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开票地址及电话</w:t>
            </w:r>
          </w:p>
        </w:tc>
        <w:tc>
          <w:tcPr>
            <w:tcW w:w="3857" w:type="dxa"/>
            <w:vAlign w:val="center"/>
          </w:tcPr>
          <w:p w14:paraId="6AFA8B8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0AF8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tcPr>
          <w:p w14:paraId="30BB152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79CEC2F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250D8BC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纳税人识别号</w:t>
            </w:r>
          </w:p>
        </w:tc>
        <w:tc>
          <w:tcPr>
            <w:tcW w:w="3857" w:type="dxa"/>
            <w:vAlign w:val="center"/>
          </w:tcPr>
          <w:p w14:paraId="7C3DBBD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2813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tcPr>
          <w:p w14:paraId="6272C24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78B363F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6281EE0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开户行</w:t>
            </w:r>
          </w:p>
        </w:tc>
        <w:tc>
          <w:tcPr>
            <w:tcW w:w="3857" w:type="dxa"/>
            <w:vAlign w:val="center"/>
          </w:tcPr>
          <w:p w14:paraId="6CF58C8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1B8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tcPr>
          <w:p w14:paraId="7AA6439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609BFDB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70BA4B9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账号</w:t>
            </w:r>
          </w:p>
        </w:tc>
        <w:tc>
          <w:tcPr>
            <w:tcW w:w="3857" w:type="dxa"/>
            <w:vAlign w:val="center"/>
          </w:tcPr>
          <w:p w14:paraId="6F4FD12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08CA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96" w:type="dxa"/>
            <w:vMerge w:val="continue"/>
          </w:tcPr>
          <w:p w14:paraId="74C00E6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678BA7C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781A4AF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地址</w:t>
            </w:r>
          </w:p>
        </w:tc>
        <w:tc>
          <w:tcPr>
            <w:tcW w:w="3857" w:type="dxa"/>
            <w:vAlign w:val="center"/>
          </w:tcPr>
          <w:p w14:paraId="2304C064">
            <w:pPr>
              <w:keepNext w:val="0"/>
              <w:keepLines w:val="0"/>
              <w:pageBreakBefore w:val="0"/>
              <w:widowControl w:val="0"/>
              <w:tabs>
                <w:tab w:val="left" w:pos="217"/>
                <w:tab w:val="left" w:pos="311"/>
              </w:tabs>
              <w:kinsoku/>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sz w:val="21"/>
                <w:szCs w:val="21"/>
              </w:rPr>
            </w:pPr>
          </w:p>
        </w:tc>
      </w:tr>
      <w:tr w14:paraId="1459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tcPr>
          <w:p w14:paraId="6948DA8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25FC4CE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2744ACB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电话</w:t>
            </w:r>
          </w:p>
        </w:tc>
        <w:tc>
          <w:tcPr>
            <w:tcW w:w="3857" w:type="dxa"/>
            <w:vAlign w:val="center"/>
          </w:tcPr>
          <w:p w14:paraId="15C7728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67BA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tcPr>
          <w:p w14:paraId="6C608E7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34DA7E7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4A4D118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传真</w:t>
            </w:r>
          </w:p>
        </w:tc>
        <w:tc>
          <w:tcPr>
            <w:tcW w:w="3857" w:type="dxa"/>
            <w:vAlign w:val="center"/>
          </w:tcPr>
          <w:p w14:paraId="16A81D2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549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696" w:type="dxa"/>
            <w:vMerge w:val="continue"/>
          </w:tcPr>
          <w:p w14:paraId="50F1E67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59E0250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2E919BD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邮编</w:t>
            </w:r>
          </w:p>
        </w:tc>
        <w:tc>
          <w:tcPr>
            <w:tcW w:w="3857" w:type="dxa"/>
            <w:vAlign w:val="center"/>
          </w:tcPr>
          <w:p w14:paraId="7176394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597E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96" w:type="dxa"/>
            <w:vMerge w:val="continue"/>
          </w:tcPr>
          <w:p w14:paraId="1F0E3F2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5C1DC65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72F7BE3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联系人姓名</w:t>
            </w:r>
          </w:p>
        </w:tc>
        <w:tc>
          <w:tcPr>
            <w:tcW w:w="3857" w:type="dxa"/>
            <w:vAlign w:val="center"/>
          </w:tcPr>
          <w:p w14:paraId="2B92DD3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28DD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96" w:type="dxa"/>
            <w:vMerge w:val="continue"/>
          </w:tcPr>
          <w:p w14:paraId="7A38786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41AD7DC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313D0F4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联系人手机</w:t>
            </w:r>
          </w:p>
        </w:tc>
        <w:tc>
          <w:tcPr>
            <w:tcW w:w="3857" w:type="dxa"/>
            <w:vAlign w:val="center"/>
          </w:tcPr>
          <w:p w14:paraId="3143195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3516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96" w:type="dxa"/>
            <w:vMerge w:val="continue"/>
          </w:tcPr>
          <w:p w14:paraId="11DF176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719" w:type="dxa"/>
            <w:vMerge w:val="continue"/>
            <w:vAlign w:val="center"/>
          </w:tcPr>
          <w:p w14:paraId="0C09E2D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2475" w:type="dxa"/>
            <w:vAlign w:val="center"/>
          </w:tcPr>
          <w:p w14:paraId="3594CF2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联系人Email</w:t>
            </w:r>
          </w:p>
        </w:tc>
        <w:tc>
          <w:tcPr>
            <w:tcW w:w="3857" w:type="dxa"/>
            <w:vAlign w:val="center"/>
          </w:tcPr>
          <w:p w14:paraId="654010F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bl>
    <w:p w14:paraId="44D31FA1">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7246FE54">
      <w:pPr>
        <w:pStyle w:val="15"/>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kern w:val="0"/>
          <w:sz w:val="21"/>
          <w:szCs w:val="21"/>
        </w:rPr>
      </w:pPr>
    </w:p>
    <w:p w14:paraId="798EE8D9">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86375F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附件一</w:t>
      </w:r>
    </w:p>
    <w:p w14:paraId="7313E49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设备送货清单</w:t>
      </w:r>
    </w:p>
    <w:tbl>
      <w:tblPr>
        <w:tblStyle w:val="2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675"/>
        <w:gridCol w:w="1019"/>
        <w:gridCol w:w="1019"/>
        <w:gridCol w:w="697"/>
        <w:gridCol w:w="693"/>
        <w:gridCol w:w="1988"/>
        <w:gridCol w:w="1127"/>
      </w:tblGrid>
      <w:tr w14:paraId="06A4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ECA144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00" w:type="dxa"/>
            <w:vAlign w:val="center"/>
          </w:tcPr>
          <w:p w14:paraId="09F04EF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078" w:type="dxa"/>
            <w:vAlign w:val="center"/>
          </w:tcPr>
          <w:p w14:paraId="512D698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078" w:type="dxa"/>
            <w:vAlign w:val="center"/>
          </w:tcPr>
          <w:p w14:paraId="40B4218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型号</w:t>
            </w:r>
          </w:p>
        </w:tc>
        <w:tc>
          <w:tcPr>
            <w:tcW w:w="724" w:type="dxa"/>
            <w:vAlign w:val="center"/>
          </w:tcPr>
          <w:p w14:paraId="2A5FF82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20" w:type="dxa"/>
            <w:vAlign w:val="center"/>
          </w:tcPr>
          <w:p w14:paraId="59252A4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2145" w:type="dxa"/>
            <w:vAlign w:val="center"/>
          </w:tcPr>
          <w:p w14:paraId="235C765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主机设备编号</w:t>
            </w:r>
          </w:p>
        </w:tc>
        <w:tc>
          <w:tcPr>
            <w:tcW w:w="1197" w:type="dxa"/>
            <w:vAlign w:val="center"/>
          </w:tcPr>
          <w:p w14:paraId="7224952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79AB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85A58F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w:t>
            </w:r>
          </w:p>
        </w:tc>
        <w:tc>
          <w:tcPr>
            <w:tcW w:w="1800" w:type="dxa"/>
            <w:vAlign w:val="center"/>
          </w:tcPr>
          <w:p w14:paraId="13F4934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1E8B3FA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2E441AF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4" w:type="dxa"/>
            <w:vAlign w:val="center"/>
          </w:tcPr>
          <w:p w14:paraId="3C021CD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0" w:type="dxa"/>
            <w:vAlign w:val="center"/>
          </w:tcPr>
          <w:p w14:paraId="08B6A15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2145" w:type="dxa"/>
            <w:vAlign w:val="center"/>
          </w:tcPr>
          <w:p w14:paraId="2FEAAC3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197" w:type="dxa"/>
            <w:vAlign w:val="center"/>
          </w:tcPr>
          <w:p w14:paraId="199C5DF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r>
      <w:tr w14:paraId="6D63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456439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1800" w:type="dxa"/>
            <w:vAlign w:val="center"/>
          </w:tcPr>
          <w:p w14:paraId="230F47B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55AFCC8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2BB14D7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4" w:type="dxa"/>
            <w:vAlign w:val="center"/>
          </w:tcPr>
          <w:p w14:paraId="0B3DC55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0" w:type="dxa"/>
            <w:vAlign w:val="center"/>
          </w:tcPr>
          <w:p w14:paraId="60D189C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2145" w:type="dxa"/>
            <w:vAlign w:val="center"/>
          </w:tcPr>
          <w:p w14:paraId="1365A75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197" w:type="dxa"/>
            <w:vAlign w:val="center"/>
          </w:tcPr>
          <w:p w14:paraId="69C110A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r>
      <w:tr w14:paraId="7DA6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63B69E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w:t>
            </w:r>
          </w:p>
        </w:tc>
        <w:tc>
          <w:tcPr>
            <w:tcW w:w="1800" w:type="dxa"/>
            <w:vAlign w:val="center"/>
          </w:tcPr>
          <w:p w14:paraId="49A8020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385AF5F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4F735DB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4" w:type="dxa"/>
            <w:vAlign w:val="center"/>
          </w:tcPr>
          <w:p w14:paraId="6577DB9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0" w:type="dxa"/>
            <w:vAlign w:val="center"/>
          </w:tcPr>
          <w:p w14:paraId="130A088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2145" w:type="dxa"/>
            <w:vAlign w:val="center"/>
          </w:tcPr>
          <w:p w14:paraId="222BF88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197" w:type="dxa"/>
            <w:vAlign w:val="center"/>
          </w:tcPr>
          <w:p w14:paraId="3896A4C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r>
      <w:tr w14:paraId="10E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200876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800" w:type="dxa"/>
            <w:vAlign w:val="center"/>
          </w:tcPr>
          <w:p w14:paraId="2CB4AAB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527621E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078" w:type="dxa"/>
            <w:vAlign w:val="center"/>
          </w:tcPr>
          <w:p w14:paraId="1A602ED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4" w:type="dxa"/>
            <w:vAlign w:val="center"/>
          </w:tcPr>
          <w:p w14:paraId="6DF6F85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720" w:type="dxa"/>
            <w:vAlign w:val="center"/>
          </w:tcPr>
          <w:p w14:paraId="1D30EBA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2145" w:type="dxa"/>
            <w:vAlign w:val="center"/>
          </w:tcPr>
          <w:p w14:paraId="170C114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c>
          <w:tcPr>
            <w:tcW w:w="1197" w:type="dxa"/>
            <w:vAlign w:val="center"/>
          </w:tcPr>
          <w:p w14:paraId="1A8A60B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tc>
      </w:tr>
    </w:tbl>
    <w:p w14:paraId="26C17D8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公司代表：                  收货科室：                采购中心：</w:t>
      </w:r>
    </w:p>
    <w:p w14:paraId="0D9CD5CA">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日    期：                  日    期：                日    期：</w:t>
      </w:r>
    </w:p>
    <w:p w14:paraId="2EC6182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360B53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A5AABC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D210184">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1A95E6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350EA9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13638A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282C1C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B2DD80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87CAA9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D75C4C4">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2F17D8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7CCF08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9FEE18A">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1BCC97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4E70B7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BE7D06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EBFAD04">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90E07F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2305CCE">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B002BFA">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243F777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AF8B57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DB7D8F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2905F35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附件二</w:t>
      </w:r>
    </w:p>
    <w:p w14:paraId="70EB184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预警值</w:t>
      </w:r>
    </w:p>
    <w:p w14:paraId="0B6EF02D">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p>
    <w:p w14:paraId="07B62BD1">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[001] 阵发室速</w:t>
      </w:r>
    </w:p>
    <w:p w14:paraId="0C3BE84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[002] 心室扑动、心室颤动</w:t>
      </w:r>
    </w:p>
    <w:p w14:paraId="1A7B306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[003] 在心电图原有基础上ST段抬高＞0.1mv或呈水平型/下斜型压低＞0.1mv。</w:t>
      </w:r>
    </w:p>
    <w:p w14:paraId="78C3A00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[004] 基本心律在QRS波群正常或≥0.12秒的原基础上，出现逐渐增宽</w:t>
      </w:r>
    </w:p>
    <w:p w14:paraId="2CDC25B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[005] 长RR间期≥3秒以上</w:t>
      </w:r>
    </w:p>
    <w:p w14:paraId="6EBC2D9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[006] 心室率＜35次/分</w:t>
      </w:r>
    </w:p>
    <w:p w14:paraId="4FC8C66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[007] 心室率＞150次/分（主要是防止2:1房扑遗漏）</w:t>
      </w:r>
    </w:p>
    <w:p w14:paraId="4B781AEE">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[008] 短阵室性心动过速(连续心搏数＞4个)</w:t>
      </w:r>
    </w:p>
    <w:p w14:paraId="341ABCE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[009] 心房颤动的心室率持续＞110次/分</w:t>
      </w:r>
    </w:p>
    <w:p w14:paraId="20465F5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[010] 预激综合征合并心房颤动（快速房颤）</w:t>
      </w:r>
    </w:p>
    <w:p w14:paraId="6A99E04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[011] QT间期明显延长＞0.47秒并伴有频发室性早搏</w:t>
      </w:r>
    </w:p>
    <w:p w14:paraId="38E4EC64">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[012] QT间期短于0.33秒并伴有频发室性早搏</w:t>
      </w:r>
    </w:p>
    <w:p w14:paraId="4DFCE4F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[013] 原发性心电活动异常（离子通道异常）伴有频发室性早搏</w:t>
      </w:r>
    </w:p>
    <w:p w14:paraId="4CCA44CF">
      <w:pPr>
        <w:keepNext w:val="0"/>
        <w:keepLines w:val="0"/>
        <w:pageBreakBefore w:val="0"/>
        <w:widowControl w:val="0"/>
        <w:kinsoku/>
        <w:overflowPunct/>
        <w:topLinePunct w:val="0"/>
        <w:autoSpaceDE/>
        <w:autoSpaceDN/>
        <w:bidi w:val="0"/>
        <w:adjustRightInd/>
        <w:snapToGrid/>
        <w:spacing w:line="360" w:lineRule="auto"/>
        <w:ind w:left="0" w:right="0" w:rightChars="0"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如：缺血性J波、Brugada波、Epsilon波、Lambda波</w:t>
      </w:r>
    </w:p>
    <w:p w14:paraId="3D5D8FB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[014] 频发室早时出现RONT现象</w:t>
      </w:r>
    </w:p>
    <w:p w14:paraId="0F4FD6A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D360F0B">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9178039">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28CCD42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8A24A7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E70D3C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D28581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B62FB7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63646A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18B839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8A74C9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AE9046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B079C0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FB2767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6B12C29">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5B79EC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附件三</w:t>
      </w:r>
    </w:p>
    <w:p w14:paraId="033D65D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对账单</w:t>
      </w:r>
    </w:p>
    <w:p w14:paraId="0806EA1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服务期间：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             单位：人民币元</w:t>
      </w:r>
    </w:p>
    <w:tbl>
      <w:tblPr>
        <w:tblStyle w:val="2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1734"/>
        <w:gridCol w:w="703"/>
        <w:gridCol w:w="703"/>
        <w:gridCol w:w="1213"/>
        <w:gridCol w:w="1213"/>
        <w:gridCol w:w="1279"/>
      </w:tblGrid>
      <w:tr w14:paraId="709A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vAlign w:val="center"/>
          </w:tcPr>
          <w:p w14:paraId="681E954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1800" w:type="dxa"/>
            <w:vAlign w:val="center"/>
          </w:tcPr>
          <w:p w14:paraId="2FBA9D86">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技术服务费</w:t>
            </w:r>
          </w:p>
          <w:p w14:paraId="15B3801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（/元/台/月）</w:t>
            </w:r>
          </w:p>
        </w:tc>
        <w:tc>
          <w:tcPr>
            <w:tcW w:w="720" w:type="dxa"/>
            <w:vAlign w:val="center"/>
          </w:tcPr>
          <w:p w14:paraId="489D0BC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720" w:type="dxa"/>
            <w:vAlign w:val="center"/>
          </w:tcPr>
          <w:p w14:paraId="3535AC01">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260" w:type="dxa"/>
            <w:vAlign w:val="center"/>
          </w:tcPr>
          <w:p w14:paraId="25A818CB">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金额小计</w:t>
            </w:r>
          </w:p>
        </w:tc>
        <w:tc>
          <w:tcPr>
            <w:tcW w:w="1260" w:type="dxa"/>
            <w:vAlign w:val="center"/>
          </w:tcPr>
          <w:p w14:paraId="123B069F">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使用科室</w:t>
            </w:r>
          </w:p>
        </w:tc>
        <w:tc>
          <w:tcPr>
            <w:tcW w:w="1330" w:type="dxa"/>
            <w:vAlign w:val="center"/>
          </w:tcPr>
          <w:p w14:paraId="3EF5C42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科室确</w:t>
            </w:r>
          </w:p>
          <w:p w14:paraId="51446334">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认签字</w:t>
            </w:r>
          </w:p>
        </w:tc>
      </w:tr>
      <w:tr w14:paraId="7E42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vAlign w:val="center"/>
          </w:tcPr>
          <w:p w14:paraId="176797F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800" w:type="dxa"/>
            <w:vAlign w:val="center"/>
          </w:tcPr>
          <w:p w14:paraId="48823093">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720" w:type="dxa"/>
            <w:vAlign w:val="center"/>
          </w:tcPr>
          <w:p w14:paraId="40B7F4FA">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720" w:type="dxa"/>
            <w:vAlign w:val="center"/>
          </w:tcPr>
          <w:p w14:paraId="28EDE65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260" w:type="dxa"/>
            <w:vAlign w:val="center"/>
          </w:tcPr>
          <w:p w14:paraId="140D67BE">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260" w:type="dxa"/>
            <w:vAlign w:val="center"/>
          </w:tcPr>
          <w:p w14:paraId="7BDF74C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330" w:type="dxa"/>
            <w:vAlign w:val="center"/>
          </w:tcPr>
          <w:p w14:paraId="1E4278F2">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4E6A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vAlign w:val="center"/>
          </w:tcPr>
          <w:p w14:paraId="6AA38758">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800" w:type="dxa"/>
            <w:vAlign w:val="center"/>
          </w:tcPr>
          <w:p w14:paraId="708E444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720" w:type="dxa"/>
            <w:vAlign w:val="center"/>
          </w:tcPr>
          <w:p w14:paraId="26FC21F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720" w:type="dxa"/>
            <w:vAlign w:val="center"/>
          </w:tcPr>
          <w:p w14:paraId="35897F1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260" w:type="dxa"/>
            <w:vAlign w:val="center"/>
          </w:tcPr>
          <w:p w14:paraId="4780C779">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260" w:type="dxa"/>
            <w:vAlign w:val="center"/>
          </w:tcPr>
          <w:p w14:paraId="3DA5AC7C">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c>
          <w:tcPr>
            <w:tcW w:w="1330" w:type="dxa"/>
            <w:vAlign w:val="center"/>
          </w:tcPr>
          <w:p w14:paraId="22A776C7">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p>
        </w:tc>
      </w:tr>
      <w:tr w14:paraId="3EE0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vAlign w:val="center"/>
          </w:tcPr>
          <w:p w14:paraId="751D25A0">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合计金额</w:t>
            </w:r>
          </w:p>
        </w:tc>
        <w:tc>
          <w:tcPr>
            <w:tcW w:w="7090" w:type="dxa"/>
            <w:gridSpan w:val="6"/>
            <w:vAlign w:val="center"/>
          </w:tcPr>
          <w:p w14:paraId="4B2BDBF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u w:val="single"/>
              </w:rPr>
            </w:pP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rPr>
              <w:t>（小写：￥        ）</w:t>
            </w:r>
          </w:p>
        </w:tc>
      </w:tr>
    </w:tbl>
    <w:p w14:paraId="50DB1BF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公司代表：                       采购中心：</w:t>
      </w:r>
    </w:p>
    <w:p w14:paraId="1D2AB58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日    期：                       日    期：</w:t>
      </w:r>
    </w:p>
    <w:p w14:paraId="2FF2BAA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F6041F8">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60A9982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3E85037">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ACA8064">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87D909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EA138E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34131FA">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253281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27A0B9F5">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C131403">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B415D6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120A4B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011590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4AF6B8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7EA1CE8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E612122">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5FB128C">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46A6F6F">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57925DD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15B2F9E6">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036E5AF0">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47FFB19D">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rPr>
        <w:t>附件四：</w:t>
      </w:r>
    </w:p>
    <w:p w14:paraId="4993C7F5">
      <w:pPr>
        <w:keepNext w:val="0"/>
        <w:keepLines w:val="0"/>
        <w:pageBreakBefore w:val="0"/>
        <w:widowControl w:val="0"/>
        <w:kinsoku/>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sz w:val="21"/>
          <w:szCs w:val="21"/>
        </w:rPr>
      </w:pPr>
      <w:r>
        <w:rPr>
          <w:rFonts w:hint="eastAsia" w:ascii="宋体" w:hAnsi="宋体" w:eastAsia="宋体" w:cs="宋体"/>
          <w:b/>
          <w:sz w:val="21"/>
          <w:szCs w:val="21"/>
        </w:rPr>
        <w:t>廉洁承诺书</w:t>
      </w:r>
    </w:p>
    <w:p w14:paraId="650027D8">
      <w:pPr>
        <w:keepNext w:val="0"/>
        <w:keepLines w:val="0"/>
        <w:pageBreakBefore w:val="0"/>
        <w:widowControl w:val="0"/>
        <w:kinsoku/>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咸阳市中心医院：</w:t>
      </w:r>
    </w:p>
    <w:p w14:paraId="287D79B9">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我公司向贵院郑重承诺依法经营，诚信经营，保证所供产品质量，保障流通秩序，杜绝医药购销中的商业贿赂。具体承诺内容如下：</w:t>
      </w:r>
    </w:p>
    <w:p w14:paraId="492D2B5B">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1、保证做到经销的合法性。凡在贵院经销的医用产品保证做到符合国家相关法律法规的规定，保证质量，保证供应，保证优质服务。</w:t>
      </w:r>
    </w:p>
    <w:p w14:paraId="31855C34">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2、保证自觉遵守医院相关规定。</w:t>
      </w:r>
    </w:p>
    <w:p w14:paraId="53858FD4">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3、保证不私自邀请医务人员参加以产品宣传、学术讲座、会议、外出学习和参观等名义的各种商业活动；如有宣传活动、学术讲座、会议、外出学习和参观等活动均报医院医务处备案审批。</w:t>
      </w:r>
    </w:p>
    <w:p w14:paraId="40C47788">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4、公司保证在医院规定的时间、地点报送产品资料。不在非接待时间、地点递交产品资料、介绍产品情况。</w:t>
      </w:r>
    </w:p>
    <w:p w14:paraId="5FD72425">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5、公司保证</w:t>
      </w:r>
      <w:r>
        <w:rPr>
          <w:rFonts w:hint="eastAsia" w:ascii="宋体" w:hAnsi="宋体" w:eastAsia="宋体" w:cs="宋体"/>
          <w:color w:val="000000"/>
          <w:sz w:val="21"/>
          <w:szCs w:val="21"/>
        </w:rPr>
        <w:t>拒绝医院工作人员索要回扣、劳务费、差旅费、赞助费、新药推荐费等不正当要求，并立即向医院进行举报。</w:t>
      </w:r>
    </w:p>
    <w:p w14:paraId="60A23B65">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6、保证经销人员不以任何借口向医院工作人员赠送现金、有价证券和其他物品等或给予其他不正当利益。不向医院有关科室和个人提供任何形式的回扣或“统方费”、宣传费、开单提成等。</w:t>
      </w:r>
    </w:p>
    <w:p w14:paraId="2127640C">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7、保证不干预、影响医院的购销工作及诊疗秩序。</w:t>
      </w:r>
    </w:p>
    <w:p w14:paraId="6E944965">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8、保证积极配合医院对购销中有无商业贿赂的审查。</w:t>
      </w:r>
    </w:p>
    <w:p w14:paraId="063467DE">
      <w:pPr>
        <w:keepNext w:val="0"/>
        <w:keepLines w:val="0"/>
        <w:pageBreakBefore w:val="0"/>
        <w:widowControl w:val="0"/>
        <w:kinsoku/>
        <w:overflowPunct/>
        <w:topLinePunct w:val="0"/>
        <w:autoSpaceDE/>
        <w:autoSpaceDN/>
        <w:bidi w:val="0"/>
        <w:adjustRightInd/>
        <w:snapToGrid/>
        <w:spacing w:line="360" w:lineRule="auto"/>
        <w:ind w:left="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9、若医院发现我公司有以上行为，可终止购销协议并拒绝支付货款。</w:t>
      </w:r>
    </w:p>
    <w:p w14:paraId="5FE872FE">
      <w:pPr>
        <w:keepNext w:val="0"/>
        <w:keepLines w:val="0"/>
        <w:pageBreakBefore w:val="0"/>
        <w:widowControl w:val="0"/>
        <w:kinsoku/>
        <w:overflowPunct/>
        <w:topLinePunct w:val="0"/>
        <w:autoSpaceDE/>
        <w:autoSpaceDN/>
        <w:bidi w:val="0"/>
        <w:adjustRightInd/>
        <w:snapToGrid/>
        <w:spacing w:line="360" w:lineRule="auto"/>
        <w:ind w:left="0" w:right="0" w:rightChars="0"/>
        <w:textAlignment w:val="auto"/>
        <w:rPr>
          <w:rFonts w:hint="eastAsia" w:ascii="宋体" w:hAnsi="宋体" w:eastAsia="宋体" w:cs="宋体"/>
          <w:sz w:val="21"/>
          <w:szCs w:val="21"/>
        </w:rPr>
      </w:pPr>
    </w:p>
    <w:p w14:paraId="3A7D4673">
      <w:pPr>
        <w:keepNext w:val="0"/>
        <w:keepLines w:val="0"/>
        <w:pageBreakBefore w:val="0"/>
        <w:widowControl w:val="0"/>
        <w:kinsoku/>
        <w:overflowPunct/>
        <w:topLinePunct w:val="0"/>
        <w:autoSpaceDE/>
        <w:autoSpaceDN/>
        <w:bidi w:val="0"/>
        <w:adjustRightInd/>
        <w:snapToGrid/>
        <w:spacing w:line="360" w:lineRule="auto"/>
        <w:ind w:left="0" w:right="0" w:rightChars="0" w:firstLine="2730" w:firstLineChars="1300"/>
        <w:jc w:val="both"/>
        <w:textAlignment w:val="auto"/>
        <w:rPr>
          <w:rFonts w:hint="eastAsia" w:ascii="宋体" w:hAnsi="宋体" w:eastAsia="宋体" w:cs="宋体"/>
          <w:sz w:val="21"/>
          <w:szCs w:val="21"/>
        </w:rPr>
      </w:pPr>
      <w:r>
        <w:rPr>
          <w:rFonts w:hint="eastAsia" w:ascii="宋体" w:hAnsi="宋体" w:eastAsia="宋体" w:cs="宋体"/>
          <w:sz w:val="21"/>
          <w:szCs w:val="21"/>
        </w:rPr>
        <w:t>承诺单位（盖章）：</w:t>
      </w:r>
    </w:p>
    <w:p w14:paraId="049089D3">
      <w:pPr>
        <w:keepNext w:val="0"/>
        <w:keepLines w:val="0"/>
        <w:pageBreakBefore w:val="0"/>
        <w:widowControl w:val="0"/>
        <w:kinsoku/>
        <w:overflowPunct/>
        <w:topLinePunct w:val="0"/>
        <w:autoSpaceDE/>
        <w:autoSpaceDN/>
        <w:bidi w:val="0"/>
        <w:adjustRightInd/>
        <w:snapToGrid/>
        <w:spacing w:line="360" w:lineRule="auto"/>
        <w:ind w:left="0" w:right="0" w:rightChars="0" w:firstLine="2730" w:firstLineChars="1300"/>
        <w:textAlignment w:val="auto"/>
        <w:rPr>
          <w:rFonts w:hint="eastAsia" w:ascii="宋体" w:hAnsi="宋体" w:eastAsia="宋体" w:cs="宋体"/>
          <w:sz w:val="21"/>
          <w:szCs w:val="21"/>
        </w:rPr>
      </w:pPr>
      <w:r>
        <w:rPr>
          <w:rFonts w:hint="eastAsia" w:ascii="宋体" w:hAnsi="宋体" w:eastAsia="宋体" w:cs="宋体"/>
          <w:sz w:val="21"/>
          <w:szCs w:val="21"/>
        </w:rPr>
        <w:t>代   表  签  字：</w:t>
      </w:r>
    </w:p>
    <w:p w14:paraId="00C03F8B">
      <w:pPr>
        <w:keepNext w:val="0"/>
        <w:keepLines w:val="0"/>
        <w:pageBreakBefore w:val="0"/>
        <w:widowControl w:val="0"/>
        <w:kinsoku/>
        <w:overflowPunct/>
        <w:topLinePunct w:val="0"/>
        <w:autoSpaceDE/>
        <w:autoSpaceDN/>
        <w:bidi w:val="0"/>
        <w:adjustRightInd/>
        <w:snapToGrid/>
        <w:spacing w:line="360" w:lineRule="auto"/>
        <w:ind w:left="0" w:right="0" w:rightChars="0" w:firstLine="2730" w:firstLineChars="1300"/>
        <w:textAlignment w:val="auto"/>
        <w:rPr>
          <w:rFonts w:hint="eastAsia" w:ascii="宋体" w:hAnsi="宋体" w:eastAsia="宋体" w:cs="宋体"/>
          <w:sz w:val="21"/>
          <w:szCs w:val="21"/>
        </w:rPr>
      </w:pPr>
      <w:r>
        <w:rPr>
          <w:rFonts w:hint="eastAsia" w:ascii="宋体" w:hAnsi="宋体" w:eastAsia="宋体" w:cs="宋体"/>
          <w:sz w:val="21"/>
          <w:szCs w:val="21"/>
        </w:rPr>
        <w:t>日           期：     年    月    日</w:t>
      </w:r>
    </w:p>
    <w:p w14:paraId="662BE610">
      <w:pPr>
        <w:adjustRightInd w:val="0"/>
        <w:snapToGrid w:val="0"/>
        <w:jc w:val="center"/>
        <w:rPr>
          <w:rFonts w:ascii="仿宋" w:hAnsi="仿宋" w:eastAsia="仿宋"/>
          <w:b/>
          <w:bCs/>
          <w:sz w:val="36"/>
          <w:szCs w:val="28"/>
        </w:rPr>
      </w:pPr>
    </w:p>
    <w:p w14:paraId="5867C1AC">
      <w:pPr>
        <w:widowControl/>
        <w:jc w:val="left"/>
        <w:rPr>
          <w:rFonts w:ascii="宋体" w:hAnsi="宋体"/>
          <w:b/>
          <w:kern w:val="44"/>
          <w:sz w:val="32"/>
          <w:szCs w:val="20"/>
        </w:rPr>
      </w:pPr>
      <w:r>
        <w:rPr>
          <w:rFonts w:hAnsi="宋体"/>
          <w:b/>
          <w:kern w:val="44"/>
          <w:sz w:val="32"/>
        </w:rPr>
        <w:br w:type="page"/>
      </w:r>
    </w:p>
    <w:p w14:paraId="1F7DD7ED">
      <w:pPr>
        <w:spacing w:line="360" w:lineRule="auto"/>
        <w:jc w:val="center"/>
        <w:outlineLvl w:val="0"/>
        <w:rPr>
          <w:rFonts w:hAnsi="宋体" w:cs="宋体"/>
          <w:sz w:val="28"/>
          <w:szCs w:val="28"/>
        </w:rPr>
      </w:pPr>
      <w:bookmarkStart w:id="80" w:name="_Toc13715"/>
      <w:r>
        <w:rPr>
          <w:rFonts w:hint="eastAsia" w:ascii="宋体" w:hAnsi="宋体"/>
          <w:b/>
          <w:kern w:val="44"/>
          <w:sz w:val="32"/>
        </w:rPr>
        <w:t>第五章  采购内容及要求</w:t>
      </w:r>
      <w:bookmarkEnd w:id="80"/>
    </w:p>
    <w:p w14:paraId="4F44C1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一、硬件部分</w:t>
      </w:r>
    </w:p>
    <w:p w14:paraId="1DE7B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动态心电监护仪技术参数</w:t>
      </w:r>
    </w:p>
    <w:p w14:paraId="30502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设备支持4G、蓝牙、WIFI通讯功能；并可与其他厂家通过蓝牙连接血压、血氧等检测设备</w:t>
      </w:r>
    </w:p>
    <w:p w14:paraId="2BD669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导联：同步十二导联，Ⅰ、Ⅱ、Ⅲ、aVR、aVL、aVF、V1、V2、V3、V4、V5、V6</w:t>
      </w:r>
    </w:p>
    <w:p w14:paraId="4FC282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设备具有</w:t>
      </w:r>
      <w:r>
        <w:rPr>
          <w:rFonts w:hint="eastAsia" w:ascii="宋体" w:hAnsi="宋体" w:eastAsia="宋体" w:cs="宋体"/>
          <w:sz w:val="21"/>
          <w:szCs w:val="21"/>
          <w:highlight w:val="none"/>
          <w:lang w:val="en-US" w:eastAsia="zh-CN"/>
        </w:rPr>
        <w:t>医疗器械</w:t>
      </w:r>
      <w:r>
        <w:rPr>
          <w:rFonts w:hint="eastAsia" w:ascii="宋体" w:hAnsi="宋体" w:eastAsia="宋体" w:cs="宋体"/>
          <w:sz w:val="21"/>
          <w:szCs w:val="21"/>
          <w:highlight w:val="none"/>
        </w:rPr>
        <w:t>注册证</w:t>
      </w:r>
    </w:p>
    <w:p w14:paraId="5ED51D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标准灵敏度：10mm/mV±5%</w:t>
      </w:r>
    </w:p>
    <w:p w14:paraId="714DDD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噪声电平≤30μV</w:t>
      </w:r>
    </w:p>
    <w:p w14:paraId="2AA849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共模抑制比≥80dB</w:t>
      </w:r>
    </w:p>
    <w:p w14:paraId="6FF47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低频特性：时间常数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3.2s</w:t>
      </w:r>
      <w:bookmarkStart w:id="158" w:name="_GoBack"/>
      <w:bookmarkEnd w:id="158"/>
    </w:p>
    <w:p w14:paraId="47814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扫描速度：25mm/s±5%</w:t>
      </w:r>
    </w:p>
    <w:p w14:paraId="111F1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监护时长≥24小时</w:t>
      </w:r>
    </w:p>
    <w:p w14:paraId="4028AC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电源：3.6V~4.2V可充电锂电池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并且支持10s换电，并满足7×24小时连续不间断工作</w:t>
      </w:r>
    </w:p>
    <w:p w14:paraId="3C8624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存储容量≥24小时×7天</w:t>
      </w:r>
    </w:p>
    <w:p w14:paraId="430CC1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波形通道配置：1-12道可配置</w:t>
      </w:r>
    </w:p>
    <w:p w14:paraId="13F88D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心率测量范围：30~300bpm，精度：不超过输入心率的±10%或5bpm中较大者</w:t>
      </w:r>
    </w:p>
    <w:p w14:paraId="5DF517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报警功能：心率失常报警范围：上限范围：≥100bpm；下限范围：≤50bpm；上下限可调整</w:t>
      </w:r>
    </w:p>
    <w:p w14:paraId="6D3B7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报警启动时间：本机≤10s</w:t>
      </w:r>
    </w:p>
    <w:p w14:paraId="625E1D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实时发送：支持24小时远程即时、实时并且满足即时全波形连续不间断发送，时间不超过25s</w:t>
      </w:r>
    </w:p>
    <w:p w14:paraId="5A6BB7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动态血压监测仪产品参数</w:t>
      </w:r>
    </w:p>
    <w:p w14:paraId="4C6606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收血压测量范围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40-260mmHg</w:t>
      </w:r>
    </w:p>
    <w:p w14:paraId="014C21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舒张压测量范围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20-210mmHg</w:t>
      </w:r>
    </w:p>
    <w:p w14:paraId="19330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脉率测量范围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40-200bpm</w:t>
      </w:r>
    </w:p>
    <w:p w14:paraId="07E49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臂围范围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18-42cm</w:t>
      </w:r>
    </w:p>
    <w:p w14:paraId="039B0C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在静态连续低压模式下，每一点的重复读数相差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4mmHg</w:t>
      </w:r>
    </w:p>
    <w:p w14:paraId="6B022B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血压</w:t>
      </w:r>
      <w:r>
        <w:rPr>
          <w:rFonts w:hint="eastAsia" w:ascii="宋体" w:hAnsi="宋体" w:eastAsia="宋体" w:cs="宋体"/>
          <w:sz w:val="21"/>
          <w:szCs w:val="21"/>
          <w:highlight w:val="none"/>
          <w:lang w:eastAsia="zh-CN"/>
        </w:rPr>
        <w:t>测量准确性</w:t>
      </w:r>
      <w:r>
        <w:rPr>
          <w:rFonts w:hint="eastAsia" w:ascii="宋体" w:hAnsi="宋体" w:eastAsia="宋体" w:cs="宋体"/>
          <w:sz w:val="21"/>
          <w:szCs w:val="21"/>
          <w:highlight w:val="none"/>
        </w:rPr>
        <w:t>：±3 mmHg；脉率：±3BPM</w:t>
      </w:r>
    </w:p>
    <w:p w14:paraId="156F6A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*（7）设备具有医疗器械注册证</w:t>
      </w:r>
    </w:p>
    <w:p w14:paraId="61CAF5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二、软件部分</w:t>
      </w:r>
    </w:p>
    <w:p w14:paraId="07DBEB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支持患者信息及心电图采集信息管理：具有新建、修改、查找患者信息功能；</w:t>
      </w:r>
    </w:p>
    <w:p w14:paraId="1B5471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支持患者数据删除与备份功能</w:t>
      </w:r>
      <w:r>
        <w:rPr>
          <w:rFonts w:hint="eastAsia" w:ascii="宋体" w:hAnsi="宋体" w:eastAsia="宋体" w:cs="宋体"/>
          <w:sz w:val="21"/>
          <w:szCs w:val="21"/>
          <w:lang w:eastAsia="zh-CN"/>
        </w:rPr>
        <w:t>；</w:t>
      </w:r>
    </w:p>
    <w:p w14:paraId="2D3AF5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实时监测监护墙支持监护窗口数量设置，范围：9~100/页，支持分辨率设置</w:t>
      </w:r>
      <w:r>
        <w:rPr>
          <w:rFonts w:hint="eastAsia" w:ascii="宋体" w:hAnsi="宋体" w:eastAsia="宋体" w:cs="宋体"/>
          <w:sz w:val="21"/>
          <w:szCs w:val="21"/>
          <w:lang w:eastAsia="zh-CN"/>
        </w:rPr>
        <w:t>；</w:t>
      </w:r>
    </w:p>
    <w:p w14:paraId="03DBC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支持实时显示单个患者12导联同步心电波形及相应参数</w:t>
      </w:r>
      <w:r>
        <w:rPr>
          <w:rFonts w:hint="eastAsia" w:ascii="宋体" w:hAnsi="宋体" w:eastAsia="宋体" w:cs="宋体"/>
          <w:sz w:val="21"/>
          <w:szCs w:val="21"/>
          <w:lang w:eastAsia="zh-CN"/>
        </w:rPr>
        <w:t>；</w:t>
      </w:r>
      <w:r>
        <w:rPr>
          <w:rFonts w:hint="eastAsia" w:ascii="宋体" w:hAnsi="宋体" w:eastAsia="宋体" w:cs="宋体"/>
          <w:sz w:val="21"/>
          <w:szCs w:val="21"/>
        </w:rPr>
        <w:t>(心率、P波、RR间期、S-T段、Q-T段)</w:t>
      </w:r>
    </w:p>
    <w:p w14:paraId="0B4425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软件平台收到4G终端24小时远程即时、实时并且满足即时全波形、连续不间断长程、而且可用于出诊断报告的24小时完整诊断数据链</w:t>
      </w:r>
      <w:r>
        <w:rPr>
          <w:rFonts w:hint="eastAsia" w:ascii="宋体" w:hAnsi="宋体" w:eastAsia="宋体" w:cs="宋体"/>
          <w:sz w:val="21"/>
          <w:szCs w:val="21"/>
          <w:lang w:eastAsia="zh-CN"/>
        </w:rPr>
        <w:t>；</w:t>
      </w:r>
    </w:p>
    <w:p w14:paraId="58A200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支持可根据网络状况设置不同等级时间显示波形，保证实时显示波形的流畅性</w:t>
      </w:r>
      <w:r>
        <w:rPr>
          <w:rFonts w:hint="eastAsia" w:ascii="宋体" w:hAnsi="宋体" w:eastAsia="宋体" w:cs="宋体"/>
          <w:sz w:val="21"/>
          <w:szCs w:val="21"/>
          <w:lang w:eastAsia="zh-CN"/>
        </w:rPr>
        <w:t>；</w:t>
      </w:r>
    </w:p>
    <w:p w14:paraId="4DDC6F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支持全程回放所有心电波形</w:t>
      </w:r>
      <w:r>
        <w:rPr>
          <w:rFonts w:hint="eastAsia" w:ascii="宋体" w:hAnsi="宋体" w:eastAsia="宋体" w:cs="宋体"/>
          <w:sz w:val="21"/>
          <w:szCs w:val="21"/>
          <w:lang w:eastAsia="zh-CN"/>
        </w:rPr>
        <w:t>；</w:t>
      </w:r>
    </w:p>
    <w:p w14:paraId="2E085E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支持添加打印波形功能</w:t>
      </w:r>
      <w:r>
        <w:rPr>
          <w:rFonts w:hint="eastAsia" w:ascii="宋体" w:hAnsi="宋体" w:eastAsia="宋体" w:cs="宋体"/>
          <w:sz w:val="21"/>
          <w:szCs w:val="21"/>
          <w:lang w:eastAsia="zh-CN"/>
        </w:rPr>
        <w:t>；</w:t>
      </w:r>
      <w:r>
        <w:rPr>
          <w:rFonts w:hint="eastAsia" w:ascii="宋体" w:hAnsi="宋体" w:eastAsia="宋体" w:cs="宋体"/>
          <w:sz w:val="21"/>
          <w:szCs w:val="21"/>
        </w:rPr>
        <w:t>(1-12导波形可配置)</w:t>
      </w:r>
    </w:p>
    <w:p w14:paraId="1D9171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支持即时打印功能</w:t>
      </w:r>
      <w:r>
        <w:rPr>
          <w:rFonts w:hint="eastAsia" w:ascii="宋体" w:hAnsi="宋体" w:eastAsia="宋体" w:cs="宋体"/>
          <w:sz w:val="21"/>
          <w:szCs w:val="21"/>
          <w:lang w:eastAsia="zh-CN"/>
        </w:rPr>
        <w:t>；</w:t>
      </w:r>
    </w:p>
    <w:p w14:paraId="191570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支持波形数据实时转换</w:t>
      </w:r>
      <w:r>
        <w:rPr>
          <w:rFonts w:hint="eastAsia" w:ascii="宋体" w:hAnsi="宋体" w:eastAsia="宋体" w:cs="宋体"/>
          <w:sz w:val="21"/>
          <w:szCs w:val="21"/>
          <w:lang w:eastAsia="zh-CN"/>
        </w:rPr>
        <w:t>；</w:t>
      </w:r>
    </w:p>
    <w:p w14:paraId="2209CA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支持手动导入心电数据功能，在导入时进行数据实时压缩，压缩率</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eastAsia="zh-CN"/>
        </w:rPr>
        <w:t>；</w:t>
      </w:r>
    </w:p>
    <w:p w14:paraId="39098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具有室性类异常、室上性类异常、长间歇、最快心率、最慢心率自动统计与编辑功能</w:t>
      </w:r>
      <w:r>
        <w:rPr>
          <w:rFonts w:hint="eastAsia" w:ascii="宋体" w:hAnsi="宋体" w:eastAsia="宋体" w:cs="宋体"/>
          <w:sz w:val="21"/>
          <w:szCs w:val="21"/>
          <w:lang w:eastAsia="zh-CN"/>
        </w:rPr>
        <w:t>；</w:t>
      </w:r>
    </w:p>
    <w:p w14:paraId="660931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具有房颤、房扑手动编辑功能</w:t>
      </w:r>
      <w:r>
        <w:rPr>
          <w:rFonts w:hint="eastAsia" w:ascii="宋体" w:hAnsi="宋体" w:eastAsia="宋体" w:cs="宋体"/>
          <w:sz w:val="21"/>
          <w:szCs w:val="21"/>
          <w:lang w:eastAsia="zh-CN"/>
        </w:rPr>
        <w:t>；</w:t>
      </w:r>
    </w:p>
    <w:p w14:paraId="5D8EB9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具有通过趋势波形联动选择12导联心电图功能</w:t>
      </w:r>
      <w:r>
        <w:rPr>
          <w:rFonts w:hint="eastAsia" w:ascii="宋体" w:hAnsi="宋体" w:eastAsia="宋体" w:cs="宋体"/>
          <w:sz w:val="21"/>
          <w:szCs w:val="21"/>
          <w:lang w:eastAsia="zh-CN"/>
        </w:rPr>
        <w:t>；</w:t>
      </w:r>
    </w:p>
    <w:p w14:paraId="44F2D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具有时域分析功能</w:t>
      </w:r>
      <w:r>
        <w:rPr>
          <w:rFonts w:hint="eastAsia" w:ascii="宋体" w:hAnsi="宋体" w:eastAsia="宋体" w:cs="宋体"/>
          <w:sz w:val="21"/>
          <w:szCs w:val="21"/>
          <w:lang w:eastAsia="zh-CN"/>
        </w:rPr>
        <w:t>；</w:t>
      </w:r>
    </w:p>
    <w:p w14:paraId="283F0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具有编辑概要报告参数功能</w:t>
      </w:r>
      <w:r>
        <w:rPr>
          <w:rFonts w:hint="eastAsia" w:ascii="宋体" w:hAnsi="宋体" w:eastAsia="宋体" w:cs="宋体"/>
          <w:sz w:val="21"/>
          <w:szCs w:val="21"/>
          <w:lang w:eastAsia="zh-CN"/>
        </w:rPr>
        <w:t>；</w:t>
      </w:r>
    </w:p>
    <w:p w14:paraId="49CC02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可</w:t>
      </w:r>
      <w:r>
        <w:rPr>
          <w:rFonts w:hint="eastAsia" w:ascii="宋体" w:hAnsi="宋体" w:eastAsia="宋体" w:cs="宋体"/>
          <w:sz w:val="21"/>
          <w:szCs w:val="21"/>
        </w:rPr>
        <w:t>提供多种诊断模板，具有插入诊断结论功能</w:t>
      </w:r>
      <w:r>
        <w:rPr>
          <w:rFonts w:hint="eastAsia" w:ascii="宋体" w:hAnsi="宋体" w:eastAsia="宋体" w:cs="宋体"/>
          <w:sz w:val="21"/>
          <w:szCs w:val="21"/>
          <w:lang w:eastAsia="zh-CN"/>
        </w:rPr>
        <w:t>；</w:t>
      </w:r>
    </w:p>
    <w:p w14:paraId="498F46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具有不同报告模式切换功能</w:t>
      </w:r>
      <w:r>
        <w:rPr>
          <w:rFonts w:hint="eastAsia" w:ascii="宋体" w:hAnsi="宋体" w:eastAsia="宋体" w:cs="宋体"/>
          <w:sz w:val="21"/>
          <w:szCs w:val="21"/>
          <w:lang w:eastAsia="zh-CN"/>
        </w:rPr>
        <w:t>；</w:t>
      </w:r>
    </w:p>
    <w:p w14:paraId="3CB418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支持A4纸与专用的心电图纸打印，非热敏图纸</w:t>
      </w:r>
      <w:r>
        <w:rPr>
          <w:rFonts w:hint="eastAsia" w:ascii="宋体" w:hAnsi="宋体" w:eastAsia="宋体" w:cs="宋体"/>
          <w:sz w:val="21"/>
          <w:szCs w:val="21"/>
          <w:lang w:eastAsia="zh-CN"/>
        </w:rPr>
        <w:t>；</w:t>
      </w:r>
    </w:p>
    <w:p w14:paraId="03B3A4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具有选择打印不同报告页的功能</w:t>
      </w:r>
      <w:r>
        <w:rPr>
          <w:rFonts w:hint="eastAsia" w:ascii="宋体" w:hAnsi="宋体" w:eastAsia="宋体" w:cs="宋体"/>
          <w:sz w:val="21"/>
          <w:szCs w:val="21"/>
          <w:lang w:eastAsia="zh-CN"/>
        </w:rPr>
        <w:t>；</w:t>
      </w:r>
    </w:p>
    <w:p w14:paraId="4AA7F8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支持心电图片段打印功能</w:t>
      </w:r>
      <w:r>
        <w:rPr>
          <w:rFonts w:hint="eastAsia" w:ascii="宋体" w:hAnsi="宋体" w:eastAsia="宋体" w:cs="宋体"/>
          <w:sz w:val="21"/>
          <w:szCs w:val="21"/>
          <w:lang w:eastAsia="zh-CN"/>
        </w:rPr>
        <w:t>；</w:t>
      </w:r>
    </w:p>
    <w:p w14:paraId="77BC0E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能够实现异地佩戴、远程判读、本地打印报告的工作模式</w:t>
      </w:r>
      <w:r>
        <w:rPr>
          <w:rFonts w:hint="eastAsia" w:ascii="宋体" w:hAnsi="宋体" w:eastAsia="宋体" w:cs="宋体"/>
          <w:sz w:val="21"/>
          <w:szCs w:val="21"/>
          <w:lang w:eastAsia="zh-CN"/>
        </w:rPr>
        <w:t>；</w:t>
      </w:r>
    </w:p>
    <w:p w14:paraId="6A80C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23、支持与医院HIS系统兼容，能够在报告出具后实时上传至病历系统。</w:t>
      </w:r>
    </w:p>
    <w:p w14:paraId="1C4A1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三、服务内容</w:t>
      </w:r>
    </w:p>
    <w:p w14:paraId="31016EE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咸阳市中心医院配置远程心电血压实时监测系统(含采集终端，远程诊断服务，远程实时监测服务，预警服务、报告分析),开展每年约6000例全年无休的门诊、急诊、住院病人的心电远程实时监测、预警、报告分析服务（具体业务量以实际发生为准）。</w:t>
      </w:r>
    </w:p>
    <w:p w14:paraId="09F299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四、商务部分</w:t>
      </w:r>
    </w:p>
    <w:p w14:paraId="35607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供应商承诺设备出故障电话响应≤10分钟，2小时内到达现场排除故障</w:t>
      </w:r>
      <w:r>
        <w:rPr>
          <w:rFonts w:hint="eastAsia" w:ascii="宋体" w:hAnsi="宋体" w:eastAsia="宋体" w:cs="宋体"/>
          <w:sz w:val="21"/>
          <w:szCs w:val="21"/>
          <w:lang w:eastAsia="zh-CN"/>
        </w:rPr>
        <w:t>；</w:t>
      </w:r>
    </w:p>
    <w:p w14:paraId="1B9E73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2、供应商所提供的远程心电监护团队≥5名执业医师（提供所需证明材料）</w:t>
      </w:r>
      <w:r>
        <w:rPr>
          <w:rFonts w:hint="eastAsia" w:ascii="宋体" w:hAnsi="宋体" w:eastAsia="宋体" w:cs="宋体"/>
          <w:sz w:val="21"/>
          <w:szCs w:val="21"/>
          <w:lang w:eastAsia="zh-CN"/>
        </w:rPr>
        <w:t>；</w:t>
      </w:r>
    </w:p>
    <w:p w14:paraId="31A67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3、每月定期对其设备进行巡检，每季度进行预防性维护并出具电子版报告；</w:t>
      </w:r>
    </w:p>
    <w:p w14:paraId="5B6B18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4、供货商对提供设备耗材、配件在服务期内免费更换和免费维修；</w:t>
      </w:r>
    </w:p>
    <w:p w14:paraId="0B1AE4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5、服务期：一年，到期后考核合格，可续签两次，每次续签服务期为一年。</w:t>
      </w:r>
    </w:p>
    <w:bookmarkEnd w:id="72"/>
    <w:bookmarkEnd w:id="73"/>
    <w:bookmarkEnd w:id="74"/>
    <w:bookmarkEnd w:id="75"/>
    <w:p w14:paraId="5017BC4B">
      <w:pPr>
        <w:pStyle w:val="2"/>
        <w:spacing w:line="360" w:lineRule="auto"/>
        <w:ind w:left="0" w:firstLine="0"/>
        <w:jc w:val="center"/>
        <w:rPr>
          <w:rFonts w:ascii="黑体" w:eastAsia="黑体"/>
          <w:sz w:val="32"/>
          <w:szCs w:val="32"/>
        </w:rPr>
      </w:pPr>
      <w:bookmarkStart w:id="81" w:name="_Toc11227"/>
      <w:r>
        <w:rPr>
          <w:rFonts w:hint="eastAsia" w:ascii="宋体" w:hAnsi="宋体"/>
          <w:sz w:val="32"/>
        </w:rPr>
        <w:t>第六章  响应文件格式</w:t>
      </w:r>
      <w:r>
        <w:rPr>
          <w:rFonts w:hint="eastAsia" w:ascii="黑体" w:eastAsia="黑体"/>
          <w:sz w:val="32"/>
          <w:szCs w:val="32"/>
        </w:rPr>
        <w:br w:type="page"/>
      </w:r>
      <w:bookmarkEnd w:id="81"/>
    </w:p>
    <w:p w14:paraId="399F6662">
      <w:pPr>
        <w:jc w:val="right"/>
        <w:rPr>
          <w:b/>
          <w:bCs/>
          <w:sz w:val="32"/>
          <w:szCs w:val="40"/>
        </w:rPr>
      </w:pPr>
      <w:r>
        <w:rPr>
          <w:rFonts w:hint="eastAsia"/>
          <w:b/>
          <w:bCs/>
          <w:sz w:val="32"/>
          <w:szCs w:val="40"/>
        </w:rPr>
        <w:t xml:space="preserve"> </w:t>
      </w:r>
      <w:bookmarkStart w:id="82" w:name="_Toc9676"/>
      <w:bookmarkStart w:id="83" w:name="_Toc18416"/>
      <w:bookmarkStart w:id="84" w:name="_Toc671"/>
      <w:bookmarkStart w:id="85" w:name="_Toc13061"/>
      <w:r>
        <w:rPr>
          <w:rFonts w:hint="eastAsia"/>
          <w:b/>
          <w:bCs/>
          <w:sz w:val="32"/>
          <w:szCs w:val="40"/>
        </w:rPr>
        <w:t>正本/副本</w:t>
      </w:r>
      <w:bookmarkEnd w:id="82"/>
      <w:bookmarkEnd w:id="83"/>
      <w:bookmarkEnd w:id="84"/>
      <w:bookmarkEnd w:id="85"/>
    </w:p>
    <w:p w14:paraId="33278EFA">
      <w:pPr>
        <w:rPr>
          <w:rFonts w:ascii="宋体" w:hAnsi="宋体" w:cs="宋体"/>
          <w:b/>
          <w:bCs/>
          <w:sz w:val="32"/>
          <w:szCs w:val="40"/>
          <w:u w:val="single"/>
        </w:rPr>
      </w:pPr>
      <w:bookmarkStart w:id="86" w:name="_Toc3861"/>
      <w:r>
        <w:rPr>
          <w:rFonts w:hint="eastAsia" w:ascii="宋体" w:hAnsi="宋体" w:cs="宋体"/>
          <w:b/>
          <w:bCs/>
          <w:sz w:val="32"/>
          <w:szCs w:val="40"/>
        </w:rPr>
        <w:t>项目编号：</w:t>
      </w:r>
      <w:r>
        <w:rPr>
          <w:rFonts w:hint="eastAsia" w:ascii="宋体" w:hAnsi="宋体" w:cs="宋体"/>
          <w:b/>
          <w:bCs/>
          <w:sz w:val="32"/>
          <w:szCs w:val="40"/>
          <w:u w:val="single"/>
        </w:rPr>
        <w:t xml:space="preserve">             </w:t>
      </w:r>
    </w:p>
    <w:p w14:paraId="0FA4CA57">
      <w:pPr>
        <w:spacing w:before="120" w:beforeLines="50" w:after="120" w:afterLines="50" w:line="360" w:lineRule="auto"/>
        <w:jc w:val="center"/>
        <w:rPr>
          <w:b/>
          <w:bCs/>
          <w:sz w:val="54"/>
          <w:szCs w:val="54"/>
        </w:rPr>
      </w:pPr>
    </w:p>
    <w:p w14:paraId="3FF323F4">
      <w:pPr>
        <w:pStyle w:val="35"/>
      </w:pPr>
    </w:p>
    <w:p w14:paraId="6DB711E4">
      <w:pPr>
        <w:jc w:val="center"/>
        <w:rPr>
          <w:b/>
          <w:bCs/>
          <w:sz w:val="52"/>
          <w:szCs w:val="72"/>
        </w:rPr>
      </w:pPr>
    </w:p>
    <w:p w14:paraId="23365842">
      <w:pPr>
        <w:jc w:val="center"/>
        <w:rPr>
          <w:b/>
          <w:bCs/>
          <w:sz w:val="44"/>
          <w:szCs w:val="44"/>
          <w:u w:val="single"/>
        </w:rPr>
      </w:pPr>
      <w:r>
        <w:rPr>
          <w:rFonts w:hint="eastAsia"/>
          <w:b/>
          <w:bCs/>
          <w:sz w:val="44"/>
          <w:szCs w:val="44"/>
          <w:u w:val="single"/>
        </w:rPr>
        <w:t>（项目名称）</w:t>
      </w:r>
    </w:p>
    <w:p w14:paraId="76E49C56"/>
    <w:p w14:paraId="3B4E9092">
      <w:pPr>
        <w:jc w:val="center"/>
        <w:rPr>
          <w:b/>
          <w:bCs/>
          <w:sz w:val="72"/>
          <w:szCs w:val="144"/>
        </w:rPr>
      </w:pPr>
      <w:bookmarkStart w:id="87" w:name="_Toc7769"/>
      <w:bookmarkStart w:id="88" w:name="_Toc6340"/>
      <w:bookmarkStart w:id="89" w:name="_Toc16940"/>
      <w:bookmarkStart w:id="90" w:name="_Toc32072"/>
    </w:p>
    <w:p w14:paraId="500CF84C">
      <w:pPr>
        <w:pStyle w:val="6"/>
      </w:pPr>
    </w:p>
    <w:bookmarkEnd w:id="87"/>
    <w:bookmarkEnd w:id="88"/>
    <w:bookmarkEnd w:id="89"/>
    <w:bookmarkEnd w:id="90"/>
    <w:p w14:paraId="1C9E4B7C">
      <w:pPr>
        <w:jc w:val="center"/>
        <w:rPr>
          <w:b/>
          <w:bCs/>
          <w:sz w:val="72"/>
          <w:szCs w:val="144"/>
        </w:rPr>
      </w:pPr>
      <w:r>
        <w:rPr>
          <w:rFonts w:hint="eastAsia"/>
          <w:b/>
          <w:bCs/>
          <w:sz w:val="72"/>
          <w:szCs w:val="144"/>
        </w:rPr>
        <w:t>响应文件</w:t>
      </w:r>
    </w:p>
    <w:p w14:paraId="7FC29FA5">
      <w:pPr>
        <w:spacing w:before="120" w:beforeLines="50" w:after="120" w:afterLines="50" w:line="360" w:lineRule="auto"/>
        <w:jc w:val="left"/>
        <w:rPr>
          <w:rFonts w:hAnsi="宋体"/>
          <w:b/>
          <w:spacing w:val="4"/>
          <w:sz w:val="32"/>
          <w:szCs w:val="32"/>
        </w:rPr>
      </w:pPr>
    </w:p>
    <w:p w14:paraId="687387B5"/>
    <w:p w14:paraId="332A13E1">
      <w:pPr>
        <w:pStyle w:val="11"/>
        <w:ind w:left="1470" w:right="1470"/>
      </w:pPr>
    </w:p>
    <w:p w14:paraId="70497281">
      <w:pPr>
        <w:pStyle w:val="11"/>
        <w:ind w:left="1470" w:right="1470"/>
      </w:pPr>
    </w:p>
    <w:p w14:paraId="4CBAC1EA">
      <w:pPr>
        <w:pStyle w:val="11"/>
        <w:ind w:left="1470" w:right="1470"/>
      </w:pPr>
    </w:p>
    <w:p w14:paraId="33ADFC02">
      <w:pPr>
        <w:pStyle w:val="11"/>
        <w:ind w:left="1470" w:right="1470"/>
      </w:pPr>
    </w:p>
    <w:p w14:paraId="34A9B5F0">
      <w:pPr>
        <w:pStyle w:val="11"/>
        <w:ind w:left="1470" w:right="1470"/>
      </w:pPr>
    </w:p>
    <w:p w14:paraId="6DB59087"/>
    <w:p w14:paraId="69766ACD">
      <w:pPr>
        <w:pStyle w:val="35"/>
      </w:pPr>
    </w:p>
    <w:p w14:paraId="7EEC19B4">
      <w:pPr>
        <w:pStyle w:val="20"/>
      </w:pPr>
    </w:p>
    <w:p w14:paraId="42A3096C"/>
    <w:p w14:paraId="03AD57F8">
      <w:pPr>
        <w:pStyle w:val="35"/>
      </w:pPr>
    </w:p>
    <w:p w14:paraId="2C146F81">
      <w:pPr>
        <w:pStyle w:val="35"/>
      </w:pPr>
    </w:p>
    <w:p w14:paraId="27067A5C">
      <w:pPr>
        <w:spacing w:line="360" w:lineRule="auto"/>
        <w:ind w:firstLine="656" w:firstLineChars="200"/>
        <w:rPr>
          <w:rFonts w:ascii="宋体" w:hAnsi="宋体" w:cs="宋体"/>
          <w:spacing w:val="14"/>
          <w:kern w:val="0"/>
          <w:sz w:val="32"/>
          <w:szCs w:val="32"/>
        </w:rPr>
      </w:pPr>
      <w:r>
        <w:rPr>
          <w:rFonts w:hint="eastAsia" w:ascii="宋体" w:hAnsi="宋体" w:cs="宋体"/>
          <w:spacing w:val="4"/>
          <w:sz w:val="32"/>
          <w:szCs w:val="32"/>
        </w:rPr>
        <w:t>供应商名称（盖章）：</w:t>
      </w:r>
      <w:r>
        <w:rPr>
          <w:rFonts w:hint="eastAsia" w:ascii="宋体" w:hAnsi="宋体" w:cs="宋体"/>
          <w:spacing w:val="14"/>
          <w:kern w:val="0"/>
          <w:sz w:val="32"/>
          <w:szCs w:val="32"/>
          <w:u w:val="single"/>
        </w:rPr>
        <w:t>（单位全称）</w:t>
      </w:r>
    </w:p>
    <w:p w14:paraId="3E90F4BD">
      <w:pPr>
        <w:spacing w:line="360" w:lineRule="auto"/>
        <w:ind w:firstLine="656" w:firstLineChars="200"/>
        <w:jc w:val="center"/>
        <w:rPr>
          <w:rFonts w:ascii="宋体" w:hAnsi="宋体" w:cs="宋体"/>
          <w:spacing w:val="4"/>
          <w:sz w:val="32"/>
          <w:szCs w:val="32"/>
        </w:rPr>
      </w:pPr>
    </w:p>
    <w:p w14:paraId="5A09BDEA">
      <w:pPr>
        <w:spacing w:line="360" w:lineRule="auto"/>
        <w:ind w:firstLine="656" w:firstLineChars="200"/>
        <w:rPr>
          <w:rFonts w:ascii="宋体" w:hAnsi="宋体" w:cs="宋体"/>
          <w:spacing w:val="4"/>
          <w:sz w:val="32"/>
          <w:szCs w:val="32"/>
          <w:u w:val="single"/>
        </w:rPr>
      </w:pPr>
      <w:r>
        <w:rPr>
          <w:rFonts w:hint="eastAsia" w:ascii="宋体" w:hAnsi="宋体" w:cs="宋体"/>
          <w:spacing w:val="4"/>
          <w:sz w:val="32"/>
          <w:szCs w:val="32"/>
        </w:rPr>
        <w:t>法定代表人或委托代理人（签字或盖章）：</w:t>
      </w:r>
      <w:r>
        <w:rPr>
          <w:rFonts w:hint="eastAsia" w:ascii="宋体" w:hAnsi="宋体" w:cs="宋体"/>
          <w:spacing w:val="4"/>
          <w:sz w:val="32"/>
          <w:szCs w:val="32"/>
          <w:u w:val="single"/>
        </w:rPr>
        <w:t xml:space="preserve">         </w:t>
      </w:r>
    </w:p>
    <w:p w14:paraId="42C7B03F">
      <w:pPr>
        <w:spacing w:line="360" w:lineRule="auto"/>
        <w:ind w:firstLine="640" w:firstLineChars="200"/>
        <w:jc w:val="center"/>
        <w:rPr>
          <w:rFonts w:ascii="宋体" w:hAnsi="宋体" w:cs="宋体"/>
          <w:bCs/>
          <w:sz w:val="32"/>
          <w:szCs w:val="32"/>
        </w:rPr>
      </w:pPr>
    </w:p>
    <w:p w14:paraId="01C12C7E">
      <w:pPr>
        <w:spacing w:line="360" w:lineRule="auto"/>
        <w:ind w:firstLine="640" w:firstLineChars="200"/>
        <w:rPr>
          <w:rFonts w:ascii="宋体" w:hAnsi="宋体" w:cs="宋体"/>
          <w:bCs/>
          <w:sz w:val="32"/>
          <w:szCs w:val="32"/>
        </w:rPr>
      </w:pPr>
      <w:r>
        <w:rPr>
          <w:rFonts w:hint="eastAsia" w:ascii="宋体" w:hAnsi="宋体" w:cs="宋体"/>
          <w:bCs/>
          <w:sz w:val="32"/>
          <w:szCs w:val="32"/>
        </w:rPr>
        <w:t>日期：</w:t>
      </w:r>
      <w:r>
        <w:rPr>
          <w:rFonts w:hint="eastAsia" w:ascii="宋体" w:hAnsi="宋体" w:cs="宋体"/>
          <w:bCs/>
          <w:sz w:val="32"/>
          <w:szCs w:val="32"/>
          <w:u w:val="single"/>
        </w:rPr>
        <w:t xml:space="preserve">      年    月    日</w:t>
      </w:r>
    </w:p>
    <w:p w14:paraId="6AD49BD0">
      <w:pPr>
        <w:rPr>
          <w:sz w:val="44"/>
          <w:szCs w:val="28"/>
        </w:rPr>
      </w:pPr>
      <w:r>
        <w:rPr>
          <w:sz w:val="44"/>
          <w:szCs w:val="28"/>
        </w:rPr>
        <w:br w:type="page"/>
      </w:r>
    </w:p>
    <w:p w14:paraId="796A63B0">
      <w:pPr>
        <w:jc w:val="center"/>
        <w:rPr>
          <w:b/>
          <w:bCs/>
          <w:sz w:val="36"/>
          <w:szCs w:val="44"/>
        </w:rPr>
      </w:pPr>
      <w:bookmarkStart w:id="91" w:name="_Toc22039"/>
      <w:bookmarkStart w:id="92" w:name="_Toc14847"/>
      <w:bookmarkStart w:id="93" w:name="_Toc16689"/>
      <w:bookmarkStart w:id="94" w:name="_Toc12773"/>
      <w:r>
        <w:rPr>
          <w:rFonts w:hint="eastAsia"/>
          <w:b/>
          <w:bCs/>
          <w:sz w:val="36"/>
          <w:szCs w:val="44"/>
        </w:rPr>
        <w:t>目  录</w:t>
      </w:r>
      <w:bookmarkEnd w:id="91"/>
      <w:bookmarkEnd w:id="92"/>
      <w:bookmarkEnd w:id="93"/>
      <w:bookmarkEnd w:id="94"/>
    </w:p>
    <w:p w14:paraId="017F41B7">
      <w:pPr>
        <w:spacing w:line="360" w:lineRule="auto"/>
        <w:ind w:firstLine="480" w:firstLineChars="200"/>
        <w:jc w:val="left"/>
        <w:rPr>
          <w:rFonts w:ascii="宋体" w:hAnsi="宋体" w:cs="宋体"/>
          <w:bCs/>
          <w:sz w:val="24"/>
        </w:rPr>
      </w:pPr>
    </w:p>
    <w:p w14:paraId="0A08B6D1"/>
    <w:p w14:paraId="0B5A1F49">
      <w:pPr>
        <w:spacing w:before="120" w:beforeLines="50" w:after="120" w:afterLines="50" w:line="360" w:lineRule="auto"/>
        <w:jc w:val="center"/>
        <w:rPr>
          <w:sz w:val="32"/>
          <w:szCs w:val="32"/>
        </w:rPr>
      </w:pPr>
      <w:r>
        <w:rPr>
          <w:rFonts w:hint="eastAsia"/>
          <w:sz w:val="32"/>
          <w:szCs w:val="32"/>
        </w:rPr>
        <w:br w:type="page"/>
      </w:r>
    </w:p>
    <w:p w14:paraId="1B6EEAB5">
      <w:pPr>
        <w:pStyle w:val="3"/>
        <w:rPr>
          <w:sz w:val="32"/>
          <w:szCs w:val="32"/>
        </w:rPr>
      </w:pPr>
      <w:bookmarkStart w:id="95" w:name="_Toc15981"/>
      <w:bookmarkStart w:id="96" w:name="_Toc11321"/>
      <w:bookmarkStart w:id="97" w:name="_Toc24858"/>
      <w:bookmarkStart w:id="98" w:name="_Toc11617"/>
      <w:r>
        <w:rPr>
          <w:rFonts w:hint="eastAsia"/>
          <w:sz w:val="32"/>
          <w:szCs w:val="32"/>
        </w:rPr>
        <w:t>一、</w:t>
      </w:r>
      <w:bookmarkEnd w:id="86"/>
      <w:bookmarkEnd w:id="95"/>
      <w:bookmarkEnd w:id="96"/>
      <w:bookmarkEnd w:id="97"/>
      <w:bookmarkEnd w:id="98"/>
      <w:r>
        <w:rPr>
          <w:rFonts w:hint="eastAsia"/>
          <w:sz w:val="32"/>
          <w:szCs w:val="32"/>
        </w:rPr>
        <w:t>磋商响应函</w:t>
      </w:r>
    </w:p>
    <w:p w14:paraId="092EDFE9">
      <w:pPr>
        <w:spacing w:line="360" w:lineRule="auto"/>
        <w:rPr>
          <w:rFonts w:hint="eastAsia" w:ascii="宋体" w:hAnsi="宋体" w:eastAsia="宋体"/>
          <w:szCs w:val="21"/>
          <w:lang w:eastAsia="zh-CN"/>
        </w:rPr>
      </w:pPr>
      <w:bookmarkStart w:id="99" w:name="_Toc21293"/>
      <w:bookmarkStart w:id="100" w:name="_Toc5912"/>
      <w:bookmarkStart w:id="101" w:name="_Toc24001"/>
      <w:bookmarkStart w:id="102" w:name="_Toc28486"/>
      <w:r>
        <w:rPr>
          <w:rFonts w:hint="eastAsia" w:ascii="宋体" w:hAnsi="宋体"/>
          <w:szCs w:val="21"/>
        </w:rPr>
        <w:t>致：</w:t>
      </w:r>
      <w:r>
        <w:rPr>
          <w:rFonts w:hint="eastAsia" w:ascii="宋体" w:hAnsi="宋体"/>
          <w:szCs w:val="21"/>
          <w:u w:val="single"/>
          <w:lang w:eastAsia="zh-CN"/>
        </w:rPr>
        <w:t>咸阳市中心医院</w:t>
      </w:r>
    </w:p>
    <w:p w14:paraId="6650A7AD">
      <w:pPr>
        <w:spacing w:line="360" w:lineRule="auto"/>
        <w:ind w:firstLine="420" w:firstLineChars="200"/>
        <w:jc w:val="left"/>
        <w:rPr>
          <w:rFonts w:ascii="宋体" w:hAnsi="宋体" w:cs="宋体"/>
          <w:szCs w:val="21"/>
          <w:u w:val="single"/>
        </w:rPr>
      </w:pPr>
      <w:r>
        <w:rPr>
          <w:rFonts w:hint="eastAsia" w:ascii="宋体" w:hAnsi="宋体" w:cs="宋体"/>
          <w:szCs w:val="21"/>
        </w:rPr>
        <w:t>我单位收到贵单位</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项目名称）</w:t>
      </w:r>
      <w:r>
        <w:rPr>
          <w:rFonts w:hint="eastAsia" w:ascii="宋体" w:hAnsi="宋体" w:cs="宋体"/>
          <w:szCs w:val="21"/>
        </w:rPr>
        <w:t>的磋商文件，经详细研究，我们决定参加本次磋商活动。为此，我方郑重声明以下内容，并承担法律责任。</w:t>
      </w:r>
    </w:p>
    <w:p w14:paraId="3F3D789E">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按照磋商文件中规定提供</w:t>
      </w:r>
      <w:r>
        <w:rPr>
          <w:rFonts w:hint="eastAsia" w:ascii="宋体" w:hAnsi="宋体" w:cs="宋体"/>
          <w:szCs w:val="21"/>
          <w:lang w:val="en-US" w:eastAsia="zh-CN"/>
        </w:rPr>
        <w:t>服务</w:t>
      </w:r>
      <w:r>
        <w:rPr>
          <w:rFonts w:hint="eastAsia" w:ascii="宋体" w:hAnsi="宋体" w:cs="宋体"/>
          <w:szCs w:val="21"/>
        </w:rPr>
        <w:t>和</w:t>
      </w:r>
      <w:r>
        <w:rPr>
          <w:rFonts w:hint="eastAsia" w:ascii="宋体" w:hAnsi="宋体" w:cs="宋体"/>
          <w:szCs w:val="21"/>
          <w:lang w:val="en-US" w:eastAsia="zh-CN"/>
        </w:rPr>
        <w:t>相关设备</w:t>
      </w:r>
      <w:r>
        <w:rPr>
          <w:rFonts w:hint="eastAsia" w:ascii="宋体" w:hAnsi="宋体" w:cs="宋体"/>
          <w:szCs w:val="21"/>
        </w:rPr>
        <w:t>，响应总报价为（大写）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p>
    <w:p w14:paraId="3449229C">
      <w:pPr>
        <w:numPr>
          <w:ilvl w:val="0"/>
          <w:numId w:val="4"/>
        </w:numPr>
        <w:spacing w:line="360" w:lineRule="auto"/>
        <w:ind w:firstLine="420" w:firstLineChars="200"/>
        <w:rPr>
          <w:rFonts w:ascii="宋体" w:hAnsi="宋体" w:cs="宋体"/>
          <w:szCs w:val="21"/>
        </w:rPr>
      </w:pPr>
      <w:r>
        <w:rPr>
          <w:rFonts w:hint="eastAsia" w:ascii="宋体" w:hAnsi="宋体" w:cs="宋体"/>
          <w:szCs w:val="21"/>
        </w:rPr>
        <w:t>我方同意所递交的响应文件的有效期为</w:t>
      </w:r>
      <w:r>
        <w:rPr>
          <w:rFonts w:hint="eastAsia" w:ascii="宋体" w:hAnsi="宋体" w:cs="宋体"/>
          <w:spacing w:val="6"/>
          <w:kern w:val="0"/>
          <w:szCs w:val="21"/>
          <w:u w:val="single"/>
        </w:rPr>
        <w:t>90天（从提交响应文件的截止之日起算）</w:t>
      </w:r>
      <w:r>
        <w:rPr>
          <w:rFonts w:hint="eastAsia" w:ascii="宋体" w:hAnsi="宋体" w:cs="宋体"/>
          <w:szCs w:val="21"/>
        </w:rPr>
        <w:t>，并承诺在磋商有效期内不修改、撤销响应文件。</w:t>
      </w:r>
    </w:p>
    <w:p w14:paraId="74C19302">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本供应商同意遵照磋商文件的全部内容，承担磋商文件中规定的全部责任和义务，且响应磋商文件中的付款方式。</w:t>
      </w:r>
    </w:p>
    <w:p w14:paraId="4131B9D9">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我方已仔细阅读了磋商文件，包括修改文件（如果有的话）以及全部参考资料和附件，完全理解并同意放弃对这方面有不明及误解的权利。</w:t>
      </w:r>
    </w:p>
    <w:p w14:paraId="2BB39911">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如我方成交：</w:t>
      </w:r>
    </w:p>
    <w:p w14:paraId="2403F5D9">
      <w:pPr>
        <w:pStyle w:val="35"/>
        <w:spacing w:line="360" w:lineRule="auto"/>
        <w:ind w:left="-270" w:firstLine="840" w:firstLineChars="400"/>
        <w:rPr>
          <w:rFonts w:ascii="宋体" w:hAnsi="宋体" w:cs="宋体"/>
          <w:szCs w:val="21"/>
        </w:rPr>
      </w:pPr>
      <w:r>
        <w:rPr>
          <w:rFonts w:hint="eastAsia" w:ascii="宋体" w:hAnsi="宋体" w:cs="宋体"/>
          <w:szCs w:val="21"/>
        </w:rPr>
        <w:t>（1）我方收到成交通知书后，在成交通知书规定的期限内与你方签订合同。</w:t>
      </w:r>
    </w:p>
    <w:p w14:paraId="46FB430C">
      <w:pPr>
        <w:pStyle w:val="35"/>
        <w:spacing w:line="360" w:lineRule="auto"/>
        <w:ind w:left="-270" w:firstLine="840" w:firstLineChars="400"/>
        <w:rPr>
          <w:rFonts w:ascii="宋体" w:hAnsi="宋体" w:cs="宋体"/>
          <w:szCs w:val="21"/>
        </w:rPr>
      </w:pPr>
      <w:r>
        <w:rPr>
          <w:rFonts w:hint="eastAsia" w:ascii="宋体" w:hAnsi="宋体" w:cs="宋体"/>
          <w:szCs w:val="21"/>
        </w:rPr>
        <w:t>（2）随同本磋商响应函递交的磋商响应函附录属于合同文件的组成部分。</w:t>
      </w:r>
    </w:p>
    <w:p w14:paraId="5716A4B0">
      <w:pPr>
        <w:pStyle w:val="35"/>
        <w:spacing w:line="360" w:lineRule="auto"/>
        <w:ind w:left="-270" w:firstLine="840" w:firstLineChars="4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）我方保证</w:t>
      </w:r>
      <w:r>
        <w:rPr>
          <w:rFonts w:hint="eastAsia" w:ascii="宋体" w:hAnsi="宋体" w:cs="宋体"/>
          <w:szCs w:val="21"/>
          <w:lang w:val="en-US" w:eastAsia="zh-CN"/>
        </w:rPr>
        <w:t>服务</w:t>
      </w:r>
      <w:r>
        <w:rPr>
          <w:rFonts w:hint="eastAsia" w:ascii="宋体" w:hAnsi="宋体" w:cs="宋体"/>
          <w:szCs w:val="21"/>
        </w:rPr>
        <w:t>质量达到磋商响应质量等级，否则，按合同约定处罚。</w:t>
      </w:r>
    </w:p>
    <w:p w14:paraId="1AB8CC81">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我方在此声明，所递交的响应文件及有交资料内容完整、真实和准确。</w:t>
      </w:r>
    </w:p>
    <w:p w14:paraId="3E8A3F2A">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我方保证上述磋商报价不低于项目成本价。</w:t>
      </w:r>
    </w:p>
    <w:p w14:paraId="58A600FA">
      <w:pPr>
        <w:numPr>
          <w:ilvl w:val="0"/>
          <w:numId w:val="4"/>
        </w:numPr>
        <w:spacing w:line="360" w:lineRule="auto"/>
        <w:ind w:firstLine="420" w:firstLineChars="200"/>
        <w:jc w:val="left"/>
        <w:rPr>
          <w:szCs w:val="21"/>
        </w:rPr>
      </w:pPr>
      <w:r>
        <w:rPr>
          <w:rFonts w:hint="eastAsia" w:ascii="宋体" w:hAnsi="宋体" w:cs="宋体"/>
          <w:szCs w:val="21"/>
        </w:rPr>
        <w:t>我方同意向贵方提供可能要求的与其采购有关的一切数据或资料，完全理解最低磋商报价不作为成交的唯一条件，且尊重磋商小组的评审结论和定标结果。</w:t>
      </w:r>
    </w:p>
    <w:p w14:paraId="73806509">
      <w:pPr>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如因我方原因放弃成交，我方承诺，将承担因下个成交候选人成交给采购人带来的经济损失。</w:t>
      </w:r>
    </w:p>
    <w:p w14:paraId="1FB111E4">
      <w:pPr>
        <w:spacing w:line="460" w:lineRule="exact"/>
        <w:ind w:firstLine="525" w:firstLineChars="250"/>
        <w:rPr>
          <w:rFonts w:ascii="宋体"/>
          <w:szCs w:val="21"/>
        </w:rPr>
      </w:pPr>
    </w:p>
    <w:p w14:paraId="670828F9">
      <w:pPr>
        <w:pStyle w:val="35"/>
        <w:spacing w:line="360" w:lineRule="auto"/>
        <w:rPr>
          <w:rFonts w:ascii="宋体" w:hAnsi="宋体"/>
          <w:szCs w:val="21"/>
        </w:rPr>
      </w:pPr>
    </w:p>
    <w:p w14:paraId="3F18CDCC">
      <w:pPr>
        <w:pStyle w:val="35"/>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（单位全称）</w:t>
      </w:r>
    </w:p>
    <w:p w14:paraId="359BCFD2">
      <w:pPr>
        <w:pStyle w:val="35"/>
        <w:spacing w:line="360" w:lineRule="auto"/>
        <w:rPr>
          <w:rFonts w:ascii="宋体" w:hAnsi="宋体"/>
          <w:szCs w:val="21"/>
          <w:u w:val="single"/>
        </w:rPr>
      </w:pPr>
      <w:r>
        <w:rPr>
          <w:rFonts w:hint="eastAsia" w:ascii="宋体" w:hAnsi="宋体"/>
          <w:szCs w:val="21"/>
        </w:rPr>
        <w:t xml:space="preserve">法定代表人或委托代理人（签字或盖章）： </w:t>
      </w:r>
      <w:r>
        <w:rPr>
          <w:rFonts w:hint="eastAsia" w:ascii="宋体" w:hAnsi="宋体"/>
          <w:szCs w:val="21"/>
          <w:u w:val="single"/>
        </w:rPr>
        <w:t xml:space="preserve">            </w:t>
      </w:r>
    </w:p>
    <w:p w14:paraId="3580746C">
      <w:pPr>
        <w:spacing w:line="360" w:lineRule="auto"/>
        <w:rPr>
          <w:rFonts w:ascii="宋体" w:hAnsi="宋体"/>
          <w:szCs w:val="21"/>
          <w:u w:val="single"/>
        </w:rPr>
      </w:pPr>
      <w:r>
        <w:rPr>
          <w:rFonts w:hint="eastAsia"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邮编：</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p>
    <w:p w14:paraId="1BFF1181">
      <w:pPr>
        <w:pStyle w:val="35"/>
        <w:spacing w:line="360" w:lineRule="auto"/>
        <w:rPr>
          <w:rFonts w:ascii="宋体" w:hAnsi="宋体"/>
          <w:szCs w:val="21"/>
        </w:rPr>
      </w:pPr>
      <w:r>
        <w:rPr>
          <w:rFonts w:hint="eastAsia" w:ascii="宋体" w:hAnsi="宋体"/>
          <w:szCs w:val="21"/>
        </w:rPr>
        <w:t>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593210E">
      <w:pPr>
        <w:rPr>
          <w:rFonts w:ascii="宋体" w:hAnsi="宋体"/>
          <w:szCs w:val="21"/>
        </w:rPr>
        <w:sectPr>
          <w:headerReference r:id="rId8" w:type="first"/>
          <w:footerReference r:id="rId11" w:type="first"/>
          <w:headerReference r:id="rId6" w:type="default"/>
          <w:footerReference r:id="rId9" w:type="default"/>
          <w:headerReference r:id="rId7" w:type="even"/>
          <w:footerReference r:id="rId10" w:type="even"/>
          <w:pgSz w:w="11906" w:h="16841"/>
          <w:pgMar w:top="1414" w:right="1582" w:bottom="1702" w:left="1638" w:header="720" w:footer="720" w:gutter="0"/>
          <w:cols w:space="720" w:num="1"/>
          <w:docGrid w:linePitch="286" w:charSpace="0"/>
        </w:sectPr>
      </w:pPr>
      <w:r>
        <w:rPr>
          <w:rFonts w:hint="eastAsia" w:ascii="宋体" w:hAnsi="宋体"/>
          <w:szCs w:val="21"/>
        </w:rPr>
        <w:br w:type="page"/>
      </w:r>
    </w:p>
    <w:p w14:paraId="0A55AA5B">
      <w:pPr>
        <w:pStyle w:val="3"/>
        <w:rPr>
          <w:rFonts w:hint="eastAsia"/>
          <w:sz w:val="28"/>
          <w:szCs w:val="22"/>
        </w:rPr>
      </w:pPr>
      <w:r>
        <w:rPr>
          <w:rFonts w:hint="eastAsia"/>
          <w:sz w:val="28"/>
          <w:szCs w:val="22"/>
        </w:rPr>
        <w:t>二、磋商一览表</w:t>
      </w:r>
    </w:p>
    <w:p w14:paraId="1BF31E39">
      <w:pPr>
        <w:pStyle w:val="35"/>
        <w:spacing w:line="360" w:lineRule="auto"/>
        <w:jc w:val="left"/>
        <w:rPr>
          <w:rFonts w:ascii="宋体" w:hAnsi="宋体"/>
          <w:szCs w:val="21"/>
        </w:rPr>
      </w:pPr>
      <w:r>
        <w:rPr>
          <w:rFonts w:hint="eastAsia" w:ascii="宋体" w:hAnsi="宋体"/>
          <w:szCs w:val="21"/>
        </w:rPr>
        <w:t>目编号：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p w14:paraId="56E2CD55">
      <w:pPr>
        <w:pStyle w:val="20"/>
        <w:jc w:val="center"/>
      </w:pPr>
      <w:r>
        <w:rPr>
          <w:rFonts w:hint="eastAsia"/>
          <w:sz w:val="21"/>
          <w:szCs w:val="21"/>
        </w:rPr>
        <w:t xml:space="preserve">                                                                                                 单位：元 </w:t>
      </w:r>
    </w:p>
    <w:tbl>
      <w:tblPr>
        <w:tblStyle w:val="28"/>
        <w:tblW w:w="13984" w:type="dxa"/>
        <w:tblInd w:w="-585" w:type="dxa"/>
        <w:tblLayout w:type="fixed"/>
        <w:tblCellMar>
          <w:top w:w="0" w:type="dxa"/>
          <w:left w:w="28" w:type="dxa"/>
          <w:bottom w:w="0" w:type="dxa"/>
          <w:right w:w="28" w:type="dxa"/>
        </w:tblCellMar>
      </w:tblPr>
      <w:tblGrid>
        <w:gridCol w:w="700"/>
        <w:gridCol w:w="2019"/>
        <w:gridCol w:w="2055"/>
        <w:gridCol w:w="1905"/>
        <w:gridCol w:w="2520"/>
        <w:gridCol w:w="2100"/>
        <w:gridCol w:w="2685"/>
      </w:tblGrid>
      <w:tr w14:paraId="0251985D">
        <w:tblPrEx>
          <w:tblCellMar>
            <w:top w:w="0" w:type="dxa"/>
            <w:left w:w="28" w:type="dxa"/>
            <w:bottom w:w="0" w:type="dxa"/>
            <w:right w:w="28" w:type="dxa"/>
          </w:tblCellMar>
        </w:tblPrEx>
        <w:trPr>
          <w:trHeight w:val="645" w:hRule="atLeast"/>
        </w:trPr>
        <w:tc>
          <w:tcPr>
            <w:tcW w:w="700" w:type="dxa"/>
            <w:tcBorders>
              <w:top w:val="single" w:color="auto" w:sz="6" w:space="0"/>
              <w:left w:val="single" w:color="auto" w:sz="6" w:space="0"/>
              <w:bottom w:val="single" w:color="auto" w:sz="6" w:space="0"/>
            </w:tcBorders>
            <w:vAlign w:val="center"/>
          </w:tcPr>
          <w:p w14:paraId="1E61AD81">
            <w:pPr>
              <w:spacing w:line="0" w:lineRule="atLeast"/>
              <w:jc w:val="center"/>
              <w:rPr>
                <w:rFonts w:ascii="宋体" w:hAnsi="宋体"/>
                <w:szCs w:val="21"/>
              </w:rPr>
            </w:pPr>
            <w:r>
              <w:rPr>
                <w:rFonts w:hint="eastAsia" w:ascii="宋体" w:hAnsi="宋体"/>
                <w:szCs w:val="21"/>
              </w:rPr>
              <w:t>序号</w:t>
            </w:r>
          </w:p>
        </w:tc>
        <w:tc>
          <w:tcPr>
            <w:tcW w:w="2019" w:type="dxa"/>
            <w:tcBorders>
              <w:top w:val="single" w:color="auto" w:sz="6" w:space="0"/>
              <w:left w:val="single" w:color="auto" w:sz="6" w:space="0"/>
              <w:bottom w:val="single" w:color="auto" w:sz="6" w:space="0"/>
              <w:right w:val="single" w:color="auto" w:sz="6" w:space="0"/>
            </w:tcBorders>
            <w:vAlign w:val="center"/>
          </w:tcPr>
          <w:p w14:paraId="47B35231">
            <w:pPr>
              <w:jc w:val="center"/>
              <w:rPr>
                <w:rFonts w:hint="default" w:ascii="宋体" w:hAnsi="宋体" w:eastAsia="宋体"/>
                <w:szCs w:val="21"/>
                <w:lang w:val="en-US" w:eastAsia="zh-CN"/>
              </w:rPr>
            </w:pPr>
            <w:r>
              <w:rPr>
                <w:rFonts w:hint="eastAsia" w:ascii="宋体" w:hAnsi="宋体" w:cs="宋体"/>
                <w:szCs w:val="21"/>
                <w:lang w:val="en-US" w:eastAsia="zh-CN"/>
              </w:rPr>
              <w:t>服务内容</w:t>
            </w:r>
          </w:p>
        </w:tc>
        <w:tc>
          <w:tcPr>
            <w:tcW w:w="2055" w:type="dxa"/>
            <w:tcBorders>
              <w:top w:val="single" w:color="auto" w:sz="6" w:space="0"/>
              <w:left w:val="single" w:color="auto" w:sz="6" w:space="0"/>
              <w:bottom w:val="single" w:color="auto" w:sz="6" w:space="0"/>
              <w:right w:val="single" w:color="auto" w:sz="6" w:space="0"/>
            </w:tcBorders>
            <w:vAlign w:val="center"/>
          </w:tcPr>
          <w:p w14:paraId="21E13313">
            <w:pPr>
              <w:spacing w:line="0" w:lineRule="atLeast"/>
              <w:jc w:val="center"/>
              <w:rPr>
                <w:rFonts w:ascii="宋体" w:hAnsi="宋体"/>
                <w:szCs w:val="21"/>
              </w:rPr>
            </w:pPr>
            <w:r>
              <w:rPr>
                <w:rFonts w:hint="eastAsia" w:ascii="宋体" w:hAnsi="宋体"/>
                <w:szCs w:val="21"/>
              </w:rPr>
              <w:t>数量</w:t>
            </w:r>
          </w:p>
        </w:tc>
        <w:tc>
          <w:tcPr>
            <w:tcW w:w="1905" w:type="dxa"/>
            <w:tcBorders>
              <w:top w:val="single" w:color="auto" w:sz="6" w:space="0"/>
              <w:left w:val="single" w:color="auto" w:sz="6" w:space="0"/>
              <w:bottom w:val="single" w:color="auto" w:sz="6" w:space="0"/>
              <w:right w:val="single" w:color="auto" w:sz="6" w:space="0"/>
            </w:tcBorders>
            <w:vAlign w:val="center"/>
          </w:tcPr>
          <w:p w14:paraId="2942B9A4">
            <w:pPr>
              <w:spacing w:line="0" w:lineRule="atLeast"/>
              <w:jc w:val="center"/>
              <w:rPr>
                <w:rFonts w:ascii="宋体" w:hAnsi="宋体"/>
                <w:bCs/>
                <w:szCs w:val="21"/>
              </w:rPr>
            </w:pPr>
            <w:r>
              <w:rPr>
                <w:rFonts w:hint="eastAsia" w:ascii="宋体" w:hAnsi="宋体"/>
                <w:bCs/>
                <w:szCs w:val="21"/>
              </w:rPr>
              <w:t>单位</w:t>
            </w:r>
          </w:p>
        </w:tc>
        <w:tc>
          <w:tcPr>
            <w:tcW w:w="2520" w:type="dxa"/>
            <w:tcBorders>
              <w:top w:val="single" w:color="auto" w:sz="6" w:space="0"/>
              <w:left w:val="single" w:color="auto" w:sz="6" w:space="0"/>
              <w:bottom w:val="single" w:color="auto" w:sz="6" w:space="0"/>
              <w:right w:val="single" w:color="auto" w:sz="6" w:space="0"/>
            </w:tcBorders>
            <w:vAlign w:val="center"/>
          </w:tcPr>
          <w:p w14:paraId="10DE53EC">
            <w:pPr>
              <w:spacing w:line="0" w:lineRule="atLeast"/>
              <w:jc w:val="center"/>
              <w:rPr>
                <w:rFonts w:ascii="宋体" w:hAnsi="宋体"/>
                <w:bCs/>
                <w:szCs w:val="21"/>
              </w:rPr>
            </w:pPr>
            <w:r>
              <w:rPr>
                <w:rFonts w:hint="eastAsia" w:ascii="宋体" w:hAnsi="宋体"/>
                <w:bCs/>
                <w:szCs w:val="21"/>
                <w:lang w:val="en-US" w:eastAsia="zh-CN"/>
              </w:rPr>
              <w:t>报价</w:t>
            </w:r>
          </w:p>
        </w:tc>
        <w:tc>
          <w:tcPr>
            <w:tcW w:w="2100" w:type="dxa"/>
            <w:tcBorders>
              <w:top w:val="single" w:color="auto" w:sz="6" w:space="0"/>
              <w:left w:val="single" w:color="auto" w:sz="6" w:space="0"/>
              <w:bottom w:val="single" w:color="auto" w:sz="6" w:space="0"/>
              <w:right w:val="single" w:color="auto" w:sz="6" w:space="0"/>
            </w:tcBorders>
            <w:vAlign w:val="center"/>
          </w:tcPr>
          <w:p w14:paraId="38E937C2">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服务期</w:t>
            </w:r>
          </w:p>
        </w:tc>
        <w:tc>
          <w:tcPr>
            <w:tcW w:w="2685" w:type="dxa"/>
            <w:tcBorders>
              <w:top w:val="single" w:color="auto" w:sz="6" w:space="0"/>
              <w:left w:val="single" w:color="auto" w:sz="6" w:space="0"/>
              <w:bottom w:val="single" w:color="auto" w:sz="6" w:space="0"/>
              <w:right w:val="single" w:color="auto" w:sz="6" w:space="0"/>
            </w:tcBorders>
            <w:vAlign w:val="center"/>
          </w:tcPr>
          <w:p w14:paraId="5BFA1799">
            <w:pPr>
              <w:spacing w:line="0" w:lineRule="atLeast"/>
              <w:jc w:val="center"/>
              <w:rPr>
                <w:rFonts w:ascii="宋体" w:hAnsi="宋体"/>
                <w:bCs/>
                <w:szCs w:val="21"/>
              </w:rPr>
            </w:pPr>
            <w:r>
              <w:rPr>
                <w:rFonts w:hint="eastAsia" w:ascii="宋体" w:hAnsi="宋体"/>
                <w:bCs/>
                <w:szCs w:val="21"/>
                <w:lang w:val="en-US" w:eastAsia="zh-CN"/>
              </w:rPr>
              <w:t>服务</w:t>
            </w:r>
            <w:r>
              <w:rPr>
                <w:rFonts w:hint="eastAsia" w:ascii="宋体" w:hAnsi="宋体"/>
                <w:bCs/>
                <w:szCs w:val="21"/>
              </w:rPr>
              <w:t>地点</w:t>
            </w:r>
          </w:p>
        </w:tc>
      </w:tr>
      <w:tr w14:paraId="0E41391F">
        <w:tblPrEx>
          <w:tblCellMar>
            <w:top w:w="0" w:type="dxa"/>
            <w:left w:w="28" w:type="dxa"/>
            <w:bottom w:w="0" w:type="dxa"/>
            <w:right w:w="28" w:type="dxa"/>
          </w:tblCellMar>
        </w:tblPrEx>
        <w:trPr>
          <w:trHeight w:val="645" w:hRule="atLeast"/>
        </w:trPr>
        <w:tc>
          <w:tcPr>
            <w:tcW w:w="700" w:type="dxa"/>
            <w:tcBorders>
              <w:top w:val="single" w:color="auto" w:sz="6" w:space="0"/>
              <w:left w:val="single" w:color="auto" w:sz="6" w:space="0"/>
              <w:bottom w:val="single" w:color="auto" w:sz="6" w:space="0"/>
            </w:tcBorders>
            <w:vAlign w:val="center"/>
          </w:tcPr>
          <w:p w14:paraId="36F9C9E7">
            <w:pPr>
              <w:adjustRightInd w:val="0"/>
              <w:snapToGrid w:val="0"/>
              <w:spacing w:line="0" w:lineRule="atLeast"/>
              <w:jc w:val="center"/>
              <w:rPr>
                <w:rFonts w:hint="eastAsia" w:ascii="宋体" w:hAnsi="宋体" w:eastAsia="宋体"/>
                <w:szCs w:val="21"/>
                <w:lang w:val="en-US" w:eastAsia="zh-CN"/>
              </w:rPr>
            </w:pPr>
            <w:r>
              <w:rPr>
                <w:rFonts w:hint="eastAsia" w:ascii="宋体" w:hAnsi="宋体"/>
                <w:szCs w:val="21"/>
                <w:lang w:val="en-US" w:eastAsia="zh-CN"/>
              </w:rPr>
              <w:t>1</w:t>
            </w:r>
          </w:p>
        </w:tc>
        <w:tc>
          <w:tcPr>
            <w:tcW w:w="2019" w:type="dxa"/>
            <w:tcBorders>
              <w:top w:val="single" w:color="auto" w:sz="6" w:space="0"/>
              <w:left w:val="single" w:color="auto" w:sz="6" w:space="0"/>
              <w:bottom w:val="single" w:color="auto" w:sz="6" w:space="0"/>
              <w:right w:val="single" w:color="auto" w:sz="6" w:space="0"/>
            </w:tcBorders>
            <w:vAlign w:val="center"/>
          </w:tcPr>
          <w:p w14:paraId="0A98A84B">
            <w:pPr>
              <w:adjustRightInd w:val="0"/>
              <w:snapToGrid w:val="0"/>
              <w:spacing w:line="0" w:lineRule="atLeast"/>
              <w:jc w:val="center"/>
              <w:rPr>
                <w:rFonts w:hint="default" w:ascii="宋体" w:hAnsi="宋体"/>
                <w:szCs w:val="21"/>
                <w:lang w:val="en-US"/>
              </w:rPr>
            </w:pPr>
            <w:r>
              <w:rPr>
                <w:rFonts w:hint="eastAsia" w:ascii="宋体" w:hAnsi="宋体" w:cs="宋体"/>
                <w:szCs w:val="21"/>
                <w:lang w:eastAsia="zh-CN"/>
              </w:rPr>
              <w:t>远程心电监测</w:t>
            </w:r>
            <w:r>
              <w:rPr>
                <w:rFonts w:hint="eastAsia" w:ascii="宋体" w:hAnsi="宋体" w:cs="宋体"/>
                <w:szCs w:val="21"/>
                <w:lang w:val="en-US" w:eastAsia="zh-CN"/>
              </w:rPr>
              <w:t>服务</w:t>
            </w:r>
          </w:p>
        </w:tc>
        <w:tc>
          <w:tcPr>
            <w:tcW w:w="2055" w:type="dxa"/>
            <w:tcBorders>
              <w:top w:val="single" w:color="auto" w:sz="6" w:space="0"/>
              <w:left w:val="single" w:color="auto" w:sz="6" w:space="0"/>
              <w:bottom w:val="single" w:color="auto" w:sz="6" w:space="0"/>
              <w:right w:val="single" w:color="auto" w:sz="6" w:space="0"/>
            </w:tcBorders>
            <w:vAlign w:val="center"/>
          </w:tcPr>
          <w:p w14:paraId="12070AAE">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1</w:t>
            </w:r>
          </w:p>
        </w:tc>
        <w:tc>
          <w:tcPr>
            <w:tcW w:w="1905" w:type="dxa"/>
            <w:tcBorders>
              <w:top w:val="single" w:color="auto" w:sz="6" w:space="0"/>
              <w:left w:val="single" w:color="auto" w:sz="6" w:space="0"/>
              <w:bottom w:val="single" w:color="auto" w:sz="6" w:space="0"/>
              <w:right w:val="single" w:color="auto" w:sz="6" w:space="0"/>
            </w:tcBorders>
            <w:vAlign w:val="center"/>
          </w:tcPr>
          <w:p w14:paraId="4FB110E6">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项</w:t>
            </w:r>
          </w:p>
        </w:tc>
        <w:tc>
          <w:tcPr>
            <w:tcW w:w="2520" w:type="dxa"/>
            <w:tcBorders>
              <w:top w:val="single" w:color="auto" w:sz="6" w:space="0"/>
              <w:left w:val="single" w:color="auto" w:sz="6" w:space="0"/>
              <w:bottom w:val="single" w:color="auto" w:sz="6" w:space="0"/>
              <w:right w:val="single" w:color="auto" w:sz="6" w:space="0"/>
            </w:tcBorders>
            <w:vAlign w:val="center"/>
          </w:tcPr>
          <w:p w14:paraId="66D95DC5">
            <w:pPr>
              <w:spacing w:line="0" w:lineRule="atLeast"/>
              <w:jc w:val="center"/>
              <w:rPr>
                <w:rFonts w:ascii="宋体" w:hAnsi="宋体"/>
                <w:szCs w:val="21"/>
              </w:rPr>
            </w:pPr>
          </w:p>
        </w:tc>
        <w:tc>
          <w:tcPr>
            <w:tcW w:w="2100" w:type="dxa"/>
            <w:tcBorders>
              <w:top w:val="single" w:color="auto" w:sz="6" w:space="0"/>
              <w:left w:val="single" w:color="auto" w:sz="6" w:space="0"/>
              <w:bottom w:val="single" w:color="auto" w:sz="6" w:space="0"/>
              <w:right w:val="single" w:color="auto" w:sz="6" w:space="0"/>
            </w:tcBorders>
            <w:vAlign w:val="center"/>
          </w:tcPr>
          <w:p w14:paraId="3FD237C5">
            <w:pPr>
              <w:spacing w:line="0" w:lineRule="atLeast"/>
              <w:jc w:val="center"/>
              <w:rPr>
                <w:rFonts w:ascii="宋体" w:hAnsi="宋体"/>
                <w:szCs w:val="21"/>
              </w:rPr>
            </w:pPr>
          </w:p>
        </w:tc>
        <w:tc>
          <w:tcPr>
            <w:tcW w:w="2685" w:type="dxa"/>
            <w:tcBorders>
              <w:top w:val="single" w:color="auto" w:sz="6" w:space="0"/>
              <w:left w:val="single" w:color="auto" w:sz="6" w:space="0"/>
              <w:bottom w:val="single" w:color="auto" w:sz="6" w:space="0"/>
              <w:right w:val="single" w:color="auto" w:sz="6" w:space="0"/>
            </w:tcBorders>
            <w:vAlign w:val="center"/>
          </w:tcPr>
          <w:p w14:paraId="1A92A0D9">
            <w:pPr>
              <w:spacing w:line="0" w:lineRule="atLeast"/>
              <w:jc w:val="center"/>
              <w:rPr>
                <w:rFonts w:ascii="宋体" w:hAnsi="宋体"/>
                <w:szCs w:val="21"/>
              </w:rPr>
            </w:pPr>
          </w:p>
        </w:tc>
      </w:tr>
      <w:tr w14:paraId="327FBFE8">
        <w:tblPrEx>
          <w:tblCellMar>
            <w:top w:w="0" w:type="dxa"/>
            <w:left w:w="28" w:type="dxa"/>
            <w:bottom w:w="0" w:type="dxa"/>
            <w:right w:w="28" w:type="dxa"/>
          </w:tblCellMar>
        </w:tblPrEx>
        <w:trPr>
          <w:trHeight w:val="645" w:hRule="atLeast"/>
        </w:trPr>
        <w:tc>
          <w:tcPr>
            <w:tcW w:w="6679" w:type="dxa"/>
            <w:gridSpan w:val="4"/>
            <w:tcBorders>
              <w:top w:val="single" w:color="auto" w:sz="6" w:space="0"/>
              <w:left w:val="single" w:color="auto" w:sz="6" w:space="0"/>
              <w:bottom w:val="single" w:color="auto" w:sz="4" w:space="0"/>
              <w:right w:val="single" w:color="auto" w:sz="6" w:space="0"/>
            </w:tcBorders>
            <w:vAlign w:val="center"/>
          </w:tcPr>
          <w:p w14:paraId="39FEAB20">
            <w:pPr>
              <w:spacing w:line="0" w:lineRule="atLeast"/>
              <w:jc w:val="center"/>
              <w:rPr>
                <w:rFonts w:hint="default" w:ascii="宋体" w:hAnsi="宋体"/>
                <w:szCs w:val="21"/>
                <w:lang w:val="en-US" w:eastAsia="zh-CN"/>
              </w:rPr>
            </w:pPr>
            <w:r>
              <w:rPr>
                <w:rFonts w:hint="eastAsia" w:ascii="宋体" w:hAnsi="宋体"/>
                <w:szCs w:val="21"/>
                <w:lang w:val="en-US" w:eastAsia="zh-CN"/>
              </w:rPr>
              <w:t>磋商总报价：</w:t>
            </w:r>
          </w:p>
        </w:tc>
        <w:tc>
          <w:tcPr>
            <w:tcW w:w="7305" w:type="dxa"/>
            <w:gridSpan w:val="3"/>
            <w:tcBorders>
              <w:top w:val="single" w:color="auto" w:sz="6" w:space="0"/>
              <w:left w:val="single" w:color="auto" w:sz="6" w:space="0"/>
              <w:bottom w:val="single" w:color="auto" w:sz="4" w:space="0"/>
              <w:right w:val="single" w:color="auto" w:sz="6" w:space="0"/>
            </w:tcBorders>
            <w:vAlign w:val="center"/>
          </w:tcPr>
          <w:p w14:paraId="47307A37">
            <w:pPr>
              <w:spacing w:line="0" w:lineRule="atLeast"/>
              <w:jc w:val="both"/>
              <w:rPr>
                <w:rFonts w:hint="default" w:ascii="宋体" w:hAnsi="宋体" w:eastAsia="宋体"/>
                <w:szCs w:val="21"/>
                <w:lang w:val="en-US" w:eastAsia="zh-CN"/>
              </w:rPr>
            </w:pPr>
            <w:r>
              <w:rPr>
                <w:rFonts w:hint="eastAsia" w:ascii="宋体" w:hAnsi="宋体"/>
                <w:szCs w:val="21"/>
                <w:lang w:val="en-US" w:eastAsia="zh-CN"/>
              </w:rPr>
              <w:t>大写：             小写</w:t>
            </w:r>
          </w:p>
        </w:tc>
      </w:tr>
    </w:tbl>
    <w:p w14:paraId="0BB55009">
      <w:pPr>
        <w:spacing w:before="240" w:beforeLines="100" w:after="120" w:afterLines="50" w:line="360" w:lineRule="auto"/>
        <w:ind w:firstLine="436" w:firstLineChars="200"/>
        <w:jc w:val="left"/>
        <w:rPr>
          <w:rFonts w:hint="default" w:ascii="宋体" w:hAnsi="宋体" w:eastAsia="宋体" w:cs="宋体"/>
          <w:spacing w:val="4"/>
          <w:szCs w:val="21"/>
          <w:lang w:val="en-US" w:eastAsia="zh-CN"/>
        </w:rPr>
      </w:pPr>
      <w:r>
        <w:rPr>
          <w:rFonts w:hint="eastAsia" w:ascii="宋体" w:hAnsi="宋体" w:cs="宋体"/>
          <w:spacing w:val="4"/>
          <w:szCs w:val="21"/>
          <w:lang w:val="en-US" w:eastAsia="zh-CN"/>
        </w:rPr>
        <w:t>注：磋商总报价金额需与分项报价表中合计金额一致。</w:t>
      </w:r>
    </w:p>
    <w:p w14:paraId="41E81F50">
      <w:pPr>
        <w:spacing w:before="240" w:beforeLines="100" w:after="120"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6F2E3951">
      <w:pPr>
        <w:spacing w:before="240" w:beforeLines="100" w:after="120"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509AFAEA">
      <w:pPr>
        <w:spacing w:before="240" w:beforeLines="100" w:after="120" w:afterLines="50" w:line="360" w:lineRule="auto"/>
        <w:ind w:firstLine="420" w:firstLineChars="200"/>
        <w:jc w:val="left"/>
        <w:rPr>
          <w:rFonts w:ascii="宋体" w:hAnsi="宋体" w:cs="宋体"/>
          <w:bCs/>
          <w:szCs w:val="21"/>
        </w:rPr>
      </w:pPr>
      <w:r>
        <w:rPr>
          <w:rFonts w:hint="eastAsia" w:ascii="宋体" w:hAnsi="宋体" w:cs="宋体"/>
          <w:bCs/>
          <w:szCs w:val="21"/>
        </w:rPr>
        <w:t>日 期：</w:t>
      </w:r>
      <w:r>
        <w:rPr>
          <w:rFonts w:hint="eastAsia" w:ascii="宋体" w:hAnsi="宋体" w:cs="宋体"/>
          <w:bCs/>
          <w:szCs w:val="21"/>
          <w:u w:val="single"/>
        </w:rPr>
        <w:t xml:space="preserve">  年   月   日</w:t>
      </w:r>
    </w:p>
    <w:p w14:paraId="4FE5B231">
      <w:pPr>
        <w:rPr>
          <w:rFonts w:hint="eastAsia"/>
          <w:sz w:val="28"/>
          <w:szCs w:val="22"/>
        </w:rPr>
      </w:pPr>
    </w:p>
    <w:p w14:paraId="549796C0">
      <w:pPr>
        <w:rPr>
          <w:rFonts w:hint="eastAsia"/>
          <w:sz w:val="28"/>
          <w:szCs w:val="22"/>
        </w:rPr>
      </w:pPr>
    </w:p>
    <w:p w14:paraId="66135F6E">
      <w:pPr>
        <w:rPr>
          <w:rFonts w:hint="eastAsia"/>
          <w:sz w:val="28"/>
          <w:szCs w:val="22"/>
        </w:rPr>
      </w:pPr>
    </w:p>
    <w:p w14:paraId="289405C1">
      <w:pPr>
        <w:rPr>
          <w:rFonts w:hint="eastAsia"/>
          <w:sz w:val="28"/>
          <w:szCs w:val="22"/>
        </w:rPr>
      </w:pPr>
    </w:p>
    <w:p w14:paraId="60D887F6">
      <w:pPr>
        <w:rPr>
          <w:rFonts w:hint="eastAsia"/>
          <w:sz w:val="28"/>
          <w:szCs w:val="22"/>
        </w:rPr>
      </w:pPr>
    </w:p>
    <w:p w14:paraId="4DB2753E">
      <w:pPr>
        <w:rPr>
          <w:rFonts w:hint="eastAsia"/>
          <w:sz w:val="28"/>
          <w:szCs w:val="22"/>
        </w:rPr>
      </w:pPr>
    </w:p>
    <w:p w14:paraId="60676482">
      <w:pPr>
        <w:rPr>
          <w:rFonts w:hint="eastAsia"/>
          <w:sz w:val="28"/>
          <w:szCs w:val="22"/>
        </w:rPr>
      </w:pPr>
    </w:p>
    <w:p w14:paraId="46D887D6">
      <w:pPr>
        <w:jc w:val="center"/>
        <w:rPr>
          <w:rFonts w:hint="eastAsia"/>
          <w:sz w:val="28"/>
          <w:szCs w:val="22"/>
          <w:lang w:val="en-US" w:eastAsia="zh-CN"/>
        </w:rPr>
      </w:pPr>
      <w:r>
        <w:rPr>
          <w:rFonts w:hint="eastAsia"/>
          <w:sz w:val="28"/>
          <w:szCs w:val="22"/>
          <w:lang w:val="en-US" w:eastAsia="zh-CN"/>
        </w:rPr>
        <w:t>2.1分项报价表</w:t>
      </w:r>
    </w:p>
    <w:p w14:paraId="314B0BF8">
      <w:pPr>
        <w:jc w:val="center"/>
        <w:rPr>
          <w:rFonts w:hint="eastAsia"/>
          <w:sz w:val="28"/>
          <w:szCs w:val="22"/>
          <w:lang w:val="en-US" w:eastAsia="zh-CN"/>
        </w:rPr>
      </w:pPr>
    </w:p>
    <w:p w14:paraId="7F908856">
      <w:pPr>
        <w:jc w:val="center"/>
        <w:rPr>
          <w:rFonts w:hint="default"/>
          <w:sz w:val="28"/>
          <w:szCs w:val="22"/>
          <w:lang w:val="en-US" w:eastAsia="zh-CN"/>
        </w:rPr>
      </w:pPr>
    </w:p>
    <w:p w14:paraId="1375286C">
      <w:pPr>
        <w:pStyle w:val="35"/>
        <w:spacing w:line="360" w:lineRule="auto"/>
        <w:jc w:val="left"/>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p w14:paraId="109C7607">
      <w:pPr>
        <w:pStyle w:val="20"/>
        <w:jc w:val="center"/>
      </w:pPr>
      <w:r>
        <w:rPr>
          <w:rFonts w:hint="eastAsia"/>
          <w:sz w:val="21"/>
          <w:szCs w:val="21"/>
        </w:rPr>
        <w:t xml:space="preserve">                                                                                                 单位：元 </w:t>
      </w:r>
    </w:p>
    <w:tbl>
      <w:tblPr>
        <w:tblStyle w:val="28"/>
        <w:tblW w:w="13800" w:type="dxa"/>
        <w:tblInd w:w="-585" w:type="dxa"/>
        <w:tblLayout w:type="fixed"/>
        <w:tblCellMar>
          <w:top w:w="0" w:type="dxa"/>
          <w:left w:w="28" w:type="dxa"/>
          <w:bottom w:w="0" w:type="dxa"/>
          <w:right w:w="28" w:type="dxa"/>
        </w:tblCellMar>
      </w:tblPr>
      <w:tblGrid>
        <w:gridCol w:w="700"/>
        <w:gridCol w:w="1524"/>
        <w:gridCol w:w="2220"/>
        <w:gridCol w:w="2670"/>
        <w:gridCol w:w="2415"/>
        <w:gridCol w:w="2355"/>
        <w:gridCol w:w="1916"/>
      </w:tblGrid>
      <w:tr w14:paraId="04C5E137">
        <w:tblPrEx>
          <w:tblCellMar>
            <w:top w:w="0" w:type="dxa"/>
            <w:left w:w="28" w:type="dxa"/>
            <w:bottom w:w="0" w:type="dxa"/>
            <w:right w:w="28" w:type="dxa"/>
          </w:tblCellMar>
        </w:tblPrEx>
        <w:trPr>
          <w:trHeight w:val="645" w:hRule="atLeast"/>
        </w:trPr>
        <w:tc>
          <w:tcPr>
            <w:tcW w:w="700" w:type="dxa"/>
            <w:tcBorders>
              <w:top w:val="single" w:color="auto" w:sz="6" w:space="0"/>
              <w:left w:val="single" w:color="auto" w:sz="6" w:space="0"/>
              <w:bottom w:val="single" w:color="auto" w:sz="6" w:space="0"/>
            </w:tcBorders>
            <w:vAlign w:val="center"/>
          </w:tcPr>
          <w:p w14:paraId="5D68A642">
            <w:pPr>
              <w:spacing w:line="0" w:lineRule="atLeast"/>
              <w:jc w:val="center"/>
              <w:rPr>
                <w:rFonts w:ascii="宋体" w:hAnsi="宋体"/>
                <w:szCs w:val="21"/>
              </w:rPr>
            </w:pPr>
            <w:r>
              <w:rPr>
                <w:rFonts w:hint="eastAsia" w:ascii="宋体" w:hAnsi="宋体"/>
                <w:szCs w:val="21"/>
              </w:rPr>
              <w:t>序号</w:t>
            </w:r>
          </w:p>
        </w:tc>
        <w:tc>
          <w:tcPr>
            <w:tcW w:w="1524" w:type="dxa"/>
            <w:tcBorders>
              <w:top w:val="single" w:color="auto" w:sz="6" w:space="0"/>
              <w:left w:val="single" w:color="auto" w:sz="6" w:space="0"/>
              <w:bottom w:val="single" w:color="auto" w:sz="6" w:space="0"/>
              <w:right w:val="single" w:color="auto" w:sz="6" w:space="0"/>
            </w:tcBorders>
            <w:vAlign w:val="center"/>
          </w:tcPr>
          <w:p w14:paraId="12BF2944">
            <w:pPr>
              <w:jc w:val="center"/>
              <w:rPr>
                <w:rFonts w:hint="eastAsia" w:ascii="宋体" w:hAnsi="宋体" w:eastAsia="宋体"/>
                <w:szCs w:val="21"/>
                <w:lang w:val="en-US" w:eastAsia="zh-CN"/>
              </w:rPr>
            </w:pPr>
            <w:r>
              <w:rPr>
                <w:rFonts w:hint="eastAsia" w:ascii="宋体" w:hAnsi="宋体"/>
                <w:szCs w:val="21"/>
                <w:lang w:val="en-US" w:eastAsia="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4A9ECFC6">
            <w:pPr>
              <w:widowControl/>
              <w:ind w:left="2"/>
              <w:jc w:val="center"/>
              <w:rPr>
                <w:rFonts w:ascii="宋体" w:hAnsi="宋体"/>
                <w:szCs w:val="21"/>
              </w:rPr>
            </w:pPr>
            <w:r>
              <w:rPr>
                <w:rFonts w:ascii="宋体" w:hAnsi="宋体" w:cs="微软雅黑"/>
                <w:color w:val="000000"/>
                <w:szCs w:val="21"/>
              </w:rPr>
              <w:t>型号和规格</w:t>
            </w:r>
          </w:p>
        </w:tc>
        <w:tc>
          <w:tcPr>
            <w:tcW w:w="2670" w:type="dxa"/>
            <w:tcBorders>
              <w:top w:val="single" w:color="auto" w:sz="6" w:space="0"/>
              <w:left w:val="single" w:color="auto" w:sz="6" w:space="0"/>
              <w:bottom w:val="single" w:color="auto" w:sz="6" w:space="0"/>
              <w:right w:val="single" w:color="auto" w:sz="6" w:space="0"/>
            </w:tcBorders>
            <w:vAlign w:val="center"/>
          </w:tcPr>
          <w:p w14:paraId="4995B000">
            <w:pPr>
              <w:jc w:val="center"/>
              <w:rPr>
                <w:rFonts w:ascii="宋体" w:hAnsi="宋体"/>
                <w:szCs w:val="21"/>
              </w:rPr>
            </w:pPr>
            <w:r>
              <w:rPr>
                <w:rFonts w:hint="eastAsia" w:ascii="宋体" w:hAnsi="宋体"/>
                <w:szCs w:val="21"/>
              </w:rPr>
              <w:t>制造商及品牌</w:t>
            </w:r>
          </w:p>
        </w:tc>
        <w:tc>
          <w:tcPr>
            <w:tcW w:w="2415" w:type="dxa"/>
            <w:tcBorders>
              <w:top w:val="single" w:color="auto" w:sz="6" w:space="0"/>
              <w:left w:val="single" w:color="auto" w:sz="6" w:space="0"/>
              <w:bottom w:val="single" w:color="auto" w:sz="6" w:space="0"/>
              <w:right w:val="single" w:color="auto" w:sz="6" w:space="0"/>
            </w:tcBorders>
            <w:vAlign w:val="center"/>
          </w:tcPr>
          <w:p w14:paraId="0E8DDE5F">
            <w:pPr>
              <w:spacing w:line="0" w:lineRule="atLeast"/>
              <w:jc w:val="center"/>
              <w:rPr>
                <w:rFonts w:ascii="宋体" w:hAnsi="宋体"/>
                <w:szCs w:val="21"/>
              </w:rPr>
            </w:pPr>
            <w:r>
              <w:rPr>
                <w:rFonts w:hint="eastAsia" w:ascii="宋体" w:hAnsi="宋体"/>
                <w:szCs w:val="21"/>
              </w:rPr>
              <w:t>数量</w:t>
            </w:r>
          </w:p>
        </w:tc>
        <w:tc>
          <w:tcPr>
            <w:tcW w:w="2355" w:type="dxa"/>
            <w:tcBorders>
              <w:top w:val="single" w:color="auto" w:sz="6" w:space="0"/>
              <w:left w:val="single" w:color="auto" w:sz="6" w:space="0"/>
              <w:bottom w:val="single" w:color="auto" w:sz="6" w:space="0"/>
              <w:right w:val="single" w:color="auto" w:sz="6" w:space="0"/>
            </w:tcBorders>
            <w:vAlign w:val="center"/>
          </w:tcPr>
          <w:p w14:paraId="7398AB57">
            <w:pPr>
              <w:spacing w:line="0" w:lineRule="atLeast"/>
              <w:jc w:val="center"/>
              <w:rPr>
                <w:rFonts w:ascii="宋体" w:hAnsi="宋体"/>
                <w:bCs/>
                <w:szCs w:val="21"/>
              </w:rPr>
            </w:pPr>
            <w:r>
              <w:rPr>
                <w:rFonts w:hint="eastAsia" w:ascii="宋体" w:hAnsi="宋体"/>
                <w:bCs/>
                <w:szCs w:val="21"/>
              </w:rPr>
              <w:t>单位</w:t>
            </w:r>
          </w:p>
        </w:tc>
        <w:tc>
          <w:tcPr>
            <w:tcW w:w="1916" w:type="dxa"/>
            <w:tcBorders>
              <w:top w:val="single" w:color="auto" w:sz="6" w:space="0"/>
              <w:left w:val="single" w:color="auto" w:sz="6" w:space="0"/>
              <w:bottom w:val="single" w:color="auto" w:sz="6" w:space="0"/>
              <w:right w:val="single" w:color="auto" w:sz="6" w:space="0"/>
            </w:tcBorders>
            <w:vAlign w:val="center"/>
          </w:tcPr>
          <w:p w14:paraId="3BDF68D7">
            <w:pPr>
              <w:spacing w:line="0" w:lineRule="atLeast"/>
              <w:jc w:val="center"/>
              <w:rPr>
                <w:rFonts w:ascii="宋体" w:hAnsi="宋体"/>
                <w:bCs/>
                <w:szCs w:val="21"/>
              </w:rPr>
            </w:pPr>
            <w:r>
              <w:rPr>
                <w:rFonts w:hint="eastAsia" w:ascii="宋体" w:hAnsi="宋体"/>
                <w:bCs/>
                <w:szCs w:val="21"/>
              </w:rPr>
              <w:t>总价（元）</w:t>
            </w:r>
          </w:p>
        </w:tc>
      </w:tr>
      <w:tr w14:paraId="53707B40">
        <w:tblPrEx>
          <w:tblCellMar>
            <w:top w:w="0" w:type="dxa"/>
            <w:left w:w="28" w:type="dxa"/>
            <w:bottom w:w="0" w:type="dxa"/>
            <w:right w:w="28" w:type="dxa"/>
          </w:tblCellMar>
        </w:tblPrEx>
        <w:trPr>
          <w:trHeight w:val="645" w:hRule="atLeast"/>
        </w:trPr>
        <w:tc>
          <w:tcPr>
            <w:tcW w:w="700" w:type="dxa"/>
            <w:tcBorders>
              <w:top w:val="single" w:color="auto" w:sz="6" w:space="0"/>
              <w:left w:val="single" w:color="auto" w:sz="6" w:space="0"/>
              <w:bottom w:val="single" w:color="auto" w:sz="4" w:space="0"/>
            </w:tcBorders>
            <w:vAlign w:val="center"/>
          </w:tcPr>
          <w:p w14:paraId="365DBE0B">
            <w:pPr>
              <w:adjustRightInd w:val="0"/>
              <w:snapToGrid w:val="0"/>
              <w:spacing w:line="0" w:lineRule="atLeast"/>
              <w:jc w:val="center"/>
              <w:rPr>
                <w:rFonts w:hint="eastAsia" w:ascii="宋体" w:hAnsi="宋体" w:eastAsia="宋体"/>
                <w:szCs w:val="21"/>
                <w:lang w:val="en-US" w:eastAsia="zh-CN"/>
              </w:rPr>
            </w:pPr>
            <w:r>
              <w:rPr>
                <w:rFonts w:hint="eastAsia" w:ascii="宋体" w:hAnsi="宋体"/>
                <w:szCs w:val="21"/>
                <w:lang w:val="en-US" w:eastAsia="zh-CN"/>
              </w:rPr>
              <w:t>1</w:t>
            </w:r>
          </w:p>
        </w:tc>
        <w:tc>
          <w:tcPr>
            <w:tcW w:w="1524" w:type="dxa"/>
            <w:tcBorders>
              <w:top w:val="single" w:color="auto" w:sz="6" w:space="0"/>
              <w:left w:val="single" w:color="auto" w:sz="6" w:space="0"/>
              <w:bottom w:val="single" w:color="auto" w:sz="4" w:space="0"/>
              <w:right w:val="single" w:color="auto" w:sz="6" w:space="0"/>
            </w:tcBorders>
            <w:vAlign w:val="center"/>
          </w:tcPr>
          <w:p w14:paraId="45507547">
            <w:pPr>
              <w:adjustRightInd w:val="0"/>
              <w:snapToGrid w:val="0"/>
              <w:spacing w:line="0" w:lineRule="atLeast"/>
              <w:jc w:val="center"/>
              <w:rPr>
                <w:rFonts w:ascii="宋体" w:hAnsi="宋体"/>
                <w:szCs w:val="21"/>
              </w:rPr>
            </w:pPr>
            <w:r>
              <w:rPr>
                <w:rFonts w:hint="eastAsia" w:ascii="宋体" w:hAnsi="宋体"/>
                <w:szCs w:val="21"/>
              </w:rPr>
              <w:t>动态心电监护仪</w:t>
            </w:r>
          </w:p>
        </w:tc>
        <w:tc>
          <w:tcPr>
            <w:tcW w:w="2220" w:type="dxa"/>
            <w:tcBorders>
              <w:top w:val="single" w:color="auto" w:sz="6" w:space="0"/>
              <w:left w:val="single" w:color="auto" w:sz="6" w:space="0"/>
              <w:bottom w:val="single" w:color="auto" w:sz="4" w:space="0"/>
              <w:right w:val="single" w:color="auto" w:sz="6" w:space="0"/>
            </w:tcBorders>
            <w:vAlign w:val="center"/>
          </w:tcPr>
          <w:p w14:paraId="3AAFF0FF">
            <w:pPr>
              <w:spacing w:line="0" w:lineRule="atLeast"/>
              <w:jc w:val="center"/>
              <w:rPr>
                <w:rFonts w:ascii="宋体" w:hAnsi="宋体"/>
                <w:szCs w:val="21"/>
              </w:rPr>
            </w:pPr>
          </w:p>
        </w:tc>
        <w:tc>
          <w:tcPr>
            <w:tcW w:w="2670" w:type="dxa"/>
            <w:tcBorders>
              <w:top w:val="single" w:color="auto" w:sz="6" w:space="0"/>
              <w:left w:val="single" w:color="auto" w:sz="6" w:space="0"/>
              <w:bottom w:val="single" w:color="auto" w:sz="4" w:space="0"/>
              <w:right w:val="single" w:color="auto" w:sz="6" w:space="0"/>
            </w:tcBorders>
            <w:vAlign w:val="center"/>
          </w:tcPr>
          <w:p w14:paraId="0ABD3610">
            <w:pPr>
              <w:spacing w:line="0" w:lineRule="atLeast"/>
              <w:jc w:val="center"/>
              <w:rPr>
                <w:rFonts w:ascii="宋体" w:hAnsi="宋体"/>
                <w:szCs w:val="21"/>
              </w:rPr>
            </w:pPr>
          </w:p>
        </w:tc>
        <w:tc>
          <w:tcPr>
            <w:tcW w:w="2415" w:type="dxa"/>
            <w:tcBorders>
              <w:top w:val="single" w:color="auto" w:sz="6" w:space="0"/>
              <w:left w:val="single" w:color="auto" w:sz="6" w:space="0"/>
              <w:bottom w:val="single" w:color="auto" w:sz="4" w:space="0"/>
              <w:right w:val="single" w:color="auto" w:sz="6" w:space="0"/>
            </w:tcBorders>
            <w:vAlign w:val="center"/>
          </w:tcPr>
          <w:p w14:paraId="17CFCBF9">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1</w:t>
            </w:r>
          </w:p>
        </w:tc>
        <w:tc>
          <w:tcPr>
            <w:tcW w:w="2355" w:type="dxa"/>
            <w:tcBorders>
              <w:top w:val="single" w:color="auto" w:sz="6" w:space="0"/>
              <w:left w:val="single" w:color="auto" w:sz="6" w:space="0"/>
              <w:bottom w:val="single" w:color="auto" w:sz="4" w:space="0"/>
              <w:right w:val="single" w:color="auto" w:sz="6" w:space="0"/>
            </w:tcBorders>
            <w:vAlign w:val="center"/>
          </w:tcPr>
          <w:p w14:paraId="19D0BFDD">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项</w:t>
            </w:r>
          </w:p>
        </w:tc>
        <w:tc>
          <w:tcPr>
            <w:tcW w:w="1916" w:type="dxa"/>
            <w:tcBorders>
              <w:top w:val="single" w:color="auto" w:sz="6" w:space="0"/>
              <w:left w:val="single" w:color="auto" w:sz="6" w:space="0"/>
              <w:bottom w:val="single" w:color="auto" w:sz="4" w:space="0"/>
              <w:right w:val="single" w:color="auto" w:sz="6" w:space="0"/>
            </w:tcBorders>
            <w:vAlign w:val="center"/>
          </w:tcPr>
          <w:p w14:paraId="27D9391B">
            <w:pPr>
              <w:spacing w:line="0" w:lineRule="atLeast"/>
              <w:jc w:val="center"/>
              <w:rPr>
                <w:rFonts w:ascii="宋体" w:hAnsi="宋体"/>
                <w:szCs w:val="21"/>
              </w:rPr>
            </w:pPr>
          </w:p>
        </w:tc>
      </w:tr>
      <w:tr w14:paraId="4BDE1FFC">
        <w:tblPrEx>
          <w:tblCellMar>
            <w:top w:w="0" w:type="dxa"/>
            <w:left w:w="28" w:type="dxa"/>
            <w:bottom w:w="0" w:type="dxa"/>
            <w:right w:w="28" w:type="dxa"/>
          </w:tblCellMar>
        </w:tblPrEx>
        <w:trPr>
          <w:trHeight w:val="645" w:hRule="atLeast"/>
        </w:trPr>
        <w:tc>
          <w:tcPr>
            <w:tcW w:w="700" w:type="dxa"/>
            <w:tcBorders>
              <w:top w:val="single" w:color="auto" w:sz="4" w:space="0"/>
              <w:left w:val="single" w:color="auto" w:sz="6" w:space="0"/>
              <w:bottom w:val="single" w:color="auto" w:sz="6" w:space="0"/>
            </w:tcBorders>
            <w:vAlign w:val="center"/>
          </w:tcPr>
          <w:p w14:paraId="1D353A2B">
            <w:pPr>
              <w:adjustRightInd w:val="0"/>
              <w:snapToGrid w:val="0"/>
              <w:spacing w:line="0" w:lineRule="atLeast"/>
              <w:jc w:val="center"/>
              <w:rPr>
                <w:rFonts w:hint="eastAsia" w:ascii="宋体" w:hAnsi="宋体" w:eastAsia="宋体"/>
                <w:szCs w:val="21"/>
                <w:lang w:val="en-US" w:eastAsia="zh-CN"/>
              </w:rPr>
            </w:pPr>
            <w:r>
              <w:rPr>
                <w:rFonts w:hint="eastAsia" w:ascii="宋体" w:hAnsi="宋体"/>
                <w:szCs w:val="21"/>
                <w:lang w:val="en-US" w:eastAsia="zh-CN"/>
              </w:rPr>
              <w:t>2</w:t>
            </w:r>
          </w:p>
        </w:tc>
        <w:tc>
          <w:tcPr>
            <w:tcW w:w="1524" w:type="dxa"/>
            <w:tcBorders>
              <w:top w:val="single" w:color="auto" w:sz="4" w:space="0"/>
              <w:left w:val="single" w:color="auto" w:sz="6" w:space="0"/>
              <w:bottom w:val="single" w:color="auto" w:sz="6" w:space="0"/>
              <w:right w:val="single" w:color="auto" w:sz="6" w:space="0"/>
            </w:tcBorders>
            <w:vAlign w:val="center"/>
          </w:tcPr>
          <w:p w14:paraId="1E053706">
            <w:pPr>
              <w:adjustRightInd w:val="0"/>
              <w:snapToGrid w:val="0"/>
              <w:spacing w:line="0" w:lineRule="atLeast"/>
              <w:jc w:val="center"/>
              <w:rPr>
                <w:rFonts w:ascii="宋体" w:hAnsi="宋体"/>
                <w:szCs w:val="21"/>
              </w:rPr>
            </w:pPr>
            <w:r>
              <w:rPr>
                <w:rFonts w:hint="eastAsia" w:ascii="宋体" w:hAnsi="宋体"/>
                <w:szCs w:val="21"/>
              </w:rPr>
              <w:t>动态血压监测仪</w:t>
            </w:r>
          </w:p>
        </w:tc>
        <w:tc>
          <w:tcPr>
            <w:tcW w:w="2220" w:type="dxa"/>
            <w:tcBorders>
              <w:top w:val="single" w:color="auto" w:sz="4" w:space="0"/>
              <w:left w:val="single" w:color="auto" w:sz="6" w:space="0"/>
              <w:bottom w:val="single" w:color="auto" w:sz="6" w:space="0"/>
              <w:right w:val="single" w:color="auto" w:sz="6" w:space="0"/>
            </w:tcBorders>
            <w:vAlign w:val="center"/>
          </w:tcPr>
          <w:p w14:paraId="491CABE2">
            <w:pPr>
              <w:spacing w:line="0" w:lineRule="atLeast"/>
              <w:jc w:val="center"/>
              <w:rPr>
                <w:rFonts w:ascii="宋体" w:hAnsi="宋体"/>
                <w:szCs w:val="21"/>
              </w:rPr>
            </w:pPr>
          </w:p>
        </w:tc>
        <w:tc>
          <w:tcPr>
            <w:tcW w:w="2670" w:type="dxa"/>
            <w:tcBorders>
              <w:top w:val="single" w:color="auto" w:sz="4" w:space="0"/>
              <w:left w:val="single" w:color="auto" w:sz="6" w:space="0"/>
              <w:bottom w:val="single" w:color="auto" w:sz="6" w:space="0"/>
              <w:right w:val="single" w:color="auto" w:sz="6" w:space="0"/>
            </w:tcBorders>
            <w:vAlign w:val="center"/>
          </w:tcPr>
          <w:p w14:paraId="6BFADA9C">
            <w:pPr>
              <w:spacing w:line="0" w:lineRule="atLeast"/>
              <w:jc w:val="center"/>
              <w:rPr>
                <w:rFonts w:ascii="宋体" w:hAnsi="宋体"/>
                <w:szCs w:val="21"/>
              </w:rPr>
            </w:pPr>
          </w:p>
        </w:tc>
        <w:tc>
          <w:tcPr>
            <w:tcW w:w="2415" w:type="dxa"/>
            <w:tcBorders>
              <w:top w:val="single" w:color="auto" w:sz="4" w:space="0"/>
              <w:left w:val="single" w:color="auto" w:sz="6" w:space="0"/>
              <w:bottom w:val="single" w:color="auto" w:sz="6" w:space="0"/>
              <w:right w:val="single" w:color="auto" w:sz="6" w:space="0"/>
            </w:tcBorders>
            <w:vAlign w:val="center"/>
          </w:tcPr>
          <w:p w14:paraId="11A186E4">
            <w:pPr>
              <w:spacing w:line="0" w:lineRule="atLeast"/>
              <w:jc w:val="center"/>
              <w:rPr>
                <w:rFonts w:ascii="宋体" w:hAnsi="宋体"/>
                <w:szCs w:val="21"/>
              </w:rPr>
            </w:pPr>
            <w:r>
              <w:rPr>
                <w:rFonts w:hint="eastAsia" w:ascii="宋体" w:hAnsi="宋体"/>
                <w:szCs w:val="21"/>
                <w:lang w:val="en-US" w:eastAsia="zh-CN"/>
              </w:rPr>
              <w:t>1</w:t>
            </w:r>
          </w:p>
        </w:tc>
        <w:tc>
          <w:tcPr>
            <w:tcW w:w="2355" w:type="dxa"/>
            <w:tcBorders>
              <w:top w:val="single" w:color="auto" w:sz="4" w:space="0"/>
              <w:left w:val="single" w:color="auto" w:sz="6" w:space="0"/>
              <w:bottom w:val="single" w:color="auto" w:sz="6" w:space="0"/>
              <w:right w:val="single" w:color="auto" w:sz="6" w:space="0"/>
            </w:tcBorders>
            <w:vAlign w:val="center"/>
          </w:tcPr>
          <w:p w14:paraId="7CC081CF">
            <w:pPr>
              <w:spacing w:line="0" w:lineRule="atLeast"/>
              <w:jc w:val="center"/>
              <w:rPr>
                <w:rFonts w:ascii="宋体" w:hAnsi="宋体"/>
                <w:szCs w:val="21"/>
              </w:rPr>
            </w:pPr>
            <w:r>
              <w:rPr>
                <w:rFonts w:hint="eastAsia" w:ascii="宋体" w:hAnsi="宋体"/>
                <w:szCs w:val="21"/>
                <w:lang w:val="en-US" w:eastAsia="zh-CN"/>
              </w:rPr>
              <w:t>项</w:t>
            </w:r>
          </w:p>
        </w:tc>
        <w:tc>
          <w:tcPr>
            <w:tcW w:w="1916" w:type="dxa"/>
            <w:tcBorders>
              <w:top w:val="single" w:color="auto" w:sz="4" w:space="0"/>
              <w:left w:val="single" w:color="auto" w:sz="6" w:space="0"/>
              <w:bottom w:val="single" w:color="auto" w:sz="6" w:space="0"/>
              <w:right w:val="single" w:color="auto" w:sz="6" w:space="0"/>
            </w:tcBorders>
            <w:vAlign w:val="center"/>
          </w:tcPr>
          <w:p w14:paraId="5E7F11E3">
            <w:pPr>
              <w:spacing w:line="0" w:lineRule="atLeast"/>
              <w:jc w:val="center"/>
              <w:rPr>
                <w:rFonts w:ascii="宋体" w:hAnsi="宋体"/>
                <w:szCs w:val="21"/>
              </w:rPr>
            </w:pPr>
          </w:p>
        </w:tc>
      </w:tr>
      <w:tr w14:paraId="48F708BD">
        <w:tblPrEx>
          <w:tblCellMar>
            <w:top w:w="0" w:type="dxa"/>
            <w:left w:w="28" w:type="dxa"/>
            <w:bottom w:w="0" w:type="dxa"/>
            <w:right w:w="28" w:type="dxa"/>
          </w:tblCellMar>
        </w:tblPrEx>
        <w:trPr>
          <w:trHeight w:val="645" w:hRule="atLeast"/>
        </w:trPr>
        <w:tc>
          <w:tcPr>
            <w:tcW w:w="700" w:type="dxa"/>
            <w:tcBorders>
              <w:top w:val="single" w:color="auto" w:sz="4" w:space="0"/>
              <w:left w:val="single" w:color="auto" w:sz="6" w:space="0"/>
              <w:bottom w:val="single" w:color="auto" w:sz="6" w:space="0"/>
            </w:tcBorders>
            <w:vAlign w:val="center"/>
          </w:tcPr>
          <w:p w14:paraId="56E0F5AE">
            <w:pPr>
              <w:adjustRightInd w:val="0"/>
              <w:snapToGrid w:val="0"/>
              <w:spacing w:line="0" w:lineRule="atLeast"/>
              <w:jc w:val="center"/>
              <w:rPr>
                <w:rFonts w:hint="default" w:ascii="宋体" w:hAnsi="宋体"/>
                <w:szCs w:val="21"/>
                <w:lang w:val="en-US" w:eastAsia="zh-CN"/>
              </w:rPr>
            </w:pPr>
            <w:r>
              <w:rPr>
                <w:rFonts w:hint="eastAsia" w:ascii="宋体" w:hAnsi="宋体"/>
                <w:szCs w:val="21"/>
                <w:lang w:val="en-US" w:eastAsia="zh-CN"/>
              </w:rPr>
              <w:t>3</w:t>
            </w:r>
          </w:p>
        </w:tc>
        <w:tc>
          <w:tcPr>
            <w:tcW w:w="1524" w:type="dxa"/>
            <w:tcBorders>
              <w:top w:val="single" w:color="auto" w:sz="4" w:space="0"/>
              <w:left w:val="single" w:color="auto" w:sz="6" w:space="0"/>
              <w:bottom w:val="single" w:color="auto" w:sz="6" w:space="0"/>
              <w:right w:val="single" w:color="auto" w:sz="6" w:space="0"/>
            </w:tcBorders>
            <w:vAlign w:val="center"/>
          </w:tcPr>
          <w:p w14:paraId="5FBA2594">
            <w:pPr>
              <w:adjustRightInd w:val="0"/>
              <w:snapToGrid w:val="0"/>
              <w:spacing w:line="0" w:lineRule="atLeast"/>
              <w:jc w:val="center"/>
              <w:rPr>
                <w:rFonts w:ascii="宋体" w:hAnsi="宋体"/>
                <w:szCs w:val="21"/>
              </w:rPr>
            </w:pPr>
            <w:r>
              <w:rPr>
                <w:rFonts w:hint="eastAsia" w:ascii="宋体" w:hAnsi="宋体"/>
                <w:szCs w:val="21"/>
                <w:lang w:eastAsia="zh-CN"/>
              </w:rPr>
              <w:t>软件</w:t>
            </w:r>
          </w:p>
        </w:tc>
        <w:tc>
          <w:tcPr>
            <w:tcW w:w="2220" w:type="dxa"/>
            <w:tcBorders>
              <w:top w:val="single" w:color="auto" w:sz="4" w:space="0"/>
              <w:left w:val="single" w:color="auto" w:sz="6" w:space="0"/>
              <w:bottom w:val="single" w:color="auto" w:sz="6" w:space="0"/>
              <w:right w:val="single" w:color="auto" w:sz="6" w:space="0"/>
            </w:tcBorders>
            <w:vAlign w:val="center"/>
          </w:tcPr>
          <w:p w14:paraId="6871A7FB">
            <w:pPr>
              <w:spacing w:line="0" w:lineRule="atLeast"/>
              <w:jc w:val="center"/>
              <w:rPr>
                <w:rFonts w:ascii="宋体" w:hAnsi="宋体"/>
                <w:szCs w:val="21"/>
              </w:rPr>
            </w:pPr>
          </w:p>
        </w:tc>
        <w:tc>
          <w:tcPr>
            <w:tcW w:w="2670" w:type="dxa"/>
            <w:tcBorders>
              <w:top w:val="single" w:color="auto" w:sz="4" w:space="0"/>
              <w:left w:val="single" w:color="auto" w:sz="6" w:space="0"/>
              <w:bottom w:val="single" w:color="auto" w:sz="6" w:space="0"/>
              <w:right w:val="single" w:color="auto" w:sz="6" w:space="0"/>
            </w:tcBorders>
            <w:vAlign w:val="center"/>
          </w:tcPr>
          <w:p w14:paraId="44E76713">
            <w:pPr>
              <w:spacing w:line="0" w:lineRule="atLeast"/>
              <w:jc w:val="center"/>
              <w:rPr>
                <w:rFonts w:ascii="宋体" w:hAnsi="宋体"/>
                <w:szCs w:val="21"/>
              </w:rPr>
            </w:pPr>
          </w:p>
        </w:tc>
        <w:tc>
          <w:tcPr>
            <w:tcW w:w="2415" w:type="dxa"/>
            <w:tcBorders>
              <w:top w:val="single" w:color="auto" w:sz="4" w:space="0"/>
              <w:left w:val="single" w:color="auto" w:sz="6" w:space="0"/>
              <w:bottom w:val="single" w:color="auto" w:sz="6" w:space="0"/>
              <w:right w:val="single" w:color="auto" w:sz="6" w:space="0"/>
            </w:tcBorders>
            <w:shd w:val="clear" w:color="auto" w:fill="auto"/>
            <w:vAlign w:val="center"/>
          </w:tcPr>
          <w:p w14:paraId="758133C3">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2355" w:type="dxa"/>
            <w:tcBorders>
              <w:top w:val="single" w:color="auto" w:sz="4" w:space="0"/>
              <w:left w:val="single" w:color="auto" w:sz="6" w:space="0"/>
              <w:bottom w:val="single" w:color="auto" w:sz="6" w:space="0"/>
              <w:right w:val="single" w:color="auto" w:sz="6" w:space="0"/>
            </w:tcBorders>
            <w:shd w:val="clear" w:color="auto" w:fill="auto"/>
            <w:vAlign w:val="center"/>
          </w:tcPr>
          <w:p w14:paraId="3AFFEB87">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项</w:t>
            </w:r>
          </w:p>
        </w:tc>
        <w:tc>
          <w:tcPr>
            <w:tcW w:w="1916" w:type="dxa"/>
            <w:tcBorders>
              <w:top w:val="single" w:color="auto" w:sz="4" w:space="0"/>
              <w:left w:val="single" w:color="auto" w:sz="6" w:space="0"/>
              <w:bottom w:val="single" w:color="auto" w:sz="6" w:space="0"/>
              <w:right w:val="single" w:color="auto" w:sz="6" w:space="0"/>
            </w:tcBorders>
            <w:vAlign w:val="center"/>
          </w:tcPr>
          <w:p w14:paraId="605068BF">
            <w:pPr>
              <w:spacing w:line="0" w:lineRule="atLeast"/>
              <w:jc w:val="center"/>
              <w:rPr>
                <w:rFonts w:ascii="宋体" w:hAnsi="宋体"/>
                <w:szCs w:val="21"/>
              </w:rPr>
            </w:pPr>
          </w:p>
        </w:tc>
      </w:tr>
      <w:tr w14:paraId="27D0A4F6">
        <w:tblPrEx>
          <w:tblCellMar>
            <w:top w:w="0" w:type="dxa"/>
            <w:left w:w="28" w:type="dxa"/>
            <w:bottom w:w="0" w:type="dxa"/>
            <w:right w:w="28" w:type="dxa"/>
          </w:tblCellMar>
        </w:tblPrEx>
        <w:trPr>
          <w:trHeight w:val="645" w:hRule="atLeast"/>
        </w:trPr>
        <w:tc>
          <w:tcPr>
            <w:tcW w:w="700" w:type="dxa"/>
            <w:tcBorders>
              <w:top w:val="single" w:color="auto" w:sz="4" w:space="0"/>
              <w:left w:val="single" w:color="auto" w:sz="6" w:space="0"/>
              <w:bottom w:val="single" w:color="auto" w:sz="6" w:space="0"/>
            </w:tcBorders>
            <w:vAlign w:val="center"/>
          </w:tcPr>
          <w:p w14:paraId="237DDD51">
            <w:pPr>
              <w:adjustRightInd w:val="0"/>
              <w:snapToGrid w:val="0"/>
              <w:spacing w:line="0" w:lineRule="atLeast"/>
              <w:jc w:val="center"/>
              <w:rPr>
                <w:rFonts w:hint="eastAsia" w:ascii="宋体" w:hAnsi="宋体" w:eastAsia="宋体"/>
                <w:szCs w:val="21"/>
                <w:lang w:val="en-US" w:eastAsia="zh-CN"/>
              </w:rPr>
            </w:pPr>
            <w:r>
              <w:rPr>
                <w:rFonts w:hint="eastAsia" w:ascii="宋体" w:hAnsi="宋体"/>
                <w:szCs w:val="21"/>
                <w:lang w:val="en-US" w:eastAsia="zh-CN"/>
              </w:rPr>
              <w:t>4</w:t>
            </w:r>
          </w:p>
        </w:tc>
        <w:tc>
          <w:tcPr>
            <w:tcW w:w="1524" w:type="dxa"/>
            <w:tcBorders>
              <w:top w:val="single" w:color="auto" w:sz="4" w:space="0"/>
              <w:left w:val="single" w:color="auto" w:sz="6" w:space="0"/>
              <w:bottom w:val="single" w:color="auto" w:sz="6" w:space="0"/>
              <w:right w:val="single" w:color="auto" w:sz="6" w:space="0"/>
            </w:tcBorders>
            <w:vAlign w:val="center"/>
          </w:tcPr>
          <w:p w14:paraId="2EA02CF1">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配套服务</w:t>
            </w:r>
          </w:p>
        </w:tc>
        <w:tc>
          <w:tcPr>
            <w:tcW w:w="2220" w:type="dxa"/>
            <w:tcBorders>
              <w:top w:val="single" w:color="auto" w:sz="4" w:space="0"/>
              <w:left w:val="single" w:color="auto" w:sz="6" w:space="0"/>
              <w:bottom w:val="single" w:color="auto" w:sz="6" w:space="0"/>
              <w:right w:val="single" w:color="auto" w:sz="6" w:space="0"/>
            </w:tcBorders>
            <w:vAlign w:val="center"/>
          </w:tcPr>
          <w:p w14:paraId="51E8DC16">
            <w:pPr>
              <w:spacing w:line="0" w:lineRule="atLeast"/>
              <w:jc w:val="center"/>
              <w:rPr>
                <w:rFonts w:hint="default" w:ascii="宋体" w:hAnsi="宋体" w:eastAsia="宋体"/>
                <w:szCs w:val="21"/>
                <w:lang w:val="en-US" w:eastAsia="zh-CN"/>
              </w:rPr>
            </w:pPr>
            <w:r>
              <w:rPr>
                <w:rFonts w:hint="eastAsia" w:ascii="宋体" w:hAnsi="宋体"/>
                <w:szCs w:val="21"/>
                <w:lang w:val="en-US" w:eastAsia="zh-CN"/>
              </w:rPr>
              <w:t>/</w:t>
            </w:r>
          </w:p>
        </w:tc>
        <w:tc>
          <w:tcPr>
            <w:tcW w:w="2670" w:type="dxa"/>
            <w:tcBorders>
              <w:top w:val="single" w:color="auto" w:sz="4" w:space="0"/>
              <w:left w:val="single" w:color="auto" w:sz="6" w:space="0"/>
              <w:bottom w:val="single" w:color="auto" w:sz="6" w:space="0"/>
              <w:right w:val="single" w:color="auto" w:sz="6" w:space="0"/>
            </w:tcBorders>
            <w:vAlign w:val="center"/>
          </w:tcPr>
          <w:p w14:paraId="6D501D38">
            <w:pPr>
              <w:spacing w:line="0" w:lineRule="atLeast"/>
              <w:jc w:val="center"/>
              <w:rPr>
                <w:rFonts w:hint="default" w:ascii="宋体" w:hAnsi="宋体" w:eastAsia="宋体"/>
                <w:szCs w:val="21"/>
                <w:lang w:val="en-US" w:eastAsia="zh-CN"/>
              </w:rPr>
            </w:pPr>
            <w:r>
              <w:rPr>
                <w:rFonts w:hint="eastAsia" w:ascii="宋体" w:hAnsi="宋体"/>
                <w:szCs w:val="21"/>
                <w:lang w:val="en-US" w:eastAsia="zh-CN"/>
              </w:rPr>
              <w:t>/</w:t>
            </w:r>
          </w:p>
        </w:tc>
        <w:tc>
          <w:tcPr>
            <w:tcW w:w="2415" w:type="dxa"/>
            <w:tcBorders>
              <w:top w:val="single" w:color="auto" w:sz="4" w:space="0"/>
              <w:left w:val="single" w:color="auto" w:sz="6" w:space="0"/>
              <w:bottom w:val="single" w:color="auto" w:sz="6" w:space="0"/>
              <w:right w:val="single" w:color="auto" w:sz="6" w:space="0"/>
            </w:tcBorders>
            <w:vAlign w:val="center"/>
          </w:tcPr>
          <w:p w14:paraId="357DD665">
            <w:pPr>
              <w:spacing w:line="0" w:lineRule="atLeast"/>
              <w:jc w:val="center"/>
              <w:rPr>
                <w:rFonts w:ascii="宋体" w:hAnsi="宋体"/>
                <w:szCs w:val="21"/>
              </w:rPr>
            </w:pPr>
            <w:r>
              <w:rPr>
                <w:rFonts w:hint="eastAsia" w:ascii="宋体" w:hAnsi="宋体"/>
                <w:szCs w:val="21"/>
                <w:lang w:val="en-US" w:eastAsia="zh-CN"/>
              </w:rPr>
              <w:t>1</w:t>
            </w:r>
          </w:p>
        </w:tc>
        <w:tc>
          <w:tcPr>
            <w:tcW w:w="2355" w:type="dxa"/>
            <w:tcBorders>
              <w:top w:val="single" w:color="auto" w:sz="4" w:space="0"/>
              <w:left w:val="single" w:color="auto" w:sz="6" w:space="0"/>
              <w:bottom w:val="single" w:color="auto" w:sz="6" w:space="0"/>
              <w:right w:val="single" w:color="auto" w:sz="6" w:space="0"/>
            </w:tcBorders>
            <w:vAlign w:val="center"/>
          </w:tcPr>
          <w:p w14:paraId="3796ADA5">
            <w:pPr>
              <w:spacing w:line="0" w:lineRule="atLeast"/>
              <w:jc w:val="center"/>
              <w:rPr>
                <w:rFonts w:ascii="宋体" w:hAnsi="宋体"/>
                <w:szCs w:val="21"/>
              </w:rPr>
            </w:pPr>
            <w:r>
              <w:rPr>
                <w:rFonts w:hint="eastAsia" w:ascii="宋体" w:hAnsi="宋体"/>
                <w:szCs w:val="21"/>
                <w:lang w:val="en-US" w:eastAsia="zh-CN"/>
              </w:rPr>
              <w:t>项</w:t>
            </w:r>
          </w:p>
        </w:tc>
        <w:tc>
          <w:tcPr>
            <w:tcW w:w="1916" w:type="dxa"/>
            <w:tcBorders>
              <w:top w:val="single" w:color="auto" w:sz="4" w:space="0"/>
              <w:left w:val="single" w:color="auto" w:sz="6" w:space="0"/>
              <w:bottom w:val="single" w:color="auto" w:sz="6" w:space="0"/>
              <w:right w:val="single" w:color="auto" w:sz="6" w:space="0"/>
            </w:tcBorders>
            <w:vAlign w:val="center"/>
          </w:tcPr>
          <w:p w14:paraId="309D9101">
            <w:pPr>
              <w:spacing w:line="0" w:lineRule="atLeast"/>
              <w:jc w:val="center"/>
              <w:rPr>
                <w:rFonts w:ascii="宋体" w:hAnsi="宋体"/>
                <w:szCs w:val="21"/>
              </w:rPr>
            </w:pPr>
          </w:p>
        </w:tc>
      </w:tr>
      <w:tr w14:paraId="28241A16">
        <w:tblPrEx>
          <w:tblCellMar>
            <w:top w:w="0" w:type="dxa"/>
            <w:left w:w="28" w:type="dxa"/>
            <w:bottom w:w="0" w:type="dxa"/>
            <w:right w:w="28" w:type="dxa"/>
          </w:tblCellMar>
        </w:tblPrEx>
        <w:trPr>
          <w:trHeight w:val="645" w:hRule="atLeast"/>
        </w:trPr>
        <w:tc>
          <w:tcPr>
            <w:tcW w:w="13800" w:type="dxa"/>
            <w:gridSpan w:val="7"/>
            <w:tcBorders>
              <w:top w:val="single" w:color="auto" w:sz="4" w:space="0"/>
              <w:left w:val="single" w:color="auto" w:sz="6" w:space="0"/>
              <w:bottom w:val="single" w:color="auto" w:sz="4" w:space="0"/>
              <w:right w:val="single" w:color="auto" w:sz="4" w:space="0"/>
            </w:tcBorders>
            <w:vAlign w:val="center"/>
          </w:tcPr>
          <w:p w14:paraId="2E2DA51D">
            <w:pPr>
              <w:spacing w:line="0" w:lineRule="atLeast"/>
              <w:rPr>
                <w:rFonts w:ascii="宋体" w:hAnsi="宋体"/>
                <w:szCs w:val="21"/>
              </w:rPr>
            </w:pPr>
            <w:r>
              <w:rPr>
                <w:rFonts w:hint="eastAsia" w:ascii="宋体" w:hAnsi="宋体"/>
                <w:szCs w:val="21"/>
                <w:lang w:val="en-US" w:eastAsia="zh-CN"/>
              </w:rPr>
              <w:t>合计金额</w:t>
            </w:r>
            <w:r>
              <w:rPr>
                <w:rFonts w:hint="eastAsia" w:ascii="宋体" w:hAnsi="宋体"/>
                <w:szCs w:val="21"/>
              </w:rPr>
              <w:t xml:space="preserve">：大写:              </w:t>
            </w:r>
            <w:r>
              <w:rPr>
                <w:rFonts w:hint="eastAsia" w:ascii="宋体" w:hAnsi="宋体"/>
                <w:szCs w:val="21"/>
                <w:lang w:val="en-US" w:eastAsia="zh-CN"/>
              </w:rPr>
              <w:t xml:space="preserve">    </w:t>
            </w:r>
            <w:r>
              <w:rPr>
                <w:rFonts w:hint="eastAsia" w:ascii="宋体" w:hAnsi="宋体"/>
                <w:szCs w:val="21"/>
              </w:rPr>
              <w:t xml:space="preserve">小写：          </w:t>
            </w:r>
          </w:p>
        </w:tc>
      </w:tr>
    </w:tbl>
    <w:p w14:paraId="6AC42984">
      <w:pPr>
        <w:spacing w:before="240" w:beforeLines="100" w:after="120" w:afterLines="50" w:line="360" w:lineRule="auto"/>
        <w:ind w:firstLine="436" w:firstLineChars="200"/>
        <w:jc w:val="left"/>
        <w:rPr>
          <w:rFonts w:hint="default" w:ascii="宋体" w:hAnsi="宋体" w:eastAsia="宋体" w:cs="宋体"/>
          <w:spacing w:val="4"/>
          <w:szCs w:val="21"/>
          <w:lang w:val="en-US" w:eastAsia="zh-CN"/>
        </w:rPr>
      </w:pPr>
      <w:r>
        <w:rPr>
          <w:rFonts w:hint="eastAsia" w:ascii="宋体" w:hAnsi="宋体" w:cs="宋体"/>
          <w:spacing w:val="4"/>
          <w:szCs w:val="21"/>
          <w:lang w:val="en-US" w:eastAsia="zh-CN"/>
        </w:rPr>
        <w:t>注：分项报价表中分项价格指的是每一分项服务的价格，且合计金额需与磋商总报价一致。</w:t>
      </w:r>
    </w:p>
    <w:p w14:paraId="0C097B96">
      <w:pPr>
        <w:spacing w:before="240" w:beforeLines="100" w:after="120"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62D6E8CE">
      <w:pPr>
        <w:spacing w:before="240" w:beforeLines="100" w:after="120"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69AE1354">
      <w:pPr>
        <w:spacing w:before="240" w:beforeLines="100" w:after="120" w:afterLines="50" w:line="360" w:lineRule="auto"/>
        <w:ind w:firstLine="420" w:firstLineChars="200"/>
        <w:jc w:val="left"/>
        <w:rPr>
          <w:rFonts w:ascii="宋体" w:hAnsi="宋体" w:cs="宋体"/>
          <w:bCs/>
          <w:szCs w:val="21"/>
        </w:rPr>
      </w:pPr>
      <w:r>
        <w:rPr>
          <w:rFonts w:hint="eastAsia" w:ascii="宋体" w:hAnsi="宋体" w:cs="宋体"/>
          <w:bCs/>
          <w:szCs w:val="21"/>
        </w:rPr>
        <w:t>日 期：</w:t>
      </w:r>
      <w:r>
        <w:rPr>
          <w:rFonts w:hint="eastAsia" w:ascii="宋体" w:hAnsi="宋体" w:cs="宋体"/>
          <w:bCs/>
          <w:szCs w:val="21"/>
          <w:u w:val="single"/>
        </w:rPr>
        <w:t xml:space="preserve">  年   月   日</w:t>
      </w:r>
    </w:p>
    <w:p w14:paraId="56287E51"/>
    <w:p w14:paraId="019223B0">
      <w:pPr>
        <w:rPr>
          <w:rFonts w:ascii="宋体" w:hAnsi="宋体" w:cs="宋体"/>
          <w:b/>
          <w:sz w:val="32"/>
          <w:szCs w:val="32"/>
        </w:rPr>
        <w:sectPr>
          <w:pgSz w:w="16841" w:h="11906" w:orient="landscape"/>
          <w:pgMar w:top="1638" w:right="1414" w:bottom="1582" w:left="1702" w:header="720" w:footer="720" w:gutter="0"/>
          <w:cols w:space="720" w:num="1"/>
          <w:docGrid w:linePitch="286" w:charSpace="0"/>
        </w:sectPr>
      </w:pPr>
    </w:p>
    <w:bookmarkEnd w:id="99"/>
    <w:bookmarkEnd w:id="100"/>
    <w:bookmarkEnd w:id="101"/>
    <w:p w14:paraId="36EB6978">
      <w:pPr>
        <w:pStyle w:val="3"/>
        <w:rPr>
          <w:sz w:val="32"/>
          <w:szCs w:val="32"/>
        </w:rPr>
      </w:pPr>
      <w:bookmarkStart w:id="103" w:name="_Toc17344"/>
      <w:bookmarkStart w:id="104" w:name="_Toc13293"/>
      <w:bookmarkStart w:id="105" w:name="_Toc21788"/>
      <w:bookmarkStart w:id="106" w:name="_Toc23028"/>
      <w:r>
        <w:rPr>
          <w:rFonts w:hint="eastAsia"/>
          <w:sz w:val="32"/>
          <w:szCs w:val="32"/>
        </w:rPr>
        <w:t>三、供应商资格</w:t>
      </w:r>
      <w:bookmarkEnd w:id="103"/>
      <w:bookmarkEnd w:id="104"/>
      <w:bookmarkEnd w:id="105"/>
      <w:bookmarkEnd w:id="106"/>
    </w:p>
    <w:p w14:paraId="0039F1D2">
      <w:pPr>
        <w:jc w:val="center"/>
        <w:rPr>
          <w:sz w:val="18"/>
          <w:szCs w:val="21"/>
        </w:rPr>
      </w:pPr>
      <w:r>
        <w:rPr>
          <w:rFonts w:hint="eastAsia" w:ascii="宋体" w:hAnsi="宋体"/>
          <w:sz w:val="22"/>
          <w:szCs w:val="20"/>
        </w:rPr>
        <w:t>（根据磋商文件规定提供资格审查文件）</w:t>
      </w:r>
    </w:p>
    <w:p w14:paraId="49FEB4DE">
      <w:pPr>
        <w:spacing w:before="312" w:beforeLines="100" w:line="500" w:lineRule="exact"/>
        <w:ind w:firstLine="420" w:firstLineChars="200"/>
        <w:rPr>
          <w:rFonts w:cs="华文仿宋"/>
        </w:rPr>
      </w:pPr>
      <w:r>
        <w:rPr>
          <w:rFonts w:hint="eastAsia" w:cs="华文仿宋"/>
        </w:rPr>
        <w:t>供应商应按照磋商文件第二章“供应商须知前附表-供应商资格要求”逐一提供全部资格证明文件。缺少其中任何一项，其响应文件将被视为无效文件。</w:t>
      </w:r>
    </w:p>
    <w:p w14:paraId="4B6D8F9A">
      <w:pPr>
        <w:spacing w:line="500" w:lineRule="exact"/>
        <w:ind w:firstLine="420" w:firstLineChars="200"/>
        <w:rPr>
          <w:rFonts w:cs="华文仿宋"/>
        </w:rPr>
      </w:pPr>
      <w:r>
        <w:rPr>
          <w:rFonts w:hint="eastAsia" w:cs="华文仿宋"/>
        </w:rPr>
        <w:t>下文给定的格式需按格式提供。</w:t>
      </w:r>
    </w:p>
    <w:p w14:paraId="452ADED6">
      <w:pPr>
        <w:spacing w:line="500" w:lineRule="exact"/>
        <w:ind w:firstLine="5783" w:firstLineChars="1800"/>
      </w:pPr>
      <w:r>
        <w:rPr>
          <w:rFonts w:hint="eastAsia" w:ascii="宋体" w:hAnsi="宋体"/>
          <w:b/>
          <w:sz w:val="32"/>
          <w:szCs w:val="32"/>
        </w:rPr>
        <w:br w:type="page"/>
      </w:r>
    </w:p>
    <w:p w14:paraId="18B3940E">
      <w:pPr>
        <w:rPr>
          <w:rFonts w:ascii="宋体" w:hAnsi="宋体"/>
          <w:b/>
          <w:sz w:val="32"/>
          <w:szCs w:val="32"/>
        </w:rPr>
      </w:pPr>
      <w:r>
        <w:rPr>
          <w:rFonts w:hint="eastAsia" w:ascii="宋体" w:hAnsi="宋体"/>
          <w:bCs/>
          <w:szCs w:val="21"/>
        </w:rPr>
        <w:t>格式1：</w:t>
      </w:r>
    </w:p>
    <w:p w14:paraId="3C43AE89">
      <w:pPr>
        <w:jc w:val="center"/>
        <w:rPr>
          <w:b/>
          <w:bCs/>
          <w:sz w:val="36"/>
          <w:szCs w:val="44"/>
        </w:rPr>
      </w:pPr>
      <w:bookmarkStart w:id="107" w:name="_Toc1013"/>
      <w:bookmarkStart w:id="108" w:name="_Toc12153"/>
      <w:bookmarkStart w:id="109" w:name="_Toc8996"/>
      <w:bookmarkStart w:id="110" w:name="_Toc21532"/>
      <w:r>
        <w:rPr>
          <w:rFonts w:hint="eastAsia"/>
          <w:b/>
          <w:bCs/>
          <w:sz w:val="36"/>
          <w:szCs w:val="44"/>
        </w:rPr>
        <w:t>法定代表人身份证明书及授权委托书</w:t>
      </w:r>
      <w:bookmarkEnd w:id="107"/>
      <w:bookmarkEnd w:id="108"/>
      <w:bookmarkEnd w:id="109"/>
      <w:bookmarkEnd w:id="110"/>
    </w:p>
    <w:p w14:paraId="0B8B8242">
      <w:pPr>
        <w:jc w:val="center"/>
        <w:rPr>
          <w:b/>
          <w:bCs/>
          <w:sz w:val="36"/>
          <w:szCs w:val="44"/>
        </w:rPr>
      </w:pPr>
      <w:bookmarkStart w:id="111" w:name="_Toc316921998"/>
      <w:bookmarkStart w:id="112" w:name="_Toc31411"/>
      <w:bookmarkStart w:id="113" w:name="_Toc17138"/>
      <w:bookmarkStart w:id="114" w:name="_Toc32184"/>
      <w:bookmarkStart w:id="115" w:name="_Toc511920562"/>
      <w:bookmarkStart w:id="116" w:name="_Toc24002"/>
      <w:bookmarkStart w:id="117" w:name="_Toc32642"/>
      <w:r>
        <w:rPr>
          <w:rFonts w:hint="eastAsia"/>
          <w:b/>
          <w:bCs/>
          <w:sz w:val="36"/>
          <w:szCs w:val="44"/>
        </w:rPr>
        <w:t>（一）法定代表人身份证明</w:t>
      </w:r>
      <w:bookmarkEnd w:id="111"/>
      <w:bookmarkEnd w:id="112"/>
      <w:bookmarkEnd w:id="113"/>
      <w:bookmarkEnd w:id="114"/>
      <w:bookmarkEnd w:id="115"/>
      <w:bookmarkEnd w:id="116"/>
      <w:bookmarkEnd w:id="117"/>
      <w:r>
        <w:rPr>
          <w:rFonts w:hint="eastAsia"/>
          <w:b/>
          <w:bCs/>
          <w:sz w:val="36"/>
          <w:szCs w:val="44"/>
        </w:rPr>
        <w:t>书</w:t>
      </w:r>
    </w:p>
    <w:p w14:paraId="0210D235">
      <w:pPr>
        <w:jc w:val="center"/>
        <w:rPr>
          <w:b/>
          <w:bCs/>
          <w:sz w:val="36"/>
          <w:szCs w:val="44"/>
        </w:rPr>
      </w:pPr>
    </w:p>
    <w:p w14:paraId="5A5CDF85">
      <w:pPr>
        <w:spacing w:line="360" w:lineRule="auto"/>
        <w:ind w:firstLine="420" w:firstLineChars="200"/>
        <w:rPr>
          <w:rFonts w:ascii="宋体" w:hAnsi="宋体"/>
          <w:szCs w:val="21"/>
        </w:rPr>
      </w:pPr>
      <w:bookmarkStart w:id="118" w:name="_Toc316921999"/>
      <w:r>
        <w:rPr>
          <w:rFonts w:hint="eastAsia" w:ascii="宋体" w:hAnsi="宋体"/>
          <w:szCs w:val="21"/>
        </w:rPr>
        <w:t>供应商名称：</w:t>
      </w:r>
      <w:r>
        <w:rPr>
          <w:rFonts w:hint="eastAsia" w:ascii="宋体" w:hAnsi="宋体"/>
          <w:szCs w:val="21"/>
          <w:u w:val="single"/>
        </w:rPr>
        <w:t xml:space="preserve">                                </w:t>
      </w:r>
    </w:p>
    <w:p w14:paraId="37F7C7DD">
      <w:pPr>
        <w:spacing w:line="36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37BB2BE6">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228FDC64">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06A6E6">
      <w:pPr>
        <w:spacing w:line="36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0E3D6C5F">
      <w:pPr>
        <w:spacing w:line="360" w:lineRule="auto"/>
        <w:ind w:firstLine="420" w:firstLineChars="200"/>
        <w:rPr>
          <w:rFonts w:hint="eastAsia" w:ascii="宋体" w:hAnsi="宋体" w:eastAsia="宋体"/>
          <w:szCs w:val="21"/>
          <w:lang w:eastAsia="zh-CN"/>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65732F6F">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14:paraId="0EEF94A3">
      <w:pPr>
        <w:spacing w:line="360" w:lineRule="auto"/>
        <w:ind w:firstLine="840" w:firstLineChars="400"/>
        <w:rPr>
          <w:rFonts w:ascii="宋体" w:hAnsi="宋体"/>
          <w:szCs w:val="21"/>
        </w:rPr>
      </w:pPr>
      <w:r>
        <w:rPr>
          <w:rFonts w:hint="eastAsia" w:ascii="宋体" w:hAnsi="宋体"/>
          <w:szCs w:val="21"/>
        </w:rPr>
        <w:t>特此证明。</w:t>
      </w:r>
    </w:p>
    <w:p w14:paraId="1825E67E">
      <w:pPr>
        <w:pStyle w:val="35"/>
        <w:rPr>
          <w:szCs w:val="21"/>
        </w:rPr>
      </w:pPr>
    </w:p>
    <w:tbl>
      <w:tblPr>
        <w:tblStyle w:val="28"/>
        <w:tblW w:w="866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332"/>
      </w:tblGrid>
      <w:tr w14:paraId="50D2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4332" w:type="dxa"/>
          </w:tcPr>
          <w:p w14:paraId="010828DF">
            <w:pPr>
              <w:spacing w:line="480" w:lineRule="auto"/>
              <w:rPr>
                <w:rFonts w:ascii="宋体" w:hAnsi="宋体" w:cs="宋体"/>
                <w:szCs w:val="21"/>
              </w:rPr>
            </w:pPr>
          </w:p>
          <w:p w14:paraId="3114B639">
            <w:pPr>
              <w:spacing w:line="480" w:lineRule="auto"/>
              <w:rPr>
                <w:rFonts w:ascii="宋体" w:hAnsi="宋体" w:cs="宋体"/>
                <w:szCs w:val="21"/>
              </w:rPr>
            </w:pPr>
          </w:p>
          <w:p w14:paraId="029F7FEE">
            <w:pPr>
              <w:spacing w:line="480" w:lineRule="auto"/>
              <w:rPr>
                <w:rFonts w:ascii="宋体" w:hAnsi="宋体" w:cs="宋体"/>
                <w:szCs w:val="21"/>
              </w:rPr>
            </w:pPr>
            <w:r>
              <w:rPr>
                <w:rFonts w:hint="eastAsia" w:ascii="宋体" w:hAnsi="宋体"/>
                <w:szCs w:val="21"/>
              </w:rPr>
              <w:t>法定代表人（负责人）身份证人像面</w:t>
            </w:r>
          </w:p>
          <w:p w14:paraId="3BFB768F">
            <w:pPr>
              <w:spacing w:line="480" w:lineRule="auto"/>
              <w:rPr>
                <w:rFonts w:ascii="宋体" w:hAnsi="宋体" w:cs="宋体"/>
                <w:szCs w:val="21"/>
              </w:rPr>
            </w:pPr>
          </w:p>
        </w:tc>
        <w:tc>
          <w:tcPr>
            <w:tcW w:w="4332" w:type="dxa"/>
          </w:tcPr>
          <w:p w14:paraId="39002AC6">
            <w:pPr>
              <w:spacing w:line="480" w:lineRule="auto"/>
              <w:rPr>
                <w:rFonts w:ascii="宋体" w:hAnsi="宋体" w:cs="宋体"/>
                <w:szCs w:val="21"/>
              </w:rPr>
            </w:pPr>
          </w:p>
          <w:p w14:paraId="5675C66B">
            <w:pPr>
              <w:spacing w:line="480" w:lineRule="auto"/>
              <w:rPr>
                <w:rFonts w:ascii="宋体" w:hAnsi="宋体" w:cs="宋体"/>
                <w:szCs w:val="21"/>
              </w:rPr>
            </w:pPr>
          </w:p>
          <w:p w14:paraId="7F49E490">
            <w:pPr>
              <w:spacing w:line="480" w:lineRule="auto"/>
              <w:rPr>
                <w:rFonts w:ascii="宋体" w:hAnsi="宋体" w:cs="宋体"/>
                <w:szCs w:val="21"/>
              </w:rPr>
            </w:pPr>
            <w:r>
              <w:rPr>
                <w:rFonts w:hint="eastAsia" w:ascii="宋体" w:hAnsi="宋体"/>
                <w:szCs w:val="21"/>
              </w:rPr>
              <w:t>法定代表人（负责人）身份证国徽面</w:t>
            </w:r>
          </w:p>
        </w:tc>
      </w:tr>
    </w:tbl>
    <w:p w14:paraId="328D66E0">
      <w:pPr>
        <w:spacing w:line="360" w:lineRule="auto"/>
        <w:rPr>
          <w:rFonts w:ascii="宋体" w:hAnsi="宋体"/>
          <w:szCs w:val="21"/>
        </w:rPr>
      </w:pPr>
    </w:p>
    <w:p w14:paraId="75B064C1">
      <w:pPr>
        <w:spacing w:line="360" w:lineRule="auto"/>
        <w:rPr>
          <w:rFonts w:ascii="宋体" w:hAnsi="宋体"/>
          <w:szCs w:val="21"/>
        </w:rPr>
      </w:pPr>
    </w:p>
    <w:p w14:paraId="0B1647F6">
      <w:pPr>
        <w:spacing w:line="360" w:lineRule="auto"/>
        <w:rPr>
          <w:rFonts w:ascii="宋体" w:hAnsi="宋体"/>
          <w:szCs w:val="21"/>
        </w:rPr>
      </w:pPr>
    </w:p>
    <w:p w14:paraId="70D367FB">
      <w:pPr>
        <w:spacing w:line="360" w:lineRule="auto"/>
        <w:ind w:firstLine="3990" w:firstLineChars="19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（单位全称）</w:t>
      </w:r>
    </w:p>
    <w:p w14:paraId="7948EA30">
      <w:pPr>
        <w:spacing w:line="360" w:lineRule="auto"/>
        <w:rPr>
          <w:rFonts w:ascii="宋体" w:hAnsi="宋体"/>
          <w:szCs w:val="21"/>
          <w:u w:val="single"/>
        </w:rPr>
      </w:pPr>
    </w:p>
    <w:p w14:paraId="7D4D23C0">
      <w:pPr>
        <w:spacing w:line="480" w:lineRule="auto"/>
        <w:jc w:val="right"/>
        <w:rPr>
          <w:rFonts w:ascii="宋体" w:hAnsi="宋体" w:cs="宋体"/>
          <w:szCs w:val="21"/>
          <w:lang w:bidi="ar"/>
        </w:rPr>
      </w:pPr>
      <w:r>
        <w:rPr>
          <w:rFonts w:hint="eastAsia" w:ascii="宋体" w:hAnsi="宋体"/>
          <w:szCs w:val="21"/>
        </w:rPr>
        <w:tab/>
      </w:r>
      <w:r>
        <w:rPr>
          <w:rFonts w:hint="eastAsia" w:ascii="宋体" w:hAnsi="宋体"/>
          <w:szCs w:val="21"/>
        </w:rPr>
        <w:t xml:space="preserve">                          </w:t>
      </w:r>
      <w:bookmarkStart w:id="119" w:name="_Toc511920563"/>
      <w:bookmarkStart w:id="120" w:name="_Toc26969"/>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136187BF">
      <w:pPr>
        <w:rPr>
          <w:rFonts w:ascii="宋体" w:hAnsi="宋体"/>
          <w:szCs w:val="21"/>
        </w:rPr>
      </w:pPr>
      <w:bookmarkStart w:id="121" w:name="_Toc20954"/>
      <w:bookmarkStart w:id="122" w:name="_Toc24246"/>
      <w:bookmarkStart w:id="123" w:name="_Toc9962"/>
      <w:bookmarkStart w:id="124" w:name="_Toc18754"/>
    </w:p>
    <w:p w14:paraId="1FA15BC4">
      <w:pPr>
        <w:rPr>
          <w:rFonts w:ascii="宋体" w:hAnsi="宋体"/>
          <w:b/>
          <w:sz w:val="30"/>
          <w:szCs w:val="30"/>
        </w:rPr>
      </w:pPr>
      <w:r>
        <w:rPr>
          <w:rFonts w:hint="eastAsia" w:ascii="宋体" w:hAnsi="宋体"/>
          <w:szCs w:val="21"/>
        </w:rPr>
        <w:t>注：如为法定代表人亲自参与磋商，只需提供法定代表人身份证明书及身份证原件。</w:t>
      </w:r>
      <w:r>
        <w:rPr>
          <w:rFonts w:hint="eastAsia" w:ascii="宋体" w:hAnsi="宋体"/>
          <w:b/>
          <w:sz w:val="30"/>
          <w:szCs w:val="30"/>
        </w:rPr>
        <w:br w:type="page"/>
      </w:r>
    </w:p>
    <w:p w14:paraId="0C4A3C95">
      <w:pPr>
        <w:jc w:val="center"/>
        <w:rPr>
          <w:rFonts w:ascii="宋体" w:hAnsi="宋体"/>
          <w:b/>
          <w:sz w:val="30"/>
          <w:szCs w:val="30"/>
        </w:rPr>
      </w:pPr>
      <w:r>
        <w:rPr>
          <w:rFonts w:hint="eastAsia" w:ascii="宋体" w:hAnsi="宋体"/>
          <w:b/>
          <w:sz w:val="30"/>
          <w:szCs w:val="30"/>
        </w:rPr>
        <w:t>（二）法定代表人授权委托书</w:t>
      </w:r>
      <w:bookmarkEnd w:id="118"/>
      <w:bookmarkEnd w:id="119"/>
      <w:bookmarkEnd w:id="120"/>
      <w:bookmarkEnd w:id="121"/>
      <w:bookmarkEnd w:id="122"/>
      <w:bookmarkEnd w:id="123"/>
      <w:bookmarkEnd w:id="124"/>
    </w:p>
    <w:p w14:paraId="1702D375"/>
    <w:p w14:paraId="6276F33D">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（法定代表人（负责人）姓名）系</w:t>
      </w:r>
      <w:r>
        <w:rPr>
          <w:rFonts w:hint="eastAsia" w:ascii="宋体" w:hAnsi="宋体" w:cs="宋体"/>
          <w:szCs w:val="21"/>
          <w:u w:val="single"/>
        </w:rPr>
        <w:t xml:space="preserve">        </w:t>
      </w:r>
      <w:r>
        <w:rPr>
          <w:rFonts w:hint="eastAsia" w:ascii="宋体" w:hAnsi="宋体" w:cs="宋体"/>
          <w:szCs w:val="21"/>
        </w:rPr>
        <w:t>（供应商名称）的法定代表人（负责人），现委托</w:t>
      </w:r>
      <w:r>
        <w:rPr>
          <w:rFonts w:hint="eastAsia" w:ascii="宋体" w:hAnsi="宋体" w:cs="宋体"/>
          <w:szCs w:val="21"/>
          <w:u w:val="single"/>
        </w:rPr>
        <w:t xml:space="preserve">         </w:t>
      </w:r>
      <w:r>
        <w:rPr>
          <w:rFonts w:hint="eastAsia" w:ascii="宋体" w:hAnsi="宋体" w:cs="宋体"/>
          <w:szCs w:val="21"/>
        </w:rPr>
        <w:t>（被授权人姓名）为我方代理人。代理人根据授权，以我方名义签署、澄清、说明、补正、递交、撤回、修改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szCs w:val="21"/>
        </w:rPr>
        <w:t>的响应文件</w:t>
      </w:r>
      <w:r>
        <w:rPr>
          <w:rFonts w:hint="eastAsia" w:ascii="宋体" w:hAnsi="宋体" w:cs="宋体"/>
          <w:szCs w:val="21"/>
        </w:rPr>
        <w:t>，其法律后果由我方承担。</w:t>
      </w:r>
    </w:p>
    <w:p w14:paraId="085E4CCC">
      <w:pPr>
        <w:spacing w:line="360" w:lineRule="auto"/>
        <w:ind w:firstLine="420" w:firstLineChars="200"/>
        <w:jc w:val="left"/>
        <w:rPr>
          <w:rFonts w:ascii="宋体" w:hAnsi="宋体" w:cs="宋体"/>
          <w:szCs w:val="21"/>
        </w:rPr>
      </w:pPr>
      <w:r>
        <w:rPr>
          <w:rFonts w:hint="eastAsia" w:ascii="宋体" w:hAnsi="宋体" w:cs="宋体"/>
          <w:szCs w:val="21"/>
        </w:rPr>
        <w:t>委托期限：</w:t>
      </w:r>
      <w:r>
        <w:rPr>
          <w:rFonts w:hint="eastAsia" w:ascii="宋体" w:hAnsi="宋体" w:cs="仿宋_GB2312"/>
          <w:kern w:val="0"/>
          <w:szCs w:val="21"/>
        </w:rPr>
        <w:t>90天（从提交响应文件截止日起计算）</w:t>
      </w:r>
      <w:r>
        <w:rPr>
          <w:rFonts w:hint="eastAsia" w:ascii="宋体" w:hAnsi="宋体" w:cs="宋体"/>
          <w:szCs w:val="21"/>
        </w:rPr>
        <w:t>。</w:t>
      </w:r>
    </w:p>
    <w:p w14:paraId="24B4D539">
      <w:pPr>
        <w:spacing w:line="360" w:lineRule="auto"/>
        <w:ind w:firstLine="420" w:firstLineChars="200"/>
        <w:jc w:val="left"/>
        <w:rPr>
          <w:rFonts w:ascii="宋体" w:hAnsi="宋体" w:cs="宋体"/>
          <w:szCs w:val="21"/>
        </w:rPr>
      </w:pPr>
      <w:r>
        <w:rPr>
          <w:rFonts w:hint="eastAsia" w:ascii="宋体" w:hAnsi="宋体" w:cs="宋体"/>
          <w:szCs w:val="21"/>
        </w:rPr>
        <w:t>代理人无转委托权。</w:t>
      </w:r>
    </w:p>
    <w:p w14:paraId="4864BE81">
      <w:pPr>
        <w:jc w:val="center"/>
      </w:pPr>
      <w:bookmarkStart w:id="125" w:name="_Toc13775"/>
      <w:bookmarkStart w:id="126" w:name="_Toc19878"/>
      <w:bookmarkStart w:id="127" w:name="_Toc7109"/>
      <w:bookmarkStart w:id="128" w:name="_Toc11421"/>
      <w:r>
        <w:rPr>
          <w:rFonts w:hint="eastAsia"/>
        </w:rPr>
        <w:t>身份证复印件粘贴处</w:t>
      </w:r>
      <w:bookmarkEnd w:id="125"/>
      <w:bookmarkEnd w:id="126"/>
      <w:bookmarkEnd w:id="127"/>
      <w:bookmarkEnd w:id="128"/>
    </w:p>
    <w:tbl>
      <w:tblPr>
        <w:tblStyle w:val="28"/>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4430"/>
      </w:tblGrid>
      <w:tr w14:paraId="2E58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5BED29B0">
            <w:pPr>
              <w:ind w:firstLine="420" w:firstLineChars="200"/>
              <w:rPr>
                <w:rFonts w:ascii="宋体" w:hAnsi="宋体"/>
                <w:szCs w:val="21"/>
              </w:rPr>
            </w:pPr>
          </w:p>
          <w:p w14:paraId="34652213">
            <w:pPr>
              <w:ind w:firstLine="420" w:firstLineChars="200"/>
              <w:rPr>
                <w:rFonts w:ascii="宋体" w:hAnsi="宋体"/>
                <w:szCs w:val="21"/>
              </w:rPr>
            </w:pPr>
          </w:p>
          <w:p w14:paraId="26D90447">
            <w:pPr>
              <w:ind w:firstLine="420" w:firstLineChars="200"/>
              <w:rPr>
                <w:rFonts w:ascii="宋体" w:hAnsi="宋体"/>
                <w:szCs w:val="21"/>
              </w:rPr>
            </w:pPr>
          </w:p>
          <w:p w14:paraId="6E85D54E">
            <w:pPr>
              <w:ind w:firstLine="420" w:firstLineChars="200"/>
              <w:rPr>
                <w:rFonts w:ascii="宋体" w:hAnsi="宋体"/>
                <w:szCs w:val="21"/>
              </w:rPr>
            </w:pPr>
          </w:p>
          <w:p w14:paraId="1F551669">
            <w:pPr>
              <w:jc w:val="center"/>
              <w:rPr>
                <w:rFonts w:ascii="宋体" w:hAnsi="宋体" w:cs="宋体"/>
                <w:szCs w:val="21"/>
              </w:rPr>
            </w:pPr>
            <w:r>
              <w:rPr>
                <w:rFonts w:hint="eastAsia" w:ascii="宋体" w:hAnsi="宋体"/>
                <w:szCs w:val="21"/>
              </w:rPr>
              <w:t>法定代表人（负责人）身份证人像面</w:t>
            </w:r>
          </w:p>
        </w:tc>
        <w:tc>
          <w:tcPr>
            <w:tcW w:w="4430" w:type="dxa"/>
            <w:tcBorders>
              <w:top w:val="single" w:color="auto" w:sz="4" w:space="0"/>
              <w:left w:val="nil"/>
              <w:bottom w:val="single" w:color="auto" w:sz="4" w:space="0"/>
              <w:right w:val="single" w:color="auto" w:sz="4" w:space="0"/>
            </w:tcBorders>
          </w:tcPr>
          <w:p w14:paraId="1E498467">
            <w:pPr>
              <w:ind w:firstLine="420" w:firstLineChars="200"/>
              <w:rPr>
                <w:rFonts w:ascii="宋体" w:hAnsi="宋体"/>
                <w:szCs w:val="21"/>
              </w:rPr>
            </w:pPr>
          </w:p>
          <w:p w14:paraId="0569171F">
            <w:pPr>
              <w:ind w:firstLine="420" w:firstLineChars="200"/>
              <w:rPr>
                <w:rFonts w:ascii="宋体" w:hAnsi="宋体"/>
                <w:szCs w:val="21"/>
              </w:rPr>
            </w:pPr>
          </w:p>
          <w:p w14:paraId="2BA8C07A">
            <w:pPr>
              <w:ind w:firstLine="420" w:firstLineChars="200"/>
              <w:rPr>
                <w:rFonts w:ascii="宋体" w:hAnsi="宋体"/>
                <w:szCs w:val="21"/>
              </w:rPr>
            </w:pPr>
          </w:p>
          <w:p w14:paraId="03ECD55A">
            <w:pPr>
              <w:ind w:firstLine="420" w:firstLineChars="200"/>
              <w:rPr>
                <w:rFonts w:ascii="宋体" w:hAnsi="宋体"/>
                <w:szCs w:val="21"/>
              </w:rPr>
            </w:pPr>
          </w:p>
          <w:p w14:paraId="2FC186AF">
            <w:pPr>
              <w:jc w:val="center"/>
              <w:rPr>
                <w:rFonts w:ascii="宋体" w:hAnsi="宋体" w:cs="宋体"/>
                <w:szCs w:val="21"/>
              </w:rPr>
            </w:pPr>
            <w:r>
              <w:rPr>
                <w:rFonts w:hint="eastAsia" w:ascii="宋体" w:hAnsi="宋体"/>
                <w:szCs w:val="21"/>
              </w:rPr>
              <w:t>法定代表人（负责人）身份证国徽面</w:t>
            </w:r>
          </w:p>
        </w:tc>
      </w:tr>
      <w:tr w14:paraId="63ED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1A4F1BBB">
            <w:pPr>
              <w:ind w:firstLine="420" w:firstLineChars="200"/>
              <w:rPr>
                <w:rFonts w:ascii="宋体" w:hAnsi="宋体"/>
                <w:szCs w:val="21"/>
              </w:rPr>
            </w:pPr>
          </w:p>
          <w:p w14:paraId="67E79512">
            <w:pPr>
              <w:ind w:firstLine="420" w:firstLineChars="200"/>
              <w:rPr>
                <w:rFonts w:ascii="宋体" w:hAnsi="宋体"/>
                <w:szCs w:val="21"/>
              </w:rPr>
            </w:pPr>
          </w:p>
          <w:p w14:paraId="3A4EBFF6">
            <w:pPr>
              <w:ind w:firstLine="420" w:firstLineChars="200"/>
              <w:rPr>
                <w:rFonts w:ascii="宋体" w:hAnsi="宋体"/>
                <w:szCs w:val="21"/>
              </w:rPr>
            </w:pPr>
          </w:p>
          <w:p w14:paraId="7A2713D6">
            <w:pPr>
              <w:ind w:firstLine="420" w:firstLineChars="200"/>
              <w:rPr>
                <w:rFonts w:ascii="宋体" w:hAnsi="宋体"/>
                <w:szCs w:val="21"/>
              </w:rPr>
            </w:pPr>
          </w:p>
          <w:p w14:paraId="4830DFEB">
            <w:pPr>
              <w:jc w:val="center"/>
              <w:rPr>
                <w:rFonts w:ascii="宋体" w:hAnsi="宋体" w:cs="宋体"/>
                <w:szCs w:val="21"/>
              </w:rPr>
            </w:pPr>
            <w:r>
              <w:rPr>
                <w:rFonts w:hint="eastAsia" w:ascii="宋体" w:hAnsi="宋体"/>
                <w:szCs w:val="21"/>
              </w:rPr>
              <w:t>授权委托人身份证人像面</w:t>
            </w:r>
          </w:p>
        </w:tc>
        <w:tc>
          <w:tcPr>
            <w:tcW w:w="4430" w:type="dxa"/>
            <w:tcBorders>
              <w:top w:val="single" w:color="auto" w:sz="4" w:space="0"/>
              <w:left w:val="nil"/>
              <w:bottom w:val="single" w:color="auto" w:sz="4" w:space="0"/>
              <w:right w:val="single" w:color="auto" w:sz="4" w:space="0"/>
            </w:tcBorders>
          </w:tcPr>
          <w:p w14:paraId="160B18DC">
            <w:pPr>
              <w:ind w:firstLine="420" w:firstLineChars="200"/>
              <w:rPr>
                <w:rFonts w:ascii="宋体" w:hAnsi="宋体"/>
                <w:szCs w:val="21"/>
              </w:rPr>
            </w:pPr>
          </w:p>
          <w:p w14:paraId="42C56545">
            <w:pPr>
              <w:ind w:firstLine="420" w:firstLineChars="200"/>
              <w:rPr>
                <w:rFonts w:ascii="宋体" w:hAnsi="宋体"/>
                <w:szCs w:val="21"/>
              </w:rPr>
            </w:pPr>
          </w:p>
          <w:p w14:paraId="29CAEE7F">
            <w:pPr>
              <w:ind w:firstLine="420" w:firstLineChars="200"/>
              <w:rPr>
                <w:rFonts w:ascii="宋体" w:hAnsi="宋体"/>
                <w:szCs w:val="21"/>
              </w:rPr>
            </w:pPr>
          </w:p>
          <w:p w14:paraId="692C3D39">
            <w:pPr>
              <w:ind w:firstLine="420" w:firstLineChars="200"/>
              <w:rPr>
                <w:rFonts w:ascii="宋体" w:hAnsi="宋体"/>
                <w:szCs w:val="21"/>
              </w:rPr>
            </w:pPr>
          </w:p>
          <w:p w14:paraId="6135B1A9">
            <w:pPr>
              <w:jc w:val="center"/>
              <w:rPr>
                <w:rFonts w:ascii="宋体" w:hAnsi="宋体" w:cs="宋体"/>
                <w:szCs w:val="21"/>
              </w:rPr>
            </w:pPr>
            <w:r>
              <w:rPr>
                <w:rFonts w:hint="eastAsia" w:ascii="宋体" w:hAnsi="宋体"/>
                <w:szCs w:val="21"/>
              </w:rPr>
              <w:t>授权委托人身份证国徽面</w:t>
            </w:r>
          </w:p>
        </w:tc>
      </w:tr>
    </w:tbl>
    <w:p w14:paraId="2A686B19">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4"/>
          <w:szCs w:val="21"/>
          <w:u w:val="single"/>
        </w:rPr>
        <w:t xml:space="preserve">             </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02E16112">
      <w:pPr>
        <w:spacing w:line="480" w:lineRule="auto"/>
        <w:ind w:firstLine="436" w:firstLineChars="200"/>
      </w:pPr>
      <w:r>
        <w:rPr>
          <w:rFonts w:hint="eastAsia" w:ascii="宋体" w:hAnsi="宋体" w:cs="宋体"/>
          <w:spacing w:val="4"/>
          <w:szCs w:val="21"/>
        </w:rPr>
        <w:t>法定代表人或委托代理人（签字或盖章）</w:t>
      </w:r>
      <w:r>
        <w:rPr>
          <w:rFonts w:hint="eastAsia" w:ascii="宋体" w:hAnsi="宋体" w:cs="宋体"/>
          <w:szCs w:val="21"/>
          <w:lang w:bidi="ar"/>
        </w:rPr>
        <w:t>：</w:t>
      </w:r>
      <w:r>
        <w:rPr>
          <w:rFonts w:hint="eastAsia" w:ascii="宋体" w:hAnsi="宋体" w:cs="宋体"/>
          <w:szCs w:val="21"/>
          <w:u w:val="single"/>
          <w:lang w:bidi="ar"/>
        </w:rPr>
        <w:t xml:space="preserve">                    </w:t>
      </w:r>
    </w:p>
    <w:p w14:paraId="1B55B1DA">
      <w:pPr>
        <w:spacing w:line="480" w:lineRule="auto"/>
        <w:ind w:firstLine="420" w:firstLineChars="200"/>
        <w:rPr>
          <w:rFonts w:ascii="宋体" w:hAnsi="宋体" w:cs="宋体"/>
          <w:szCs w:val="21"/>
        </w:rPr>
      </w:pPr>
      <w:r>
        <w:rPr>
          <w:rFonts w:hint="eastAsia" w:ascii="宋体" w:hAnsi="宋体" w:cs="宋体"/>
          <w:szCs w:val="21"/>
          <w:lang w:bidi="ar"/>
        </w:rPr>
        <w:t>被授权人：</w:t>
      </w:r>
      <w:r>
        <w:rPr>
          <w:rFonts w:hint="eastAsia" w:ascii="宋体" w:hAnsi="宋体" w:cs="宋体"/>
          <w:szCs w:val="21"/>
          <w:u w:val="single"/>
          <w:lang w:bidi="ar"/>
        </w:rPr>
        <w:t xml:space="preserve">           </w:t>
      </w:r>
      <w:r>
        <w:rPr>
          <w:rFonts w:hint="eastAsia" w:ascii="宋体" w:hAnsi="宋体" w:cs="宋体"/>
          <w:szCs w:val="21"/>
          <w:lang w:bidi="ar"/>
        </w:rPr>
        <w:t>（签字） 职务：</w:t>
      </w:r>
      <w:r>
        <w:rPr>
          <w:rFonts w:hint="eastAsia" w:ascii="宋体" w:hAnsi="宋体" w:cs="宋体"/>
          <w:szCs w:val="21"/>
          <w:u w:val="single"/>
          <w:lang w:bidi="ar"/>
        </w:rPr>
        <w:t xml:space="preserve">           </w:t>
      </w:r>
    </w:p>
    <w:p w14:paraId="4194C885">
      <w:pPr>
        <w:widowControl/>
        <w:spacing w:line="360" w:lineRule="auto"/>
        <w:ind w:firstLine="420" w:firstLineChars="200"/>
        <w:rPr>
          <w:rFonts w:ascii="宋体" w:hAnsi="宋体" w:cs="宋体"/>
          <w:b/>
          <w:szCs w:val="21"/>
        </w:rPr>
      </w:pPr>
      <w:r>
        <w:rPr>
          <w:rFonts w:hint="eastAsia" w:ascii="宋体" w:hAnsi="宋体" w:cs="宋体"/>
          <w:szCs w:val="21"/>
          <w:lang w:bidi="ar"/>
        </w:rPr>
        <w:t xml:space="preserve">授权委托日期： </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03DD7C5F">
      <w:pPr>
        <w:rPr>
          <w:rFonts w:ascii="宋体" w:hAnsi="宋体"/>
          <w:b/>
          <w:bCs/>
          <w:szCs w:val="21"/>
        </w:rPr>
      </w:pPr>
      <w:bookmarkStart w:id="129" w:name="_Toc452633065"/>
      <w:bookmarkStart w:id="130" w:name="_Toc29944"/>
    </w:p>
    <w:p w14:paraId="62F90B1F">
      <w:pPr>
        <w:rPr>
          <w:rFonts w:ascii="宋体" w:hAnsi="宋体"/>
          <w:szCs w:val="21"/>
        </w:rPr>
      </w:pPr>
    </w:p>
    <w:p w14:paraId="072C9076">
      <w:pPr>
        <w:rPr>
          <w:rFonts w:ascii="宋体" w:hAnsi="宋体"/>
          <w:sz w:val="24"/>
        </w:rPr>
      </w:pPr>
      <w:r>
        <w:rPr>
          <w:rFonts w:hint="eastAsia" w:ascii="宋体" w:hAnsi="宋体"/>
          <w:szCs w:val="21"/>
        </w:rPr>
        <w:t>注：如为法定代表人亲自参与磋商，此页可不提供。</w:t>
      </w:r>
      <w:r>
        <w:rPr>
          <w:rFonts w:hint="eastAsia" w:ascii="宋体" w:hAnsi="宋体"/>
          <w:b/>
          <w:bCs/>
          <w:szCs w:val="21"/>
        </w:rPr>
        <w:br w:type="page"/>
      </w:r>
    </w:p>
    <w:p w14:paraId="53AEBD6E">
      <w:pPr>
        <w:rPr>
          <w:rFonts w:ascii="宋体" w:hAnsi="宋体"/>
          <w:b/>
          <w:sz w:val="32"/>
          <w:szCs w:val="32"/>
        </w:rPr>
      </w:pPr>
      <w:bookmarkStart w:id="131" w:name="_Toc310"/>
      <w:bookmarkStart w:id="132" w:name="_Toc13330"/>
      <w:bookmarkStart w:id="133" w:name="_Toc28680"/>
      <w:bookmarkStart w:id="134" w:name="_Toc12066"/>
      <w:r>
        <w:rPr>
          <w:rFonts w:hint="eastAsia" w:ascii="宋体" w:hAnsi="宋体"/>
          <w:bCs/>
          <w:szCs w:val="21"/>
        </w:rPr>
        <w:t>格式2：</w:t>
      </w:r>
    </w:p>
    <w:p w14:paraId="71A6187F">
      <w:pPr>
        <w:spacing w:before="312" w:beforeLines="100" w:after="312" w:afterLines="100"/>
        <w:jc w:val="center"/>
        <w:rPr>
          <w:rFonts w:ascii="宋体" w:hAnsi="宋体"/>
          <w:b/>
          <w:sz w:val="28"/>
          <w:szCs w:val="28"/>
        </w:rPr>
      </w:pPr>
      <w:r>
        <w:rPr>
          <w:rFonts w:hint="eastAsia" w:ascii="宋体" w:hAnsi="宋体"/>
          <w:b/>
          <w:sz w:val="28"/>
          <w:szCs w:val="28"/>
        </w:rPr>
        <w:t>具备履行合同所必需的设备和专业技术能力的承诺函</w:t>
      </w:r>
    </w:p>
    <w:p w14:paraId="0C06C3CA">
      <w:pPr>
        <w:spacing w:line="500" w:lineRule="exact"/>
        <w:rPr>
          <w:rFonts w:ascii="宋体" w:hAnsi="宋体" w:cs="宋体"/>
        </w:rPr>
      </w:pPr>
    </w:p>
    <w:p w14:paraId="7A91D566">
      <w:pPr>
        <w:spacing w:line="500" w:lineRule="exact"/>
        <w:rPr>
          <w:rFonts w:ascii="宋体" w:hAnsi="宋体" w:cs="宋体"/>
        </w:rPr>
      </w:pPr>
      <w:r>
        <w:rPr>
          <w:rFonts w:hint="eastAsia" w:ascii="宋体" w:hAnsi="宋体" w:cs="宋体"/>
          <w:lang w:eastAsia="zh-CN"/>
        </w:rPr>
        <w:t>咸阳市中心医院</w:t>
      </w:r>
      <w:r>
        <w:rPr>
          <w:rFonts w:hint="eastAsia" w:ascii="宋体" w:hAnsi="宋体" w:cs="宋体"/>
        </w:rPr>
        <w:t>：</w:t>
      </w:r>
    </w:p>
    <w:p w14:paraId="47B4B306">
      <w:pPr>
        <w:spacing w:line="500" w:lineRule="exact"/>
        <w:ind w:firstLine="420" w:firstLineChars="200"/>
        <w:rPr>
          <w:rFonts w:ascii="宋体" w:hAnsi="宋体" w:cs="宋体"/>
        </w:rPr>
      </w:pPr>
      <w:r>
        <w:rPr>
          <w:rFonts w:hint="eastAsia" w:ascii="宋体" w:hAnsi="宋体" w:cs="宋体"/>
        </w:rPr>
        <w:t>我方作为</w:t>
      </w:r>
      <w:r>
        <w:rPr>
          <w:rFonts w:hint="eastAsia" w:ascii="宋体" w:hAnsi="宋体" w:cs="宋体"/>
          <w:u w:val="single"/>
        </w:rPr>
        <w:t xml:space="preserve"> 项目名称 </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）的供应商，在此郑重声明：</w:t>
      </w:r>
    </w:p>
    <w:p w14:paraId="7A44C884">
      <w:pPr>
        <w:numPr>
          <w:ilvl w:val="0"/>
          <w:numId w:val="5"/>
        </w:numPr>
        <w:spacing w:line="500" w:lineRule="exact"/>
        <w:ind w:firstLine="420" w:firstLineChars="200"/>
        <w:rPr>
          <w:rFonts w:ascii="宋体" w:hAnsi="宋体" w:cs="宋体"/>
        </w:rPr>
      </w:pPr>
      <w:r>
        <w:rPr>
          <w:rFonts w:hint="eastAsia" w:ascii="宋体" w:hAnsi="宋体" w:cs="宋体"/>
        </w:rPr>
        <w:t>我方具备履行合同所必须的设备和专业技术能力。</w:t>
      </w:r>
    </w:p>
    <w:p w14:paraId="3BCD59E7">
      <w:pPr>
        <w:spacing w:line="500" w:lineRule="exact"/>
        <w:ind w:firstLine="420" w:firstLineChars="200"/>
        <w:rPr>
          <w:rFonts w:ascii="宋体" w:hAnsi="宋体" w:cs="宋体"/>
        </w:rPr>
      </w:pPr>
      <w:r>
        <w:rPr>
          <w:rFonts w:hint="eastAsia" w:ascii="宋体" w:hAnsi="宋体" w:cs="宋体"/>
        </w:rPr>
        <w:t>2、我方未为本项目提供整体设计、规范编制或者项目管理、监理、检测等服务。</w:t>
      </w:r>
    </w:p>
    <w:p w14:paraId="4FFEC6C3">
      <w:pPr>
        <w:spacing w:line="500" w:lineRule="exact"/>
        <w:ind w:firstLine="420" w:firstLineChars="200"/>
        <w:rPr>
          <w:rFonts w:ascii="宋体" w:hAnsi="宋体" w:cs="宋体"/>
        </w:rPr>
      </w:pPr>
      <w:r>
        <w:rPr>
          <w:rFonts w:hint="eastAsia" w:ascii="宋体" w:hAnsi="宋体" w:cs="宋体"/>
        </w:rPr>
        <w:t>如有不实，我方将无条件地退出本项目的采购活动，并遵照《政府采购法》有关“提供虚假材料的规定”接受处罚。</w:t>
      </w:r>
    </w:p>
    <w:p w14:paraId="7C1C0A7E">
      <w:pPr>
        <w:spacing w:line="500" w:lineRule="exact"/>
        <w:ind w:firstLine="420" w:firstLineChars="200"/>
        <w:rPr>
          <w:rFonts w:ascii="宋体" w:hAnsi="宋体" w:cs="宋体"/>
        </w:rPr>
      </w:pPr>
      <w:r>
        <w:rPr>
          <w:rFonts w:hint="eastAsia" w:ascii="宋体" w:hAnsi="宋体" w:cs="宋体"/>
        </w:rPr>
        <w:t>特此承诺。</w:t>
      </w:r>
    </w:p>
    <w:p w14:paraId="5ACB73F1">
      <w:pPr>
        <w:spacing w:line="500" w:lineRule="exact"/>
        <w:ind w:firstLine="3360" w:firstLineChars="1600"/>
        <w:rPr>
          <w:rFonts w:ascii="宋体" w:hAnsi="宋体" w:cs="宋体"/>
        </w:rPr>
      </w:pPr>
    </w:p>
    <w:p w14:paraId="4A2BBB3E">
      <w:pPr>
        <w:spacing w:line="500" w:lineRule="exact"/>
        <w:ind w:firstLine="3360" w:firstLineChars="1600"/>
        <w:rPr>
          <w:rFonts w:ascii="宋体" w:hAnsi="宋体" w:cs="宋体"/>
        </w:rPr>
      </w:pPr>
    </w:p>
    <w:p w14:paraId="0ABB196F">
      <w:pPr>
        <w:spacing w:line="500" w:lineRule="exact"/>
        <w:ind w:firstLine="3360" w:firstLineChars="1600"/>
        <w:rPr>
          <w:rFonts w:ascii="宋体" w:hAnsi="宋体" w:cs="宋体"/>
        </w:rPr>
      </w:pPr>
    </w:p>
    <w:p w14:paraId="46CB7DFB">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07ACEB0A">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0FC1A4D8">
      <w:pPr>
        <w:spacing w:before="312" w:beforeLines="100" w:after="156" w:afterLines="50" w:line="360" w:lineRule="auto"/>
        <w:ind w:firstLine="420" w:firstLineChars="200"/>
        <w:jc w:val="left"/>
        <w:rPr>
          <w:rFonts w:ascii="宋体" w:hAnsi="宋体" w:cs="宋体"/>
          <w:bCs/>
          <w:szCs w:val="21"/>
        </w:rPr>
      </w:pPr>
      <w:r>
        <w:rPr>
          <w:rFonts w:hint="eastAsia" w:ascii="宋体" w:hAnsi="宋体" w:cs="宋体"/>
          <w:bCs/>
          <w:szCs w:val="21"/>
        </w:rPr>
        <w:t>日 期：</w:t>
      </w:r>
      <w:r>
        <w:rPr>
          <w:rFonts w:hint="eastAsia" w:ascii="宋体" w:hAnsi="宋体" w:cs="宋体"/>
          <w:bCs/>
          <w:szCs w:val="21"/>
          <w:u w:val="single"/>
        </w:rPr>
        <w:t xml:space="preserve">  年   月   日</w:t>
      </w:r>
    </w:p>
    <w:p w14:paraId="12DDAD84">
      <w:pPr>
        <w:pStyle w:val="6"/>
        <w:rPr>
          <w:rFonts w:ascii="仿宋" w:hAnsi="仿宋" w:eastAsia="仿宋" w:cs="仿宋"/>
        </w:rPr>
      </w:pPr>
    </w:p>
    <w:p w14:paraId="5D565986"/>
    <w:p w14:paraId="54B548D6">
      <w:pPr>
        <w:rPr>
          <w:rFonts w:ascii="宋体" w:hAnsi="宋体"/>
          <w:bCs/>
          <w:szCs w:val="21"/>
        </w:rPr>
      </w:pPr>
      <w:r>
        <w:rPr>
          <w:rFonts w:hint="eastAsia" w:ascii="宋体" w:hAnsi="宋体"/>
          <w:bCs/>
          <w:szCs w:val="21"/>
        </w:rPr>
        <w:br w:type="page"/>
      </w:r>
    </w:p>
    <w:p w14:paraId="49B82DCE">
      <w:pPr>
        <w:rPr>
          <w:rFonts w:ascii="宋体" w:hAnsi="宋体"/>
          <w:b/>
          <w:sz w:val="32"/>
          <w:szCs w:val="32"/>
        </w:rPr>
      </w:pPr>
      <w:r>
        <w:rPr>
          <w:rFonts w:hint="eastAsia" w:ascii="宋体" w:hAnsi="宋体"/>
          <w:bCs/>
          <w:szCs w:val="21"/>
        </w:rPr>
        <w:t>格式3：</w:t>
      </w:r>
    </w:p>
    <w:p w14:paraId="39C21F8A">
      <w:pPr>
        <w:spacing w:before="312" w:beforeLines="100" w:after="312" w:afterLines="100"/>
        <w:jc w:val="center"/>
        <w:rPr>
          <w:rFonts w:ascii="宋体" w:hAnsi="宋体"/>
          <w:b/>
          <w:sz w:val="28"/>
          <w:szCs w:val="28"/>
        </w:rPr>
      </w:pPr>
      <w:r>
        <w:rPr>
          <w:rFonts w:hint="eastAsia" w:ascii="宋体" w:hAnsi="宋体"/>
          <w:b/>
          <w:sz w:val="28"/>
          <w:szCs w:val="28"/>
        </w:rPr>
        <w:t>参加政府采购活动前3年内在经营活动中没有重大违法记录的书面声明</w:t>
      </w:r>
    </w:p>
    <w:p w14:paraId="6740B398">
      <w:pPr>
        <w:spacing w:line="500" w:lineRule="exact"/>
        <w:rPr>
          <w:rFonts w:ascii="宋体" w:hAnsi="宋体" w:cs="宋体"/>
          <w:szCs w:val="21"/>
        </w:rPr>
      </w:pPr>
      <w:r>
        <w:rPr>
          <w:rFonts w:hint="eastAsia" w:ascii="宋体" w:hAnsi="宋体" w:cs="宋体"/>
          <w:szCs w:val="21"/>
          <w:lang w:eastAsia="zh-CN"/>
        </w:rPr>
        <w:t>咸阳市中心医院</w:t>
      </w:r>
      <w:r>
        <w:rPr>
          <w:rFonts w:hint="eastAsia" w:ascii="宋体" w:hAnsi="宋体" w:cs="宋体"/>
          <w:szCs w:val="21"/>
        </w:rPr>
        <w:t>：</w:t>
      </w:r>
    </w:p>
    <w:p w14:paraId="3836AC7B">
      <w:pPr>
        <w:spacing w:line="500" w:lineRule="exact"/>
        <w:ind w:right="11" w:firstLine="420" w:firstLineChars="200"/>
        <w:rPr>
          <w:szCs w:val="21"/>
        </w:rPr>
      </w:pPr>
      <w:r>
        <w:rPr>
          <w:rFonts w:hint="eastAsia" w:ascii="华文仿宋" w:hAnsi="华文仿宋" w:cs="华文仿宋"/>
          <w:szCs w:val="21"/>
        </w:rPr>
        <w:t>我方作为</w:t>
      </w:r>
      <w:r>
        <w:rPr>
          <w:rFonts w:hint="eastAsia" w:ascii="华文仿宋" w:hAnsi="华文仿宋" w:cs="华文仿宋"/>
          <w:szCs w:val="21"/>
          <w:u w:val="single"/>
        </w:rPr>
        <w:t xml:space="preserve">  （</w:t>
      </w:r>
      <w:r>
        <w:rPr>
          <w:rFonts w:hint="eastAsia" w:ascii="宋体" w:hAnsi="宋体" w:cs="宋体"/>
          <w:szCs w:val="21"/>
          <w:u w:val="single"/>
        </w:rPr>
        <w:t xml:space="preserve">项目名称）  </w:t>
      </w:r>
      <w:r>
        <w:rPr>
          <w:rFonts w:hint="eastAsia" w:cs="华文仿宋"/>
          <w:szCs w:val="21"/>
        </w:rPr>
        <w:t>的供应商，在此郑重声明：</w:t>
      </w:r>
    </w:p>
    <w:p w14:paraId="2483B17E">
      <w:pPr>
        <w:spacing w:line="500" w:lineRule="exact"/>
        <w:ind w:firstLine="420" w:firstLineChars="200"/>
        <w:rPr>
          <w:rFonts w:cs="华文仿宋"/>
          <w:szCs w:val="21"/>
        </w:rPr>
      </w:pPr>
      <w:r>
        <w:rPr>
          <w:rFonts w:hint="eastAsia" w:cs="华文仿宋"/>
          <w:szCs w:val="21"/>
        </w:rPr>
        <w:t>在参加本次政府采购活动前</w:t>
      </w:r>
      <w:r>
        <w:rPr>
          <w:rFonts w:hint="eastAsia" w:ascii="宋体" w:hAnsi="宋体" w:cs="宋体"/>
          <w:szCs w:val="21"/>
        </w:rPr>
        <w:t>3</w:t>
      </w:r>
      <w:r>
        <w:rPr>
          <w:rFonts w:hint="eastAsia" w:cs="华文仿宋"/>
          <w:szCs w:val="21"/>
        </w:rPr>
        <w:t>年内的经营活动中</w:t>
      </w:r>
      <w:r>
        <w:rPr>
          <w:szCs w:val="21"/>
        </w:rPr>
        <w:t>____</w:t>
      </w:r>
      <w:r>
        <w:rPr>
          <w:rFonts w:hint="eastAsia" w:cs="华文仿宋"/>
          <w:szCs w:val="21"/>
        </w:rPr>
        <w:t>（填“没有”或“有”）重大违法记录。</w:t>
      </w:r>
    </w:p>
    <w:p w14:paraId="6B3CFB33">
      <w:pPr>
        <w:spacing w:line="500" w:lineRule="exact"/>
        <w:ind w:firstLine="420" w:firstLineChars="200"/>
        <w:rPr>
          <w:szCs w:val="21"/>
        </w:rPr>
      </w:pPr>
      <w:r>
        <w:rPr>
          <w:rFonts w:hint="eastAsia" w:cs="华文仿宋"/>
          <w:szCs w:val="21"/>
        </w:rPr>
        <w:t>如有不实，我方将无条件地退出本项目的采购活动，并遵照《政府采购法》有关“提供虚假材料的规定”接受处罚。</w:t>
      </w:r>
    </w:p>
    <w:p w14:paraId="1D7DB7DC">
      <w:pPr>
        <w:spacing w:line="500" w:lineRule="exact"/>
        <w:ind w:firstLine="420" w:firstLineChars="200"/>
        <w:rPr>
          <w:szCs w:val="21"/>
        </w:rPr>
      </w:pPr>
      <w:r>
        <w:rPr>
          <w:rFonts w:hint="eastAsia" w:cs="华文仿宋"/>
          <w:szCs w:val="21"/>
        </w:rPr>
        <w:t>特此声明。</w:t>
      </w:r>
    </w:p>
    <w:p w14:paraId="7B032EC9">
      <w:pPr>
        <w:spacing w:before="312" w:beforeLines="100" w:after="156" w:afterLines="50" w:line="360" w:lineRule="auto"/>
        <w:ind w:firstLine="436" w:firstLineChars="200"/>
        <w:jc w:val="left"/>
        <w:rPr>
          <w:rFonts w:ascii="宋体" w:hAnsi="宋体" w:cs="宋体"/>
          <w:spacing w:val="4"/>
          <w:szCs w:val="21"/>
        </w:rPr>
      </w:pPr>
    </w:p>
    <w:p w14:paraId="4426DA3E">
      <w:pPr>
        <w:spacing w:before="312" w:beforeLines="100" w:after="156" w:afterLines="50" w:line="360" w:lineRule="auto"/>
        <w:ind w:firstLine="436" w:firstLineChars="200"/>
        <w:jc w:val="left"/>
        <w:rPr>
          <w:rFonts w:ascii="宋体" w:hAnsi="宋体" w:cs="宋体"/>
          <w:spacing w:val="4"/>
          <w:szCs w:val="21"/>
        </w:rPr>
      </w:pPr>
    </w:p>
    <w:p w14:paraId="218F54DE">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12B7820C">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2504BF15">
      <w:pPr>
        <w:spacing w:before="312" w:beforeLines="100" w:after="156" w:afterLines="50" w:line="360" w:lineRule="auto"/>
        <w:ind w:firstLine="420" w:firstLineChars="200"/>
        <w:jc w:val="left"/>
        <w:rPr>
          <w:rFonts w:ascii="宋体" w:hAnsi="宋体" w:cs="宋体"/>
          <w:bCs/>
          <w:szCs w:val="21"/>
        </w:rPr>
      </w:pPr>
      <w:r>
        <w:rPr>
          <w:rFonts w:hint="eastAsia" w:ascii="宋体" w:hAnsi="宋体" w:cs="宋体"/>
          <w:bCs/>
          <w:szCs w:val="21"/>
        </w:rPr>
        <w:t>日 期：</w:t>
      </w:r>
      <w:r>
        <w:rPr>
          <w:rFonts w:hint="eastAsia" w:ascii="宋体" w:hAnsi="宋体" w:cs="宋体"/>
          <w:bCs/>
          <w:szCs w:val="21"/>
          <w:u w:val="single"/>
        </w:rPr>
        <w:t xml:space="preserve">  年   月   日</w:t>
      </w:r>
    </w:p>
    <w:p w14:paraId="42234F5D">
      <w:pPr>
        <w:spacing w:before="312" w:beforeLines="100" w:after="312" w:afterLines="100"/>
        <w:jc w:val="center"/>
        <w:rPr>
          <w:rFonts w:ascii="宋体" w:hAnsi="宋体"/>
          <w:bCs/>
          <w:sz w:val="28"/>
          <w:szCs w:val="28"/>
        </w:rPr>
      </w:pPr>
    </w:p>
    <w:p w14:paraId="5FA8683E">
      <w:pPr>
        <w:spacing w:line="360" w:lineRule="auto"/>
        <w:ind w:firstLine="420" w:firstLineChars="200"/>
        <w:jc w:val="left"/>
        <w:rPr>
          <w:rFonts w:ascii="宋体" w:hAnsi="宋体"/>
          <w:sz w:val="28"/>
          <w:szCs w:val="28"/>
        </w:rPr>
      </w:pPr>
      <w:r>
        <w:rPr>
          <w:rFonts w:hint="eastAsia" w:cs="华文仿宋"/>
        </w:rPr>
        <w:t>注：供应商在参加政府采购活动前</w:t>
      </w:r>
      <w:r>
        <w:rPr>
          <w:rFonts w:ascii="仿宋" w:hAnsi="仿宋" w:eastAsia="仿宋" w:cs="仿宋"/>
        </w:rPr>
        <w:t>3</w:t>
      </w:r>
      <w:r>
        <w:rPr>
          <w:rFonts w:hint="eastAsia" w:cs="华文仿宋"/>
        </w:rPr>
        <w:t>年内因违法经营被禁止在一定期限内参加政府采购活动，期限届满的，可以参加政府采购活动，但应提供期限届满的证明材料。</w:t>
      </w:r>
    </w:p>
    <w:p w14:paraId="5AB3FAF9">
      <w:pPr>
        <w:rPr>
          <w:rFonts w:ascii="宋体" w:hAnsi="宋体"/>
          <w:bCs/>
          <w:szCs w:val="21"/>
        </w:rPr>
      </w:pPr>
      <w:r>
        <w:rPr>
          <w:rFonts w:hint="eastAsia" w:ascii="宋体" w:hAnsi="宋体"/>
          <w:bCs/>
          <w:szCs w:val="21"/>
        </w:rPr>
        <w:br w:type="page"/>
      </w:r>
    </w:p>
    <w:p w14:paraId="45B0043D">
      <w:pPr>
        <w:rPr>
          <w:rFonts w:ascii="宋体" w:hAnsi="宋体"/>
          <w:b/>
          <w:sz w:val="32"/>
          <w:szCs w:val="32"/>
        </w:rPr>
      </w:pPr>
      <w:r>
        <w:rPr>
          <w:rFonts w:hint="eastAsia" w:ascii="宋体" w:hAnsi="宋体"/>
          <w:bCs/>
          <w:szCs w:val="21"/>
        </w:rPr>
        <w:t>格式4：</w:t>
      </w:r>
    </w:p>
    <w:p w14:paraId="0C9F7393">
      <w:pPr>
        <w:spacing w:before="312" w:beforeLines="100" w:after="312" w:afterLines="100"/>
        <w:jc w:val="center"/>
        <w:rPr>
          <w:rFonts w:ascii="宋体" w:hAnsi="宋体"/>
          <w:b/>
          <w:sz w:val="28"/>
          <w:szCs w:val="28"/>
        </w:rPr>
      </w:pPr>
      <w:r>
        <w:rPr>
          <w:rFonts w:hint="eastAsia" w:ascii="宋体" w:hAnsi="宋体"/>
          <w:b/>
          <w:sz w:val="28"/>
          <w:szCs w:val="28"/>
        </w:rPr>
        <w:t>非联合体磋商承诺函</w:t>
      </w:r>
    </w:p>
    <w:p w14:paraId="5C2198F4">
      <w:pPr>
        <w:spacing w:line="500" w:lineRule="exact"/>
        <w:ind w:firstLine="420" w:firstLineChars="200"/>
        <w:rPr>
          <w:rFonts w:ascii="华文仿宋" w:hAnsi="华文仿宋" w:cs="华文仿宋"/>
        </w:rPr>
      </w:pPr>
    </w:p>
    <w:p w14:paraId="0FF5BE95">
      <w:pPr>
        <w:snapToGrid w:val="0"/>
        <w:spacing w:after="156" w:afterLines="50" w:line="500" w:lineRule="exact"/>
        <w:rPr>
          <w:rFonts w:ascii="宋体" w:hAnsi="宋体" w:cs="宋体"/>
        </w:rPr>
      </w:pPr>
      <w:r>
        <w:rPr>
          <w:rFonts w:hint="eastAsia" w:ascii="宋体" w:hAnsi="宋体" w:cs="宋体"/>
          <w:lang w:eastAsia="zh-CN"/>
        </w:rPr>
        <w:t>咸阳市中心医院</w:t>
      </w:r>
      <w:r>
        <w:rPr>
          <w:rFonts w:hint="eastAsia" w:ascii="宋体" w:hAnsi="宋体" w:cs="宋体"/>
        </w:rPr>
        <w:t>：</w:t>
      </w:r>
    </w:p>
    <w:p w14:paraId="619D09DB">
      <w:pPr>
        <w:spacing w:line="500" w:lineRule="exact"/>
        <w:ind w:firstLine="420" w:firstLineChars="200"/>
        <w:rPr>
          <w:rFonts w:ascii="华文仿宋" w:hAnsi="华文仿宋" w:cs="华文仿宋"/>
        </w:rPr>
      </w:pPr>
      <w:r>
        <w:rPr>
          <w:rFonts w:hint="eastAsia" w:ascii="华文仿宋" w:hAnsi="华文仿宋" w:cs="华文仿宋"/>
        </w:rPr>
        <w:t>本单位郑重承诺，我方参加的</w:t>
      </w:r>
      <w:r>
        <w:rPr>
          <w:rFonts w:hint="eastAsia" w:ascii="华文仿宋" w:hAnsi="华文仿宋" w:cs="华文仿宋"/>
          <w:u w:val="single"/>
        </w:rPr>
        <w:t>项目名称</w:t>
      </w:r>
      <w:r>
        <w:rPr>
          <w:rFonts w:hint="eastAsia" w:ascii="华文仿宋" w:hAnsi="华文仿宋" w:cs="华文仿宋"/>
        </w:rPr>
        <w:t>（项目编号：</w:t>
      </w:r>
      <w:r>
        <w:rPr>
          <w:rFonts w:hint="eastAsia" w:ascii="华文仿宋" w:hAnsi="华文仿宋" w:cs="华文仿宋"/>
          <w:u w:val="single"/>
        </w:rPr>
        <w:t xml:space="preserve">     </w:t>
      </w:r>
      <w:r>
        <w:rPr>
          <w:rFonts w:hint="eastAsia" w:ascii="华文仿宋" w:hAnsi="华文仿宋" w:cs="华文仿宋"/>
        </w:rPr>
        <w:t>）采购活动，为非联合体磋商，本项目实施过程由本单位独立承担。</w:t>
      </w:r>
    </w:p>
    <w:p w14:paraId="60900B72">
      <w:pPr>
        <w:spacing w:line="500" w:lineRule="exact"/>
        <w:ind w:firstLine="420" w:firstLineChars="200"/>
        <w:jc w:val="left"/>
        <w:rPr>
          <w:rFonts w:ascii="华文仿宋" w:hAnsi="华文仿宋" w:cs="华文仿宋"/>
        </w:rPr>
      </w:pPr>
      <w:r>
        <w:rPr>
          <w:rFonts w:hint="eastAsia" w:ascii="华文仿宋" w:hAnsi="华文仿宋" w:cs="华文仿宋"/>
        </w:rPr>
        <w:t>本单位对上述内容的真实性负责。如有虚假，将依法承担相应责任。</w:t>
      </w:r>
    </w:p>
    <w:p w14:paraId="1113FC0B">
      <w:pPr>
        <w:spacing w:line="500" w:lineRule="exact"/>
        <w:ind w:firstLine="420" w:firstLineChars="200"/>
        <w:jc w:val="left"/>
        <w:rPr>
          <w:rFonts w:ascii="华文仿宋" w:hAnsi="华文仿宋" w:cs="华文仿宋"/>
        </w:rPr>
      </w:pPr>
    </w:p>
    <w:p w14:paraId="46B8ED7D">
      <w:pPr>
        <w:pStyle w:val="6"/>
        <w:rPr>
          <w:rFonts w:ascii="华文仿宋" w:hAnsi="华文仿宋" w:cs="华文仿宋"/>
        </w:rPr>
      </w:pPr>
    </w:p>
    <w:p w14:paraId="3F7BB6CB">
      <w:pPr>
        <w:spacing w:line="500" w:lineRule="exact"/>
        <w:ind w:firstLine="3780" w:firstLineChars="1800"/>
        <w:rPr>
          <w:rFonts w:ascii="华文仿宋" w:hAnsi="华文仿宋" w:cs="华文仿宋"/>
        </w:rPr>
      </w:pPr>
    </w:p>
    <w:p w14:paraId="0820502F">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5AB0C4A8">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4A7559F7">
      <w:pPr>
        <w:spacing w:before="312" w:beforeLines="100" w:after="156" w:afterLines="50" w:line="360" w:lineRule="auto"/>
        <w:ind w:firstLine="420" w:firstLineChars="200"/>
        <w:jc w:val="left"/>
        <w:rPr>
          <w:rFonts w:ascii="宋体" w:hAnsi="宋体" w:cs="宋体"/>
          <w:bCs/>
          <w:szCs w:val="21"/>
        </w:rPr>
      </w:pPr>
      <w:r>
        <w:rPr>
          <w:rFonts w:hint="eastAsia" w:ascii="宋体" w:hAnsi="宋体" w:cs="宋体"/>
          <w:bCs/>
          <w:szCs w:val="21"/>
        </w:rPr>
        <w:t>日 期：</w:t>
      </w:r>
      <w:r>
        <w:rPr>
          <w:rFonts w:hint="eastAsia" w:ascii="宋体" w:hAnsi="宋体" w:cs="宋体"/>
          <w:bCs/>
          <w:szCs w:val="21"/>
          <w:u w:val="single"/>
        </w:rPr>
        <w:t xml:space="preserve">  年   月   日</w:t>
      </w:r>
    </w:p>
    <w:p w14:paraId="13093904">
      <w:pPr>
        <w:pStyle w:val="26"/>
        <w:ind w:firstLine="210"/>
        <w:rPr>
          <w:rFonts w:ascii="华文仿宋"/>
        </w:rPr>
      </w:pPr>
    </w:p>
    <w:p w14:paraId="63DD1196">
      <w:pPr>
        <w:pStyle w:val="35"/>
      </w:pPr>
    </w:p>
    <w:p w14:paraId="32F89E1B">
      <w:pPr>
        <w:rPr>
          <w:rFonts w:ascii="宋体" w:hAnsi="宋体"/>
          <w:bCs/>
          <w:szCs w:val="21"/>
        </w:rPr>
      </w:pPr>
      <w:r>
        <w:rPr>
          <w:rFonts w:hint="eastAsia" w:ascii="宋体" w:hAnsi="宋体"/>
          <w:bCs/>
          <w:szCs w:val="21"/>
        </w:rPr>
        <w:br w:type="page"/>
      </w:r>
    </w:p>
    <w:bookmarkEnd w:id="102"/>
    <w:bookmarkEnd w:id="129"/>
    <w:bookmarkEnd w:id="130"/>
    <w:bookmarkEnd w:id="131"/>
    <w:bookmarkEnd w:id="132"/>
    <w:bookmarkEnd w:id="133"/>
    <w:bookmarkEnd w:id="134"/>
    <w:p w14:paraId="06D639E5">
      <w:pPr>
        <w:rPr>
          <w:rFonts w:ascii="宋体" w:hAnsi="宋体"/>
          <w:b/>
          <w:sz w:val="32"/>
          <w:szCs w:val="32"/>
        </w:rPr>
      </w:pPr>
      <w:bookmarkStart w:id="135" w:name="_Toc12007"/>
      <w:bookmarkStart w:id="136" w:name="_Toc13090"/>
      <w:bookmarkStart w:id="137" w:name="_Toc12264"/>
      <w:bookmarkStart w:id="138" w:name="_Toc15773"/>
      <w:bookmarkStart w:id="139" w:name="_Toc25983"/>
      <w:bookmarkStart w:id="140" w:name="_Toc23076"/>
      <w:bookmarkStart w:id="141" w:name="_Toc13560"/>
      <w:bookmarkStart w:id="142" w:name="_Toc16028"/>
      <w:bookmarkStart w:id="143" w:name="_Toc11271"/>
      <w:bookmarkStart w:id="144" w:name="_Toc29667"/>
      <w:bookmarkStart w:id="145" w:name="_Toc11308"/>
      <w:bookmarkStart w:id="146" w:name="_Toc212032973"/>
      <w:bookmarkStart w:id="147" w:name="_Toc213560719"/>
      <w:r>
        <w:rPr>
          <w:rFonts w:hint="eastAsia" w:ascii="宋体" w:hAnsi="宋体"/>
          <w:bCs/>
          <w:szCs w:val="21"/>
        </w:rPr>
        <w:t>格式5：</w:t>
      </w:r>
    </w:p>
    <w:p w14:paraId="6377AFA0">
      <w:pPr>
        <w:spacing w:before="312" w:beforeLines="100" w:after="312" w:afterLines="100"/>
        <w:jc w:val="center"/>
        <w:rPr>
          <w:rFonts w:ascii="宋体" w:hAnsi="宋体"/>
          <w:sz w:val="24"/>
        </w:rPr>
      </w:pPr>
      <w:r>
        <w:rPr>
          <w:rFonts w:hint="eastAsia" w:ascii="宋体" w:hAnsi="宋体"/>
          <w:b/>
          <w:sz w:val="28"/>
          <w:szCs w:val="28"/>
        </w:rPr>
        <w:t>供应商控股管理关系承诺书</w:t>
      </w:r>
      <w:bookmarkEnd w:id="135"/>
      <w:bookmarkEnd w:id="136"/>
      <w:bookmarkEnd w:id="137"/>
      <w:bookmarkEnd w:id="138"/>
      <w:bookmarkEnd w:id="139"/>
      <w:bookmarkEnd w:id="140"/>
    </w:p>
    <w:p w14:paraId="01997820">
      <w:pPr>
        <w:autoSpaceDE w:val="0"/>
        <w:autoSpaceDN w:val="0"/>
        <w:adjustRightInd w:val="0"/>
        <w:spacing w:line="480" w:lineRule="auto"/>
        <w:ind w:firstLine="420" w:firstLineChars="200"/>
        <w:rPr>
          <w:rFonts w:ascii="宋体" w:hAnsi="宋体"/>
          <w:szCs w:val="21"/>
        </w:rPr>
      </w:pPr>
      <w:r>
        <w:rPr>
          <w:rFonts w:hint="eastAsia" w:ascii="宋体" w:hAnsi="宋体"/>
          <w:szCs w:val="21"/>
        </w:rPr>
        <w:t>1、供应商单位负责人在其他单位任职情况：</w:t>
      </w:r>
    </w:p>
    <w:p w14:paraId="77A225C9">
      <w:pPr>
        <w:autoSpaceDE w:val="0"/>
        <w:autoSpaceDN w:val="0"/>
        <w:adjustRightInd w:val="0"/>
        <w:spacing w:line="480" w:lineRule="auto"/>
        <w:rPr>
          <w:rFonts w:ascii="宋体" w:hAnsi="宋体"/>
          <w:szCs w:val="21"/>
        </w:rPr>
      </w:pPr>
    </w:p>
    <w:p w14:paraId="229078C6">
      <w:pPr>
        <w:autoSpaceDE w:val="0"/>
        <w:autoSpaceDN w:val="0"/>
        <w:adjustRightInd w:val="0"/>
        <w:spacing w:line="480" w:lineRule="auto"/>
        <w:ind w:firstLine="420" w:firstLineChars="200"/>
        <w:rPr>
          <w:rFonts w:ascii="宋体" w:hAnsi="宋体"/>
          <w:szCs w:val="21"/>
        </w:rPr>
      </w:pPr>
      <w:r>
        <w:rPr>
          <w:rFonts w:hint="eastAsia" w:ascii="宋体" w:hAnsi="宋体"/>
          <w:szCs w:val="21"/>
        </w:rPr>
        <w:t>2、供应商控股关系说明</w:t>
      </w:r>
    </w:p>
    <w:p w14:paraId="1B760066">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（1）供应商下属控股单位：</w:t>
      </w:r>
      <w:r>
        <w:rPr>
          <w:rFonts w:hint="eastAsia" w:ascii="宋体" w:hAnsi="宋体"/>
          <w:szCs w:val="21"/>
          <w:u w:val="single"/>
        </w:rPr>
        <w:t xml:space="preserve">                        </w:t>
      </w:r>
    </w:p>
    <w:p w14:paraId="18FA12F0">
      <w:pPr>
        <w:autoSpaceDE w:val="0"/>
        <w:autoSpaceDN w:val="0"/>
        <w:adjustRightInd w:val="0"/>
        <w:spacing w:line="480" w:lineRule="auto"/>
        <w:ind w:firstLine="420" w:firstLineChars="200"/>
        <w:rPr>
          <w:rFonts w:ascii="宋体" w:hAnsi="宋体"/>
          <w:szCs w:val="21"/>
        </w:rPr>
      </w:pPr>
      <w:r>
        <w:rPr>
          <w:rFonts w:hint="eastAsia" w:ascii="宋体" w:hAnsi="宋体"/>
          <w:szCs w:val="21"/>
        </w:rPr>
        <w:t>（2）供应商上属被控股单位：</w:t>
      </w:r>
      <w:r>
        <w:rPr>
          <w:rFonts w:hint="eastAsia" w:ascii="宋体" w:hAnsi="宋体"/>
          <w:szCs w:val="21"/>
          <w:u w:val="single"/>
        </w:rPr>
        <w:t xml:space="preserve">                      </w:t>
      </w:r>
    </w:p>
    <w:p w14:paraId="4CB53869">
      <w:pPr>
        <w:autoSpaceDE w:val="0"/>
        <w:autoSpaceDN w:val="0"/>
        <w:adjustRightInd w:val="0"/>
        <w:spacing w:line="480" w:lineRule="auto"/>
        <w:ind w:firstLine="420" w:firstLineChars="200"/>
        <w:rPr>
          <w:rFonts w:ascii="宋体" w:hAnsi="宋体"/>
          <w:szCs w:val="21"/>
        </w:rPr>
      </w:pPr>
      <w:r>
        <w:rPr>
          <w:rFonts w:hint="eastAsia" w:ascii="宋体" w:hAnsi="宋体"/>
          <w:szCs w:val="21"/>
        </w:rPr>
        <w:t>3、供应商管理关系说明</w:t>
      </w:r>
    </w:p>
    <w:p w14:paraId="5F41E8F6">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（1）供应商下属管理单位：</w:t>
      </w:r>
      <w:r>
        <w:rPr>
          <w:rFonts w:hint="eastAsia" w:ascii="宋体" w:hAnsi="宋体"/>
          <w:szCs w:val="21"/>
          <w:u w:val="single"/>
        </w:rPr>
        <w:t xml:space="preserve">                         </w:t>
      </w:r>
    </w:p>
    <w:p w14:paraId="7E9316E1">
      <w:pPr>
        <w:autoSpaceDE w:val="0"/>
        <w:autoSpaceDN w:val="0"/>
        <w:adjustRightInd w:val="0"/>
        <w:spacing w:line="480" w:lineRule="auto"/>
        <w:ind w:firstLine="945" w:firstLineChars="450"/>
        <w:rPr>
          <w:rFonts w:ascii="宋体" w:hAnsi="宋体"/>
          <w:szCs w:val="21"/>
        </w:rPr>
      </w:pPr>
      <w:r>
        <w:rPr>
          <w:rFonts w:hint="eastAsia" w:ascii="宋体" w:hAnsi="宋体"/>
          <w:szCs w:val="21"/>
        </w:rPr>
        <w:t>管理职责（行政、人事等）：</w:t>
      </w:r>
      <w:r>
        <w:rPr>
          <w:rFonts w:hint="eastAsia" w:ascii="宋体" w:hAnsi="宋体"/>
          <w:szCs w:val="21"/>
          <w:u w:val="single"/>
        </w:rPr>
        <w:t xml:space="preserve">                   </w:t>
      </w:r>
    </w:p>
    <w:p w14:paraId="6BE1BD0E">
      <w:pPr>
        <w:autoSpaceDE w:val="0"/>
        <w:autoSpaceDN w:val="0"/>
        <w:adjustRightInd w:val="0"/>
        <w:spacing w:line="480" w:lineRule="auto"/>
        <w:ind w:firstLine="420" w:firstLineChars="200"/>
        <w:rPr>
          <w:rFonts w:ascii="宋体" w:hAnsi="宋体"/>
          <w:szCs w:val="21"/>
        </w:rPr>
      </w:pPr>
      <w:r>
        <w:rPr>
          <w:rFonts w:hint="eastAsia" w:ascii="宋体" w:hAnsi="宋体"/>
          <w:szCs w:val="21"/>
        </w:rPr>
        <w:t>（2）供应商上属被管理管理：</w:t>
      </w:r>
      <w:r>
        <w:rPr>
          <w:rFonts w:hint="eastAsia" w:ascii="宋体" w:hAnsi="宋体"/>
          <w:szCs w:val="21"/>
          <w:u w:val="single"/>
        </w:rPr>
        <w:t xml:space="preserve">                       </w:t>
      </w:r>
    </w:p>
    <w:p w14:paraId="4E1EC416">
      <w:pPr>
        <w:autoSpaceDE w:val="0"/>
        <w:autoSpaceDN w:val="0"/>
        <w:adjustRightInd w:val="0"/>
        <w:spacing w:line="480" w:lineRule="auto"/>
        <w:ind w:firstLine="945" w:firstLineChars="450"/>
        <w:rPr>
          <w:rFonts w:ascii="宋体" w:hAnsi="宋体"/>
          <w:szCs w:val="21"/>
        </w:rPr>
      </w:pPr>
      <w:r>
        <w:rPr>
          <w:rFonts w:hint="eastAsia" w:ascii="宋体" w:hAnsi="宋体"/>
          <w:szCs w:val="21"/>
        </w:rPr>
        <w:t>管理职责（行政、人事等）：</w:t>
      </w:r>
      <w:r>
        <w:rPr>
          <w:rFonts w:hint="eastAsia" w:ascii="宋体" w:hAnsi="宋体"/>
          <w:szCs w:val="21"/>
          <w:u w:val="single"/>
        </w:rPr>
        <w:t xml:space="preserve">                   </w:t>
      </w:r>
    </w:p>
    <w:p w14:paraId="0D555F87">
      <w:pPr>
        <w:spacing w:line="500" w:lineRule="exact"/>
        <w:ind w:firstLine="420" w:firstLineChars="200"/>
        <w:jc w:val="left"/>
        <w:rPr>
          <w:rFonts w:ascii="华文仿宋" w:hAnsi="华文仿宋" w:cs="华文仿宋"/>
          <w:szCs w:val="21"/>
        </w:rPr>
      </w:pPr>
      <w:r>
        <w:rPr>
          <w:rFonts w:hint="eastAsia" w:ascii="华文仿宋" w:hAnsi="华文仿宋" w:cs="华文仿宋"/>
          <w:szCs w:val="21"/>
        </w:rPr>
        <w:t>本单位对上述内容的真实性负责。如有虚假，将依法承担相应责任。</w:t>
      </w:r>
    </w:p>
    <w:p w14:paraId="1F3E8839">
      <w:pPr>
        <w:spacing w:line="500" w:lineRule="exact"/>
        <w:ind w:firstLine="420" w:firstLineChars="200"/>
        <w:jc w:val="left"/>
        <w:rPr>
          <w:rFonts w:ascii="华文仿宋" w:hAnsi="华文仿宋" w:cs="华文仿宋"/>
          <w:szCs w:val="21"/>
        </w:rPr>
      </w:pPr>
      <w:r>
        <w:rPr>
          <w:rFonts w:hint="eastAsia" w:ascii="华文仿宋" w:hAnsi="华文仿宋" w:cs="华文仿宋"/>
          <w:szCs w:val="21"/>
        </w:rPr>
        <w:t>特此承诺</w:t>
      </w:r>
    </w:p>
    <w:p w14:paraId="3CFCC5CE">
      <w:pPr>
        <w:autoSpaceDE w:val="0"/>
        <w:autoSpaceDN w:val="0"/>
        <w:adjustRightInd w:val="0"/>
        <w:spacing w:line="480" w:lineRule="auto"/>
        <w:ind w:firstLine="420" w:firstLineChars="200"/>
        <w:rPr>
          <w:rFonts w:ascii="宋体" w:hAnsi="宋体"/>
          <w:szCs w:val="21"/>
        </w:rPr>
      </w:pPr>
    </w:p>
    <w:p w14:paraId="483D342C">
      <w:pPr>
        <w:autoSpaceDE w:val="0"/>
        <w:autoSpaceDN w:val="0"/>
        <w:adjustRightInd w:val="0"/>
        <w:spacing w:line="480" w:lineRule="auto"/>
        <w:rPr>
          <w:rFonts w:ascii="宋体" w:hAnsi="宋体" w:cs="宋体"/>
          <w:szCs w:val="21"/>
          <w:lang w:val="zh-CN"/>
        </w:rPr>
      </w:pPr>
    </w:p>
    <w:p w14:paraId="6F0748A2">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057A6817">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43F7E9EF">
      <w:pPr>
        <w:spacing w:before="312" w:beforeLines="100" w:after="156" w:afterLines="50" w:line="360" w:lineRule="auto"/>
        <w:ind w:firstLine="420" w:firstLineChars="200"/>
        <w:jc w:val="left"/>
        <w:rPr>
          <w:rFonts w:ascii="宋体" w:hAnsi="宋体" w:cs="宋体"/>
          <w:bCs/>
          <w:szCs w:val="21"/>
          <w:u w:val="single"/>
        </w:rPr>
      </w:pPr>
      <w:r>
        <w:rPr>
          <w:rFonts w:hint="eastAsia" w:ascii="宋体" w:hAnsi="宋体" w:cs="宋体"/>
          <w:bCs/>
          <w:szCs w:val="21"/>
        </w:rPr>
        <w:t>日 期：</w:t>
      </w:r>
      <w:r>
        <w:rPr>
          <w:rFonts w:hint="eastAsia" w:ascii="宋体" w:hAnsi="宋体" w:cs="宋体"/>
          <w:bCs/>
          <w:szCs w:val="21"/>
          <w:u w:val="single"/>
        </w:rPr>
        <w:t xml:space="preserve">  年   月   日</w:t>
      </w:r>
    </w:p>
    <w:p w14:paraId="18D65CC7">
      <w:pPr>
        <w:pStyle w:val="11"/>
        <w:ind w:left="1470" w:right="1470" w:firstLine="420" w:firstLineChars="200"/>
      </w:pPr>
    </w:p>
    <w:p w14:paraId="72B207CB">
      <w:pPr>
        <w:pStyle w:val="11"/>
        <w:ind w:left="1470" w:right="1470"/>
        <w:rPr>
          <w:rFonts w:ascii="宋体" w:hAnsi="宋体" w:cs="宋体"/>
          <w:bCs/>
          <w:szCs w:val="21"/>
          <w:u w:val="single"/>
        </w:rPr>
      </w:pPr>
    </w:p>
    <w:p w14:paraId="32E1FE38">
      <w:pPr>
        <w:pStyle w:val="11"/>
        <w:ind w:left="1470" w:right="1470"/>
        <w:rPr>
          <w:rFonts w:ascii="宋体" w:hAnsi="宋体" w:cs="宋体"/>
          <w:bCs/>
          <w:szCs w:val="21"/>
          <w:u w:val="single"/>
        </w:rPr>
      </w:pPr>
    </w:p>
    <w:p w14:paraId="22E26D68">
      <w:pPr>
        <w:pStyle w:val="11"/>
        <w:ind w:left="1470" w:right="1470"/>
        <w:rPr>
          <w:rFonts w:ascii="宋体" w:hAnsi="宋体" w:cs="宋体"/>
          <w:bCs/>
          <w:szCs w:val="21"/>
          <w:u w:val="single"/>
        </w:rPr>
      </w:pPr>
    </w:p>
    <w:p w14:paraId="638BF80F">
      <w:pPr>
        <w:pStyle w:val="11"/>
        <w:ind w:left="1470" w:right="1470"/>
        <w:rPr>
          <w:rFonts w:ascii="宋体" w:hAnsi="宋体" w:cs="宋体"/>
          <w:bCs/>
          <w:szCs w:val="21"/>
          <w:u w:val="single"/>
        </w:rPr>
      </w:pPr>
    </w:p>
    <w:p w14:paraId="0BB84A05">
      <w:pPr>
        <w:rPr>
          <w:rFonts w:ascii="宋体" w:hAnsi="宋体"/>
          <w:b/>
          <w:sz w:val="32"/>
          <w:szCs w:val="32"/>
        </w:rPr>
      </w:pPr>
      <w:r>
        <w:rPr>
          <w:rFonts w:hint="eastAsia" w:ascii="宋体" w:hAnsi="宋体"/>
          <w:bCs/>
          <w:szCs w:val="21"/>
        </w:rPr>
        <w:t>格式7：</w:t>
      </w:r>
    </w:p>
    <w:p w14:paraId="37FC4AE1">
      <w:pPr>
        <w:spacing w:line="360" w:lineRule="auto"/>
        <w:jc w:val="center"/>
        <w:rPr>
          <w:rFonts w:ascii="宋体" w:hAnsi="宋体"/>
          <w:b/>
          <w:sz w:val="28"/>
          <w:szCs w:val="28"/>
        </w:rPr>
      </w:pPr>
      <w:r>
        <w:rPr>
          <w:rFonts w:hint="eastAsia" w:ascii="宋体" w:hAnsi="宋体"/>
          <w:b/>
          <w:sz w:val="28"/>
          <w:szCs w:val="28"/>
          <w:lang w:val="en-US" w:eastAsia="zh-CN"/>
        </w:rPr>
        <w:t>小微</w:t>
      </w:r>
      <w:r>
        <w:rPr>
          <w:rFonts w:hint="eastAsia" w:ascii="宋体" w:hAnsi="宋体"/>
          <w:b/>
          <w:sz w:val="28"/>
          <w:szCs w:val="28"/>
        </w:rPr>
        <w:t>企业声明函</w:t>
      </w:r>
    </w:p>
    <w:p w14:paraId="2D6AD3C4">
      <w:pPr>
        <w:pStyle w:val="9"/>
        <w:keepNext w:val="0"/>
        <w:keepLines w:val="0"/>
        <w:pageBreakBefore w:val="0"/>
        <w:kinsoku/>
        <w:wordWrap/>
        <w:overflowPunct/>
        <w:topLinePunct w:val="0"/>
        <w:autoSpaceDE/>
        <w:autoSpaceDN/>
        <w:bidi w:val="0"/>
        <w:adjustRightInd/>
        <w:snapToGrid/>
        <w:spacing w:after="0"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采购活动，工程的施工单位全部为符合政策要求的中小企业（或者：服务全部由符合政策要求的中小企业承接）。相关企业 （含联合体中的中小企业、签订分包意向协议的中小企业）的具体情况如下：</w:t>
      </w:r>
    </w:p>
    <w:p w14:paraId="10C06F2C">
      <w:pPr>
        <w:pStyle w:val="39"/>
        <w:keepNext w:val="0"/>
        <w:keepLines w:val="0"/>
        <w:pageBreakBefore w:val="0"/>
        <w:tabs>
          <w:tab w:val="left" w:pos="1243"/>
        </w:tabs>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1、</w:t>
      </w:r>
      <w:r>
        <w:rPr>
          <w:rFonts w:hint="eastAsia" w:ascii="宋体" w:hAnsi="宋体" w:eastAsia="宋体" w:cs="宋体"/>
          <w:iCs/>
          <w:sz w:val="21"/>
          <w:szCs w:val="21"/>
          <w:highlight w:val="none"/>
          <w:u w:val="single"/>
        </w:rPr>
        <w:t xml:space="preserve">（标的名称）  </w:t>
      </w:r>
      <w:r>
        <w:rPr>
          <w:rFonts w:hint="eastAsia" w:ascii="宋体" w:hAnsi="宋体" w:eastAsia="宋体" w:cs="宋体"/>
          <w:iCs/>
          <w:sz w:val="21"/>
          <w:szCs w:val="21"/>
          <w:highlight w:val="none"/>
        </w:rPr>
        <w:t>，属于（</w:t>
      </w:r>
      <w:r>
        <w:rPr>
          <w:rFonts w:hint="eastAsia" w:ascii="宋体" w:hAnsi="宋体" w:eastAsia="宋体" w:cs="宋体"/>
          <w:iCs/>
          <w:sz w:val="21"/>
          <w:szCs w:val="21"/>
          <w:highlight w:val="none"/>
          <w:u w:val="single"/>
        </w:rPr>
        <w:t>采购文件中明确的所属行业）</w:t>
      </w:r>
      <w:r>
        <w:rPr>
          <w:rFonts w:hint="eastAsia" w:ascii="宋体" w:hAnsi="宋体" w:eastAsia="宋体" w:cs="宋体"/>
          <w:iCs/>
          <w:sz w:val="21"/>
          <w:szCs w:val="21"/>
          <w:highlight w:val="none"/>
        </w:rPr>
        <w:t>；承建（承接）企业为</w:t>
      </w:r>
      <w:r>
        <w:rPr>
          <w:rFonts w:hint="eastAsia" w:ascii="宋体" w:hAnsi="宋体" w:eastAsia="宋体" w:cs="宋体"/>
          <w:iCs/>
          <w:sz w:val="21"/>
          <w:szCs w:val="21"/>
          <w:highlight w:val="none"/>
          <w:u w:val="single"/>
        </w:rPr>
        <w:t>（企业名称）</w:t>
      </w:r>
      <w:r>
        <w:rPr>
          <w:rFonts w:hint="eastAsia" w:ascii="宋体" w:hAnsi="宋体" w:eastAsia="宋体" w:cs="宋体"/>
          <w:iCs/>
          <w:sz w:val="21"/>
          <w:szCs w:val="21"/>
          <w:highlight w:val="none"/>
        </w:rPr>
        <w:t>，从业人员</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u w:val="single"/>
        </w:rPr>
        <w:tab/>
      </w:r>
      <w:r>
        <w:rPr>
          <w:rFonts w:hint="eastAsia" w:ascii="宋体" w:hAnsi="宋体" w:eastAsia="宋体" w:cs="宋体"/>
          <w:iCs/>
          <w:sz w:val="21"/>
          <w:szCs w:val="21"/>
          <w:highlight w:val="none"/>
        </w:rPr>
        <w:t>人，营业收入为</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u w:val="single"/>
        </w:rPr>
        <w:tab/>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rPr>
        <w:t>万元，资产总额为</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u w:val="single"/>
        </w:rPr>
        <w:tab/>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rPr>
        <w:t>万元，属于</w:t>
      </w:r>
      <w:r>
        <w:rPr>
          <w:rFonts w:hint="eastAsia" w:ascii="宋体" w:hAnsi="宋体" w:eastAsia="宋体" w:cs="宋体"/>
          <w:iCs/>
          <w:sz w:val="21"/>
          <w:szCs w:val="21"/>
          <w:highlight w:val="none"/>
          <w:u w:val="single"/>
        </w:rPr>
        <w:t>（小型企业、微型企业）</w:t>
      </w:r>
      <w:r>
        <w:rPr>
          <w:rFonts w:hint="eastAsia" w:ascii="宋体" w:hAnsi="宋体" w:eastAsia="宋体" w:cs="宋体"/>
          <w:iCs/>
          <w:sz w:val="21"/>
          <w:szCs w:val="21"/>
          <w:highlight w:val="none"/>
        </w:rPr>
        <w:t>；</w:t>
      </w:r>
    </w:p>
    <w:p w14:paraId="3E3916BE">
      <w:pPr>
        <w:pStyle w:val="39"/>
        <w:keepNext w:val="0"/>
        <w:keepLines w:val="0"/>
        <w:pageBreakBefore w:val="0"/>
        <w:tabs>
          <w:tab w:val="left" w:pos="1243"/>
          <w:tab w:val="left" w:pos="1806"/>
          <w:tab w:val="left" w:pos="5005"/>
          <w:tab w:val="left" w:pos="7213"/>
        </w:tabs>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iCs/>
          <w:sz w:val="21"/>
          <w:szCs w:val="21"/>
          <w:highlight w:val="none"/>
        </w:rPr>
      </w:pPr>
      <w:r>
        <w:rPr>
          <w:rFonts w:hint="eastAsia" w:ascii="宋体" w:hAnsi="宋体" w:eastAsia="宋体" w:cs="宋体"/>
          <w:iCs/>
          <w:sz w:val="21"/>
          <w:szCs w:val="21"/>
          <w:highlight w:val="none"/>
        </w:rPr>
        <w:t>2、</w:t>
      </w:r>
      <w:r>
        <w:rPr>
          <w:rFonts w:hint="eastAsia" w:ascii="宋体" w:hAnsi="宋体" w:eastAsia="宋体" w:cs="宋体"/>
          <w:iCs/>
          <w:sz w:val="21"/>
          <w:szCs w:val="21"/>
          <w:highlight w:val="none"/>
          <w:u w:val="single"/>
        </w:rPr>
        <w:t xml:space="preserve">（标的名称）  </w:t>
      </w:r>
      <w:r>
        <w:rPr>
          <w:rFonts w:hint="eastAsia" w:ascii="宋体" w:hAnsi="宋体" w:eastAsia="宋体" w:cs="宋体"/>
          <w:iCs/>
          <w:sz w:val="21"/>
          <w:szCs w:val="21"/>
          <w:highlight w:val="none"/>
        </w:rPr>
        <w:t>，属于（</w:t>
      </w:r>
      <w:r>
        <w:rPr>
          <w:rFonts w:hint="eastAsia" w:ascii="宋体" w:hAnsi="宋体" w:eastAsia="宋体" w:cs="宋体"/>
          <w:iCs/>
          <w:sz w:val="21"/>
          <w:szCs w:val="21"/>
          <w:highlight w:val="none"/>
          <w:u w:val="single"/>
        </w:rPr>
        <w:t>采购文件中明确的所属行业）</w:t>
      </w:r>
      <w:r>
        <w:rPr>
          <w:rFonts w:hint="eastAsia" w:ascii="宋体" w:hAnsi="宋体" w:eastAsia="宋体" w:cs="宋体"/>
          <w:iCs/>
          <w:sz w:val="21"/>
          <w:szCs w:val="21"/>
          <w:highlight w:val="none"/>
        </w:rPr>
        <w:t>；承建（承接）企业为</w:t>
      </w:r>
      <w:r>
        <w:rPr>
          <w:rFonts w:hint="eastAsia" w:ascii="宋体" w:hAnsi="宋体" w:eastAsia="宋体" w:cs="宋体"/>
          <w:iCs/>
          <w:sz w:val="21"/>
          <w:szCs w:val="21"/>
          <w:highlight w:val="none"/>
          <w:u w:val="single"/>
        </w:rPr>
        <w:t>（企业名称）</w:t>
      </w:r>
      <w:r>
        <w:rPr>
          <w:rFonts w:hint="eastAsia" w:ascii="宋体" w:hAnsi="宋体" w:eastAsia="宋体" w:cs="宋体"/>
          <w:iCs/>
          <w:sz w:val="21"/>
          <w:szCs w:val="21"/>
          <w:highlight w:val="none"/>
        </w:rPr>
        <w:t>，从业人员</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rPr>
        <w:t>人，营业收入为</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rPr>
        <w:t>万元，资产总额为</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rPr>
        <w:t>万元，属于</w:t>
      </w:r>
      <w:r>
        <w:rPr>
          <w:rFonts w:hint="eastAsia" w:ascii="宋体" w:hAnsi="宋体" w:eastAsia="宋体" w:cs="宋体"/>
          <w:iCs/>
          <w:sz w:val="21"/>
          <w:szCs w:val="21"/>
          <w:highlight w:val="none"/>
          <w:u w:val="single"/>
        </w:rPr>
        <w:t>（小型企业、微型企业）</w:t>
      </w:r>
      <w:r>
        <w:rPr>
          <w:rFonts w:hint="eastAsia" w:ascii="宋体" w:hAnsi="宋体" w:eastAsia="宋体" w:cs="宋体"/>
          <w:iCs/>
          <w:sz w:val="21"/>
          <w:szCs w:val="21"/>
          <w:highlight w:val="none"/>
        </w:rPr>
        <w:t>；</w:t>
      </w:r>
    </w:p>
    <w:p w14:paraId="50629C4A">
      <w:pPr>
        <w:pStyle w:val="9"/>
        <w:keepNext w:val="0"/>
        <w:keepLines w:val="0"/>
        <w:pageBreakBefore w:val="0"/>
        <w:kinsoku/>
        <w:wordWrap/>
        <w:overflowPunct/>
        <w:topLinePunct w:val="0"/>
        <w:autoSpaceDE/>
        <w:autoSpaceDN/>
        <w:bidi w:val="0"/>
        <w:adjustRightInd/>
        <w:snapToGrid/>
        <w:spacing w:after="0"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5D63FD95">
      <w:pPr>
        <w:pStyle w:val="9"/>
        <w:keepNext w:val="0"/>
        <w:keepLines w:val="0"/>
        <w:pageBreakBefore w:val="0"/>
        <w:kinsoku/>
        <w:wordWrap/>
        <w:overflowPunct/>
        <w:topLinePunct w:val="0"/>
        <w:autoSpaceDE/>
        <w:autoSpaceDN/>
        <w:bidi w:val="0"/>
        <w:adjustRightInd/>
        <w:snapToGrid/>
        <w:spacing w:after="0"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20777897">
      <w:pPr>
        <w:pStyle w:val="9"/>
        <w:keepNext w:val="0"/>
        <w:keepLines w:val="0"/>
        <w:pageBreakBefore w:val="0"/>
        <w:kinsoku/>
        <w:wordWrap/>
        <w:overflowPunct/>
        <w:topLinePunct w:val="0"/>
        <w:autoSpaceDE/>
        <w:autoSpaceDN/>
        <w:bidi w:val="0"/>
        <w:adjustRightInd/>
        <w:snapToGrid/>
        <w:spacing w:after="0"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2248ED84">
      <w:pPr>
        <w:spacing w:before="312" w:beforeLines="100" w:after="156" w:afterLines="50" w:line="360" w:lineRule="auto"/>
        <w:ind w:firstLine="3982" w:firstLineChars="1827"/>
        <w:jc w:val="left"/>
        <w:rPr>
          <w:rFonts w:hint="eastAsia" w:ascii="宋体" w:hAnsi="宋体" w:eastAsia="宋体" w:cs="宋体"/>
          <w:spacing w:val="14"/>
          <w:kern w:val="0"/>
          <w:sz w:val="21"/>
          <w:szCs w:val="21"/>
          <w:highlight w:val="none"/>
        </w:rPr>
      </w:pPr>
      <w:r>
        <w:rPr>
          <w:rFonts w:hint="eastAsia" w:ascii="宋体" w:hAnsi="宋体" w:eastAsia="宋体" w:cs="宋体"/>
          <w:spacing w:val="4"/>
          <w:sz w:val="21"/>
          <w:szCs w:val="21"/>
          <w:highlight w:val="none"/>
        </w:rPr>
        <w:t>供应商名称（盖章）：</w:t>
      </w:r>
      <w:r>
        <w:rPr>
          <w:rFonts w:hint="eastAsia" w:ascii="宋体" w:hAnsi="宋体" w:eastAsia="宋体" w:cs="宋体"/>
          <w:spacing w:val="14"/>
          <w:kern w:val="0"/>
          <w:sz w:val="21"/>
          <w:szCs w:val="21"/>
          <w:highlight w:val="none"/>
          <w:u w:val="single"/>
        </w:rPr>
        <w:t>（单位全称</w:t>
      </w:r>
      <w:r>
        <w:rPr>
          <w:rFonts w:hint="eastAsia" w:ascii="宋体" w:hAnsi="宋体" w:eastAsia="宋体" w:cs="宋体"/>
          <w:spacing w:val="14"/>
          <w:kern w:val="0"/>
          <w:sz w:val="21"/>
          <w:szCs w:val="21"/>
          <w:highlight w:val="none"/>
        </w:rPr>
        <w:t>）</w:t>
      </w:r>
    </w:p>
    <w:p w14:paraId="63C124F1">
      <w:pPr>
        <w:spacing w:before="312" w:beforeLines="100" w:after="156" w:afterLines="50" w:line="360" w:lineRule="auto"/>
        <w:ind w:firstLine="3982" w:firstLineChars="1827"/>
        <w:jc w:val="left"/>
        <w:rPr>
          <w:rFonts w:hint="eastAsia" w:ascii="宋体" w:hAnsi="宋体" w:eastAsia="宋体" w:cs="宋体"/>
          <w:spacing w:val="4"/>
          <w:sz w:val="21"/>
          <w:szCs w:val="21"/>
          <w:highlight w:val="none"/>
          <w:u w:val="single"/>
        </w:rPr>
      </w:pPr>
      <w:r>
        <w:rPr>
          <w:rFonts w:hint="eastAsia" w:ascii="宋体" w:hAnsi="宋体" w:eastAsia="宋体" w:cs="宋体"/>
          <w:spacing w:val="4"/>
          <w:sz w:val="21"/>
          <w:szCs w:val="21"/>
          <w:highlight w:val="none"/>
        </w:rPr>
        <w:t>法定代表人（签字或盖章）：</w:t>
      </w:r>
      <w:r>
        <w:rPr>
          <w:rFonts w:hint="eastAsia" w:ascii="宋体" w:hAnsi="宋体" w:eastAsia="宋体" w:cs="宋体"/>
          <w:spacing w:val="4"/>
          <w:sz w:val="21"/>
          <w:szCs w:val="21"/>
          <w:highlight w:val="none"/>
          <w:u w:val="single"/>
        </w:rPr>
        <w:t xml:space="preserve">             </w:t>
      </w:r>
    </w:p>
    <w:p w14:paraId="7DCE1577">
      <w:pPr>
        <w:spacing w:before="312" w:beforeLines="100" w:after="156" w:afterLines="50" w:line="360" w:lineRule="auto"/>
        <w:ind w:firstLine="4046" w:firstLineChars="1927"/>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w:t>
      </w:r>
      <w:r>
        <w:rPr>
          <w:rFonts w:hint="eastAsia" w:ascii="宋体" w:hAnsi="宋体" w:eastAsia="宋体" w:cs="宋体"/>
          <w:bCs/>
          <w:sz w:val="21"/>
          <w:szCs w:val="21"/>
          <w:highlight w:val="none"/>
          <w:u w:val="single"/>
        </w:rPr>
        <w:t xml:space="preserve">  年   月   日</w:t>
      </w:r>
    </w:p>
    <w:p w14:paraId="50E56C1F">
      <w:pPr>
        <w:spacing w:line="360" w:lineRule="auto"/>
        <w:rPr>
          <w:rFonts w:ascii="宋体" w:hAnsi="宋体"/>
          <w:sz w:val="24"/>
          <w:highlight w:val="none"/>
        </w:rPr>
      </w:pPr>
    </w:p>
    <w:p w14:paraId="175A7AC2">
      <w:pPr>
        <w:pStyle w:val="6"/>
        <w:rPr>
          <w:rFonts w:hAnsi="宋体"/>
          <w:sz w:val="24"/>
          <w:szCs w:val="24"/>
          <w:highlight w:val="none"/>
        </w:rPr>
      </w:pPr>
    </w:p>
    <w:p w14:paraId="03E18754">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注：从业人员、营业收入、资产总额填报上一年度数据，无上一年度数据的新成立企业可不填报。</w:t>
      </w:r>
    </w:p>
    <w:p w14:paraId="18AEAE80">
      <w:pPr>
        <w:spacing w:line="360" w:lineRule="auto"/>
        <w:ind w:firstLine="422" w:firstLineChars="200"/>
        <w:jc w:val="left"/>
        <w:rPr>
          <w:rFonts w:ascii="宋体" w:hAnsi="宋体"/>
          <w:b/>
          <w:bCs/>
          <w:szCs w:val="21"/>
        </w:rPr>
      </w:pPr>
      <w:r>
        <w:rPr>
          <w:rFonts w:hint="eastAsia" w:ascii="宋体" w:hAnsi="宋体"/>
          <w:b/>
          <w:bCs/>
          <w:szCs w:val="21"/>
        </w:rPr>
        <w:t>本项目所属行业为：</w:t>
      </w:r>
      <w:r>
        <w:rPr>
          <w:rFonts w:hint="eastAsia" w:ascii="宋体" w:hAnsi="宋体"/>
          <w:b/>
          <w:bCs/>
          <w:szCs w:val="21"/>
          <w:lang w:val="en-US" w:eastAsia="zh-CN"/>
        </w:rPr>
        <w:t>租赁和商务服务业</w:t>
      </w:r>
    </w:p>
    <w:p w14:paraId="006933C7">
      <w:pPr>
        <w:pStyle w:val="11"/>
        <w:ind w:left="1470" w:right="1470"/>
        <w:rPr>
          <w:rFonts w:ascii="宋体" w:hAnsi="宋体"/>
          <w:b/>
          <w:bCs/>
          <w:szCs w:val="21"/>
        </w:rPr>
      </w:pPr>
    </w:p>
    <w:p w14:paraId="5EF41383">
      <w:pPr>
        <w:pStyle w:val="11"/>
        <w:ind w:left="1470" w:right="1470"/>
        <w:rPr>
          <w:rFonts w:ascii="宋体" w:hAnsi="宋体"/>
          <w:b/>
          <w:bCs/>
          <w:szCs w:val="21"/>
        </w:rPr>
      </w:pPr>
    </w:p>
    <w:p w14:paraId="549D6799">
      <w:pPr>
        <w:rPr>
          <w:rFonts w:ascii="宋体" w:hAnsi="宋体"/>
          <w:bCs/>
          <w:szCs w:val="21"/>
        </w:rPr>
      </w:pPr>
      <w:r>
        <w:rPr>
          <w:rFonts w:hint="eastAsia" w:ascii="宋体" w:hAnsi="宋体"/>
          <w:bCs/>
          <w:szCs w:val="21"/>
        </w:rPr>
        <w:br w:type="page"/>
      </w:r>
    </w:p>
    <w:p w14:paraId="359C4D19">
      <w:pPr>
        <w:rPr>
          <w:rFonts w:ascii="宋体" w:hAnsi="宋体"/>
          <w:b/>
          <w:sz w:val="32"/>
          <w:szCs w:val="32"/>
        </w:rPr>
      </w:pPr>
      <w:r>
        <w:rPr>
          <w:rFonts w:hint="eastAsia" w:ascii="宋体" w:hAnsi="宋体"/>
          <w:bCs/>
          <w:szCs w:val="21"/>
        </w:rPr>
        <w:t>格式8：</w:t>
      </w:r>
    </w:p>
    <w:p w14:paraId="48467CDE">
      <w:pPr>
        <w:spacing w:line="360" w:lineRule="auto"/>
        <w:ind w:firstLine="480" w:firstLineChars="200"/>
        <w:jc w:val="left"/>
        <w:rPr>
          <w:rFonts w:ascii="宋体" w:hAnsi="宋体"/>
          <w:b/>
          <w:szCs w:val="21"/>
        </w:rPr>
      </w:pPr>
      <w:r>
        <w:rPr>
          <w:rFonts w:hint="eastAsia" w:ascii="宋体" w:hAnsi="宋体"/>
          <w:sz w:val="24"/>
        </w:rPr>
        <w:t xml:space="preserve">               </w:t>
      </w:r>
      <w:r>
        <w:rPr>
          <w:rFonts w:hint="eastAsia" w:ascii="宋体" w:hAnsi="宋体"/>
          <w:b/>
          <w:sz w:val="28"/>
          <w:szCs w:val="28"/>
        </w:rPr>
        <w:t xml:space="preserve"> 残疾人福利性单位声明函（若是）</w:t>
      </w:r>
    </w:p>
    <w:p w14:paraId="533120B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14:paraId="1EC21FE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84E6C3C">
      <w:pPr>
        <w:spacing w:line="360" w:lineRule="auto"/>
        <w:rPr>
          <w:rFonts w:ascii="宋体" w:hAnsi="宋体"/>
          <w:szCs w:val="21"/>
        </w:rPr>
      </w:pPr>
    </w:p>
    <w:p w14:paraId="139AFDAF">
      <w:pPr>
        <w:spacing w:line="360" w:lineRule="auto"/>
        <w:rPr>
          <w:rFonts w:ascii="宋体" w:hAnsi="宋体"/>
          <w:szCs w:val="21"/>
        </w:rPr>
      </w:pPr>
    </w:p>
    <w:p w14:paraId="3C02EBC8">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571C1CE4">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6C8D2A5F">
      <w:pPr>
        <w:spacing w:before="312" w:beforeLines="100" w:after="156" w:afterLines="50" w:line="360" w:lineRule="auto"/>
        <w:ind w:firstLine="420" w:firstLineChars="200"/>
        <w:jc w:val="left"/>
        <w:rPr>
          <w:rFonts w:ascii="宋体" w:hAnsi="宋体" w:cs="宋体"/>
          <w:bCs/>
          <w:szCs w:val="21"/>
        </w:rPr>
      </w:pPr>
      <w:r>
        <w:rPr>
          <w:rFonts w:hint="eastAsia" w:ascii="宋体" w:hAnsi="宋体" w:cs="宋体"/>
          <w:bCs/>
          <w:szCs w:val="21"/>
        </w:rPr>
        <w:t>日 期：</w:t>
      </w:r>
      <w:r>
        <w:rPr>
          <w:rFonts w:hint="eastAsia" w:ascii="宋体" w:hAnsi="宋体" w:cs="宋体"/>
          <w:bCs/>
          <w:szCs w:val="21"/>
          <w:u w:val="single"/>
        </w:rPr>
        <w:t xml:space="preserve">  年   月   日</w:t>
      </w:r>
    </w:p>
    <w:p w14:paraId="7E9F6CA7">
      <w:pPr>
        <w:spacing w:line="360" w:lineRule="auto"/>
        <w:rPr>
          <w:rFonts w:ascii="宋体" w:hAnsi="宋体"/>
          <w:szCs w:val="21"/>
        </w:rPr>
      </w:pPr>
    </w:p>
    <w:p w14:paraId="45184378">
      <w:pPr>
        <w:spacing w:line="360" w:lineRule="auto"/>
        <w:rPr>
          <w:rFonts w:ascii="宋体" w:hAnsi="宋体"/>
          <w:szCs w:val="21"/>
        </w:rPr>
      </w:pPr>
      <w:r>
        <w:rPr>
          <w:rFonts w:hint="eastAsia" w:ascii="宋体" w:hAnsi="宋体"/>
          <w:szCs w:val="21"/>
        </w:rPr>
        <w:t>注：非残疾人福利性单位不需提供此声明函</w:t>
      </w:r>
    </w:p>
    <w:p w14:paraId="4EE135B9"/>
    <w:p w14:paraId="30D6DFF6">
      <w:pPr>
        <w:rPr>
          <w:rFonts w:ascii="宋体" w:hAnsi="宋体"/>
          <w:bCs/>
          <w:szCs w:val="21"/>
        </w:rPr>
      </w:pPr>
      <w:r>
        <w:rPr>
          <w:rFonts w:hint="eastAsia" w:ascii="宋体" w:hAnsi="宋体"/>
          <w:bCs/>
          <w:szCs w:val="21"/>
        </w:rPr>
        <w:br w:type="page"/>
      </w:r>
    </w:p>
    <w:p w14:paraId="3E5AAD78">
      <w:pPr>
        <w:spacing w:line="360" w:lineRule="auto"/>
        <w:jc w:val="center"/>
        <w:rPr>
          <w:rFonts w:ascii="宋体" w:hAnsi="宋体"/>
          <w:b/>
          <w:sz w:val="28"/>
          <w:szCs w:val="28"/>
        </w:rPr>
      </w:pPr>
      <w:r>
        <w:rPr>
          <w:rFonts w:hint="eastAsia" w:ascii="宋体" w:hAnsi="宋体"/>
          <w:b/>
          <w:sz w:val="28"/>
          <w:szCs w:val="28"/>
        </w:rPr>
        <w:t>监狱企业证明（若是）</w:t>
      </w:r>
    </w:p>
    <w:p w14:paraId="37BDAAE9">
      <w:pPr>
        <w:widowControl/>
        <w:spacing w:line="360" w:lineRule="auto"/>
        <w:ind w:firstLine="420" w:firstLineChars="200"/>
        <w:jc w:val="left"/>
        <w:rPr>
          <w:rFonts w:ascii="宋体" w:hAnsi="宋体" w:cs="宋体"/>
          <w:color w:val="000000"/>
          <w:kern w:val="0"/>
          <w:szCs w:val="21"/>
          <w:lang w:bidi="ar"/>
        </w:rPr>
      </w:pPr>
    </w:p>
    <w:p w14:paraId="02529014">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346E042B">
      <w:pPr>
        <w:widowControl/>
        <w:spacing w:line="360" w:lineRule="auto"/>
        <w:ind w:firstLine="420" w:firstLineChars="200"/>
        <w:jc w:val="left"/>
        <w:rPr>
          <w:szCs w:val="21"/>
        </w:rPr>
      </w:pPr>
      <w:r>
        <w:rPr>
          <w:rFonts w:hint="eastAsia" w:ascii="宋体" w:hAnsi="宋体" w:cs="宋体"/>
          <w:color w:val="000000"/>
          <w:kern w:val="0"/>
          <w:szCs w:val="21"/>
          <w:lang w:bidi="ar"/>
        </w:rPr>
        <w:t xml:space="preserve">监狱企业参加政府采购活动时，应当提供由省级以上监狱管理局、戒毒管理局（含新疆生产建设兵团）出具的属于监狱企业的证明文件。 </w:t>
      </w:r>
    </w:p>
    <w:p w14:paraId="7BA2A23D"/>
    <w:p w14:paraId="2936ECFB">
      <w:pPr>
        <w:pStyle w:val="11"/>
        <w:ind w:left="1470" w:right="1470"/>
      </w:pPr>
    </w:p>
    <w:p w14:paraId="3B2E2589">
      <w:pPr>
        <w:rPr>
          <w:rFonts w:ascii="宋体" w:hAnsi="宋体"/>
          <w:sz w:val="28"/>
          <w:szCs w:val="22"/>
        </w:rPr>
      </w:pPr>
      <w:r>
        <w:rPr>
          <w:rFonts w:hint="eastAsia" w:ascii="宋体" w:hAnsi="宋体"/>
          <w:sz w:val="28"/>
          <w:szCs w:val="22"/>
        </w:rPr>
        <w:br w:type="page"/>
      </w:r>
    </w:p>
    <w:p w14:paraId="7462D621">
      <w:pPr>
        <w:pStyle w:val="3"/>
        <w:rPr>
          <w:sz w:val="32"/>
          <w:szCs w:val="32"/>
        </w:rPr>
      </w:pPr>
      <w:r>
        <w:rPr>
          <w:rFonts w:hint="eastAsia"/>
          <w:sz w:val="32"/>
          <w:szCs w:val="32"/>
        </w:rPr>
        <w:t>四、</w:t>
      </w:r>
      <w:bookmarkEnd w:id="141"/>
      <w:bookmarkEnd w:id="142"/>
      <w:bookmarkEnd w:id="143"/>
      <w:bookmarkEnd w:id="144"/>
      <w:r>
        <w:rPr>
          <w:rFonts w:hint="eastAsia"/>
          <w:sz w:val="32"/>
          <w:szCs w:val="32"/>
          <w:lang w:val="en-US" w:eastAsia="zh-CN"/>
        </w:rPr>
        <w:t>技术商务</w:t>
      </w:r>
      <w:r>
        <w:rPr>
          <w:rFonts w:hint="eastAsia"/>
          <w:sz w:val="32"/>
          <w:szCs w:val="32"/>
        </w:rPr>
        <w:t>方案</w:t>
      </w:r>
    </w:p>
    <w:p w14:paraId="0EBD9645">
      <w:pPr>
        <w:spacing w:before="312" w:beforeLines="100" w:after="156" w:afterLines="50" w:line="480" w:lineRule="auto"/>
        <w:ind w:firstLine="170"/>
        <w:jc w:val="center"/>
        <w:rPr>
          <w:rFonts w:ascii="宋体" w:hAnsi="宋体" w:cs="宋体"/>
          <w:spacing w:val="4"/>
          <w:szCs w:val="21"/>
        </w:rPr>
      </w:pPr>
      <w:r>
        <w:rPr>
          <w:rFonts w:hint="eastAsia" w:ascii="宋体" w:hAnsi="宋体" w:cs="宋体"/>
          <w:szCs w:val="21"/>
        </w:rPr>
        <w:t>（按评分标准编制内容，格式自拟）</w:t>
      </w:r>
    </w:p>
    <w:p w14:paraId="1A3A864C">
      <w:pPr>
        <w:rPr>
          <w:rFonts w:ascii="宋体" w:hAnsi="宋体" w:cs="宋体"/>
        </w:rPr>
      </w:pPr>
      <w:r>
        <w:rPr>
          <w:rFonts w:hint="eastAsia" w:ascii="宋体" w:hAnsi="宋体" w:cs="宋体"/>
        </w:rPr>
        <w:br w:type="page"/>
      </w:r>
    </w:p>
    <w:p w14:paraId="523ED20C">
      <w:pPr>
        <w:pStyle w:val="11"/>
        <w:spacing w:before="120"/>
        <w:ind w:left="0" w:leftChars="0" w:right="1470"/>
        <w:jc w:val="left"/>
        <w:rPr>
          <w:rFonts w:ascii="宋体" w:hAnsi="宋体" w:cs="宋体"/>
        </w:rPr>
      </w:pPr>
      <w:r>
        <w:rPr>
          <w:rFonts w:hint="eastAsia" w:ascii="宋体" w:hAnsi="宋体" w:cs="宋体"/>
        </w:rPr>
        <w:t>附表1：</w:t>
      </w:r>
    </w:p>
    <w:p w14:paraId="4F0CF84A">
      <w:pPr>
        <w:keepNext/>
        <w:keepLines/>
        <w:tabs>
          <w:tab w:val="left" w:pos="567"/>
        </w:tabs>
        <w:jc w:val="center"/>
        <w:rPr>
          <w:rFonts w:ascii="宋体" w:hAnsi="宋体"/>
          <w:b/>
          <w:bCs/>
          <w:sz w:val="28"/>
          <w:szCs w:val="22"/>
        </w:rPr>
      </w:pPr>
      <w:r>
        <w:rPr>
          <w:rFonts w:hint="eastAsia" w:ascii="宋体" w:hAnsi="宋体"/>
          <w:b/>
          <w:bCs/>
          <w:sz w:val="28"/>
          <w:szCs w:val="22"/>
        </w:rPr>
        <w:t>技术指标响应表</w:t>
      </w:r>
    </w:p>
    <w:tbl>
      <w:tblPr>
        <w:tblStyle w:val="2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74"/>
        <w:gridCol w:w="1725"/>
        <w:gridCol w:w="3000"/>
        <w:gridCol w:w="1513"/>
      </w:tblGrid>
      <w:tr w14:paraId="433C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F9E183B">
            <w:pPr>
              <w:widowControl/>
              <w:spacing w:line="400" w:lineRule="exact"/>
              <w:jc w:val="center"/>
              <w:rPr>
                <w:rFonts w:ascii="宋体" w:hAnsi="宋体" w:cs="宋体"/>
                <w:b/>
                <w:bCs/>
                <w:szCs w:val="21"/>
              </w:rPr>
            </w:pPr>
            <w:r>
              <w:rPr>
                <w:rFonts w:hint="eastAsia" w:ascii="宋体" w:hAnsi="宋体" w:cs="宋体"/>
                <w:b/>
                <w:bCs/>
                <w:szCs w:val="21"/>
              </w:rPr>
              <w:t>条款号</w:t>
            </w:r>
          </w:p>
        </w:tc>
        <w:tc>
          <w:tcPr>
            <w:tcW w:w="1674" w:type="dxa"/>
            <w:tcBorders>
              <w:top w:val="single" w:color="auto" w:sz="4" w:space="0"/>
              <w:left w:val="single" w:color="auto" w:sz="4" w:space="0"/>
              <w:bottom w:val="single" w:color="auto" w:sz="4" w:space="0"/>
              <w:right w:val="single" w:color="auto" w:sz="4" w:space="0"/>
            </w:tcBorders>
            <w:vAlign w:val="center"/>
          </w:tcPr>
          <w:p w14:paraId="2F14781C">
            <w:pPr>
              <w:widowControl/>
              <w:spacing w:line="400" w:lineRule="exact"/>
              <w:jc w:val="center"/>
              <w:rPr>
                <w:rFonts w:ascii="宋体" w:hAnsi="宋体" w:cs="宋体"/>
                <w:b/>
                <w:bCs/>
                <w:szCs w:val="21"/>
              </w:rPr>
            </w:pPr>
            <w:r>
              <w:rPr>
                <w:rFonts w:hint="eastAsia" w:ascii="宋体" w:hAnsi="宋体" w:cs="宋体"/>
                <w:b/>
                <w:bCs/>
                <w:szCs w:val="21"/>
              </w:rPr>
              <w:t>磋商文件要求</w:t>
            </w:r>
          </w:p>
        </w:tc>
        <w:tc>
          <w:tcPr>
            <w:tcW w:w="1725" w:type="dxa"/>
            <w:tcBorders>
              <w:top w:val="single" w:color="auto" w:sz="4" w:space="0"/>
              <w:left w:val="single" w:color="auto" w:sz="4" w:space="0"/>
              <w:bottom w:val="single" w:color="auto" w:sz="4" w:space="0"/>
              <w:right w:val="single" w:color="auto" w:sz="4" w:space="0"/>
            </w:tcBorders>
            <w:vAlign w:val="center"/>
          </w:tcPr>
          <w:p w14:paraId="3F509A7F">
            <w:pPr>
              <w:widowControl/>
              <w:spacing w:line="400" w:lineRule="exact"/>
              <w:jc w:val="center"/>
              <w:rPr>
                <w:rFonts w:ascii="宋体" w:hAnsi="宋体" w:cs="宋体"/>
                <w:b/>
                <w:bCs/>
                <w:szCs w:val="21"/>
              </w:rPr>
            </w:pPr>
            <w:r>
              <w:rPr>
                <w:rFonts w:hint="eastAsia" w:ascii="宋体" w:hAnsi="宋体" w:cs="宋体"/>
                <w:b/>
                <w:bCs/>
                <w:szCs w:val="21"/>
              </w:rPr>
              <w:t>响应文件应答</w:t>
            </w:r>
          </w:p>
        </w:tc>
        <w:tc>
          <w:tcPr>
            <w:tcW w:w="3000" w:type="dxa"/>
            <w:tcBorders>
              <w:top w:val="single" w:color="auto" w:sz="4" w:space="0"/>
              <w:left w:val="single" w:color="auto" w:sz="4" w:space="0"/>
              <w:bottom w:val="single" w:color="auto" w:sz="4" w:space="0"/>
              <w:right w:val="single" w:color="auto" w:sz="4" w:space="0"/>
            </w:tcBorders>
            <w:vAlign w:val="center"/>
          </w:tcPr>
          <w:p w14:paraId="1243C930">
            <w:pPr>
              <w:widowControl/>
              <w:spacing w:line="400" w:lineRule="exact"/>
              <w:jc w:val="center"/>
              <w:rPr>
                <w:rFonts w:ascii="宋体" w:hAnsi="宋体" w:cs="宋体"/>
                <w:b/>
                <w:bCs/>
                <w:szCs w:val="21"/>
              </w:rPr>
            </w:pPr>
            <w:r>
              <w:rPr>
                <w:rFonts w:ascii="宋体" w:hAnsi="宋体" w:cs="宋体"/>
                <w:b/>
                <w:bCs/>
                <w:szCs w:val="21"/>
              </w:rPr>
              <w:t>偏离</w:t>
            </w:r>
            <w:r>
              <w:rPr>
                <w:rFonts w:hint="eastAsia" w:ascii="宋体" w:hAnsi="宋体" w:cs="宋体"/>
                <w:b/>
                <w:bCs/>
                <w:szCs w:val="21"/>
              </w:rPr>
              <w:t>情况</w:t>
            </w:r>
          </w:p>
          <w:p w14:paraId="4D8A021D">
            <w:pPr>
              <w:widowControl/>
              <w:spacing w:line="400" w:lineRule="exact"/>
              <w:jc w:val="center"/>
              <w:rPr>
                <w:rFonts w:ascii="宋体" w:hAnsi="宋体" w:cs="宋体"/>
                <w:b/>
                <w:bCs/>
                <w:szCs w:val="21"/>
              </w:rPr>
            </w:pPr>
            <w:r>
              <w:rPr>
                <w:rFonts w:hint="eastAsia" w:ascii="宋体" w:hAnsi="宋体" w:cs="宋体"/>
                <w:b/>
                <w:bCs/>
                <w:szCs w:val="21"/>
              </w:rPr>
              <w:t>(正偏离、负偏离或无偏离)</w:t>
            </w:r>
          </w:p>
        </w:tc>
        <w:tc>
          <w:tcPr>
            <w:tcW w:w="1513" w:type="dxa"/>
            <w:tcBorders>
              <w:top w:val="single" w:color="auto" w:sz="4" w:space="0"/>
              <w:left w:val="single" w:color="auto" w:sz="4" w:space="0"/>
              <w:bottom w:val="single" w:color="auto" w:sz="4" w:space="0"/>
              <w:right w:val="single" w:color="auto" w:sz="4" w:space="0"/>
            </w:tcBorders>
            <w:vAlign w:val="center"/>
          </w:tcPr>
          <w:p w14:paraId="427FFDE8">
            <w:pPr>
              <w:widowControl/>
              <w:spacing w:line="400" w:lineRule="exact"/>
              <w:jc w:val="center"/>
              <w:rPr>
                <w:rFonts w:ascii="宋体" w:hAnsi="宋体" w:cs="宋体"/>
                <w:b/>
                <w:bCs/>
                <w:szCs w:val="21"/>
              </w:rPr>
            </w:pPr>
            <w:r>
              <w:rPr>
                <w:rFonts w:ascii="宋体" w:hAnsi="宋体" w:cs="宋体"/>
                <w:b/>
                <w:bCs/>
                <w:szCs w:val="21"/>
              </w:rPr>
              <w:t>偏离说明</w:t>
            </w:r>
          </w:p>
        </w:tc>
      </w:tr>
      <w:tr w14:paraId="74B4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6" w:type="dxa"/>
            <w:tcBorders>
              <w:top w:val="single" w:color="auto" w:sz="4" w:space="0"/>
              <w:left w:val="single" w:color="auto" w:sz="4" w:space="0"/>
              <w:bottom w:val="single" w:color="auto" w:sz="4" w:space="0"/>
              <w:right w:val="single" w:color="auto" w:sz="4" w:space="0"/>
            </w:tcBorders>
          </w:tcPr>
          <w:p w14:paraId="05C4CEAB">
            <w:pPr>
              <w:widowControl/>
              <w:spacing w:line="360" w:lineRule="auto"/>
              <w:ind w:firstLine="411" w:firstLineChars="196"/>
              <w:jc w:val="left"/>
              <w:rPr>
                <w:rFonts w:ascii="宋体" w:hAnsi="宋体" w:cs="宋体"/>
                <w:szCs w:val="21"/>
              </w:rPr>
            </w:pPr>
          </w:p>
        </w:tc>
        <w:tc>
          <w:tcPr>
            <w:tcW w:w="1674" w:type="dxa"/>
            <w:tcBorders>
              <w:top w:val="single" w:color="auto" w:sz="4" w:space="0"/>
              <w:left w:val="single" w:color="auto" w:sz="4" w:space="0"/>
              <w:bottom w:val="single" w:color="auto" w:sz="4" w:space="0"/>
              <w:right w:val="single" w:color="auto" w:sz="4" w:space="0"/>
            </w:tcBorders>
          </w:tcPr>
          <w:p w14:paraId="6A3928EC">
            <w:pPr>
              <w:widowControl/>
              <w:spacing w:line="360" w:lineRule="auto"/>
              <w:ind w:firstLine="411" w:firstLineChars="196"/>
              <w:jc w:val="lef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tcPr>
          <w:p w14:paraId="2DE3C56B">
            <w:pPr>
              <w:widowControl/>
              <w:spacing w:line="360" w:lineRule="auto"/>
              <w:ind w:firstLine="411" w:firstLineChars="196"/>
              <w:jc w:val="left"/>
              <w:rPr>
                <w:rFonts w:ascii="宋体" w:hAnsi="宋体" w:cs="宋体"/>
                <w:szCs w:val="21"/>
              </w:rPr>
            </w:pPr>
          </w:p>
        </w:tc>
        <w:tc>
          <w:tcPr>
            <w:tcW w:w="3000" w:type="dxa"/>
            <w:tcBorders>
              <w:top w:val="single" w:color="auto" w:sz="4" w:space="0"/>
              <w:left w:val="single" w:color="auto" w:sz="4" w:space="0"/>
              <w:bottom w:val="single" w:color="auto" w:sz="4" w:space="0"/>
              <w:right w:val="single" w:color="auto" w:sz="4" w:space="0"/>
            </w:tcBorders>
          </w:tcPr>
          <w:p w14:paraId="161971FD">
            <w:pPr>
              <w:widowControl/>
              <w:spacing w:line="360" w:lineRule="auto"/>
              <w:ind w:firstLine="411" w:firstLineChars="196"/>
              <w:jc w:val="left"/>
              <w:rPr>
                <w:rFonts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tcPr>
          <w:p w14:paraId="6936C1C3">
            <w:pPr>
              <w:widowControl/>
              <w:spacing w:line="360" w:lineRule="auto"/>
              <w:ind w:firstLine="411" w:firstLineChars="196"/>
              <w:jc w:val="left"/>
              <w:rPr>
                <w:rFonts w:ascii="宋体" w:hAnsi="宋体" w:cs="宋体"/>
                <w:szCs w:val="21"/>
              </w:rPr>
            </w:pPr>
          </w:p>
        </w:tc>
      </w:tr>
      <w:tr w14:paraId="683C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6" w:type="dxa"/>
            <w:tcBorders>
              <w:top w:val="single" w:color="auto" w:sz="4" w:space="0"/>
              <w:left w:val="single" w:color="auto" w:sz="4" w:space="0"/>
              <w:bottom w:val="single" w:color="auto" w:sz="4" w:space="0"/>
              <w:right w:val="single" w:color="auto" w:sz="4" w:space="0"/>
            </w:tcBorders>
          </w:tcPr>
          <w:p w14:paraId="4239797E">
            <w:pPr>
              <w:widowControl/>
              <w:spacing w:line="360" w:lineRule="auto"/>
              <w:ind w:firstLine="411" w:firstLineChars="196"/>
              <w:jc w:val="left"/>
              <w:rPr>
                <w:rFonts w:ascii="宋体" w:hAnsi="宋体" w:cs="宋体"/>
                <w:szCs w:val="21"/>
              </w:rPr>
            </w:pPr>
          </w:p>
        </w:tc>
        <w:tc>
          <w:tcPr>
            <w:tcW w:w="1674" w:type="dxa"/>
            <w:tcBorders>
              <w:top w:val="single" w:color="auto" w:sz="4" w:space="0"/>
              <w:left w:val="single" w:color="auto" w:sz="4" w:space="0"/>
              <w:bottom w:val="single" w:color="auto" w:sz="4" w:space="0"/>
              <w:right w:val="single" w:color="auto" w:sz="4" w:space="0"/>
            </w:tcBorders>
          </w:tcPr>
          <w:p w14:paraId="31F6A6DF">
            <w:pPr>
              <w:widowControl/>
              <w:spacing w:line="360" w:lineRule="auto"/>
              <w:ind w:firstLine="411" w:firstLineChars="196"/>
              <w:jc w:val="lef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tcPr>
          <w:p w14:paraId="5E6C9985">
            <w:pPr>
              <w:widowControl/>
              <w:spacing w:line="360" w:lineRule="auto"/>
              <w:ind w:firstLine="411" w:firstLineChars="196"/>
              <w:jc w:val="left"/>
              <w:rPr>
                <w:rFonts w:ascii="宋体" w:hAnsi="宋体" w:cs="宋体"/>
                <w:szCs w:val="21"/>
              </w:rPr>
            </w:pPr>
          </w:p>
        </w:tc>
        <w:tc>
          <w:tcPr>
            <w:tcW w:w="3000" w:type="dxa"/>
            <w:tcBorders>
              <w:top w:val="single" w:color="auto" w:sz="4" w:space="0"/>
              <w:left w:val="single" w:color="auto" w:sz="4" w:space="0"/>
              <w:bottom w:val="single" w:color="auto" w:sz="4" w:space="0"/>
              <w:right w:val="single" w:color="auto" w:sz="4" w:space="0"/>
            </w:tcBorders>
          </w:tcPr>
          <w:p w14:paraId="074A5B5C">
            <w:pPr>
              <w:widowControl/>
              <w:spacing w:line="360" w:lineRule="auto"/>
              <w:ind w:firstLine="411" w:firstLineChars="196"/>
              <w:jc w:val="left"/>
              <w:rPr>
                <w:rFonts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tcPr>
          <w:p w14:paraId="4A9F9C4E">
            <w:pPr>
              <w:widowControl/>
              <w:spacing w:line="360" w:lineRule="auto"/>
              <w:ind w:firstLine="411" w:firstLineChars="196"/>
              <w:jc w:val="left"/>
              <w:rPr>
                <w:rFonts w:ascii="宋体" w:hAnsi="宋体" w:cs="宋体"/>
                <w:szCs w:val="21"/>
              </w:rPr>
            </w:pPr>
          </w:p>
        </w:tc>
      </w:tr>
      <w:tr w14:paraId="37E7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6" w:type="dxa"/>
            <w:tcBorders>
              <w:top w:val="single" w:color="auto" w:sz="4" w:space="0"/>
              <w:left w:val="single" w:color="auto" w:sz="4" w:space="0"/>
              <w:bottom w:val="single" w:color="auto" w:sz="4" w:space="0"/>
              <w:right w:val="single" w:color="auto" w:sz="4" w:space="0"/>
            </w:tcBorders>
          </w:tcPr>
          <w:p w14:paraId="6C38C883">
            <w:pPr>
              <w:widowControl/>
              <w:spacing w:line="360" w:lineRule="auto"/>
              <w:ind w:firstLine="411" w:firstLineChars="196"/>
              <w:jc w:val="left"/>
              <w:rPr>
                <w:rFonts w:ascii="宋体" w:hAnsi="宋体" w:cs="宋体"/>
                <w:szCs w:val="21"/>
              </w:rPr>
            </w:pPr>
          </w:p>
        </w:tc>
        <w:tc>
          <w:tcPr>
            <w:tcW w:w="1674" w:type="dxa"/>
            <w:tcBorders>
              <w:top w:val="single" w:color="auto" w:sz="4" w:space="0"/>
              <w:left w:val="single" w:color="auto" w:sz="4" w:space="0"/>
              <w:bottom w:val="single" w:color="auto" w:sz="4" w:space="0"/>
              <w:right w:val="single" w:color="auto" w:sz="4" w:space="0"/>
            </w:tcBorders>
          </w:tcPr>
          <w:p w14:paraId="5971437F">
            <w:pPr>
              <w:widowControl/>
              <w:spacing w:line="360" w:lineRule="auto"/>
              <w:ind w:firstLine="411" w:firstLineChars="196"/>
              <w:jc w:val="lef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tcPr>
          <w:p w14:paraId="69374D5B">
            <w:pPr>
              <w:widowControl/>
              <w:spacing w:line="360" w:lineRule="auto"/>
              <w:ind w:firstLine="411" w:firstLineChars="196"/>
              <w:jc w:val="left"/>
              <w:rPr>
                <w:rFonts w:ascii="宋体" w:hAnsi="宋体" w:cs="宋体"/>
                <w:szCs w:val="21"/>
              </w:rPr>
            </w:pPr>
          </w:p>
        </w:tc>
        <w:tc>
          <w:tcPr>
            <w:tcW w:w="3000" w:type="dxa"/>
            <w:tcBorders>
              <w:top w:val="single" w:color="auto" w:sz="4" w:space="0"/>
              <w:left w:val="single" w:color="auto" w:sz="4" w:space="0"/>
              <w:bottom w:val="single" w:color="auto" w:sz="4" w:space="0"/>
              <w:right w:val="single" w:color="auto" w:sz="4" w:space="0"/>
            </w:tcBorders>
          </w:tcPr>
          <w:p w14:paraId="099F7D52">
            <w:pPr>
              <w:widowControl/>
              <w:spacing w:line="360" w:lineRule="auto"/>
              <w:ind w:firstLine="411" w:firstLineChars="196"/>
              <w:jc w:val="left"/>
              <w:rPr>
                <w:rFonts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tcPr>
          <w:p w14:paraId="46975D6C">
            <w:pPr>
              <w:widowControl/>
              <w:spacing w:line="360" w:lineRule="auto"/>
              <w:ind w:firstLine="411" w:firstLineChars="196"/>
              <w:jc w:val="left"/>
              <w:rPr>
                <w:rFonts w:ascii="宋体" w:hAnsi="宋体" w:cs="宋体"/>
                <w:szCs w:val="21"/>
              </w:rPr>
            </w:pPr>
          </w:p>
        </w:tc>
      </w:tr>
      <w:tr w14:paraId="37F7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6" w:type="dxa"/>
            <w:tcBorders>
              <w:top w:val="single" w:color="auto" w:sz="4" w:space="0"/>
              <w:left w:val="single" w:color="auto" w:sz="4" w:space="0"/>
              <w:bottom w:val="single" w:color="auto" w:sz="4" w:space="0"/>
              <w:right w:val="single" w:color="auto" w:sz="4" w:space="0"/>
            </w:tcBorders>
          </w:tcPr>
          <w:p w14:paraId="557B3D2A">
            <w:pPr>
              <w:widowControl/>
              <w:spacing w:line="360" w:lineRule="auto"/>
              <w:ind w:firstLine="411" w:firstLineChars="196"/>
              <w:jc w:val="left"/>
              <w:rPr>
                <w:rFonts w:ascii="宋体" w:hAnsi="宋体" w:cs="宋体"/>
                <w:szCs w:val="21"/>
              </w:rPr>
            </w:pPr>
          </w:p>
        </w:tc>
        <w:tc>
          <w:tcPr>
            <w:tcW w:w="1674" w:type="dxa"/>
            <w:tcBorders>
              <w:top w:val="single" w:color="auto" w:sz="4" w:space="0"/>
              <w:left w:val="single" w:color="auto" w:sz="4" w:space="0"/>
              <w:bottom w:val="single" w:color="auto" w:sz="4" w:space="0"/>
              <w:right w:val="single" w:color="auto" w:sz="4" w:space="0"/>
            </w:tcBorders>
          </w:tcPr>
          <w:p w14:paraId="73E66300">
            <w:pPr>
              <w:widowControl/>
              <w:spacing w:line="360" w:lineRule="auto"/>
              <w:ind w:firstLine="411" w:firstLineChars="196"/>
              <w:jc w:val="lef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tcPr>
          <w:p w14:paraId="6870E2AB">
            <w:pPr>
              <w:widowControl/>
              <w:spacing w:line="360" w:lineRule="auto"/>
              <w:ind w:firstLine="411" w:firstLineChars="196"/>
              <w:jc w:val="left"/>
              <w:rPr>
                <w:rFonts w:ascii="宋体" w:hAnsi="宋体" w:cs="宋体"/>
                <w:szCs w:val="21"/>
              </w:rPr>
            </w:pPr>
          </w:p>
        </w:tc>
        <w:tc>
          <w:tcPr>
            <w:tcW w:w="3000" w:type="dxa"/>
            <w:tcBorders>
              <w:top w:val="single" w:color="auto" w:sz="4" w:space="0"/>
              <w:left w:val="single" w:color="auto" w:sz="4" w:space="0"/>
              <w:bottom w:val="single" w:color="auto" w:sz="4" w:space="0"/>
              <w:right w:val="single" w:color="auto" w:sz="4" w:space="0"/>
            </w:tcBorders>
          </w:tcPr>
          <w:p w14:paraId="4DB4BB12">
            <w:pPr>
              <w:widowControl/>
              <w:spacing w:line="360" w:lineRule="auto"/>
              <w:ind w:firstLine="411" w:firstLineChars="196"/>
              <w:jc w:val="left"/>
              <w:rPr>
                <w:rFonts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tcPr>
          <w:p w14:paraId="29799288">
            <w:pPr>
              <w:widowControl/>
              <w:spacing w:line="360" w:lineRule="auto"/>
              <w:ind w:firstLine="411" w:firstLineChars="196"/>
              <w:jc w:val="left"/>
              <w:rPr>
                <w:rFonts w:ascii="宋体" w:hAnsi="宋体" w:cs="宋体"/>
                <w:szCs w:val="21"/>
              </w:rPr>
            </w:pPr>
          </w:p>
        </w:tc>
      </w:tr>
      <w:tr w14:paraId="1165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6" w:type="dxa"/>
            <w:tcBorders>
              <w:top w:val="single" w:color="auto" w:sz="4" w:space="0"/>
              <w:left w:val="single" w:color="auto" w:sz="4" w:space="0"/>
              <w:bottom w:val="single" w:color="auto" w:sz="4" w:space="0"/>
              <w:right w:val="single" w:color="auto" w:sz="4" w:space="0"/>
            </w:tcBorders>
          </w:tcPr>
          <w:p w14:paraId="23A9D940">
            <w:pPr>
              <w:widowControl/>
              <w:spacing w:line="360" w:lineRule="auto"/>
              <w:ind w:firstLine="411" w:firstLineChars="196"/>
              <w:jc w:val="left"/>
              <w:rPr>
                <w:rFonts w:ascii="宋体" w:hAnsi="宋体" w:cs="宋体"/>
                <w:szCs w:val="21"/>
              </w:rPr>
            </w:pPr>
          </w:p>
        </w:tc>
        <w:tc>
          <w:tcPr>
            <w:tcW w:w="1674" w:type="dxa"/>
            <w:tcBorders>
              <w:top w:val="single" w:color="auto" w:sz="4" w:space="0"/>
              <w:left w:val="single" w:color="auto" w:sz="4" w:space="0"/>
              <w:bottom w:val="single" w:color="auto" w:sz="4" w:space="0"/>
              <w:right w:val="single" w:color="auto" w:sz="4" w:space="0"/>
            </w:tcBorders>
          </w:tcPr>
          <w:p w14:paraId="46003B26">
            <w:pPr>
              <w:widowControl/>
              <w:spacing w:line="360" w:lineRule="auto"/>
              <w:ind w:firstLine="411" w:firstLineChars="196"/>
              <w:jc w:val="lef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tcPr>
          <w:p w14:paraId="11EA04E9">
            <w:pPr>
              <w:widowControl/>
              <w:spacing w:line="360" w:lineRule="auto"/>
              <w:ind w:firstLine="411" w:firstLineChars="196"/>
              <w:jc w:val="left"/>
              <w:rPr>
                <w:rFonts w:ascii="宋体" w:hAnsi="宋体" w:cs="宋体"/>
                <w:szCs w:val="21"/>
              </w:rPr>
            </w:pPr>
          </w:p>
        </w:tc>
        <w:tc>
          <w:tcPr>
            <w:tcW w:w="3000" w:type="dxa"/>
            <w:tcBorders>
              <w:top w:val="single" w:color="auto" w:sz="4" w:space="0"/>
              <w:left w:val="single" w:color="auto" w:sz="4" w:space="0"/>
              <w:bottom w:val="single" w:color="auto" w:sz="4" w:space="0"/>
              <w:right w:val="single" w:color="auto" w:sz="4" w:space="0"/>
            </w:tcBorders>
          </w:tcPr>
          <w:p w14:paraId="59CB2BE5">
            <w:pPr>
              <w:widowControl/>
              <w:spacing w:line="360" w:lineRule="auto"/>
              <w:ind w:firstLine="411" w:firstLineChars="196"/>
              <w:jc w:val="left"/>
              <w:rPr>
                <w:rFonts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tcPr>
          <w:p w14:paraId="625FD472">
            <w:pPr>
              <w:widowControl/>
              <w:spacing w:line="360" w:lineRule="auto"/>
              <w:ind w:firstLine="411" w:firstLineChars="196"/>
              <w:jc w:val="left"/>
              <w:rPr>
                <w:rFonts w:ascii="宋体" w:hAnsi="宋体" w:cs="宋体"/>
                <w:szCs w:val="21"/>
              </w:rPr>
            </w:pPr>
          </w:p>
        </w:tc>
      </w:tr>
      <w:tr w14:paraId="08A7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6" w:type="dxa"/>
            <w:tcBorders>
              <w:top w:val="single" w:color="auto" w:sz="4" w:space="0"/>
              <w:left w:val="single" w:color="auto" w:sz="4" w:space="0"/>
              <w:bottom w:val="single" w:color="auto" w:sz="4" w:space="0"/>
              <w:right w:val="single" w:color="auto" w:sz="4" w:space="0"/>
            </w:tcBorders>
          </w:tcPr>
          <w:p w14:paraId="0F6593F6">
            <w:pPr>
              <w:widowControl/>
              <w:spacing w:line="360" w:lineRule="auto"/>
              <w:ind w:firstLine="411" w:firstLineChars="196"/>
              <w:jc w:val="left"/>
              <w:rPr>
                <w:rFonts w:ascii="宋体" w:hAnsi="宋体" w:cs="宋体"/>
                <w:szCs w:val="21"/>
              </w:rPr>
            </w:pPr>
          </w:p>
        </w:tc>
        <w:tc>
          <w:tcPr>
            <w:tcW w:w="1674" w:type="dxa"/>
            <w:tcBorders>
              <w:top w:val="single" w:color="auto" w:sz="4" w:space="0"/>
              <w:left w:val="single" w:color="auto" w:sz="4" w:space="0"/>
              <w:bottom w:val="single" w:color="auto" w:sz="4" w:space="0"/>
              <w:right w:val="single" w:color="auto" w:sz="4" w:space="0"/>
            </w:tcBorders>
          </w:tcPr>
          <w:p w14:paraId="46E9F9F1">
            <w:pPr>
              <w:widowControl/>
              <w:spacing w:line="360" w:lineRule="auto"/>
              <w:ind w:firstLine="411" w:firstLineChars="196"/>
              <w:jc w:val="lef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tcPr>
          <w:p w14:paraId="19266786">
            <w:pPr>
              <w:widowControl/>
              <w:spacing w:line="360" w:lineRule="auto"/>
              <w:ind w:firstLine="411" w:firstLineChars="196"/>
              <w:jc w:val="left"/>
              <w:rPr>
                <w:rFonts w:ascii="宋体" w:hAnsi="宋体" w:cs="宋体"/>
                <w:szCs w:val="21"/>
              </w:rPr>
            </w:pPr>
          </w:p>
        </w:tc>
        <w:tc>
          <w:tcPr>
            <w:tcW w:w="3000" w:type="dxa"/>
            <w:tcBorders>
              <w:top w:val="single" w:color="auto" w:sz="4" w:space="0"/>
              <w:left w:val="single" w:color="auto" w:sz="4" w:space="0"/>
              <w:bottom w:val="single" w:color="auto" w:sz="4" w:space="0"/>
              <w:right w:val="single" w:color="auto" w:sz="4" w:space="0"/>
            </w:tcBorders>
          </w:tcPr>
          <w:p w14:paraId="715E3267">
            <w:pPr>
              <w:widowControl/>
              <w:spacing w:line="360" w:lineRule="auto"/>
              <w:ind w:firstLine="411" w:firstLineChars="196"/>
              <w:jc w:val="left"/>
              <w:rPr>
                <w:rFonts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tcPr>
          <w:p w14:paraId="45C0987F">
            <w:pPr>
              <w:widowControl/>
              <w:spacing w:line="360" w:lineRule="auto"/>
              <w:ind w:firstLine="411" w:firstLineChars="196"/>
              <w:jc w:val="left"/>
              <w:rPr>
                <w:rFonts w:ascii="宋体" w:hAnsi="宋体" w:cs="宋体"/>
                <w:szCs w:val="21"/>
              </w:rPr>
            </w:pPr>
          </w:p>
        </w:tc>
      </w:tr>
    </w:tbl>
    <w:p w14:paraId="0DF8595B">
      <w:pPr>
        <w:widowControl/>
        <w:adjustRightInd w:val="0"/>
        <w:snapToGrid w:val="0"/>
        <w:spacing w:before="156" w:beforeLines="50" w:line="360" w:lineRule="auto"/>
        <w:jc w:val="left"/>
        <w:rPr>
          <w:rFonts w:ascii="宋体" w:hAnsi="宋体" w:cs="宋体"/>
          <w:szCs w:val="21"/>
        </w:rPr>
      </w:pPr>
      <w:r>
        <w:rPr>
          <w:rFonts w:hint="eastAsia" w:ascii="宋体" w:hAnsi="宋体" w:cs="宋体"/>
          <w:szCs w:val="21"/>
        </w:rPr>
        <w:t>说明：</w:t>
      </w:r>
    </w:p>
    <w:p w14:paraId="0B88C0A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1.供应商根据磋商文件采购需求内容逐条填写此表，并按磋商文件要求提供相应的证明材料。</w:t>
      </w:r>
    </w:p>
    <w:p w14:paraId="185413F9">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2.偏离情况用“正偏离、负偏离或无偏离”三个名称中的一种进行标注。未填写或未注明偏离的，无论已发生或即将发生任何情形，视为完全接受。</w:t>
      </w:r>
    </w:p>
    <w:p w14:paraId="6C8F059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3.“偏离说明”一栏由供应商对偏离的情况做详细说明。如评分办法对应参数有特定证明要求，需按照要求提供相应材料，否则不予认定，视为负偏离。</w:t>
      </w:r>
    </w:p>
    <w:p w14:paraId="45D6F675">
      <w:pPr>
        <w:widowControl/>
        <w:adjustRightInd w:val="0"/>
        <w:snapToGrid w:val="0"/>
        <w:spacing w:line="360" w:lineRule="auto"/>
        <w:ind w:firstLine="420" w:firstLineChars="200"/>
        <w:jc w:val="left"/>
        <w:rPr>
          <w:rFonts w:ascii="宋体" w:hAnsi="宋体" w:cs="宋体"/>
          <w:sz w:val="24"/>
        </w:rPr>
      </w:pPr>
      <w:r>
        <w:rPr>
          <w:rFonts w:hint="eastAsia" w:ascii="宋体" w:hAnsi="宋体" w:cs="宋体"/>
          <w:szCs w:val="21"/>
        </w:rPr>
        <w:t xml:space="preserve">4.上表格行、列可自行增减。 </w:t>
      </w:r>
    </w:p>
    <w:p w14:paraId="62B9B6C0">
      <w:pPr>
        <w:widowControl/>
        <w:adjustRightInd w:val="0"/>
        <w:snapToGrid w:val="0"/>
        <w:spacing w:line="360" w:lineRule="auto"/>
        <w:ind w:firstLine="480" w:firstLineChars="200"/>
        <w:jc w:val="left"/>
        <w:rPr>
          <w:rFonts w:ascii="宋体" w:hAnsi="宋体" w:cs="宋体"/>
          <w:sz w:val="24"/>
        </w:rPr>
      </w:pPr>
    </w:p>
    <w:p w14:paraId="09A4D233">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p>
    <w:p w14:paraId="132097F7">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6472A35D">
      <w:pPr>
        <w:spacing w:before="312" w:beforeLines="100" w:after="156" w:afterLines="50" w:line="360" w:lineRule="auto"/>
        <w:ind w:firstLine="420" w:firstLineChars="200"/>
        <w:jc w:val="left"/>
        <w:rPr>
          <w:rFonts w:ascii="宋体" w:hAnsi="宋体" w:cs="宋体"/>
          <w:bCs/>
          <w:szCs w:val="21"/>
          <w:u w:val="single"/>
        </w:rPr>
      </w:pPr>
      <w:r>
        <w:rPr>
          <w:rFonts w:hint="eastAsia" w:ascii="宋体" w:hAnsi="宋体" w:cs="宋体"/>
          <w:bCs/>
          <w:szCs w:val="21"/>
        </w:rPr>
        <w:t>日 期：</w:t>
      </w:r>
      <w:r>
        <w:rPr>
          <w:rFonts w:hint="eastAsia" w:ascii="宋体" w:hAnsi="宋体" w:cs="宋体"/>
          <w:bCs/>
          <w:szCs w:val="21"/>
          <w:u w:val="single"/>
        </w:rPr>
        <w:t xml:space="preserve">     年   月   日</w:t>
      </w:r>
    </w:p>
    <w:p w14:paraId="1CF20F50">
      <w:pPr>
        <w:widowControl/>
        <w:adjustRightInd w:val="0"/>
        <w:snapToGrid w:val="0"/>
        <w:spacing w:line="360" w:lineRule="auto"/>
        <w:ind w:firstLine="482" w:firstLineChars="200"/>
        <w:jc w:val="left"/>
        <w:rPr>
          <w:rFonts w:ascii="宋体" w:hAnsi="宋体" w:cs="宋体"/>
          <w:b/>
          <w:bCs/>
          <w:sz w:val="24"/>
        </w:rPr>
      </w:pPr>
    </w:p>
    <w:p w14:paraId="0D423274">
      <w:pPr>
        <w:rPr>
          <w:rFonts w:ascii="宋体" w:hAnsi="宋体"/>
          <w:sz w:val="28"/>
          <w:szCs w:val="22"/>
        </w:rPr>
      </w:pPr>
      <w:r>
        <w:rPr>
          <w:rFonts w:hint="eastAsia" w:ascii="宋体" w:hAnsi="宋体"/>
          <w:sz w:val="28"/>
          <w:szCs w:val="22"/>
        </w:rPr>
        <w:br w:type="page"/>
      </w:r>
    </w:p>
    <w:p w14:paraId="4AAC5408">
      <w:pPr>
        <w:pStyle w:val="3"/>
        <w:rPr>
          <w:rFonts w:hint="default" w:ascii="宋体" w:hAnsi="宋体" w:eastAsia="宋体" w:cs="Times New Roman"/>
          <w:sz w:val="32"/>
          <w:szCs w:val="32"/>
          <w:lang w:val="en-US" w:eastAsia="zh-CN"/>
        </w:rPr>
      </w:pPr>
      <w:bookmarkStart w:id="148" w:name="_Toc10722"/>
      <w:bookmarkStart w:id="149" w:name="_Toc14447"/>
      <w:bookmarkStart w:id="150" w:name="_Toc4938"/>
      <w:bookmarkStart w:id="151" w:name="_Toc11459"/>
      <w:r>
        <w:rPr>
          <w:rFonts w:hint="eastAsia" w:ascii="宋体" w:hAnsi="宋体" w:eastAsia="宋体" w:cs="Times New Roman"/>
          <w:sz w:val="32"/>
          <w:szCs w:val="32"/>
        </w:rPr>
        <w:t>五、商务</w:t>
      </w:r>
      <w:r>
        <w:rPr>
          <w:rFonts w:hint="eastAsia" w:cs="Times New Roman"/>
          <w:sz w:val="32"/>
          <w:szCs w:val="32"/>
          <w:lang w:val="en-US" w:eastAsia="zh-CN"/>
        </w:rPr>
        <w:t>响应偏离表</w:t>
      </w:r>
    </w:p>
    <w:bookmarkEnd w:id="148"/>
    <w:bookmarkEnd w:id="149"/>
    <w:bookmarkEnd w:id="150"/>
    <w:bookmarkEnd w:id="151"/>
    <w:tbl>
      <w:tblPr>
        <w:tblStyle w:val="28"/>
        <w:tblW w:w="905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15"/>
        <w:gridCol w:w="1543"/>
        <w:gridCol w:w="2361"/>
      </w:tblGrid>
      <w:tr w14:paraId="2C86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1" w:type="dxa"/>
            <w:vAlign w:val="center"/>
          </w:tcPr>
          <w:p w14:paraId="4FF515DB">
            <w:pPr>
              <w:jc w:val="center"/>
              <w:rPr>
                <w:rFonts w:ascii="宋体" w:cs="宋体"/>
                <w:b/>
                <w:szCs w:val="21"/>
              </w:rPr>
            </w:pPr>
            <w:r>
              <w:rPr>
                <w:rFonts w:hint="eastAsia" w:ascii="宋体" w:hAnsi="宋体" w:cs="宋体"/>
                <w:b/>
                <w:szCs w:val="21"/>
              </w:rPr>
              <w:t>序号</w:t>
            </w:r>
          </w:p>
        </w:tc>
        <w:tc>
          <w:tcPr>
            <w:tcW w:w="4415" w:type="dxa"/>
            <w:vAlign w:val="center"/>
          </w:tcPr>
          <w:p w14:paraId="08545E3C">
            <w:pPr>
              <w:jc w:val="center"/>
              <w:rPr>
                <w:rFonts w:ascii="宋体" w:cs="宋体"/>
                <w:b/>
                <w:szCs w:val="21"/>
              </w:rPr>
            </w:pPr>
            <w:r>
              <w:rPr>
                <w:rFonts w:hint="eastAsia" w:ascii="宋体" w:hAnsi="宋体" w:cs="宋体"/>
                <w:b/>
                <w:szCs w:val="21"/>
              </w:rPr>
              <w:t>磋商文件要求的商务要求</w:t>
            </w:r>
          </w:p>
        </w:tc>
        <w:tc>
          <w:tcPr>
            <w:tcW w:w="1543" w:type="dxa"/>
            <w:vAlign w:val="center"/>
          </w:tcPr>
          <w:p w14:paraId="27AFD7F3">
            <w:pPr>
              <w:jc w:val="center"/>
              <w:rPr>
                <w:rFonts w:ascii="宋体" w:cs="宋体"/>
                <w:b/>
                <w:szCs w:val="21"/>
              </w:rPr>
            </w:pPr>
            <w:r>
              <w:rPr>
                <w:rFonts w:hint="eastAsia" w:ascii="宋体" w:hAnsi="宋体" w:cs="宋体"/>
                <w:b/>
                <w:szCs w:val="21"/>
              </w:rPr>
              <w:t>是否响应</w:t>
            </w:r>
          </w:p>
        </w:tc>
        <w:tc>
          <w:tcPr>
            <w:tcW w:w="2361" w:type="dxa"/>
            <w:vAlign w:val="center"/>
          </w:tcPr>
          <w:p w14:paraId="1FFC48F1">
            <w:pPr>
              <w:jc w:val="center"/>
              <w:rPr>
                <w:rFonts w:ascii="宋体" w:cs="宋体"/>
                <w:b/>
                <w:szCs w:val="21"/>
              </w:rPr>
            </w:pPr>
            <w:r>
              <w:rPr>
                <w:rFonts w:hint="eastAsia" w:ascii="宋体" w:cs="宋体"/>
                <w:b/>
                <w:szCs w:val="21"/>
              </w:rPr>
              <w:t>偏离说明</w:t>
            </w:r>
          </w:p>
        </w:tc>
      </w:tr>
      <w:tr w14:paraId="5B58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512BF1CB">
            <w:pPr>
              <w:jc w:val="center"/>
              <w:rPr>
                <w:rFonts w:ascii="宋体" w:cs="宋体"/>
                <w:szCs w:val="21"/>
              </w:rPr>
            </w:pPr>
          </w:p>
        </w:tc>
        <w:tc>
          <w:tcPr>
            <w:tcW w:w="4415" w:type="dxa"/>
            <w:vAlign w:val="center"/>
          </w:tcPr>
          <w:p w14:paraId="1DE7CB2B">
            <w:pPr>
              <w:spacing w:line="300" w:lineRule="auto"/>
              <w:jc w:val="left"/>
              <w:rPr>
                <w:rFonts w:ascii="宋体" w:cs="宋体"/>
                <w:szCs w:val="21"/>
              </w:rPr>
            </w:pPr>
          </w:p>
        </w:tc>
        <w:tc>
          <w:tcPr>
            <w:tcW w:w="1543" w:type="dxa"/>
            <w:vAlign w:val="center"/>
          </w:tcPr>
          <w:p w14:paraId="606A02F7">
            <w:pPr>
              <w:jc w:val="center"/>
              <w:rPr>
                <w:rFonts w:ascii="宋体" w:cs="宋体"/>
                <w:szCs w:val="21"/>
              </w:rPr>
            </w:pPr>
          </w:p>
        </w:tc>
        <w:tc>
          <w:tcPr>
            <w:tcW w:w="2361" w:type="dxa"/>
            <w:vAlign w:val="center"/>
          </w:tcPr>
          <w:p w14:paraId="5E00AF78">
            <w:pPr>
              <w:jc w:val="center"/>
              <w:rPr>
                <w:rFonts w:ascii="宋体" w:cs="宋体"/>
                <w:szCs w:val="21"/>
              </w:rPr>
            </w:pPr>
          </w:p>
        </w:tc>
      </w:tr>
      <w:tr w14:paraId="3904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6DDE4BA0">
            <w:pPr>
              <w:jc w:val="center"/>
              <w:rPr>
                <w:rFonts w:ascii="宋体" w:cs="宋体"/>
                <w:szCs w:val="21"/>
              </w:rPr>
            </w:pPr>
          </w:p>
        </w:tc>
        <w:tc>
          <w:tcPr>
            <w:tcW w:w="4415" w:type="dxa"/>
            <w:vAlign w:val="center"/>
          </w:tcPr>
          <w:p w14:paraId="04083223">
            <w:pPr>
              <w:spacing w:line="300" w:lineRule="auto"/>
              <w:jc w:val="left"/>
              <w:rPr>
                <w:rFonts w:ascii="宋体" w:cs="宋体"/>
                <w:szCs w:val="21"/>
              </w:rPr>
            </w:pPr>
          </w:p>
        </w:tc>
        <w:tc>
          <w:tcPr>
            <w:tcW w:w="1543" w:type="dxa"/>
            <w:vAlign w:val="center"/>
          </w:tcPr>
          <w:p w14:paraId="497829AD">
            <w:pPr>
              <w:jc w:val="center"/>
              <w:rPr>
                <w:rFonts w:ascii="宋体" w:cs="宋体"/>
                <w:szCs w:val="21"/>
              </w:rPr>
            </w:pPr>
          </w:p>
        </w:tc>
        <w:tc>
          <w:tcPr>
            <w:tcW w:w="2361" w:type="dxa"/>
            <w:vAlign w:val="center"/>
          </w:tcPr>
          <w:p w14:paraId="21E3BE32">
            <w:pPr>
              <w:jc w:val="center"/>
              <w:rPr>
                <w:rFonts w:ascii="宋体" w:cs="宋体"/>
                <w:szCs w:val="21"/>
              </w:rPr>
            </w:pPr>
          </w:p>
        </w:tc>
      </w:tr>
      <w:tr w14:paraId="1849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7597750D">
            <w:pPr>
              <w:jc w:val="center"/>
              <w:rPr>
                <w:rFonts w:ascii="宋体" w:cs="宋体"/>
                <w:szCs w:val="21"/>
              </w:rPr>
            </w:pPr>
          </w:p>
        </w:tc>
        <w:tc>
          <w:tcPr>
            <w:tcW w:w="4415" w:type="dxa"/>
            <w:vAlign w:val="center"/>
          </w:tcPr>
          <w:p w14:paraId="4E72781F">
            <w:pPr>
              <w:spacing w:line="300" w:lineRule="auto"/>
              <w:jc w:val="left"/>
              <w:rPr>
                <w:rFonts w:ascii="宋体" w:cs="宋体"/>
                <w:szCs w:val="21"/>
              </w:rPr>
            </w:pPr>
          </w:p>
        </w:tc>
        <w:tc>
          <w:tcPr>
            <w:tcW w:w="1543" w:type="dxa"/>
            <w:vAlign w:val="center"/>
          </w:tcPr>
          <w:p w14:paraId="1877159B">
            <w:pPr>
              <w:jc w:val="center"/>
              <w:rPr>
                <w:rFonts w:ascii="宋体" w:cs="宋体"/>
                <w:szCs w:val="21"/>
              </w:rPr>
            </w:pPr>
          </w:p>
        </w:tc>
        <w:tc>
          <w:tcPr>
            <w:tcW w:w="2361" w:type="dxa"/>
            <w:vAlign w:val="center"/>
          </w:tcPr>
          <w:p w14:paraId="2B8494B5">
            <w:pPr>
              <w:jc w:val="center"/>
              <w:rPr>
                <w:rFonts w:ascii="宋体" w:cs="宋体"/>
                <w:szCs w:val="21"/>
              </w:rPr>
            </w:pPr>
          </w:p>
        </w:tc>
      </w:tr>
      <w:tr w14:paraId="759C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5B04BB0D">
            <w:pPr>
              <w:jc w:val="center"/>
              <w:rPr>
                <w:rFonts w:ascii="宋体" w:cs="宋体"/>
                <w:szCs w:val="21"/>
              </w:rPr>
            </w:pPr>
          </w:p>
        </w:tc>
        <w:tc>
          <w:tcPr>
            <w:tcW w:w="4415" w:type="dxa"/>
            <w:vAlign w:val="center"/>
          </w:tcPr>
          <w:p w14:paraId="5F88CD8B">
            <w:pPr>
              <w:spacing w:line="300" w:lineRule="auto"/>
              <w:jc w:val="left"/>
              <w:rPr>
                <w:rFonts w:ascii="宋体" w:hAnsi="宋体" w:cs="宋体"/>
                <w:szCs w:val="21"/>
              </w:rPr>
            </w:pPr>
          </w:p>
        </w:tc>
        <w:tc>
          <w:tcPr>
            <w:tcW w:w="1543" w:type="dxa"/>
            <w:vAlign w:val="center"/>
          </w:tcPr>
          <w:p w14:paraId="1E4235F3">
            <w:pPr>
              <w:jc w:val="center"/>
              <w:rPr>
                <w:rFonts w:ascii="宋体" w:cs="宋体"/>
                <w:szCs w:val="21"/>
              </w:rPr>
            </w:pPr>
          </w:p>
        </w:tc>
        <w:tc>
          <w:tcPr>
            <w:tcW w:w="2361" w:type="dxa"/>
            <w:vAlign w:val="center"/>
          </w:tcPr>
          <w:p w14:paraId="6D1C66B1">
            <w:pPr>
              <w:jc w:val="center"/>
              <w:rPr>
                <w:rFonts w:ascii="宋体" w:cs="宋体"/>
                <w:szCs w:val="21"/>
              </w:rPr>
            </w:pPr>
          </w:p>
        </w:tc>
      </w:tr>
      <w:tr w14:paraId="60BD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133647D3">
            <w:pPr>
              <w:jc w:val="center"/>
              <w:rPr>
                <w:rFonts w:ascii="宋体" w:cs="宋体"/>
                <w:szCs w:val="21"/>
              </w:rPr>
            </w:pPr>
          </w:p>
        </w:tc>
        <w:tc>
          <w:tcPr>
            <w:tcW w:w="4415" w:type="dxa"/>
            <w:vAlign w:val="center"/>
          </w:tcPr>
          <w:p w14:paraId="246E12F1">
            <w:pPr>
              <w:spacing w:line="300" w:lineRule="auto"/>
              <w:jc w:val="left"/>
              <w:rPr>
                <w:rFonts w:ascii="宋体" w:cs="宋体"/>
                <w:szCs w:val="21"/>
              </w:rPr>
            </w:pPr>
          </w:p>
        </w:tc>
        <w:tc>
          <w:tcPr>
            <w:tcW w:w="1543" w:type="dxa"/>
            <w:vAlign w:val="center"/>
          </w:tcPr>
          <w:p w14:paraId="2DD95E40">
            <w:pPr>
              <w:jc w:val="center"/>
              <w:rPr>
                <w:rFonts w:ascii="宋体" w:cs="宋体"/>
                <w:szCs w:val="21"/>
              </w:rPr>
            </w:pPr>
          </w:p>
        </w:tc>
        <w:tc>
          <w:tcPr>
            <w:tcW w:w="2361" w:type="dxa"/>
            <w:vAlign w:val="center"/>
          </w:tcPr>
          <w:p w14:paraId="070187A8">
            <w:pPr>
              <w:jc w:val="center"/>
              <w:rPr>
                <w:rFonts w:ascii="宋体" w:cs="宋体"/>
                <w:szCs w:val="21"/>
              </w:rPr>
            </w:pPr>
          </w:p>
        </w:tc>
      </w:tr>
    </w:tbl>
    <w:p w14:paraId="731FF374">
      <w:pPr>
        <w:spacing w:line="500" w:lineRule="exact"/>
        <w:ind w:firstLine="420" w:firstLineChars="200"/>
        <w:rPr>
          <w:rFonts w:ascii="宋体" w:hAnsi="宋体" w:cs="宋体"/>
        </w:rPr>
      </w:pPr>
      <w:r>
        <w:rPr>
          <w:rFonts w:hint="eastAsia" w:ascii="宋体" w:hAnsi="宋体" w:cs="宋体"/>
        </w:rPr>
        <w:t>注：1.本表只填写响应文件中与磋商文件有偏离（包括</w:t>
      </w:r>
      <w:r>
        <w:rPr>
          <w:rFonts w:hint="eastAsia" w:ascii="宋体" w:hAnsi="宋体" w:cs="宋体"/>
          <w:color w:val="000000"/>
          <w:kern w:val="0"/>
          <w:szCs w:val="21"/>
        </w:rPr>
        <w:t>优于或负偏离</w:t>
      </w:r>
      <w:r>
        <w:rPr>
          <w:rFonts w:hint="eastAsia" w:ascii="宋体" w:hAnsi="宋体" w:cs="宋体"/>
        </w:rPr>
        <w:t>）的内容，响应文件中商务响应与磋商文件要求完全一致的，不用在此表中列出，但必须提交空白表。</w:t>
      </w:r>
    </w:p>
    <w:p w14:paraId="2BCB9D48">
      <w:pPr>
        <w:snapToGrid w:val="0"/>
        <w:spacing w:after="156" w:afterLines="50" w:line="500" w:lineRule="exact"/>
        <w:ind w:firstLine="420" w:firstLineChars="200"/>
        <w:jc w:val="left"/>
        <w:rPr>
          <w:rFonts w:ascii="宋体" w:hAnsi="宋体" w:cs="宋体"/>
        </w:rPr>
      </w:pPr>
      <w:r>
        <w:rPr>
          <w:rFonts w:hint="eastAsia" w:ascii="宋体" w:hAnsi="宋体" w:cs="宋体"/>
        </w:rPr>
        <w:t>2.供应商必须据实填写，不得虚假响应，否则将取消其磋商或成交资格，并按有关规定进处罚。</w:t>
      </w:r>
    </w:p>
    <w:p w14:paraId="3D5D9B9D">
      <w:pPr>
        <w:pStyle w:val="9"/>
      </w:pPr>
    </w:p>
    <w:p w14:paraId="4B27A250">
      <w:pPr>
        <w:pStyle w:val="9"/>
        <w:spacing w:after="190"/>
        <w:rPr>
          <w:szCs w:val="21"/>
        </w:rPr>
      </w:pPr>
    </w:p>
    <w:p w14:paraId="4A8AAD74">
      <w:pPr>
        <w:spacing w:before="312" w:beforeLines="100" w:after="156" w:afterLines="50" w:line="360" w:lineRule="auto"/>
        <w:ind w:left="3150" w:leftChars="1500"/>
        <w:jc w:val="left"/>
        <w:rPr>
          <w:rFonts w:ascii="宋体" w:hAnsi="宋体" w:cs="宋体"/>
          <w:spacing w:val="4"/>
          <w:szCs w:val="21"/>
        </w:rPr>
      </w:pPr>
    </w:p>
    <w:p w14:paraId="452D258A">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p>
    <w:p w14:paraId="7005F646">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2FC5BEC9">
      <w:pPr>
        <w:spacing w:before="312" w:beforeLines="100" w:after="156" w:afterLines="50" w:line="360" w:lineRule="auto"/>
        <w:ind w:firstLine="420" w:firstLineChars="200"/>
        <w:jc w:val="left"/>
        <w:rPr>
          <w:rFonts w:ascii="宋体" w:hAnsi="宋体" w:cs="宋体"/>
          <w:bCs/>
          <w:szCs w:val="21"/>
          <w:u w:val="single"/>
        </w:rPr>
      </w:pPr>
      <w:r>
        <w:rPr>
          <w:rFonts w:hint="eastAsia" w:ascii="宋体" w:hAnsi="宋体" w:cs="宋体"/>
          <w:bCs/>
          <w:szCs w:val="21"/>
        </w:rPr>
        <w:t>日 期：</w:t>
      </w:r>
      <w:r>
        <w:rPr>
          <w:rFonts w:hint="eastAsia" w:ascii="宋体" w:hAnsi="宋体" w:cs="宋体"/>
          <w:bCs/>
          <w:szCs w:val="21"/>
          <w:u w:val="single"/>
        </w:rPr>
        <w:t xml:space="preserve">     年   月   日</w:t>
      </w:r>
    </w:p>
    <w:p w14:paraId="5034F977">
      <w:pPr>
        <w:spacing w:before="312" w:beforeLines="100" w:after="156" w:afterLines="50" w:line="360" w:lineRule="auto"/>
        <w:ind w:firstLine="3626" w:firstLineChars="1727"/>
        <w:jc w:val="left"/>
        <w:rPr>
          <w:rFonts w:ascii="宋体" w:hAnsi="宋体" w:cs="宋体"/>
          <w:bCs/>
          <w:szCs w:val="21"/>
        </w:rPr>
      </w:pPr>
    </w:p>
    <w:p w14:paraId="1B5318E8">
      <w:pPr>
        <w:spacing w:line="480" w:lineRule="auto"/>
        <w:ind w:firstLine="4620" w:firstLineChars="2200"/>
        <w:jc w:val="right"/>
        <w:rPr>
          <w:rFonts w:ascii="宋体" w:hAnsi="宋体"/>
          <w:szCs w:val="21"/>
        </w:rPr>
      </w:pPr>
    </w:p>
    <w:p w14:paraId="5DEF4B7B">
      <w:pPr>
        <w:rPr>
          <w:rFonts w:ascii="宋体" w:hAnsi="宋体" w:cs="宋体"/>
        </w:rPr>
      </w:pPr>
      <w:r>
        <w:rPr>
          <w:rFonts w:hint="eastAsia" w:ascii="宋体" w:hAnsi="宋体" w:cs="宋体"/>
        </w:rPr>
        <w:br w:type="page"/>
      </w:r>
    </w:p>
    <w:p w14:paraId="72B1C0D3">
      <w:pPr>
        <w:pStyle w:val="3"/>
        <w:rPr>
          <w:sz w:val="32"/>
          <w:szCs w:val="32"/>
        </w:rPr>
      </w:pPr>
      <w:bookmarkStart w:id="152" w:name="_Toc13337"/>
      <w:bookmarkStart w:id="153" w:name="_Toc24931"/>
      <w:bookmarkStart w:id="154" w:name="_Toc23132"/>
      <w:r>
        <w:rPr>
          <w:rFonts w:hint="eastAsia"/>
          <w:sz w:val="32"/>
          <w:szCs w:val="32"/>
          <w:lang w:val="en-US" w:eastAsia="zh-CN"/>
        </w:rPr>
        <w:t>六</w:t>
      </w:r>
      <w:r>
        <w:rPr>
          <w:rFonts w:hint="eastAsia"/>
          <w:sz w:val="32"/>
          <w:szCs w:val="32"/>
        </w:rPr>
        <w:t>、合同基本条款响应</w:t>
      </w:r>
    </w:p>
    <w:p w14:paraId="283F4B4D">
      <w:pPr>
        <w:snapToGrid w:val="0"/>
        <w:spacing w:after="156" w:afterLines="50" w:line="500" w:lineRule="exact"/>
        <w:rPr>
          <w:rFonts w:ascii="宋体" w:hAnsi="宋体" w:cs="宋体"/>
        </w:rPr>
      </w:pPr>
      <w:r>
        <w:rPr>
          <w:rFonts w:hint="eastAsia" w:ascii="宋体" w:hAnsi="宋体" w:cs="宋体"/>
          <w:lang w:eastAsia="zh-CN"/>
        </w:rPr>
        <w:t>咸阳市中心医院</w:t>
      </w:r>
      <w:r>
        <w:rPr>
          <w:rFonts w:hint="eastAsia" w:ascii="宋体" w:hAnsi="宋体" w:cs="宋体"/>
        </w:rPr>
        <w:t>：</w:t>
      </w:r>
    </w:p>
    <w:p w14:paraId="1F388B23">
      <w:pPr>
        <w:spacing w:line="500" w:lineRule="exact"/>
        <w:ind w:firstLine="420" w:firstLineChars="200"/>
        <w:rPr>
          <w:szCs w:val="21"/>
        </w:rPr>
      </w:pPr>
      <w:r>
        <w:rPr>
          <w:rFonts w:hint="eastAsia" w:cs="华文仿宋"/>
          <w:szCs w:val="21"/>
        </w:rPr>
        <w:t>我单位完全理解并接受磋商文件中“合同条款”要求。</w:t>
      </w:r>
    </w:p>
    <w:p w14:paraId="573E801A">
      <w:pPr>
        <w:spacing w:line="500" w:lineRule="exact"/>
        <w:ind w:firstLine="3570" w:firstLineChars="1700"/>
        <w:rPr>
          <w:rFonts w:ascii="仿宋" w:hAnsi="仿宋" w:eastAsia="仿宋"/>
          <w:szCs w:val="21"/>
        </w:rPr>
      </w:pPr>
    </w:p>
    <w:p w14:paraId="13C53CBD">
      <w:pPr>
        <w:pStyle w:val="9"/>
        <w:spacing w:after="190"/>
        <w:rPr>
          <w:szCs w:val="21"/>
        </w:rPr>
      </w:pPr>
    </w:p>
    <w:p w14:paraId="10B7E997">
      <w:pPr>
        <w:spacing w:before="312" w:beforeLines="100" w:after="156" w:afterLines="50" w:line="360" w:lineRule="auto"/>
        <w:ind w:firstLine="436" w:firstLineChars="200"/>
        <w:jc w:val="left"/>
        <w:rPr>
          <w:rFonts w:ascii="宋体" w:hAnsi="宋体" w:cs="宋体"/>
          <w:spacing w:val="14"/>
          <w:kern w:val="0"/>
          <w:szCs w:val="21"/>
        </w:rPr>
      </w:pPr>
      <w:r>
        <w:rPr>
          <w:rFonts w:hint="eastAsia" w:ascii="宋体" w:hAnsi="宋体" w:cs="宋体"/>
          <w:spacing w:val="4"/>
          <w:szCs w:val="21"/>
        </w:rPr>
        <w:t>供应商名称（盖章）：</w:t>
      </w:r>
      <w:r>
        <w:rPr>
          <w:rFonts w:hint="eastAsia" w:ascii="宋体" w:hAnsi="宋体" w:cs="宋体"/>
          <w:spacing w:val="14"/>
          <w:kern w:val="0"/>
          <w:szCs w:val="21"/>
          <w:u w:val="single"/>
        </w:rPr>
        <w:t>（单位全称</w:t>
      </w:r>
      <w:r>
        <w:rPr>
          <w:rFonts w:hint="eastAsia" w:ascii="宋体" w:hAnsi="宋体" w:cs="宋体"/>
          <w:spacing w:val="14"/>
          <w:kern w:val="0"/>
          <w:szCs w:val="21"/>
        </w:rPr>
        <w:t>）</w:t>
      </w:r>
    </w:p>
    <w:p w14:paraId="7A8911E8">
      <w:pPr>
        <w:spacing w:before="312" w:beforeLines="100" w:after="156" w:afterLines="50" w:line="360" w:lineRule="auto"/>
        <w:ind w:firstLine="436" w:firstLineChars="200"/>
        <w:jc w:val="left"/>
        <w:rPr>
          <w:rFonts w:ascii="宋体" w:hAnsi="宋体" w:cs="宋体"/>
          <w:spacing w:val="4"/>
          <w:szCs w:val="21"/>
          <w:u w:val="single"/>
        </w:rPr>
      </w:pPr>
      <w:r>
        <w:rPr>
          <w:rFonts w:hint="eastAsia" w:ascii="宋体" w:hAnsi="宋体" w:cs="宋体"/>
          <w:spacing w:val="4"/>
          <w:szCs w:val="21"/>
        </w:rPr>
        <w:t>法定代表人或委托代理人（签字或盖章）：</w:t>
      </w:r>
      <w:r>
        <w:rPr>
          <w:rFonts w:hint="eastAsia" w:ascii="宋体" w:hAnsi="宋体" w:cs="宋体"/>
          <w:spacing w:val="4"/>
          <w:szCs w:val="21"/>
          <w:u w:val="single"/>
        </w:rPr>
        <w:t xml:space="preserve">             </w:t>
      </w:r>
    </w:p>
    <w:p w14:paraId="7780D921">
      <w:pPr>
        <w:spacing w:before="312" w:beforeLines="100" w:after="156" w:afterLines="50" w:line="360" w:lineRule="auto"/>
        <w:ind w:firstLine="420" w:firstLineChars="200"/>
        <w:jc w:val="left"/>
        <w:rPr>
          <w:rFonts w:ascii="宋体" w:hAnsi="宋体" w:cs="宋体"/>
          <w:bCs/>
          <w:szCs w:val="21"/>
          <w:u w:val="single"/>
        </w:rPr>
      </w:pPr>
      <w:r>
        <w:rPr>
          <w:rFonts w:hint="eastAsia" w:ascii="宋体" w:hAnsi="宋体" w:cs="宋体"/>
          <w:bCs/>
          <w:szCs w:val="21"/>
        </w:rPr>
        <w:t>日 期：</w:t>
      </w:r>
      <w:r>
        <w:rPr>
          <w:rFonts w:hint="eastAsia" w:ascii="宋体" w:hAnsi="宋体" w:cs="宋体"/>
          <w:bCs/>
          <w:szCs w:val="21"/>
          <w:u w:val="single"/>
        </w:rPr>
        <w:t xml:space="preserve">  年   月   日</w:t>
      </w:r>
    </w:p>
    <w:p w14:paraId="2516BDE7">
      <w:pPr>
        <w:spacing w:before="312" w:beforeLines="100" w:after="156" w:afterLines="50" w:line="360" w:lineRule="auto"/>
        <w:ind w:firstLine="4046" w:firstLineChars="1927"/>
        <w:jc w:val="left"/>
        <w:rPr>
          <w:rFonts w:ascii="宋体" w:hAnsi="宋体" w:cs="宋体"/>
          <w:bCs/>
          <w:szCs w:val="21"/>
          <w:u w:val="single"/>
        </w:rPr>
      </w:pPr>
    </w:p>
    <w:p w14:paraId="74800495">
      <w:pPr>
        <w:spacing w:before="312" w:beforeLines="100" w:after="156" w:afterLines="50" w:line="360" w:lineRule="auto"/>
        <w:ind w:firstLine="4046" w:firstLineChars="1927"/>
        <w:jc w:val="left"/>
        <w:rPr>
          <w:rFonts w:ascii="宋体" w:hAnsi="宋体" w:cs="宋体"/>
          <w:bCs/>
          <w:szCs w:val="21"/>
          <w:u w:val="single"/>
        </w:rPr>
      </w:pPr>
    </w:p>
    <w:p w14:paraId="6E3CB4C6">
      <w:pPr>
        <w:spacing w:before="312" w:beforeLines="100" w:after="156" w:afterLines="50" w:line="360" w:lineRule="auto"/>
        <w:ind w:firstLine="4046" w:firstLineChars="1927"/>
        <w:jc w:val="left"/>
        <w:rPr>
          <w:rFonts w:ascii="宋体" w:hAnsi="宋体" w:cs="宋体"/>
          <w:bCs/>
          <w:szCs w:val="21"/>
          <w:u w:val="single"/>
        </w:rPr>
      </w:pPr>
    </w:p>
    <w:p w14:paraId="29EFF875">
      <w:pPr>
        <w:spacing w:before="312" w:beforeLines="100" w:after="156" w:afterLines="50" w:line="360" w:lineRule="auto"/>
        <w:ind w:firstLine="4046" w:firstLineChars="1927"/>
        <w:jc w:val="left"/>
        <w:rPr>
          <w:rFonts w:ascii="宋体" w:hAnsi="宋体" w:cs="宋体"/>
          <w:bCs/>
          <w:szCs w:val="21"/>
          <w:u w:val="single"/>
        </w:rPr>
      </w:pPr>
    </w:p>
    <w:p w14:paraId="761B62F6">
      <w:pPr>
        <w:spacing w:before="312" w:beforeLines="100" w:after="156" w:afterLines="50" w:line="360" w:lineRule="auto"/>
        <w:ind w:firstLine="4046" w:firstLineChars="1927"/>
        <w:jc w:val="left"/>
        <w:rPr>
          <w:rFonts w:ascii="宋体" w:hAnsi="宋体" w:cs="宋体"/>
          <w:bCs/>
          <w:szCs w:val="21"/>
          <w:u w:val="single"/>
        </w:rPr>
      </w:pPr>
    </w:p>
    <w:p w14:paraId="13B07BFE">
      <w:pPr>
        <w:spacing w:before="312" w:beforeLines="100" w:after="156" w:afterLines="50" w:line="360" w:lineRule="auto"/>
        <w:ind w:firstLine="4046" w:firstLineChars="1927"/>
        <w:jc w:val="left"/>
        <w:rPr>
          <w:rFonts w:ascii="宋体" w:hAnsi="宋体" w:cs="宋体"/>
          <w:bCs/>
          <w:szCs w:val="21"/>
          <w:u w:val="single"/>
        </w:rPr>
      </w:pPr>
    </w:p>
    <w:p w14:paraId="7491863A">
      <w:pPr>
        <w:spacing w:before="312" w:beforeLines="100" w:after="156" w:afterLines="50" w:line="360" w:lineRule="auto"/>
        <w:ind w:firstLine="4046" w:firstLineChars="1927"/>
        <w:jc w:val="left"/>
        <w:rPr>
          <w:rFonts w:ascii="宋体" w:hAnsi="宋体" w:cs="宋体"/>
          <w:bCs/>
          <w:szCs w:val="21"/>
          <w:u w:val="single"/>
        </w:rPr>
      </w:pPr>
    </w:p>
    <w:p w14:paraId="0DD75FCD">
      <w:pPr>
        <w:spacing w:before="312" w:beforeLines="100" w:after="156" w:afterLines="50" w:line="360" w:lineRule="auto"/>
        <w:ind w:firstLine="4046" w:firstLineChars="1927"/>
        <w:jc w:val="left"/>
        <w:rPr>
          <w:rFonts w:ascii="宋体" w:hAnsi="宋体" w:cs="宋体"/>
          <w:bCs/>
          <w:szCs w:val="21"/>
          <w:u w:val="single"/>
        </w:rPr>
      </w:pPr>
    </w:p>
    <w:p w14:paraId="1A82F159">
      <w:pPr>
        <w:spacing w:before="312" w:beforeLines="100" w:after="156" w:afterLines="50" w:line="360" w:lineRule="auto"/>
        <w:ind w:firstLine="4046" w:firstLineChars="1927"/>
        <w:jc w:val="left"/>
        <w:rPr>
          <w:rFonts w:ascii="宋体" w:hAnsi="宋体" w:cs="宋体"/>
          <w:bCs/>
          <w:szCs w:val="21"/>
          <w:u w:val="single"/>
        </w:rPr>
      </w:pPr>
    </w:p>
    <w:p w14:paraId="2C71ADD0">
      <w:pPr>
        <w:spacing w:before="312" w:beforeLines="100" w:after="156" w:afterLines="50" w:line="360" w:lineRule="auto"/>
        <w:ind w:firstLine="4046" w:firstLineChars="1927"/>
        <w:jc w:val="left"/>
        <w:rPr>
          <w:rFonts w:ascii="宋体" w:hAnsi="宋体" w:cs="宋体"/>
          <w:bCs/>
          <w:szCs w:val="21"/>
          <w:u w:val="single"/>
        </w:rPr>
      </w:pPr>
    </w:p>
    <w:p w14:paraId="2025CD2C">
      <w:pPr>
        <w:spacing w:before="312" w:beforeLines="100" w:after="156" w:afterLines="50" w:line="360" w:lineRule="auto"/>
        <w:ind w:firstLine="4046" w:firstLineChars="1927"/>
        <w:jc w:val="left"/>
        <w:rPr>
          <w:rFonts w:ascii="宋体" w:hAnsi="宋体" w:cs="宋体"/>
          <w:bCs/>
          <w:szCs w:val="21"/>
          <w:u w:val="single"/>
        </w:rPr>
      </w:pPr>
    </w:p>
    <w:bookmarkEnd w:id="145"/>
    <w:bookmarkEnd w:id="146"/>
    <w:bookmarkEnd w:id="147"/>
    <w:bookmarkEnd w:id="152"/>
    <w:bookmarkEnd w:id="153"/>
    <w:bookmarkEnd w:id="154"/>
    <w:p w14:paraId="653CC4D5">
      <w:pPr>
        <w:pStyle w:val="3"/>
        <w:rPr>
          <w:sz w:val="32"/>
          <w:szCs w:val="32"/>
        </w:rPr>
      </w:pPr>
      <w:r>
        <w:rPr>
          <w:rFonts w:hint="eastAsia"/>
          <w:sz w:val="32"/>
          <w:szCs w:val="32"/>
          <w:lang w:val="en-US" w:eastAsia="zh-CN"/>
        </w:rPr>
        <w:t>七</w:t>
      </w:r>
      <w:r>
        <w:rPr>
          <w:rFonts w:hint="eastAsia"/>
          <w:sz w:val="32"/>
          <w:szCs w:val="32"/>
        </w:rPr>
        <w:t>、其他资料</w:t>
      </w:r>
    </w:p>
    <w:p w14:paraId="675813E4">
      <w:pPr>
        <w:spacing w:line="360" w:lineRule="auto"/>
        <w:jc w:val="center"/>
        <w:rPr>
          <w:rFonts w:ascii="宋体" w:hAnsi="宋体"/>
          <w:b/>
          <w:sz w:val="28"/>
          <w:szCs w:val="28"/>
        </w:rPr>
      </w:pPr>
      <w:r>
        <w:rPr>
          <w:rFonts w:hint="eastAsia" w:ascii="宋体" w:hAnsi="宋体"/>
          <w:b/>
          <w:sz w:val="28"/>
          <w:szCs w:val="28"/>
        </w:rPr>
        <w:t>1、供应商廉洁承诺书</w:t>
      </w:r>
    </w:p>
    <w:p w14:paraId="38FFFCFA">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为加强采购活动的廉政建设，确保采购活动主体廉洁守规，防止违法违纪行为发生，维护采购活动的公开、公平、公正和诚实信用，本供应商自愿在签订采购合同的同时，作出如下承诺：</w:t>
      </w:r>
    </w:p>
    <w:p w14:paraId="4F98D2EB">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一、不以任何理由向本项目相关人员行贿，包括但不限于送钱、物、购物卡、回扣、有价证券和贵重礼品等；</w:t>
      </w:r>
    </w:p>
    <w:p w14:paraId="34E061E1">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二、不向本项目相关人员支付或报销任何应由个人承担的各种费用；</w:t>
      </w:r>
    </w:p>
    <w:p w14:paraId="1F17CCC8">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三、不向本项目相关人员提供挂名工资、红包、佣金报酬、公款旅游和高消费健身、娱乐、宴请等活动；</w:t>
      </w:r>
    </w:p>
    <w:p w14:paraId="6F17D88A">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四、不在本项目采购、合同签订、验收、付款等采购履约环节为获得便利向任何个人支付任何合同约定以外的费用；</w:t>
      </w:r>
    </w:p>
    <w:p w14:paraId="00DB15B5">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五、不存在与其他供应商相互串通</w:t>
      </w:r>
      <w:r>
        <w:rPr>
          <w:rFonts w:hint="eastAsia" w:ascii="宋体" w:hAnsi="宋体" w:cs="宋体"/>
          <w:szCs w:val="21"/>
        </w:rPr>
        <w:t>磋商报价</w:t>
      </w:r>
      <w:r>
        <w:rPr>
          <w:rFonts w:hint="eastAsia" w:ascii="宋体" w:hAnsi="宋体" w:cs="宋体"/>
          <w:color w:val="000000"/>
          <w:kern w:val="0"/>
          <w:szCs w:val="21"/>
          <w:lang w:bidi="ar"/>
        </w:rPr>
        <w:t>、与本项目相关人员串通磋商或排挤其他供应商的公平竞争等违法违规行为，保证本项目不弄虚作假和不损害采购人利益。</w:t>
      </w:r>
    </w:p>
    <w:p w14:paraId="6FDC5FB2">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六、不转包、违法分包本项目，不存在以他人名义参与磋商或使用通过受让或者租借等方式获取的资格、资质证书的行为。</w:t>
      </w:r>
    </w:p>
    <w:p w14:paraId="7450308A">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七、本供应商如有违反上述行为或其他不当行为的，自愿承担由此引发的一切责任，并接受相关部门的处罚。</w:t>
      </w:r>
    </w:p>
    <w:p w14:paraId="436313B2">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八、本承诺书作为采购合同的组成部分，与采购合同具有同等法律效力。</w:t>
      </w:r>
    </w:p>
    <w:p w14:paraId="4AF76D5A">
      <w:pPr>
        <w:widowControl/>
        <w:spacing w:line="360" w:lineRule="auto"/>
        <w:ind w:firstLine="420" w:firstLineChars="200"/>
        <w:jc w:val="left"/>
        <w:rPr>
          <w:rFonts w:ascii="宋体" w:hAnsi="宋体" w:cs="宋体"/>
          <w:color w:val="000000"/>
          <w:kern w:val="0"/>
          <w:szCs w:val="21"/>
          <w:lang w:bidi="ar"/>
        </w:rPr>
      </w:pPr>
    </w:p>
    <w:p w14:paraId="112AFFCC">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特此承诺。</w:t>
      </w:r>
    </w:p>
    <w:p w14:paraId="39A3F061">
      <w:pPr>
        <w:adjustRightInd w:val="0"/>
        <w:snapToGrid w:val="0"/>
        <w:spacing w:line="360" w:lineRule="auto"/>
        <w:ind w:firstLine="2760" w:firstLineChars="1150"/>
        <w:rPr>
          <w:sz w:val="24"/>
        </w:rPr>
      </w:pPr>
    </w:p>
    <w:p w14:paraId="614986B6">
      <w:pPr>
        <w:widowControl/>
        <w:spacing w:line="48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供应商名称（盖章）：</w:t>
      </w:r>
      <w:r>
        <w:rPr>
          <w:rFonts w:hint="eastAsia" w:ascii="宋体" w:hAnsi="宋体" w:cs="宋体"/>
          <w:color w:val="000000"/>
          <w:kern w:val="0"/>
          <w:szCs w:val="21"/>
          <w:u w:val="single"/>
          <w:lang w:bidi="ar"/>
        </w:rPr>
        <w:t xml:space="preserve">         （单位全称）</w:t>
      </w:r>
    </w:p>
    <w:p w14:paraId="5CC1ED46">
      <w:pPr>
        <w:widowControl/>
        <w:spacing w:line="480" w:lineRule="auto"/>
        <w:ind w:firstLine="420" w:firstLineChars="200"/>
        <w:jc w:val="left"/>
        <w:rPr>
          <w:rFonts w:ascii="宋体" w:hAnsi="宋体" w:cs="宋体"/>
          <w:color w:val="000000"/>
          <w:kern w:val="0"/>
          <w:szCs w:val="21"/>
          <w:u w:val="single"/>
          <w:lang w:bidi="ar"/>
        </w:rPr>
      </w:pPr>
      <w:r>
        <w:rPr>
          <w:rFonts w:hint="eastAsia" w:ascii="宋体" w:hAnsi="宋体" w:cs="宋体"/>
          <w:color w:val="000000"/>
          <w:kern w:val="0"/>
          <w:szCs w:val="21"/>
          <w:lang w:bidi="ar"/>
        </w:rPr>
        <w:t>法定代表人或委托代理人（签字或盖章）：</w:t>
      </w:r>
      <w:r>
        <w:rPr>
          <w:rFonts w:hint="eastAsia" w:ascii="宋体" w:hAnsi="宋体" w:cs="宋体"/>
          <w:color w:val="000000"/>
          <w:kern w:val="0"/>
          <w:szCs w:val="21"/>
          <w:u w:val="single"/>
          <w:lang w:bidi="ar"/>
        </w:rPr>
        <w:t xml:space="preserve">               </w:t>
      </w:r>
    </w:p>
    <w:p w14:paraId="16B88B9F">
      <w:pPr>
        <w:widowControl/>
        <w:spacing w:line="48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日  期：</w:t>
      </w:r>
      <w:r>
        <w:rPr>
          <w:rFonts w:hint="eastAsia" w:ascii="宋体" w:hAnsi="宋体" w:cs="宋体"/>
          <w:color w:val="000000"/>
          <w:kern w:val="0"/>
          <w:szCs w:val="21"/>
          <w:u w:val="single"/>
          <w:lang w:bidi="ar"/>
        </w:rPr>
        <w:t xml:space="preserve">    年     月     日</w:t>
      </w:r>
    </w:p>
    <w:p w14:paraId="40D10989">
      <w:pPr>
        <w:pStyle w:val="11"/>
        <w:ind w:left="0" w:leftChars="0" w:right="0" w:rightChars="0" w:firstLine="420" w:firstLineChars="200"/>
        <w:rPr>
          <w:rFonts w:ascii="宋体" w:hAnsi="宋体" w:cs="宋体"/>
          <w:color w:val="000000"/>
          <w:kern w:val="0"/>
          <w:szCs w:val="21"/>
          <w:lang w:bidi="ar"/>
        </w:rPr>
      </w:pPr>
    </w:p>
    <w:p w14:paraId="2E679E25">
      <w:pPr>
        <w:pStyle w:val="11"/>
        <w:ind w:left="1470" w:right="1470"/>
        <w:rPr>
          <w:rFonts w:ascii="宋体" w:hAnsi="宋体" w:cs="宋体"/>
          <w:color w:val="000000"/>
          <w:kern w:val="0"/>
          <w:szCs w:val="21"/>
          <w:lang w:bidi="ar"/>
        </w:rPr>
      </w:pPr>
    </w:p>
    <w:p w14:paraId="582AAEF5">
      <w:pPr>
        <w:rPr>
          <w:sz w:val="28"/>
          <w:szCs w:val="22"/>
        </w:rPr>
      </w:pPr>
      <w:bookmarkStart w:id="155" w:name="_Toc27972"/>
      <w:r>
        <w:rPr>
          <w:rFonts w:hint="eastAsia"/>
          <w:sz w:val="28"/>
          <w:szCs w:val="22"/>
        </w:rPr>
        <w:br w:type="page"/>
      </w:r>
    </w:p>
    <w:p w14:paraId="7886CBB6">
      <w:pPr>
        <w:pStyle w:val="3"/>
        <w:rPr>
          <w:sz w:val="32"/>
          <w:szCs w:val="32"/>
        </w:rPr>
      </w:pPr>
      <w:r>
        <w:rPr>
          <w:rFonts w:hint="eastAsia"/>
          <w:sz w:val="32"/>
          <w:szCs w:val="32"/>
          <w:lang w:val="en-US" w:eastAsia="zh-CN"/>
        </w:rPr>
        <w:t>八</w:t>
      </w:r>
      <w:r>
        <w:rPr>
          <w:rFonts w:hint="eastAsia"/>
          <w:sz w:val="32"/>
          <w:szCs w:val="32"/>
        </w:rPr>
        <w:t>、供应商认为需要提供的其他资料</w:t>
      </w:r>
      <w:bookmarkEnd w:id="155"/>
    </w:p>
    <w:p w14:paraId="6641F5BB"/>
    <w:p w14:paraId="0B7D0770">
      <w:pPr>
        <w:rPr>
          <w:rFonts w:ascii="宋体" w:hAnsi="宋体" w:cs="宋体"/>
          <w:sz w:val="48"/>
          <w:szCs w:val="48"/>
        </w:rPr>
      </w:pPr>
      <w:r>
        <w:rPr>
          <w:rFonts w:hint="eastAsia" w:ascii="宋体" w:hAnsi="宋体" w:cs="宋体"/>
          <w:sz w:val="48"/>
          <w:szCs w:val="48"/>
        </w:rPr>
        <w:br w:type="page"/>
      </w:r>
    </w:p>
    <w:p w14:paraId="56931ADE">
      <w:pPr>
        <w:pStyle w:val="2"/>
        <w:spacing w:after="156"/>
        <w:jc w:val="center"/>
        <w:rPr>
          <w:sz w:val="32"/>
          <w:szCs w:val="32"/>
        </w:rPr>
      </w:pPr>
      <w:bookmarkStart w:id="156" w:name="_Toc16088"/>
      <w:bookmarkStart w:id="157" w:name="_Toc25722"/>
      <w:r>
        <w:rPr>
          <w:rFonts w:hint="eastAsia"/>
          <w:sz w:val="32"/>
          <w:szCs w:val="32"/>
        </w:rPr>
        <w:t>第七章  质疑和投诉</w:t>
      </w:r>
      <w:bookmarkEnd w:id="156"/>
      <w:bookmarkEnd w:id="157"/>
    </w:p>
    <w:p w14:paraId="647AA5EA">
      <w:pPr>
        <w:spacing w:line="360" w:lineRule="auto"/>
        <w:ind w:firstLine="420" w:firstLineChars="200"/>
        <w:rPr>
          <w:rFonts w:ascii="宋体" w:hAnsi="宋体"/>
          <w:szCs w:val="21"/>
        </w:rPr>
      </w:pPr>
      <w:r>
        <w:rPr>
          <w:rFonts w:hint="eastAsia" w:ascii="宋体" w:hAnsi="宋体"/>
          <w:szCs w:val="21"/>
        </w:rPr>
        <w:t>（一）严格按照《中华人共和国政府采购法》及其实施条例、《政府采购质疑和投诉办法（财政部第94号令）》、《政府采购货物和服务招标投标管理办法》（财政部87号）、财政部和陕西省财政厅相关管理规定以及相关法规执行。</w:t>
      </w:r>
    </w:p>
    <w:p w14:paraId="503BF818">
      <w:pPr>
        <w:spacing w:line="360" w:lineRule="auto"/>
        <w:ind w:firstLine="420" w:firstLineChars="200"/>
        <w:rPr>
          <w:rFonts w:ascii="宋体" w:hAnsi="宋体"/>
          <w:szCs w:val="21"/>
        </w:rPr>
      </w:pPr>
      <w:r>
        <w:rPr>
          <w:rFonts w:hint="eastAsia" w:ascii="宋体" w:hAnsi="宋体"/>
          <w:szCs w:val="21"/>
        </w:rPr>
        <w:t>（二）供应商提出质疑应当提交质疑函和必要的证明材料。质疑函应当包括下列内容：</w:t>
      </w:r>
    </w:p>
    <w:p w14:paraId="27A994C0">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14:paraId="2FBC5009">
      <w:pPr>
        <w:spacing w:line="360" w:lineRule="auto"/>
        <w:ind w:firstLine="420" w:firstLineChars="200"/>
        <w:rPr>
          <w:rFonts w:ascii="宋体" w:hAnsi="宋体"/>
          <w:szCs w:val="21"/>
        </w:rPr>
      </w:pPr>
      <w:r>
        <w:rPr>
          <w:rFonts w:hint="eastAsia" w:ascii="宋体" w:hAnsi="宋体"/>
          <w:szCs w:val="21"/>
        </w:rPr>
        <w:t>2、质疑项目的名称、编号；</w:t>
      </w:r>
    </w:p>
    <w:p w14:paraId="66572B48">
      <w:pPr>
        <w:spacing w:line="360" w:lineRule="auto"/>
        <w:ind w:firstLine="420" w:firstLineChars="200"/>
        <w:rPr>
          <w:rFonts w:ascii="宋体" w:hAnsi="宋体"/>
          <w:szCs w:val="21"/>
        </w:rPr>
      </w:pPr>
      <w:r>
        <w:rPr>
          <w:rFonts w:hint="eastAsia" w:ascii="宋体" w:hAnsi="宋体"/>
          <w:szCs w:val="21"/>
        </w:rPr>
        <w:t>3、具体、明确的质疑事项和与质疑事项相关的请求；</w:t>
      </w:r>
    </w:p>
    <w:p w14:paraId="392443F8">
      <w:pPr>
        <w:spacing w:line="360" w:lineRule="auto"/>
        <w:ind w:firstLine="420" w:firstLineChars="200"/>
        <w:rPr>
          <w:rFonts w:ascii="宋体" w:hAnsi="宋体"/>
          <w:szCs w:val="21"/>
        </w:rPr>
      </w:pPr>
      <w:r>
        <w:rPr>
          <w:rFonts w:hint="eastAsia" w:ascii="宋体" w:hAnsi="宋体"/>
          <w:szCs w:val="21"/>
        </w:rPr>
        <w:t>4、事实依据；</w:t>
      </w:r>
    </w:p>
    <w:p w14:paraId="3F5060A1">
      <w:pPr>
        <w:spacing w:line="360" w:lineRule="auto"/>
        <w:ind w:firstLine="420" w:firstLineChars="200"/>
        <w:rPr>
          <w:rFonts w:ascii="宋体" w:hAnsi="宋体"/>
          <w:szCs w:val="21"/>
        </w:rPr>
      </w:pPr>
      <w:r>
        <w:rPr>
          <w:rFonts w:hint="eastAsia" w:ascii="宋体" w:hAnsi="宋体"/>
          <w:szCs w:val="21"/>
        </w:rPr>
        <w:t>5、必要的法律依据；</w:t>
      </w:r>
    </w:p>
    <w:p w14:paraId="0997CAAC">
      <w:pPr>
        <w:spacing w:line="360" w:lineRule="auto"/>
        <w:ind w:firstLine="420" w:firstLineChars="200"/>
        <w:rPr>
          <w:rFonts w:ascii="宋体" w:hAnsi="宋体"/>
          <w:szCs w:val="21"/>
        </w:rPr>
      </w:pPr>
      <w:r>
        <w:rPr>
          <w:rFonts w:hint="eastAsia" w:ascii="宋体" w:hAnsi="宋体"/>
          <w:szCs w:val="21"/>
        </w:rPr>
        <w:t>6、提出质疑的日期。</w:t>
      </w:r>
    </w:p>
    <w:p w14:paraId="1F46D538">
      <w:pPr>
        <w:spacing w:line="360" w:lineRule="auto"/>
        <w:ind w:firstLine="420" w:firstLineChars="200"/>
        <w:rPr>
          <w:rFonts w:ascii="宋体" w:hAnsi="宋体"/>
          <w:szCs w:val="21"/>
        </w:rPr>
      </w:pPr>
      <w:r>
        <w:rPr>
          <w:rFonts w:hint="eastAsia" w:ascii="宋体" w:hAnsi="宋体"/>
          <w:szCs w:val="21"/>
        </w:rPr>
        <w:t>7、供应商为自然人的，应当由本人签字；供应商为法人或者其他组织的，应当由法定代表人、主要负责人，或者其授权代表签字或者盖章，并加盖公章。</w:t>
      </w:r>
    </w:p>
    <w:p w14:paraId="7B6E89AD">
      <w:pPr>
        <w:spacing w:line="360" w:lineRule="auto"/>
        <w:ind w:firstLine="420" w:firstLineChars="200"/>
        <w:rPr>
          <w:rFonts w:ascii="宋体" w:hAnsi="宋体"/>
          <w:szCs w:val="21"/>
        </w:rPr>
      </w:pPr>
      <w:r>
        <w:rPr>
          <w:rFonts w:hint="eastAsia" w:ascii="宋体" w:hAnsi="宋体"/>
          <w:szCs w:val="21"/>
        </w:rPr>
        <w:t>8、采购代理机构应当在收到质疑函后7个工作日内作出答复，并以书面形式通知质疑供应商和其他有关供应商。</w:t>
      </w:r>
    </w:p>
    <w:p w14:paraId="5AA4A4DC">
      <w:pPr>
        <w:spacing w:line="360" w:lineRule="auto"/>
        <w:ind w:firstLine="420" w:firstLineChars="200"/>
        <w:rPr>
          <w:rFonts w:ascii="宋体" w:hAnsi="宋体"/>
          <w:szCs w:val="21"/>
        </w:rPr>
      </w:pPr>
      <w:r>
        <w:rPr>
          <w:rFonts w:hint="eastAsia" w:ascii="宋体" w:hAnsi="宋体"/>
          <w:szCs w:val="21"/>
        </w:rPr>
        <w:t>（三）质疑书范本</w:t>
      </w:r>
    </w:p>
    <w:p w14:paraId="7955853A">
      <w:pPr>
        <w:spacing w:line="360" w:lineRule="auto"/>
        <w:jc w:val="center"/>
        <w:rPr>
          <w:rFonts w:ascii="宋体" w:hAnsi="宋体"/>
          <w:b/>
          <w:szCs w:val="21"/>
        </w:rPr>
      </w:pPr>
      <w:r>
        <w:rPr>
          <w:rFonts w:hint="eastAsia" w:ascii="宋体" w:hAnsi="宋体"/>
          <w:b/>
          <w:szCs w:val="21"/>
        </w:rPr>
        <w:t>质疑函范本</w:t>
      </w:r>
    </w:p>
    <w:p w14:paraId="60E50531">
      <w:pPr>
        <w:spacing w:line="360" w:lineRule="auto"/>
        <w:ind w:firstLine="420" w:firstLineChars="200"/>
        <w:rPr>
          <w:rFonts w:ascii="宋体" w:hAnsi="宋体"/>
          <w:szCs w:val="21"/>
        </w:rPr>
      </w:pPr>
      <w:r>
        <w:rPr>
          <w:rFonts w:hint="eastAsia" w:ascii="宋体" w:hAnsi="宋体"/>
          <w:szCs w:val="21"/>
        </w:rPr>
        <w:t>一、质疑供应商基本信息</w:t>
      </w:r>
    </w:p>
    <w:p w14:paraId="4D052435">
      <w:pPr>
        <w:spacing w:line="360" w:lineRule="auto"/>
        <w:ind w:firstLine="420" w:firstLineChars="200"/>
        <w:rPr>
          <w:rFonts w:ascii="宋体" w:hAnsi="宋体"/>
          <w:szCs w:val="21"/>
        </w:rPr>
      </w:pPr>
      <w:r>
        <w:rPr>
          <w:rFonts w:hint="eastAsia" w:ascii="宋体" w:hAnsi="宋体"/>
          <w:szCs w:val="21"/>
        </w:rPr>
        <w:t>质疑供应商：</w:t>
      </w:r>
    </w:p>
    <w:p w14:paraId="594AE550">
      <w:pPr>
        <w:spacing w:line="360" w:lineRule="auto"/>
        <w:ind w:firstLine="420" w:firstLineChars="200"/>
        <w:rPr>
          <w:rFonts w:ascii="宋体" w:hAnsi="宋体"/>
          <w:szCs w:val="21"/>
        </w:rPr>
      </w:pPr>
      <w:r>
        <w:rPr>
          <w:rFonts w:hint="eastAsia" w:ascii="宋体" w:hAnsi="宋体"/>
          <w:szCs w:val="21"/>
        </w:rPr>
        <w:t>地址：          邮编：</w:t>
      </w:r>
    </w:p>
    <w:p w14:paraId="294C02A9">
      <w:pPr>
        <w:spacing w:line="360" w:lineRule="auto"/>
        <w:ind w:firstLine="420" w:firstLineChars="200"/>
        <w:rPr>
          <w:rFonts w:ascii="宋体" w:hAnsi="宋体"/>
          <w:szCs w:val="21"/>
        </w:rPr>
      </w:pPr>
      <w:r>
        <w:rPr>
          <w:rFonts w:hint="eastAsia" w:ascii="宋体" w:hAnsi="宋体"/>
          <w:szCs w:val="21"/>
        </w:rPr>
        <w:t>联系人：        联系电话：</w:t>
      </w:r>
    </w:p>
    <w:p w14:paraId="640EC3A4">
      <w:pPr>
        <w:spacing w:line="360" w:lineRule="auto"/>
        <w:ind w:firstLine="420" w:firstLineChars="200"/>
        <w:rPr>
          <w:rFonts w:ascii="宋体" w:hAnsi="宋体"/>
          <w:szCs w:val="21"/>
        </w:rPr>
      </w:pPr>
      <w:r>
        <w:rPr>
          <w:rFonts w:hint="eastAsia" w:ascii="宋体" w:hAnsi="宋体"/>
          <w:szCs w:val="21"/>
        </w:rPr>
        <w:t>授权代表：</w:t>
      </w:r>
    </w:p>
    <w:p w14:paraId="257457E7">
      <w:pPr>
        <w:spacing w:line="360" w:lineRule="auto"/>
        <w:ind w:firstLine="420" w:firstLineChars="200"/>
        <w:rPr>
          <w:rFonts w:ascii="宋体" w:hAnsi="宋体"/>
          <w:szCs w:val="21"/>
        </w:rPr>
      </w:pPr>
      <w:r>
        <w:rPr>
          <w:rFonts w:hint="eastAsia" w:ascii="宋体" w:hAnsi="宋体"/>
          <w:szCs w:val="21"/>
        </w:rPr>
        <w:t>联系电话：</w:t>
      </w:r>
    </w:p>
    <w:p w14:paraId="7B5CECEA">
      <w:pPr>
        <w:spacing w:line="360" w:lineRule="auto"/>
        <w:ind w:firstLine="420" w:firstLineChars="200"/>
        <w:rPr>
          <w:rFonts w:ascii="宋体" w:hAnsi="宋体"/>
          <w:szCs w:val="21"/>
        </w:rPr>
      </w:pPr>
      <w:r>
        <w:rPr>
          <w:rFonts w:hint="eastAsia" w:ascii="宋体" w:hAnsi="宋体"/>
          <w:szCs w:val="21"/>
        </w:rPr>
        <w:t>地址：       邮编：</w:t>
      </w:r>
    </w:p>
    <w:p w14:paraId="36F9CF75">
      <w:pPr>
        <w:spacing w:line="360" w:lineRule="auto"/>
        <w:ind w:firstLine="420" w:firstLineChars="200"/>
        <w:rPr>
          <w:rFonts w:ascii="宋体" w:hAnsi="宋体"/>
          <w:szCs w:val="21"/>
        </w:rPr>
      </w:pPr>
      <w:r>
        <w:rPr>
          <w:rFonts w:hint="eastAsia" w:ascii="宋体" w:hAnsi="宋体"/>
          <w:szCs w:val="21"/>
        </w:rPr>
        <w:t>二、质疑项目基本情况</w:t>
      </w:r>
    </w:p>
    <w:p w14:paraId="28989E7C">
      <w:pPr>
        <w:spacing w:line="360" w:lineRule="auto"/>
        <w:ind w:firstLine="420" w:firstLineChars="200"/>
        <w:rPr>
          <w:rFonts w:ascii="宋体" w:hAnsi="宋体"/>
          <w:szCs w:val="21"/>
        </w:rPr>
      </w:pPr>
      <w:r>
        <w:rPr>
          <w:rFonts w:hint="eastAsia" w:ascii="宋体" w:hAnsi="宋体"/>
          <w:szCs w:val="21"/>
        </w:rPr>
        <w:t>质疑项目的名称：</w:t>
      </w:r>
    </w:p>
    <w:p w14:paraId="0204D2DE">
      <w:pPr>
        <w:spacing w:line="360" w:lineRule="auto"/>
        <w:ind w:firstLine="420" w:firstLineChars="200"/>
        <w:rPr>
          <w:rFonts w:ascii="宋体" w:hAnsi="宋体"/>
          <w:szCs w:val="21"/>
        </w:rPr>
      </w:pPr>
      <w:r>
        <w:rPr>
          <w:rFonts w:hint="eastAsia" w:ascii="宋体" w:hAnsi="宋体"/>
          <w:szCs w:val="21"/>
        </w:rPr>
        <w:t>质疑项目的编号：    包号：</w:t>
      </w:r>
    </w:p>
    <w:p w14:paraId="0E1A3DA2">
      <w:pPr>
        <w:spacing w:line="360" w:lineRule="auto"/>
        <w:ind w:firstLine="420" w:firstLineChars="200"/>
        <w:rPr>
          <w:rFonts w:ascii="宋体" w:hAnsi="宋体"/>
          <w:szCs w:val="21"/>
        </w:rPr>
      </w:pPr>
      <w:r>
        <w:rPr>
          <w:rFonts w:hint="eastAsia" w:ascii="宋体" w:hAnsi="宋体"/>
          <w:szCs w:val="21"/>
        </w:rPr>
        <w:t>采购人名称：</w:t>
      </w:r>
    </w:p>
    <w:p w14:paraId="1FBB1F10">
      <w:pPr>
        <w:spacing w:line="360" w:lineRule="auto"/>
        <w:ind w:firstLine="420" w:firstLineChars="200"/>
        <w:rPr>
          <w:rFonts w:ascii="宋体" w:hAnsi="宋体"/>
          <w:szCs w:val="21"/>
        </w:rPr>
      </w:pPr>
      <w:r>
        <w:rPr>
          <w:rFonts w:hint="eastAsia" w:ascii="宋体" w:hAnsi="宋体"/>
          <w:szCs w:val="21"/>
        </w:rPr>
        <w:t>采购文件获取日期：</w:t>
      </w:r>
    </w:p>
    <w:p w14:paraId="68A35D8F">
      <w:pPr>
        <w:spacing w:line="360" w:lineRule="auto"/>
        <w:ind w:firstLine="420" w:firstLineChars="200"/>
        <w:rPr>
          <w:rFonts w:ascii="宋体" w:hAnsi="宋体"/>
          <w:szCs w:val="21"/>
        </w:rPr>
      </w:pPr>
      <w:r>
        <w:rPr>
          <w:rFonts w:hint="eastAsia" w:ascii="宋体" w:hAnsi="宋体"/>
          <w:szCs w:val="21"/>
        </w:rPr>
        <w:t>三、质疑事项具体内容</w:t>
      </w:r>
    </w:p>
    <w:p w14:paraId="5E49325B">
      <w:pPr>
        <w:spacing w:line="360" w:lineRule="auto"/>
        <w:ind w:firstLine="420" w:firstLineChars="200"/>
        <w:rPr>
          <w:rFonts w:ascii="宋体" w:hAnsi="宋体"/>
          <w:szCs w:val="21"/>
        </w:rPr>
      </w:pPr>
      <w:r>
        <w:rPr>
          <w:rFonts w:hint="eastAsia" w:ascii="宋体" w:hAnsi="宋体"/>
          <w:szCs w:val="21"/>
        </w:rPr>
        <w:t>质疑事项1：</w:t>
      </w:r>
    </w:p>
    <w:p w14:paraId="391DAD1E">
      <w:pPr>
        <w:spacing w:line="360" w:lineRule="auto"/>
        <w:ind w:firstLine="420" w:firstLineChars="200"/>
        <w:rPr>
          <w:rFonts w:ascii="宋体" w:hAnsi="宋体"/>
          <w:szCs w:val="21"/>
        </w:rPr>
      </w:pPr>
      <w:r>
        <w:rPr>
          <w:rFonts w:hint="eastAsia" w:ascii="宋体" w:hAnsi="宋体"/>
          <w:szCs w:val="21"/>
        </w:rPr>
        <w:t>事实依据：</w:t>
      </w:r>
    </w:p>
    <w:p w14:paraId="42872C7E">
      <w:pPr>
        <w:spacing w:line="360" w:lineRule="auto"/>
        <w:rPr>
          <w:rFonts w:ascii="宋体" w:hAnsi="宋体"/>
          <w:szCs w:val="21"/>
        </w:rPr>
      </w:pPr>
    </w:p>
    <w:p w14:paraId="56C2BA62">
      <w:pPr>
        <w:pStyle w:val="6"/>
      </w:pPr>
    </w:p>
    <w:p w14:paraId="07752EED">
      <w:pPr>
        <w:spacing w:line="360" w:lineRule="auto"/>
        <w:ind w:firstLine="420" w:firstLineChars="200"/>
        <w:rPr>
          <w:rFonts w:ascii="宋体" w:hAnsi="宋体"/>
          <w:szCs w:val="21"/>
        </w:rPr>
      </w:pPr>
      <w:r>
        <w:rPr>
          <w:rFonts w:hint="eastAsia" w:ascii="宋体" w:hAnsi="宋体"/>
          <w:szCs w:val="21"/>
        </w:rPr>
        <w:t>法律依据：</w:t>
      </w:r>
    </w:p>
    <w:p w14:paraId="3595EE19">
      <w:pPr>
        <w:spacing w:line="360" w:lineRule="auto"/>
        <w:ind w:firstLine="420" w:firstLineChars="200"/>
        <w:rPr>
          <w:rFonts w:ascii="宋体" w:hAnsi="宋体"/>
          <w:szCs w:val="21"/>
        </w:rPr>
      </w:pPr>
    </w:p>
    <w:p w14:paraId="53DC112B">
      <w:pPr>
        <w:pStyle w:val="6"/>
      </w:pPr>
    </w:p>
    <w:p w14:paraId="3C8B8187">
      <w:pPr>
        <w:spacing w:line="360" w:lineRule="auto"/>
        <w:ind w:firstLine="420" w:firstLineChars="200"/>
        <w:rPr>
          <w:rFonts w:ascii="宋体" w:hAnsi="宋体"/>
          <w:szCs w:val="21"/>
        </w:rPr>
      </w:pPr>
      <w:r>
        <w:rPr>
          <w:rFonts w:hint="eastAsia" w:ascii="宋体" w:hAnsi="宋体"/>
          <w:szCs w:val="21"/>
        </w:rPr>
        <w:t>质疑事项2：</w:t>
      </w:r>
    </w:p>
    <w:p w14:paraId="4EF4E8E4">
      <w:pPr>
        <w:spacing w:line="360" w:lineRule="auto"/>
        <w:ind w:firstLine="420" w:firstLineChars="200"/>
        <w:rPr>
          <w:rFonts w:ascii="宋体" w:hAnsi="宋体"/>
          <w:szCs w:val="21"/>
        </w:rPr>
      </w:pPr>
      <w:r>
        <w:rPr>
          <w:rFonts w:hint="eastAsia" w:ascii="宋体" w:hAnsi="宋体"/>
          <w:szCs w:val="21"/>
        </w:rPr>
        <w:t>……</w:t>
      </w:r>
    </w:p>
    <w:p w14:paraId="24974C4B">
      <w:pPr>
        <w:spacing w:line="360" w:lineRule="auto"/>
        <w:ind w:firstLine="420" w:firstLineChars="200"/>
        <w:rPr>
          <w:rFonts w:ascii="宋体" w:hAnsi="宋体"/>
          <w:szCs w:val="21"/>
        </w:rPr>
      </w:pPr>
      <w:r>
        <w:rPr>
          <w:rFonts w:hint="eastAsia" w:ascii="宋体" w:hAnsi="宋体"/>
          <w:szCs w:val="21"/>
        </w:rPr>
        <w:t>四、与质疑事项相关的质疑请求</w:t>
      </w:r>
    </w:p>
    <w:p w14:paraId="5B56AE70">
      <w:pPr>
        <w:spacing w:line="360" w:lineRule="auto"/>
        <w:ind w:firstLine="420" w:firstLineChars="200"/>
        <w:rPr>
          <w:rFonts w:ascii="宋体" w:hAnsi="宋体"/>
          <w:szCs w:val="21"/>
        </w:rPr>
      </w:pPr>
      <w:r>
        <w:rPr>
          <w:rFonts w:hint="eastAsia" w:ascii="宋体" w:hAnsi="宋体"/>
          <w:szCs w:val="21"/>
        </w:rPr>
        <w:t>请求：</w:t>
      </w:r>
    </w:p>
    <w:p w14:paraId="276EECAF">
      <w:pPr>
        <w:spacing w:line="360" w:lineRule="auto"/>
        <w:ind w:firstLine="420" w:firstLineChars="200"/>
        <w:rPr>
          <w:rFonts w:ascii="宋体" w:hAnsi="宋体"/>
          <w:szCs w:val="21"/>
        </w:rPr>
      </w:pPr>
      <w:r>
        <w:rPr>
          <w:rFonts w:hint="eastAsia" w:ascii="宋体" w:hAnsi="宋体"/>
          <w:szCs w:val="21"/>
        </w:rPr>
        <w:t xml:space="preserve">签字(签章)：                   公章：                      </w:t>
      </w:r>
    </w:p>
    <w:p w14:paraId="657AC1ED">
      <w:pPr>
        <w:spacing w:line="360" w:lineRule="auto"/>
        <w:ind w:firstLine="420" w:firstLineChars="200"/>
        <w:rPr>
          <w:rFonts w:ascii="宋体" w:hAnsi="宋体"/>
          <w:szCs w:val="21"/>
        </w:rPr>
      </w:pPr>
      <w:r>
        <w:rPr>
          <w:rFonts w:hint="eastAsia" w:ascii="宋体" w:hAnsi="宋体"/>
          <w:szCs w:val="21"/>
        </w:rPr>
        <w:t>日期：</w:t>
      </w:r>
    </w:p>
    <w:p w14:paraId="316E7E76">
      <w:pPr>
        <w:spacing w:line="360" w:lineRule="auto"/>
        <w:ind w:firstLine="420" w:firstLineChars="200"/>
        <w:rPr>
          <w:rFonts w:ascii="宋体" w:hAnsi="宋体"/>
          <w:szCs w:val="21"/>
        </w:rPr>
      </w:pPr>
      <w:r>
        <w:rPr>
          <w:rFonts w:hint="eastAsia" w:ascii="宋体" w:hAnsi="宋体"/>
          <w:szCs w:val="21"/>
        </w:rPr>
        <w:t>（四）质疑函制作说明：</w:t>
      </w:r>
    </w:p>
    <w:p w14:paraId="76F634C7">
      <w:pPr>
        <w:spacing w:line="360" w:lineRule="auto"/>
        <w:ind w:firstLine="420" w:firstLineChars="200"/>
        <w:rPr>
          <w:rFonts w:ascii="宋体" w:hAnsi="宋体"/>
          <w:szCs w:val="21"/>
        </w:rPr>
      </w:pPr>
      <w:r>
        <w:rPr>
          <w:rFonts w:hint="eastAsia" w:ascii="宋体" w:hAnsi="宋体"/>
          <w:szCs w:val="21"/>
        </w:rPr>
        <w:t>1、供应商提出质疑时，应提交质疑函和必要的证明材料。</w:t>
      </w:r>
    </w:p>
    <w:p w14:paraId="5E53B42C">
      <w:pPr>
        <w:spacing w:line="360" w:lineRule="auto"/>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33DBD1">
      <w:pPr>
        <w:spacing w:line="360" w:lineRule="auto"/>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7C84C6FA">
      <w:pPr>
        <w:spacing w:line="360" w:lineRule="auto"/>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0CD24DCC">
      <w:pPr>
        <w:spacing w:line="360" w:lineRule="auto"/>
        <w:ind w:firstLine="420" w:firstLineChars="200"/>
        <w:rPr>
          <w:rFonts w:ascii="宋体" w:hAnsi="宋体"/>
          <w:szCs w:val="21"/>
        </w:rPr>
      </w:pPr>
      <w:r>
        <w:rPr>
          <w:rFonts w:hint="eastAsia" w:ascii="宋体" w:hAnsi="宋体"/>
          <w:szCs w:val="21"/>
        </w:rPr>
        <w:t>5、质疑函的质疑请求应与质疑事项相关。</w:t>
      </w:r>
    </w:p>
    <w:p w14:paraId="7AFF5104">
      <w:pPr>
        <w:spacing w:line="360" w:lineRule="auto"/>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2FD3F25A">
      <w:pPr>
        <w:spacing w:line="360" w:lineRule="auto"/>
        <w:ind w:firstLine="420" w:firstLineChars="200"/>
        <w:rPr>
          <w:rFonts w:ascii="宋体" w:hAnsi="宋体"/>
          <w:szCs w:val="21"/>
        </w:rPr>
      </w:pPr>
      <w:r>
        <w:rPr>
          <w:rFonts w:hint="eastAsia" w:ascii="宋体" w:hAnsi="宋体"/>
          <w:szCs w:val="21"/>
        </w:rPr>
        <w:t>7、质疑函的接收：</w:t>
      </w:r>
    </w:p>
    <w:p w14:paraId="71052FBF">
      <w:pPr>
        <w:spacing w:line="360" w:lineRule="auto"/>
        <w:ind w:firstLine="420" w:firstLineChars="200"/>
        <w:rPr>
          <w:rFonts w:ascii="宋体" w:hAnsi="宋体"/>
          <w:szCs w:val="21"/>
        </w:rPr>
      </w:pPr>
      <w:r>
        <w:rPr>
          <w:rFonts w:hint="eastAsia" w:ascii="宋体" w:hAnsi="宋体"/>
          <w:color w:val="000000"/>
          <w:szCs w:val="21"/>
        </w:rPr>
        <w:t>质疑受理联系电话：029-89187077、029-88360439转8005、15591867320，联系人：赵工</w:t>
      </w:r>
    </w:p>
    <w:p w14:paraId="6F05B668">
      <w:pPr>
        <w:spacing w:line="360" w:lineRule="auto"/>
        <w:ind w:firstLine="420" w:firstLineChars="200"/>
        <w:rPr>
          <w:rFonts w:ascii="宋体" w:hAnsi="宋体"/>
          <w:szCs w:val="21"/>
        </w:rPr>
      </w:pPr>
      <w:r>
        <w:rPr>
          <w:rFonts w:hint="eastAsia" w:ascii="宋体" w:hAnsi="宋体"/>
          <w:szCs w:val="21"/>
        </w:rPr>
        <w:t>（五）有下列情形之一的，属于无效质疑，采购代理机构和采购人可不予受理：</w:t>
      </w:r>
    </w:p>
    <w:p w14:paraId="4933B615">
      <w:pPr>
        <w:spacing w:line="360" w:lineRule="auto"/>
        <w:ind w:firstLine="420" w:firstLineChars="200"/>
        <w:rPr>
          <w:rFonts w:ascii="宋体" w:hAnsi="宋体"/>
          <w:szCs w:val="21"/>
        </w:rPr>
      </w:pPr>
      <w:r>
        <w:rPr>
          <w:rFonts w:hint="eastAsia" w:ascii="宋体" w:hAnsi="宋体"/>
          <w:szCs w:val="21"/>
        </w:rPr>
        <w:t>1、对采购文件提出质疑的质疑人不是依法获取采购文件的供应商；对采购过程、成交或成交结果提出质疑的质疑人不是参与本次政府采购项目的供应商；</w:t>
      </w:r>
    </w:p>
    <w:p w14:paraId="5FDD18AC">
      <w:pPr>
        <w:spacing w:line="360" w:lineRule="auto"/>
        <w:ind w:firstLine="420" w:firstLineChars="200"/>
        <w:rPr>
          <w:rFonts w:ascii="宋体" w:hAnsi="宋体"/>
          <w:szCs w:val="21"/>
        </w:rPr>
      </w:pPr>
      <w:r>
        <w:rPr>
          <w:rFonts w:hint="eastAsia" w:ascii="宋体" w:hAnsi="宋体"/>
          <w:szCs w:val="21"/>
        </w:rPr>
        <w:t>2、超过法定期限或未以书面形式提出的；</w:t>
      </w:r>
    </w:p>
    <w:p w14:paraId="40085E8B">
      <w:pPr>
        <w:spacing w:line="360" w:lineRule="auto"/>
        <w:ind w:firstLine="420" w:firstLineChars="200"/>
        <w:rPr>
          <w:rFonts w:ascii="宋体" w:hAnsi="宋体"/>
          <w:szCs w:val="21"/>
        </w:rPr>
      </w:pPr>
      <w:r>
        <w:rPr>
          <w:rFonts w:hint="eastAsia" w:ascii="宋体" w:hAnsi="宋体"/>
          <w:szCs w:val="21"/>
        </w:rPr>
        <w:t>3、质疑函未按本章6.6条规定签字及盖章的；</w:t>
      </w:r>
    </w:p>
    <w:p w14:paraId="1C1FCF18">
      <w:pPr>
        <w:spacing w:line="360" w:lineRule="auto"/>
        <w:ind w:firstLine="420" w:firstLineChars="200"/>
        <w:rPr>
          <w:rFonts w:ascii="宋体" w:hAnsi="宋体"/>
          <w:szCs w:val="21"/>
        </w:rPr>
      </w:pPr>
      <w:r>
        <w:rPr>
          <w:rFonts w:hint="eastAsia" w:ascii="宋体" w:hAnsi="宋体"/>
          <w:szCs w:val="21"/>
        </w:rPr>
        <w:t>4、针对同一采购程序环节又提出其他质疑事项的，或质疑答复后就同一事项再次提出质疑的；</w:t>
      </w:r>
    </w:p>
    <w:p w14:paraId="0B5881F8">
      <w:pPr>
        <w:spacing w:line="360" w:lineRule="auto"/>
        <w:ind w:firstLine="420" w:firstLineChars="200"/>
        <w:rPr>
          <w:rFonts w:ascii="宋体" w:hAnsi="宋体"/>
          <w:szCs w:val="21"/>
        </w:rPr>
      </w:pPr>
      <w:r>
        <w:rPr>
          <w:rFonts w:hint="eastAsia" w:ascii="宋体" w:hAnsi="宋体"/>
          <w:szCs w:val="21"/>
        </w:rPr>
        <w:t>5、不符合法律、法规、规章和政府采购监管机构规定的其他条件的。</w:t>
      </w:r>
    </w:p>
    <w:p w14:paraId="5D7ECE0D">
      <w:pPr>
        <w:widowControl/>
        <w:jc w:val="left"/>
        <w:rPr>
          <w:kern w:val="0"/>
          <w:szCs w:val="21"/>
        </w:rPr>
      </w:pPr>
    </w:p>
    <w:p w14:paraId="64B3A316">
      <w:pPr>
        <w:rPr>
          <w:rFonts w:ascii="宋体" w:hAnsi="宋体"/>
          <w:b/>
          <w:sz w:val="30"/>
          <w:szCs w:val="30"/>
        </w:rPr>
      </w:pPr>
    </w:p>
    <w:sectPr>
      <w:headerReference r:id="rId12" w:type="default"/>
      <w:footerReference r:id="rId13" w:type="default"/>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F1CA3-A46F-4143-8749-C7283B6B42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46E5737-DE50-4918-8398-CC1608C4C5C9}"/>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CF242DBB-40D5-4DB4-9900-830076A0D2E8}"/>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9564A346-C2D5-48E1-A8EA-CB2D492A77EF}"/>
  </w:font>
  <w:font w:name="华文仿宋">
    <w:panose1 w:val="02010600040101010101"/>
    <w:charset w:val="86"/>
    <w:family w:val="auto"/>
    <w:pitch w:val="default"/>
    <w:sig w:usb0="00000287" w:usb1="080F0000" w:usb2="00000000" w:usb3="00000000" w:csb0="0004009F" w:csb1="DFD70000"/>
    <w:embedRegular r:id="rId5" w:fontKey="{D108EAE2-6E11-47CE-A48A-56C3897568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368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CF7A8">
                          <w:pPr>
                            <w:pStyle w:val="17"/>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BCF7A8">
                    <w:pPr>
                      <w:pStyle w:val="17"/>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046D">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EE171">
                          <w:pPr>
                            <w:pStyle w:val="17"/>
                          </w:pPr>
                          <w:r>
                            <w:t>第</w:t>
                          </w:r>
                          <w:r>
                            <w:fldChar w:fldCharType="begin"/>
                          </w:r>
                          <w:r>
                            <w:instrText xml:space="preserve"> PAGE  \* MERGEFORMAT </w:instrText>
                          </w:r>
                          <w:r>
                            <w:fldChar w:fldCharType="separate"/>
                          </w:r>
                          <w:r>
                            <w:t>33</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2EEE171">
                    <w:pPr>
                      <w:pStyle w:val="17"/>
                    </w:pPr>
                    <w:r>
                      <w:t>第</w:t>
                    </w:r>
                    <w:r>
                      <w:fldChar w:fldCharType="begin"/>
                    </w:r>
                    <w:r>
                      <w:instrText xml:space="preserve"> PAGE  \* MERGEFORMAT </w:instrText>
                    </w:r>
                    <w:r>
                      <w:fldChar w:fldCharType="separate"/>
                    </w:r>
                    <w:r>
                      <w:t>33</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9574">
    <w:pPr>
      <w:spacing w:after="1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8E56">
    <w:pPr>
      <w:spacing w:after="1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E6BC">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A70CA">
                          <w:pPr>
                            <w:pStyle w:val="17"/>
                          </w:pPr>
                          <w:r>
                            <w:t>第</w:t>
                          </w:r>
                          <w:r>
                            <w:fldChar w:fldCharType="begin"/>
                          </w:r>
                          <w:r>
                            <w:instrText xml:space="preserve"> PAGE  \* MERGEFORMAT </w:instrText>
                          </w:r>
                          <w:r>
                            <w:fldChar w:fldCharType="separate"/>
                          </w:r>
                          <w:r>
                            <w:t>70</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BDA70CA">
                    <w:pPr>
                      <w:pStyle w:val="17"/>
                    </w:pPr>
                    <w:r>
                      <w:t>第</w:t>
                    </w:r>
                    <w:r>
                      <w:fldChar w:fldCharType="begin"/>
                    </w:r>
                    <w:r>
                      <w:instrText xml:space="preserve"> PAGE  \* MERGEFORMAT </w:instrText>
                    </w:r>
                    <w:r>
                      <w:fldChar w:fldCharType="separate"/>
                    </w:r>
                    <w:r>
                      <w:t>70</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B7BD">
    <w:pPr>
      <w:pStyle w:val="18"/>
      <w:jc w:val="left"/>
      <w:rPr>
        <w:szCs w:val="18"/>
        <w:u w:val="single"/>
      </w:rPr>
    </w:pPr>
    <w:r>
      <w:rPr>
        <w:rFonts w:hint="eastAsia" w:ascii="宋体" w:hAnsi="宋体"/>
        <w:szCs w:val="18"/>
        <w:u w:val="single"/>
      </w:rPr>
      <w:t>南北校区公寓楼室内地沟管道更换项目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31E5">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4AE7">
    <w:pPr>
      <w:pStyle w:val="18"/>
      <w:jc w:val="left"/>
      <w:rPr>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6F5F">
    <w:pPr>
      <w:spacing w:after="160"/>
      <w:rPr>
        <w:sz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11AD">
    <w:pPr>
      <w:spacing w:after="1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DBF8">
    <w:pPr>
      <w:pStyle w:val="18"/>
      <w:jc w:val="left"/>
      <w:rPr>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59649"/>
    <w:multiLevelType w:val="singleLevel"/>
    <w:tmpl w:val="F1859649"/>
    <w:lvl w:ilvl="0" w:tentative="0">
      <w:start w:val="1"/>
      <w:numFmt w:val="decimal"/>
      <w:suff w:val="nothing"/>
      <w:lvlText w:val="%1、"/>
      <w:lvlJc w:val="left"/>
    </w:lvl>
  </w:abstractNum>
  <w:abstractNum w:abstractNumId="1">
    <w:nsid w:val="F8A4FD41"/>
    <w:multiLevelType w:val="singleLevel"/>
    <w:tmpl w:val="F8A4FD41"/>
    <w:lvl w:ilvl="0" w:tentative="0">
      <w:start w:val="1"/>
      <w:numFmt w:val="decimal"/>
      <w:suff w:val="nothing"/>
      <w:lvlText w:val="%1、"/>
      <w:lvlJc w:val="left"/>
    </w:lvl>
  </w:abstractNum>
  <w:abstractNum w:abstractNumId="2">
    <w:nsid w:val="2F130A5C"/>
    <w:multiLevelType w:val="singleLevel"/>
    <w:tmpl w:val="2F130A5C"/>
    <w:lvl w:ilvl="0" w:tentative="0">
      <w:start w:val="3"/>
      <w:numFmt w:val="decimal"/>
      <w:suff w:val="nothing"/>
      <w:lvlText w:val="%1."/>
      <w:lvlJc w:val="left"/>
    </w:lvl>
  </w:abstractNum>
  <w:abstractNum w:abstractNumId="3">
    <w:nsid w:val="577494CF"/>
    <w:multiLevelType w:val="singleLevel"/>
    <w:tmpl w:val="577494CF"/>
    <w:lvl w:ilvl="0" w:tentative="0">
      <w:start w:val="1"/>
      <w:numFmt w:val="decimal"/>
      <w:suff w:val="nothing"/>
      <w:lvlText w:val="%1）"/>
      <w:lvlJc w:val="left"/>
    </w:lvl>
  </w:abstractNum>
  <w:abstractNum w:abstractNumId="4">
    <w:nsid w:val="7ABB52A2"/>
    <w:multiLevelType w:val="singleLevel"/>
    <w:tmpl w:val="7ABB52A2"/>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jI0ZmVjYzdmYTg4MjY1MzdlZDgxMDJiZTFlYzIifQ=="/>
  </w:docVars>
  <w:rsids>
    <w:rsidRoot w:val="790E1E9F"/>
    <w:rsid w:val="0000012C"/>
    <w:rsid w:val="00000670"/>
    <w:rsid w:val="0002204A"/>
    <w:rsid w:val="00024D5D"/>
    <w:rsid w:val="00025E44"/>
    <w:rsid w:val="00055963"/>
    <w:rsid w:val="00092509"/>
    <w:rsid w:val="000A74D4"/>
    <w:rsid w:val="000C3B0C"/>
    <w:rsid w:val="001051D1"/>
    <w:rsid w:val="00134923"/>
    <w:rsid w:val="00140512"/>
    <w:rsid w:val="00143372"/>
    <w:rsid w:val="00180B14"/>
    <w:rsid w:val="00181F1C"/>
    <w:rsid w:val="001C3B8B"/>
    <w:rsid w:val="001C66E0"/>
    <w:rsid w:val="001E079C"/>
    <w:rsid w:val="001F6696"/>
    <w:rsid w:val="0022181C"/>
    <w:rsid w:val="002225BA"/>
    <w:rsid w:val="002276CF"/>
    <w:rsid w:val="00231759"/>
    <w:rsid w:val="002458C3"/>
    <w:rsid w:val="00272AD2"/>
    <w:rsid w:val="002C32BF"/>
    <w:rsid w:val="002D34B2"/>
    <w:rsid w:val="002E6413"/>
    <w:rsid w:val="002F615E"/>
    <w:rsid w:val="002F6C1C"/>
    <w:rsid w:val="00333723"/>
    <w:rsid w:val="0037750D"/>
    <w:rsid w:val="003B73AB"/>
    <w:rsid w:val="0042111A"/>
    <w:rsid w:val="00424795"/>
    <w:rsid w:val="00440852"/>
    <w:rsid w:val="00442868"/>
    <w:rsid w:val="00452A44"/>
    <w:rsid w:val="0047219B"/>
    <w:rsid w:val="00487E75"/>
    <w:rsid w:val="004A2050"/>
    <w:rsid w:val="004A2873"/>
    <w:rsid w:val="004E2E3E"/>
    <w:rsid w:val="004F11C2"/>
    <w:rsid w:val="005019F2"/>
    <w:rsid w:val="005079E3"/>
    <w:rsid w:val="0051093F"/>
    <w:rsid w:val="00517ABA"/>
    <w:rsid w:val="00532FAB"/>
    <w:rsid w:val="00537352"/>
    <w:rsid w:val="005F3FA9"/>
    <w:rsid w:val="006412E4"/>
    <w:rsid w:val="00641F8E"/>
    <w:rsid w:val="00667418"/>
    <w:rsid w:val="00685D59"/>
    <w:rsid w:val="006B2D52"/>
    <w:rsid w:val="006E38F7"/>
    <w:rsid w:val="007015DF"/>
    <w:rsid w:val="00704773"/>
    <w:rsid w:val="00735327"/>
    <w:rsid w:val="0073638E"/>
    <w:rsid w:val="0078143C"/>
    <w:rsid w:val="007A229D"/>
    <w:rsid w:val="007A51B4"/>
    <w:rsid w:val="007E152F"/>
    <w:rsid w:val="00802AA9"/>
    <w:rsid w:val="00821B3A"/>
    <w:rsid w:val="00847DE1"/>
    <w:rsid w:val="00850943"/>
    <w:rsid w:val="008656F5"/>
    <w:rsid w:val="008D7185"/>
    <w:rsid w:val="008E6D97"/>
    <w:rsid w:val="0093740D"/>
    <w:rsid w:val="009550EA"/>
    <w:rsid w:val="00982753"/>
    <w:rsid w:val="009A7708"/>
    <w:rsid w:val="009D55A7"/>
    <w:rsid w:val="009F2983"/>
    <w:rsid w:val="00A1041C"/>
    <w:rsid w:val="00A24912"/>
    <w:rsid w:val="00A46D0A"/>
    <w:rsid w:val="00AF394A"/>
    <w:rsid w:val="00B01E44"/>
    <w:rsid w:val="00B36A04"/>
    <w:rsid w:val="00B45AE3"/>
    <w:rsid w:val="00B50FDE"/>
    <w:rsid w:val="00B97721"/>
    <w:rsid w:val="00BA316F"/>
    <w:rsid w:val="00BA7EA5"/>
    <w:rsid w:val="00BC2C73"/>
    <w:rsid w:val="00BC757B"/>
    <w:rsid w:val="00BD029E"/>
    <w:rsid w:val="00C01704"/>
    <w:rsid w:val="00C070DB"/>
    <w:rsid w:val="00C11BD7"/>
    <w:rsid w:val="00C20EDC"/>
    <w:rsid w:val="00C73564"/>
    <w:rsid w:val="00C82820"/>
    <w:rsid w:val="00C93C17"/>
    <w:rsid w:val="00CB66AB"/>
    <w:rsid w:val="00D248AE"/>
    <w:rsid w:val="00D5010D"/>
    <w:rsid w:val="00D64AE1"/>
    <w:rsid w:val="00D82655"/>
    <w:rsid w:val="00D97EEF"/>
    <w:rsid w:val="00DA4EE3"/>
    <w:rsid w:val="00DC1D21"/>
    <w:rsid w:val="00DC4F57"/>
    <w:rsid w:val="00DD10A2"/>
    <w:rsid w:val="00DF14BB"/>
    <w:rsid w:val="00DF21D7"/>
    <w:rsid w:val="00DF64D3"/>
    <w:rsid w:val="00E36960"/>
    <w:rsid w:val="00E37958"/>
    <w:rsid w:val="00E66362"/>
    <w:rsid w:val="00E7034C"/>
    <w:rsid w:val="00E72105"/>
    <w:rsid w:val="00E84C23"/>
    <w:rsid w:val="00E91557"/>
    <w:rsid w:val="00EA6CFD"/>
    <w:rsid w:val="00EF354A"/>
    <w:rsid w:val="00EF4572"/>
    <w:rsid w:val="00EF4A99"/>
    <w:rsid w:val="00EF5C12"/>
    <w:rsid w:val="00F10802"/>
    <w:rsid w:val="00F10A11"/>
    <w:rsid w:val="00F26011"/>
    <w:rsid w:val="00F33CF1"/>
    <w:rsid w:val="00F37D29"/>
    <w:rsid w:val="00F63C46"/>
    <w:rsid w:val="00F6779A"/>
    <w:rsid w:val="00F92476"/>
    <w:rsid w:val="00FB49BD"/>
    <w:rsid w:val="00FB4F3D"/>
    <w:rsid w:val="00FD50DB"/>
    <w:rsid w:val="0123584C"/>
    <w:rsid w:val="013902A4"/>
    <w:rsid w:val="013B4944"/>
    <w:rsid w:val="01691756"/>
    <w:rsid w:val="01740E6F"/>
    <w:rsid w:val="017A7036"/>
    <w:rsid w:val="017B1901"/>
    <w:rsid w:val="01810F86"/>
    <w:rsid w:val="01934BC3"/>
    <w:rsid w:val="019E4ED3"/>
    <w:rsid w:val="01AA6240"/>
    <w:rsid w:val="01AD3593"/>
    <w:rsid w:val="01B42948"/>
    <w:rsid w:val="01B6046E"/>
    <w:rsid w:val="01BD1103"/>
    <w:rsid w:val="01C26E13"/>
    <w:rsid w:val="01C761D7"/>
    <w:rsid w:val="01EB5408"/>
    <w:rsid w:val="01F6617B"/>
    <w:rsid w:val="01FE04CB"/>
    <w:rsid w:val="02021905"/>
    <w:rsid w:val="020236B3"/>
    <w:rsid w:val="0205540C"/>
    <w:rsid w:val="02114AB6"/>
    <w:rsid w:val="02144A36"/>
    <w:rsid w:val="023575E5"/>
    <w:rsid w:val="023E6EF5"/>
    <w:rsid w:val="02571C51"/>
    <w:rsid w:val="0264627D"/>
    <w:rsid w:val="026F659E"/>
    <w:rsid w:val="027B51E5"/>
    <w:rsid w:val="02815F69"/>
    <w:rsid w:val="0282632F"/>
    <w:rsid w:val="028B3470"/>
    <w:rsid w:val="0295522A"/>
    <w:rsid w:val="029A33E1"/>
    <w:rsid w:val="02A055C6"/>
    <w:rsid w:val="02D0730E"/>
    <w:rsid w:val="02D2030E"/>
    <w:rsid w:val="02DA1FA7"/>
    <w:rsid w:val="02DA63DE"/>
    <w:rsid w:val="02DC2156"/>
    <w:rsid w:val="02E45ED5"/>
    <w:rsid w:val="02E5311B"/>
    <w:rsid w:val="02E57666"/>
    <w:rsid w:val="03261624"/>
    <w:rsid w:val="033577FF"/>
    <w:rsid w:val="033834C2"/>
    <w:rsid w:val="03383697"/>
    <w:rsid w:val="03394EB3"/>
    <w:rsid w:val="03451AAA"/>
    <w:rsid w:val="035717DD"/>
    <w:rsid w:val="036130ED"/>
    <w:rsid w:val="038E05EB"/>
    <w:rsid w:val="03944DF9"/>
    <w:rsid w:val="039D15A5"/>
    <w:rsid w:val="03AC12AA"/>
    <w:rsid w:val="03E71369"/>
    <w:rsid w:val="03EA2651"/>
    <w:rsid w:val="03FF434E"/>
    <w:rsid w:val="042C4A18"/>
    <w:rsid w:val="043C2B7C"/>
    <w:rsid w:val="0442248D"/>
    <w:rsid w:val="044269C4"/>
    <w:rsid w:val="044A30F0"/>
    <w:rsid w:val="04532D85"/>
    <w:rsid w:val="04561A95"/>
    <w:rsid w:val="04856EA9"/>
    <w:rsid w:val="04932CE9"/>
    <w:rsid w:val="04935CE7"/>
    <w:rsid w:val="049F51EA"/>
    <w:rsid w:val="04A11AE9"/>
    <w:rsid w:val="04A260F9"/>
    <w:rsid w:val="04A42800"/>
    <w:rsid w:val="04A647CA"/>
    <w:rsid w:val="04C3537C"/>
    <w:rsid w:val="04C44C50"/>
    <w:rsid w:val="04D1305F"/>
    <w:rsid w:val="04E05EDB"/>
    <w:rsid w:val="04F27A0F"/>
    <w:rsid w:val="0505757F"/>
    <w:rsid w:val="050B287F"/>
    <w:rsid w:val="051554AC"/>
    <w:rsid w:val="05276F07"/>
    <w:rsid w:val="05280002"/>
    <w:rsid w:val="052E656D"/>
    <w:rsid w:val="05351E6A"/>
    <w:rsid w:val="053E6F16"/>
    <w:rsid w:val="05551283"/>
    <w:rsid w:val="056703FD"/>
    <w:rsid w:val="056B1570"/>
    <w:rsid w:val="056D7436"/>
    <w:rsid w:val="056F4631"/>
    <w:rsid w:val="0582047C"/>
    <w:rsid w:val="059B00A7"/>
    <w:rsid w:val="059B5E16"/>
    <w:rsid w:val="059E5D7D"/>
    <w:rsid w:val="05AB5E10"/>
    <w:rsid w:val="05C16CE8"/>
    <w:rsid w:val="05C403FE"/>
    <w:rsid w:val="05D347EA"/>
    <w:rsid w:val="05EB000D"/>
    <w:rsid w:val="05F77580"/>
    <w:rsid w:val="05FF020A"/>
    <w:rsid w:val="05FF5A7E"/>
    <w:rsid w:val="060379FA"/>
    <w:rsid w:val="06182533"/>
    <w:rsid w:val="06220D6C"/>
    <w:rsid w:val="06256906"/>
    <w:rsid w:val="064A4110"/>
    <w:rsid w:val="06587D46"/>
    <w:rsid w:val="065D7487"/>
    <w:rsid w:val="065E6687"/>
    <w:rsid w:val="06692A10"/>
    <w:rsid w:val="0669721E"/>
    <w:rsid w:val="06782196"/>
    <w:rsid w:val="06787DD4"/>
    <w:rsid w:val="0697030F"/>
    <w:rsid w:val="069D39AB"/>
    <w:rsid w:val="06A20FC1"/>
    <w:rsid w:val="06B32CB6"/>
    <w:rsid w:val="06B4143D"/>
    <w:rsid w:val="06CE1DB6"/>
    <w:rsid w:val="06D32584"/>
    <w:rsid w:val="06DE349C"/>
    <w:rsid w:val="06DF3199"/>
    <w:rsid w:val="06F347DF"/>
    <w:rsid w:val="070D446F"/>
    <w:rsid w:val="071501C9"/>
    <w:rsid w:val="071F2612"/>
    <w:rsid w:val="073B7810"/>
    <w:rsid w:val="074F7D1F"/>
    <w:rsid w:val="076B3AA9"/>
    <w:rsid w:val="078B414B"/>
    <w:rsid w:val="079E3E7E"/>
    <w:rsid w:val="079E5C2C"/>
    <w:rsid w:val="07B80FF1"/>
    <w:rsid w:val="07BA6793"/>
    <w:rsid w:val="07C1191B"/>
    <w:rsid w:val="07E17384"/>
    <w:rsid w:val="07F3419D"/>
    <w:rsid w:val="0808464E"/>
    <w:rsid w:val="080C703A"/>
    <w:rsid w:val="08103D20"/>
    <w:rsid w:val="08156C5F"/>
    <w:rsid w:val="081952B3"/>
    <w:rsid w:val="081F5D77"/>
    <w:rsid w:val="083C2BF1"/>
    <w:rsid w:val="0842480A"/>
    <w:rsid w:val="085E13BB"/>
    <w:rsid w:val="08601134"/>
    <w:rsid w:val="087766B5"/>
    <w:rsid w:val="08950D28"/>
    <w:rsid w:val="08A32C6C"/>
    <w:rsid w:val="08A72A47"/>
    <w:rsid w:val="08C72A13"/>
    <w:rsid w:val="08C77405"/>
    <w:rsid w:val="08C903EA"/>
    <w:rsid w:val="08D15B8E"/>
    <w:rsid w:val="08D833C0"/>
    <w:rsid w:val="091A5787"/>
    <w:rsid w:val="0945511E"/>
    <w:rsid w:val="0946032A"/>
    <w:rsid w:val="09491BC8"/>
    <w:rsid w:val="096864F2"/>
    <w:rsid w:val="097E12ED"/>
    <w:rsid w:val="099E3B3F"/>
    <w:rsid w:val="09A56073"/>
    <w:rsid w:val="09A83C09"/>
    <w:rsid w:val="09E3201C"/>
    <w:rsid w:val="09E813E1"/>
    <w:rsid w:val="0A057F75"/>
    <w:rsid w:val="0A0629B5"/>
    <w:rsid w:val="0A0C1573"/>
    <w:rsid w:val="0A0D7099"/>
    <w:rsid w:val="0A161F3D"/>
    <w:rsid w:val="0A1E644F"/>
    <w:rsid w:val="0A2048A8"/>
    <w:rsid w:val="0A3E54A5"/>
    <w:rsid w:val="0A43167D"/>
    <w:rsid w:val="0A5C7B97"/>
    <w:rsid w:val="0A6505D0"/>
    <w:rsid w:val="0A6F565E"/>
    <w:rsid w:val="0A80786B"/>
    <w:rsid w:val="0A886737"/>
    <w:rsid w:val="0A8F3122"/>
    <w:rsid w:val="0A943665"/>
    <w:rsid w:val="0A9926DB"/>
    <w:rsid w:val="0AA02C31"/>
    <w:rsid w:val="0AB91107"/>
    <w:rsid w:val="0AD41D5B"/>
    <w:rsid w:val="0ADB7197"/>
    <w:rsid w:val="0AE237BE"/>
    <w:rsid w:val="0AE41BA8"/>
    <w:rsid w:val="0AEC0A3A"/>
    <w:rsid w:val="0AEF39DD"/>
    <w:rsid w:val="0B0F299D"/>
    <w:rsid w:val="0B2D2A2E"/>
    <w:rsid w:val="0B3025C1"/>
    <w:rsid w:val="0B350656"/>
    <w:rsid w:val="0B3A5E52"/>
    <w:rsid w:val="0B5B471C"/>
    <w:rsid w:val="0B5F3925"/>
    <w:rsid w:val="0B642CE9"/>
    <w:rsid w:val="0B660F2D"/>
    <w:rsid w:val="0B7145F4"/>
    <w:rsid w:val="0B9B6FB8"/>
    <w:rsid w:val="0BB023D2"/>
    <w:rsid w:val="0BC65752"/>
    <w:rsid w:val="0BCA3494"/>
    <w:rsid w:val="0BEE3256"/>
    <w:rsid w:val="0BF70001"/>
    <w:rsid w:val="0BF91683"/>
    <w:rsid w:val="0C1B5CA5"/>
    <w:rsid w:val="0C1F4E62"/>
    <w:rsid w:val="0C235653"/>
    <w:rsid w:val="0C2A3F33"/>
    <w:rsid w:val="0C353733"/>
    <w:rsid w:val="0C3725CC"/>
    <w:rsid w:val="0C4C29BF"/>
    <w:rsid w:val="0C577FD0"/>
    <w:rsid w:val="0C5B0229"/>
    <w:rsid w:val="0C721436"/>
    <w:rsid w:val="0C790A16"/>
    <w:rsid w:val="0C811679"/>
    <w:rsid w:val="0C821421"/>
    <w:rsid w:val="0C833102"/>
    <w:rsid w:val="0C873133"/>
    <w:rsid w:val="0CA77331"/>
    <w:rsid w:val="0CAA0BCF"/>
    <w:rsid w:val="0CAF23E1"/>
    <w:rsid w:val="0CBD4DA7"/>
    <w:rsid w:val="0D156991"/>
    <w:rsid w:val="0D531267"/>
    <w:rsid w:val="0D55117F"/>
    <w:rsid w:val="0D5708A4"/>
    <w:rsid w:val="0D581C1A"/>
    <w:rsid w:val="0D5F13BC"/>
    <w:rsid w:val="0D6A67F8"/>
    <w:rsid w:val="0D7F205C"/>
    <w:rsid w:val="0D927FE1"/>
    <w:rsid w:val="0D9E19B3"/>
    <w:rsid w:val="0DB00467"/>
    <w:rsid w:val="0DB0769E"/>
    <w:rsid w:val="0DB724D3"/>
    <w:rsid w:val="0DC8695E"/>
    <w:rsid w:val="0DD71E98"/>
    <w:rsid w:val="0DD95C10"/>
    <w:rsid w:val="0DDC3D14"/>
    <w:rsid w:val="0DE422C9"/>
    <w:rsid w:val="0DE912C7"/>
    <w:rsid w:val="0DF02F5A"/>
    <w:rsid w:val="0DF224B0"/>
    <w:rsid w:val="0E005C3B"/>
    <w:rsid w:val="0E0367E9"/>
    <w:rsid w:val="0E064F10"/>
    <w:rsid w:val="0E0B1B42"/>
    <w:rsid w:val="0E0D74EB"/>
    <w:rsid w:val="0E1A1D85"/>
    <w:rsid w:val="0E2D1AB8"/>
    <w:rsid w:val="0E316003"/>
    <w:rsid w:val="0E375B33"/>
    <w:rsid w:val="0E682384"/>
    <w:rsid w:val="0E790F14"/>
    <w:rsid w:val="0E87741A"/>
    <w:rsid w:val="0E8A0CB9"/>
    <w:rsid w:val="0E9658AF"/>
    <w:rsid w:val="0EDB310F"/>
    <w:rsid w:val="0EEA21A4"/>
    <w:rsid w:val="0F102FA9"/>
    <w:rsid w:val="0F110AE2"/>
    <w:rsid w:val="0F3B18CF"/>
    <w:rsid w:val="0F477537"/>
    <w:rsid w:val="0F4A0520"/>
    <w:rsid w:val="0F501F5F"/>
    <w:rsid w:val="0F590F2E"/>
    <w:rsid w:val="0F9A317D"/>
    <w:rsid w:val="0FA4042D"/>
    <w:rsid w:val="0FA425D2"/>
    <w:rsid w:val="0FA525B6"/>
    <w:rsid w:val="0FAB4409"/>
    <w:rsid w:val="0FB53958"/>
    <w:rsid w:val="0FBA3368"/>
    <w:rsid w:val="0FC46364"/>
    <w:rsid w:val="0FCB77DB"/>
    <w:rsid w:val="0FD86B34"/>
    <w:rsid w:val="0FEB39D9"/>
    <w:rsid w:val="0FF04D5B"/>
    <w:rsid w:val="1010343F"/>
    <w:rsid w:val="10125409"/>
    <w:rsid w:val="10161F5A"/>
    <w:rsid w:val="101A606C"/>
    <w:rsid w:val="103259EB"/>
    <w:rsid w:val="10507EB4"/>
    <w:rsid w:val="107734BE"/>
    <w:rsid w:val="108160EB"/>
    <w:rsid w:val="1095577B"/>
    <w:rsid w:val="109C2F25"/>
    <w:rsid w:val="109F286E"/>
    <w:rsid w:val="10C91D39"/>
    <w:rsid w:val="111331E7"/>
    <w:rsid w:val="111753C0"/>
    <w:rsid w:val="11203B56"/>
    <w:rsid w:val="1123376C"/>
    <w:rsid w:val="112371A2"/>
    <w:rsid w:val="113106E6"/>
    <w:rsid w:val="1131366D"/>
    <w:rsid w:val="114C66F9"/>
    <w:rsid w:val="115F642C"/>
    <w:rsid w:val="117A6707"/>
    <w:rsid w:val="11AC6149"/>
    <w:rsid w:val="11AD6755"/>
    <w:rsid w:val="11B7195F"/>
    <w:rsid w:val="11C664AC"/>
    <w:rsid w:val="11CE2D67"/>
    <w:rsid w:val="11D538B0"/>
    <w:rsid w:val="11D861DF"/>
    <w:rsid w:val="11DA3D05"/>
    <w:rsid w:val="11DA5AB3"/>
    <w:rsid w:val="11F1049F"/>
    <w:rsid w:val="11FA7885"/>
    <w:rsid w:val="1202500A"/>
    <w:rsid w:val="120945EA"/>
    <w:rsid w:val="12121DF8"/>
    <w:rsid w:val="122A0630"/>
    <w:rsid w:val="12314A83"/>
    <w:rsid w:val="12434DD7"/>
    <w:rsid w:val="124A35D5"/>
    <w:rsid w:val="12574C83"/>
    <w:rsid w:val="125C471A"/>
    <w:rsid w:val="12807CE9"/>
    <w:rsid w:val="129211F3"/>
    <w:rsid w:val="129506F7"/>
    <w:rsid w:val="129F060D"/>
    <w:rsid w:val="12A241A3"/>
    <w:rsid w:val="12BB76A9"/>
    <w:rsid w:val="12C86253"/>
    <w:rsid w:val="12CF75E2"/>
    <w:rsid w:val="12D31411"/>
    <w:rsid w:val="12D9643A"/>
    <w:rsid w:val="12ED7A68"/>
    <w:rsid w:val="12F733F5"/>
    <w:rsid w:val="131B6178"/>
    <w:rsid w:val="131D3266"/>
    <w:rsid w:val="13207980"/>
    <w:rsid w:val="13434291"/>
    <w:rsid w:val="134E49AB"/>
    <w:rsid w:val="13581385"/>
    <w:rsid w:val="136E2A3A"/>
    <w:rsid w:val="13734411"/>
    <w:rsid w:val="13855EF2"/>
    <w:rsid w:val="13A0295A"/>
    <w:rsid w:val="13A10F7E"/>
    <w:rsid w:val="13AA7707"/>
    <w:rsid w:val="13DD7ADC"/>
    <w:rsid w:val="13E946D3"/>
    <w:rsid w:val="13FB7F63"/>
    <w:rsid w:val="13FD1F2D"/>
    <w:rsid w:val="13FD6689"/>
    <w:rsid w:val="140E5EE8"/>
    <w:rsid w:val="1412542D"/>
    <w:rsid w:val="141A2ADF"/>
    <w:rsid w:val="14294AD0"/>
    <w:rsid w:val="142964F1"/>
    <w:rsid w:val="144468C2"/>
    <w:rsid w:val="144D4AE2"/>
    <w:rsid w:val="14551D69"/>
    <w:rsid w:val="14691370"/>
    <w:rsid w:val="146E3180"/>
    <w:rsid w:val="148461AA"/>
    <w:rsid w:val="14A34882"/>
    <w:rsid w:val="14B24AC5"/>
    <w:rsid w:val="14C945E1"/>
    <w:rsid w:val="14CE4C6C"/>
    <w:rsid w:val="14ED7E6C"/>
    <w:rsid w:val="14F111B3"/>
    <w:rsid w:val="14F6680D"/>
    <w:rsid w:val="14FE3D66"/>
    <w:rsid w:val="15203B5E"/>
    <w:rsid w:val="152139F9"/>
    <w:rsid w:val="1525173B"/>
    <w:rsid w:val="1527555B"/>
    <w:rsid w:val="15602773"/>
    <w:rsid w:val="158346B4"/>
    <w:rsid w:val="15A308B2"/>
    <w:rsid w:val="15A83D5C"/>
    <w:rsid w:val="15B65746"/>
    <w:rsid w:val="15BB2A37"/>
    <w:rsid w:val="15E46FC8"/>
    <w:rsid w:val="15E66F29"/>
    <w:rsid w:val="15E769F0"/>
    <w:rsid w:val="15E92D38"/>
    <w:rsid w:val="15F07F9B"/>
    <w:rsid w:val="15F1786F"/>
    <w:rsid w:val="15F232AA"/>
    <w:rsid w:val="15F5383B"/>
    <w:rsid w:val="15FD77FA"/>
    <w:rsid w:val="15FE65D1"/>
    <w:rsid w:val="15FF01DE"/>
    <w:rsid w:val="160550C9"/>
    <w:rsid w:val="160C3B6A"/>
    <w:rsid w:val="160E1D34"/>
    <w:rsid w:val="160F4043"/>
    <w:rsid w:val="161672D6"/>
    <w:rsid w:val="1626576B"/>
    <w:rsid w:val="163A0CC8"/>
    <w:rsid w:val="16466544"/>
    <w:rsid w:val="164C4E8A"/>
    <w:rsid w:val="16504596"/>
    <w:rsid w:val="16513DF5"/>
    <w:rsid w:val="16526560"/>
    <w:rsid w:val="167B22A1"/>
    <w:rsid w:val="16824D24"/>
    <w:rsid w:val="16A82CF0"/>
    <w:rsid w:val="16AE117F"/>
    <w:rsid w:val="16AE1A74"/>
    <w:rsid w:val="16B1079F"/>
    <w:rsid w:val="16D72F09"/>
    <w:rsid w:val="16DF3B6C"/>
    <w:rsid w:val="1706559C"/>
    <w:rsid w:val="17147CB9"/>
    <w:rsid w:val="1720075F"/>
    <w:rsid w:val="1726655E"/>
    <w:rsid w:val="17397720"/>
    <w:rsid w:val="1746570F"/>
    <w:rsid w:val="175D2AAC"/>
    <w:rsid w:val="1761165C"/>
    <w:rsid w:val="17726473"/>
    <w:rsid w:val="177928F2"/>
    <w:rsid w:val="17825F07"/>
    <w:rsid w:val="179130B8"/>
    <w:rsid w:val="179947F3"/>
    <w:rsid w:val="179C0A16"/>
    <w:rsid w:val="17AC3E1E"/>
    <w:rsid w:val="17B9260F"/>
    <w:rsid w:val="17BA0FAE"/>
    <w:rsid w:val="17C30206"/>
    <w:rsid w:val="17C97AA3"/>
    <w:rsid w:val="17D51F93"/>
    <w:rsid w:val="17DF721D"/>
    <w:rsid w:val="17E66201"/>
    <w:rsid w:val="17EC6540"/>
    <w:rsid w:val="17FD699F"/>
    <w:rsid w:val="18062DF3"/>
    <w:rsid w:val="180E0186"/>
    <w:rsid w:val="18153194"/>
    <w:rsid w:val="181810E3"/>
    <w:rsid w:val="18194E5B"/>
    <w:rsid w:val="18470AF1"/>
    <w:rsid w:val="185145F5"/>
    <w:rsid w:val="185C5B9E"/>
    <w:rsid w:val="187D3DBA"/>
    <w:rsid w:val="188E0A8C"/>
    <w:rsid w:val="188E3A9B"/>
    <w:rsid w:val="18B6097C"/>
    <w:rsid w:val="18BB0285"/>
    <w:rsid w:val="18C70119"/>
    <w:rsid w:val="18D314AE"/>
    <w:rsid w:val="18E47CFF"/>
    <w:rsid w:val="18ED080F"/>
    <w:rsid w:val="18F25DD8"/>
    <w:rsid w:val="191007D2"/>
    <w:rsid w:val="191616EB"/>
    <w:rsid w:val="19441FDC"/>
    <w:rsid w:val="196A0064"/>
    <w:rsid w:val="198E7863"/>
    <w:rsid w:val="199B1FCC"/>
    <w:rsid w:val="199D3F96"/>
    <w:rsid w:val="19BC4272"/>
    <w:rsid w:val="19C53CB5"/>
    <w:rsid w:val="19D25C56"/>
    <w:rsid w:val="19D270A1"/>
    <w:rsid w:val="19D503C2"/>
    <w:rsid w:val="19E90626"/>
    <w:rsid w:val="19EA5CF9"/>
    <w:rsid w:val="19F17631"/>
    <w:rsid w:val="19FD2C86"/>
    <w:rsid w:val="1A09478B"/>
    <w:rsid w:val="1A0C4C78"/>
    <w:rsid w:val="1A1429BE"/>
    <w:rsid w:val="1A2124C0"/>
    <w:rsid w:val="1A333611"/>
    <w:rsid w:val="1A432FA7"/>
    <w:rsid w:val="1A514D80"/>
    <w:rsid w:val="1A5775BE"/>
    <w:rsid w:val="1A5F5C65"/>
    <w:rsid w:val="1A766595"/>
    <w:rsid w:val="1A935399"/>
    <w:rsid w:val="1A9F6972"/>
    <w:rsid w:val="1AA43102"/>
    <w:rsid w:val="1AA55149"/>
    <w:rsid w:val="1ABE69D2"/>
    <w:rsid w:val="1AC83294"/>
    <w:rsid w:val="1AD33AC1"/>
    <w:rsid w:val="1ADD1728"/>
    <w:rsid w:val="1AE960BE"/>
    <w:rsid w:val="1AFC7CCE"/>
    <w:rsid w:val="1B312943"/>
    <w:rsid w:val="1B65509F"/>
    <w:rsid w:val="1B6F7443"/>
    <w:rsid w:val="1B7A3E63"/>
    <w:rsid w:val="1B85318D"/>
    <w:rsid w:val="1B891E70"/>
    <w:rsid w:val="1B941767"/>
    <w:rsid w:val="1B966EEF"/>
    <w:rsid w:val="1B9852AF"/>
    <w:rsid w:val="1BA5434E"/>
    <w:rsid w:val="1BCA303C"/>
    <w:rsid w:val="1BE7774A"/>
    <w:rsid w:val="1BF74147"/>
    <w:rsid w:val="1BFA3188"/>
    <w:rsid w:val="1BFE0A0B"/>
    <w:rsid w:val="1C084989"/>
    <w:rsid w:val="1C167858"/>
    <w:rsid w:val="1C1859D2"/>
    <w:rsid w:val="1C27610B"/>
    <w:rsid w:val="1C3D380E"/>
    <w:rsid w:val="1C5A72C3"/>
    <w:rsid w:val="1C8154A8"/>
    <w:rsid w:val="1C8A0330"/>
    <w:rsid w:val="1CA0088A"/>
    <w:rsid w:val="1CA46F07"/>
    <w:rsid w:val="1CA706FE"/>
    <w:rsid w:val="1CAB69CA"/>
    <w:rsid w:val="1CB235CD"/>
    <w:rsid w:val="1CB41933"/>
    <w:rsid w:val="1CBE2A37"/>
    <w:rsid w:val="1CBF06C7"/>
    <w:rsid w:val="1CCA79C4"/>
    <w:rsid w:val="1CCB0E1A"/>
    <w:rsid w:val="1CE1063D"/>
    <w:rsid w:val="1CE343B6"/>
    <w:rsid w:val="1CF3211F"/>
    <w:rsid w:val="1CFA34AD"/>
    <w:rsid w:val="1CFB38E0"/>
    <w:rsid w:val="1CFD1352"/>
    <w:rsid w:val="1D0B0DCA"/>
    <w:rsid w:val="1D126A49"/>
    <w:rsid w:val="1D1D7461"/>
    <w:rsid w:val="1D2247B2"/>
    <w:rsid w:val="1D2B18B9"/>
    <w:rsid w:val="1D57445C"/>
    <w:rsid w:val="1D5C5F16"/>
    <w:rsid w:val="1D6D0123"/>
    <w:rsid w:val="1D7417D3"/>
    <w:rsid w:val="1D87456E"/>
    <w:rsid w:val="1D9B12EC"/>
    <w:rsid w:val="1DA1112F"/>
    <w:rsid w:val="1DAF24EA"/>
    <w:rsid w:val="1DB95116"/>
    <w:rsid w:val="1DC2016F"/>
    <w:rsid w:val="1DC6065A"/>
    <w:rsid w:val="1DCA7323"/>
    <w:rsid w:val="1DD7559C"/>
    <w:rsid w:val="1DDF7C04"/>
    <w:rsid w:val="1DE101C9"/>
    <w:rsid w:val="1DE52A44"/>
    <w:rsid w:val="1DF93765"/>
    <w:rsid w:val="1E1E4F79"/>
    <w:rsid w:val="1E1F7EEC"/>
    <w:rsid w:val="1E3E6409"/>
    <w:rsid w:val="1E480248"/>
    <w:rsid w:val="1E4A2212"/>
    <w:rsid w:val="1E4F7FC1"/>
    <w:rsid w:val="1E536208"/>
    <w:rsid w:val="1E562965"/>
    <w:rsid w:val="1E591960"/>
    <w:rsid w:val="1E5B7F7C"/>
    <w:rsid w:val="1E5E2FCF"/>
    <w:rsid w:val="1E674B72"/>
    <w:rsid w:val="1E7E3C6A"/>
    <w:rsid w:val="1E805C34"/>
    <w:rsid w:val="1E8B078C"/>
    <w:rsid w:val="1E937AFC"/>
    <w:rsid w:val="1EAC4C7B"/>
    <w:rsid w:val="1ECE1FA8"/>
    <w:rsid w:val="1EDC571E"/>
    <w:rsid w:val="1EE12B77"/>
    <w:rsid w:val="1EE461C3"/>
    <w:rsid w:val="1EFE632E"/>
    <w:rsid w:val="1F061F30"/>
    <w:rsid w:val="1F1015F8"/>
    <w:rsid w:val="1F1545CE"/>
    <w:rsid w:val="1F274302"/>
    <w:rsid w:val="1F332CA6"/>
    <w:rsid w:val="1F3A2287"/>
    <w:rsid w:val="1F3C3740"/>
    <w:rsid w:val="1F6410B2"/>
    <w:rsid w:val="1F710084"/>
    <w:rsid w:val="1F9F5C8E"/>
    <w:rsid w:val="1FA461AA"/>
    <w:rsid w:val="1FA85442"/>
    <w:rsid w:val="1FB31021"/>
    <w:rsid w:val="1FB5190D"/>
    <w:rsid w:val="1FCB7700"/>
    <w:rsid w:val="1FDE2BEB"/>
    <w:rsid w:val="1FE02E2E"/>
    <w:rsid w:val="1FED10A7"/>
    <w:rsid w:val="1FED5158"/>
    <w:rsid w:val="202662F2"/>
    <w:rsid w:val="202A40A9"/>
    <w:rsid w:val="20303E66"/>
    <w:rsid w:val="204835C8"/>
    <w:rsid w:val="205904EB"/>
    <w:rsid w:val="205F6F15"/>
    <w:rsid w:val="206765A7"/>
    <w:rsid w:val="208764DD"/>
    <w:rsid w:val="20885230"/>
    <w:rsid w:val="20AA6925"/>
    <w:rsid w:val="20B20CA4"/>
    <w:rsid w:val="20B24A5D"/>
    <w:rsid w:val="20B56069"/>
    <w:rsid w:val="20C03B7F"/>
    <w:rsid w:val="20C32174"/>
    <w:rsid w:val="20C75F78"/>
    <w:rsid w:val="20FD5FE6"/>
    <w:rsid w:val="21101977"/>
    <w:rsid w:val="21240AF9"/>
    <w:rsid w:val="21303941"/>
    <w:rsid w:val="214116AB"/>
    <w:rsid w:val="2156503A"/>
    <w:rsid w:val="2157480F"/>
    <w:rsid w:val="215779C0"/>
    <w:rsid w:val="215C6A28"/>
    <w:rsid w:val="21672238"/>
    <w:rsid w:val="217353BD"/>
    <w:rsid w:val="217A696B"/>
    <w:rsid w:val="217C2DA8"/>
    <w:rsid w:val="218B79F8"/>
    <w:rsid w:val="21A5207B"/>
    <w:rsid w:val="21A954A2"/>
    <w:rsid w:val="21BF0821"/>
    <w:rsid w:val="21D625E8"/>
    <w:rsid w:val="21DC13D3"/>
    <w:rsid w:val="21DE339D"/>
    <w:rsid w:val="21DE39B3"/>
    <w:rsid w:val="21ED02F5"/>
    <w:rsid w:val="21EE743D"/>
    <w:rsid w:val="21EF60F0"/>
    <w:rsid w:val="220E0FD7"/>
    <w:rsid w:val="221D2199"/>
    <w:rsid w:val="221E379A"/>
    <w:rsid w:val="223236E9"/>
    <w:rsid w:val="22466332"/>
    <w:rsid w:val="224D0523"/>
    <w:rsid w:val="225B1C3C"/>
    <w:rsid w:val="2298179E"/>
    <w:rsid w:val="229A7C7F"/>
    <w:rsid w:val="22A05300"/>
    <w:rsid w:val="22BE64C7"/>
    <w:rsid w:val="22CD7E9B"/>
    <w:rsid w:val="22DB78DD"/>
    <w:rsid w:val="22E5250A"/>
    <w:rsid w:val="22EF5453"/>
    <w:rsid w:val="231D427D"/>
    <w:rsid w:val="232133B2"/>
    <w:rsid w:val="23314077"/>
    <w:rsid w:val="23447230"/>
    <w:rsid w:val="2351194D"/>
    <w:rsid w:val="23696C97"/>
    <w:rsid w:val="238B43B7"/>
    <w:rsid w:val="23926357"/>
    <w:rsid w:val="23A203FB"/>
    <w:rsid w:val="23A423C5"/>
    <w:rsid w:val="23AB6501"/>
    <w:rsid w:val="23AE6D9F"/>
    <w:rsid w:val="23BF7312"/>
    <w:rsid w:val="23DE7685"/>
    <w:rsid w:val="23ED6185"/>
    <w:rsid w:val="24092228"/>
    <w:rsid w:val="241B110D"/>
    <w:rsid w:val="24332C66"/>
    <w:rsid w:val="244E34B1"/>
    <w:rsid w:val="24545EA4"/>
    <w:rsid w:val="24693AC6"/>
    <w:rsid w:val="246B5730"/>
    <w:rsid w:val="24733676"/>
    <w:rsid w:val="24760A6A"/>
    <w:rsid w:val="247D6D03"/>
    <w:rsid w:val="247F2B0C"/>
    <w:rsid w:val="248E3007"/>
    <w:rsid w:val="24943ADA"/>
    <w:rsid w:val="24A3234B"/>
    <w:rsid w:val="24A85EE5"/>
    <w:rsid w:val="24AA6669"/>
    <w:rsid w:val="24B976DF"/>
    <w:rsid w:val="24C409D7"/>
    <w:rsid w:val="24E231A5"/>
    <w:rsid w:val="24E32A79"/>
    <w:rsid w:val="24EA3D79"/>
    <w:rsid w:val="24F40954"/>
    <w:rsid w:val="25203CCD"/>
    <w:rsid w:val="252E799A"/>
    <w:rsid w:val="25367D22"/>
    <w:rsid w:val="2538018F"/>
    <w:rsid w:val="253F05F7"/>
    <w:rsid w:val="25551BC9"/>
    <w:rsid w:val="25585A84"/>
    <w:rsid w:val="255D6CCF"/>
    <w:rsid w:val="2567353B"/>
    <w:rsid w:val="256E48C7"/>
    <w:rsid w:val="25711C6D"/>
    <w:rsid w:val="257F6C45"/>
    <w:rsid w:val="2587082F"/>
    <w:rsid w:val="25B407F1"/>
    <w:rsid w:val="25B61F3B"/>
    <w:rsid w:val="25CA2824"/>
    <w:rsid w:val="25D71021"/>
    <w:rsid w:val="25E44CFA"/>
    <w:rsid w:val="25FD7B6A"/>
    <w:rsid w:val="261B3F35"/>
    <w:rsid w:val="26322122"/>
    <w:rsid w:val="266D4CF0"/>
    <w:rsid w:val="26801AA8"/>
    <w:rsid w:val="268C786C"/>
    <w:rsid w:val="269B7FE4"/>
    <w:rsid w:val="269E26C2"/>
    <w:rsid w:val="26AB5AC4"/>
    <w:rsid w:val="26B23E49"/>
    <w:rsid w:val="26BC0748"/>
    <w:rsid w:val="26BF01D9"/>
    <w:rsid w:val="26CD1869"/>
    <w:rsid w:val="26CF7759"/>
    <w:rsid w:val="26E34FB2"/>
    <w:rsid w:val="26F46D9E"/>
    <w:rsid w:val="27064377"/>
    <w:rsid w:val="271138CD"/>
    <w:rsid w:val="272E59C7"/>
    <w:rsid w:val="273469CF"/>
    <w:rsid w:val="273B4CF7"/>
    <w:rsid w:val="274375D4"/>
    <w:rsid w:val="27481795"/>
    <w:rsid w:val="275F6D2E"/>
    <w:rsid w:val="276948A4"/>
    <w:rsid w:val="2778201C"/>
    <w:rsid w:val="27873B8F"/>
    <w:rsid w:val="27983C91"/>
    <w:rsid w:val="279B3EA8"/>
    <w:rsid w:val="27A504B9"/>
    <w:rsid w:val="27A97FAA"/>
    <w:rsid w:val="27AB594A"/>
    <w:rsid w:val="27C13545"/>
    <w:rsid w:val="27D119DB"/>
    <w:rsid w:val="27E234BC"/>
    <w:rsid w:val="28153891"/>
    <w:rsid w:val="281713B7"/>
    <w:rsid w:val="28243AD4"/>
    <w:rsid w:val="28292E99"/>
    <w:rsid w:val="283B6CEB"/>
    <w:rsid w:val="28422863"/>
    <w:rsid w:val="28427CBE"/>
    <w:rsid w:val="28641ED9"/>
    <w:rsid w:val="286D547B"/>
    <w:rsid w:val="287051D9"/>
    <w:rsid w:val="287405B8"/>
    <w:rsid w:val="287700A8"/>
    <w:rsid w:val="288075B0"/>
    <w:rsid w:val="288874B8"/>
    <w:rsid w:val="289668FF"/>
    <w:rsid w:val="28BF3AB9"/>
    <w:rsid w:val="28D70F5B"/>
    <w:rsid w:val="28DD6ECE"/>
    <w:rsid w:val="28E950A9"/>
    <w:rsid w:val="28EC2844"/>
    <w:rsid w:val="28F33BD2"/>
    <w:rsid w:val="28F37A9E"/>
    <w:rsid w:val="28F87F8F"/>
    <w:rsid w:val="28F9286B"/>
    <w:rsid w:val="2908301B"/>
    <w:rsid w:val="29086F52"/>
    <w:rsid w:val="2916341D"/>
    <w:rsid w:val="29312005"/>
    <w:rsid w:val="2953641F"/>
    <w:rsid w:val="296A19BB"/>
    <w:rsid w:val="298B6373"/>
    <w:rsid w:val="2993443B"/>
    <w:rsid w:val="29934A6D"/>
    <w:rsid w:val="299912AB"/>
    <w:rsid w:val="29CC1912"/>
    <w:rsid w:val="29CF1FDB"/>
    <w:rsid w:val="29D07A70"/>
    <w:rsid w:val="29E13956"/>
    <w:rsid w:val="29E65B3B"/>
    <w:rsid w:val="29F95074"/>
    <w:rsid w:val="2A1325E4"/>
    <w:rsid w:val="2A3600E6"/>
    <w:rsid w:val="2A4915D0"/>
    <w:rsid w:val="2A4C2E6E"/>
    <w:rsid w:val="2A504EBC"/>
    <w:rsid w:val="2A6F0BE2"/>
    <w:rsid w:val="2ABD4C84"/>
    <w:rsid w:val="2AC77010"/>
    <w:rsid w:val="2AC82F05"/>
    <w:rsid w:val="2ACD5DC2"/>
    <w:rsid w:val="2AD43590"/>
    <w:rsid w:val="2ADA1C68"/>
    <w:rsid w:val="2ADB2A24"/>
    <w:rsid w:val="2AE41470"/>
    <w:rsid w:val="2AED28A3"/>
    <w:rsid w:val="2AF6306C"/>
    <w:rsid w:val="2AFD1F49"/>
    <w:rsid w:val="2B050EB5"/>
    <w:rsid w:val="2B21615F"/>
    <w:rsid w:val="2B242C3C"/>
    <w:rsid w:val="2B33613E"/>
    <w:rsid w:val="2B3F5197"/>
    <w:rsid w:val="2B7A20C8"/>
    <w:rsid w:val="2B844058"/>
    <w:rsid w:val="2B9B5042"/>
    <w:rsid w:val="2BB1742D"/>
    <w:rsid w:val="2BD92684"/>
    <w:rsid w:val="2BD96984"/>
    <w:rsid w:val="2BE303D8"/>
    <w:rsid w:val="2BE772F2"/>
    <w:rsid w:val="2C0316F8"/>
    <w:rsid w:val="2C0B2FE1"/>
    <w:rsid w:val="2C2440A3"/>
    <w:rsid w:val="2C3900EC"/>
    <w:rsid w:val="2C3F712F"/>
    <w:rsid w:val="2C4C0810"/>
    <w:rsid w:val="2C6D1515"/>
    <w:rsid w:val="2C746CD2"/>
    <w:rsid w:val="2C7F1816"/>
    <w:rsid w:val="2C8025B9"/>
    <w:rsid w:val="2C8B5ED0"/>
    <w:rsid w:val="2C8D0668"/>
    <w:rsid w:val="2C90284F"/>
    <w:rsid w:val="2C917FEB"/>
    <w:rsid w:val="2CA25724"/>
    <w:rsid w:val="2CAD4098"/>
    <w:rsid w:val="2CB35427"/>
    <w:rsid w:val="2CBF1C01"/>
    <w:rsid w:val="2CCD1E63"/>
    <w:rsid w:val="2CE657FC"/>
    <w:rsid w:val="2D20614D"/>
    <w:rsid w:val="2D460049"/>
    <w:rsid w:val="2D467984"/>
    <w:rsid w:val="2D4A7B39"/>
    <w:rsid w:val="2D4C4D2E"/>
    <w:rsid w:val="2D510654"/>
    <w:rsid w:val="2D635F72"/>
    <w:rsid w:val="2D654973"/>
    <w:rsid w:val="2D782EE2"/>
    <w:rsid w:val="2D850B71"/>
    <w:rsid w:val="2D860D50"/>
    <w:rsid w:val="2D872B3B"/>
    <w:rsid w:val="2DB456E0"/>
    <w:rsid w:val="2DB7491F"/>
    <w:rsid w:val="2DC84F02"/>
    <w:rsid w:val="2DE01AD5"/>
    <w:rsid w:val="2DEB5E7E"/>
    <w:rsid w:val="2DF7019E"/>
    <w:rsid w:val="2E00469C"/>
    <w:rsid w:val="2E0B2A2D"/>
    <w:rsid w:val="2E1462E6"/>
    <w:rsid w:val="2E2808AD"/>
    <w:rsid w:val="2E29629D"/>
    <w:rsid w:val="2E2C36E3"/>
    <w:rsid w:val="2E3569FF"/>
    <w:rsid w:val="2E505623"/>
    <w:rsid w:val="2E5A3DAC"/>
    <w:rsid w:val="2E662F7C"/>
    <w:rsid w:val="2E894691"/>
    <w:rsid w:val="2E9279E9"/>
    <w:rsid w:val="2EBE0773"/>
    <w:rsid w:val="2EED492D"/>
    <w:rsid w:val="2EF81B7B"/>
    <w:rsid w:val="2F057348"/>
    <w:rsid w:val="2F0B6589"/>
    <w:rsid w:val="2F1877C3"/>
    <w:rsid w:val="2F1D760E"/>
    <w:rsid w:val="2F1E7051"/>
    <w:rsid w:val="2F210D6D"/>
    <w:rsid w:val="2F233F8F"/>
    <w:rsid w:val="2F2A4104"/>
    <w:rsid w:val="2F2A7C22"/>
    <w:rsid w:val="2F326AD7"/>
    <w:rsid w:val="2F364819"/>
    <w:rsid w:val="2F4341ED"/>
    <w:rsid w:val="2F4405B8"/>
    <w:rsid w:val="2F6963F3"/>
    <w:rsid w:val="2F6D5D61"/>
    <w:rsid w:val="2F7B222C"/>
    <w:rsid w:val="2F8C1E45"/>
    <w:rsid w:val="2F915CE5"/>
    <w:rsid w:val="2F9652B7"/>
    <w:rsid w:val="2F9B28CE"/>
    <w:rsid w:val="2FA63021"/>
    <w:rsid w:val="2FB219C5"/>
    <w:rsid w:val="2FE42A5E"/>
    <w:rsid w:val="2FE93BCB"/>
    <w:rsid w:val="30386CEE"/>
    <w:rsid w:val="30392AE1"/>
    <w:rsid w:val="303C3A3A"/>
    <w:rsid w:val="303E3C11"/>
    <w:rsid w:val="304765B2"/>
    <w:rsid w:val="30607673"/>
    <w:rsid w:val="30633FB6"/>
    <w:rsid w:val="306925E3"/>
    <w:rsid w:val="307B1978"/>
    <w:rsid w:val="308005E8"/>
    <w:rsid w:val="308B2E2C"/>
    <w:rsid w:val="30AD0B0B"/>
    <w:rsid w:val="30AE6631"/>
    <w:rsid w:val="30B14741"/>
    <w:rsid w:val="30BF3057"/>
    <w:rsid w:val="30CB0F91"/>
    <w:rsid w:val="30D74727"/>
    <w:rsid w:val="30E64311"/>
    <w:rsid w:val="30E80B48"/>
    <w:rsid w:val="30F8425E"/>
    <w:rsid w:val="30FB789A"/>
    <w:rsid w:val="3106646D"/>
    <w:rsid w:val="31084FE7"/>
    <w:rsid w:val="31104BF6"/>
    <w:rsid w:val="311F6719"/>
    <w:rsid w:val="31232B7B"/>
    <w:rsid w:val="31277A7C"/>
    <w:rsid w:val="312B5ED3"/>
    <w:rsid w:val="313B4368"/>
    <w:rsid w:val="314514E6"/>
    <w:rsid w:val="31540F86"/>
    <w:rsid w:val="31576CC8"/>
    <w:rsid w:val="31661C67"/>
    <w:rsid w:val="31696DE6"/>
    <w:rsid w:val="317540B6"/>
    <w:rsid w:val="31773D8F"/>
    <w:rsid w:val="317F1D7B"/>
    <w:rsid w:val="31903F88"/>
    <w:rsid w:val="319A0963"/>
    <w:rsid w:val="31A57A34"/>
    <w:rsid w:val="31B0547C"/>
    <w:rsid w:val="31B25CAD"/>
    <w:rsid w:val="31B77767"/>
    <w:rsid w:val="31B9528D"/>
    <w:rsid w:val="31C06A7C"/>
    <w:rsid w:val="31E00A6C"/>
    <w:rsid w:val="31EC5663"/>
    <w:rsid w:val="31F47DEC"/>
    <w:rsid w:val="320D646B"/>
    <w:rsid w:val="321921D0"/>
    <w:rsid w:val="322D14B7"/>
    <w:rsid w:val="32385C4C"/>
    <w:rsid w:val="32737B32"/>
    <w:rsid w:val="327644AD"/>
    <w:rsid w:val="32BA12BD"/>
    <w:rsid w:val="32BE5531"/>
    <w:rsid w:val="32C959A4"/>
    <w:rsid w:val="32D63769"/>
    <w:rsid w:val="32E60304"/>
    <w:rsid w:val="331B1403"/>
    <w:rsid w:val="3321133C"/>
    <w:rsid w:val="333A5F72"/>
    <w:rsid w:val="33410490"/>
    <w:rsid w:val="334F2EE3"/>
    <w:rsid w:val="33522CBE"/>
    <w:rsid w:val="335A484E"/>
    <w:rsid w:val="336B153C"/>
    <w:rsid w:val="338027AA"/>
    <w:rsid w:val="338B2C59"/>
    <w:rsid w:val="339D650E"/>
    <w:rsid w:val="33A919B7"/>
    <w:rsid w:val="33BD3FDB"/>
    <w:rsid w:val="33C90654"/>
    <w:rsid w:val="33CF0D98"/>
    <w:rsid w:val="33D64339"/>
    <w:rsid w:val="33D70C31"/>
    <w:rsid w:val="33DE722D"/>
    <w:rsid w:val="33F06C80"/>
    <w:rsid w:val="3421695E"/>
    <w:rsid w:val="342854F1"/>
    <w:rsid w:val="343A7B15"/>
    <w:rsid w:val="345C1524"/>
    <w:rsid w:val="346076B1"/>
    <w:rsid w:val="346239BA"/>
    <w:rsid w:val="34781430"/>
    <w:rsid w:val="3491604D"/>
    <w:rsid w:val="34E42621"/>
    <w:rsid w:val="34FE03F1"/>
    <w:rsid w:val="350A598E"/>
    <w:rsid w:val="3516790C"/>
    <w:rsid w:val="351C1540"/>
    <w:rsid w:val="352275ED"/>
    <w:rsid w:val="35281F14"/>
    <w:rsid w:val="352D00FD"/>
    <w:rsid w:val="352E65A7"/>
    <w:rsid w:val="353103B5"/>
    <w:rsid w:val="35357D5C"/>
    <w:rsid w:val="356B689E"/>
    <w:rsid w:val="356D6ABA"/>
    <w:rsid w:val="35703601"/>
    <w:rsid w:val="3577602D"/>
    <w:rsid w:val="358E07DF"/>
    <w:rsid w:val="359A6C78"/>
    <w:rsid w:val="359C2EFC"/>
    <w:rsid w:val="35C41CC4"/>
    <w:rsid w:val="35E30F15"/>
    <w:rsid w:val="35E5402F"/>
    <w:rsid w:val="35ED2F28"/>
    <w:rsid w:val="35F03248"/>
    <w:rsid w:val="35FB2318"/>
    <w:rsid w:val="36005E25"/>
    <w:rsid w:val="36175839"/>
    <w:rsid w:val="361A779D"/>
    <w:rsid w:val="36360D76"/>
    <w:rsid w:val="367125DA"/>
    <w:rsid w:val="367C6504"/>
    <w:rsid w:val="368045CB"/>
    <w:rsid w:val="368340BC"/>
    <w:rsid w:val="36883480"/>
    <w:rsid w:val="368D6CE8"/>
    <w:rsid w:val="36A53A43"/>
    <w:rsid w:val="36D63530"/>
    <w:rsid w:val="36D71862"/>
    <w:rsid w:val="36DD1A1E"/>
    <w:rsid w:val="36E508D2"/>
    <w:rsid w:val="36E737C1"/>
    <w:rsid w:val="36EF7DCC"/>
    <w:rsid w:val="37073E5D"/>
    <w:rsid w:val="370945C1"/>
    <w:rsid w:val="37152F66"/>
    <w:rsid w:val="371F5B92"/>
    <w:rsid w:val="37476E97"/>
    <w:rsid w:val="376F3C99"/>
    <w:rsid w:val="37733D9D"/>
    <w:rsid w:val="377C7D3E"/>
    <w:rsid w:val="37854A3D"/>
    <w:rsid w:val="378B147A"/>
    <w:rsid w:val="378D51F2"/>
    <w:rsid w:val="3791194C"/>
    <w:rsid w:val="37982E15"/>
    <w:rsid w:val="37B7401D"/>
    <w:rsid w:val="37D174C2"/>
    <w:rsid w:val="37DD6D4B"/>
    <w:rsid w:val="38455F5C"/>
    <w:rsid w:val="38507FCD"/>
    <w:rsid w:val="386F66A6"/>
    <w:rsid w:val="388044C8"/>
    <w:rsid w:val="38887F4A"/>
    <w:rsid w:val="389B56ED"/>
    <w:rsid w:val="38AD5420"/>
    <w:rsid w:val="38AF3297"/>
    <w:rsid w:val="38B14F10"/>
    <w:rsid w:val="38B63734"/>
    <w:rsid w:val="38D9069A"/>
    <w:rsid w:val="38E91E85"/>
    <w:rsid w:val="38FA6AC4"/>
    <w:rsid w:val="390A4620"/>
    <w:rsid w:val="390F1C37"/>
    <w:rsid w:val="392312EC"/>
    <w:rsid w:val="392456E2"/>
    <w:rsid w:val="392A6CB3"/>
    <w:rsid w:val="39455658"/>
    <w:rsid w:val="3946634B"/>
    <w:rsid w:val="39477622"/>
    <w:rsid w:val="39571656"/>
    <w:rsid w:val="395F66B7"/>
    <w:rsid w:val="397911A2"/>
    <w:rsid w:val="397A79F8"/>
    <w:rsid w:val="397C586A"/>
    <w:rsid w:val="398B4221"/>
    <w:rsid w:val="398E6FFF"/>
    <w:rsid w:val="398F6ADC"/>
    <w:rsid w:val="39B5458C"/>
    <w:rsid w:val="39C92027"/>
    <w:rsid w:val="39CC5B6C"/>
    <w:rsid w:val="39D223A3"/>
    <w:rsid w:val="39D8471E"/>
    <w:rsid w:val="3A1A4D37"/>
    <w:rsid w:val="3A3556CD"/>
    <w:rsid w:val="3A361B71"/>
    <w:rsid w:val="3A410516"/>
    <w:rsid w:val="3A5257CB"/>
    <w:rsid w:val="3A60406F"/>
    <w:rsid w:val="3A614E02"/>
    <w:rsid w:val="3A6F662C"/>
    <w:rsid w:val="3A751F6D"/>
    <w:rsid w:val="3A962949"/>
    <w:rsid w:val="3A964CA2"/>
    <w:rsid w:val="3AA91F1E"/>
    <w:rsid w:val="3AB22765"/>
    <w:rsid w:val="3AB42BE8"/>
    <w:rsid w:val="3AC23405"/>
    <w:rsid w:val="3ADD708C"/>
    <w:rsid w:val="3AE74B3F"/>
    <w:rsid w:val="3AF96667"/>
    <w:rsid w:val="3AFE1F54"/>
    <w:rsid w:val="3B293484"/>
    <w:rsid w:val="3B3050E7"/>
    <w:rsid w:val="3B3B31B7"/>
    <w:rsid w:val="3B3E2416"/>
    <w:rsid w:val="3B562D1F"/>
    <w:rsid w:val="3B626996"/>
    <w:rsid w:val="3B662E8D"/>
    <w:rsid w:val="3B677B08"/>
    <w:rsid w:val="3B7B1805"/>
    <w:rsid w:val="3B836161"/>
    <w:rsid w:val="3B903503"/>
    <w:rsid w:val="3B9350CC"/>
    <w:rsid w:val="3B944C7B"/>
    <w:rsid w:val="3BA34BB8"/>
    <w:rsid w:val="3BBB1CFC"/>
    <w:rsid w:val="3BC211E2"/>
    <w:rsid w:val="3BD258C9"/>
    <w:rsid w:val="3BD66A3C"/>
    <w:rsid w:val="3BF0061C"/>
    <w:rsid w:val="3BF07AFD"/>
    <w:rsid w:val="3BF47EEA"/>
    <w:rsid w:val="3C070A0C"/>
    <w:rsid w:val="3C123F18"/>
    <w:rsid w:val="3C204CE4"/>
    <w:rsid w:val="3C360C30"/>
    <w:rsid w:val="3C504606"/>
    <w:rsid w:val="3C67757D"/>
    <w:rsid w:val="3C6D114E"/>
    <w:rsid w:val="3C703231"/>
    <w:rsid w:val="3C706E90"/>
    <w:rsid w:val="3C7303B6"/>
    <w:rsid w:val="3C925059"/>
    <w:rsid w:val="3C973E85"/>
    <w:rsid w:val="3CC03974"/>
    <w:rsid w:val="3CCD42E3"/>
    <w:rsid w:val="3CDF34FD"/>
    <w:rsid w:val="3CE07C0C"/>
    <w:rsid w:val="3CE42D09"/>
    <w:rsid w:val="3D1B7BB4"/>
    <w:rsid w:val="3D221248"/>
    <w:rsid w:val="3D247EB6"/>
    <w:rsid w:val="3D2757A1"/>
    <w:rsid w:val="3D2A2466"/>
    <w:rsid w:val="3D2A2A7A"/>
    <w:rsid w:val="3D3A5324"/>
    <w:rsid w:val="3D453E79"/>
    <w:rsid w:val="3D580050"/>
    <w:rsid w:val="3D622C7D"/>
    <w:rsid w:val="3D681163"/>
    <w:rsid w:val="3D6D13E7"/>
    <w:rsid w:val="3D746265"/>
    <w:rsid w:val="3D7E4DD5"/>
    <w:rsid w:val="3D8052FA"/>
    <w:rsid w:val="3D89645B"/>
    <w:rsid w:val="3D913F37"/>
    <w:rsid w:val="3DA45043"/>
    <w:rsid w:val="3DA60130"/>
    <w:rsid w:val="3DA96C47"/>
    <w:rsid w:val="3DAE1A1E"/>
    <w:rsid w:val="3DB650F7"/>
    <w:rsid w:val="3DB902F9"/>
    <w:rsid w:val="3DC12D0A"/>
    <w:rsid w:val="3DCE273D"/>
    <w:rsid w:val="3DD1395F"/>
    <w:rsid w:val="3DD206B3"/>
    <w:rsid w:val="3DDA0D9B"/>
    <w:rsid w:val="3DE23DBE"/>
    <w:rsid w:val="3DE3300C"/>
    <w:rsid w:val="3DE47EA4"/>
    <w:rsid w:val="3DE72FBB"/>
    <w:rsid w:val="3DFE0BF8"/>
    <w:rsid w:val="3E047890"/>
    <w:rsid w:val="3E19462D"/>
    <w:rsid w:val="3E1A5306"/>
    <w:rsid w:val="3E300685"/>
    <w:rsid w:val="3E3363B2"/>
    <w:rsid w:val="3E377C66"/>
    <w:rsid w:val="3E3839DE"/>
    <w:rsid w:val="3E392B8C"/>
    <w:rsid w:val="3E3F2FBE"/>
    <w:rsid w:val="3E4D44D0"/>
    <w:rsid w:val="3E4D7489"/>
    <w:rsid w:val="3E594080"/>
    <w:rsid w:val="3E5A1C22"/>
    <w:rsid w:val="3E66679D"/>
    <w:rsid w:val="3E725142"/>
    <w:rsid w:val="3E7762B4"/>
    <w:rsid w:val="3E872164"/>
    <w:rsid w:val="3E8D5054"/>
    <w:rsid w:val="3EA51073"/>
    <w:rsid w:val="3EAB06D9"/>
    <w:rsid w:val="3EAF36D6"/>
    <w:rsid w:val="3EC13ECC"/>
    <w:rsid w:val="3ECA13E6"/>
    <w:rsid w:val="3ED100BA"/>
    <w:rsid w:val="3EDD7905"/>
    <w:rsid w:val="3EE2728E"/>
    <w:rsid w:val="3EE75167"/>
    <w:rsid w:val="3EEA7E40"/>
    <w:rsid w:val="3EF03352"/>
    <w:rsid w:val="3EF06066"/>
    <w:rsid w:val="3EFF6076"/>
    <w:rsid w:val="3F293E78"/>
    <w:rsid w:val="3F2B709E"/>
    <w:rsid w:val="3F442BD3"/>
    <w:rsid w:val="3F536D21"/>
    <w:rsid w:val="3F7153F9"/>
    <w:rsid w:val="3F966C0E"/>
    <w:rsid w:val="3FBA0B4E"/>
    <w:rsid w:val="3FCC758E"/>
    <w:rsid w:val="3FE756BB"/>
    <w:rsid w:val="3FEE07F8"/>
    <w:rsid w:val="400242A3"/>
    <w:rsid w:val="40155D85"/>
    <w:rsid w:val="401F30A7"/>
    <w:rsid w:val="402204A1"/>
    <w:rsid w:val="402314DF"/>
    <w:rsid w:val="402B55A8"/>
    <w:rsid w:val="403E05DE"/>
    <w:rsid w:val="40731583"/>
    <w:rsid w:val="408777C7"/>
    <w:rsid w:val="408A2349"/>
    <w:rsid w:val="408B4A90"/>
    <w:rsid w:val="4095494B"/>
    <w:rsid w:val="40955A55"/>
    <w:rsid w:val="40B161DA"/>
    <w:rsid w:val="40C17FB8"/>
    <w:rsid w:val="40C652D1"/>
    <w:rsid w:val="40D31654"/>
    <w:rsid w:val="40DD6733"/>
    <w:rsid w:val="40E65973"/>
    <w:rsid w:val="40FB141E"/>
    <w:rsid w:val="410864E6"/>
    <w:rsid w:val="411F33AB"/>
    <w:rsid w:val="41221636"/>
    <w:rsid w:val="412E745D"/>
    <w:rsid w:val="413E03EA"/>
    <w:rsid w:val="413E52D5"/>
    <w:rsid w:val="4148218A"/>
    <w:rsid w:val="41615EF2"/>
    <w:rsid w:val="41754E70"/>
    <w:rsid w:val="4185518C"/>
    <w:rsid w:val="41967135"/>
    <w:rsid w:val="41967399"/>
    <w:rsid w:val="41FF5B9E"/>
    <w:rsid w:val="42044303"/>
    <w:rsid w:val="421459BA"/>
    <w:rsid w:val="421A1D78"/>
    <w:rsid w:val="421D3C7F"/>
    <w:rsid w:val="421F15E9"/>
    <w:rsid w:val="422C3859"/>
    <w:rsid w:val="423261F5"/>
    <w:rsid w:val="424557E2"/>
    <w:rsid w:val="42501C36"/>
    <w:rsid w:val="4253528A"/>
    <w:rsid w:val="426D00FA"/>
    <w:rsid w:val="426E5C20"/>
    <w:rsid w:val="427A45C5"/>
    <w:rsid w:val="427D7230"/>
    <w:rsid w:val="4282060E"/>
    <w:rsid w:val="42A930FC"/>
    <w:rsid w:val="42A94F05"/>
    <w:rsid w:val="42AC4E55"/>
    <w:rsid w:val="42B20202"/>
    <w:rsid w:val="42B45D29"/>
    <w:rsid w:val="42B51AA1"/>
    <w:rsid w:val="42B555FD"/>
    <w:rsid w:val="42C817D4"/>
    <w:rsid w:val="42E44134"/>
    <w:rsid w:val="42F06799"/>
    <w:rsid w:val="42F62B8D"/>
    <w:rsid w:val="43076410"/>
    <w:rsid w:val="431F26F5"/>
    <w:rsid w:val="43326C4D"/>
    <w:rsid w:val="433F7092"/>
    <w:rsid w:val="435117C9"/>
    <w:rsid w:val="436A2D9C"/>
    <w:rsid w:val="43705C94"/>
    <w:rsid w:val="438973FF"/>
    <w:rsid w:val="439E2535"/>
    <w:rsid w:val="43A01432"/>
    <w:rsid w:val="43C0001A"/>
    <w:rsid w:val="43C7383A"/>
    <w:rsid w:val="43CC70A2"/>
    <w:rsid w:val="43DE2536"/>
    <w:rsid w:val="43E45CC8"/>
    <w:rsid w:val="43FC0E39"/>
    <w:rsid w:val="4413082D"/>
    <w:rsid w:val="441319D4"/>
    <w:rsid w:val="4415656C"/>
    <w:rsid w:val="44224F14"/>
    <w:rsid w:val="44225E77"/>
    <w:rsid w:val="444E3F5B"/>
    <w:rsid w:val="445664F6"/>
    <w:rsid w:val="445F2223"/>
    <w:rsid w:val="44631CF6"/>
    <w:rsid w:val="447163C6"/>
    <w:rsid w:val="448D6155"/>
    <w:rsid w:val="44A71814"/>
    <w:rsid w:val="44C45FCB"/>
    <w:rsid w:val="44E2127A"/>
    <w:rsid w:val="44E73A68"/>
    <w:rsid w:val="44ED72D0"/>
    <w:rsid w:val="45052148"/>
    <w:rsid w:val="45156827"/>
    <w:rsid w:val="45346C86"/>
    <w:rsid w:val="45476FB4"/>
    <w:rsid w:val="454964D0"/>
    <w:rsid w:val="455C289D"/>
    <w:rsid w:val="455D3805"/>
    <w:rsid w:val="456407BD"/>
    <w:rsid w:val="456D3FD7"/>
    <w:rsid w:val="4575200B"/>
    <w:rsid w:val="457C15B1"/>
    <w:rsid w:val="45980E5A"/>
    <w:rsid w:val="45985910"/>
    <w:rsid w:val="459A3456"/>
    <w:rsid w:val="45A3635E"/>
    <w:rsid w:val="45A4474F"/>
    <w:rsid w:val="45B0457A"/>
    <w:rsid w:val="45B56E0F"/>
    <w:rsid w:val="45D55ACF"/>
    <w:rsid w:val="45E16709"/>
    <w:rsid w:val="45E85CE9"/>
    <w:rsid w:val="45EA22DA"/>
    <w:rsid w:val="460F188E"/>
    <w:rsid w:val="460F4CD4"/>
    <w:rsid w:val="460F719A"/>
    <w:rsid w:val="4642571E"/>
    <w:rsid w:val="46575537"/>
    <w:rsid w:val="4662784A"/>
    <w:rsid w:val="467A4169"/>
    <w:rsid w:val="467F664E"/>
    <w:rsid w:val="46885E2A"/>
    <w:rsid w:val="469A321D"/>
    <w:rsid w:val="469D0B34"/>
    <w:rsid w:val="46A16778"/>
    <w:rsid w:val="46A77189"/>
    <w:rsid w:val="46B876F6"/>
    <w:rsid w:val="46DA7593"/>
    <w:rsid w:val="46DA7D28"/>
    <w:rsid w:val="46F04E55"/>
    <w:rsid w:val="46F231F5"/>
    <w:rsid w:val="46F5759C"/>
    <w:rsid w:val="46FB0675"/>
    <w:rsid w:val="4709049F"/>
    <w:rsid w:val="470E352E"/>
    <w:rsid w:val="4712006D"/>
    <w:rsid w:val="47121221"/>
    <w:rsid w:val="475B7130"/>
    <w:rsid w:val="477350ED"/>
    <w:rsid w:val="478F3863"/>
    <w:rsid w:val="47956B7E"/>
    <w:rsid w:val="479E0D55"/>
    <w:rsid w:val="47B93D6C"/>
    <w:rsid w:val="47BD53BF"/>
    <w:rsid w:val="47C6205A"/>
    <w:rsid w:val="47CF14F8"/>
    <w:rsid w:val="47E720A1"/>
    <w:rsid w:val="47F07B7C"/>
    <w:rsid w:val="480A4FB6"/>
    <w:rsid w:val="480C5CBF"/>
    <w:rsid w:val="48272AF9"/>
    <w:rsid w:val="48367BDF"/>
    <w:rsid w:val="483D056E"/>
    <w:rsid w:val="48421D06"/>
    <w:rsid w:val="484511D1"/>
    <w:rsid w:val="48513325"/>
    <w:rsid w:val="48595D98"/>
    <w:rsid w:val="48653621"/>
    <w:rsid w:val="486755EB"/>
    <w:rsid w:val="48693111"/>
    <w:rsid w:val="4880045B"/>
    <w:rsid w:val="48914416"/>
    <w:rsid w:val="48934632"/>
    <w:rsid w:val="48981C49"/>
    <w:rsid w:val="489906A4"/>
    <w:rsid w:val="489D100D"/>
    <w:rsid w:val="48A028AB"/>
    <w:rsid w:val="48A92A8E"/>
    <w:rsid w:val="48CC1253"/>
    <w:rsid w:val="48DC6E7C"/>
    <w:rsid w:val="48EF7986"/>
    <w:rsid w:val="48F86A8E"/>
    <w:rsid w:val="491A265E"/>
    <w:rsid w:val="491C1505"/>
    <w:rsid w:val="49296771"/>
    <w:rsid w:val="494574C2"/>
    <w:rsid w:val="49484DFB"/>
    <w:rsid w:val="49492F43"/>
    <w:rsid w:val="495851E9"/>
    <w:rsid w:val="495C366D"/>
    <w:rsid w:val="496B110B"/>
    <w:rsid w:val="49725FF6"/>
    <w:rsid w:val="49884C3C"/>
    <w:rsid w:val="498A3B1A"/>
    <w:rsid w:val="499750CB"/>
    <w:rsid w:val="49A40179"/>
    <w:rsid w:val="49A53F24"/>
    <w:rsid w:val="49A563CB"/>
    <w:rsid w:val="49A66458"/>
    <w:rsid w:val="49B43FA2"/>
    <w:rsid w:val="49C87F6A"/>
    <w:rsid w:val="49CF70FC"/>
    <w:rsid w:val="49E0425C"/>
    <w:rsid w:val="49F25388"/>
    <w:rsid w:val="4A0749B4"/>
    <w:rsid w:val="4A0C3D14"/>
    <w:rsid w:val="4A25750C"/>
    <w:rsid w:val="4A4E5201"/>
    <w:rsid w:val="4A586007"/>
    <w:rsid w:val="4A5B7951"/>
    <w:rsid w:val="4A6D5B23"/>
    <w:rsid w:val="4A7F03FF"/>
    <w:rsid w:val="4A821EC1"/>
    <w:rsid w:val="4A8752E4"/>
    <w:rsid w:val="4A895CED"/>
    <w:rsid w:val="4AA519D5"/>
    <w:rsid w:val="4ABD14F2"/>
    <w:rsid w:val="4ACE3700"/>
    <w:rsid w:val="4ACE54AE"/>
    <w:rsid w:val="4AE65179"/>
    <w:rsid w:val="4B101F6A"/>
    <w:rsid w:val="4B211082"/>
    <w:rsid w:val="4B337C55"/>
    <w:rsid w:val="4B3F0E3A"/>
    <w:rsid w:val="4B541BD0"/>
    <w:rsid w:val="4B6E1382"/>
    <w:rsid w:val="4BA368BA"/>
    <w:rsid w:val="4BA4013E"/>
    <w:rsid w:val="4BB328F5"/>
    <w:rsid w:val="4BB3441A"/>
    <w:rsid w:val="4BC068E7"/>
    <w:rsid w:val="4BD44D46"/>
    <w:rsid w:val="4BFC1B2B"/>
    <w:rsid w:val="4C0F208F"/>
    <w:rsid w:val="4C147838"/>
    <w:rsid w:val="4C1921C6"/>
    <w:rsid w:val="4C2757BD"/>
    <w:rsid w:val="4C5B7215"/>
    <w:rsid w:val="4C687B84"/>
    <w:rsid w:val="4C73047F"/>
    <w:rsid w:val="4C87625C"/>
    <w:rsid w:val="4C934C01"/>
    <w:rsid w:val="4CA87496"/>
    <w:rsid w:val="4CB03C7B"/>
    <w:rsid w:val="4CBA184D"/>
    <w:rsid w:val="4CEF6349"/>
    <w:rsid w:val="4CF3744D"/>
    <w:rsid w:val="4CF62C1F"/>
    <w:rsid w:val="4D0660AD"/>
    <w:rsid w:val="4D080AFB"/>
    <w:rsid w:val="4D0C49B3"/>
    <w:rsid w:val="4D107456"/>
    <w:rsid w:val="4D141AA2"/>
    <w:rsid w:val="4D146BD4"/>
    <w:rsid w:val="4D19055F"/>
    <w:rsid w:val="4D215E60"/>
    <w:rsid w:val="4D2C70ED"/>
    <w:rsid w:val="4D4D597D"/>
    <w:rsid w:val="4D517CDF"/>
    <w:rsid w:val="4D73431C"/>
    <w:rsid w:val="4D7D0FCF"/>
    <w:rsid w:val="4D8B0CF2"/>
    <w:rsid w:val="4D8D4D89"/>
    <w:rsid w:val="4DA370C6"/>
    <w:rsid w:val="4DA62712"/>
    <w:rsid w:val="4DA650F3"/>
    <w:rsid w:val="4DAD0048"/>
    <w:rsid w:val="4DB90697"/>
    <w:rsid w:val="4DBA440F"/>
    <w:rsid w:val="4DDD3A42"/>
    <w:rsid w:val="4DEF786C"/>
    <w:rsid w:val="4DF06083"/>
    <w:rsid w:val="4DFA1CF2"/>
    <w:rsid w:val="4E28581D"/>
    <w:rsid w:val="4E2D4BE1"/>
    <w:rsid w:val="4E313F8D"/>
    <w:rsid w:val="4E3349C9"/>
    <w:rsid w:val="4E392BBD"/>
    <w:rsid w:val="4E5557A3"/>
    <w:rsid w:val="4E810A89"/>
    <w:rsid w:val="4E962786"/>
    <w:rsid w:val="4EA01857"/>
    <w:rsid w:val="4EA37538"/>
    <w:rsid w:val="4EAD187E"/>
    <w:rsid w:val="4EAF489E"/>
    <w:rsid w:val="4EC031C0"/>
    <w:rsid w:val="4EC56BC8"/>
    <w:rsid w:val="4ECF5C98"/>
    <w:rsid w:val="4ED70257"/>
    <w:rsid w:val="4EDE7C89"/>
    <w:rsid w:val="4EEC3CA4"/>
    <w:rsid w:val="4EF10FA1"/>
    <w:rsid w:val="4EF6035F"/>
    <w:rsid w:val="4EFB4CDF"/>
    <w:rsid w:val="4F073EC1"/>
    <w:rsid w:val="4F1B2C8C"/>
    <w:rsid w:val="4F283CB4"/>
    <w:rsid w:val="4F463D78"/>
    <w:rsid w:val="4F560168"/>
    <w:rsid w:val="4F5A7C58"/>
    <w:rsid w:val="4F60078E"/>
    <w:rsid w:val="4F61543D"/>
    <w:rsid w:val="4F683ED9"/>
    <w:rsid w:val="4F6B3C13"/>
    <w:rsid w:val="4F766114"/>
    <w:rsid w:val="4F7C7BCE"/>
    <w:rsid w:val="4F8B77FD"/>
    <w:rsid w:val="4FAD7DD6"/>
    <w:rsid w:val="4FB07878"/>
    <w:rsid w:val="4FBA66E7"/>
    <w:rsid w:val="4FBB2E06"/>
    <w:rsid w:val="4FC6709B"/>
    <w:rsid w:val="4FC878AF"/>
    <w:rsid w:val="4FCA3333"/>
    <w:rsid w:val="4FE34BAE"/>
    <w:rsid w:val="50083210"/>
    <w:rsid w:val="50132406"/>
    <w:rsid w:val="50156D3A"/>
    <w:rsid w:val="50187DFE"/>
    <w:rsid w:val="502D48E2"/>
    <w:rsid w:val="5035272E"/>
    <w:rsid w:val="503A35E5"/>
    <w:rsid w:val="503B080B"/>
    <w:rsid w:val="50574928"/>
    <w:rsid w:val="505D6BAE"/>
    <w:rsid w:val="506105AA"/>
    <w:rsid w:val="506E7A35"/>
    <w:rsid w:val="50722D7F"/>
    <w:rsid w:val="50792EE1"/>
    <w:rsid w:val="509B4084"/>
    <w:rsid w:val="50A70C7B"/>
    <w:rsid w:val="50AE413E"/>
    <w:rsid w:val="50EA13B1"/>
    <w:rsid w:val="50ED48BA"/>
    <w:rsid w:val="50FB2D75"/>
    <w:rsid w:val="50FB4B23"/>
    <w:rsid w:val="51183927"/>
    <w:rsid w:val="51245B25"/>
    <w:rsid w:val="51327CDA"/>
    <w:rsid w:val="51392FC0"/>
    <w:rsid w:val="514209A3"/>
    <w:rsid w:val="5144471C"/>
    <w:rsid w:val="515D27EA"/>
    <w:rsid w:val="51667443"/>
    <w:rsid w:val="516839A1"/>
    <w:rsid w:val="51735AC3"/>
    <w:rsid w:val="51905BB3"/>
    <w:rsid w:val="51984A67"/>
    <w:rsid w:val="5199689F"/>
    <w:rsid w:val="51A76A58"/>
    <w:rsid w:val="51B60E30"/>
    <w:rsid w:val="51B868DE"/>
    <w:rsid w:val="51BA2C30"/>
    <w:rsid w:val="51C0783F"/>
    <w:rsid w:val="51C43C6D"/>
    <w:rsid w:val="51CC4980"/>
    <w:rsid w:val="51D11028"/>
    <w:rsid w:val="51E05D03"/>
    <w:rsid w:val="51ED0175"/>
    <w:rsid w:val="51F31C9E"/>
    <w:rsid w:val="51F36EE5"/>
    <w:rsid w:val="52076208"/>
    <w:rsid w:val="52092C50"/>
    <w:rsid w:val="520B348B"/>
    <w:rsid w:val="520B6D6E"/>
    <w:rsid w:val="520C2D5F"/>
    <w:rsid w:val="521045FE"/>
    <w:rsid w:val="52140592"/>
    <w:rsid w:val="524B1ADA"/>
    <w:rsid w:val="525A4859"/>
    <w:rsid w:val="527659A4"/>
    <w:rsid w:val="52776BC5"/>
    <w:rsid w:val="52A15B9E"/>
    <w:rsid w:val="52AB2578"/>
    <w:rsid w:val="52B04C41"/>
    <w:rsid w:val="52B17D4C"/>
    <w:rsid w:val="52BA6656"/>
    <w:rsid w:val="52BC29D7"/>
    <w:rsid w:val="52D13A64"/>
    <w:rsid w:val="52D41E8E"/>
    <w:rsid w:val="52E53CDC"/>
    <w:rsid w:val="52FA229A"/>
    <w:rsid w:val="530F0D59"/>
    <w:rsid w:val="530F2B07"/>
    <w:rsid w:val="53146370"/>
    <w:rsid w:val="53281E1B"/>
    <w:rsid w:val="532A5295"/>
    <w:rsid w:val="532F4F57"/>
    <w:rsid w:val="533031C8"/>
    <w:rsid w:val="533D51C1"/>
    <w:rsid w:val="53407856"/>
    <w:rsid w:val="53413EEB"/>
    <w:rsid w:val="53803301"/>
    <w:rsid w:val="5383658F"/>
    <w:rsid w:val="53962AE8"/>
    <w:rsid w:val="539C1D82"/>
    <w:rsid w:val="53E03237"/>
    <w:rsid w:val="53ED0594"/>
    <w:rsid w:val="5407691B"/>
    <w:rsid w:val="54180F40"/>
    <w:rsid w:val="542A3A4D"/>
    <w:rsid w:val="54416A0B"/>
    <w:rsid w:val="547D0024"/>
    <w:rsid w:val="54964D0C"/>
    <w:rsid w:val="54B10C1B"/>
    <w:rsid w:val="54BB57C3"/>
    <w:rsid w:val="54CD2496"/>
    <w:rsid w:val="54CF2063"/>
    <w:rsid w:val="54D3417A"/>
    <w:rsid w:val="54D44008"/>
    <w:rsid w:val="55007EF3"/>
    <w:rsid w:val="55193FF9"/>
    <w:rsid w:val="55264138"/>
    <w:rsid w:val="5540169E"/>
    <w:rsid w:val="554200DF"/>
    <w:rsid w:val="55477AC8"/>
    <w:rsid w:val="55626C0A"/>
    <w:rsid w:val="556709D9"/>
    <w:rsid w:val="55686E01"/>
    <w:rsid w:val="556A671B"/>
    <w:rsid w:val="5583158B"/>
    <w:rsid w:val="558B0F78"/>
    <w:rsid w:val="5596306C"/>
    <w:rsid w:val="55B6370E"/>
    <w:rsid w:val="55B90631"/>
    <w:rsid w:val="55BB6815"/>
    <w:rsid w:val="55C202D6"/>
    <w:rsid w:val="55C3529F"/>
    <w:rsid w:val="55D31AD4"/>
    <w:rsid w:val="55D3606E"/>
    <w:rsid w:val="55D65B5E"/>
    <w:rsid w:val="55DA73FC"/>
    <w:rsid w:val="55FB134A"/>
    <w:rsid w:val="560C626C"/>
    <w:rsid w:val="561418BE"/>
    <w:rsid w:val="561B6B7A"/>
    <w:rsid w:val="564451BE"/>
    <w:rsid w:val="56501C97"/>
    <w:rsid w:val="566A450E"/>
    <w:rsid w:val="567D65F5"/>
    <w:rsid w:val="568850AA"/>
    <w:rsid w:val="56AB4D39"/>
    <w:rsid w:val="56BD287A"/>
    <w:rsid w:val="56BE3AB8"/>
    <w:rsid w:val="56C1236A"/>
    <w:rsid w:val="56D30863"/>
    <w:rsid w:val="56D8324A"/>
    <w:rsid w:val="56D8626A"/>
    <w:rsid w:val="56E02C2D"/>
    <w:rsid w:val="56FE6A8B"/>
    <w:rsid w:val="57144B90"/>
    <w:rsid w:val="573D226B"/>
    <w:rsid w:val="575061EC"/>
    <w:rsid w:val="575925A3"/>
    <w:rsid w:val="575B631B"/>
    <w:rsid w:val="577216B2"/>
    <w:rsid w:val="57737D0E"/>
    <w:rsid w:val="578D66F1"/>
    <w:rsid w:val="57A41AB1"/>
    <w:rsid w:val="57A71560"/>
    <w:rsid w:val="57B41ECF"/>
    <w:rsid w:val="57C91E09"/>
    <w:rsid w:val="57C9767E"/>
    <w:rsid w:val="57CA4F33"/>
    <w:rsid w:val="57E91B79"/>
    <w:rsid w:val="58072F34"/>
    <w:rsid w:val="581110D0"/>
    <w:rsid w:val="58164938"/>
    <w:rsid w:val="581C28A9"/>
    <w:rsid w:val="582836A2"/>
    <w:rsid w:val="583136DE"/>
    <w:rsid w:val="58366D88"/>
    <w:rsid w:val="583848AE"/>
    <w:rsid w:val="5847689F"/>
    <w:rsid w:val="58496326"/>
    <w:rsid w:val="584D5CFC"/>
    <w:rsid w:val="585428CB"/>
    <w:rsid w:val="58651AA8"/>
    <w:rsid w:val="5895585D"/>
    <w:rsid w:val="58AB7726"/>
    <w:rsid w:val="58B723FA"/>
    <w:rsid w:val="58BA3729"/>
    <w:rsid w:val="58EB36CF"/>
    <w:rsid w:val="590A46ED"/>
    <w:rsid w:val="59123351"/>
    <w:rsid w:val="591E3AA4"/>
    <w:rsid w:val="592A1893"/>
    <w:rsid w:val="593339DC"/>
    <w:rsid w:val="594352B9"/>
    <w:rsid w:val="594A2AEB"/>
    <w:rsid w:val="5981135B"/>
    <w:rsid w:val="599A0186"/>
    <w:rsid w:val="59B2243E"/>
    <w:rsid w:val="59B61132"/>
    <w:rsid w:val="59B71866"/>
    <w:rsid w:val="59BD32BD"/>
    <w:rsid w:val="59BF753B"/>
    <w:rsid w:val="59D86349"/>
    <w:rsid w:val="59DF0ECD"/>
    <w:rsid w:val="59F36CDF"/>
    <w:rsid w:val="59F9006D"/>
    <w:rsid w:val="5A184997"/>
    <w:rsid w:val="5A1B185F"/>
    <w:rsid w:val="5A207377"/>
    <w:rsid w:val="5A342E7A"/>
    <w:rsid w:val="5A3966BC"/>
    <w:rsid w:val="5A511C57"/>
    <w:rsid w:val="5A5A257F"/>
    <w:rsid w:val="5A5B1684"/>
    <w:rsid w:val="5A627595"/>
    <w:rsid w:val="5A655CE7"/>
    <w:rsid w:val="5A673229"/>
    <w:rsid w:val="5A753B98"/>
    <w:rsid w:val="5A7C7CC1"/>
    <w:rsid w:val="5A7E03DB"/>
    <w:rsid w:val="5A7F3CF8"/>
    <w:rsid w:val="5A91549E"/>
    <w:rsid w:val="5A987160"/>
    <w:rsid w:val="5AA47CF0"/>
    <w:rsid w:val="5AAF0BA0"/>
    <w:rsid w:val="5AB04BD0"/>
    <w:rsid w:val="5AB27ECF"/>
    <w:rsid w:val="5AB50438"/>
    <w:rsid w:val="5ABA77FD"/>
    <w:rsid w:val="5AED7BD2"/>
    <w:rsid w:val="5AF0321E"/>
    <w:rsid w:val="5AFC1BC3"/>
    <w:rsid w:val="5B0015B8"/>
    <w:rsid w:val="5B195F76"/>
    <w:rsid w:val="5B1A0996"/>
    <w:rsid w:val="5B231846"/>
    <w:rsid w:val="5B3E042E"/>
    <w:rsid w:val="5B426771"/>
    <w:rsid w:val="5B4A4EFD"/>
    <w:rsid w:val="5B557525"/>
    <w:rsid w:val="5B597015"/>
    <w:rsid w:val="5B7F05AD"/>
    <w:rsid w:val="5B8A0A45"/>
    <w:rsid w:val="5B9067AF"/>
    <w:rsid w:val="5B962018"/>
    <w:rsid w:val="5B9A0723"/>
    <w:rsid w:val="5BA1504E"/>
    <w:rsid w:val="5BB46942"/>
    <w:rsid w:val="5BC158E0"/>
    <w:rsid w:val="5BC175DC"/>
    <w:rsid w:val="5BC26006"/>
    <w:rsid w:val="5BD62414"/>
    <w:rsid w:val="5BDC30D6"/>
    <w:rsid w:val="5BDD0396"/>
    <w:rsid w:val="5BF03C12"/>
    <w:rsid w:val="5C0D7B28"/>
    <w:rsid w:val="5C1F3489"/>
    <w:rsid w:val="5C2238AB"/>
    <w:rsid w:val="5C273ACF"/>
    <w:rsid w:val="5C277114"/>
    <w:rsid w:val="5C434682"/>
    <w:rsid w:val="5C436817"/>
    <w:rsid w:val="5C4C26D6"/>
    <w:rsid w:val="5C567533"/>
    <w:rsid w:val="5C6A5252"/>
    <w:rsid w:val="5C82259C"/>
    <w:rsid w:val="5C832F09"/>
    <w:rsid w:val="5C956991"/>
    <w:rsid w:val="5CB70498"/>
    <w:rsid w:val="5CD5346D"/>
    <w:rsid w:val="5CDE7FFF"/>
    <w:rsid w:val="5CE96177"/>
    <w:rsid w:val="5CF52363"/>
    <w:rsid w:val="5CFA0384"/>
    <w:rsid w:val="5CFD0D7E"/>
    <w:rsid w:val="5D0B04AC"/>
    <w:rsid w:val="5D105596"/>
    <w:rsid w:val="5D156F6C"/>
    <w:rsid w:val="5D1A0A26"/>
    <w:rsid w:val="5D2C131F"/>
    <w:rsid w:val="5D361251"/>
    <w:rsid w:val="5D4810F0"/>
    <w:rsid w:val="5D487342"/>
    <w:rsid w:val="5D6121B1"/>
    <w:rsid w:val="5D6973B3"/>
    <w:rsid w:val="5D703388"/>
    <w:rsid w:val="5D782153"/>
    <w:rsid w:val="5D7B3698"/>
    <w:rsid w:val="5D903738"/>
    <w:rsid w:val="5D9500AD"/>
    <w:rsid w:val="5DBA58BF"/>
    <w:rsid w:val="5E000678"/>
    <w:rsid w:val="5E0F60B1"/>
    <w:rsid w:val="5E1611EE"/>
    <w:rsid w:val="5E2002BE"/>
    <w:rsid w:val="5E400893"/>
    <w:rsid w:val="5E483371"/>
    <w:rsid w:val="5E547713"/>
    <w:rsid w:val="5E583AF3"/>
    <w:rsid w:val="5E5A0B0C"/>
    <w:rsid w:val="5E5B30A5"/>
    <w:rsid w:val="5E7E0C7E"/>
    <w:rsid w:val="5ED25A89"/>
    <w:rsid w:val="5ED6097D"/>
    <w:rsid w:val="5EE30DFC"/>
    <w:rsid w:val="5EFB4DE6"/>
    <w:rsid w:val="5F260BF2"/>
    <w:rsid w:val="5F3202A9"/>
    <w:rsid w:val="5F610B8F"/>
    <w:rsid w:val="5F724B4A"/>
    <w:rsid w:val="5FA97E40"/>
    <w:rsid w:val="5FBB029F"/>
    <w:rsid w:val="5FF71EC3"/>
    <w:rsid w:val="601E082E"/>
    <w:rsid w:val="602C1C97"/>
    <w:rsid w:val="602E7999"/>
    <w:rsid w:val="603242D9"/>
    <w:rsid w:val="603F77DE"/>
    <w:rsid w:val="60583379"/>
    <w:rsid w:val="60730326"/>
    <w:rsid w:val="60805044"/>
    <w:rsid w:val="60874625"/>
    <w:rsid w:val="60A876D1"/>
    <w:rsid w:val="60C07B37"/>
    <w:rsid w:val="60C8034A"/>
    <w:rsid w:val="60CF38D6"/>
    <w:rsid w:val="60D176B1"/>
    <w:rsid w:val="60E22F10"/>
    <w:rsid w:val="60EC26DA"/>
    <w:rsid w:val="610E43FE"/>
    <w:rsid w:val="6117523F"/>
    <w:rsid w:val="613A3445"/>
    <w:rsid w:val="61467507"/>
    <w:rsid w:val="6155202D"/>
    <w:rsid w:val="61614E76"/>
    <w:rsid w:val="61646714"/>
    <w:rsid w:val="616C36A8"/>
    <w:rsid w:val="618B5CE5"/>
    <w:rsid w:val="619B1B56"/>
    <w:rsid w:val="61A3613F"/>
    <w:rsid w:val="61BA2D18"/>
    <w:rsid w:val="61D07BA7"/>
    <w:rsid w:val="61ED04B8"/>
    <w:rsid w:val="61EF7FF8"/>
    <w:rsid w:val="620B6B90"/>
    <w:rsid w:val="62145A44"/>
    <w:rsid w:val="621627F9"/>
    <w:rsid w:val="62377926"/>
    <w:rsid w:val="6239194F"/>
    <w:rsid w:val="62456545"/>
    <w:rsid w:val="624D15EF"/>
    <w:rsid w:val="624F4CCE"/>
    <w:rsid w:val="626D15F8"/>
    <w:rsid w:val="627806C9"/>
    <w:rsid w:val="627E10FF"/>
    <w:rsid w:val="6280132C"/>
    <w:rsid w:val="62830E1C"/>
    <w:rsid w:val="62AA63A9"/>
    <w:rsid w:val="62CB03ED"/>
    <w:rsid w:val="62CD2097"/>
    <w:rsid w:val="62D81168"/>
    <w:rsid w:val="62DF41FE"/>
    <w:rsid w:val="62E0001C"/>
    <w:rsid w:val="62E15F94"/>
    <w:rsid w:val="62FC19D5"/>
    <w:rsid w:val="631B2082"/>
    <w:rsid w:val="63215262"/>
    <w:rsid w:val="63424833"/>
    <w:rsid w:val="63471E49"/>
    <w:rsid w:val="634D7A5B"/>
    <w:rsid w:val="63691DC0"/>
    <w:rsid w:val="63717246"/>
    <w:rsid w:val="63770981"/>
    <w:rsid w:val="637B3BB3"/>
    <w:rsid w:val="63950723"/>
    <w:rsid w:val="639B5253"/>
    <w:rsid w:val="639C03E7"/>
    <w:rsid w:val="63AE1EC8"/>
    <w:rsid w:val="63B514A9"/>
    <w:rsid w:val="63BC6393"/>
    <w:rsid w:val="63D86537"/>
    <w:rsid w:val="63DB1BC8"/>
    <w:rsid w:val="63EB0A27"/>
    <w:rsid w:val="63EC7817"/>
    <w:rsid w:val="641734A5"/>
    <w:rsid w:val="64370110"/>
    <w:rsid w:val="643870EE"/>
    <w:rsid w:val="64460353"/>
    <w:rsid w:val="6457285C"/>
    <w:rsid w:val="645C0C75"/>
    <w:rsid w:val="645C1924"/>
    <w:rsid w:val="646507D9"/>
    <w:rsid w:val="64763058"/>
    <w:rsid w:val="648669A1"/>
    <w:rsid w:val="649C61C5"/>
    <w:rsid w:val="64A07A63"/>
    <w:rsid w:val="64A532CB"/>
    <w:rsid w:val="64BA638F"/>
    <w:rsid w:val="64CF6609"/>
    <w:rsid w:val="64D65ECF"/>
    <w:rsid w:val="64D91D97"/>
    <w:rsid w:val="64E81CE8"/>
    <w:rsid w:val="6507060B"/>
    <w:rsid w:val="650C0F95"/>
    <w:rsid w:val="652F4076"/>
    <w:rsid w:val="655748CB"/>
    <w:rsid w:val="65575CDF"/>
    <w:rsid w:val="6558033E"/>
    <w:rsid w:val="655E40F7"/>
    <w:rsid w:val="6565189F"/>
    <w:rsid w:val="65814FCA"/>
    <w:rsid w:val="6586374B"/>
    <w:rsid w:val="65A05C19"/>
    <w:rsid w:val="65A76BCF"/>
    <w:rsid w:val="65B337C6"/>
    <w:rsid w:val="65BA7001"/>
    <w:rsid w:val="65D200F0"/>
    <w:rsid w:val="65DA57CB"/>
    <w:rsid w:val="65DF6F07"/>
    <w:rsid w:val="65E73191"/>
    <w:rsid w:val="65F77B57"/>
    <w:rsid w:val="65F8526B"/>
    <w:rsid w:val="660C63EF"/>
    <w:rsid w:val="661623E1"/>
    <w:rsid w:val="661E3335"/>
    <w:rsid w:val="66393372"/>
    <w:rsid w:val="663E7534"/>
    <w:rsid w:val="664D64C9"/>
    <w:rsid w:val="664F4B66"/>
    <w:rsid w:val="666B22F3"/>
    <w:rsid w:val="667B2536"/>
    <w:rsid w:val="66847AD9"/>
    <w:rsid w:val="669730E8"/>
    <w:rsid w:val="66A355E9"/>
    <w:rsid w:val="66A82BFF"/>
    <w:rsid w:val="66B141AA"/>
    <w:rsid w:val="66B9517A"/>
    <w:rsid w:val="66E300DB"/>
    <w:rsid w:val="66EC51E2"/>
    <w:rsid w:val="66EE2624"/>
    <w:rsid w:val="66FB71D3"/>
    <w:rsid w:val="66FE4F15"/>
    <w:rsid w:val="67053C42"/>
    <w:rsid w:val="671D539B"/>
    <w:rsid w:val="673B3E6E"/>
    <w:rsid w:val="67450299"/>
    <w:rsid w:val="674647FB"/>
    <w:rsid w:val="6747046A"/>
    <w:rsid w:val="67566EED"/>
    <w:rsid w:val="67587117"/>
    <w:rsid w:val="676841BB"/>
    <w:rsid w:val="676C1E7F"/>
    <w:rsid w:val="676C6322"/>
    <w:rsid w:val="677533F8"/>
    <w:rsid w:val="678A3867"/>
    <w:rsid w:val="67902011"/>
    <w:rsid w:val="679C6C08"/>
    <w:rsid w:val="67D143D7"/>
    <w:rsid w:val="67DC5256"/>
    <w:rsid w:val="67EB0C74"/>
    <w:rsid w:val="67FC76A6"/>
    <w:rsid w:val="68064081"/>
    <w:rsid w:val="680B1697"/>
    <w:rsid w:val="68104403"/>
    <w:rsid w:val="6817003C"/>
    <w:rsid w:val="682D2166"/>
    <w:rsid w:val="68325FD6"/>
    <w:rsid w:val="68464B6F"/>
    <w:rsid w:val="685272C6"/>
    <w:rsid w:val="685277E9"/>
    <w:rsid w:val="685C3E7E"/>
    <w:rsid w:val="686139AD"/>
    <w:rsid w:val="68806F6A"/>
    <w:rsid w:val="688558EE"/>
    <w:rsid w:val="6889720B"/>
    <w:rsid w:val="688E138F"/>
    <w:rsid w:val="689C7120"/>
    <w:rsid w:val="689E075E"/>
    <w:rsid w:val="68B04D43"/>
    <w:rsid w:val="68DE09E6"/>
    <w:rsid w:val="68E33E4D"/>
    <w:rsid w:val="69006B8C"/>
    <w:rsid w:val="690246C7"/>
    <w:rsid w:val="69164798"/>
    <w:rsid w:val="693D7F76"/>
    <w:rsid w:val="6958704A"/>
    <w:rsid w:val="69603C65"/>
    <w:rsid w:val="69715E72"/>
    <w:rsid w:val="697512E1"/>
    <w:rsid w:val="69777E58"/>
    <w:rsid w:val="69802285"/>
    <w:rsid w:val="69882513"/>
    <w:rsid w:val="698F23B5"/>
    <w:rsid w:val="699B6A4B"/>
    <w:rsid w:val="69D00DEB"/>
    <w:rsid w:val="69D05E80"/>
    <w:rsid w:val="69DB1CD7"/>
    <w:rsid w:val="69DB4F4A"/>
    <w:rsid w:val="69EC374B"/>
    <w:rsid w:val="69F84472"/>
    <w:rsid w:val="6A0C5B5F"/>
    <w:rsid w:val="6A0E546F"/>
    <w:rsid w:val="6A2A37E1"/>
    <w:rsid w:val="6A2D74CD"/>
    <w:rsid w:val="6A334ED5"/>
    <w:rsid w:val="6A577165"/>
    <w:rsid w:val="6A6E6107"/>
    <w:rsid w:val="6A7A6FA8"/>
    <w:rsid w:val="6A8353C1"/>
    <w:rsid w:val="6A97447B"/>
    <w:rsid w:val="6AC079C0"/>
    <w:rsid w:val="6AD62A1D"/>
    <w:rsid w:val="6AD66867"/>
    <w:rsid w:val="6AD77F57"/>
    <w:rsid w:val="6AD95A7D"/>
    <w:rsid w:val="6AE6019A"/>
    <w:rsid w:val="6AE918FB"/>
    <w:rsid w:val="6B023882"/>
    <w:rsid w:val="6B2018FE"/>
    <w:rsid w:val="6B2A6550"/>
    <w:rsid w:val="6B2F1B41"/>
    <w:rsid w:val="6B383F7F"/>
    <w:rsid w:val="6B3D5B12"/>
    <w:rsid w:val="6B6F19F9"/>
    <w:rsid w:val="6B8503B6"/>
    <w:rsid w:val="6B882FFF"/>
    <w:rsid w:val="6B940A4D"/>
    <w:rsid w:val="6BCC758B"/>
    <w:rsid w:val="6BD14DF9"/>
    <w:rsid w:val="6BEC0EB1"/>
    <w:rsid w:val="6BEC79F6"/>
    <w:rsid w:val="6BF568E6"/>
    <w:rsid w:val="6C2B2308"/>
    <w:rsid w:val="6C403A34"/>
    <w:rsid w:val="6C4E2069"/>
    <w:rsid w:val="6C553829"/>
    <w:rsid w:val="6C582FEB"/>
    <w:rsid w:val="6C6B5A32"/>
    <w:rsid w:val="6C78467D"/>
    <w:rsid w:val="6C7E2323"/>
    <w:rsid w:val="6C920074"/>
    <w:rsid w:val="6C980492"/>
    <w:rsid w:val="6CA52BA4"/>
    <w:rsid w:val="6CD26C28"/>
    <w:rsid w:val="6CE355A2"/>
    <w:rsid w:val="6CEB315D"/>
    <w:rsid w:val="6D132C27"/>
    <w:rsid w:val="6D2D20B0"/>
    <w:rsid w:val="6D2E263B"/>
    <w:rsid w:val="6D5238C5"/>
    <w:rsid w:val="6D584E32"/>
    <w:rsid w:val="6D6C5409"/>
    <w:rsid w:val="6D710E78"/>
    <w:rsid w:val="6D907C75"/>
    <w:rsid w:val="6DA22A9E"/>
    <w:rsid w:val="6DC06053"/>
    <w:rsid w:val="6DDB5FB0"/>
    <w:rsid w:val="6DE07122"/>
    <w:rsid w:val="6DE668B7"/>
    <w:rsid w:val="6DEB4B50"/>
    <w:rsid w:val="6DFF1C9E"/>
    <w:rsid w:val="6E055725"/>
    <w:rsid w:val="6E0E3C8F"/>
    <w:rsid w:val="6E146DCC"/>
    <w:rsid w:val="6E190970"/>
    <w:rsid w:val="6E20147C"/>
    <w:rsid w:val="6E2C779A"/>
    <w:rsid w:val="6E361083"/>
    <w:rsid w:val="6E3C58DC"/>
    <w:rsid w:val="6E4771A1"/>
    <w:rsid w:val="6E6D7481"/>
    <w:rsid w:val="6E6E2980"/>
    <w:rsid w:val="6E7A26CB"/>
    <w:rsid w:val="6E7D2BC3"/>
    <w:rsid w:val="6E8201DA"/>
    <w:rsid w:val="6E860B2E"/>
    <w:rsid w:val="6E873778"/>
    <w:rsid w:val="6E8C40E8"/>
    <w:rsid w:val="6EB4689E"/>
    <w:rsid w:val="6EBD02D4"/>
    <w:rsid w:val="6EE778C4"/>
    <w:rsid w:val="6EEA2A6C"/>
    <w:rsid w:val="6EEE4E11"/>
    <w:rsid w:val="6EFB1A27"/>
    <w:rsid w:val="6F07018C"/>
    <w:rsid w:val="6F094457"/>
    <w:rsid w:val="6F0976E8"/>
    <w:rsid w:val="6F1127FC"/>
    <w:rsid w:val="6F1D06B8"/>
    <w:rsid w:val="6F493D81"/>
    <w:rsid w:val="6F4F7D4D"/>
    <w:rsid w:val="6F5726F4"/>
    <w:rsid w:val="6F674D19"/>
    <w:rsid w:val="6F8A1A3C"/>
    <w:rsid w:val="6FAB7DA4"/>
    <w:rsid w:val="6FBA32F3"/>
    <w:rsid w:val="6FBB39A3"/>
    <w:rsid w:val="6FC82564"/>
    <w:rsid w:val="6FE078AE"/>
    <w:rsid w:val="6FE416D5"/>
    <w:rsid w:val="6FEA24DA"/>
    <w:rsid w:val="6FEF4E8E"/>
    <w:rsid w:val="6FF3138F"/>
    <w:rsid w:val="7007308C"/>
    <w:rsid w:val="700C3455"/>
    <w:rsid w:val="70145200"/>
    <w:rsid w:val="70281320"/>
    <w:rsid w:val="702920DD"/>
    <w:rsid w:val="702F547B"/>
    <w:rsid w:val="70317130"/>
    <w:rsid w:val="704B53D7"/>
    <w:rsid w:val="704D60B2"/>
    <w:rsid w:val="705160B5"/>
    <w:rsid w:val="70700C31"/>
    <w:rsid w:val="707662E3"/>
    <w:rsid w:val="707738E7"/>
    <w:rsid w:val="707921D6"/>
    <w:rsid w:val="709A0BC4"/>
    <w:rsid w:val="709F32C5"/>
    <w:rsid w:val="70B22FEB"/>
    <w:rsid w:val="70B76FC3"/>
    <w:rsid w:val="70CE4B2F"/>
    <w:rsid w:val="70EC6E42"/>
    <w:rsid w:val="70F23754"/>
    <w:rsid w:val="70F640AA"/>
    <w:rsid w:val="712B4B58"/>
    <w:rsid w:val="71435983"/>
    <w:rsid w:val="71440939"/>
    <w:rsid w:val="714A76D4"/>
    <w:rsid w:val="7157594D"/>
    <w:rsid w:val="7164006A"/>
    <w:rsid w:val="71692C8E"/>
    <w:rsid w:val="7169742F"/>
    <w:rsid w:val="71705FC9"/>
    <w:rsid w:val="717414E2"/>
    <w:rsid w:val="71881FAB"/>
    <w:rsid w:val="718F50E7"/>
    <w:rsid w:val="719E532A"/>
    <w:rsid w:val="71A67C85"/>
    <w:rsid w:val="71B95152"/>
    <w:rsid w:val="71BB3875"/>
    <w:rsid w:val="71D21478"/>
    <w:rsid w:val="71DE606F"/>
    <w:rsid w:val="71E13469"/>
    <w:rsid w:val="71EA4F34"/>
    <w:rsid w:val="71EA67C2"/>
    <w:rsid w:val="720A29C0"/>
    <w:rsid w:val="720C3950"/>
    <w:rsid w:val="720D24B0"/>
    <w:rsid w:val="721B3215"/>
    <w:rsid w:val="72404633"/>
    <w:rsid w:val="72437560"/>
    <w:rsid w:val="724B5FFE"/>
    <w:rsid w:val="724C2FD8"/>
    <w:rsid w:val="724F7A1C"/>
    <w:rsid w:val="72591B25"/>
    <w:rsid w:val="72606A84"/>
    <w:rsid w:val="726310A6"/>
    <w:rsid w:val="72A46CC5"/>
    <w:rsid w:val="72DA4A88"/>
    <w:rsid w:val="72F71196"/>
    <w:rsid w:val="73047407"/>
    <w:rsid w:val="730E2034"/>
    <w:rsid w:val="731A2D6E"/>
    <w:rsid w:val="731C3503"/>
    <w:rsid w:val="731E42A7"/>
    <w:rsid w:val="73246ED1"/>
    <w:rsid w:val="73337CF4"/>
    <w:rsid w:val="73376F48"/>
    <w:rsid w:val="734C3B60"/>
    <w:rsid w:val="73504D4A"/>
    <w:rsid w:val="73542882"/>
    <w:rsid w:val="73575892"/>
    <w:rsid w:val="735D1A6D"/>
    <w:rsid w:val="737A5923"/>
    <w:rsid w:val="73840550"/>
    <w:rsid w:val="738812FC"/>
    <w:rsid w:val="738B18DE"/>
    <w:rsid w:val="73A44BA1"/>
    <w:rsid w:val="73AA6208"/>
    <w:rsid w:val="73C7106D"/>
    <w:rsid w:val="73CA6113"/>
    <w:rsid w:val="73D2063E"/>
    <w:rsid w:val="73DB2866"/>
    <w:rsid w:val="73E24586"/>
    <w:rsid w:val="73FB49D5"/>
    <w:rsid w:val="741E68C7"/>
    <w:rsid w:val="7420168D"/>
    <w:rsid w:val="74273EE1"/>
    <w:rsid w:val="742C5964"/>
    <w:rsid w:val="744E128A"/>
    <w:rsid w:val="74583ECB"/>
    <w:rsid w:val="746C5CEA"/>
    <w:rsid w:val="74770C18"/>
    <w:rsid w:val="74784559"/>
    <w:rsid w:val="747D391D"/>
    <w:rsid w:val="748B4AB9"/>
    <w:rsid w:val="749649DF"/>
    <w:rsid w:val="74C24B96"/>
    <w:rsid w:val="74D379E1"/>
    <w:rsid w:val="74ED600F"/>
    <w:rsid w:val="74EE2828"/>
    <w:rsid w:val="74FB4049"/>
    <w:rsid w:val="750F5847"/>
    <w:rsid w:val="75116B45"/>
    <w:rsid w:val="75137DDD"/>
    <w:rsid w:val="75313973"/>
    <w:rsid w:val="75333608"/>
    <w:rsid w:val="753D4E5A"/>
    <w:rsid w:val="754E7067"/>
    <w:rsid w:val="75521C86"/>
    <w:rsid w:val="75556648"/>
    <w:rsid w:val="75616D9B"/>
    <w:rsid w:val="7564041E"/>
    <w:rsid w:val="7589250B"/>
    <w:rsid w:val="75B90985"/>
    <w:rsid w:val="75D21DB7"/>
    <w:rsid w:val="75E6444D"/>
    <w:rsid w:val="75E659CC"/>
    <w:rsid w:val="75E832AF"/>
    <w:rsid w:val="75F419BD"/>
    <w:rsid w:val="75F96FD3"/>
    <w:rsid w:val="76053C67"/>
    <w:rsid w:val="762D1373"/>
    <w:rsid w:val="76443835"/>
    <w:rsid w:val="7657019E"/>
    <w:rsid w:val="765942D0"/>
    <w:rsid w:val="76696DCD"/>
    <w:rsid w:val="76960CC6"/>
    <w:rsid w:val="76A44A17"/>
    <w:rsid w:val="76C81849"/>
    <w:rsid w:val="76CA4E14"/>
    <w:rsid w:val="76E4409A"/>
    <w:rsid w:val="76F11FEB"/>
    <w:rsid w:val="77011DC1"/>
    <w:rsid w:val="770E0FDA"/>
    <w:rsid w:val="773775F3"/>
    <w:rsid w:val="77444D05"/>
    <w:rsid w:val="77530965"/>
    <w:rsid w:val="77555743"/>
    <w:rsid w:val="77580397"/>
    <w:rsid w:val="776618F5"/>
    <w:rsid w:val="777A05E8"/>
    <w:rsid w:val="778D031B"/>
    <w:rsid w:val="77A339AF"/>
    <w:rsid w:val="77AC0E03"/>
    <w:rsid w:val="77C7119B"/>
    <w:rsid w:val="77C80AC5"/>
    <w:rsid w:val="77CB499F"/>
    <w:rsid w:val="77CD0148"/>
    <w:rsid w:val="77CF5A20"/>
    <w:rsid w:val="77EA6925"/>
    <w:rsid w:val="78047A2E"/>
    <w:rsid w:val="780E2ADE"/>
    <w:rsid w:val="7811385C"/>
    <w:rsid w:val="781874CA"/>
    <w:rsid w:val="781B5927"/>
    <w:rsid w:val="781F26CC"/>
    <w:rsid w:val="782A0C8C"/>
    <w:rsid w:val="784D3AFD"/>
    <w:rsid w:val="785B2975"/>
    <w:rsid w:val="785D61C1"/>
    <w:rsid w:val="786A065C"/>
    <w:rsid w:val="78760F2E"/>
    <w:rsid w:val="7894047D"/>
    <w:rsid w:val="78A17E54"/>
    <w:rsid w:val="78BE5D96"/>
    <w:rsid w:val="78CB62BA"/>
    <w:rsid w:val="78CC3EAC"/>
    <w:rsid w:val="78D17C5F"/>
    <w:rsid w:val="79017226"/>
    <w:rsid w:val="790E1E9F"/>
    <w:rsid w:val="791F31F5"/>
    <w:rsid w:val="79254583"/>
    <w:rsid w:val="79294D66"/>
    <w:rsid w:val="79314CD6"/>
    <w:rsid w:val="79450781"/>
    <w:rsid w:val="795B6727"/>
    <w:rsid w:val="795D6AC3"/>
    <w:rsid w:val="798E4D3A"/>
    <w:rsid w:val="79A4194C"/>
    <w:rsid w:val="79A84B20"/>
    <w:rsid w:val="79BC724A"/>
    <w:rsid w:val="79D30393"/>
    <w:rsid w:val="79D815F5"/>
    <w:rsid w:val="79FC3536"/>
    <w:rsid w:val="7A0B15F1"/>
    <w:rsid w:val="7A2B074D"/>
    <w:rsid w:val="7A4D3724"/>
    <w:rsid w:val="7A582B82"/>
    <w:rsid w:val="7A604644"/>
    <w:rsid w:val="7A7B5C69"/>
    <w:rsid w:val="7A7C4677"/>
    <w:rsid w:val="7A8556F5"/>
    <w:rsid w:val="7A923E9A"/>
    <w:rsid w:val="7A9D6AC7"/>
    <w:rsid w:val="7AA96417"/>
    <w:rsid w:val="7AB160CE"/>
    <w:rsid w:val="7AB24893"/>
    <w:rsid w:val="7ACA7190"/>
    <w:rsid w:val="7AD101DE"/>
    <w:rsid w:val="7AD26045"/>
    <w:rsid w:val="7AD737A8"/>
    <w:rsid w:val="7ADB139D"/>
    <w:rsid w:val="7AF32CD8"/>
    <w:rsid w:val="7B1775B2"/>
    <w:rsid w:val="7B3960C4"/>
    <w:rsid w:val="7B3A6448"/>
    <w:rsid w:val="7B524F03"/>
    <w:rsid w:val="7B5F3D7C"/>
    <w:rsid w:val="7B740B29"/>
    <w:rsid w:val="7B780076"/>
    <w:rsid w:val="7B7B716D"/>
    <w:rsid w:val="7B933A26"/>
    <w:rsid w:val="7BA774D1"/>
    <w:rsid w:val="7BAF4F49"/>
    <w:rsid w:val="7BBD0AA3"/>
    <w:rsid w:val="7BC63DFB"/>
    <w:rsid w:val="7BC9569A"/>
    <w:rsid w:val="7BCD518A"/>
    <w:rsid w:val="7BD6699F"/>
    <w:rsid w:val="7BDB5006"/>
    <w:rsid w:val="7BEE6B33"/>
    <w:rsid w:val="7BFA3AA5"/>
    <w:rsid w:val="7C092D5C"/>
    <w:rsid w:val="7C0B2311"/>
    <w:rsid w:val="7C1845E1"/>
    <w:rsid w:val="7C224DAA"/>
    <w:rsid w:val="7C253132"/>
    <w:rsid w:val="7C381F99"/>
    <w:rsid w:val="7C4C6CA4"/>
    <w:rsid w:val="7C706DF3"/>
    <w:rsid w:val="7C716B68"/>
    <w:rsid w:val="7C817D22"/>
    <w:rsid w:val="7C87365F"/>
    <w:rsid w:val="7C920181"/>
    <w:rsid w:val="7C991510"/>
    <w:rsid w:val="7CA0289E"/>
    <w:rsid w:val="7CAD0B17"/>
    <w:rsid w:val="7CB00608"/>
    <w:rsid w:val="7CB17D94"/>
    <w:rsid w:val="7CB43C54"/>
    <w:rsid w:val="7D044D32"/>
    <w:rsid w:val="7D171D18"/>
    <w:rsid w:val="7D180687"/>
    <w:rsid w:val="7D226E2B"/>
    <w:rsid w:val="7D2358FF"/>
    <w:rsid w:val="7D24527D"/>
    <w:rsid w:val="7D3923AB"/>
    <w:rsid w:val="7D3B4375"/>
    <w:rsid w:val="7D6513F2"/>
    <w:rsid w:val="7D800CFB"/>
    <w:rsid w:val="7DD644B9"/>
    <w:rsid w:val="7DDF056A"/>
    <w:rsid w:val="7DEE7639"/>
    <w:rsid w:val="7E035F1C"/>
    <w:rsid w:val="7E0E3838"/>
    <w:rsid w:val="7E0F1FED"/>
    <w:rsid w:val="7E176B90"/>
    <w:rsid w:val="7E1C6BE4"/>
    <w:rsid w:val="7E261C2D"/>
    <w:rsid w:val="7E5A0441"/>
    <w:rsid w:val="7E694F12"/>
    <w:rsid w:val="7E916F06"/>
    <w:rsid w:val="7E927FC5"/>
    <w:rsid w:val="7E9B20A0"/>
    <w:rsid w:val="7E9F23BF"/>
    <w:rsid w:val="7EA06B86"/>
    <w:rsid w:val="7EB02B41"/>
    <w:rsid w:val="7EC16F8B"/>
    <w:rsid w:val="7EC94F61"/>
    <w:rsid w:val="7ECD2214"/>
    <w:rsid w:val="7ED72141"/>
    <w:rsid w:val="7EE822DB"/>
    <w:rsid w:val="7F0E2B74"/>
    <w:rsid w:val="7F25708B"/>
    <w:rsid w:val="7F2D5A80"/>
    <w:rsid w:val="7F3E19DE"/>
    <w:rsid w:val="7F3E632E"/>
    <w:rsid w:val="7F4D1F29"/>
    <w:rsid w:val="7F5A4AD7"/>
    <w:rsid w:val="7F6B19DD"/>
    <w:rsid w:val="7F9B734D"/>
    <w:rsid w:val="7FA36202"/>
    <w:rsid w:val="7FA61459"/>
    <w:rsid w:val="7FBF4F7F"/>
    <w:rsid w:val="7FC22388"/>
    <w:rsid w:val="7FC411AE"/>
    <w:rsid w:val="7FC92566"/>
    <w:rsid w:val="7FD840FD"/>
    <w:rsid w:val="7FE2439A"/>
    <w:rsid w:val="7FFE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425"/>
      </w:tabs>
      <w:spacing w:before="340" w:after="330" w:line="576" w:lineRule="auto"/>
      <w:ind w:left="425" w:hanging="425"/>
      <w:outlineLvl w:val="0"/>
    </w:pPr>
    <w:rPr>
      <w:b/>
      <w:kern w:val="44"/>
      <w:sz w:val="44"/>
      <w:szCs w:val="20"/>
    </w:rPr>
  </w:style>
  <w:style w:type="paragraph" w:styleId="3">
    <w:name w:val="heading 2"/>
    <w:basedOn w:val="1"/>
    <w:next w:val="1"/>
    <w:link w:val="62"/>
    <w:autoRedefine/>
    <w:qFormat/>
    <w:uiPriority w:val="0"/>
    <w:pPr>
      <w:keepNext/>
      <w:keepLines/>
      <w:tabs>
        <w:tab w:val="left" w:pos="567"/>
      </w:tabs>
      <w:spacing w:before="120" w:after="120" w:line="360" w:lineRule="auto"/>
      <w:jc w:val="center"/>
      <w:outlineLvl w:val="1"/>
    </w:pPr>
    <w:rPr>
      <w:rFonts w:ascii="宋体" w:hAnsi="宋体"/>
      <w:b/>
      <w:bCs/>
      <w:szCs w:val="18"/>
    </w:rPr>
  </w:style>
  <w:style w:type="paragraph" w:styleId="4">
    <w:name w:val="heading 3"/>
    <w:basedOn w:val="1"/>
    <w:next w:val="1"/>
    <w:autoRedefine/>
    <w:qFormat/>
    <w:uiPriority w:val="9"/>
    <w:pPr>
      <w:keepNext/>
      <w:keepLines/>
      <w:tabs>
        <w:tab w:val="left" w:pos="709"/>
      </w:tabs>
      <w:spacing w:line="360" w:lineRule="auto"/>
      <w:ind w:firstLine="709"/>
      <w:outlineLvl w:val="2"/>
    </w:pPr>
    <w:rPr>
      <w:b/>
      <w:bCs/>
      <w:szCs w:val="32"/>
    </w:rPr>
  </w:style>
  <w:style w:type="paragraph" w:styleId="5">
    <w:name w:val="heading 4"/>
    <w:basedOn w:val="1"/>
    <w:next w:val="1"/>
    <w:autoRedefine/>
    <w:qFormat/>
    <w:uiPriority w:val="0"/>
    <w:pPr>
      <w:keepNext/>
      <w:keepLines/>
      <w:tabs>
        <w:tab w:val="left" w:pos="851"/>
      </w:tabs>
      <w:spacing w:before="280" w:after="290" w:line="374" w:lineRule="auto"/>
      <w:ind w:left="851" w:hanging="851"/>
      <w:outlineLvl w:val="3"/>
    </w:pPr>
    <w:rPr>
      <w:rFonts w:ascii="Arial" w:hAnsi="Arial" w:eastAsia="黑体"/>
      <w:b/>
      <w:sz w:val="28"/>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宋体" w:hAnsi="Courier New"/>
      <w:szCs w:val="20"/>
    </w:rPr>
  </w:style>
  <w:style w:type="paragraph" w:styleId="7">
    <w:name w:val="annotation text"/>
    <w:basedOn w:val="1"/>
    <w:link w:val="67"/>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autoRedefine/>
    <w:qFormat/>
    <w:uiPriority w:val="0"/>
    <w:pPr>
      <w:widowControl/>
      <w:spacing w:after="120"/>
      <w:jc w:val="left"/>
    </w:pPr>
  </w:style>
  <w:style w:type="paragraph" w:styleId="10">
    <w:name w:val="Body Text Indent"/>
    <w:basedOn w:val="1"/>
    <w:autoRedefine/>
    <w:qFormat/>
    <w:uiPriority w:val="99"/>
    <w:pPr>
      <w:ind w:firstLine="420" w:firstLineChars="200"/>
    </w:pPr>
  </w:style>
  <w:style w:type="paragraph" w:styleId="11">
    <w:name w:val="Block Text"/>
    <w:basedOn w:val="1"/>
    <w:autoRedefine/>
    <w:qFormat/>
    <w:uiPriority w:val="99"/>
    <w:pPr>
      <w:ind w:left="1440" w:leftChars="700" w:right="1440" w:rightChars="700"/>
    </w:pPr>
  </w:style>
  <w:style w:type="paragraph" w:styleId="12">
    <w:name w:val="toc 3"/>
    <w:basedOn w:val="1"/>
    <w:next w:val="1"/>
    <w:autoRedefine/>
    <w:qFormat/>
    <w:uiPriority w:val="39"/>
    <w:pPr>
      <w:ind w:left="420"/>
      <w:jc w:val="left"/>
    </w:pPr>
    <w:rPr>
      <w:rFonts w:ascii="Calibri" w:hAnsi="Calibri"/>
      <w:i/>
      <w:iCs/>
      <w:sz w:val="20"/>
      <w:szCs w:val="20"/>
    </w:rPr>
  </w:style>
  <w:style w:type="paragraph" w:styleId="13">
    <w:name w:val="Plain Text"/>
    <w:basedOn w:val="1"/>
    <w:link w:val="65"/>
    <w:autoRedefine/>
    <w:qFormat/>
    <w:uiPriority w:val="0"/>
    <w:rPr>
      <w:rFonts w:ascii="宋体" w:hAnsi="Courier New" w:eastAsia="华文宋体"/>
      <w:sz w:val="28"/>
    </w:rPr>
  </w:style>
  <w:style w:type="paragraph" w:styleId="14">
    <w:name w:val="Body Text Indent 2"/>
    <w:basedOn w:val="1"/>
    <w:link w:val="64"/>
    <w:autoRedefine/>
    <w:qFormat/>
    <w:uiPriority w:val="0"/>
    <w:pPr>
      <w:spacing w:after="120" w:line="480" w:lineRule="auto"/>
      <w:ind w:left="420" w:leftChars="200"/>
    </w:pPr>
  </w:style>
  <w:style w:type="paragraph" w:styleId="15">
    <w:name w:val="endnote text"/>
    <w:basedOn w:val="1"/>
    <w:semiHidden/>
    <w:qFormat/>
    <w:uiPriority w:val="99"/>
    <w:pPr>
      <w:snapToGrid w:val="0"/>
      <w:jc w:val="left"/>
    </w:pPr>
  </w:style>
  <w:style w:type="paragraph" w:styleId="16">
    <w:name w:val="Balloon Text"/>
    <w:basedOn w:val="1"/>
    <w:link w:val="6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rPr>
      <w:sz w:val="24"/>
    </w:rPr>
  </w:style>
  <w:style w:type="paragraph" w:styleId="20">
    <w:name w:val="toc 4"/>
    <w:basedOn w:val="1"/>
    <w:next w:val="1"/>
    <w:autoRedefine/>
    <w:qFormat/>
    <w:uiPriority w:val="0"/>
    <w:pPr>
      <w:ind w:left="630"/>
      <w:jc w:val="left"/>
    </w:pPr>
    <w:rPr>
      <w:sz w:val="18"/>
      <w:szCs w:val="18"/>
    </w:rPr>
  </w:style>
  <w:style w:type="paragraph" w:styleId="21">
    <w:name w:val="toc 2"/>
    <w:basedOn w:val="1"/>
    <w:next w:val="1"/>
    <w:qFormat/>
    <w:uiPriority w:val="39"/>
    <w:pPr>
      <w:ind w:left="210"/>
      <w:jc w:val="left"/>
    </w:pPr>
    <w:rPr>
      <w:rFonts w:ascii="Calibri" w:hAnsi="Calibri"/>
      <w:smallCaps/>
      <w:sz w:val="20"/>
      <w:szCs w:val="20"/>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spacing w:before="240" w:after="60"/>
      <w:jc w:val="center"/>
      <w:outlineLvl w:val="0"/>
    </w:pPr>
    <w:rPr>
      <w:rFonts w:ascii="Cambria" w:hAnsi="Cambria"/>
      <w:b/>
      <w:bCs/>
      <w:kern w:val="0"/>
      <w:sz w:val="32"/>
      <w:szCs w:val="32"/>
    </w:rPr>
  </w:style>
  <w:style w:type="paragraph" w:styleId="25">
    <w:name w:val="annotation subject"/>
    <w:basedOn w:val="7"/>
    <w:next w:val="7"/>
    <w:link w:val="68"/>
    <w:qFormat/>
    <w:uiPriority w:val="0"/>
    <w:rPr>
      <w:b/>
      <w:bCs/>
    </w:rPr>
  </w:style>
  <w:style w:type="paragraph" w:styleId="26">
    <w:name w:val="Body Text First Indent"/>
    <w:basedOn w:val="9"/>
    <w:next w:val="27"/>
    <w:qFormat/>
    <w:uiPriority w:val="0"/>
    <w:pPr>
      <w:widowControl w:val="0"/>
      <w:ind w:firstLine="420" w:firstLineChars="100"/>
      <w:jc w:val="both"/>
    </w:pPr>
  </w:style>
  <w:style w:type="paragraph" w:styleId="27">
    <w:name w:val="Body Text First Indent 2"/>
    <w:basedOn w:val="10"/>
    <w:autoRedefine/>
    <w:qFormat/>
    <w:uiPriority w:val="99"/>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Hyperlink"/>
    <w:basedOn w:val="30"/>
    <w:qFormat/>
    <w:uiPriority w:val="99"/>
    <w:rPr>
      <w:rFonts w:eastAsia="仿宋_GB2312"/>
      <w:bCs/>
    </w:rPr>
  </w:style>
  <w:style w:type="character" w:styleId="33">
    <w:name w:val="annotation reference"/>
    <w:basedOn w:val="30"/>
    <w:autoRedefine/>
    <w:qFormat/>
    <w:uiPriority w:val="0"/>
    <w:rPr>
      <w:sz w:val="21"/>
      <w:szCs w:val="21"/>
    </w:rPr>
  </w:style>
  <w:style w:type="paragraph" w:customStyle="1" w:styleId="34">
    <w:name w:val="样式 样式 左侧:  2 字符 + 左侧:  0.85 厘米 首行缩进:  2 字符1"/>
    <w:basedOn w:val="1"/>
    <w:autoRedefine/>
    <w:qFormat/>
    <w:uiPriority w:val="0"/>
    <w:pPr>
      <w:ind w:left="482" w:firstLine="200" w:firstLineChars="200"/>
    </w:pPr>
  </w:style>
  <w:style w:type="paragraph" w:customStyle="1" w:styleId="35">
    <w:name w:val="样式 10 磅"/>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37">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styleId="39">
    <w:name w:val="List Paragraph"/>
    <w:basedOn w:val="1"/>
    <w:autoRedefine/>
    <w:qFormat/>
    <w:uiPriority w:val="34"/>
    <w:pPr>
      <w:ind w:firstLine="420" w:firstLineChars="200"/>
    </w:pPr>
  </w:style>
  <w:style w:type="paragraph" w:customStyle="1" w:styleId="4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Cs w:val="20"/>
    </w:rPr>
  </w:style>
  <w:style w:type="paragraph" w:customStyle="1" w:styleId="41">
    <w:name w:val="WPSOffice手动目录 1"/>
    <w:autoRedefine/>
    <w:qFormat/>
    <w:uiPriority w:val="0"/>
    <w:rPr>
      <w:rFonts w:ascii="Times New Roman" w:hAnsi="Times New Roman" w:eastAsia="宋体" w:cs="Times New Roman"/>
      <w:lang w:val="en-US" w:eastAsia="zh-CN" w:bidi="ar-SA"/>
    </w:rPr>
  </w:style>
  <w:style w:type="character" w:customStyle="1" w:styleId="42">
    <w:name w:val="font21"/>
    <w:basedOn w:val="30"/>
    <w:autoRedefine/>
    <w:qFormat/>
    <w:uiPriority w:val="0"/>
    <w:rPr>
      <w:rFonts w:hint="eastAsia" w:ascii="宋体" w:hAnsi="宋体" w:eastAsia="宋体" w:cs="宋体"/>
      <w:color w:val="000000"/>
      <w:sz w:val="22"/>
      <w:szCs w:val="22"/>
      <w:u w:val="none"/>
    </w:rPr>
  </w:style>
  <w:style w:type="character" w:customStyle="1" w:styleId="43">
    <w:name w:val="font01"/>
    <w:basedOn w:val="30"/>
    <w:autoRedefine/>
    <w:qFormat/>
    <w:uiPriority w:val="0"/>
    <w:rPr>
      <w:rFonts w:hint="eastAsia" w:ascii="宋体" w:hAnsi="宋体" w:eastAsia="宋体" w:cs="宋体"/>
      <w:color w:val="000000"/>
      <w:sz w:val="20"/>
      <w:szCs w:val="20"/>
      <w:u w:val="none"/>
    </w:rPr>
  </w:style>
  <w:style w:type="character" w:customStyle="1" w:styleId="44">
    <w:name w:val="font81"/>
    <w:basedOn w:val="30"/>
    <w:autoRedefine/>
    <w:qFormat/>
    <w:uiPriority w:val="0"/>
    <w:rPr>
      <w:rFonts w:hint="default" w:ascii="Times New Roman" w:hAnsi="Times New Roman" w:cs="Times New Roman"/>
      <w:color w:val="000000"/>
      <w:sz w:val="20"/>
      <w:szCs w:val="20"/>
      <w:u w:val="none"/>
    </w:rPr>
  </w:style>
  <w:style w:type="character" w:customStyle="1" w:styleId="45">
    <w:name w:val="font112"/>
    <w:basedOn w:val="30"/>
    <w:autoRedefine/>
    <w:qFormat/>
    <w:uiPriority w:val="0"/>
    <w:rPr>
      <w:rFonts w:hint="eastAsia" w:ascii="宋体" w:hAnsi="宋体" w:eastAsia="宋体" w:cs="宋体"/>
      <w:b/>
      <w:bCs/>
      <w:color w:val="000000"/>
      <w:sz w:val="20"/>
      <w:szCs w:val="20"/>
      <w:u w:val="none"/>
    </w:rPr>
  </w:style>
  <w:style w:type="character" w:customStyle="1" w:styleId="46">
    <w:name w:val="font121"/>
    <w:basedOn w:val="30"/>
    <w:autoRedefine/>
    <w:qFormat/>
    <w:uiPriority w:val="0"/>
    <w:rPr>
      <w:rFonts w:ascii="宋体" w:hAnsi="宋体" w:eastAsia="宋体" w:cs="宋体"/>
      <w:color w:val="000000"/>
      <w:sz w:val="20"/>
      <w:szCs w:val="20"/>
      <w:u w:val="none"/>
    </w:rPr>
  </w:style>
  <w:style w:type="character" w:customStyle="1" w:styleId="47">
    <w:name w:val="textcontents"/>
    <w:autoRedefine/>
    <w:qFormat/>
    <w:uiPriority w:val="0"/>
    <w:rPr>
      <w:rFonts w:cs="Times New Roman"/>
    </w:rPr>
  </w:style>
  <w:style w:type="character" w:customStyle="1" w:styleId="48">
    <w:name w:val="font101"/>
    <w:basedOn w:val="30"/>
    <w:autoRedefine/>
    <w:qFormat/>
    <w:uiPriority w:val="0"/>
    <w:rPr>
      <w:rFonts w:hint="eastAsia" w:ascii="宋体" w:hAnsi="宋体" w:eastAsia="宋体" w:cs="宋体"/>
      <w:b/>
      <w:bCs/>
      <w:color w:val="000000"/>
      <w:sz w:val="32"/>
      <w:szCs w:val="32"/>
      <w:u w:val="none"/>
    </w:rPr>
  </w:style>
  <w:style w:type="character" w:customStyle="1" w:styleId="49">
    <w:name w:val="font71"/>
    <w:basedOn w:val="30"/>
    <w:autoRedefine/>
    <w:qFormat/>
    <w:uiPriority w:val="0"/>
    <w:rPr>
      <w:rFonts w:hint="eastAsia" w:ascii="宋体" w:hAnsi="宋体" w:eastAsia="宋体" w:cs="宋体"/>
      <w:color w:val="000000"/>
      <w:sz w:val="20"/>
      <w:szCs w:val="20"/>
      <w:u w:val="none"/>
    </w:rPr>
  </w:style>
  <w:style w:type="character" w:customStyle="1" w:styleId="50">
    <w:name w:val="font31"/>
    <w:basedOn w:val="30"/>
    <w:autoRedefine/>
    <w:qFormat/>
    <w:uiPriority w:val="0"/>
    <w:rPr>
      <w:rFonts w:hint="default" w:ascii="Times New Roman" w:hAnsi="Times New Roman" w:cs="Times New Roman"/>
      <w:color w:val="000000"/>
      <w:sz w:val="20"/>
      <w:szCs w:val="20"/>
      <w:u w:val="none"/>
    </w:rPr>
  </w:style>
  <w:style w:type="character" w:customStyle="1" w:styleId="51">
    <w:name w:val="font11"/>
    <w:basedOn w:val="30"/>
    <w:autoRedefine/>
    <w:qFormat/>
    <w:uiPriority w:val="0"/>
    <w:rPr>
      <w:rFonts w:hint="eastAsia" w:ascii="宋体" w:hAnsi="宋体" w:eastAsia="宋体" w:cs="宋体"/>
      <w:b/>
      <w:bCs/>
      <w:color w:val="000000"/>
      <w:sz w:val="22"/>
      <w:szCs w:val="22"/>
      <w:u w:val="none"/>
    </w:rPr>
  </w:style>
  <w:style w:type="character" w:customStyle="1" w:styleId="52">
    <w:name w:val="font91"/>
    <w:basedOn w:val="30"/>
    <w:autoRedefine/>
    <w:qFormat/>
    <w:uiPriority w:val="0"/>
    <w:rPr>
      <w:rFonts w:hint="eastAsia" w:ascii="宋体" w:hAnsi="宋体" w:eastAsia="宋体" w:cs="宋体"/>
      <w:color w:val="000000"/>
      <w:sz w:val="20"/>
      <w:szCs w:val="20"/>
      <w:u w:val="none"/>
    </w:rPr>
  </w:style>
  <w:style w:type="character" w:customStyle="1" w:styleId="53">
    <w:name w:val="font61"/>
    <w:basedOn w:val="30"/>
    <w:autoRedefine/>
    <w:qFormat/>
    <w:uiPriority w:val="0"/>
    <w:rPr>
      <w:rFonts w:hint="eastAsia" w:ascii="宋体" w:hAnsi="宋体" w:eastAsia="宋体" w:cs="宋体"/>
      <w:color w:val="000000"/>
      <w:sz w:val="20"/>
      <w:szCs w:val="20"/>
      <w:u w:val="none"/>
    </w:rPr>
  </w:style>
  <w:style w:type="character" w:customStyle="1" w:styleId="54">
    <w:name w:val="font51"/>
    <w:basedOn w:val="30"/>
    <w:autoRedefine/>
    <w:qFormat/>
    <w:uiPriority w:val="0"/>
    <w:rPr>
      <w:rFonts w:hint="default" w:ascii="Times New Roman" w:hAnsi="Times New Roman" w:cs="Times New Roman"/>
      <w:color w:val="000000"/>
      <w:sz w:val="20"/>
      <w:szCs w:val="20"/>
      <w:u w:val="none"/>
    </w:rPr>
  </w:style>
  <w:style w:type="paragraph" w:customStyle="1" w:styleId="55">
    <w:name w:val="正文缩进2字符"/>
    <w:basedOn w:val="1"/>
    <w:autoRedefine/>
    <w:qFormat/>
    <w:uiPriority w:val="0"/>
    <w:pPr>
      <w:ind w:firstLine="480" w:firstLineChars="200"/>
    </w:pPr>
    <w:rPr>
      <w:rFonts w:cs="宋体"/>
    </w:rPr>
  </w:style>
  <w:style w:type="paragraph" w:customStyle="1" w:styleId="56">
    <w:name w:val="正文 A_0"/>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7">
    <w:name w:val="正文_28"/>
    <w:autoRedefine/>
    <w:qFormat/>
    <w:uiPriority w:val="0"/>
    <w:rPr>
      <w:rFonts w:ascii="Times New Roman" w:hAnsi="Times New Roman" w:eastAsia="宋体" w:cs="Times New Roman"/>
      <w:sz w:val="24"/>
      <w:szCs w:val="24"/>
      <w:lang w:val="en-US" w:eastAsia="en-US" w:bidi="ar-SA"/>
    </w:rPr>
  </w:style>
  <w:style w:type="paragraph" w:customStyle="1" w:styleId="58">
    <w:name w:val="列出段落1"/>
    <w:basedOn w:val="1"/>
    <w:autoRedefine/>
    <w:qFormat/>
    <w:uiPriority w:val="34"/>
    <w:pPr>
      <w:widowControl/>
      <w:spacing w:after="249" w:line="259" w:lineRule="auto"/>
      <w:ind w:left="579" w:firstLine="420" w:firstLineChars="200"/>
      <w:jc w:val="left"/>
    </w:pPr>
    <w:rPr>
      <w:rFonts w:ascii="微软雅黑" w:hAnsi="微软雅黑" w:eastAsia="微软雅黑" w:cs="微软雅黑"/>
      <w:color w:val="000000"/>
      <w:sz w:val="23"/>
      <w:szCs w:val="22"/>
    </w:rPr>
  </w:style>
  <w:style w:type="paragraph" w:customStyle="1" w:styleId="59">
    <w:name w:val="列表段落1"/>
    <w:basedOn w:val="1"/>
    <w:autoRedefine/>
    <w:qFormat/>
    <w:uiPriority w:val="34"/>
    <w:pPr>
      <w:ind w:firstLine="420" w:firstLineChars="200"/>
    </w:pPr>
  </w:style>
  <w:style w:type="paragraph" w:customStyle="1" w:styleId="60">
    <w:name w:val="标书正文:  0.74 厘米"/>
    <w:basedOn w:val="1"/>
    <w:autoRedefine/>
    <w:qFormat/>
    <w:uiPriority w:val="0"/>
    <w:pPr>
      <w:widowControl/>
      <w:snapToGrid w:val="0"/>
      <w:spacing w:line="360" w:lineRule="auto"/>
      <w:ind w:firstLine="420"/>
      <w:jc w:val="left"/>
    </w:pPr>
    <w:rPr>
      <w:sz w:val="24"/>
      <w:szCs w:val="20"/>
    </w:rPr>
  </w:style>
  <w:style w:type="paragraph" w:customStyle="1" w:styleId="61">
    <w:name w:val="目录"/>
    <w:basedOn w:val="1"/>
    <w:autoRedefine/>
    <w:qFormat/>
    <w:uiPriority w:val="0"/>
    <w:pPr>
      <w:widowControl/>
      <w:jc w:val="center"/>
    </w:pPr>
    <w:rPr>
      <w:rFonts w:ascii="宋体"/>
      <w:b/>
      <w:kern w:val="0"/>
      <w:sz w:val="36"/>
      <w:szCs w:val="20"/>
    </w:rPr>
  </w:style>
  <w:style w:type="character" w:customStyle="1" w:styleId="62">
    <w:name w:val="标题 2 字符"/>
    <w:link w:val="3"/>
    <w:autoRedefine/>
    <w:qFormat/>
    <w:uiPriority w:val="0"/>
    <w:rPr>
      <w:rFonts w:ascii="宋体" w:hAnsi="宋体" w:eastAsia="宋体"/>
      <w:b/>
      <w:bCs/>
      <w:sz w:val="21"/>
      <w:szCs w:val="18"/>
    </w:rPr>
  </w:style>
  <w:style w:type="paragraph" w:customStyle="1" w:styleId="63">
    <w:name w:val="p0"/>
    <w:basedOn w:val="1"/>
    <w:autoRedefine/>
    <w:qFormat/>
    <w:uiPriority w:val="0"/>
    <w:pPr>
      <w:widowControl/>
    </w:pPr>
    <w:rPr>
      <w:rFonts w:ascii="宋体" w:hAnsi="宋体" w:cs="宋体"/>
      <w:kern w:val="0"/>
      <w:szCs w:val="21"/>
    </w:rPr>
  </w:style>
  <w:style w:type="character" w:customStyle="1" w:styleId="64">
    <w:name w:val="正文文本缩进 2 字符"/>
    <w:link w:val="14"/>
    <w:autoRedefine/>
    <w:qFormat/>
    <w:uiPriority w:val="0"/>
    <w:rPr>
      <w:rFonts w:ascii="Times New Roman" w:hAnsi="Times New Roman" w:eastAsia="宋体" w:cs="Times New Roman"/>
    </w:rPr>
  </w:style>
  <w:style w:type="character" w:customStyle="1" w:styleId="65">
    <w:name w:val="纯文本 字符"/>
    <w:basedOn w:val="30"/>
    <w:link w:val="13"/>
    <w:autoRedefine/>
    <w:qFormat/>
    <w:uiPriority w:val="0"/>
    <w:rPr>
      <w:rFonts w:ascii="宋体" w:hAnsi="Courier New" w:eastAsia="华文宋体"/>
      <w:sz w:val="28"/>
    </w:rPr>
  </w:style>
  <w:style w:type="paragraph" w:customStyle="1" w:styleId="66">
    <w:name w:val="标题 3（投标文件）"/>
    <w:basedOn w:val="4"/>
    <w:autoRedefine/>
    <w:qFormat/>
    <w:uiPriority w:val="99"/>
    <w:pPr>
      <w:jc w:val="left"/>
    </w:pPr>
  </w:style>
  <w:style w:type="character" w:customStyle="1" w:styleId="67">
    <w:name w:val="批注文字 字符"/>
    <w:basedOn w:val="30"/>
    <w:link w:val="7"/>
    <w:autoRedefine/>
    <w:qFormat/>
    <w:uiPriority w:val="0"/>
    <w:rPr>
      <w:kern w:val="2"/>
      <w:sz w:val="21"/>
      <w:szCs w:val="24"/>
    </w:rPr>
  </w:style>
  <w:style w:type="character" w:customStyle="1" w:styleId="68">
    <w:name w:val="批注主题 字符"/>
    <w:basedOn w:val="67"/>
    <w:link w:val="25"/>
    <w:autoRedefine/>
    <w:qFormat/>
    <w:uiPriority w:val="0"/>
    <w:rPr>
      <w:b/>
      <w:bCs/>
      <w:kern w:val="2"/>
      <w:sz w:val="21"/>
      <w:szCs w:val="24"/>
    </w:rPr>
  </w:style>
  <w:style w:type="character" w:customStyle="1" w:styleId="69">
    <w:name w:val="批注框文本 字符"/>
    <w:basedOn w:val="30"/>
    <w:link w:val="16"/>
    <w:autoRedefine/>
    <w:qFormat/>
    <w:uiPriority w:val="0"/>
    <w:rPr>
      <w:kern w:val="2"/>
      <w:sz w:val="18"/>
      <w:szCs w:val="18"/>
    </w:rPr>
  </w:style>
  <w:style w:type="paragraph" w:customStyle="1" w:styleId="70">
    <w:name w:val="修订1"/>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71">
    <w:name w:val="网格型3"/>
    <w:basedOn w:val="28"/>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无间隔1"/>
    <w:autoRedefine/>
    <w:qFormat/>
    <w:uiPriority w:val="1"/>
    <w:rPr>
      <w:rFonts w:ascii="Calibri" w:hAnsi="Calibri" w:eastAsiaTheme="minorEastAsia" w:cstheme="minorBidi"/>
      <w:kern w:val="2"/>
      <w:sz w:val="21"/>
      <w:szCs w:val="22"/>
      <w:lang w:val="en-US" w:eastAsia="zh-CN" w:bidi="ar-SA"/>
    </w:rPr>
  </w:style>
  <w:style w:type="paragraph" w:customStyle="1" w:styleId="7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18934</Words>
  <Characters>20000</Characters>
  <Lines>421</Lines>
  <Paragraphs>118</Paragraphs>
  <TotalTime>21</TotalTime>
  <ScaleCrop>false</ScaleCrop>
  <LinksUpToDate>false</LinksUpToDate>
  <CharactersWithSpaces>20298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2024-05-16T15:52:00Z</dcterms:created>
  <dc:creator>You fire¥no  fire</dc:creator>
  <cp:lastModifiedBy>You fire¥no  fire</cp:lastModifiedBy>
  <cp:lastPrinted>2022-10-11T06:53:00Z</cp:lastPrinted>
  <dcterms:modified xsi:type="dcterms:W3CDTF">2025-04-18T03:50:22Z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9F639917981A43E2A20C5C3A16EA6DAE_13</vt:lpwstr>
  </property>
  <property fmtid="{D5CDD505-2E9C-101B-9397-08002B2CF9AE}" pid="4" name="KSOTemplateDocerSaveRecord">
    <vt:lpwstr>eyJoZGlkIjoiMGNmOTIxNDUzMWEzYTkyNjgxMjU4YjM5N2NmY2YyNDMiLCJ1c2VySWQiOiIzODIzMTExOTIifQ==</vt:lpwstr>
  </property>
</Properties>
</file>