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D32DA">
      <w:pPr>
        <w:keepNext w:val="0"/>
        <w:keepLines w:val="0"/>
        <w:pageBreakBefore w:val="0"/>
        <w:numPr>
          <w:numId w:val="0"/>
        </w:numPr>
        <w:tabs>
          <w:tab w:val="left" w:pos="7665"/>
        </w:tabs>
        <w:kinsoku/>
        <w:wordWrap/>
        <w:overflowPunct/>
        <w:bidi w:val="0"/>
        <w:spacing w:line="360" w:lineRule="auto"/>
        <w:ind w:firstLine="3092" w:firstLineChars="700"/>
        <w:jc w:val="both"/>
        <w:outlineLvl w:val="0"/>
        <w:rPr>
          <w:rFonts w:hint="eastAsia" w:ascii="宋体" w:hAnsi="宋体" w:eastAsia="宋体" w:cs="宋体"/>
          <w:b/>
          <w:color w:val="auto"/>
          <w:sz w:val="44"/>
          <w:szCs w:val="44"/>
          <w:highlight w:val="none"/>
        </w:rPr>
      </w:pPr>
      <w:bookmarkStart w:id="0" w:name="_Toc20900"/>
      <w:r>
        <w:rPr>
          <w:rFonts w:hint="eastAsia" w:ascii="宋体" w:hAnsi="宋体" w:eastAsia="宋体" w:cs="宋体"/>
          <w:b/>
          <w:color w:val="auto"/>
          <w:sz w:val="44"/>
          <w:szCs w:val="44"/>
          <w:highlight w:val="none"/>
        </w:rPr>
        <w:t>采购需求</w:t>
      </w:r>
      <w:bookmarkEnd w:id="0"/>
    </w:p>
    <w:p w14:paraId="29AFC47F">
      <w:pPr>
        <w:pStyle w:val="2"/>
        <w:keepNext w:val="0"/>
        <w:keepLines w:val="0"/>
        <w:pageBreakBefore w:val="0"/>
        <w:kinsoku/>
        <w:wordWrap/>
        <w:overflowPunct/>
        <w:topLinePunct w:val="0"/>
        <w:bidi w:val="0"/>
        <w:adjustRightInd/>
        <w:spacing w:before="240" w:beforeLines="100" w:after="0" w:line="360" w:lineRule="auto"/>
        <w:rPr>
          <w:rFonts w:hint="eastAsia" w:ascii="宋体" w:hAnsi="宋体" w:eastAsia="宋体" w:cs="宋体"/>
          <w:bCs/>
          <w:color w:val="auto"/>
          <w:sz w:val="32"/>
          <w:szCs w:val="32"/>
          <w:highlight w:val="none"/>
          <w:lang w:val="en-US" w:eastAsia="zh-CN"/>
        </w:rPr>
      </w:pPr>
      <w:bookmarkStart w:id="1" w:name="_Toc8870"/>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项目概况</w:t>
      </w:r>
      <w:bookmarkEnd w:id="1"/>
    </w:p>
    <w:p w14:paraId="10F16546">
      <w:pPr>
        <w:pStyle w:val="7"/>
        <w:spacing w:line="360" w:lineRule="auto"/>
        <w:ind w:firstLine="400"/>
        <w:jc w:val="both"/>
        <w:rPr>
          <w:rFonts w:hint="eastAsia" w:ascii="宋体" w:hAnsi="宋体" w:eastAsia="宋体" w:cs="宋体"/>
          <w:color w:val="auto"/>
          <w:highlight w:val="none"/>
          <w:lang w:eastAsia="zh-CN"/>
        </w:rPr>
      </w:pPr>
      <w:r>
        <w:rPr>
          <w:rFonts w:hint="eastAsia" w:ascii="宋体" w:hAnsi="宋体" w:cs="宋体"/>
          <w:color w:val="auto"/>
          <w:sz w:val="21"/>
          <w:szCs w:val="21"/>
          <w:lang w:eastAsia="zh-CN"/>
        </w:rPr>
        <w:t>本项目为硬件运维服务采购项目，主要内容为对陕西省司法行政戒毒系统在用的设备等硬件提供日常运行维护服务。</w:t>
      </w:r>
    </w:p>
    <w:p w14:paraId="1B7A961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2" w:firstLineChars="200"/>
        <w:jc w:val="left"/>
        <w:textAlignment w:val="auto"/>
        <w:rPr>
          <w:rFonts w:hint="default" w:ascii="宋体" w:hAnsi="宋体" w:eastAsia="宋体" w:cs="宋体"/>
          <w:b/>
          <w:bCs w:val="0"/>
          <w:color w:val="auto"/>
          <w:sz w:val="21"/>
          <w:szCs w:val="21"/>
          <w:lang w:val="en-US" w:eastAsia="zh-CN"/>
        </w:rPr>
      </w:pPr>
      <w:r>
        <w:rPr>
          <w:rFonts w:hint="eastAsia" w:ascii="宋体" w:hAnsi="宋体" w:eastAsia="宋体" w:cs="宋体"/>
          <w:b/>
          <w:bCs/>
          <w:color w:val="auto"/>
          <w:sz w:val="21"/>
          <w:szCs w:val="21"/>
          <w:highlight w:val="none"/>
        </w:rPr>
        <w:t>本项目所属行业</w:t>
      </w:r>
      <w:r>
        <w:rPr>
          <w:rFonts w:hint="eastAsia" w:ascii="宋体" w:hAnsi="宋体" w:eastAsia="宋体" w:cs="宋体"/>
          <w:b/>
          <w:bCs/>
          <w:color w:val="auto"/>
          <w:sz w:val="21"/>
          <w:szCs w:val="21"/>
          <w:highlight w:val="none"/>
          <w:lang w:eastAsia="zh-CN"/>
        </w:rPr>
        <w:t>为</w:t>
      </w:r>
      <w:r>
        <w:rPr>
          <w:rFonts w:hint="eastAsia" w:ascii="宋体" w:hAnsi="宋体" w:eastAsia="宋体" w:cs="宋体"/>
          <w:b/>
          <w:bCs/>
          <w:color w:val="auto"/>
          <w:sz w:val="21"/>
          <w:szCs w:val="21"/>
          <w:highlight w:val="none"/>
          <w:u w:val="single"/>
          <w:lang w:eastAsia="zh-CN"/>
        </w:rPr>
        <w:t>软件和信息技术服务业</w:t>
      </w:r>
      <w:r>
        <w:rPr>
          <w:rFonts w:hint="eastAsia" w:ascii="宋体" w:hAnsi="宋体" w:eastAsia="宋体" w:cs="宋体"/>
          <w:b/>
          <w:bCs/>
          <w:color w:val="auto"/>
          <w:sz w:val="21"/>
          <w:szCs w:val="21"/>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bookmarkStart w:id="3" w:name="_GoBack"/>
      <w:bookmarkEnd w:id="3"/>
    </w:p>
    <w:p w14:paraId="12C900E2">
      <w:pPr>
        <w:numPr>
          <w:ilvl w:val="0"/>
          <w:numId w:val="1"/>
        </w:numPr>
        <w:spacing w:line="360" w:lineRule="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采购内容</w:t>
      </w:r>
    </w:p>
    <w:p w14:paraId="0D63B8E7">
      <w:pPr>
        <w:keepNext w:val="0"/>
        <w:keepLines w:val="0"/>
        <w:pageBreakBefore w:val="0"/>
        <w:widowControl/>
        <w:wordWrap/>
        <w:overflowPunct/>
        <w:topLinePunct w:val="0"/>
        <w:bidi w:val="0"/>
        <w:spacing w:line="360" w:lineRule="auto"/>
        <w:rPr>
          <w:rFonts w:hint="eastAsia" w:ascii="宋体" w:hAnsi="宋体" w:eastAsia="宋体" w:cs="宋体"/>
          <w:b/>
          <w:bCs/>
          <w:color w:val="auto"/>
          <w:spacing w:val="15"/>
          <w:sz w:val="24"/>
          <w:szCs w:val="24"/>
          <w:highlight w:val="none"/>
          <w:lang w:val="en-US" w:eastAsia="zh-CN"/>
        </w:rPr>
      </w:pPr>
      <w:bookmarkStart w:id="2" w:name="_Toc13995"/>
      <w:r>
        <w:rPr>
          <w:rFonts w:hint="eastAsia" w:ascii="宋体" w:hAnsi="宋体" w:eastAsia="宋体" w:cs="宋体"/>
          <w:b/>
          <w:bCs/>
          <w:color w:val="auto"/>
          <w:spacing w:val="15"/>
          <w:sz w:val="24"/>
          <w:szCs w:val="24"/>
          <w:highlight w:val="none"/>
          <w:lang w:val="en-US" w:eastAsia="zh-CN"/>
        </w:rPr>
        <w:t>1硬件运维服务</w:t>
      </w:r>
    </w:p>
    <w:p w14:paraId="2699BB9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①</w:t>
      </w:r>
      <w:r>
        <w:rPr>
          <w:rFonts w:hint="default"/>
          <w:color w:val="auto"/>
          <w:lang w:val="en-US" w:eastAsia="zh-CN"/>
        </w:rPr>
        <w:t>机房系统运维</w:t>
      </w:r>
    </w:p>
    <w:p w14:paraId="073ED64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对陕西省戒毒管理局机关机房的门禁系统、监控系统、供配电系统、精密空调系统、消防系统、动环系统等物理环境系统进行日常维护管理。</w:t>
      </w:r>
    </w:p>
    <w:p w14:paraId="13AB037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②</w:t>
      </w:r>
      <w:r>
        <w:rPr>
          <w:rFonts w:hint="default"/>
          <w:color w:val="auto"/>
          <w:lang w:val="en-US" w:eastAsia="zh-CN"/>
        </w:rPr>
        <w:t>网络系统运维</w:t>
      </w:r>
    </w:p>
    <w:p w14:paraId="08918AD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对陕西省戒毒管理局网络基础设施包括局机关中心机房、楼层设备间至各办公区域、会议室等终端的网络线路等。目前使用多套业务网络，各网络系统间物理或逻辑隔离（戒毒专网、司法行政专网、互联网、国家电子政务外网、财政专网等），其中部分网络需上联或下联省政法委、省发改委、省财政厅、省司法厅、13个戒毒所等单位。网络维护设备主要包括核心交换机、汇聚交换机、接入交换机、核心路由器、防火墙、网闸、上网行为管理、无线AC、无线AP、负载均衡等设备及单位内部局域网线路。</w:t>
      </w:r>
    </w:p>
    <w:p w14:paraId="18EAA93D">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③</w:t>
      </w:r>
      <w:r>
        <w:rPr>
          <w:rFonts w:hint="default"/>
          <w:color w:val="auto"/>
          <w:lang w:val="en-US" w:eastAsia="zh-CN"/>
        </w:rPr>
        <w:t>信息化会议系统运维</w:t>
      </w:r>
    </w:p>
    <w:p w14:paraId="7BA3D89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信息化会议分为远程视频会议和本地会议两类，其中远程视频会议包含上连司法部、省司法厅的视频会议，以及省戒毒管理局机关</w:t>
      </w:r>
      <w:r>
        <w:rPr>
          <w:rFonts w:hint="eastAsia"/>
          <w:color w:val="auto"/>
          <w:lang w:val="en-US" w:eastAsia="zh-CN"/>
        </w:rPr>
        <w:t>下联</w:t>
      </w:r>
      <w:r>
        <w:rPr>
          <w:rFonts w:hint="default"/>
          <w:color w:val="auto"/>
          <w:lang w:val="en-US" w:eastAsia="zh-CN"/>
        </w:rPr>
        <w:t>下属13个戒毒所的远程视频会议。</w:t>
      </w:r>
    </w:p>
    <w:p w14:paraId="51C2969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本地会议包括无纸化会议、现场投屏扩声会议等。</w:t>
      </w:r>
    </w:p>
    <w:p w14:paraId="5C52263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省戒毒局有多个可以召开信息化会议的会议室及相关显示、扩声、音视频矩阵设备，需对会议终端、会议控制设备、录播直播设备、移动会议设备等设备进行调试和维护。</w:t>
      </w:r>
    </w:p>
    <w:p w14:paraId="15C83F9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④</w:t>
      </w:r>
      <w:r>
        <w:rPr>
          <w:rFonts w:hint="default"/>
          <w:color w:val="auto"/>
          <w:lang w:val="en-US" w:eastAsia="zh-CN"/>
        </w:rPr>
        <w:t>通讯系统运维</w:t>
      </w:r>
    </w:p>
    <w:p w14:paraId="13AED11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目前省戒毒管理局主要在用的通讯系统有：远程探视系统、网络广播、IP网络电话、视频点名系统、指挥中心</w:t>
      </w:r>
      <w:r>
        <w:rPr>
          <w:rFonts w:hint="eastAsia"/>
          <w:color w:val="auto"/>
          <w:lang w:val="en-US" w:eastAsia="zh-CN"/>
        </w:rPr>
        <w:t>座席</w:t>
      </w:r>
      <w:r>
        <w:rPr>
          <w:rFonts w:hint="default"/>
          <w:color w:val="auto"/>
          <w:lang w:val="en-US" w:eastAsia="zh-CN"/>
        </w:rPr>
        <w:t>调度协作系统、屏控拼接系统、有线电视系统等。</w:t>
      </w:r>
    </w:p>
    <w:p w14:paraId="4ED21F95">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⑤</w:t>
      </w:r>
      <w:r>
        <w:rPr>
          <w:rFonts w:hint="default"/>
          <w:color w:val="auto"/>
          <w:lang w:val="en-US" w:eastAsia="zh-CN"/>
        </w:rPr>
        <w:t>办公自动化设备运维</w:t>
      </w:r>
    </w:p>
    <w:p w14:paraId="604E215C">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省戒毒管理局办公自动化设备维护主要包括内网、外网办公台式计算机、便携式计算机、复印机、扫描仪、打印机、高拍仪、传真机、电话机等办公设备。</w:t>
      </w:r>
    </w:p>
    <w:p w14:paraId="73F57D6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eastAsia"/>
          <w:color w:val="auto"/>
          <w:lang w:val="en-US" w:eastAsia="zh-CN"/>
        </w:rPr>
        <w:t>⑥</w:t>
      </w:r>
      <w:r>
        <w:rPr>
          <w:rFonts w:hint="default"/>
          <w:color w:val="auto"/>
          <w:lang w:val="en-US" w:eastAsia="zh-CN"/>
        </w:rPr>
        <w:t>网络安全设备运维</w:t>
      </w:r>
    </w:p>
    <w:p w14:paraId="05864E38">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default"/>
          <w:color w:val="auto"/>
          <w:lang w:val="en-US" w:eastAsia="zh-CN"/>
        </w:rPr>
      </w:pPr>
      <w:r>
        <w:rPr>
          <w:rFonts w:hint="default"/>
          <w:color w:val="auto"/>
          <w:lang w:val="en-US" w:eastAsia="zh-CN"/>
        </w:rPr>
        <w:t>陕西省戒毒管理局网络安全设备主要包括边界防火墙、堡垒机、漏洞扫描设备、日志分析设备、安全接入网关、终端安全管控等网络安全软硬件设备。</w:t>
      </w:r>
    </w:p>
    <w:p w14:paraId="5D322F85">
      <w:pPr>
        <w:keepNext w:val="0"/>
        <w:keepLines w:val="0"/>
        <w:pageBreakBefore w:val="0"/>
        <w:widowControl/>
        <w:wordWrap/>
        <w:overflowPunct/>
        <w:topLinePunct w:val="0"/>
        <w:bidi w:val="0"/>
        <w:spacing w:line="360" w:lineRule="auto"/>
        <w:rPr>
          <w:rFonts w:hint="eastAsia" w:ascii="宋体" w:hAnsi="宋体" w:eastAsia="宋体" w:cs="宋体"/>
          <w:b/>
          <w:bCs/>
          <w:color w:val="auto"/>
          <w:spacing w:val="15"/>
          <w:sz w:val="24"/>
          <w:szCs w:val="24"/>
          <w:highlight w:val="none"/>
          <w:lang w:val="en-US" w:eastAsia="zh-CN"/>
        </w:rPr>
      </w:pPr>
      <w:r>
        <w:rPr>
          <w:rFonts w:hint="eastAsia" w:ascii="宋体" w:hAnsi="宋体" w:eastAsia="宋体" w:cs="宋体"/>
          <w:b/>
          <w:bCs/>
          <w:color w:val="auto"/>
          <w:spacing w:val="15"/>
          <w:sz w:val="24"/>
          <w:szCs w:val="24"/>
          <w:highlight w:val="none"/>
          <w:lang w:val="en-US" w:eastAsia="zh-CN"/>
        </w:rPr>
        <w:t>2人员配置要求</w:t>
      </w:r>
    </w:p>
    <w:p w14:paraId="6F9ECB67">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①法定工作日提供不少于2名运维人员到场服务；法定节假日期间如遇特殊情况和工作需要，提供1名运维人员到场服务。</w:t>
      </w:r>
    </w:p>
    <w:p w14:paraId="3C602D04">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②维保人员提供24小时服务电话，开展定期维护保养、测试，发生故障时随叫随到。如因工作需要，需增加人员。</w:t>
      </w:r>
    </w:p>
    <w:p w14:paraId="74109E09">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highlight w:val="none"/>
          <w:lang w:eastAsia="zh-CN"/>
        </w:rPr>
        <w:t>维保</w:t>
      </w:r>
      <w:r>
        <w:rPr>
          <w:rFonts w:hint="eastAsia" w:ascii="宋体" w:hAnsi="宋体" w:eastAsia="宋体" w:cs="宋体"/>
          <w:color w:val="auto"/>
          <w:sz w:val="21"/>
          <w:szCs w:val="21"/>
          <w:highlight w:val="none"/>
        </w:rPr>
        <w:t>团队人员架构配置合理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项目经验丰富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人员管理制度</w:t>
      </w:r>
      <w:r>
        <w:rPr>
          <w:rFonts w:hint="eastAsia" w:ascii="宋体" w:hAnsi="宋体" w:eastAsia="宋体" w:cs="宋体"/>
          <w:color w:val="auto"/>
          <w:sz w:val="21"/>
          <w:szCs w:val="21"/>
          <w:highlight w:val="none"/>
          <w:lang w:val="en-US" w:eastAsia="zh-CN"/>
        </w:rPr>
        <w:t>完善，</w:t>
      </w:r>
      <w:r>
        <w:rPr>
          <w:rFonts w:hint="eastAsia" w:ascii="宋体" w:hAnsi="宋体" w:eastAsia="宋体" w:cs="宋体"/>
          <w:color w:val="auto"/>
          <w:sz w:val="21"/>
          <w:szCs w:val="21"/>
          <w:highlight w:val="none"/>
          <w:lang w:eastAsia="zh-CN"/>
        </w:rPr>
        <w:t>维保人员需身体健康，无吸毒史和犯罪记录。</w:t>
      </w:r>
    </w:p>
    <w:p w14:paraId="791D71F8">
      <w:pPr>
        <w:keepNext w:val="0"/>
        <w:keepLines w:val="0"/>
        <w:pageBreakBefore w:val="0"/>
        <w:widowControl/>
        <w:wordWrap/>
        <w:overflowPunct/>
        <w:topLinePunct w:val="0"/>
        <w:bidi w:val="0"/>
        <w:spacing w:line="360" w:lineRule="auto"/>
        <w:rPr>
          <w:rFonts w:hint="eastAsia" w:ascii="宋体" w:hAnsi="宋体" w:eastAsia="宋体" w:cs="宋体"/>
          <w:b/>
          <w:bCs/>
          <w:color w:val="auto"/>
          <w:spacing w:val="15"/>
          <w:sz w:val="24"/>
          <w:szCs w:val="24"/>
          <w:highlight w:val="none"/>
          <w:lang w:val="en-US" w:eastAsia="zh-CN"/>
        </w:rPr>
      </w:pPr>
      <w:r>
        <w:rPr>
          <w:rFonts w:hint="eastAsia" w:ascii="宋体" w:hAnsi="宋体" w:eastAsia="宋体" w:cs="宋体"/>
          <w:b/>
          <w:bCs/>
          <w:color w:val="auto"/>
          <w:spacing w:val="15"/>
          <w:sz w:val="24"/>
          <w:szCs w:val="24"/>
          <w:highlight w:val="none"/>
          <w:lang w:val="en-US" w:eastAsia="zh-CN"/>
        </w:rPr>
        <w:t>3设施设备要求</w:t>
      </w:r>
    </w:p>
    <w:p w14:paraId="615B7ACE">
      <w:pPr>
        <w:pStyle w:val="4"/>
        <w:keepNext w:val="0"/>
        <w:keepLines w:val="0"/>
        <w:pageBreakBefore w:val="0"/>
        <w:widowControl/>
        <w:wordWrap/>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lang w:val="en-US" w:eastAsia="zh-CN"/>
        </w:rPr>
        <w:t>①</w:t>
      </w:r>
      <w:r>
        <w:rPr>
          <w:rFonts w:hint="eastAsia" w:ascii="宋体" w:hAnsi="宋体" w:eastAsia="宋体" w:cs="宋体"/>
          <w:color w:val="auto"/>
          <w:sz w:val="21"/>
          <w:szCs w:val="21"/>
          <w:highlight w:val="none"/>
          <w:lang w:val="en-US" w:eastAsia="zh-CN"/>
        </w:rPr>
        <w:t>供应商需</w:t>
      </w:r>
      <w:r>
        <w:rPr>
          <w:rFonts w:hint="eastAsia" w:ascii="宋体" w:hAnsi="宋体" w:eastAsia="宋体" w:cs="宋体"/>
          <w:color w:val="auto"/>
          <w:sz w:val="21"/>
          <w:szCs w:val="21"/>
          <w:highlight w:val="none"/>
          <w:lang w:eastAsia="zh-CN"/>
        </w:rPr>
        <w:t>具备国产化环境（如麒麟OS、达梦数据库等）适配经验，确保跨平台（Windows、Linux、安卓/鸿蒙）兼容性；精通ETL工具，可完成主流数据库的结构化数据清洗、转换及迁移；具备非结构化数据管理能力，熟悉分布式计算、存储方案。</w:t>
      </w:r>
    </w:p>
    <w:p w14:paraId="223B773B">
      <w:pPr>
        <w:pStyle w:val="4"/>
        <w:keepNext w:val="0"/>
        <w:keepLines w:val="0"/>
        <w:pageBreakBefore w:val="0"/>
        <w:widowControl/>
        <w:wordWrap/>
        <w:overflowPunct/>
        <w:topLinePunct w:val="0"/>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②根据采购内容匹配</w:t>
      </w:r>
      <w:r>
        <w:rPr>
          <w:rFonts w:hint="eastAsia" w:ascii="宋体" w:hAnsi="宋体" w:eastAsia="宋体" w:cs="宋体"/>
          <w:color w:val="auto"/>
          <w:sz w:val="21"/>
          <w:szCs w:val="21"/>
          <w:highlight w:val="none"/>
          <w:lang w:val="en-US" w:eastAsia="zh-CN"/>
        </w:rPr>
        <w:t>其他完成本项目的软硬件</w:t>
      </w:r>
      <w:r>
        <w:rPr>
          <w:rFonts w:hint="eastAsia" w:ascii="宋体" w:hAnsi="宋体" w:eastAsia="宋体" w:cs="宋体"/>
          <w:color w:val="auto"/>
          <w:highlight w:val="none"/>
          <w:lang w:val="en-US" w:eastAsia="zh-CN"/>
        </w:rPr>
        <w:t>。</w:t>
      </w:r>
    </w:p>
    <w:p w14:paraId="0E697282">
      <w:pPr>
        <w:pStyle w:val="4"/>
        <w:keepNext w:val="0"/>
        <w:keepLines w:val="0"/>
        <w:pageBreakBefore w:val="0"/>
        <w:widowControl/>
        <w:wordWrap/>
        <w:overflowPunct/>
        <w:topLinePunct w:val="0"/>
        <w:bidi w:val="0"/>
        <w:spacing w:line="360" w:lineRule="auto"/>
        <w:rPr>
          <w:rFonts w:hint="eastAsia" w:ascii="宋体" w:hAnsi="宋体" w:eastAsia="宋体" w:cs="宋体"/>
          <w:b/>
          <w:bCs/>
          <w:color w:val="auto"/>
          <w:spacing w:val="15"/>
          <w:sz w:val="24"/>
          <w:szCs w:val="24"/>
          <w:highlight w:val="none"/>
          <w:lang w:val="en-US" w:eastAsia="zh-CN"/>
        </w:rPr>
      </w:pPr>
      <w:r>
        <w:rPr>
          <w:rFonts w:hint="eastAsia" w:ascii="宋体" w:hAnsi="宋体" w:eastAsia="宋体" w:cs="宋体"/>
          <w:b/>
          <w:bCs/>
          <w:color w:val="auto"/>
          <w:spacing w:val="15"/>
          <w:sz w:val="24"/>
          <w:szCs w:val="24"/>
          <w:highlight w:val="none"/>
          <w:lang w:val="en-US" w:eastAsia="zh-CN"/>
        </w:rPr>
        <w:t>4其他要求</w:t>
      </w:r>
    </w:p>
    <w:p w14:paraId="2A6FF51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供应商在合同执行期间有义务及时为采购人提供合理化的建设建议，供应商维保工作人员须遵守采购人规章制度，听从采购人</w:t>
      </w:r>
      <w:r>
        <w:rPr>
          <w:rFonts w:hint="eastAsia" w:ascii="宋体" w:hAnsi="宋体" w:eastAsia="宋体" w:cs="宋体"/>
          <w:color w:val="auto"/>
          <w:sz w:val="21"/>
          <w:szCs w:val="21"/>
          <w:highlight w:val="none"/>
          <w:lang w:val="en-US" w:eastAsia="zh-CN"/>
        </w:rPr>
        <w:t>安排</w:t>
      </w:r>
      <w:r>
        <w:rPr>
          <w:rFonts w:hint="eastAsia" w:ascii="宋体" w:hAnsi="宋体" w:eastAsia="宋体" w:cs="宋体"/>
          <w:color w:val="auto"/>
          <w:sz w:val="21"/>
          <w:szCs w:val="21"/>
          <w:highlight w:val="none"/>
          <w:lang w:eastAsia="zh-CN"/>
        </w:rPr>
        <w:t>，严格按照操作规程作业，确保服务安全；</w:t>
      </w:r>
    </w:p>
    <w:p w14:paraId="7D3563D1">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sz w:val="21"/>
          <w:szCs w:val="21"/>
          <w:highlight w:val="none"/>
          <w:lang w:eastAsia="zh-CN"/>
        </w:rPr>
        <w:t>‌保密协议‌：服务商需签署保密协议，严禁泄露戒毒人员信息及执法数据；</w:t>
      </w:r>
    </w:p>
    <w:p w14:paraId="3CBE047B">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③针对运维内容提供合理的</w:t>
      </w:r>
      <w:r>
        <w:rPr>
          <w:rFonts w:hint="eastAsia" w:ascii="宋体" w:hAnsi="宋体" w:eastAsia="宋体" w:cs="宋体"/>
          <w:color w:val="auto"/>
          <w:sz w:val="21"/>
          <w:szCs w:val="21"/>
          <w:highlight w:val="none"/>
          <w:lang w:eastAsia="zh-CN"/>
        </w:rPr>
        <w:t>重难点</w:t>
      </w:r>
      <w:r>
        <w:rPr>
          <w:rFonts w:hint="eastAsia" w:ascii="宋体" w:hAnsi="宋体" w:eastAsia="宋体" w:cs="宋体"/>
          <w:color w:val="auto"/>
          <w:sz w:val="21"/>
          <w:szCs w:val="21"/>
          <w:highlight w:val="none"/>
          <w:lang w:val="en-US" w:eastAsia="zh-CN"/>
        </w:rPr>
        <w:t>分析。</w:t>
      </w:r>
    </w:p>
    <w:p w14:paraId="5CE661A3">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④考核（验收）标准和方法：</w:t>
      </w:r>
    </w:p>
    <w:p w14:paraId="781F9556">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（1）按照磋商文件及采购人要求执行；在实施过程中，如果国家或有关部门颁布了新的技术标准或规范，则供应商应采用新的标准或规范进行实施。</w:t>
      </w:r>
    </w:p>
    <w:p w14:paraId="0CA81520">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（2）‌系统可用性‌：全年平台无重大故障（单次宕机≤1小时）。</w:t>
      </w:r>
    </w:p>
    <w:p w14:paraId="14AD2BCE">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（3）‌数据完整性‌：备份恢复成功率100%，数据对接错误率≤0.1%。</w:t>
      </w:r>
    </w:p>
    <w:p w14:paraId="0A6E149A">
      <w:pPr>
        <w:keepNext w:val="0"/>
        <w:keepLines w:val="0"/>
        <w:pageBreakBefore w:val="0"/>
        <w:widowControl w:val="0"/>
        <w:tabs>
          <w:tab w:val="left" w:pos="6300"/>
        </w:tabs>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（4）‌用户满意度‌：干警职工满意度调查≥90分。</w:t>
      </w:r>
    </w:p>
    <w:p w14:paraId="3BEF6F9D">
      <w:pPr>
        <w:spacing w:line="360" w:lineRule="auto"/>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三、商务要求</w:t>
      </w:r>
      <w:bookmarkEnd w:id="2"/>
    </w:p>
    <w:p w14:paraId="6FC2FF88">
      <w:pPr>
        <w:pStyle w:val="3"/>
        <w:spacing w:line="360" w:lineRule="auto"/>
        <w:ind w:left="0" w:leftChars="0" w:firstLine="420" w:firstLineChars="200"/>
        <w:rPr>
          <w:rFonts w:hint="eastAsia" w:ascii="宋体" w:hAnsi="宋体"/>
          <w:bCs/>
          <w:szCs w:val="21"/>
        </w:rPr>
      </w:pPr>
      <w:r>
        <w:rPr>
          <w:rFonts w:hint="eastAsia" w:ascii="宋体" w:hAnsi="宋体"/>
          <w:bCs/>
          <w:szCs w:val="21"/>
          <w:lang w:val="en-US" w:eastAsia="zh-CN"/>
        </w:rPr>
        <w:t>①.</w:t>
      </w:r>
      <w:r>
        <w:rPr>
          <w:rFonts w:hint="eastAsia" w:ascii="宋体" w:hAnsi="宋体"/>
          <w:bCs/>
          <w:szCs w:val="21"/>
        </w:rPr>
        <w:t>服务、产品（如有）执行的标准、规范：</w:t>
      </w:r>
    </w:p>
    <w:p w14:paraId="7E338973">
      <w:pPr>
        <w:pStyle w:val="3"/>
        <w:spacing w:line="360" w:lineRule="auto"/>
        <w:ind w:firstLine="577" w:firstLineChars="275"/>
        <w:rPr>
          <w:rFonts w:hint="eastAsia" w:ascii="宋体" w:hAnsi="宋体"/>
          <w:bCs/>
          <w:szCs w:val="21"/>
        </w:rPr>
      </w:pPr>
      <w:r>
        <w:rPr>
          <w:rFonts w:hint="eastAsia" w:ascii="宋体" w:hAnsi="宋体"/>
          <w:bCs/>
          <w:szCs w:val="21"/>
        </w:rPr>
        <w:t>（1）国家标准、规范</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r>
        <w:rPr>
          <w:rFonts w:hint="eastAsia" w:ascii="宋体" w:hAnsi="宋体"/>
          <w:bCs/>
          <w:szCs w:val="21"/>
        </w:rPr>
        <w:t>；</w:t>
      </w:r>
    </w:p>
    <w:p w14:paraId="19BE4FFB">
      <w:pPr>
        <w:pStyle w:val="3"/>
        <w:spacing w:line="360" w:lineRule="auto"/>
        <w:ind w:firstLine="577" w:firstLineChars="275"/>
        <w:rPr>
          <w:rFonts w:hint="eastAsia" w:ascii="宋体" w:hAnsi="宋体"/>
          <w:bCs/>
          <w:szCs w:val="21"/>
        </w:rPr>
      </w:pPr>
      <w:r>
        <w:rPr>
          <w:rFonts w:hint="eastAsia" w:ascii="宋体" w:hAnsi="宋体"/>
          <w:bCs/>
          <w:szCs w:val="21"/>
        </w:rPr>
        <w:t>（2）行业标准、规范</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r>
        <w:rPr>
          <w:rFonts w:hint="eastAsia" w:ascii="宋体" w:hAnsi="宋体"/>
          <w:bCs/>
          <w:szCs w:val="21"/>
        </w:rPr>
        <w:t>；</w:t>
      </w:r>
    </w:p>
    <w:p w14:paraId="79AF1E2B">
      <w:pPr>
        <w:pStyle w:val="3"/>
        <w:spacing w:line="360" w:lineRule="auto"/>
        <w:ind w:firstLine="577" w:firstLineChars="275"/>
        <w:rPr>
          <w:rFonts w:hint="eastAsia" w:ascii="宋体" w:hAnsi="宋体"/>
          <w:bCs/>
          <w:szCs w:val="21"/>
        </w:rPr>
      </w:pPr>
      <w:r>
        <w:rPr>
          <w:rFonts w:hint="eastAsia" w:ascii="宋体" w:hAnsi="宋体"/>
          <w:bCs/>
          <w:szCs w:val="21"/>
        </w:rPr>
        <w:t>（3）地方标准、规范</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r>
        <w:rPr>
          <w:rFonts w:hint="eastAsia" w:ascii="宋体" w:hAnsi="宋体"/>
          <w:bCs/>
          <w:szCs w:val="21"/>
        </w:rPr>
        <w:t>；</w:t>
      </w:r>
    </w:p>
    <w:p w14:paraId="02935A4D">
      <w:pPr>
        <w:pStyle w:val="3"/>
        <w:spacing w:line="360" w:lineRule="auto"/>
        <w:ind w:firstLine="577" w:firstLineChars="275"/>
        <w:rPr>
          <w:rFonts w:hint="eastAsia" w:ascii="宋体" w:hAnsi="宋体"/>
          <w:bCs/>
          <w:szCs w:val="21"/>
        </w:rPr>
      </w:pPr>
      <w:r>
        <w:rPr>
          <w:rFonts w:hint="eastAsia" w:ascii="宋体" w:hAnsi="宋体"/>
          <w:bCs/>
          <w:szCs w:val="21"/>
        </w:rPr>
        <w:t>（4）团体标准、规范</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r>
        <w:rPr>
          <w:rFonts w:hint="eastAsia" w:ascii="宋体" w:hAnsi="宋体"/>
          <w:bCs/>
          <w:szCs w:val="21"/>
        </w:rPr>
        <w:t>；</w:t>
      </w:r>
    </w:p>
    <w:p w14:paraId="75117814">
      <w:pPr>
        <w:pStyle w:val="3"/>
        <w:spacing w:line="360" w:lineRule="auto"/>
        <w:ind w:firstLine="577" w:firstLineChars="275"/>
        <w:rPr>
          <w:rFonts w:hint="eastAsia" w:ascii="宋体" w:hAnsi="宋体"/>
          <w:bCs/>
          <w:szCs w:val="21"/>
        </w:rPr>
      </w:pPr>
      <w:r>
        <w:rPr>
          <w:rFonts w:hint="eastAsia" w:ascii="宋体" w:hAnsi="宋体"/>
          <w:bCs/>
          <w:szCs w:val="21"/>
        </w:rPr>
        <w:t>（5）企业标准、规范</w:t>
      </w:r>
      <w:r>
        <w:rPr>
          <w:rFonts w:hint="eastAsia" w:ascii="宋体" w:hAnsi="宋体"/>
          <w:bCs/>
          <w:szCs w:val="21"/>
          <w:u w:val="single"/>
        </w:rPr>
        <w:t xml:space="preserve">  </w:t>
      </w:r>
      <w:r>
        <w:rPr>
          <w:rFonts w:hint="eastAsia" w:ascii="宋体" w:hAnsi="宋体"/>
          <w:bCs/>
          <w:szCs w:val="21"/>
          <w:u w:val="single"/>
          <w:lang w:val="en-US" w:eastAsia="zh-CN"/>
        </w:rPr>
        <w:t>/</w:t>
      </w:r>
      <w:r>
        <w:rPr>
          <w:rFonts w:hint="eastAsia" w:ascii="宋体" w:hAnsi="宋体"/>
          <w:bCs/>
          <w:szCs w:val="21"/>
          <w:u w:val="single"/>
        </w:rPr>
        <w:t xml:space="preserve">  </w:t>
      </w:r>
      <w:r>
        <w:rPr>
          <w:rFonts w:hint="eastAsia" w:ascii="宋体" w:hAnsi="宋体"/>
          <w:bCs/>
          <w:szCs w:val="21"/>
        </w:rPr>
        <w:t>。</w:t>
      </w:r>
    </w:p>
    <w:p w14:paraId="64878503">
      <w:pPr>
        <w:pStyle w:val="3"/>
        <w:spacing w:line="360" w:lineRule="auto"/>
        <w:rPr>
          <w:rFonts w:hint="eastAsia" w:ascii="宋体" w:hAnsi="宋体"/>
          <w:szCs w:val="21"/>
        </w:rPr>
      </w:pPr>
      <w:r>
        <w:rPr>
          <w:rFonts w:hint="eastAsia" w:ascii="宋体" w:hAnsi="宋体"/>
          <w:szCs w:val="21"/>
          <w:lang w:val="en-US" w:eastAsia="zh-CN"/>
        </w:rPr>
        <w:t>②.第①</w:t>
      </w:r>
      <w:r>
        <w:rPr>
          <w:rFonts w:hint="eastAsia" w:ascii="宋体" w:hAnsi="宋体"/>
          <w:szCs w:val="21"/>
        </w:rPr>
        <w:t>条款未明确服务（产品）执行标准、规范的，按下列方法进行选择：</w:t>
      </w:r>
    </w:p>
    <w:p w14:paraId="3BDE147E">
      <w:pPr>
        <w:pStyle w:val="3"/>
        <w:spacing w:line="360" w:lineRule="auto"/>
        <w:ind w:left="945" w:hanging="945" w:hangingChars="450"/>
        <w:rPr>
          <w:rFonts w:hint="eastAsia" w:ascii="宋体" w:hAnsi="宋体"/>
          <w:szCs w:val="21"/>
        </w:rPr>
      </w:pPr>
      <w:r>
        <w:rPr>
          <w:rFonts w:hint="eastAsia" w:ascii="宋体" w:hAnsi="宋体"/>
          <w:szCs w:val="21"/>
        </w:rPr>
        <w:t xml:space="preserve">        □ 顺序执行：国家标准→行业标准→地方标准→团体标准→企业标准（有国家标准按国家标准执行，没有国家标准按行业标准，以此类推）；</w:t>
      </w:r>
    </w:p>
    <w:p w14:paraId="271CFE97">
      <w:pPr>
        <w:pStyle w:val="3"/>
        <w:spacing w:line="360" w:lineRule="auto"/>
        <w:ind w:left="945" w:hanging="945" w:hangingChars="450"/>
        <w:rPr>
          <w:rFonts w:hint="eastAsia" w:ascii="宋体" w:hAnsi="宋体"/>
          <w:szCs w:val="21"/>
        </w:rPr>
      </w:pPr>
      <w:r>
        <w:rPr>
          <w:rFonts w:hint="eastAsia" w:ascii="宋体" w:hAnsi="宋体"/>
          <w:szCs w:val="21"/>
        </w:rPr>
        <w:t xml:space="preserve">        □ 最高标准执行：国家标准，行业标准，地方标准，团体标准，企业标准（那个标准高执行那个标准）</w:t>
      </w:r>
    </w:p>
    <w:p w14:paraId="475A569F">
      <w:pPr>
        <w:pStyle w:val="3"/>
        <w:spacing w:line="360" w:lineRule="auto"/>
        <w:ind w:left="945" w:leftChars="400" w:hanging="105" w:hangingChars="50"/>
        <w:rPr>
          <w:rFonts w:hint="eastAsia"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szCs w:val="21"/>
        </w:rPr>
        <w:fldChar w:fldCharType="end"/>
      </w:r>
      <w:r>
        <w:rPr>
          <w:rFonts w:hint="eastAsia" w:ascii="宋体" w:hAnsi="宋体"/>
          <w:szCs w:val="21"/>
        </w:rPr>
        <w:t xml:space="preserve"> 必须执行：国家（行业）强制性标准。</w:t>
      </w:r>
    </w:p>
    <w:p w14:paraId="20DB59A2">
      <w:pPr>
        <w:pStyle w:val="3"/>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③.服务期限：1年。</w:t>
      </w:r>
    </w:p>
    <w:p w14:paraId="44E71608">
      <w:pPr>
        <w:pStyle w:val="3"/>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④.服务地点：采购人指定地点。</w:t>
      </w:r>
    </w:p>
    <w:p w14:paraId="4DAE5C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5AE0D"/>
    <w:multiLevelType w:val="singleLevel"/>
    <w:tmpl w:val="4195AE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614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uiPriority w:val="0"/>
    <w:pPr>
      <w:ind w:firstLine="420"/>
    </w:pPr>
    <w:rPr>
      <w:szCs w:val="20"/>
    </w:rPr>
  </w:style>
  <w:style w:type="paragraph" w:styleId="4">
    <w:name w:val="Body Text"/>
    <w:basedOn w:val="1"/>
    <w:next w:val="1"/>
    <w:qFormat/>
    <w:uiPriority w:val="1"/>
    <w:rPr>
      <w:sz w:val="21"/>
      <w:szCs w:val="21"/>
    </w:rPr>
  </w:style>
  <w:style w:type="paragraph" w:customStyle="1" w:styleId="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2025-05-16T00:41:15Z</dcterms:created>
  <dc:creator>Administrator</dc:creator>
  <cp:lastModifiedBy>豆本豆</cp:lastModifiedBy>
  <dcterms:modified xsi:type="dcterms:W3CDTF">2025-05-16T00:41:49Z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eyJoZGlkIjoiZTc2YjNkNzAxY2E2NTE3ZmY0YmZiYzc2NDBhZGQxZGMiLCJ1c2VySWQiOiI4MTA3MzA2NDAifQ==</vt:lpwstr>
  </property>
  <property fmtid="{D5CDD505-2E9C-101B-9397-08002B2CF9AE}" pid="4" name="ICV">
    <vt:lpwstr>A00ADEE30C0046F59F50D39D107277AD_12</vt:lpwstr>
  </property>
</Properties>
</file>