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F9DD">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仿宋" w:hAnsi="仿宋" w:eastAsia="仿宋" w:cs="仿宋"/>
          <w:spacing w:val="9"/>
          <w:w w:val="95"/>
          <w:sz w:val="36"/>
          <w:szCs w:val="36"/>
          <w:lang w:eastAsia="zh-CN"/>
        </w:rPr>
      </w:pPr>
      <w:r>
        <w:rPr>
          <w:rFonts w:hint="eastAsia" w:ascii="仿宋" w:hAnsi="仿宋" w:eastAsia="仿宋" w:cs="仿宋"/>
          <w:spacing w:val="9"/>
          <w:w w:val="95"/>
          <w:sz w:val="36"/>
          <w:szCs w:val="36"/>
          <w:lang w:eastAsia="zh-CN"/>
        </w:rPr>
        <w:t>西安市未央区人民法院诉讼服务事务性外包服务项目</w:t>
      </w:r>
    </w:p>
    <w:p w14:paraId="40A2754E">
      <w:pPr>
        <w:pStyle w:val="17"/>
        <w:keepNext w:val="0"/>
        <w:keepLines w:val="0"/>
        <w:pageBreakBefore w:val="0"/>
        <w:widowControl w:val="0"/>
        <w:kinsoku/>
        <w:wordWrap/>
        <w:overflowPunct/>
        <w:topLinePunct w:val="0"/>
        <w:autoSpaceDE/>
        <w:autoSpaceDN/>
        <w:bidi w:val="0"/>
        <w:adjustRightInd/>
        <w:snapToGrid/>
        <w:spacing w:before="0" w:line="360" w:lineRule="auto"/>
        <w:ind w:left="0" w:leftChars="0" w:firstLine="0" w:firstLineChars="0"/>
        <w:jc w:val="center"/>
        <w:textAlignment w:val="auto"/>
        <w:rPr>
          <w:rFonts w:hint="eastAsia" w:ascii="仿宋" w:hAnsi="仿宋" w:eastAsia="仿宋" w:cs="仿宋"/>
          <w:spacing w:val="9"/>
          <w:w w:val="95"/>
          <w:sz w:val="36"/>
          <w:szCs w:val="36"/>
          <w:lang w:eastAsia="zh-CN"/>
        </w:rPr>
      </w:pPr>
      <w:r>
        <w:rPr>
          <w:rFonts w:hint="eastAsia" w:ascii="仿宋" w:hAnsi="仿宋" w:eastAsia="仿宋" w:cs="仿宋"/>
          <w:spacing w:val="9"/>
          <w:w w:val="95"/>
          <w:sz w:val="36"/>
          <w:szCs w:val="36"/>
          <w:lang w:eastAsia="zh-CN"/>
        </w:rPr>
        <w:t>采购需求</w:t>
      </w:r>
    </w:p>
    <w:p w14:paraId="71229103">
      <w:pPr>
        <w:pStyle w:val="17"/>
        <w:keepNext w:val="0"/>
        <w:keepLines w:val="0"/>
        <w:pageBreakBefore w:val="0"/>
        <w:widowControl w:val="0"/>
        <w:kinsoku/>
        <w:wordWrap/>
        <w:overflowPunct/>
        <w:topLinePunct w:val="0"/>
        <w:autoSpaceDE/>
        <w:autoSpaceDN/>
        <w:bidi w:val="0"/>
        <w:adjustRightInd/>
        <w:snapToGrid/>
        <w:spacing w:before="0" w:line="360" w:lineRule="auto"/>
        <w:ind w:left="0" w:firstLine="494" w:firstLineChars="200"/>
        <w:textAlignment w:val="auto"/>
        <w:rPr>
          <w:rFonts w:hint="eastAsia" w:ascii="仿宋" w:hAnsi="仿宋" w:eastAsia="仿宋" w:cs="仿宋"/>
          <w:sz w:val="24"/>
          <w:szCs w:val="24"/>
        </w:rPr>
      </w:pPr>
      <w:r>
        <w:rPr>
          <w:rFonts w:hint="eastAsia" w:ascii="仿宋" w:hAnsi="仿宋" w:eastAsia="仿宋" w:cs="仿宋"/>
          <w:spacing w:val="9"/>
          <w:w w:val="95"/>
          <w:sz w:val="24"/>
          <w:szCs w:val="24"/>
        </w:rPr>
        <w:t>一、采购内容及要求</w:t>
      </w:r>
    </w:p>
    <w:p w14:paraId="37EC5BC6">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为规范诉讼服务中心管理，提供优质诉讼服务，实现诉讼服务专业化运行，结合我院诉讼服务中心</w:t>
      </w:r>
      <w:r>
        <w:rPr>
          <w:rFonts w:hint="eastAsia" w:ascii="仿宋" w:hAnsi="仿宋" w:eastAsia="仿宋" w:cs="仿宋"/>
          <w:sz w:val="24"/>
          <w:szCs w:val="24"/>
          <w:highlight w:val="none"/>
        </w:rPr>
        <w:t>实际工作，本次对以下</w:t>
      </w:r>
      <w:r>
        <w:rPr>
          <w:rFonts w:hint="eastAsia" w:ascii="仿宋" w:hAnsi="仿宋" w:eastAsia="仿宋" w:cs="仿宋"/>
          <w:sz w:val="24"/>
          <w:szCs w:val="24"/>
          <w:highlight w:val="none"/>
          <w:lang w:val="en-US" w:eastAsia="zh-CN"/>
        </w:rPr>
        <w:t>六</w:t>
      </w:r>
      <w:bookmarkStart w:id="0" w:name="_GoBack"/>
      <w:bookmarkEnd w:id="0"/>
      <w:r>
        <w:rPr>
          <w:rFonts w:hint="eastAsia" w:ascii="仿宋" w:hAnsi="仿宋" w:eastAsia="仿宋" w:cs="仿宋"/>
          <w:sz w:val="24"/>
          <w:szCs w:val="24"/>
          <w:highlight w:val="none"/>
        </w:rPr>
        <w:t>项职能进行劳务外包，拟配备1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人的专业技术团队，各服务职能人员要求如下：</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49"/>
        <w:gridCol w:w="5955"/>
        <w:gridCol w:w="1083"/>
      </w:tblGrid>
      <w:tr w14:paraId="0EA1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747" w:type="dxa"/>
          </w:tcPr>
          <w:p w14:paraId="2EDD8FB7">
            <w:pPr>
              <w:pStyle w:val="12"/>
              <w:autoSpaceDE w:val="0"/>
              <w:autoSpaceDN w:val="0"/>
              <w:spacing w:before="159"/>
              <w:ind w:left="108" w:right="108"/>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序号</w:t>
            </w:r>
          </w:p>
        </w:tc>
        <w:tc>
          <w:tcPr>
            <w:tcW w:w="1249" w:type="dxa"/>
          </w:tcPr>
          <w:p w14:paraId="6F57A33E">
            <w:pPr>
              <w:pStyle w:val="12"/>
              <w:autoSpaceDE w:val="0"/>
              <w:autoSpaceDN w:val="0"/>
              <w:spacing w:before="159"/>
              <w:ind w:left="119" w:right="119"/>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服务职能</w:t>
            </w:r>
          </w:p>
        </w:tc>
        <w:tc>
          <w:tcPr>
            <w:tcW w:w="5955" w:type="dxa"/>
          </w:tcPr>
          <w:p w14:paraId="346304A3">
            <w:pPr>
              <w:pStyle w:val="12"/>
              <w:autoSpaceDE w:val="0"/>
              <w:autoSpaceDN w:val="0"/>
              <w:spacing w:before="159"/>
              <w:ind w:left="2473" w:right="247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具体需求</w:t>
            </w:r>
          </w:p>
        </w:tc>
        <w:tc>
          <w:tcPr>
            <w:tcW w:w="1083" w:type="dxa"/>
          </w:tcPr>
          <w:p w14:paraId="1CAFD9F1">
            <w:pPr>
              <w:pStyle w:val="12"/>
              <w:autoSpaceDE w:val="0"/>
              <w:autoSpaceDN w:val="0"/>
              <w:spacing w:before="159"/>
              <w:ind w:left="115"/>
              <w:rPr>
                <w:rFonts w:hint="eastAsia" w:ascii="仿宋" w:hAnsi="仿宋" w:eastAsia="仿宋" w:cs="仿宋"/>
                <w:sz w:val="24"/>
                <w:szCs w:val="24"/>
                <w:lang w:eastAsia="en-US"/>
              </w:rPr>
            </w:pPr>
            <w:r>
              <w:rPr>
                <w:rFonts w:hint="eastAsia" w:ascii="仿宋" w:hAnsi="仿宋" w:eastAsia="仿宋" w:cs="仿宋"/>
                <w:sz w:val="24"/>
                <w:szCs w:val="24"/>
                <w:lang w:eastAsia="en-US"/>
              </w:rPr>
              <w:t>人数</w:t>
            </w:r>
          </w:p>
        </w:tc>
      </w:tr>
      <w:tr w14:paraId="5EE0E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jc w:val="center"/>
        </w:trPr>
        <w:tc>
          <w:tcPr>
            <w:tcW w:w="747" w:type="dxa"/>
            <w:vAlign w:val="center"/>
          </w:tcPr>
          <w:p w14:paraId="233FE914">
            <w:pPr>
              <w:pStyle w:val="12"/>
              <w:autoSpaceDE w:val="0"/>
              <w:autoSpaceDN w:val="0"/>
              <w:rPr>
                <w:rFonts w:hint="eastAsia" w:ascii="仿宋" w:hAnsi="仿宋" w:eastAsia="仿宋" w:cs="仿宋"/>
                <w:sz w:val="24"/>
                <w:szCs w:val="24"/>
                <w:lang w:eastAsia="en-US"/>
              </w:rPr>
            </w:pPr>
          </w:p>
          <w:p w14:paraId="0BB0B013">
            <w:pPr>
              <w:pStyle w:val="12"/>
              <w:autoSpaceDE w:val="0"/>
              <w:autoSpaceDN w:val="0"/>
              <w:rPr>
                <w:rFonts w:hint="eastAsia" w:ascii="仿宋" w:hAnsi="仿宋" w:eastAsia="仿宋" w:cs="仿宋"/>
                <w:sz w:val="24"/>
                <w:szCs w:val="24"/>
                <w:lang w:eastAsia="en-US"/>
              </w:rPr>
            </w:pPr>
          </w:p>
          <w:p w14:paraId="32092401">
            <w:pPr>
              <w:pStyle w:val="12"/>
              <w:autoSpaceDE w:val="0"/>
              <w:autoSpaceDN w:val="0"/>
              <w:spacing w:before="193"/>
              <w:ind w:left="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1</w:t>
            </w:r>
          </w:p>
        </w:tc>
        <w:tc>
          <w:tcPr>
            <w:tcW w:w="1249" w:type="dxa"/>
            <w:vAlign w:val="center"/>
          </w:tcPr>
          <w:p w14:paraId="7CBB8425">
            <w:pPr>
              <w:pStyle w:val="12"/>
              <w:autoSpaceDE w:val="0"/>
              <w:autoSpaceDN w:val="0"/>
              <w:spacing w:before="193"/>
              <w:ind w:left="119" w:leftChars="0" w:right="119" w:rightChars="0"/>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导诉职能</w:t>
            </w:r>
          </w:p>
        </w:tc>
        <w:tc>
          <w:tcPr>
            <w:tcW w:w="5955" w:type="dxa"/>
            <w:vAlign w:val="center"/>
          </w:tcPr>
          <w:p w14:paraId="0F879478">
            <w:pPr>
              <w:pStyle w:val="12"/>
              <w:autoSpaceDE w:val="0"/>
              <w:autoSpaceDN w:val="0"/>
              <w:spacing w:before="40" w:line="300" w:lineRule="auto"/>
              <w:ind w:left="106" w:leftChars="0" w:right="107" w:rightChars="0"/>
              <w:rPr>
                <w:rFonts w:hint="eastAsia" w:ascii="仿宋" w:hAnsi="仿宋" w:eastAsia="仿宋" w:cs="仿宋"/>
                <w:sz w:val="24"/>
                <w:szCs w:val="24"/>
                <w:lang w:eastAsia="en-US"/>
              </w:rPr>
            </w:pPr>
            <w:r>
              <w:rPr>
                <w:rFonts w:hint="eastAsia" w:ascii="仿宋" w:hAnsi="仿宋" w:eastAsia="仿宋" w:cs="仿宋"/>
                <w:sz w:val="24"/>
                <w:szCs w:val="24"/>
                <w:lang w:eastAsia="en-US"/>
              </w:rPr>
              <w:t>负责群众来访接待引导，并为来访人员提供一般的程序性法律咨询，根据群众来访目的将其引导至相关服务区域或告知其相应的解决办法，含挂号分流、信息查询协调调度、受理建议、12368接听,处置突发状况等。</w:t>
            </w:r>
          </w:p>
        </w:tc>
        <w:tc>
          <w:tcPr>
            <w:tcW w:w="1083" w:type="dxa"/>
            <w:vAlign w:val="center"/>
          </w:tcPr>
          <w:p w14:paraId="00F13B75">
            <w:pPr>
              <w:pStyle w:val="12"/>
              <w:autoSpaceDE w:val="0"/>
              <w:autoSpaceDN w:val="0"/>
              <w:spacing w:before="193"/>
              <w:jc w:val="center"/>
              <w:rPr>
                <w:rFonts w:hint="eastAsia" w:ascii="仿宋" w:hAnsi="仿宋" w:eastAsia="仿宋" w:cs="仿宋"/>
                <w:sz w:val="24"/>
                <w:szCs w:val="24"/>
                <w:lang w:eastAsia="en-US"/>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en-US"/>
              </w:rPr>
              <w:t>人</w:t>
            </w:r>
          </w:p>
        </w:tc>
      </w:tr>
      <w:tr w14:paraId="57BC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jc w:val="center"/>
        </w:trPr>
        <w:tc>
          <w:tcPr>
            <w:tcW w:w="747" w:type="dxa"/>
            <w:vAlign w:val="center"/>
          </w:tcPr>
          <w:p w14:paraId="4AAB0638">
            <w:pPr>
              <w:pStyle w:val="12"/>
              <w:autoSpaceDE w:val="0"/>
              <w:autoSpaceDN w:val="0"/>
              <w:spacing w:before="195"/>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2</w:t>
            </w:r>
          </w:p>
        </w:tc>
        <w:tc>
          <w:tcPr>
            <w:tcW w:w="1249" w:type="dxa"/>
            <w:vAlign w:val="center"/>
          </w:tcPr>
          <w:p w14:paraId="7B729D6A">
            <w:pPr>
              <w:pStyle w:val="12"/>
              <w:autoSpaceDE w:val="0"/>
              <w:autoSpaceDN w:val="0"/>
              <w:spacing w:before="195"/>
              <w:ind w:left="119" w:leftChars="0" w:right="119" w:rightChars="0"/>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窗口值守</w:t>
            </w:r>
          </w:p>
        </w:tc>
        <w:tc>
          <w:tcPr>
            <w:tcW w:w="5955" w:type="dxa"/>
            <w:vAlign w:val="center"/>
          </w:tcPr>
          <w:p w14:paraId="5ADF3CC4">
            <w:pPr>
              <w:pStyle w:val="12"/>
              <w:autoSpaceDE w:val="0"/>
              <w:autoSpaceDN w:val="0"/>
              <w:spacing w:before="39" w:line="300" w:lineRule="auto"/>
              <w:ind w:left="106" w:leftChars="0" w:right="57" w:rightChars="0"/>
              <w:rPr>
                <w:rFonts w:hint="eastAsia" w:ascii="仿宋" w:hAnsi="仿宋" w:eastAsia="仿宋" w:cs="仿宋"/>
                <w:sz w:val="24"/>
                <w:szCs w:val="24"/>
                <w:lang w:eastAsia="en-US"/>
              </w:rPr>
            </w:pPr>
            <w:r>
              <w:rPr>
                <w:rFonts w:hint="eastAsia" w:ascii="仿宋" w:hAnsi="仿宋" w:eastAsia="仿宋" w:cs="仿宋"/>
                <w:sz w:val="24"/>
                <w:szCs w:val="24"/>
                <w:lang w:eastAsia="en-US"/>
              </w:rPr>
              <w:t>负责给当事人提供各类案件及各平台案件的查询</w:t>
            </w:r>
            <w:r>
              <w:rPr>
                <w:rFonts w:hint="eastAsia" w:ascii="仿宋" w:hAnsi="仿宋" w:eastAsia="仿宋" w:cs="仿宋"/>
                <w:sz w:val="24"/>
                <w:szCs w:val="24"/>
                <w:lang w:eastAsia="zh-CN"/>
              </w:rPr>
              <w:t>；负责换票和账户管理事宜；负责机要件,邮寄件材料接收,统计.转送工作。</w:t>
            </w:r>
          </w:p>
        </w:tc>
        <w:tc>
          <w:tcPr>
            <w:tcW w:w="1083" w:type="dxa"/>
            <w:vAlign w:val="center"/>
          </w:tcPr>
          <w:p w14:paraId="78C9FE90">
            <w:pPr>
              <w:pStyle w:val="12"/>
              <w:autoSpaceDE w:val="0"/>
              <w:autoSpaceDN w:val="0"/>
              <w:spacing w:before="195"/>
              <w:jc w:val="center"/>
              <w:rPr>
                <w:rFonts w:hint="eastAsia" w:ascii="仿宋" w:hAnsi="仿宋" w:eastAsia="仿宋" w:cs="仿宋"/>
                <w:sz w:val="24"/>
                <w:szCs w:val="24"/>
                <w:lang w:eastAsia="en-US"/>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en-US"/>
              </w:rPr>
              <w:t>人</w:t>
            </w:r>
          </w:p>
        </w:tc>
      </w:tr>
      <w:tr w14:paraId="6ACE8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747" w:type="dxa"/>
            <w:vAlign w:val="center"/>
          </w:tcPr>
          <w:p w14:paraId="61393CEF">
            <w:pPr>
              <w:pStyle w:val="12"/>
              <w:autoSpaceDE w:val="0"/>
              <w:autoSpaceDN w:val="0"/>
              <w:spacing w:before="39"/>
              <w:ind w:left="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3</w:t>
            </w:r>
          </w:p>
        </w:tc>
        <w:tc>
          <w:tcPr>
            <w:tcW w:w="1249" w:type="dxa"/>
            <w:vAlign w:val="center"/>
          </w:tcPr>
          <w:p w14:paraId="74F79DA0">
            <w:pPr>
              <w:pStyle w:val="12"/>
              <w:autoSpaceDE w:val="0"/>
              <w:autoSpaceDN w:val="0"/>
              <w:ind w:left="119" w:leftChars="0" w:right="119" w:rightChars="0"/>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录入工作</w:t>
            </w:r>
          </w:p>
        </w:tc>
        <w:tc>
          <w:tcPr>
            <w:tcW w:w="5955" w:type="dxa"/>
            <w:vAlign w:val="center"/>
          </w:tcPr>
          <w:p w14:paraId="139EB386">
            <w:pPr>
              <w:pStyle w:val="12"/>
              <w:autoSpaceDE w:val="0"/>
              <w:autoSpaceDN w:val="0"/>
              <w:spacing w:before="39" w:line="300" w:lineRule="auto"/>
              <w:ind w:left="106" w:leftChars="0" w:right="107" w:rightChars="0"/>
              <w:rPr>
                <w:rFonts w:hint="eastAsia" w:ascii="仿宋" w:hAnsi="仿宋" w:eastAsia="仿宋" w:cs="仿宋"/>
                <w:sz w:val="24"/>
                <w:szCs w:val="24"/>
                <w:lang w:eastAsia="en-US"/>
              </w:rPr>
            </w:pPr>
            <w:r>
              <w:rPr>
                <w:rFonts w:hint="eastAsia" w:ascii="仿宋" w:hAnsi="仿宋" w:eastAsia="仿宋" w:cs="仿宋"/>
                <w:sz w:val="24"/>
                <w:szCs w:val="24"/>
                <w:lang w:eastAsia="en-US"/>
              </w:rPr>
              <w:t>负责本院各类案件材料的接收、扫描和案件信息的集中录入.诉调平台.自助立案推送.网上立案及电子卷宗同步生成工作</w:t>
            </w:r>
            <w:r>
              <w:rPr>
                <w:rFonts w:hint="eastAsia" w:ascii="仿宋" w:hAnsi="仿宋" w:eastAsia="仿宋" w:cs="仿宋"/>
                <w:sz w:val="24"/>
                <w:szCs w:val="24"/>
                <w:lang w:eastAsia="zh-CN"/>
              </w:rPr>
              <w:t>。</w:t>
            </w:r>
          </w:p>
        </w:tc>
        <w:tc>
          <w:tcPr>
            <w:tcW w:w="1083" w:type="dxa"/>
            <w:vAlign w:val="center"/>
          </w:tcPr>
          <w:p w14:paraId="59A5917A">
            <w:pPr>
              <w:pStyle w:val="12"/>
              <w:autoSpaceDE w:val="0"/>
              <w:autoSpaceDN w:val="0"/>
              <w:spacing w:before="39"/>
              <w:jc w:val="center"/>
              <w:rPr>
                <w:rFonts w:hint="eastAsia" w:ascii="仿宋" w:hAnsi="仿宋" w:eastAsia="仿宋" w:cs="仿宋"/>
                <w:sz w:val="24"/>
                <w:szCs w:val="24"/>
                <w:lang w:eastAsia="en-US"/>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en-US"/>
              </w:rPr>
              <w:t>人</w:t>
            </w:r>
          </w:p>
        </w:tc>
      </w:tr>
      <w:tr w14:paraId="527B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747" w:type="dxa"/>
            <w:vAlign w:val="center"/>
          </w:tcPr>
          <w:p w14:paraId="303289EB">
            <w:pPr>
              <w:pStyle w:val="12"/>
              <w:autoSpaceDE w:val="0"/>
              <w:autoSpaceDN w:val="0"/>
              <w:spacing w:before="38"/>
              <w:ind w:left="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4</w:t>
            </w:r>
          </w:p>
        </w:tc>
        <w:tc>
          <w:tcPr>
            <w:tcW w:w="1249" w:type="dxa"/>
            <w:vAlign w:val="center"/>
          </w:tcPr>
          <w:p w14:paraId="423484BF">
            <w:pPr>
              <w:pStyle w:val="12"/>
              <w:autoSpaceDE w:val="0"/>
              <w:autoSpaceDN w:val="0"/>
              <w:ind w:left="119" w:leftChars="0" w:right="119" w:rightChars="0"/>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财务</w:t>
            </w:r>
          </w:p>
        </w:tc>
        <w:tc>
          <w:tcPr>
            <w:tcW w:w="5955" w:type="dxa"/>
            <w:vAlign w:val="center"/>
          </w:tcPr>
          <w:p w14:paraId="1FE1D063">
            <w:pPr>
              <w:pStyle w:val="12"/>
              <w:autoSpaceDE w:val="0"/>
              <w:autoSpaceDN w:val="0"/>
              <w:spacing w:before="39" w:line="300" w:lineRule="auto"/>
              <w:ind w:left="106" w:leftChars="0" w:right="107" w:rightChars="0"/>
              <w:rPr>
                <w:rFonts w:hint="eastAsia" w:ascii="仿宋" w:hAnsi="仿宋" w:eastAsia="仿宋" w:cs="仿宋"/>
                <w:sz w:val="24"/>
                <w:szCs w:val="24"/>
                <w:lang w:eastAsia="en-US"/>
              </w:rPr>
            </w:pPr>
            <w:r>
              <w:rPr>
                <w:rFonts w:hint="eastAsia" w:ascii="仿宋" w:hAnsi="仿宋" w:eastAsia="仿宋" w:cs="仿宋"/>
                <w:sz w:val="24"/>
                <w:szCs w:val="24"/>
                <w:lang w:eastAsia="en-US"/>
              </w:rPr>
              <w:t>快速处理交退费及配合档案室等事务</w:t>
            </w:r>
            <w:r>
              <w:rPr>
                <w:rFonts w:hint="eastAsia" w:ascii="仿宋" w:hAnsi="仿宋" w:eastAsia="仿宋" w:cs="仿宋"/>
                <w:sz w:val="24"/>
                <w:szCs w:val="24"/>
                <w:lang w:eastAsia="zh-CN"/>
              </w:rPr>
              <w:t>。</w:t>
            </w:r>
          </w:p>
        </w:tc>
        <w:tc>
          <w:tcPr>
            <w:tcW w:w="1083" w:type="dxa"/>
            <w:vAlign w:val="center"/>
          </w:tcPr>
          <w:p w14:paraId="737B56F8">
            <w:pPr>
              <w:pStyle w:val="12"/>
              <w:autoSpaceDE w:val="0"/>
              <w:autoSpaceDN w:val="0"/>
              <w:spacing w:before="38"/>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2人</w:t>
            </w:r>
          </w:p>
        </w:tc>
      </w:tr>
      <w:tr w14:paraId="2CEE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jc w:val="center"/>
        </w:trPr>
        <w:tc>
          <w:tcPr>
            <w:tcW w:w="747" w:type="dxa"/>
            <w:vAlign w:val="center"/>
          </w:tcPr>
          <w:p w14:paraId="3E0CB900">
            <w:pPr>
              <w:pStyle w:val="12"/>
              <w:autoSpaceDE w:val="0"/>
              <w:autoSpaceDN w:val="0"/>
              <w:spacing w:before="39"/>
              <w:ind w:left="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5</w:t>
            </w:r>
          </w:p>
        </w:tc>
        <w:tc>
          <w:tcPr>
            <w:tcW w:w="1249" w:type="dxa"/>
            <w:vAlign w:val="center"/>
          </w:tcPr>
          <w:p w14:paraId="70023344">
            <w:pPr>
              <w:pStyle w:val="12"/>
              <w:autoSpaceDE w:val="0"/>
              <w:autoSpaceDN w:val="0"/>
              <w:spacing w:before="38"/>
              <w:ind w:left="121" w:leftChars="0"/>
              <w:jc w:val="left"/>
              <w:rPr>
                <w:rFonts w:hint="eastAsia" w:ascii="仿宋" w:hAnsi="仿宋" w:eastAsia="仿宋" w:cs="仿宋"/>
                <w:sz w:val="24"/>
                <w:szCs w:val="24"/>
                <w:lang w:eastAsia="en-US"/>
              </w:rPr>
            </w:pPr>
            <w:r>
              <w:rPr>
                <w:rFonts w:hint="eastAsia" w:ascii="仿宋" w:hAnsi="仿宋" w:eastAsia="仿宋" w:cs="仿宋"/>
                <w:sz w:val="24"/>
                <w:szCs w:val="24"/>
                <w:lang w:eastAsia="en-US"/>
              </w:rPr>
              <w:t>上诉案件卷宗流转</w:t>
            </w:r>
          </w:p>
        </w:tc>
        <w:tc>
          <w:tcPr>
            <w:tcW w:w="5955" w:type="dxa"/>
            <w:vAlign w:val="center"/>
          </w:tcPr>
          <w:p w14:paraId="42D2C874">
            <w:pPr>
              <w:pStyle w:val="12"/>
              <w:autoSpaceDE w:val="0"/>
              <w:autoSpaceDN w:val="0"/>
              <w:spacing w:before="38"/>
              <w:ind w:left="106" w:leftChars="0"/>
              <w:rPr>
                <w:rFonts w:hint="eastAsia" w:ascii="仿宋" w:hAnsi="仿宋" w:eastAsia="仿宋" w:cs="仿宋"/>
                <w:sz w:val="24"/>
                <w:szCs w:val="24"/>
                <w:lang w:eastAsia="en-US"/>
              </w:rPr>
            </w:pPr>
            <w:r>
              <w:rPr>
                <w:rFonts w:hint="eastAsia" w:ascii="仿宋" w:hAnsi="仿宋" w:eastAsia="仿宋" w:cs="仿宋"/>
                <w:sz w:val="24"/>
                <w:szCs w:val="24"/>
                <w:lang w:eastAsia="en-US"/>
              </w:rPr>
              <w:t>将本法院的上诉案件,再审案件,鉴定案件,整理归类并移送，进一步规范卷宗流转，缩短流转时间。</w:t>
            </w:r>
          </w:p>
        </w:tc>
        <w:tc>
          <w:tcPr>
            <w:tcW w:w="1083" w:type="dxa"/>
            <w:vAlign w:val="center"/>
          </w:tcPr>
          <w:p w14:paraId="1C2DD688">
            <w:pPr>
              <w:pStyle w:val="12"/>
              <w:autoSpaceDE w:val="0"/>
              <w:autoSpaceDN w:val="0"/>
              <w:spacing w:before="39"/>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2人</w:t>
            </w:r>
          </w:p>
        </w:tc>
      </w:tr>
      <w:tr w14:paraId="49B7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747" w:type="dxa"/>
            <w:vAlign w:val="center"/>
          </w:tcPr>
          <w:p w14:paraId="5872E09E">
            <w:pPr>
              <w:pStyle w:val="12"/>
              <w:autoSpaceDE w:val="0"/>
              <w:autoSpaceDN w:val="0"/>
              <w:spacing w:before="38"/>
              <w:ind w:left="2"/>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6</w:t>
            </w:r>
          </w:p>
        </w:tc>
        <w:tc>
          <w:tcPr>
            <w:tcW w:w="1249" w:type="dxa"/>
            <w:vAlign w:val="center"/>
          </w:tcPr>
          <w:p w14:paraId="244ADEF0">
            <w:pPr>
              <w:pStyle w:val="12"/>
              <w:autoSpaceDE w:val="0"/>
              <w:autoSpaceDN w:val="0"/>
              <w:ind w:left="119" w:leftChars="0" w:right="119" w:rightChars="0"/>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案件材料登记,流转</w:t>
            </w:r>
          </w:p>
        </w:tc>
        <w:tc>
          <w:tcPr>
            <w:tcW w:w="5955" w:type="dxa"/>
            <w:vAlign w:val="center"/>
          </w:tcPr>
          <w:p w14:paraId="2BBB7CDA">
            <w:pPr>
              <w:pStyle w:val="12"/>
              <w:autoSpaceDE w:val="0"/>
              <w:autoSpaceDN w:val="0"/>
              <w:spacing w:before="2"/>
              <w:ind w:left="106" w:leftChars="0"/>
              <w:rPr>
                <w:rFonts w:hint="eastAsia" w:ascii="仿宋" w:hAnsi="仿宋" w:eastAsia="仿宋" w:cs="仿宋"/>
                <w:sz w:val="24"/>
                <w:szCs w:val="24"/>
                <w:lang w:eastAsia="en-US"/>
              </w:rPr>
            </w:pPr>
            <w:r>
              <w:rPr>
                <w:rFonts w:hint="eastAsia" w:ascii="仿宋" w:hAnsi="仿宋" w:eastAsia="仿宋" w:cs="仿宋"/>
                <w:sz w:val="24"/>
                <w:szCs w:val="24"/>
                <w:lang w:eastAsia="en-US"/>
              </w:rPr>
              <w:t>承担全部诉讼材料收转送及窗口收案登记流转工作,让当事人无需再因递送材料来往法官办公室，诉讼服务中心为当事人提供一站式服务。</w:t>
            </w:r>
          </w:p>
        </w:tc>
        <w:tc>
          <w:tcPr>
            <w:tcW w:w="1083" w:type="dxa"/>
            <w:vAlign w:val="center"/>
          </w:tcPr>
          <w:p w14:paraId="112AA4DE">
            <w:pPr>
              <w:pStyle w:val="12"/>
              <w:autoSpaceDE w:val="0"/>
              <w:autoSpaceDN w:val="0"/>
              <w:spacing w:before="79"/>
              <w:jc w:val="center"/>
              <w:rPr>
                <w:rFonts w:hint="eastAsia" w:ascii="仿宋" w:hAnsi="仿宋" w:eastAsia="仿宋" w:cs="仿宋"/>
                <w:sz w:val="24"/>
                <w:szCs w:val="24"/>
                <w:lang w:eastAsia="en-US"/>
              </w:rPr>
            </w:pPr>
            <w:r>
              <w:rPr>
                <w:rFonts w:hint="eastAsia" w:ascii="仿宋" w:hAnsi="仿宋" w:eastAsia="仿宋" w:cs="仿宋"/>
                <w:sz w:val="24"/>
                <w:szCs w:val="24"/>
                <w:lang w:eastAsia="en-US"/>
              </w:rPr>
              <w:t>1人</w:t>
            </w:r>
          </w:p>
        </w:tc>
      </w:tr>
    </w:tbl>
    <w:p w14:paraId="1E4BD5FB">
      <w:pPr>
        <w:rPr>
          <w:rFonts w:hint="eastAsia" w:ascii="仿宋" w:hAnsi="仿宋" w:eastAsia="仿宋" w:cs="仿宋"/>
          <w:sz w:val="24"/>
          <w:szCs w:val="24"/>
        </w:rPr>
        <w:sectPr>
          <w:pgSz w:w="11910" w:h="16840"/>
          <w:pgMar w:top="1020" w:right="840" w:bottom="1180" w:left="1140" w:header="823" w:footer="1000" w:gutter="0"/>
          <w:pgBorders>
            <w:top w:val="none" w:sz="0" w:space="0"/>
            <w:left w:val="none" w:sz="0" w:space="0"/>
            <w:bottom w:val="none" w:sz="0" w:space="0"/>
            <w:right w:val="none" w:sz="0" w:space="0"/>
          </w:pgBorders>
          <w:cols w:space="720" w:num="1"/>
        </w:sectPr>
      </w:pPr>
    </w:p>
    <w:p w14:paraId="5C89E784">
      <w:pPr>
        <w:pStyle w:val="17"/>
        <w:keepNext w:val="0"/>
        <w:keepLines w:val="0"/>
        <w:pageBreakBefore w:val="0"/>
        <w:widowControl w:val="0"/>
        <w:kinsoku/>
        <w:wordWrap/>
        <w:overflowPunct/>
        <w:topLinePunct w:val="0"/>
        <w:autoSpaceDE/>
        <w:autoSpaceDN/>
        <w:bidi w:val="0"/>
        <w:adjustRightInd/>
        <w:snapToGrid/>
        <w:spacing w:before="0" w:line="360" w:lineRule="auto"/>
        <w:ind w:left="0" w:firstLine="482"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外包总体要求</w:t>
      </w:r>
    </w:p>
    <w:p w14:paraId="1AE8A504">
      <w:pPr>
        <w:pStyle w:val="16"/>
        <w:keepNext w:val="0"/>
        <w:keepLines w:val="0"/>
        <w:pageBreakBefore w:val="0"/>
        <w:tabs>
          <w:tab w:val="left" w:pos="1109"/>
        </w:tabs>
        <w:kinsoku/>
        <w:wordWrap/>
        <w:overflowPunct/>
        <w:topLinePunct w:val="0"/>
        <w:autoSpaceDE/>
        <w:autoSpaceDN/>
        <w:bidi w:val="0"/>
        <w:spacing w:line="360" w:lineRule="auto"/>
        <w:ind w:left="0" w:right="0" w:firstLine="512" w:firstLineChars="200"/>
        <w:jc w:val="left"/>
        <w:textAlignment w:val="auto"/>
        <w:rPr>
          <w:rFonts w:hint="eastAsia" w:ascii="仿宋" w:hAnsi="仿宋" w:eastAsia="仿宋" w:cs="仿宋"/>
          <w:sz w:val="24"/>
          <w:szCs w:val="24"/>
        </w:rPr>
      </w:pPr>
      <w:r>
        <w:rPr>
          <w:rFonts w:hint="eastAsia" w:ascii="仿宋" w:hAnsi="仿宋" w:eastAsia="仿宋" w:cs="仿宋"/>
          <w:spacing w:val="8"/>
          <w:sz w:val="24"/>
          <w:szCs w:val="24"/>
        </w:rPr>
        <w:t>1、人员培训：所有应聘人员应进行必要的岗前及在岗培训。</w:t>
      </w:r>
    </w:p>
    <w:p w14:paraId="05486C4A">
      <w:pPr>
        <w:pStyle w:val="16"/>
        <w:keepNext w:val="0"/>
        <w:keepLines w:val="0"/>
        <w:pageBreakBefore w:val="0"/>
        <w:tabs>
          <w:tab w:val="left" w:pos="1109"/>
        </w:tabs>
        <w:kinsoku/>
        <w:wordWrap/>
        <w:overflowPunct/>
        <w:topLinePunct w:val="0"/>
        <w:autoSpaceDE/>
        <w:autoSpaceDN/>
        <w:bidi w:val="0"/>
        <w:spacing w:line="360" w:lineRule="auto"/>
        <w:ind w:left="0" w:right="0" w:firstLine="508" w:firstLineChars="200"/>
        <w:jc w:val="left"/>
        <w:textAlignment w:val="auto"/>
        <w:rPr>
          <w:rFonts w:hint="eastAsia" w:ascii="仿宋" w:hAnsi="仿宋" w:eastAsia="仿宋" w:cs="仿宋"/>
          <w:sz w:val="24"/>
          <w:szCs w:val="24"/>
        </w:rPr>
      </w:pPr>
      <w:r>
        <w:rPr>
          <w:rFonts w:hint="eastAsia" w:ascii="仿宋" w:hAnsi="仿宋" w:eastAsia="仿宋" w:cs="仿宋"/>
          <w:spacing w:val="7"/>
          <w:sz w:val="24"/>
          <w:szCs w:val="24"/>
        </w:rPr>
        <w:t>2、人员工资：</w:t>
      </w:r>
    </w:p>
    <w:p w14:paraId="4E75CE8E">
      <w:pPr>
        <w:pStyle w:val="2"/>
        <w:keepNext w:val="0"/>
        <w:keepLines w:val="0"/>
        <w:pageBreakBefore w:val="0"/>
        <w:kinsoku/>
        <w:wordWrap/>
        <w:overflowPunct/>
        <w:topLinePunct w:val="0"/>
        <w:autoSpaceDE/>
        <w:autoSpaceDN/>
        <w:bidi w:val="0"/>
        <w:spacing w:line="360" w:lineRule="auto"/>
        <w:ind w:left="0" w:right="0" w:firstLine="516" w:firstLineChars="200"/>
        <w:jc w:val="left"/>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人员工资由基础底薪、绩效工资、社保</w:t>
      </w:r>
      <w:r>
        <w:rPr>
          <w:rFonts w:hint="eastAsia" w:ascii="仿宋" w:hAnsi="仿宋" w:eastAsia="仿宋" w:cs="仿宋"/>
          <w:spacing w:val="9"/>
          <w:sz w:val="24"/>
          <w:szCs w:val="24"/>
          <w:highlight w:val="none"/>
          <w:lang w:eastAsia="zh-CN"/>
        </w:rPr>
        <w:t>（五险）</w:t>
      </w:r>
      <w:r>
        <w:rPr>
          <w:rFonts w:hint="eastAsia" w:ascii="仿宋" w:hAnsi="仿宋" w:eastAsia="仿宋" w:cs="仿宋"/>
          <w:spacing w:val="9"/>
          <w:sz w:val="24"/>
          <w:szCs w:val="24"/>
          <w:highlight w:val="none"/>
        </w:rPr>
        <w:t>、福利工资</w:t>
      </w:r>
      <w:r>
        <w:rPr>
          <w:rFonts w:hint="eastAsia" w:ascii="仿宋" w:hAnsi="仿宋" w:eastAsia="仿宋" w:cs="仿宋"/>
          <w:spacing w:val="11"/>
          <w:sz w:val="24"/>
          <w:szCs w:val="24"/>
          <w:highlight w:val="none"/>
        </w:rPr>
        <w:t>（</w:t>
      </w:r>
      <w:r>
        <w:rPr>
          <w:rFonts w:hint="eastAsia" w:ascii="仿宋" w:hAnsi="仿宋" w:eastAsia="仿宋" w:cs="仿宋"/>
          <w:sz w:val="24"/>
          <w:szCs w:val="24"/>
          <w:highlight w:val="none"/>
        </w:rPr>
        <w:t>冬</w:t>
      </w:r>
      <w:r>
        <w:rPr>
          <w:rFonts w:hint="eastAsia" w:ascii="仿宋" w:hAnsi="仿宋" w:eastAsia="仿宋" w:cs="仿宋"/>
          <w:spacing w:val="7"/>
          <w:sz w:val="24"/>
          <w:szCs w:val="24"/>
          <w:highlight w:val="none"/>
        </w:rPr>
        <w:t>季取暖、夏季降温、节日慰问</w:t>
      </w:r>
      <w:r>
        <w:rPr>
          <w:rFonts w:hint="eastAsia" w:ascii="仿宋" w:hAnsi="仿宋" w:eastAsia="仿宋" w:cs="仿宋"/>
          <w:spacing w:val="4"/>
          <w:sz w:val="24"/>
          <w:szCs w:val="24"/>
          <w:highlight w:val="none"/>
        </w:rPr>
        <w:t>）</w:t>
      </w:r>
      <w:r>
        <w:rPr>
          <w:rFonts w:hint="eastAsia" w:ascii="仿宋" w:hAnsi="仿宋" w:eastAsia="仿宋" w:cs="仿宋"/>
          <w:spacing w:val="6"/>
          <w:sz w:val="24"/>
          <w:szCs w:val="24"/>
          <w:highlight w:val="none"/>
        </w:rPr>
        <w:t>组成；人员服装费、培训费、管理费、</w:t>
      </w:r>
      <w:r>
        <w:rPr>
          <w:rFonts w:hint="eastAsia" w:ascii="仿宋" w:hAnsi="仿宋" w:eastAsia="仿宋" w:cs="仿宋"/>
          <w:spacing w:val="8"/>
          <w:sz w:val="24"/>
          <w:szCs w:val="24"/>
          <w:highlight w:val="none"/>
        </w:rPr>
        <w:t>商业保险、体检费、保障金</w:t>
      </w:r>
      <w:r>
        <w:rPr>
          <w:rFonts w:hint="eastAsia" w:ascii="仿宋" w:hAnsi="仿宋" w:eastAsia="仿宋" w:cs="仿宋"/>
          <w:spacing w:val="8"/>
          <w:sz w:val="24"/>
          <w:szCs w:val="24"/>
          <w:highlight w:val="none"/>
          <w:lang w:eastAsia="zh-CN"/>
        </w:rPr>
        <w:t>、材料费</w:t>
      </w:r>
      <w:r>
        <w:rPr>
          <w:rFonts w:hint="eastAsia" w:ascii="仿宋" w:hAnsi="仿宋" w:eastAsia="仿宋" w:cs="仿宋"/>
          <w:spacing w:val="8"/>
          <w:sz w:val="24"/>
          <w:szCs w:val="24"/>
          <w:highlight w:val="none"/>
        </w:rPr>
        <w:t>等不含在内。</w:t>
      </w:r>
    </w:p>
    <w:p w14:paraId="6E094904">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人员工资底薪每月不低于3000.00元；其他政策性费用（社会保险、基本医疗保险、失业,工伤保险,生育保险,取暖、工会、残疾人保障金等）标准均应不低于西安市现行政策要求。</w:t>
      </w:r>
    </w:p>
    <w:p w14:paraId="19D2D67E">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rPr>
        <w:t>应按照《劳动法》、《劳动合同法》等法律法规规定，及时与劳务外包人员签订劳动合同，按时足额发放工资，办理</w:t>
      </w:r>
      <w:r>
        <w:rPr>
          <w:rFonts w:hint="eastAsia" w:ascii="仿宋" w:hAnsi="仿宋" w:eastAsia="仿宋" w:cs="仿宋"/>
          <w:sz w:val="24"/>
          <w:szCs w:val="24"/>
        </w:rPr>
        <w:t>缴纳社会保险等。</w:t>
      </w:r>
    </w:p>
    <w:p w14:paraId="741B1B80">
      <w:pPr>
        <w:pStyle w:val="16"/>
        <w:keepNext w:val="0"/>
        <w:keepLines w:val="0"/>
        <w:pageBreakBefore w:val="0"/>
        <w:tabs>
          <w:tab w:val="left" w:pos="1109"/>
        </w:tabs>
        <w:kinsoku/>
        <w:wordWrap/>
        <w:overflowPunct/>
        <w:topLinePunct w:val="0"/>
        <w:autoSpaceDE/>
        <w:autoSpaceDN/>
        <w:bidi w:val="0"/>
        <w:spacing w:line="360" w:lineRule="auto"/>
        <w:ind w:left="0" w:right="0" w:firstLine="508" w:firstLineChars="200"/>
        <w:jc w:val="left"/>
        <w:textAlignment w:val="auto"/>
        <w:rPr>
          <w:rFonts w:hint="eastAsia" w:ascii="仿宋" w:hAnsi="仿宋" w:eastAsia="仿宋" w:cs="仿宋"/>
          <w:sz w:val="24"/>
          <w:szCs w:val="24"/>
        </w:rPr>
      </w:pPr>
      <w:r>
        <w:rPr>
          <w:rFonts w:hint="eastAsia" w:ascii="仿宋" w:hAnsi="仿宋" w:eastAsia="仿宋" w:cs="仿宋"/>
          <w:spacing w:val="7"/>
          <w:sz w:val="24"/>
          <w:szCs w:val="24"/>
        </w:rPr>
        <w:t>3、人员服装</w:t>
      </w:r>
    </w:p>
    <w:p w14:paraId="203294D2">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夏装一套、春秋装一套，服装总费用人均不低于 1200 元。</w:t>
      </w:r>
    </w:p>
    <w:p w14:paraId="58BFAB0A">
      <w:pPr>
        <w:pStyle w:val="16"/>
        <w:keepNext w:val="0"/>
        <w:keepLines w:val="0"/>
        <w:pageBreakBefore w:val="0"/>
        <w:tabs>
          <w:tab w:val="left" w:pos="1109"/>
        </w:tabs>
        <w:kinsoku/>
        <w:wordWrap/>
        <w:overflowPunct/>
        <w:topLinePunct w:val="0"/>
        <w:autoSpaceDE/>
        <w:autoSpaceDN/>
        <w:bidi w:val="0"/>
        <w:spacing w:line="360" w:lineRule="auto"/>
        <w:ind w:left="0" w:right="0" w:firstLine="508" w:firstLineChars="200"/>
        <w:jc w:val="left"/>
        <w:textAlignment w:val="auto"/>
        <w:rPr>
          <w:rFonts w:hint="eastAsia" w:ascii="仿宋" w:hAnsi="仿宋" w:eastAsia="仿宋" w:cs="仿宋"/>
          <w:sz w:val="24"/>
          <w:szCs w:val="24"/>
        </w:rPr>
      </w:pPr>
      <w:r>
        <w:rPr>
          <w:rFonts w:hint="eastAsia" w:ascii="仿宋" w:hAnsi="仿宋" w:eastAsia="仿宋" w:cs="仿宋"/>
          <w:spacing w:val="7"/>
          <w:sz w:val="24"/>
          <w:szCs w:val="24"/>
        </w:rPr>
        <w:t>4、管理要求</w:t>
      </w:r>
    </w:p>
    <w:p w14:paraId="2E56FAF5">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应负责管理所有服务人员，按时足额向服务人员发放薪资报酬等，处理服务期内劳动过程中产生的劳动争议、人身安全等所有纠纷，因服务人员的劳动争议等纠纷产生的赔偿费用及后果，由供应商自行承担，与采购人无关。</w:t>
      </w:r>
    </w:p>
    <w:p w14:paraId="4CAA8F6D">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为确保服务人员能够完成</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约定交办的各项业务和工作任务， </w:t>
      </w:r>
      <w:r>
        <w:rPr>
          <w:rFonts w:hint="eastAsia" w:ascii="仿宋" w:hAnsi="仿宋" w:eastAsia="仿宋" w:cs="仿宋"/>
          <w:sz w:val="24"/>
          <w:szCs w:val="24"/>
          <w:lang w:eastAsia="zh-CN"/>
        </w:rPr>
        <w:t>供应商</w:t>
      </w:r>
      <w:r>
        <w:rPr>
          <w:rFonts w:hint="eastAsia" w:ascii="仿宋" w:hAnsi="仿宋" w:eastAsia="仿宋" w:cs="仿宋"/>
          <w:sz w:val="24"/>
          <w:szCs w:val="24"/>
        </w:rPr>
        <w:t>应主动接受</w:t>
      </w:r>
      <w:r>
        <w:rPr>
          <w:rFonts w:hint="eastAsia" w:ascii="仿宋" w:hAnsi="仿宋" w:eastAsia="仿宋" w:cs="仿宋"/>
          <w:sz w:val="24"/>
          <w:szCs w:val="24"/>
          <w:lang w:eastAsia="zh-CN"/>
        </w:rPr>
        <w:t>采购人</w:t>
      </w:r>
      <w:r>
        <w:rPr>
          <w:rFonts w:hint="eastAsia" w:ascii="仿宋" w:hAnsi="仿宋" w:eastAsia="仿宋" w:cs="仿宋"/>
          <w:sz w:val="24"/>
          <w:szCs w:val="24"/>
        </w:rPr>
        <w:t>对服务人员进行业务管理，听取</w:t>
      </w:r>
      <w:r>
        <w:rPr>
          <w:rFonts w:hint="eastAsia" w:ascii="仿宋" w:hAnsi="仿宋" w:eastAsia="仿宋" w:cs="仿宋"/>
          <w:sz w:val="24"/>
          <w:szCs w:val="24"/>
          <w:lang w:eastAsia="zh-CN"/>
        </w:rPr>
        <w:t>采购人</w:t>
      </w:r>
      <w:r>
        <w:rPr>
          <w:rFonts w:hint="eastAsia" w:ascii="仿宋" w:hAnsi="仿宋" w:eastAsia="仿宋" w:cs="仿宋"/>
          <w:sz w:val="24"/>
          <w:szCs w:val="24"/>
        </w:rPr>
        <w:t>对服务人员绩效评定意见。</w:t>
      </w:r>
      <w:r>
        <w:rPr>
          <w:rFonts w:hint="eastAsia" w:ascii="仿宋" w:hAnsi="仿宋" w:eastAsia="仿宋" w:cs="仿宋"/>
          <w:sz w:val="24"/>
          <w:szCs w:val="24"/>
          <w:lang w:eastAsia="zh-CN"/>
        </w:rPr>
        <w:t>供应商</w:t>
      </w:r>
      <w:r>
        <w:rPr>
          <w:rFonts w:hint="eastAsia" w:ascii="仿宋" w:hAnsi="仿宋" w:eastAsia="仿宋" w:cs="仿宋"/>
          <w:sz w:val="24"/>
          <w:szCs w:val="24"/>
        </w:rPr>
        <w:t>应及时考虑</w:t>
      </w:r>
      <w:r>
        <w:rPr>
          <w:rFonts w:hint="eastAsia" w:ascii="仿宋" w:hAnsi="仿宋" w:eastAsia="仿宋" w:cs="仿宋"/>
          <w:sz w:val="24"/>
          <w:szCs w:val="24"/>
          <w:lang w:eastAsia="zh-CN"/>
        </w:rPr>
        <w:t>采购人</w:t>
      </w:r>
      <w:r>
        <w:rPr>
          <w:rFonts w:hint="eastAsia" w:ascii="仿宋" w:hAnsi="仿宋" w:eastAsia="仿宋" w:cs="仿宋"/>
          <w:sz w:val="24"/>
          <w:szCs w:val="24"/>
        </w:rPr>
        <w:t>对服务人员的调整、辞退意见。工作时间按照</w:t>
      </w:r>
      <w:r>
        <w:rPr>
          <w:rFonts w:hint="eastAsia" w:ascii="仿宋" w:hAnsi="仿宋" w:eastAsia="仿宋" w:cs="仿宋"/>
          <w:sz w:val="24"/>
          <w:szCs w:val="24"/>
          <w:lang w:eastAsia="zh-CN"/>
        </w:rPr>
        <w:t>采购人</w:t>
      </w:r>
      <w:r>
        <w:rPr>
          <w:rFonts w:hint="eastAsia" w:ascii="仿宋" w:hAnsi="仿宋" w:eastAsia="仿宋" w:cs="仿宋"/>
          <w:sz w:val="24"/>
          <w:szCs w:val="24"/>
        </w:rPr>
        <w:t>规定的工时制，工作日正常上下班，法定节假日及重要节假日期间需要安排值班的，由供应商按照值班人员名单及值班天数,给值班人员发放加班费和误餐补贴。</w:t>
      </w:r>
    </w:p>
    <w:p w14:paraId="67419C79">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供应商服务过程中须接受</w:t>
      </w:r>
      <w:r>
        <w:rPr>
          <w:rFonts w:hint="eastAsia" w:ascii="仿宋" w:hAnsi="仿宋" w:eastAsia="仿宋" w:cs="仿宋"/>
          <w:sz w:val="24"/>
          <w:szCs w:val="24"/>
          <w:lang w:eastAsia="zh-CN"/>
        </w:rPr>
        <w:t>采购人</w:t>
      </w:r>
      <w:r>
        <w:rPr>
          <w:rFonts w:hint="eastAsia" w:ascii="仿宋" w:hAnsi="仿宋" w:eastAsia="仿宋" w:cs="仿宋"/>
          <w:sz w:val="24"/>
          <w:szCs w:val="24"/>
        </w:rPr>
        <w:t>监督及考核，若服务过程中因人员自身问题考核不合格，</w:t>
      </w:r>
      <w:r>
        <w:rPr>
          <w:rFonts w:hint="eastAsia" w:ascii="仿宋" w:hAnsi="仿宋" w:eastAsia="仿宋" w:cs="仿宋"/>
          <w:sz w:val="24"/>
          <w:szCs w:val="24"/>
          <w:lang w:eastAsia="zh-CN"/>
        </w:rPr>
        <w:t>采购人</w:t>
      </w:r>
      <w:r>
        <w:rPr>
          <w:rFonts w:hint="eastAsia" w:ascii="仿宋" w:hAnsi="仿宋" w:eastAsia="仿宋" w:cs="仿宋"/>
          <w:sz w:val="24"/>
          <w:szCs w:val="24"/>
        </w:rPr>
        <w:t>有权要求更换服务人员，若因供应商管理问题，</w:t>
      </w:r>
      <w:r>
        <w:rPr>
          <w:rFonts w:hint="eastAsia" w:ascii="仿宋" w:hAnsi="仿宋" w:eastAsia="仿宋" w:cs="仿宋"/>
          <w:sz w:val="24"/>
          <w:szCs w:val="24"/>
          <w:lang w:eastAsia="zh-CN"/>
        </w:rPr>
        <w:t>采购人</w:t>
      </w:r>
      <w:r>
        <w:rPr>
          <w:rFonts w:hint="eastAsia" w:ascii="仿宋" w:hAnsi="仿宋" w:eastAsia="仿宋" w:cs="仿宋"/>
          <w:sz w:val="24"/>
          <w:szCs w:val="24"/>
        </w:rPr>
        <w:t>有权进行处罚并要求供应商进行整改，若整改后无法满足</w:t>
      </w:r>
      <w:r>
        <w:rPr>
          <w:rFonts w:hint="eastAsia" w:ascii="仿宋" w:hAnsi="仿宋" w:eastAsia="仿宋" w:cs="仿宋"/>
          <w:sz w:val="24"/>
          <w:szCs w:val="24"/>
          <w:lang w:eastAsia="zh-CN"/>
        </w:rPr>
        <w:t>采购人</w:t>
      </w:r>
      <w:r>
        <w:rPr>
          <w:rFonts w:hint="eastAsia" w:ascii="仿宋" w:hAnsi="仿宋" w:eastAsia="仿宋" w:cs="仿宋"/>
          <w:sz w:val="24"/>
          <w:szCs w:val="24"/>
        </w:rPr>
        <w:t>服务要求，</w:t>
      </w:r>
      <w:r>
        <w:rPr>
          <w:rFonts w:hint="eastAsia" w:ascii="仿宋" w:hAnsi="仿宋" w:eastAsia="仿宋" w:cs="仿宋"/>
          <w:sz w:val="24"/>
          <w:szCs w:val="24"/>
          <w:lang w:eastAsia="zh-CN"/>
        </w:rPr>
        <w:t>采购人</w:t>
      </w:r>
      <w:r>
        <w:rPr>
          <w:rFonts w:hint="eastAsia" w:ascii="仿宋" w:hAnsi="仿宋" w:eastAsia="仿宋" w:cs="仿宋"/>
          <w:sz w:val="24"/>
          <w:szCs w:val="24"/>
        </w:rPr>
        <w:t>有权更换服务单位。</w:t>
      </w:r>
    </w:p>
    <w:p w14:paraId="41A92B60">
      <w:pPr>
        <w:pStyle w:val="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5、人员要求</w:t>
      </w:r>
    </w:p>
    <w:p w14:paraId="74BAB2C3">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窗口及导诉人员,提供无犯罪记录证明,并且签订保密承诺书.</w:t>
      </w:r>
    </w:p>
    <w:p w14:paraId="28E5DEE9">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其他岗位人员年龄要求</w:t>
      </w:r>
      <w:r>
        <w:rPr>
          <w:rFonts w:hint="eastAsia" w:ascii="仿宋" w:hAnsi="仿宋" w:eastAsia="仿宋" w:cs="仿宋"/>
          <w:sz w:val="24"/>
          <w:szCs w:val="24"/>
          <w:lang w:val="en-US" w:eastAsia="zh-CN"/>
        </w:rPr>
        <w:t>18</w:t>
      </w:r>
      <w:r>
        <w:rPr>
          <w:rFonts w:hint="eastAsia" w:ascii="仿宋" w:hAnsi="仿宋" w:eastAsia="仿宋" w:cs="仿宋"/>
          <w:sz w:val="24"/>
          <w:szCs w:val="24"/>
        </w:rPr>
        <w:t>岁</w:t>
      </w:r>
      <w:r>
        <w:rPr>
          <w:rFonts w:hint="eastAsia" w:ascii="仿宋" w:hAnsi="仿宋" w:eastAsia="仿宋" w:cs="仿宋"/>
          <w:sz w:val="24"/>
          <w:szCs w:val="24"/>
          <w:lang w:val="en-US" w:eastAsia="zh-CN"/>
        </w:rPr>
        <w:t>到55岁之间</w:t>
      </w:r>
      <w:r>
        <w:rPr>
          <w:rFonts w:hint="eastAsia" w:ascii="仿宋" w:hAnsi="仿宋" w:eastAsia="仿宋" w:cs="仿宋"/>
          <w:sz w:val="24"/>
          <w:szCs w:val="24"/>
        </w:rPr>
        <w:t>,具体相关专业知识及相关工作经验.</w:t>
      </w:r>
    </w:p>
    <w:p w14:paraId="715BF058">
      <w:pPr>
        <w:pStyle w:val="16"/>
        <w:keepNext w:val="0"/>
        <w:keepLines w:val="0"/>
        <w:pageBreakBefore w:val="0"/>
        <w:tabs>
          <w:tab w:val="left" w:pos="1112"/>
        </w:tabs>
        <w:kinsoku/>
        <w:wordWrap/>
        <w:overflowPunct/>
        <w:topLinePunct w:val="0"/>
        <w:autoSpaceDE/>
        <w:autoSpaceDN/>
        <w:bidi w:val="0"/>
        <w:spacing w:line="360" w:lineRule="auto"/>
        <w:ind w:left="0" w:right="0" w:firstLine="504" w:firstLineChars="200"/>
        <w:jc w:val="left"/>
        <w:textAlignment w:val="auto"/>
        <w:rPr>
          <w:rFonts w:hint="eastAsia" w:ascii="仿宋" w:hAnsi="仿宋" w:eastAsia="仿宋" w:cs="仿宋"/>
          <w:sz w:val="24"/>
          <w:szCs w:val="24"/>
        </w:rPr>
      </w:pPr>
      <w:r>
        <w:rPr>
          <w:rFonts w:hint="eastAsia" w:ascii="仿宋" w:hAnsi="仿宋" w:eastAsia="仿宋" w:cs="仿宋"/>
          <w:spacing w:val="6"/>
          <w:sz w:val="24"/>
          <w:szCs w:val="24"/>
        </w:rPr>
        <w:t>6、费用说明</w:t>
      </w:r>
    </w:p>
    <w:p w14:paraId="01891C93">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投标报价应包含人员工资、</w:t>
      </w:r>
      <w:r>
        <w:rPr>
          <w:rFonts w:hint="eastAsia" w:ascii="仿宋" w:hAnsi="仿宋" w:eastAsia="仿宋" w:cs="仿宋"/>
          <w:sz w:val="24"/>
          <w:szCs w:val="24"/>
          <w:highlight w:val="none"/>
          <w:lang w:eastAsia="zh-CN"/>
        </w:rPr>
        <w:t>社保费用（五险）、医疗费用、管理费用、材料费、一切税费（包括增值税发票）、保险费</w:t>
      </w:r>
      <w:r>
        <w:rPr>
          <w:rFonts w:hint="eastAsia" w:ascii="仿宋" w:hAnsi="仿宋" w:eastAsia="仿宋" w:cs="仿宋"/>
          <w:sz w:val="24"/>
          <w:szCs w:val="24"/>
          <w:highlight w:val="none"/>
        </w:rPr>
        <w:t>、培训</w:t>
      </w:r>
      <w:r>
        <w:rPr>
          <w:rFonts w:hint="eastAsia" w:ascii="仿宋" w:hAnsi="仿宋" w:eastAsia="仿宋" w:cs="仿宋"/>
          <w:sz w:val="24"/>
          <w:szCs w:val="24"/>
          <w:highlight w:val="none"/>
          <w:lang w:eastAsia="zh-CN"/>
        </w:rPr>
        <w:t>费、资料、招标代理服务费、</w:t>
      </w:r>
      <w:r>
        <w:rPr>
          <w:rFonts w:hint="eastAsia" w:ascii="仿宋" w:hAnsi="仿宋" w:eastAsia="仿宋" w:cs="仿宋"/>
          <w:sz w:val="24"/>
          <w:szCs w:val="24"/>
          <w:highlight w:val="none"/>
        </w:rPr>
        <w:t>政策性费用等以及项目实施全过程中产生的所有费用。</w:t>
      </w:r>
    </w:p>
    <w:p w14:paraId="31118BB0">
      <w:pPr>
        <w:pStyle w:val="16"/>
        <w:keepNext w:val="0"/>
        <w:keepLines w:val="0"/>
        <w:pageBreakBefore w:val="0"/>
        <w:tabs>
          <w:tab w:val="left" w:pos="1112"/>
        </w:tabs>
        <w:kinsoku/>
        <w:wordWrap/>
        <w:overflowPunct/>
        <w:topLinePunct w:val="0"/>
        <w:autoSpaceDE/>
        <w:autoSpaceDN/>
        <w:bidi w:val="0"/>
        <w:spacing w:line="360" w:lineRule="auto"/>
        <w:ind w:left="0" w:right="0" w:firstLine="508" w:firstLineChars="200"/>
        <w:jc w:val="left"/>
        <w:textAlignment w:val="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7、服务质量要求</w:t>
      </w:r>
    </w:p>
    <w:p w14:paraId="17FB6910">
      <w:pPr>
        <w:pStyle w:val="2"/>
        <w:keepNext w:val="0"/>
        <w:keepLines w:val="0"/>
        <w:pageBreakBefore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highlight w:val="none"/>
        </w:rPr>
        <w:t>对我院案件信息录入及时率达到100%，录入正确率达到100%，立案阶段随案生成率达到85%，12368电话接通</w:t>
      </w:r>
      <w:r>
        <w:rPr>
          <w:rFonts w:hint="eastAsia" w:ascii="仿宋" w:hAnsi="仿宋" w:eastAsia="仿宋" w:cs="仿宋"/>
          <w:sz w:val="24"/>
          <w:szCs w:val="24"/>
        </w:rPr>
        <w:t>率达到85%以上，群众满意度达到98%；法官满意度达到98%。</w:t>
      </w:r>
    </w:p>
    <w:p w14:paraId="23F0C99E">
      <w:pPr>
        <w:keepNext w:val="0"/>
        <w:keepLines w:val="0"/>
        <w:pageBreakBefore w:val="0"/>
        <w:widowControl/>
        <w:kinsoku/>
        <w:wordWrap/>
        <w:overflowPunct/>
        <w:topLinePunct w:val="0"/>
        <w:autoSpaceDE/>
        <w:autoSpaceDN/>
        <w:bidi w:val="0"/>
        <w:spacing w:line="360" w:lineRule="auto"/>
        <w:ind w:left="0" w:right="0"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三、商务要求</w:t>
      </w:r>
    </w:p>
    <w:p w14:paraId="0AB00B9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1.付款方式</w:t>
      </w:r>
    </w:p>
    <w:p w14:paraId="5B41A50D">
      <w:pPr>
        <w:pStyle w:val="2"/>
        <w:keepNext w:val="0"/>
        <w:keepLines w:val="0"/>
        <w:pageBreakBefore w:val="0"/>
        <w:widowControl w:val="0"/>
        <w:kinsoku/>
        <w:wordWrap/>
        <w:overflowPunct/>
        <w:topLinePunct w:val="0"/>
        <w:autoSpaceDE/>
        <w:autoSpaceDN/>
        <w:bidi w:val="0"/>
        <w:spacing w:line="360" w:lineRule="auto"/>
        <w:ind w:left="0" w:right="0" w:firstLine="476" w:firstLineChars="200"/>
        <w:jc w:val="left"/>
        <w:textAlignment w:val="auto"/>
        <w:rPr>
          <w:rFonts w:hint="eastAsia" w:ascii="仿宋" w:hAnsi="仿宋" w:eastAsia="仿宋" w:cs="仿宋"/>
          <w:b w:val="0"/>
          <w:bCs/>
          <w:spacing w:val="-1"/>
          <w:sz w:val="24"/>
          <w:szCs w:val="24"/>
          <w:highlight w:val="none"/>
          <w:lang w:eastAsia="zh-CN"/>
        </w:rPr>
      </w:pPr>
      <w:r>
        <w:rPr>
          <w:rFonts w:hint="eastAsia" w:ascii="仿宋" w:hAnsi="仿宋" w:eastAsia="仿宋" w:cs="仿宋"/>
          <w:b w:val="0"/>
          <w:bCs/>
          <w:spacing w:val="-1"/>
          <w:sz w:val="24"/>
          <w:szCs w:val="24"/>
          <w:highlight w:val="none"/>
          <w:lang w:val="en-US" w:eastAsia="zh-CN"/>
        </w:rPr>
        <w:t>1.1</w:t>
      </w:r>
      <w:r>
        <w:rPr>
          <w:rFonts w:hint="eastAsia" w:ascii="仿宋" w:hAnsi="仿宋" w:eastAsia="仿宋" w:cs="仿宋"/>
          <w:b w:val="0"/>
          <w:bCs/>
          <w:spacing w:val="-1"/>
          <w:sz w:val="24"/>
          <w:szCs w:val="24"/>
          <w:highlight w:val="none"/>
        </w:rPr>
        <w:t>合同签订</w:t>
      </w:r>
      <w:r>
        <w:rPr>
          <w:rFonts w:hint="eastAsia" w:ascii="仿宋" w:hAnsi="仿宋" w:eastAsia="仿宋" w:cs="仿宋"/>
          <w:b w:val="0"/>
          <w:bCs/>
          <w:spacing w:val="-1"/>
          <w:sz w:val="24"/>
          <w:szCs w:val="24"/>
          <w:highlight w:val="none"/>
          <w:lang w:eastAsia="zh-CN"/>
        </w:rPr>
        <w:t>后</w:t>
      </w:r>
      <w:r>
        <w:rPr>
          <w:rFonts w:hint="eastAsia" w:ascii="仿宋" w:hAnsi="仿宋" w:eastAsia="仿宋" w:cs="仿宋"/>
          <w:b w:val="0"/>
          <w:bCs/>
          <w:spacing w:val="-1"/>
          <w:sz w:val="24"/>
          <w:szCs w:val="24"/>
          <w:highlight w:val="none"/>
        </w:rPr>
        <w:t>10</w:t>
      </w:r>
      <w:r>
        <w:rPr>
          <w:rFonts w:hint="eastAsia" w:ascii="仿宋" w:hAnsi="仿宋" w:eastAsia="仿宋" w:cs="仿宋"/>
          <w:b w:val="0"/>
          <w:bCs/>
          <w:spacing w:val="-1"/>
          <w:sz w:val="24"/>
          <w:szCs w:val="24"/>
          <w:highlight w:val="none"/>
          <w:lang w:eastAsia="zh-CN"/>
        </w:rPr>
        <w:t>日</w:t>
      </w:r>
      <w:r>
        <w:rPr>
          <w:rFonts w:hint="eastAsia" w:ascii="仿宋" w:hAnsi="仿宋" w:eastAsia="仿宋" w:cs="仿宋"/>
          <w:b w:val="0"/>
          <w:bCs/>
          <w:spacing w:val="-1"/>
          <w:sz w:val="24"/>
          <w:szCs w:val="24"/>
          <w:highlight w:val="none"/>
        </w:rPr>
        <w:t>内,</w:t>
      </w:r>
      <w:r>
        <w:rPr>
          <w:rFonts w:hint="eastAsia" w:ascii="仿宋" w:hAnsi="仿宋" w:eastAsia="仿宋" w:cs="仿宋"/>
          <w:b w:val="0"/>
          <w:bCs/>
          <w:spacing w:val="-1"/>
          <w:sz w:val="24"/>
          <w:szCs w:val="24"/>
          <w:highlight w:val="none"/>
          <w:lang w:eastAsia="zh-CN"/>
        </w:rPr>
        <w:t>采购人支付</w:t>
      </w:r>
      <w:r>
        <w:rPr>
          <w:rFonts w:hint="eastAsia" w:ascii="仿宋" w:hAnsi="仿宋" w:eastAsia="仿宋" w:cs="仿宋"/>
          <w:b w:val="0"/>
          <w:bCs/>
          <w:spacing w:val="-1"/>
          <w:sz w:val="24"/>
          <w:szCs w:val="24"/>
          <w:highlight w:val="none"/>
        </w:rPr>
        <w:t>合同</w:t>
      </w:r>
      <w:r>
        <w:rPr>
          <w:rFonts w:hint="eastAsia" w:ascii="仿宋" w:hAnsi="仿宋" w:eastAsia="仿宋" w:cs="仿宋"/>
          <w:b w:val="0"/>
          <w:bCs/>
          <w:spacing w:val="-1"/>
          <w:sz w:val="24"/>
          <w:szCs w:val="24"/>
          <w:highlight w:val="none"/>
          <w:lang w:eastAsia="zh-CN"/>
        </w:rPr>
        <w:t>总</w:t>
      </w:r>
      <w:r>
        <w:rPr>
          <w:rFonts w:hint="eastAsia" w:ascii="仿宋" w:hAnsi="仿宋" w:eastAsia="仿宋" w:cs="仿宋"/>
          <w:b w:val="0"/>
          <w:bCs/>
          <w:spacing w:val="-1"/>
          <w:sz w:val="24"/>
          <w:szCs w:val="24"/>
          <w:highlight w:val="none"/>
        </w:rPr>
        <w:t>额的</w:t>
      </w:r>
      <w:r>
        <w:rPr>
          <w:rFonts w:hint="eastAsia" w:ascii="仿宋" w:hAnsi="仿宋" w:eastAsia="仿宋" w:cs="仿宋"/>
          <w:b w:val="0"/>
          <w:bCs/>
          <w:spacing w:val="-1"/>
          <w:sz w:val="24"/>
          <w:szCs w:val="24"/>
          <w:highlight w:val="none"/>
          <w:lang w:val="en-US" w:eastAsia="zh-CN"/>
        </w:rPr>
        <w:t>50</w:t>
      </w:r>
      <w:r>
        <w:rPr>
          <w:rFonts w:hint="eastAsia" w:ascii="仿宋" w:hAnsi="仿宋" w:eastAsia="仿宋" w:cs="仿宋"/>
          <w:b w:val="0"/>
          <w:bCs/>
          <w:spacing w:val="-1"/>
          <w:sz w:val="24"/>
          <w:szCs w:val="24"/>
          <w:highlight w:val="none"/>
        </w:rPr>
        <w:t>%(</w:t>
      </w:r>
      <w:r>
        <w:rPr>
          <w:rFonts w:hint="eastAsia" w:ascii="仿宋" w:hAnsi="仿宋" w:eastAsia="仿宋" w:cs="仿宋"/>
          <w:b w:val="0"/>
          <w:bCs/>
          <w:spacing w:val="-1"/>
          <w:sz w:val="24"/>
          <w:szCs w:val="24"/>
          <w:highlight w:val="none"/>
          <w:lang w:val="en-US" w:eastAsia="zh-CN"/>
        </w:rPr>
        <w:t>1~6月服务</w:t>
      </w:r>
      <w:r>
        <w:rPr>
          <w:rFonts w:hint="eastAsia" w:ascii="仿宋" w:hAnsi="仿宋" w:eastAsia="仿宋" w:cs="仿宋"/>
          <w:b w:val="0"/>
          <w:bCs/>
          <w:spacing w:val="-1"/>
          <w:sz w:val="24"/>
          <w:szCs w:val="24"/>
          <w:highlight w:val="none"/>
        </w:rPr>
        <w:t>费)</w:t>
      </w:r>
      <w:r>
        <w:rPr>
          <w:rFonts w:hint="eastAsia" w:ascii="仿宋" w:hAnsi="仿宋" w:eastAsia="仿宋" w:cs="仿宋"/>
          <w:b w:val="0"/>
          <w:bCs/>
          <w:spacing w:val="-1"/>
          <w:sz w:val="24"/>
          <w:szCs w:val="24"/>
          <w:highlight w:val="none"/>
          <w:lang w:eastAsia="zh-CN"/>
        </w:rPr>
        <w:t>；剩余部分每季度初按</w:t>
      </w:r>
      <w:r>
        <w:rPr>
          <w:rFonts w:hint="eastAsia" w:ascii="仿宋" w:hAnsi="仿宋" w:eastAsia="仿宋" w:cs="仿宋"/>
          <w:b w:val="0"/>
          <w:bCs/>
          <w:spacing w:val="-1"/>
          <w:sz w:val="24"/>
          <w:szCs w:val="24"/>
          <w:highlight w:val="none"/>
        </w:rPr>
        <w:t>合同</w:t>
      </w:r>
      <w:r>
        <w:rPr>
          <w:rFonts w:hint="eastAsia" w:ascii="仿宋" w:hAnsi="仿宋" w:eastAsia="仿宋" w:cs="仿宋"/>
          <w:b w:val="0"/>
          <w:bCs/>
          <w:spacing w:val="-1"/>
          <w:sz w:val="24"/>
          <w:szCs w:val="24"/>
          <w:highlight w:val="none"/>
          <w:lang w:eastAsia="zh-CN"/>
        </w:rPr>
        <w:t>总</w:t>
      </w:r>
      <w:r>
        <w:rPr>
          <w:rFonts w:hint="eastAsia" w:ascii="仿宋" w:hAnsi="仿宋" w:eastAsia="仿宋" w:cs="仿宋"/>
          <w:b w:val="0"/>
          <w:bCs/>
          <w:spacing w:val="-1"/>
          <w:sz w:val="24"/>
          <w:szCs w:val="24"/>
          <w:highlight w:val="none"/>
        </w:rPr>
        <w:t>额</w:t>
      </w:r>
      <w:r>
        <w:rPr>
          <w:rFonts w:hint="eastAsia" w:ascii="仿宋" w:hAnsi="仿宋" w:eastAsia="仿宋" w:cs="仿宋"/>
          <w:b w:val="0"/>
          <w:bCs/>
          <w:spacing w:val="-1"/>
          <w:sz w:val="24"/>
          <w:szCs w:val="24"/>
          <w:highlight w:val="none"/>
          <w:lang w:eastAsia="zh-CN"/>
        </w:rPr>
        <w:t>的</w:t>
      </w:r>
      <w:r>
        <w:rPr>
          <w:rFonts w:hint="eastAsia" w:ascii="仿宋" w:hAnsi="仿宋" w:eastAsia="仿宋" w:cs="仿宋"/>
          <w:b w:val="0"/>
          <w:bCs/>
          <w:spacing w:val="-1"/>
          <w:sz w:val="24"/>
          <w:szCs w:val="24"/>
          <w:highlight w:val="none"/>
          <w:lang w:val="en-US" w:eastAsia="zh-CN"/>
        </w:rPr>
        <w:t>25%</w:t>
      </w:r>
      <w:r>
        <w:rPr>
          <w:rFonts w:hint="eastAsia" w:ascii="仿宋" w:hAnsi="仿宋" w:eastAsia="仿宋" w:cs="仿宋"/>
          <w:b w:val="0"/>
          <w:bCs/>
          <w:spacing w:val="-1"/>
          <w:sz w:val="24"/>
          <w:szCs w:val="24"/>
          <w:highlight w:val="none"/>
          <w:lang w:eastAsia="zh-CN"/>
        </w:rPr>
        <w:t>支付，直至合同履行完毕。</w:t>
      </w:r>
    </w:p>
    <w:p w14:paraId="3B2EF444">
      <w:pPr>
        <w:pStyle w:val="2"/>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b w:val="0"/>
          <w:bCs/>
          <w:color w:val="000000" w:themeColor="text1"/>
          <w:sz w:val="24"/>
          <w:szCs w:val="24"/>
          <w:highlight w:val="none"/>
          <w:lang w:eastAsia="zh-CN"/>
        </w:rPr>
      </w:pPr>
      <w:r>
        <w:rPr>
          <w:rFonts w:hint="eastAsia" w:ascii="仿宋" w:hAnsi="仿宋" w:eastAsia="仿宋" w:cs="仿宋"/>
          <w:b w:val="0"/>
          <w:bCs/>
          <w:color w:val="000000" w:themeColor="text1"/>
          <w:sz w:val="24"/>
          <w:szCs w:val="24"/>
          <w:highlight w:val="none"/>
          <w:lang w:val="en-US" w:eastAsia="zh-CN"/>
        </w:rPr>
        <w:t>1.2</w:t>
      </w:r>
      <w:r>
        <w:rPr>
          <w:rFonts w:hint="eastAsia" w:ascii="仿宋" w:hAnsi="仿宋" w:eastAsia="仿宋" w:cs="仿宋"/>
          <w:b w:val="0"/>
          <w:bCs/>
          <w:color w:val="000000" w:themeColor="text1"/>
          <w:sz w:val="24"/>
          <w:szCs w:val="24"/>
          <w:highlight w:val="none"/>
        </w:rPr>
        <w:t>支付方式：银行转账</w:t>
      </w:r>
      <w:r>
        <w:rPr>
          <w:rFonts w:hint="eastAsia" w:ascii="仿宋" w:hAnsi="仿宋" w:eastAsia="仿宋" w:cs="仿宋"/>
          <w:b w:val="0"/>
          <w:bCs/>
          <w:color w:val="000000" w:themeColor="text1"/>
          <w:sz w:val="24"/>
          <w:szCs w:val="24"/>
          <w:highlight w:val="none"/>
          <w:lang w:eastAsia="zh-CN"/>
        </w:rPr>
        <w:t>。</w:t>
      </w:r>
    </w:p>
    <w:p w14:paraId="7E0C5739">
      <w:pPr>
        <w:pStyle w:val="2"/>
        <w:keepNext w:val="0"/>
        <w:keepLines w:val="0"/>
        <w:pageBreakBefore w:val="0"/>
        <w:widowControl w:val="0"/>
        <w:kinsoku/>
        <w:wordWrap/>
        <w:overflowPunct/>
        <w:topLinePunct w:val="0"/>
        <w:autoSpaceDE/>
        <w:autoSpaceDN/>
        <w:bidi w:val="0"/>
        <w:spacing w:line="360" w:lineRule="auto"/>
        <w:ind w:left="0" w:right="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color w:val="auto"/>
          <w:sz w:val="24"/>
          <w:szCs w:val="24"/>
          <w:highlight w:val="none"/>
          <w:lang w:val="en-US" w:eastAsia="zh-CN"/>
        </w:rPr>
        <w:t>1.3</w:t>
      </w:r>
      <w:r>
        <w:rPr>
          <w:rFonts w:hint="eastAsia" w:ascii="仿宋" w:hAnsi="仿宋" w:eastAsia="仿宋" w:cs="仿宋"/>
          <w:b w:val="0"/>
          <w:bCs/>
          <w:color w:val="auto"/>
          <w:sz w:val="24"/>
          <w:szCs w:val="24"/>
          <w:highlight w:val="none"/>
        </w:rPr>
        <w:t>结算方式：</w:t>
      </w:r>
      <w:r>
        <w:rPr>
          <w:rFonts w:hint="eastAsia" w:ascii="仿宋" w:hAnsi="仿宋" w:eastAsia="仿宋" w:cs="仿宋"/>
          <w:b w:val="0"/>
          <w:bCs/>
          <w:color w:val="auto"/>
          <w:sz w:val="24"/>
          <w:szCs w:val="24"/>
          <w:highlight w:val="none"/>
          <w:lang w:eastAsia="zh-CN"/>
        </w:rPr>
        <w:t>供应商提供等额增值税</w:t>
      </w:r>
      <w:r>
        <w:rPr>
          <w:rFonts w:hint="eastAsia" w:ascii="仿宋" w:hAnsi="仿宋" w:eastAsia="仿宋" w:cs="仿宋"/>
          <w:b w:val="0"/>
          <w:bCs/>
          <w:color w:val="auto"/>
          <w:sz w:val="24"/>
          <w:szCs w:val="24"/>
          <w:highlight w:val="none"/>
        </w:rPr>
        <w:t>发票</w:t>
      </w:r>
      <w:r>
        <w:rPr>
          <w:rFonts w:hint="eastAsia" w:ascii="仿宋" w:hAnsi="仿宋" w:eastAsia="仿宋" w:cs="仿宋"/>
          <w:b w:val="0"/>
          <w:bCs/>
          <w:color w:val="auto"/>
          <w:sz w:val="24"/>
          <w:szCs w:val="24"/>
          <w:highlight w:val="none"/>
          <w:lang w:eastAsia="zh-CN"/>
        </w:rPr>
        <w:t>后的</w:t>
      </w:r>
      <w:r>
        <w:rPr>
          <w:rFonts w:hint="eastAsia" w:ascii="仿宋" w:hAnsi="仿宋" w:eastAsia="仿宋" w:cs="仿宋"/>
          <w:b w:val="0"/>
          <w:bCs/>
          <w:color w:val="auto"/>
          <w:sz w:val="24"/>
          <w:szCs w:val="24"/>
          <w:highlight w:val="none"/>
          <w:lang w:val="en-US" w:eastAsia="zh-CN"/>
        </w:rPr>
        <w:t>10日内采购人支付。</w:t>
      </w:r>
    </w:p>
    <w:p w14:paraId="4329AB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2.履行期限、地点及方式：</w:t>
      </w:r>
    </w:p>
    <w:p w14:paraId="2CD3570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服务期限：合同签订之日起一年</w:t>
      </w:r>
    </w:p>
    <w:p w14:paraId="269525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服务地点：采购人指定地点</w:t>
      </w:r>
    </w:p>
    <w:p w14:paraId="204F984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方式：采购人指定方式</w:t>
      </w:r>
    </w:p>
    <w:p w14:paraId="6021AAB3">
      <w:pPr>
        <w:pStyle w:val="6"/>
        <w:keepNext w:val="0"/>
        <w:keepLines w:val="0"/>
        <w:pageBreakBefore w:val="0"/>
        <w:widowControl w:val="0"/>
        <w:kinsoku/>
        <w:wordWrap/>
        <w:overflowPunct/>
        <w:topLinePunct w:val="0"/>
        <w:autoSpaceDE/>
        <w:autoSpaceDN/>
        <w:bidi w:val="0"/>
        <w:spacing w:before="0" w:after="0" w:line="360" w:lineRule="auto"/>
        <w:ind w:left="0" w:right="0" w:firstLine="562" w:firstLineChars="200"/>
        <w:jc w:val="left"/>
        <w:textAlignment w:val="auto"/>
        <w:rPr>
          <w:rStyle w:val="18"/>
          <w:rFonts w:hint="eastAsia" w:ascii="仿宋" w:hAnsi="仿宋" w:eastAsia="仿宋" w:cs="仿宋"/>
          <w:sz w:val="28"/>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U2Nzc1MWQ0ZjBhNWY2NzQxMTVhZTYwZmJjOTkxNmUifQ=="/>
  </w:docVars>
  <w:rsids>
    <w:rsidRoot w:val="00180416"/>
    <w:rsid w:val="000131CF"/>
    <w:rsid w:val="000A5551"/>
    <w:rsid w:val="00180416"/>
    <w:rsid w:val="001856DB"/>
    <w:rsid w:val="00210106"/>
    <w:rsid w:val="0027131A"/>
    <w:rsid w:val="002F134D"/>
    <w:rsid w:val="00334A86"/>
    <w:rsid w:val="003918EE"/>
    <w:rsid w:val="003B0AF2"/>
    <w:rsid w:val="003C7E1C"/>
    <w:rsid w:val="004806FE"/>
    <w:rsid w:val="00484940"/>
    <w:rsid w:val="004C5415"/>
    <w:rsid w:val="004E697D"/>
    <w:rsid w:val="00543C7B"/>
    <w:rsid w:val="005A435A"/>
    <w:rsid w:val="005B3A9F"/>
    <w:rsid w:val="005C7C3F"/>
    <w:rsid w:val="006263E7"/>
    <w:rsid w:val="00690E13"/>
    <w:rsid w:val="007031DA"/>
    <w:rsid w:val="00712EB8"/>
    <w:rsid w:val="00716D93"/>
    <w:rsid w:val="0072650D"/>
    <w:rsid w:val="00774083"/>
    <w:rsid w:val="007E547A"/>
    <w:rsid w:val="0082229A"/>
    <w:rsid w:val="008334A4"/>
    <w:rsid w:val="008C095D"/>
    <w:rsid w:val="00920DA4"/>
    <w:rsid w:val="00944F01"/>
    <w:rsid w:val="009A1F38"/>
    <w:rsid w:val="009A6900"/>
    <w:rsid w:val="009C01D2"/>
    <w:rsid w:val="009D3CE8"/>
    <w:rsid w:val="009F2260"/>
    <w:rsid w:val="009F63FF"/>
    <w:rsid w:val="00A257BB"/>
    <w:rsid w:val="00A2689C"/>
    <w:rsid w:val="00A32B26"/>
    <w:rsid w:val="00A35D1E"/>
    <w:rsid w:val="00AA6D7B"/>
    <w:rsid w:val="00B77F9D"/>
    <w:rsid w:val="00BB18EF"/>
    <w:rsid w:val="00BC25DD"/>
    <w:rsid w:val="00BE5E6C"/>
    <w:rsid w:val="00BF314B"/>
    <w:rsid w:val="00C73BF3"/>
    <w:rsid w:val="00CE141F"/>
    <w:rsid w:val="00D03BC0"/>
    <w:rsid w:val="00D1712C"/>
    <w:rsid w:val="00DB7479"/>
    <w:rsid w:val="00DE52C5"/>
    <w:rsid w:val="00EE6DB6"/>
    <w:rsid w:val="00F25542"/>
    <w:rsid w:val="00F35618"/>
    <w:rsid w:val="00F55E70"/>
    <w:rsid w:val="00F662E7"/>
    <w:rsid w:val="00FA01B4"/>
    <w:rsid w:val="00FC5C44"/>
    <w:rsid w:val="19DA2E8B"/>
    <w:rsid w:val="2173411C"/>
    <w:rsid w:val="243206D5"/>
    <w:rsid w:val="24F85451"/>
    <w:rsid w:val="35CD1B07"/>
    <w:rsid w:val="42097B6B"/>
    <w:rsid w:val="5572608E"/>
    <w:rsid w:val="5F1B78C9"/>
    <w:rsid w:val="6EFB3655"/>
    <w:rsid w:val="7A2F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9"/>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
    <w:qFormat/>
    <w:uiPriority w:val="0"/>
    <w:rPr>
      <w:rFonts w:ascii="仿宋_GB2312" w:eastAsia="仿宋_GB2312"/>
      <w:sz w:val="30"/>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9">
    <w:name w:val="标题 1 Char"/>
    <w:basedOn w:val="8"/>
    <w:link w:val="3"/>
    <w:qFormat/>
    <w:uiPriority w:val="0"/>
    <w:rPr>
      <w:b/>
      <w:kern w:val="44"/>
      <w:sz w:val="44"/>
      <w:szCs w:val="24"/>
    </w:rPr>
  </w:style>
  <w:style w:type="character" w:customStyle="1" w:styleId="10">
    <w:name w:val="正文文本 Char"/>
    <w:basedOn w:val="8"/>
    <w:link w:val="2"/>
    <w:qFormat/>
    <w:uiPriority w:val="0"/>
    <w:rPr>
      <w:rFonts w:ascii="仿宋_GB2312" w:eastAsia="仿宋_GB2312"/>
      <w:sz w:val="30"/>
      <w:szCs w:val="24"/>
    </w:rPr>
  </w:style>
  <w:style w:type="table" w:customStyle="1" w:styleId="1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2">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Heading 6"/>
    <w:basedOn w:val="1"/>
    <w:qFormat/>
    <w:uiPriority w:val="1"/>
    <w:pPr>
      <w:spacing w:before="47"/>
      <w:ind w:left="962"/>
      <w:outlineLvl w:val="6"/>
    </w:pPr>
    <w:rPr>
      <w:b/>
      <w:bCs/>
      <w:sz w:val="28"/>
      <w:szCs w:val="28"/>
    </w:rPr>
  </w:style>
  <w:style w:type="character" w:customStyle="1" w:styleId="18">
    <w:name w:val="标题 1 Char1"/>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1579</Words>
  <Characters>1631</Characters>
  <Lines>4</Lines>
  <Paragraphs>1</Paragraphs>
  <TotalTime>1</TotalTime>
  <ScaleCrop>false</ScaleCrop>
  <LinksUpToDate>false</LinksUpToDate>
  <CharactersWithSpaces>1634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2024-06-03T04:35:00Z</dcterms:created>
  <dc:creator>Administrator</dc:creator>
  <cp:lastModifiedBy>LXL</cp:lastModifiedBy>
  <cp:lastPrinted>2023-04-21T02:05:00Z</cp:lastPrinted>
  <dcterms:modified xsi:type="dcterms:W3CDTF">2025-05-19T07:50:31Z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C9903C94022049F78D11068CC83959C4</vt:lpwstr>
  </property>
  <property fmtid="{D5CDD505-2E9C-101B-9397-08002B2CF9AE}" pid="4" name="KSOTemplateDocerSaveRecord">
    <vt:lpwstr>eyJoZGlkIjoiNzM4MTkxNzRlYmUxODI2NGVkYjM2NmFkN2VjYmQ4NWMiLCJ1c2VySWQiOiIzMjM5MjAwNzkifQ==</vt:lpwstr>
  </property>
</Properties>
</file>