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DB05">
      <w:pPr>
        <w:pStyle w:val="2"/>
        <w:spacing w:before="0" w:after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第五章 采购需求</w:t>
      </w:r>
    </w:p>
    <w:p w14:paraId="32813E10">
      <w:pPr>
        <w:pStyle w:val="2"/>
        <w:spacing w:before="360" w:beforeLines="150" w:after="120" w:afterLines="50" w:line="360" w:lineRule="auto"/>
        <w:rPr>
          <w:rFonts w:hint="eastAsia" w:ascii="宋体" w:hAnsi="宋体" w:eastAsia="宋体"/>
          <w:sz w:val="36"/>
          <w:szCs w:val="36"/>
        </w:rPr>
      </w:pPr>
      <w:bookmarkStart w:id="0" w:name="_Toc217446094"/>
      <w:r>
        <w:rPr>
          <w:rFonts w:hint="eastAsia" w:ascii="宋体" w:hAnsi="宋体" w:eastAsia="宋体"/>
          <w:sz w:val="36"/>
          <w:szCs w:val="36"/>
        </w:rPr>
        <w:t>1.项目概况及总体要求</w:t>
      </w:r>
    </w:p>
    <w:p w14:paraId="44B3C80D">
      <w:pPr>
        <w:pStyle w:val="3"/>
        <w:spacing w:line="360" w:lineRule="auto"/>
        <w:ind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以2025年哈萨克斯坦“中国旅游年”为契机，全力推动高质量共建“一带一路”八项行动和中国—中亚峰会成果落细落实，充分发挥陕西省历史人文资源富集优势和丝绸之路经济带重</w:t>
      </w:r>
      <w:r>
        <w:rPr>
          <w:rFonts w:hint="eastAsia" w:ascii="宋体" w:hAnsi="宋体"/>
          <w:b w:val="0"/>
          <w:bCs w:val="0"/>
          <w:sz w:val="24"/>
          <w:szCs w:val="24"/>
        </w:rPr>
        <w:t>要节点作用，以“硬联通”为目标、以“软联通”为支撑、以“心联通”为纽带，聚力打造具有丝绸之路特色的人文旅游品牌，加快塑造对内对外开放发展新动能、新优势，助力高质量共建“一带</w:t>
      </w:r>
      <w:r>
        <w:rPr>
          <w:rFonts w:hint="eastAsia" w:ascii="宋体" w:hAnsi="宋体"/>
          <w:sz w:val="24"/>
          <w:szCs w:val="24"/>
        </w:rPr>
        <w:t>一路”走深走实、行稳致远。</w:t>
      </w:r>
    </w:p>
    <w:p w14:paraId="059EEEE5">
      <w:pPr>
        <w:pStyle w:val="2"/>
        <w:spacing w:before="120" w:beforeLines="50" w:after="120" w:afterLines="50" w:line="360" w:lineRule="auto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2.</w:t>
      </w:r>
      <w:bookmarkEnd w:id="0"/>
      <w:r>
        <w:rPr>
          <w:rFonts w:hint="eastAsia" w:ascii="宋体" w:hAnsi="宋体" w:eastAsia="宋体"/>
          <w:sz w:val="36"/>
          <w:szCs w:val="36"/>
        </w:rPr>
        <w:t>采购内容</w:t>
      </w:r>
    </w:p>
    <w:p w14:paraId="1DE0E59A">
      <w:pPr>
        <w:widowControl/>
        <w:autoSpaceDE w:val="0"/>
        <w:autoSpaceDN w:val="0"/>
        <w:spacing w:before="120" w:beforeLines="50" w:after="120" w:afterLines="50" w:line="360" w:lineRule="auto"/>
        <w:ind w:right="51" w:firstLine="148" w:firstLineChars="49"/>
        <w:textAlignment w:val="bottom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2.1 技术要求</w:t>
      </w:r>
    </w:p>
    <w:p w14:paraId="2DF1A7CC">
      <w:pPr>
        <w:pStyle w:val="4"/>
        <w:spacing w:before="0" w:after="0" w:line="360" w:lineRule="auto"/>
        <w:ind w:firstLine="422" w:firstLineChars="200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</w:rPr>
        <w:t>2.1.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Cs/>
          <w:sz w:val="21"/>
          <w:szCs w:val="21"/>
        </w:rPr>
        <w:t xml:space="preserve"> 服务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内容</w:t>
      </w:r>
    </w:p>
    <w:p w14:paraId="29D5C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列车通车费用：包括西安至霍尔果斯口岸列车沿途往返送餐4天、西安至阿拉木图往返车费(含车票、加油、去污、上水、车组人员和乘务员费用)、霍尔果斯至阿拉木图段停留等待时车组人员和乘务员住宿用餐、列车内外装饰费用。</w:t>
      </w:r>
    </w:p>
    <w:p w14:paraId="670F9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2.专列搭乘人员：包括工作人员、演职人员、人文交流人员等共计216人酒店、正餐、杂费、保险等费用。</w:t>
      </w:r>
    </w:p>
    <w:p w14:paraId="2FE7B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公共费用：包括工作卡设计与制作费用，嘉宾卡设计与制作费用，徽章设计与制作费用，手提袋设计与制作费用，主持词及领导致辞中俄翻译费用，文创产品及伴手礼费用，出访人员资料中俄翻译费用，人文交流活动中俄视频翻译费用，中俄宣传片制作、配音费用，出访函、邀请函中俄翻译费用，首发班列方案资料翻译等费用。</w:t>
      </w:r>
    </w:p>
    <w:p w14:paraId="70F63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宣传费用：包括视频制作费，海报制作费，稿件采写及推送费用，国内平台运营推流费用，国外社区运营推流费用，中省市媒体重点稿件、视频费用，外地党报联盟等媒体重点稿件、视频费用，中国城市网盟等媒体稿件、视频费用，哈国媒体邀请、采访、报道、宣传费用，哈国海报费用，哈国稿件采写及推送费用，哈国媒体稿件、视频费用等。</w:t>
      </w:r>
    </w:p>
    <w:p w14:paraId="724587BA">
      <w:pPr>
        <w:pStyle w:val="3"/>
        <w:spacing w:line="360" w:lineRule="auto"/>
        <w:ind w:firstLine="482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5.其他服务及不可预见费用。</w:t>
      </w:r>
    </w:p>
    <w:p w14:paraId="03F7BE17">
      <w:pPr>
        <w:pStyle w:val="3"/>
        <w:spacing w:line="360" w:lineRule="auto"/>
        <w:ind w:firstLine="369" w:firstLineChars="175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2.1.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Cs w:val="21"/>
        </w:rPr>
        <w:t xml:space="preserve"> 服务方案要求</w:t>
      </w:r>
    </w:p>
    <w:p w14:paraId="066D0B06">
      <w:pPr>
        <w:pStyle w:val="3"/>
        <w:spacing w:line="360" w:lineRule="auto"/>
        <w:ind w:firstLine="367" w:firstLineChars="1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在服务范围内按工作内容和要求制定科学、合理、可靠、详细的服务方案。针对本项目成立专项服务小组，项目负责 人、工作人员分工明确(应有具体成员名单，包括姓名、工作职责等)。确保列车通行顺利，有各类突发事件的应急预案和措施，有明确具体的承诺。整体宣传工作以“宣传主题化+内容特色化+传播多元化”为策略，按照“人文班列 携手同行”为宣传主题，以开行前预热宣传、专列首发集中报道、开行后深度传播三个阶段展开。以市属媒体为主要内容创作平台，中央、省级主流新闻媒体、商业网媒以及海外社交媒体账号等全媒体为传播平台，使活动传播覆盖范围全网化。服务商所拟派的工作人员，若在服务期间发生任何伤害，采购人概不负责，由供应商自行处理。</w:t>
      </w:r>
    </w:p>
    <w:p w14:paraId="5DD252EE">
      <w:pPr>
        <w:pStyle w:val="3"/>
        <w:spacing w:line="360" w:lineRule="auto"/>
        <w:ind w:firstLine="369" w:firstLineChars="175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2.1.</w:t>
      </w:r>
      <w:r>
        <w:rPr>
          <w:rFonts w:hint="eastAsia" w:ascii="宋体" w:hAnsi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szCs w:val="21"/>
        </w:rPr>
        <w:t>质量要求</w:t>
      </w:r>
    </w:p>
    <w:p w14:paraId="0AB4A754">
      <w:pPr>
        <w:pStyle w:val="3"/>
        <w:spacing w:line="360" w:lineRule="auto"/>
        <w:ind w:firstLine="472" w:firstLineChars="2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2.1.5.2 服务、产品（如有）执行的标准、规范：</w:t>
      </w:r>
    </w:p>
    <w:p w14:paraId="6F1C9E12">
      <w:pPr>
        <w:pStyle w:val="3"/>
        <w:spacing w:line="360" w:lineRule="auto"/>
        <w:ind w:firstLine="577" w:firstLineChars="2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（1）国家标准、规范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；</w:t>
      </w:r>
    </w:p>
    <w:p w14:paraId="1AD60E5A">
      <w:pPr>
        <w:pStyle w:val="3"/>
        <w:spacing w:line="360" w:lineRule="auto"/>
        <w:ind w:firstLine="577" w:firstLineChars="2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（2）行业标准、规范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；</w:t>
      </w:r>
    </w:p>
    <w:p w14:paraId="3BD1C3E5">
      <w:pPr>
        <w:pStyle w:val="3"/>
        <w:spacing w:line="360" w:lineRule="auto"/>
        <w:ind w:firstLine="577" w:firstLineChars="2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（3）地方标准、规范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hint="eastAsia" w:ascii="宋体" w:hAnsi="宋体"/>
          <w:bCs/>
          <w:szCs w:val="21"/>
        </w:rPr>
        <w:t>；</w:t>
      </w:r>
    </w:p>
    <w:p w14:paraId="28D3957D">
      <w:pPr>
        <w:pStyle w:val="3"/>
        <w:spacing w:line="360" w:lineRule="auto"/>
        <w:ind w:firstLine="577" w:firstLineChars="2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（4）团体标准、规范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hint="eastAsia" w:ascii="宋体" w:hAnsi="宋体"/>
          <w:bCs/>
          <w:szCs w:val="21"/>
        </w:rPr>
        <w:t>；</w:t>
      </w:r>
    </w:p>
    <w:p w14:paraId="4FAF0989">
      <w:pPr>
        <w:pStyle w:val="3"/>
        <w:spacing w:line="360" w:lineRule="auto"/>
        <w:ind w:firstLine="577" w:firstLineChars="27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（5）企业标准、规范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hint="eastAsia" w:ascii="宋体" w:hAnsi="宋体"/>
          <w:bCs/>
          <w:szCs w:val="21"/>
        </w:rPr>
        <w:t>。</w:t>
      </w:r>
    </w:p>
    <w:p w14:paraId="6B9D3402">
      <w:pPr>
        <w:pStyle w:val="3"/>
        <w:spacing w:line="360" w:lineRule="auto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2.1.5.3 本章2.1.5.2条款未明确服务（产品）执行标准、规范的，按下列方法进行选择：</w:t>
      </w:r>
    </w:p>
    <w:p w14:paraId="66D0B7EB">
      <w:pPr>
        <w:pStyle w:val="3"/>
        <w:spacing w:line="360" w:lineRule="auto"/>
        <w:ind w:left="945" w:hanging="945" w:hangingChars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□ 顺序执行：国家标准→行业标准→地方标准→团体标准→企业标准（有国家标准按国家标准执行，没有国家标准按行业标准，以此类推）；</w:t>
      </w:r>
    </w:p>
    <w:p w14:paraId="11B8360F">
      <w:pPr>
        <w:pStyle w:val="3"/>
        <w:spacing w:line="360" w:lineRule="auto"/>
        <w:ind w:left="945" w:hanging="945" w:hangingChars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□ 最高标准执行：国家标准，行业标准，地方标准，团体标准，企业标准（那个标准高执行那个标准）</w:t>
      </w:r>
      <w:bookmarkStart w:id="1" w:name="_GoBack"/>
      <w:bookmarkEnd w:id="1"/>
    </w:p>
    <w:p w14:paraId="6BEB0CB2">
      <w:pPr>
        <w:pStyle w:val="3"/>
        <w:spacing w:line="360" w:lineRule="auto"/>
        <w:ind w:left="945" w:leftChars="400" w:hanging="105" w:hangingChars="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\o\ac(□,</w:instrText>
      </w:r>
      <w:r>
        <w:rPr>
          <w:rFonts w:hint="eastAsia" w:ascii="宋体" w:hAnsi="宋体"/>
          <w:position w:val="2"/>
          <w:szCs w:val="21"/>
        </w:rPr>
        <w:instrText xml:space="preserve">√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必须执行：国家（行业）强制性标准。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paragraph" w:styleId="4">
    <w:name w:val="heading 3"/>
    <w:basedOn w:val="1"/>
    <w:next w:val="3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2025-04-25T07:42:19Z</dcterms:created>
  <dc:creator>Administrator</dc:creator>
  <cp:lastModifiedBy>┏ ☞岗か子™</cp:lastModifiedBy>
  <dcterms:modified xsi:type="dcterms:W3CDTF">2025-04-25T07:42:47Z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eyJoZGlkIjoiNjIxMDI2NjM3MzgyYzQ0NTJmZDVhODRjOWE1OTQyYWMiLCJ1c2VySWQiOiIyMzMyNDUzMjgifQ==</vt:lpwstr>
  </property>
  <property fmtid="{D5CDD505-2E9C-101B-9397-08002B2CF9AE}" pid="4" name="ICV">
    <vt:lpwstr>F3951ECBEE9843C199103A49B8F4651F_12</vt:lpwstr>
  </property>
</Properties>
</file>