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20" w:rsidRDefault="00375320" w:rsidP="00375320">
      <w:pPr>
        <w:pStyle w:val="null3"/>
        <w:jc w:val="center"/>
        <w:outlineLvl w:val="1"/>
        <w:rPr>
          <w:rFonts w:ascii="仿宋" w:eastAsia="仿宋" w:hAnsi="仿宋"/>
        </w:rPr>
      </w:pPr>
      <w:r>
        <w:rPr>
          <w:rFonts w:ascii="仿宋" w:eastAsia="仿宋" w:hAnsi="仿宋" w:cs="仿宋_GB2312" w:hint="eastAsia"/>
          <w:b/>
        </w:rPr>
        <w:t>第三章 磋商项目技术、服务、商务及其他要求</w:t>
      </w:r>
    </w:p>
    <w:p w:rsidR="00375320" w:rsidRDefault="00375320" w:rsidP="00375320">
      <w:pPr>
        <w:pStyle w:val="null3"/>
        <w:ind w:firstLine="480"/>
        <w:rPr>
          <w:rFonts w:ascii="仿宋" w:eastAsia="仿宋" w:hAnsi="仿宋" w:hint="eastAsia"/>
        </w:rPr>
      </w:pPr>
      <w:r>
        <w:rPr>
          <w:rFonts w:ascii="仿宋" w:eastAsia="仿宋" w:hAnsi="仿宋" w:cs="仿宋_GB2312" w:hint="eastAsia"/>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rsidR="00375320" w:rsidRDefault="00375320" w:rsidP="00375320">
      <w:pPr>
        <w:pStyle w:val="null3"/>
        <w:outlineLvl w:val="2"/>
        <w:rPr>
          <w:rFonts w:ascii="仿宋" w:eastAsia="仿宋" w:hAnsi="仿宋" w:cs="仿宋_GB2312" w:hint="eastAsia"/>
          <w:b/>
        </w:rPr>
      </w:pPr>
      <w:r>
        <w:rPr>
          <w:rFonts w:ascii="仿宋" w:eastAsia="仿宋" w:hAnsi="仿宋" w:cs="仿宋_GB2312" w:hint="eastAsia"/>
          <w:b/>
        </w:rPr>
        <w:t>3.1采购项目概况</w:t>
      </w:r>
    </w:p>
    <w:p w:rsidR="00375320" w:rsidRDefault="00375320" w:rsidP="00375320">
      <w:pPr>
        <w:pStyle w:val="null3"/>
        <w:ind w:firstLine="480"/>
        <w:rPr>
          <w:rFonts w:ascii="仿宋" w:eastAsia="仿宋" w:hAnsi="仿宋" w:cs="仿宋_GB2312" w:hint="eastAsia"/>
        </w:rPr>
      </w:pPr>
      <w:bookmarkStart w:id="0" w:name="OLE_LINK13"/>
      <w:bookmarkStart w:id="1" w:name="OLE_LINK12"/>
      <w:bookmarkStart w:id="2" w:name="OLE_LINK16"/>
      <w:r>
        <w:rPr>
          <w:rFonts w:ascii="仿宋" w:eastAsia="仿宋" w:hAnsi="仿宋" w:cs="仿宋_GB2312" w:hint="eastAsia"/>
        </w:rPr>
        <w:t>西安市校园地震预警终端运维服务</w:t>
      </w:r>
      <w:bookmarkEnd w:id="0"/>
      <w:bookmarkEnd w:id="1"/>
    </w:p>
    <w:bookmarkEnd w:id="2"/>
    <w:p w:rsidR="00375320" w:rsidRDefault="00375320" w:rsidP="00375320">
      <w:pPr>
        <w:pStyle w:val="null3"/>
        <w:outlineLvl w:val="2"/>
        <w:rPr>
          <w:rFonts w:ascii="仿宋" w:eastAsia="仿宋" w:hAnsi="仿宋" w:hint="eastAsia"/>
        </w:rPr>
      </w:pPr>
      <w:r>
        <w:rPr>
          <w:rFonts w:ascii="仿宋" w:eastAsia="仿宋" w:hAnsi="仿宋" w:cs="仿宋_GB2312" w:hint="eastAsia"/>
          <w:b/>
        </w:rPr>
        <w:t>3.2服务内容及服务要求</w:t>
      </w:r>
    </w:p>
    <w:p w:rsidR="00375320" w:rsidRDefault="00375320" w:rsidP="00375320">
      <w:pPr>
        <w:pStyle w:val="null3"/>
        <w:outlineLvl w:val="3"/>
        <w:rPr>
          <w:rFonts w:ascii="仿宋" w:eastAsia="仿宋" w:hAnsi="仿宋" w:hint="eastAsia"/>
        </w:rPr>
      </w:pPr>
      <w:r>
        <w:rPr>
          <w:rFonts w:ascii="仿宋" w:eastAsia="仿宋" w:hAnsi="仿宋" w:cs="仿宋_GB2312" w:hint="eastAsia"/>
          <w:b/>
        </w:rPr>
        <w:t>3.2.1服务内容</w:t>
      </w:r>
    </w:p>
    <w:p w:rsidR="00375320" w:rsidRDefault="00375320" w:rsidP="00375320">
      <w:pPr>
        <w:pStyle w:val="null3"/>
        <w:rPr>
          <w:rFonts w:ascii="仿宋" w:eastAsia="仿宋" w:hAnsi="仿宋" w:hint="eastAsia"/>
        </w:rPr>
      </w:pPr>
      <w:r>
        <w:rPr>
          <w:rFonts w:ascii="仿宋" w:eastAsia="仿宋" w:hAnsi="仿宋" w:cs="仿宋_GB2312" w:hint="eastAsia"/>
        </w:rPr>
        <w:t>采购包1：</w:t>
      </w:r>
    </w:p>
    <w:p w:rsidR="00375320" w:rsidRDefault="00375320" w:rsidP="00375320">
      <w:pPr>
        <w:pStyle w:val="null3"/>
        <w:rPr>
          <w:rFonts w:ascii="仿宋" w:eastAsia="仿宋" w:hAnsi="仿宋" w:hint="eastAsia"/>
        </w:rPr>
      </w:pPr>
      <w:r>
        <w:rPr>
          <w:rFonts w:ascii="仿宋" w:eastAsia="仿宋" w:hAnsi="仿宋" w:cs="仿宋_GB2312" w:hint="eastAsia"/>
        </w:rPr>
        <w:t xml:space="preserve">采购包预算金额（元）: </w:t>
      </w:r>
      <w:bookmarkStart w:id="3" w:name="OLE_LINK11"/>
      <w:bookmarkStart w:id="4" w:name="OLE_LINK10"/>
      <w:r>
        <w:rPr>
          <w:rFonts w:ascii="仿宋" w:eastAsia="仿宋" w:hAnsi="仿宋" w:cs="仿宋_GB2312" w:hint="eastAsia"/>
        </w:rPr>
        <w:t>305600</w:t>
      </w:r>
      <w:bookmarkEnd w:id="3"/>
      <w:bookmarkEnd w:id="4"/>
      <w:r>
        <w:rPr>
          <w:rFonts w:ascii="仿宋" w:eastAsia="仿宋" w:hAnsi="仿宋" w:cs="仿宋_GB2312" w:hint="eastAsia"/>
        </w:rPr>
        <w:t>.00</w:t>
      </w:r>
    </w:p>
    <w:p w:rsidR="00375320" w:rsidRDefault="00375320" w:rsidP="00375320">
      <w:pPr>
        <w:pStyle w:val="null3"/>
        <w:rPr>
          <w:rFonts w:ascii="仿宋" w:eastAsia="仿宋" w:hAnsi="仿宋" w:hint="eastAsia"/>
        </w:rPr>
      </w:pPr>
      <w:r>
        <w:rPr>
          <w:rFonts w:ascii="仿宋" w:eastAsia="仿宋" w:hAnsi="仿宋" w:cs="仿宋_GB2312" w:hint="eastAsia"/>
        </w:rPr>
        <w:t xml:space="preserve">采购包最高限价（元）: </w:t>
      </w:r>
      <w:bookmarkStart w:id="5" w:name="OLE_LINK15"/>
      <w:bookmarkStart w:id="6" w:name="OLE_LINK14"/>
      <w:r>
        <w:rPr>
          <w:rFonts w:ascii="仿宋" w:eastAsia="仿宋" w:hAnsi="仿宋" w:cs="仿宋_GB2312" w:hint="eastAsia"/>
        </w:rPr>
        <w:t>305600.00</w:t>
      </w:r>
      <w:bookmarkEnd w:id="5"/>
      <w:bookmarkEnd w:id="6"/>
    </w:p>
    <w:p w:rsidR="00375320" w:rsidRDefault="00375320" w:rsidP="00375320">
      <w:pPr>
        <w:pStyle w:val="null3"/>
        <w:rPr>
          <w:rFonts w:ascii="仿宋" w:eastAsia="仿宋" w:hAnsi="仿宋" w:hint="eastAsia"/>
        </w:rPr>
      </w:pPr>
      <w:r>
        <w:rPr>
          <w:rFonts w:ascii="仿宋" w:eastAsia="仿宋" w:hAnsi="仿宋" w:cs="仿宋_GB2312" w:hint="eastAsia"/>
        </w:rPr>
        <w:t>供应商报价不允许超过标的金额</w:t>
      </w:r>
    </w:p>
    <w:p w:rsidR="00375320" w:rsidRDefault="00375320" w:rsidP="00375320">
      <w:pPr>
        <w:pStyle w:val="null3"/>
        <w:rPr>
          <w:rFonts w:ascii="仿宋" w:eastAsia="仿宋" w:hAnsi="仿宋" w:hint="eastAsia"/>
        </w:rPr>
      </w:pPr>
      <w:r>
        <w:rPr>
          <w:rFonts w:ascii="仿宋" w:eastAsia="仿宋" w:hAnsi="仿宋" w:cs="仿宋_GB2312" w:hint="eastAsia"/>
        </w:rPr>
        <w:t>（招单价的）供应商报价不允许超过标的单价</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8"/>
        <w:gridCol w:w="1072"/>
        <w:gridCol w:w="783"/>
        <w:gridCol w:w="1116"/>
        <w:gridCol w:w="737"/>
        <w:gridCol w:w="906"/>
        <w:gridCol w:w="737"/>
        <w:gridCol w:w="737"/>
        <w:gridCol w:w="737"/>
        <w:gridCol w:w="737"/>
      </w:tblGrid>
      <w:tr w:rsidR="00375320" w:rsidTr="00375320">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序号</w:t>
            </w:r>
          </w:p>
        </w:tc>
        <w:tc>
          <w:tcPr>
            <w:tcW w:w="1262"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标的名称</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数量</w:t>
            </w:r>
          </w:p>
        </w:tc>
        <w:tc>
          <w:tcPr>
            <w:tcW w:w="1116"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标的金额 （元）</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计量单位</w:t>
            </w:r>
          </w:p>
        </w:tc>
        <w:tc>
          <w:tcPr>
            <w:tcW w:w="1049"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所属行业</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是否核心产品</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是否允许进口产品</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是否属于节能产品</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是否属于环境标志产品</w:t>
            </w:r>
          </w:p>
        </w:tc>
      </w:tr>
      <w:tr w:rsidR="00375320" w:rsidTr="00375320">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1</w:t>
            </w:r>
          </w:p>
        </w:tc>
        <w:tc>
          <w:tcPr>
            <w:tcW w:w="1262"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西安市校园地震预警终端运维服务</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jc w:val="right"/>
              <w:rPr>
                <w:rFonts w:ascii="仿宋" w:eastAsia="仿宋" w:hAnsi="仿宋" w:hint="eastAsia"/>
              </w:rPr>
            </w:pPr>
            <w:r>
              <w:rPr>
                <w:rFonts w:ascii="仿宋" w:eastAsia="仿宋" w:hAnsi="仿宋" w:cs="仿宋_GB2312" w:hint="eastAsia"/>
              </w:rPr>
              <w:t>1.00</w:t>
            </w:r>
          </w:p>
        </w:tc>
        <w:tc>
          <w:tcPr>
            <w:tcW w:w="1116"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305600.00</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项</w:t>
            </w:r>
          </w:p>
        </w:tc>
        <w:tc>
          <w:tcPr>
            <w:tcW w:w="1049"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bookmarkStart w:id="7" w:name="OLE_LINK74"/>
            <w:bookmarkStart w:id="8" w:name="OLE_LINK75"/>
            <w:r>
              <w:rPr>
                <w:rFonts w:ascii="仿宋" w:eastAsia="仿宋" w:hAnsi="仿宋" w:cs="仿宋_GB2312" w:hint="eastAsia"/>
              </w:rPr>
              <w:t>软件和信息技术服务业</w:t>
            </w:r>
            <w:bookmarkEnd w:id="7"/>
            <w:bookmarkEnd w:id="8"/>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否</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否</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否</w:t>
            </w:r>
          </w:p>
        </w:tc>
        <w:tc>
          <w:tcPr>
            <w:tcW w:w="831"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否</w:t>
            </w:r>
          </w:p>
        </w:tc>
      </w:tr>
    </w:tbl>
    <w:p w:rsidR="00375320" w:rsidRDefault="00375320" w:rsidP="00375320">
      <w:pPr>
        <w:pStyle w:val="null3"/>
        <w:outlineLvl w:val="2"/>
        <w:rPr>
          <w:rFonts w:ascii="仿宋" w:eastAsia="仿宋" w:hAnsi="仿宋" w:hint="eastAsia"/>
        </w:rPr>
      </w:pPr>
      <w:r>
        <w:rPr>
          <w:rFonts w:ascii="仿宋" w:eastAsia="仿宋" w:hAnsi="仿宋" w:cs="仿宋_GB2312" w:hint="eastAsia"/>
          <w:b/>
        </w:rPr>
        <w:t>3.2.2服务要求</w:t>
      </w:r>
    </w:p>
    <w:p w:rsidR="00375320" w:rsidRDefault="00375320" w:rsidP="00375320">
      <w:pPr>
        <w:pStyle w:val="null3"/>
        <w:rPr>
          <w:rFonts w:ascii="仿宋" w:eastAsia="仿宋" w:hAnsi="仿宋" w:hint="eastAsia"/>
        </w:rPr>
      </w:pPr>
      <w:r>
        <w:rPr>
          <w:rFonts w:ascii="仿宋" w:eastAsia="仿宋" w:hAnsi="仿宋" w:cs="仿宋_GB2312" w:hint="eastAsia"/>
        </w:rPr>
        <w:t>采购包1：</w:t>
      </w:r>
    </w:p>
    <w:p w:rsidR="00375320" w:rsidRDefault="00375320" w:rsidP="00375320">
      <w:pPr>
        <w:pStyle w:val="null3"/>
        <w:rPr>
          <w:rFonts w:ascii="仿宋" w:eastAsia="仿宋" w:hAnsi="仿宋" w:hint="eastAsia"/>
        </w:rPr>
      </w:pPr>
      <w:r>
        <w:rPr>
          <w:rFonts w:ascii="仿宋" w:eastAsia="仿宋" w:hAnsi="仿宋" w:cs="仿宋_GB2312" w:hint="eastAsia"/>
        </w:rPr>
        <w:t>供应商报价不允许超过标的金额</w:t>
      </w:r>
    </w:p>
    <w:p w:rsidR="00375320" w:rsidRDefault="00375320" w:rsidP="00375320">
      <w:pPr>
        <w:pStyle w:val="null3"/>
        <w:rPr>
          <w:rFonts w:ascii="仿宋" w:eastAsia="仿宋" w:hAnsi="仿宋" w:hint="eastAsia"/>
        </w:rPr>
      </w:pPr>
      <w:r>
        <w:rPr>
          <w:rFonts w:ascii="仿宋" w:eastAsia="仿宋" w:hAnsi="仿宋" w:cs="仿宋_GB2312" w:hint="eastAsia"/>
        </w:rPr>
        <w:t>（招单价的）供应商报价不允许超过标的单价</w:t>
      </w:r>
    </w:p>
    <w:p w:rsidR="00375320" w:rsidRDefault="00375320" w:rsidP="00375320">
      <w:pPr>
        <w:pStyle w:val="null3"/>
        <w:ind w:firstLine="480"/>
        <w:rPr>
          <w:rFonts w:ascii="仿宋" w:eastAsia="仿宋" w:hAnsi="仿宋" w:cs="仿宋_GB2312" w:hint="eastAsia"/>
        </w:rPr>
      </w:pPr>
      <w:r>
        <w:rPr>
          <w:rFonts w:ascii="仿宋" w:eastAsia="仿宋" w:hAnsi="仿宋" w:cs="仿宋_GB2312" w:hint="eastAsia"/>
        </w:rPr>
        <w:t>标的名称：西安市校园地震预警终端运维服务</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429"/>
        <w:gridCol w:w="637"/>
        <w:gridCol w:w="6794"/>
      </w:tblGrid>
      <w:tr w:rsidR="00375320" w:rsidTr="00375320">
        <w:tc>
          <w:tcPr>
            <w:tcW w:w="806"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参数性质</w:t>
            </w:r>
          </w:p>
        </w:tc>
        <w:tc>
          <w:tcPr>
            <w:tcW w:w="627"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序号</w:t>
            </w:r>
          </w:p>
        </w:tc>
        <w:tc>
          <w:tcPr>
            <w:tcW w:w="943"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技术要求名称</w:t>
            </w:r>
          </w:p>
        </w:tc>
        <w:tc>
          <w:tcPr>
            <w:tcW w:w="6804"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技术参数与性能指标</w:t>
            </w:r>
          </w:p>
        </w:tc>
      </w:tr>
      <w:tr w:rsidR="00375320" w:rsidTr="00375320">
        <w:tc>
          <w:tcPr>
            <w:tcW w:w="806" w:type="dxa"/>
            <w:tcBorders>
              <w:top w:val="single" w:sz="2" w:space="0" w:color="auto"/>
              <w:left w:val="single" w:sz="2" w:space="0" w:color="auto"/>
              <w:bottom w:val="single" w:sz="2" w:space="0" w:color="auto"/>
              <w:right w:val="single" w:sz="2" w:space="0" w:color="auto"/>
            </w:tcBorders>
          </w:tcPr>
          <w:p w:rsidR="00375320" w:rsidRDefault="00375320">
            <w:pPr>
              <w:pStyle w:val="null3"/>
              <w:rPr>
                <w:rFonts w:ascii="仿宋" w:eastAsia="仿宋" w:hAnsi="仿宋" w:cs="仿宋_GB2312" w:hint="eastAsia"/>
              </w:rPr>
            </w:pPr>
          </w:p>
        </w:tc>
        <w:tc>
          <w:tcPr>
            <w:tcW w:w="627"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cs="仿宋_GB2312" w:hint="eastAsia"/>
                <w:lang w:eastAsia="zh-CN"/>
              </w:rPr>
            </w:pPr>
            <w:r>
              <w:rPr>
                <w:rFonts w:ascii="仿宋" w:eastAsia="仿宋" w:hAnsi="仿宋" w:cs="仿宋_GB2312" w:hint="eastAsia"/>
                <w:lang w:eastAsia="zh-CN"/>
              </w:rPr>
              <w:t>1</w:t>
            </w:r>
          </w:p>
        </w:tc>
        <w:tc>
          <w:tcPr>
            <w:tcW w:w="943"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cs="仿宋_GB2312" w:hint="eastAsia"/>
              </w:rPr>
            </w:pPr>
            <w:r>
              <w:rPr>
                <w:rFonts w:ascii="仿宋" w:eastAsia="仿宋" w:hAnsi="仿宋" w:cs="仿宋_GB2312" w:hint="eastAsia"/>
              </w:rPr>
              <w:t>一、</w:t>
            </w:r>
            <w:r>
              <w:rPr>
                <w:rFonts w:ascii="仿宋" w:eastAsia="仿宋" w:hAnsi="仿宋" w:cs="仿宋_GB2312" w:hint="eastAsia"/>
                <w:lang w:eastAsia="zh-CN"/>
              </w:rPr>
              <w:t>项目简介</w:t>
            </w:r>
          </w:p>
        </w:tc>
        <w:tc>
          <w:tcPr>
            <w:tcW w:w="6804"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cs="仿宋_GB2312" w:hint="eastAsia"/>
                <w:lang w:eastAsia="zh-CN"/>
              </w:rPr>
            </w:pPr>
            <w:r>
              <w:rPr>
                <w:rFonts w:ascii="仿宋" w:eastAsia="仿宋" w:hAnsi="仿宋" w:cs="仿宋_GB2312" w:hint="eastAsia"/>
                <w:lang w:eastAsia="zh-CN"/>
              </w:rPr>
              <w:t>提供</w:t>
            </w:r>
            <w:r>
              <w:rPr>
                <w:rFonts w:ascii="仿宋" w:eastAsia="仿宋" w:hAnsi="仿宋" w:cs="仿宋_GB2312" w:hint="eastAsia"/>
              </w:rPr>
              <w:t>西安市校园地震预警终端运维服务</w:t>
            </w:r>
            <w:r>
              <w:rPr>
                <w:rFonts w:ascii="仿宋" w:eastAsia="仿宋" w:hAnsi="仿宋" w:cs="仿宋_GB2312" w:hint="eastAsia"/>
                <w:lang w:eastAsia="zh-CN"/>
              </w:rPr>
              <w:t>，具体需运维的数量及终端信息如下：</w:t>
            </w:r>
          </w:p>
          <w:tbl>
            <w:tblPr>
              <w:tblStyle w:val="a7"/>
              <w:tblW w:w="6567" w:type="dxa"/>
              <w:jc w:val="center"/>
              <w:tblInd w:w="0" w:type="dxa"/>
              <w:tblCellMar>
                <w:left w:w="108" w:type="dxa"/>
                <w:right w:w="108" w:type="dxa"/>
              </w:tblCellMar>
              <w:tblLook w:val="04A0" w:firstRow="1" w:lastRow="0" w:firstColumn="1" w:lastColumn="0" w:noHBand="0" w:noVBand="1"/>
            </w:tblPr>
            <w:tblGrid>
              <w:gridCol w:w="672"/>
              <w:gridCol w:w="1172"/>
              <w:gridCol w:w="1669"/>
              <w:gridCol w:w="742"/>
              <w:gridCol w:w="2312"/>
            </w:tblGrid>
            <w:tr w:rsidR="00375320">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b/>
                      <w:bCs/>
                      <w:szCs w:val="20"/>
                    </w:rPr>
                  </w:pPr>
                  <w:r>
                    <w:rPr>
                      <w:rFonts w:ascii="仿宋" w:eastAsia="仿宋" w:hAnsi="仿宋" w:cs="仿宋" w:hint="eastAsia"/>
                      <w:b/>
                      <w:bCs/>
                      <w:szCs w:val="20"/>
                    </w:rPr>
                    <w:t>序号</w:t>
                  </w:r>
                </w:p>
              </w:tc>
              <w:tc>
                <w:tcPr>
                  <w:tcW w:w="892"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b/>
                      <w:bCs/>
                      <w:szCs w:val="20"/>
                    </w:rPr>
                  </w:pPr>
                  <w:r>
                    <w:rPr>
                      <w:rFonts w:ascii="仿宋" w:eastAsia="仿宋" w:hAnsi="仿宋" w:cs="仿宋" w:hint="eastAsia"/>
                      <w:b/>
                      <w:bCs/>
                      <w:szCs w:val="20"/>
                    </w:rPr>
                    <w:t>名称</w:t>
                  </w:r>
                </w:p>
              </w:tc>
              <w:tc>
                <w:tcPr>
                  <w:tcW w:w="1271"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b/>
                      <w:bCs/>
                      <w:szCs w:val="20"/>
                    </w:rPr>
                  </w:pPr>
                  <w:r>
                    <w:rPr>
                      <w:rFonts w:ascii="仿宋" w:eastAsia="仿宋" w:hAnsi="仿宋" w:cs="仿宋" w:hint="eastAsia"/>
                      <w:b/>
                      <w:bCs/>
                      <w:szCs w:val="20"/>
                    </w:rPr>
                    <w:t>品牌型号</w:t>
                  </w:r>
                </w:p>
              </w:tc>
              <w:tc>
                <w:tcPr>
                  <w:tcW w:w="565"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b/>
                      <w:bCs/>
                      <w:szCs w:val="20"/>
                    </w:rPr>
                  </w:pPr>
                  <w:r>
                    <w:rPr>
                      <w:rFonts w:ascii="仿宋" w:eastAsia="仿宋" w:hAnsi="仿宋" w:cs="仿宋" w:hint="eastAsia"/>
                      <w:b/>
                      <w:bCs/>
                      <w:szCs w:val="20"/>
                    </w:rPr>
                    <w:t>数量</w:t>
                  </w:r>
                </w:p>
              </w:tc>
              <w:tc>
                <w:tcPr>
                  <w:tcW w:w="1760"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b/>
                      <w:bCs/>
                      <w:szCs w:val="20"/>
                    </w:rPr>
                  </w:pPr>
                  <w:r>
                    <w:rPr>
                      <w:rFonts w:ascii="仿宋" w:eastAsia="仿宋" w:hAnsi="仿宋" w:cs="仿宋" w:hint="eastAsia"/>
                      <w:b/>
                      <w:bCs/>
                      <w:szCs w:val="20"/>
                    </w:rPr>
                    <w:t>备注</w:t>
                  </w:r>
                </w:p>
              </w:tc>
            </w:tr>
            <w:tr w:rsidR="00375320">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zCs w:val="20"/>
                    </w:rPr>
                    <w:t>1</w:t>
                  </w:r>
                </w:p>
              </w:tc>
              <w:tc>
                <w:tcPr>
                  <w:tcW w:w="892" w:type="pct"/>
                  <w:vMerge w:val="restar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zCs w:val="20"/>
                    </w:rPr>
                    <w:t>西安市校园地震预警终端运维服务</w:t>
                  </w:r>
                </w:p>
              </w:tc>
              <w:tc>
                <w:tcPr>
                  <w:tcW w:w="1271"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napToGrid w:val="0"/>
                      <w:color w:val="000000"/>
                      <w:szCs w:val="20"/>
                    </w:rPr>
                    <w:t>美幻MH-T100</w:t>
                  </w:r>
                </w:p>
              </w:tc>
              <w:tc>
                <w:tcPr>
                  <w:tcW w:w="565"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zCs w:val="20"/>
                    </w:rPr>
                    <w:t>415套</w:t>
                  </w:r>
                </w:p>
              </w:tc>
              <w:tc>
                <w:tcPr>
                  <w:tcW w:w="1760" w:type="pct"/>
                  <w:tcBorders>
                    <w:top w:val="single" w:sz="4" w:space="0" w:color="auto"/>
                    <w:left w:val="single" w:sz="4" w:space="0" w:color="auto"/>
                    <w:bottom w:val="single" w:sz="4" w:space="0" w:color="auto"/>
                    <w:right w:val="single" w:sz="4" w:space="0" w:color="auto"/>
                  </w:tcBorders>
                  <w:hideMark/>
                </w:tcPr>
                <w:p w:rsidR="00375320" w:rsidRDefault="00375320">
                  <w:pPr>
                    <w:jc w:val="center"/>
                    <w:rPr>
                      <w:rFonts w:ascii="仿宋" w:eastAsia="仿宋" w:hAnsi="仿宋" w:cs="仿宋" w:hint="eastAsia"/>
                      <w:szCs w:val="20"/>
                    </w:rPr>
                  </w:pPr>
                  <w:r>
                    <w:rPr>
                      <w:rFonts w:ascii="仿宋" w:eastAsia="仿宋" w:hAnsi="仿宋" w:cs="方正仿宋_GBK" w:hint="eastAsia"/>
                      <w:szCs w:val="20"/>
                    </w:rPr>
                    <w:t>每套含液晶终端一部，物联网广播终端一组</w:t>
                  </w:r>
                </w:p>
              </w:tc>
            </w:tr>
            <w:tr w:rsidR="00375320">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320" w:rsidRDefault="00375320">
                  <w:pPr>
                    <w:rPr>
                      <w:rFonts w:ascii="仿宋" w:eastAsia="仿宋" w:hAnsi="仿宋" w:cs="仿宋"/>
                      <w:kern w:val="2"/>
                      <w:szCs w:val="20"/>
                    </w:rPr>
                  </w:pPr>
                </w:p>
              </w:tc>
              <w:tc>
                <w:tcPr>
                  <w:tcW w:w="1271"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napToGrid w:val="0"/>
                      <w:color w:val="000000"/>
                      <w:szCs w:val="20"/>
                    </w:rPr>
                    <w:t>帝嘉DG-MEA-32E</w:t>
                  </w:r>
                </w:p>
              </w:tc>
              <w:tc>
                <w:tcPr>
                  <w:tcW w:w="565"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仿宋" w:hint="eastAsia"/>
                      <w:szCs w:val="20"/>
                    </w:rPr>
                    <w:t>30套</w:t>
                  </w:r>
                </w:p>
              </w:tc>
              <w:tc>
                <w:tcPr>
                  <w:tcW w:w="1760" w:type="pct"/>
                  <w:tcBorders>
                    <w:top w:val="single" w:sz="4" w:space="0" w:color="auto"/>
                    <w:left w:val="single" w:sz="4" w:space="0" w:color="auto"/>
                    <w:bottom w:val="single" w:sz="4" w:space="0" w:color="auto"/>
                    <w:right w:val="single" w:sz="4" w:space="0" w:color="auto"/>
                  </w:tcBorders>
                  <w:vAlign w:val="center"/>
                  <w:hideMark/>
                </w:tcPr>
                <w:p w:rsidR="00375320" w:rsidRDefault="00375320">
                  <w:pPr>
                    <w:jc w:val="center"/>
                    <w:rPr>
                      <w:rFonts w:ascii="仿宋" w:eastAsia="仿宋" w:hAnsi="仿宋" w:cs="仿宋" w:hint="eastAsia"/>
                      <w:szCs w:val="20"/>
                    </w:rPr>
                  </w:pPr>
                  <w:r>
                    <w:rPr>
                      <w:rFonts w:ascii="仿宋" w:eastAsia="仿宋" w:hAnsi="仿宋" w:cs="方正仿宋_GBK" w:hint="eastAsia"/>
                      <w:szCs w:val="20"/>
                    </w:rPr>
                    <w:t>每套含互动终端一台</w:t>
                  </w:r>
                </w:p>
              </w:tc>
            </w:tr>
          </w:tbl>
          <w:p w:rsidR="00375320" w:rsidRDefault="00375320">
            <w:pPr>
              <w:pStyle w:val="null3"/>
              <w:rPr>
                <w:rFonts w:ascii="仿宋" w:eastAsia="仿宋" w:hAnsi="仿宋" w:cs="仿宋_GB2312" w:hint="eastAsia"/>
                <w:lang w:eastAsia="zh-CN"/>
              </w:rPr>
            </w:pPr>
          </w:p>
        </w:tc>
      </w:tr>
      <w:tr w:rsidR="00375320" w:rsidTr="00375320">
        <w:tc>
          <w:tcPr>
            <w:tcW w:w="806" w:type="dxa"/>
            <w:tcBorders>
              <w:top w:val="single" w:sz="2" w:space="0" w:color="auto"/>
              <w:left w:val="single" w:sz="2" w:space="0" w:color="auto"/>
              <w:bottom w:val="single" w:sz="2" w:space="0" w:color="auto"/>
              <w:right w:val="single" w:sz="2" w:space="0" w:color="auto"/>
            </w:tcBorders>
          </w:tcPr>
          <w:p w:rsidR="00375320" w:rsidRDefault="00375320">
            <w:pPr>
              <w:rPr>
                <w:rFonts w:ascii="仿宋" w:eastAsia="仿宋" w:hAnsi="仿宋" w:hint="eastAsia"/>
                <w:sz w:val="20"/>
                <w:szCs w:val="20"/>
              </w:rPr>
            </w:pPr>
          </w:p>
        </w:tc>
        <w:tc>
          <w:tcPr>
            <w:tcW w:w="627"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rPr>
              <w:t>2</w:t>
            </w:r>
          </w:p>
        </w:tc>
        <w:tc>
          <w:tcPr>
            <w:tcW w:w="943"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cs="仿宋_GB2312" w:hint="eastAsia"/>
                <w:lang w:eastAsia="zh-CN"/>
              </w:rPr>
              <w:t>二</w:t>
            </w:r>
            <w:r>
              <w:rPr>
                <w:rFonts w:ascii="仿宋" w:eastAsia="仿宋" w:hAnsi="仿宋" w:cs="仿宋_GB2312" w:hint="eastAsia"/>
              </w:rPr>
              <w:t>、具体运维内容要求</w:t>
            </w:r>
          </w:p>
        </w:tc>
        <w:tc>
          <w:tcPr>
            <w:tcW w:w="6804" w:type="dxa"/>
            <w:tcBorders>
              <w:top w:val="single" w:sz="2" w:space="0" w:color="auto"/>
              <w:left w:val="single" w:sz="2" w:space="0" w:color="auto"/>
              <w:bottom w:val="single" w:sz="2" w:space="0" w:color="auto"/>
              <w:right w:val="single" w:sz="2" w:space="0" w:color="auto"/>
            </w:tcBorders>
            <w:hideMark/>
          </w:tcPr>
          <w:p w:rsidR="00375320" w:rsidRDefault="00375320">
            <w:pPr>
              <w:pStyle w:val="null3"/>
              <w:rPr>
                <w:rFonts w:ascii="仿宋" w:eastAsia="仿宋" w:hAnsi="仿宋" w:hint="eastAsia"/>
              </w:rPr>
            </w:pPr>
            <w:r>
              <w:rPr>
                <w:rFonts w:ascii="仿宋" w:eastAsia="仿宋" w:hAnsi="仿宋" w:hint="eastAsia"/>
              </w:rPr>
              <w:t>1.项目团队负责至少提供满一年的运维服务，服务期限</w:t>
            </w:r>
            <w:bookmarkStart w:id="9" w:name="OLE_LINK21"/>
            <w:bookmarkStart w:id="10" w:name="OLE_LINK22"/>
            <w:r>
              <w:rPr>
                <w:rFonts w:ascii="仿宋" w:eastAsia="仿宋" w:hAnsi="仿宋" w:hint="eastAsia"/>
              </w:rPr>
              <w:t>自合同签订之日起算</w:t>
            </w:r>
            <w:bookmarkEnd w:id="9"/>
            <w:bookmarkEnd w:id="10"/>
            <w:r>
              <w:rPr>
                <w:rFonts w:ascii="仿宋" w:eastAsia="仿宋" w:hAnsi="仿宋" w:hint="eastAsia"/>
              </w:rPr>
              <w:t>，</w:t>
            </w:r>
            <w:bookmarkStart w:id="11" w:name="OLE_LINK23"/>
            <w:bookmarkStart w:id="12" w:name="OLE_LINK24"/>
            <w:r>
              <w:rPr>
                <w:rFonts w:ascii="仿宋" w:eastAsia="仿宋" w:hAnsi="仿宋" w:hint="eastAsia"/>
              </w:rPr>
              <w:t>服务期满一年后在新的项目团队未到位前不得擅自停止运维服务</w:t>
            </w:r>
            <w:bookmarkEnd w:id="11"/>
            <w:bookmarkEnd w:id="12"/>
            <w:r>
              <w:rPr>
                <w:rFonts w:ascii="仿宋" w:eastAsia="仿宋" w:hAnsi="仿宋" w:hint="eastAsia"/>
              </w:rPr>
              <w:t>；服务期内提供7x24小时响应，并在</w:t>
            </w:r>
            <w:r>
              <w:rPr>
                <w:rFonts w:ascii="仿宋" w:eastAsia="仿宋" w:hAnsi="仿宋" w:hint="eastAsia"/>
                <w:lang w:eastAsia="zh-CN"/>
              </w:rPr>
              <w:t>每次</w:t>
            </w:r>
            <w:r>
              <w:rPr>
                <w:rFonts w:ascii="仿宋" w:eastAsia="仿宋" w:hAnsi="仿宋" w:hint="eastAsia"/>
                <w:color w:val="000000" w:themeColor="text1"/>
                <w:lang w:eastAsia="zh-CN"/>
              </w:rPr>
              <w:t>报修</w:t>
            </w:r>
            <w:r>
              <w:rPr>
                <w:rFonts w:ascii="仿宋" w:eastAsia="仿宋" w:hAnsi="仿宋" w:hint="eastAsia"/>
                <w:lang w:eastAsia="zh-CN"/>
              </w:rPr>
              <w:t>后</w:t>
            </w:r>
            <w:r>
              <w:rPr>
                <w:rFonts w:ascii="仿宋" w:eastAsia="仿宋" w:hAnsi="仿宋" w:hint="eastAsia"/>
              </w:rPr>
              <w:t>24小时内完成首次现场故障处置；服务期内设备终端的在线率不低于96%，涉及的物联网卡通讯费用全部由项目团队承担。</w:t>
            </w:r>
          </w:p>
          <w:p w:rsidR="00375320" w:rsidRDefault="00375320">
            <w:pPr>
              <w:pStyle w:val="null3"/>
              <w:rPr>
                <w:rFonts w:ascii="仿宋" w:eastAsia="仿宋" w:hAnsi="仿宋" w:hint="eastAsia"/>
              </w:rPr>
            </w:pPr>
            <w:r>
              <w:rPr>
                <w:rFonts w:ascii="仿宋" w:eastAsia="仿宋" w:hAnsi="仿宋" w:hint="eastAsia"/>
              </w:rPr>
              <w:lastRenderedPageBreak/>
              <w:t>2.项目团队需要建立专业的技术团队，根据甲方的需求及时提供软件更新及升级服务；按照甲方要求不断完善紧急信息发布终端的信息交换和发布的技术功能，升级服务完善终端；按照甲方的要求配合项目执行过程中的地震演习和演练工作。</w:t>
            </w:r>
          </w:p>
          <w:p w:rsidR="00375320" w:rsidRDefault="00375320">
            <w:pPr>
              <w:pStyle w:val="null3"/>
              <w:rPr>
                <w:rFonts w:ascii="仿宋" w:eastAsia="仿宋" w:hAnsi="仿宋" w:hint="eastAsia"/>
              </w:rPr>
            </w:pPr>
            <w:r>
              <w:rPr>
                <w:rFonts w:ascii="仿宋" w:eastAsia="仿宋" w:hAnsi="仿宋" w:hint="eastAsia"/>
              </w:rPr>
              <w:t>3.项目团队服务期限内为甲方提供终端设备的技术指导和运维服务，项目团队在接到甲方提出的技术服务要求后2小时内予以答复，如甲方有要求或必要时，项目团队应派</w:t>
            </w:r>
            <w:r>
              <w:rPr>
                <w:rFonts w:ascii="仿宋" w:eastAsia="仿宋" w:hAnsi="仿宋" w:hint="eastAsia"/>
                <w:lang w:eastAsia="zh-CN"/>
              </w:rPr>
              <w:t>人</w:t>
            </w:r>
            <w:r>
              <w:rPr>
                <w:rFonts w:ascii="仿宋" w:eastAsia="仿宋" w:hAnsi="仿宋" w:hint="eastAsia"/>
              </w:rPr>
              <w:t>员到场予以指导。</w:t>
            </w:r>
          </w:p>
          <w:p w:rsidR="00375320" w:rsidRDefault="00375320">
            <w:pPr>
              <w:pStyle w:val="null3"/>
              <w:rPr>
                <w:rFonts w:ascii="仿宋" w:eastAsia="仿宋" w:hAnsi="仿宋" w:hint="eastAsia"/>
              </w:rPr>
            </w:pPr>
            <w:r>
              <w:rPr>
                <w:rFonts w:ascii="仿宋" w:eastAsia="仿宋" w:hAnsi="仿宋" w:hint="eastAsia"/>
              </w:rPr>
              <w:t>4.项目团队在接到甲方提出的技术服务要求或维修通知后12小时内没有响应或没有派</w:t>
            </w:r>
            <w:r>
              <w:rPr>
                <w:rFonts w:ascii="仿宋" w:eastAsia="仿宋" w:hAnsi="仿宋" w:hint="eastAsia"/>
                <w:lang w:eastAsia="zh-CN"/>
              </w:rPr>
              <w:t>人</w:t>
            </w:r>
            <w:r>
              <w:rPr>
                <w:rFonts w:ascii="仿宋" w:eastAsia="仿宋" w:hAnsi="仿宋" w:hint="eastAsia"/>
              </w:rPr>
              <w:t>员提供技术服务或处理故障，甲方有权委托第三人对设备进行维修或提供技术服务，由此产生的一切费用由项目团队承担。</w:t>
            </w:r>
          </w:p>
          <w:p w:rsidR="00375320" w:rsidRDefault="00375320">
            <w:pPr>
              <w:pStyle w:val="null3"/>
              <w:rPr>
                <w:rFonts w:ascii="仿宋" w:eastAsia="仿宋" w:hAnsi="仿宋" w:hint="eastAsia"/>
              </w:rPr>
            </w:pPr>
            <w:r>
              <w:rPr>
                <w:rFonts w:ascii="仿宋" w:eastAsia="仿宋" w:hAnsi="仿宋" w:hint="eastAsia"/>
              </w:rPr>
              <w:t>5.项目团队在接到甲方维修通知后72小时仍不能修复有关设备，或者确需长期维修的设备，项目团队应提供与该设备同一型号的备用设备。如因此给甲方造成损失，项目团队应负责赔偿。</w:t>
            </w:r>
          </w:p>
          <w:p w:rsidR="00375320" w:rsidRDefault="00375320">
            <w:pPr>
              <w:pStyle w:val="null3"/>
              <w:rPr>
                <w:rFonts w:ascii="仿宋" w:eastAsia="仿宋" w:hAnsi="仿宋" w:hint="eastAsia"/>
              </w:rPr>
            </w:pPr>
            <w:r>
              <w:rPr>
                <w:rFonts w:ascii="仿宋" w:eastAsia="仿宋" w:hAnsi="仿宋" w:hint="eastAsia"/>
              </w:rPr>
              <w:t>6.项目团队需在甲方单位长期派驻至少一名工作人员，以便于加强沟通联络，及时处置各类故障。驻场人员每日登录管理平台进行设备在线巡检，离线终端安排运维团队进行设备检修。</w:t>
            </w:r>
          </w:p>
          <w:p w:rsidR="00375320" w:rsidRDefault="00375320">
            <w:pPr>
              <w:pStyle w:val="null3"/>
              <w:rPr>
                <w:rFonts w:ascii="仿宋" w:eastAsia="仿宋" w:hAnsi="仿宋" w:hint="eastAsia"/>
              </w:rPr>
            </w:pPr>
            <w:r>
              <w:rPr>
                <w:rFonts w:ascii="仿宋" w:eastAsia="仿宋" w:hAnsi="仿宋" w:hint="eastAsia"/>
              </w:rPr>
              <w:t>7.项目团队应建立终端巡检日志和运维台账，期满出具详细的运维报告。在项目实施周期内至少完成一次所有终端的巡检，及时处理发现的安全隐患。</w:t>
            </w:r>
          </w:p>
          <w:p w:rsidR="00375320" w:rsidRDefault="00375320">
            <w:pPr>
              <w:pStyle w:val="null3"/>
              <w:rPr>
                <w:rFonts w:ascii="仿宋" w:eastAsia="仿宋" w:hAnsi="仿宋" w:hint="eastAsia"/>
              </w:rPr>
            </w:pPr>
            <w:r>
              <w:rPr>
                <w:rFonts w:ascii="仿宋" w:eastAsia="仿宋" w:hAnsi="仿宋" w:hint="eastAsia"/>
              </w:rPr>
              <w:t>8.做好预警终端管理平台、预警终端等方面的网络安全风险防范，及时查补网络安全漏洞，做好网络安全突发事件应急处置，重要情况及时向甲方通报。</w:t>
            </w:r>
          </w:p>
          <w:p w:rsidR="00375320" w:rsidRDefault="00375320">
            <w:pPr>
              <w:pStyle w:val="null3"/>
              <w:rPr>
                <w:rFonts w:ascii="仿宋" w:eastAsia="仿宋" w:hAnsi="仿宋" w:hint="eastAsia"/>
              </w:rPr>
            </w:pPr>
            <w:r>
              <w:rPr>
                <w:rFonts w:ascii="仿宋" w:eastAsia="仿宋" w:hAnsi="仿宋" w:hint="eastAsia"/>
              </w:rPr>
              <w:t>9.科普互动终端应每半年投放一次互动奖品，每台终端奖品总数量不低于500份，包括但不限于防震减灾科普常识宣传资料、益智玩具等,互动奖品要结合西安本地特色进行本土化改造升级。</w:t>
            </w:r>
          </w:p>
          <w:p w:rsidR="00375320" w:rsidRDefault="00375320">
            <w:pPr>
              <w:pStyle w:val="null3"/>
              <w:rPr>
                <w:rFonts w:ascii="仿宋" w:eastAsia="仿宋" w:hAnsi="仿宋" w:hint="eastAsia"/>
              </w:rPr>
            </w:pPr>
            <w:r>
              <w:rPr>
                <w:rFonts w:ascii="仿宋" w:eastAsia="仿宋" w:hAnsi="仿宋" w:hint="eastAsia"/>
              </w:rPr>
              <w:t>10.项目负责人及团队人员应具有国家相关部门承认的从事系统软件开发运维和电子设备维修相关证明材料；项目团队应具有相关地震预警终端和管理系统的运维成功案例。</w:t>
            </w:r>
          </w:p>
        </w:tc>
      </w:tr>
    </w:tbl>
    <w:p w:rsidR="002911B2" w:rsidRPr="00375320" w:rsidRDefault="002911B2">
      <w:bookmarkStart w:id="13" w:name="_GoBack"/>
      <w:bookmarkEnd w:id="13"/>
    </w:p>
    <w:sectPr w:rsidR="002911B2" w:rsidRPr="00375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6D" w:rsidRDefault="00FD266D" w:rsidP="00375320">
      <w:r>
        <w:separator/>
      </w:r>
    </w:p>
  </w:endnote>
  <w:endnote w:type="continuationSeparator" w:id="0">
    <w:p w:rsidR="00FD266D" w:rsidRDefault="00FD266D" w:rsidP="0037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6D" w:rsidRDefault="00FD266D" w:rsidP="00375320">
      <w:r>
        <w:separator/>
      </w:r>
    </w:p>
  </w:footnote>
  <w:footnote w:type="continuationSeparator" w:id="0">
    <w:p w:rsidR="00FD266D" w:rsidRDefault="00FD266D" w:rsidP="0037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8C"/>
    <w:rsid w:val="002911B2"/>
    <w:rsid w:val="00375320"/>
    <w:rsid w:val="003F5D8C"/>
    <w:rsid w:val="00FD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13433-064D-4EBC-AAA1-1F6F566C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5320"/>
    <w:rPr>
      <w:sz w:val="18"/>
      <w:szCs w:val="18"/>
    </w:rPr>
  </w:style>
  <w:style w:type="paragraph" w:styleId="a5">
    <w:name w:val="footer"/>
    <w:basedOn w:val="a"/>
    <w:link w:val="a6"/>
    <w:uiPriority w:val="99"/>
    <w:unhideWhenUsed/>
    <w:rsid w:val="00375320"/>
    <w:pPr>
      <w:tabs>
        <w:tab w:val="center" w:pos="4153"/>
        <w:tab w:val="right" w:pos="8306"/>
      </w:tabs>
      <w:snapToGrid w:val="0"/>
      <w:jc w:val="left"/>
    </w:pPr>
    <w:rPr>
      <w:sz w:val="18"/>
      <w:szCs w:val="18"/>
    </w:rPr>
  </w:style>
  <w:style w:type="character" w:customStyle="1" w:styleId="a6">
    <w:name w:val="页脚 字符"/>
    <w:basedOn w:val="a0"/>
    <w:link w:val="a5"/>
    <w:uiPriority w:val="99"/>
    <w:rsid w:val="00375320"/>
    <w:rPr>
      <w:sz w:val="18"/>
      <w:szCs w:val="18"/>
    </w:rPr>
  </w:style>
  <w:style w:type="paragraph" w:customStyle="1" w:styleId="null3">
    <w:name w:val="null3"/>
    <w:rsid w:val="00375320"/>
    <w:rPr>
      <w:kern w:val="0"/>
      <w:sz w:val="20"/>
      <w:szCs w:val="20"/>
      <w:lang w:eastAsia="zh-Hans"/>
    </w:rPr>
  </w:style>
  <w:style w:type="table" w:styleId="a7">
    <w:name w:val="Table Grid"/>
    <w:qFormat/>
    <w:rsid w:val="00375320"/>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1327</Characters>
  <Application>Microsoft Office Word</Application>
  <DocSecurity>0</DocSecurity>
  <Lines>11</Lines>
  <Paragraphs>3</Paragraphs>
  <ScaleCrop>false</ScaleCrop>
  <Company>P R C</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2025-05-20T06:48:00Z</dcterms:created>
  <dcterms:modified xsi:type="dcterms:W3CDTF">2025-05-20T06:48:00Z</dcterms:modified>
</cp:coreProperties>
</file>