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仿宋_GB2312"/>
          <w:b/>
          <w:bCs/>
          <w:sz w:val="40"/>
          <w:szCs w:val="22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22"/>
          <w:lang w:val="en-US" w:eastAsia="zh-CN"/>
        </w:rPr>
        <w:t>采购需求</w:t>
      </w:r>
      <w:bookmarkEnd w:id="0"/>
    </w:p>
    <w:p w14:paraId="0910B48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fill="FFFFFF"/>
        </w:rPr>
        <w:t>一、项目背景</w:t>
      </w:r>
    </w:p>
    <w:p w14:paraId="031937E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fill="FFFFFF"/>
        </w:rPr>
        <w:t>按照渭北新城重点项目落地工作安排，渭水六路项目征地80余亩。现需对渭水六路征地范围内前期地表垃圾、土(石)方垃圾进行清运。</w:t>
      </w:r>
    </w:p>
    <w:p w14:paraId="1D178D3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fill="FFFFFF"/>
        </w:rPr>
        <w:t>二、垃圾清运量：土（石）方垃圾清运10471.1m³，单价最高限价：85元/立方米。</w:t>
      </w:r>
    </w:p>
    <w:p w14:paraId="43070A0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line="360" w:lineRule="auto"/>
        <w:ind w:firstLine="482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本项目报价方式为全费用综合单价，最终按实际工程量结算。</w:t>
      </w:r>
    </w:p>
    <w:p w14:paraId="03886CB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三、服务期限：</w:t>
      </w:r>
      <w:r>
        <w:rPr>
          <w:rFonts w:ascii="仿宋_GB2312" w:hAnsi="仿宋_GB2312" w:eastAsia="仿宋_GB2312" w:cs="仿宋_GB2312"/>
          <w:sz w:val="32"/>
          <w:szCs w:val="32"/>
          <w:shd w:val="clear" w:fill="FFFFFF"/>
        </w:rPr>
        <w:t>自合同签订之日起15日内完成工程范围内全部清运工程。</w:t>
      </w:r>
    </w:p>
    <w:p w14:paraId="35121FC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四、质量标准：符合国家现行有关施工质量验收规范“合格”要求。</w:t>
      </w:r>
    </w:p>
    <w:p w14:paraId="47E1B20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五、服务要求</w:t>
      </w:r>
    </w:p>
    <w:p w14:paraId="7DE9201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1、投标人负责所有垃圾的运输，需做好现场其他设施维护工作；</w:t>
      </w:r>
    </w:p>
    <w:p w14:paraId="334F297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2、安全责任：所有清扫运输工具均自备，维护费由中标人自行承担；清扫运输期间发生一切事故由中标人自负；</w:t>
      </w:r>
    </w:p>
    <w:p w14:paraId="2AF3C6E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3、清运权限：中标人必须由其本人参加清理垃圾，不得转包或分包给他人清运，否则采购人有权终止清运期限；</w:t>
      </w:r>
    </w:p>
    <w:p w14:paraId="49185C3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4、中标人须服从管理，依规合理利用场地及设施，不能从事有损于采购人利益和违反安全生产管理活动的行为。</w:t>
      </w:r>
    </w:p>
    <w:p w14:paraId="47D5229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六、其他</w:t>
      </w:r>
    </w:p>
    <w:p w14:paraId="5A1AFD4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1、垃圾清运倾倒点按国家相关规定执行，不得随意乱倒，倾运过程中垃圾不得外遗、抛洒，必须倾倒至指定垃圾分检中心。</w:t>
      </w:r>
    </w:p>
    <w:p w14:paraId="492667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2、与街办、村组沟通协调能力强、环境保障能力强的单位。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81507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A3C512E"/>
    <w:rsid w:val="4BE156B5"/>
    <w:rsid w:val="4EE80B08"/>
    <w:rsid w:val="50742555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9781507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adjustRightInd w:val="0"/>
      <w:snapToGrid w:val="0"/>
      <w:spacing w:line="700" w:lineRule="exact"/>
      <w:jc w:val="center"/>
      <w:outlineLvl w:val="0"/>
    </w:pPr>
    <w:rPr>
      <w:rFonts w:ascii="黑体" w:hAnsi="黑体" w:cs="Times New Roman"/>
      <w:b/>
      <w:sz w:val="36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2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30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6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Times New Roman"/>
      <w:b/>
      <w:bCs/>
      <w:snapToGrid w:val="0"/>
      <w:color w:val="000000"/>
      <w:spacing w:val="-4"/>
      <w:kern w:val="44"/>
      <w:sz w:val="44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32"/>
      <w:szCs w:val="24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2025-05-20T08:23:00Z</dcterms:created>
  <dc:creator>华采</dc:creator>
  <cp:lastModifiedBy>华采</cp:lastModifiedBy>
  <dcterms:modified xsi:type="dcterms:W3CDTF">2025-05-20T08:24:03Z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B36A36E1010D495D8650FE9713059796_11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