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E3F61">
      <w:pPr>
        <w:pStyle w:val="4"/>
        <w:jc w:val="center"/>
        <w:outlineLvl w:val="1"/>
      </w:pPr>
      <w:r>
        <w:rPr>
          <w:rFonts w:ascii="仿宋_GB2312" w:hAnsi="仿宋_GB2312" w:eastAsia="仿宋_GB2312" w:cs="仿宋_GB2312"/>
          <w:b/>
          <w:sz w:val="36"/>
        </w:rPr>
        <w:t>第三章 磋商项目技术、服务、商务及其他要求</w:t>
      </w:r>
    </w:p>
    <w:p w14:paraId="7DA2BE47">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755C92A">
      <w:pPr>
        <w:pStyle w:val="4"/>
        <w:outlineLvl w:val="2"/>
      </w:pPr>
      <w:r>
        <w:rPr>
          <w:rFonts w:ascii="仿宋_GB2312" w:hAnsi="仿宋_GB2312" w:eastAsia="仿宋_GB2312" w:cs="仿宋_GB2312"/>
          <w:b/>
          <w:sz w:val="28"/>
        </w:rPr>
        <w:t>3.1采购项目概况</w:t>
      </w:r>
      <w:bookmarkStart w:id="0" w:name="_GoBack"/>
      <w:bookmarkEnd w:id="0"/>
    </w:p>
    <w:p w14:paraId="042E941F">
      <w:pPr>
        <w:pStyle w:val="4"/>
        <w:ind w:firstLine="480"/>
      </w:pPr>
      <w:r>
        <w:rPr>
          <w:rFonts w:ascii="仿宋_GB2312" w:hAnsi="仿宋_GB2312" w:eastAsia="仿宋_GB2312" w:cs="仿宋_GB2312"/>
        </w:rPr>
        <w:t>根据最高人民法院出台的《关于全面推进人民法院电子卷宗随案同步生成和深度应用的指导意见》精神，着力推进电子卷宗随案同步生成，全面开发和支持电子卷宗在案件办理、诉讼服务和司法管理中的深度应用，是打造智慧法院的重要支撑。总体质量按照《陕西省高级人民法院关于全省法院历史卷宗数字化技术要求的通知》及最高法院有关规定等要求，对长安区人民法院随案生成的即时案件进行数字化扫描服务，并保证档案扫描图像与原件一致、整洁、清晰。本项目所属行业为软件和信息技术服务业。</w:t>
      </w:r>
    </w:p>
    <w:p w14:paraId="2DEDFBF2">
      <w:pPr>
        <w:pStyle w:val="4"/>
        <w:outlineLvl w:val="2"/>
      </w:pPr>
      <w:r>
        <w:rPr>
          <w:rFonts w:ascii="仿宋_GB2312" w:hAnsi="仿宋_GB2312" w:eastAsia="仿宋_GB2312" w:cs="仿宋_GB2312"/>
          <w:b/>
          <w:sz w:val="28"/>
        </w:rPr>
        <w:t>3.2服务内容及服务要求</w:t>
      </w:r>
    </w:p>
    <w:p w14:paraId="152E6636">
      <w:pPr>
        <w:pStyle w:val="4"/>
        <w:outlineLvl w:val="3"/>
      </w:pPr>
      <w:r>
        <w:rPr>
          <w:rFonts w:ascii="仿宋_GB2312" w:hAnsi="仿宋_GB2312" w:eastAsia="仿宋_GB2312" w:cs="仿宋_GB2312"/>
          <w:b/>
          <w:sz w:val="24"/>
        </w:rPr>
        <w:t>3.2.1服务内容</w:t>
      </w:r>
    </w:p>
    <w:p w14:paraId="7F697A92">
      <w:pPr>
        <w:pStyle w:val="4"/>
      </w:pPr>
      <w:r>
        <w:rPr>
          <w:rFonts w:ascii="仿宋_GB2312" w:hAnsi="仿宋_GB2312" w:eastAsia="仿宋_GB2312" w:cs="仿宋_GB2312"/>
        </w:rPr>
        <w:t>采购包1：</w:t>
      </w:r>
    </w:p>
    <w:p w14:paraId="7C519BF5">
      <w:pPr>
        <w:pStyle w:val="4"/>
      </w:pPr>
      <w:r>
        <w:rPr>
          <w:rFonts w:ascii="仿宋_GB2312" w:hAnsi="仿宋_GB2312" w:eastAsia="仿宋_GB2312" w:cs="仿宋_GB2312"/>
        </w:rPr>
        <w:t>采购包预算金额（元）: 1,390,000.00</w:t>
      </w:r>
    </w:p>
    <w:p w14:paraId="227943D8">
      <w:pPr>
        <w:pStyle w:val="4"/>
      </w:pPr>
      <w:r>
        <w:rPr>
          <w:rFonts w:ascii="仿宋_GB2312" w:hAnsi="仿宋_GB2312" w:eastAsia="仿宋_GB2312" w:cs="仿宋_GB2312"/>
        </w:rPr>
        <w:t>采购包最高限价（元）: 1,390,000.00</w:t>
      </w:r>
    </w:p>
    <w:p w14:paraId="21E46D66">
      <w:pPr>
        <w:pStyle w:val="4"/>
      </w:pPr>
      <w:r>
        <w:rPr>
          <w:rFonts w:ascii="仿宋_GB2312" w:hAnsi="仿宋_GB2312" w:eastAsia="仿宋_GB2312" w:cs="仿宋_GB2312"/>
        </w:rPr>
        <w:t>供应商报价不允许超过标的金额</w:t>
      </w:r>
    </w:p>
    <w:p w14:paraId="752C39CA">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5B62E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010483">
            <w:pPr>
              <w:pStyle w:val="4"/>
            </w:pPr>
            <w:r>
              <w:rPr>
                <w:rFonts w:ascii="仿宋_GB2312" w:hAnsi="仿宋_GB2312" w:eastAsia="仿宋_GB2312" w:cs="仿宋_GB2312"/>
              </w:rPr>
              <w:t>序号</w:t>
            </w:r>
          </w:p>
        </w:tc>
        <w:tc>
          <w:tcPr>
            <w:tcW w:w="831" w:type="dxa"/>
          </w:tcPr>
          <w:p w14:paraId="7299ECCB">
            <w:pPr>
              <w:pStyle w:val="4"/>
            </w:pPr>
            <w:r>
              <w:rPr>
                <w:rFonts w:ascii="仿宋_GB2312" w:hAnsi="仿宋_GB2312" w:eastAsia="仿宋_GB2312" w:cs="仿宋_GB2312"/>
              </w:rPr>
              <w:t>标的名称</w:t>
            </w:r>
          </w:p>
        </w:tc>
        <w:tc>
          <w:tcPr>
            <w:tcW w:w="831" w:type="dxa"/>
          </w:tcPr>
          <w:p w14:paraId="2C20188D">
            <w:pPr>
              <w:pStyle w:val="4"/>
            </w:pPr>
            <w:r>
              <w:rPr>
                <w:rFonts w:ascii="仿宋_GB2312" w:hAnsi="仿宋_GB2312" w:eastAsia="仿宋_GB2312" w:cs="仿宋_GB2312"/>
              </w:rPr>
              <w:t>数量</w:t>
            </w:r>
          </w:p>
        </w:tc>
        <w:tc>
          <w:tcPr>
            <w:tcW w:w="831" w:type="dxa"/>
          </w:tcPr>
          <w:p w14:paraId="41D6D393">
            <w:pPr>
              <w:pStyle w:val="4"/>
            </w:pPr>
            <w:r>
              <w:rPr>
                <w:rFonts w:ascii="仿宋_GB2312" w:hAnsi="仿宋_GB2312" w:eastAsia="仿宋_GB2312" w:cs="仿宋_GB2312"/>
              </w:rPr>
              <w:t>标的金额 （元）</w:t>
            </w:r>
          </w:p>
        </w:tc>
        <w:tc>
          <w:tcPr>
            <w:tcW w:w="831" w:type="dxa"/>
          </w:tcPr>
          <w:p w14:paraId="21177C0A">
            <w:pPr>
              <w:pStyle w:val="4"/>
            </w:pPr>
            <w:r>
              <w:rPr>
                <w:rFonts w:ascii="仿宋_GB2312" w:hAnsi="仿宋_GB2312" w:eastAsia="仿宋_GB2312" w:cs="仿宋_GB2312"/>
              </w:rPr>
              <w:t>计量单位</w:t>
            </w:r>
          </w:p>
        </w:tc>
        <w:tc>
          <w:tcPr>
            <w:tcW w:w="831" w:type="dxa"/>
          </w:tcPr>
          <w:p w14:paraId="2978004C">
            <w:pPr>
              <w:pStyle w:val="4"/>
            </w:pPr>
            <w:r>
              <w:rPr>
                <w:rFonts w:ascii="仿宋_GB2312" w:hAnsi="仿宋_GB2312" w:eastAsia="仿宋_GB2312" w:cs="仿宋_GB2312"/>
              </w:rPr>
              <w:t>所属行业</w:t>
            </w:r>
          </w:p>
        </w:tc>
        <w:tc>
          <w:tcPr>
            <w:tcW w:w="831" w:type="dxa"/>
          </w:tcPr>
          <w:p w14:paraId="7417919E">
            <w:pPr>
              <w:pStyle w:val="4"/>
            </w:pPr>
            <w:r>
              <w:rPr>
                <w:rFonts w:ascii="仿宋_GB2312" w:hAnsi="仿宋_GB2312" w:eastAsia="仿宋_GB2312" w:cs="仿宋_GB2312"/>
              </w:rPr>
              <w:t>是否核心产品</w:t>
            </w:r>
          </w:p>
        </w:tc>
        <w:tc>
          <w:tcPr>
            <w:tcW w:w="831" w:type="dxa"/>
          </w:tcPr>
          <w:p w14:paraId="60B4A594">
            <w:pPr>
              <w:pStyle w:val="4"/>
            </w:pPr>
            <w:r>
              <w:rPr>
                <w:rFonts w:ascii="仿宋_GB2312" w:hAnsi="仿宋_GB2312" w:eastAsia="仿宋_GB2312" w:cs="仿宋_GB2312"/>
              </w:rPr>
              <w:t>是否允许进口产品</w:t>
            </w:r>
          </w:p>
        </w:tc>
        <w:tc>
          <w:tcPr>
            <w:tcW w:w="831" w:type="dxa"/>
          </w:tcPr>
          <w:p w14:paraId="0F60B2AC">
            <w:pPr>
              <w:pStyle w:val="4"/>
            </w:pPr>
            <w:r>
              <w:rPr>
                <w:rFonts w:ascii="仿宋_GB2312" w:hAnsi="仿宋_GB2312" w:eastAsia="仿宋_GB2312" w:cs="仿宋_GB2312"/>
              </w:rPr>
              <w:t>是否属于节能产品</w:t>
            </w:r>
          </w:p>
        </w:tc>
        <w:tc>
          <w:tcPr>
            <w:tcW w:w="831" w:type="dxa"/>
          </w:tcPr>
          <w:p w14:paraId="194318B9">
            <w:pPr>
              <w:pStyle w:val="4"/>
            </w:pPr>
            <w:r>
              <w:rPr>
                <w:rFonts w:ascii="仿宋_GB2312" w:hAnsi="仿宋_GB2312" w:eastAsia="仿宋_GB2312" w:cs="仿宋_GB2312"/>
              </w:rPr>
              <w:t>是否属于环境标志产品</w:t>
            </w:r>
          </w:p>
        </w:tc>
      </w:tr>
      <w:tr w14:paraId="05B3C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A80205">
            <w:pPr>
              <w:pStyle w:val="4"/>
            </w:pPr>
            <w:r>
              <w:rPr>
                <w:rFonts w:ascii="仿宋_GB2312" w:hAnsi="仿宋_GB2312" w:eastAsia="仿宋_GB2312" w:cs="仿宋_GB2312"/>
              </w:rPr>
              <w:t>1</w:t>
            </w:r>
          </w:p>
        </w:tc>
        <w:tc>
          <w:tcPr>
            <w:tcW w:w="831" w:type="dxa"/>
          </w:tcPr>
          <w:p w14:paraId="490CEB3E">
            <w:pPr>
              <w:pStyle w:val="4"/>
            </w:pPr>
            <w:r>
              <w:rPr>
                <w:rFonts w:ascii="仿宋_GB2312" w:hAnsi="仿宋_GB2312" w:eastAsia="仿宋_GB2312" w:cs="仿宋_GB2312"/>
              </w:rPr>
              <w:t>档案数字化服务</w:t>
            </w:r>
          </w:p>
        </w:tc>
        <w:tc>
          <w:tcPr>
            <w:tcW w:w="831" w:type="dxa"/>
          </w:tcPr>
          <w:p w14:paraId="42F59953">
            <w:pPr>
              <w:pStyle w:val="4"/>
              <w:jc w:val="right"/>
            </w:pPr>
            <w:r>
              <w:rPr>
                <w:rFonts w:ascii="仿宋_GB2312" w:hAnsi="仿宋_GB2312" w:eastAsia="仿宋_GB2312" w:cs="仿宋_GB2312"/>
              </w:rPr>
              <w:t>1.00</w:t>
            </w:r>
          </w:p>
        </w:tc>
        <w:tc>
          <w:tcPr>
            <w:tcW w:w="831" w:type="dxa"/>
          </w:tcPr>
          <w:p w14:paraId="7977B6F0">
            <w:pPr>
              <w:pStyle w:val="4"/>
              <w:jc w:val="right"/>
            </w:pPr>
            <w:r>
              <w:rPr>
                <w:rFonts w:ascii="仿宋_GB2312" w:hAnsi="仿宋_GB2312" w:eastAsia="仿宋_GB2312" w:cs="仿宋_GB2312"/>
              </w:rPr>
              <w:t>1,390,000.00</w:t>
            </w:r>
          </w:p>
        </w:tc>
        <w:tc>
          <w:tcPr>
            <w:tcW w:w="831" w:type="dxa"/>
          </w:tcPr>
          <w:p w14:paraId="492D78DF">
            <w:pPr>
              <w:pStyle w:val="4"/>
            </w:pPr>
            <w:r>
              <w:rPr>
                <w:rFonts w:ascii="仿宋_GB2312" w:hAnsi="仿宋_GB2312" w:eastAsia="仿宋_GB2312" w:cs="仿宋_GB2312"/>
              </w:rPr>
              <w:t>年</w:t>
            </w:r>
          </w:p>
        </w:tc>
        <w:tc>
          <w:tcPr>
            <w:tcW w:w="831" w:type="dxa"/>
          </w:tcPr>
          <w:p w14:paraId="3389F1ED">
            <w:pPr>
              <w:pStyle w:val="4"/>
            </w:pPr>
            <w:r>
              <w:rPr>
                <w:rFonts w:ascii="仿宋_GB2312" w:hAnsi="仿宋_GB2312" w:eastAsia="仿宋_GB2312" w:cs="仿宋_GB2312"/>
              </w:rPr>
              <w:t>其他未列明行业</w:t>
            </w:r>
          </w:p>
        </w:tc>
        <w:tc>
          <w:tcPr>
            <w:tcW w:w="831" w:type="dxa"/>
          </w:tcPr>
          <w:p w14:paraId="70AD93BA">
            <w:pPr>
              <w:pStyle w:val="4"/>
            </w:pPr>
            <w:r>
              <w:rPr>
                <w:rFonts w:ascii="仿宋_GB2312" w:hAnsi="仿宋_GB2312" w:eastAsia="仿宋_GB2312" w:cs="仿宋_GB2312"/>
              </w:rPr>
              <w:t>否</w:t>
            </w:r>
          </w:p>
        </w:tc>
        <w:tc>
          <w:tcPr>
            <w:tcW w:w="831" w:type="dxa"/>
          </w:tcPr>
          <w:p w14:paraId="75058C48">
            <w:pPr>
              <w:pStyle w:val="4"/>
            </w:pPr>
            <w:r>
              <w:rPr>
                <w:rFonts w:ascii="仿宋_GB2312" w:hAnsi="仿宋_GB2312" w:eastAsia="仿宋_GB2312" w:cs="仿宋_GB2312"/>
              </w:rPr>
              <w:t>否</w:t>
            </w:r>
          </w:p>
        </w:tc>
        <w:tc>
          <w:tcPr>
            <w:tcW w:w="831" w:type="dxa"/>
          </w:tcPr>
          <w:p w14:paraId="208B393A">
            <w:pPr>
              <w:pStyle w:val="4"/>
            </w:pPr>
            <w:r>
              <w:rPr>
                <w:rFonts w:ascii="仿宋_GB2312" w:hAnsi="仿宋_GB2312" w:eastAsia="仿宋_GB2312" w:cs="仿宋_GB2312"/>
              </w:rPr>
              <w:t>否</w:t>
            </w:r>
          </w:p>
        </w:tc>
        <w:tc>
          <w:tcPr>
            <w:tcW w:w="831" w:type="dxa"/>
          </w:tcPr>
          <w:p w14:paraId="3E6FE5FE">
            <w:pPr>
              <w:pStyle w:val="4"/>
            </w:pPr>
            <w:r>
              <w:rPr>
                <w:rFonts w:ascii="仿宋_GB2312" w:hAnsi="仿宋_GB2312" w:eastAsia="仿宋_GB2312" w:cs="仿宋_GB2312"/>
              </w:rPr>
              <w:t>否</w:t>
            </w:r>
          </w:p>
        </w:tc>
      </w:tr>
    </w:tbl>
    <w:p w14:paraId="41A914C0">
      <w:pPr>
        <w:pStyle w:val="4"/>
        <w:outlineLvl w:val="2"/>
      </w:pPr>
      <w:r>
        <w:rPr>
          <w:rFonts w:ascii="仿宋_GB2312" w:hAnsi="仿宋_GB2312" w:eastAsia="仿宋_GB2312" w:cs="仿宋_GB2312"/>
          <w:b/>
          <w:sz w:val="28"/>
        </w:rPr>
        <w:t>3.2.2服务要求</w:t>
      </w:r>
    </w:p>
    <w:p w14:paraId="51E1A723">
      <w:pPr>
        <w:pStyle w:val="4"/>
      </w:pPr>
      <w:r>
        <w:rPr>
          <w:rFonts w:ascii="仿宋_GB2312" w:hAnsi="仿宋_GB2312" w:eastAsia="仿宋_GB2312" w:cs="仿宋_GB2312"/>
        </w:rPr>
        <w:t>采购包1：</w:t>
      </w:r>
    </w:p>
    <w:p w14:paraId="4C1DF72E">
      <w:pPr>
        <w:pStyle w:val="4"/>
      </w:pPr>
      <w:r>
        <w:rPr>
          <w:rFonts w:ascii="仿宋_GB2312" w:hAnsi="仿宋_GB2312" w:eastAsia="仿宋_GB2312" w:cs="仿宋_GB2312"/>
        </w:rPr>
        <w:t>标的名称：档案数字化服务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58EE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5C117E">
            <w:pPr>
              <w:pStyle w:val="4"/>
            </w:pPr>
            <w:r>
              <w:rPr>
                <w:rFonts w:ascii="仿宋_GB2312" w:hAnsi="仿宋_GB2312" w:eastAsia="仿宋_GB2312" w:cs="仿宋_GB2312"/>
              </w:rPr>
              <w:t xml:space="preserve"> 序号</w:t>
            </w:r>
          </w:p>
        </w:tc>
        <w:tc>
          <w:tcPr>
            <w:tcW w:w="2769" w:type="dxa"/>
          </w:tcPr>
          <w:p w14:paraId="55BB6776">
            <w:pPr>
              <w:pStyle w:val="4"/>
            </w:pPr>
            <w:r>
              <w:rPr>
                <w:rFonts w:ascii="仿宋_GB2312" w:hAnsi="仿宋_GB2312" w:eastAsia="仿宋_GB2312" w:cs="仿宋_GB2312"/>
              </w:rPr>
              <w:t xml:space="preserve"> 参数性质</w:t>
            </w:r>
          </w:p>
        </w:tc>
        <w:tc>
          <w:tcPr>
            <w:tcW w:w="2769" w:type="dxa"/>
          </w:tcPr>
          <w:p w14:paraId="54167D5A">
            <w:pPr>
              <w:pStyle w:val="4"/>
            </w:pPr>
            <w:r>
              <w:rPr>
                <w:rFonts w:ascii="仿宋_GB2312" w:hAnsi="仿宋_GB2312" w:eastAsia="仿宋_GB2312" w:cs="仿宋_GB2312"/>
              </w:rPr>
              <w:t xml:space="preserve"> 技术参数与性能指标</w:t>
            </w:r>
          </w:p>
        </w:tc>
      </w:tr>
      <w:tr w14:paraId="114A0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0FB4EA">
            <w:pPr>
              <w:pStyle w:val="4"/>
            </w:pPr>
            <w:r>
              <w:rPr>
                <w:rFonts w:ascii="仿宋_GB2312" w:hAnsi="仿宋_GB2312" w:eastAsia="仿宋_GB2312" w:cs="仿宋_GB2312"/>
              </w:rPr>
              <w:t>1</w:t>
            </w:r>
          </w:p>
        </w:tc>
        <w:tc>
          <w:tcPr>
            <w:tcW w:w="2769" w:type="dxa"/>
          </w:tcPr>
          <w:p w14:paraId="15F75DDA"/>
        </w:tc>
        <w:tc>
          <w:tcPr>
            <w:tcW w:w="2769" w:type="dxa"/>
          </w:tcPr>
          <w:p w14:paraId="6D5B73AE">
            <w:pPr>
              <w:pStyle w:val="4"/>
            </w:pPr>
            <w:r>
              <w:rPr>
                <w:rFonts w:ascii="仿宋_GB2312" w:hAnsi="仿宋_GB2312" w:eastAsia="仿宋_GB2312" w:cs="仿宋_GB2312"/>
                <w:color w:val="000000"/>
                <w:sz w:val="24"/>
              </w:rPr>
              <w:t>二、服务内容与要求</w:t>
            </w:r>
          </w:p>
          <w:p w14:paraId="139391A6">
            <w:pPr>
              <w:pStyle w:val="4"/>
            </w:pPr>
            <w:r>
              <w:rPr>
                <w:rFonts w:ascii="仿宋_GB2312" w:hAnsi="仿宋_GB2312" w:eastAsia="仿宋_GB2312" w:cs="仿宋_GB2312"/>
                <w:color w:val="000000"/>
                <w:sz w:val="24"/>
              </w:rPr>
              <w:t>1、技术标准</w:t>
            </w:r>
          </w:p>
          <w:p w14:paraId="50C8BCD1">
            <w:pPr>
              <w:pStyle w:val="4"/>
            </w:pPr>
            <w:r>
              <w:rPr>
                <w:rFonts w:ascii="仿宋_GB2312" w:hAnsi="仿宋_GB2312" w:eastAsia="仿宋_GB2312" w:cs="仿宋_GB2312"/>
                <w:color w:val="000000"/>
                <w:sz w:val="24"/>
              </w:rPr>
              <w:t>1.1 带有★号的条款为实质性条款不得有偏离 。</w:t>
            </w:r>
          </w:p>
          <w:p w14:paraId="259D23D5">
            <w:pPr>
              <w:pStyle w:val="4"/>
            </w:pPr>
            <w:r>
              <w:rPr>
                <w:rFonts w:ascii="仿宋_GB2312" w:hAnsi="仿宋_GB2312" w:eastAsia="仿宋_GB2312" w:cs="仿宋_GB2312"/>
                <w:color w:val="000000"/>
                <w:sz w:val="24"/>
              </w:rPr>
              <w:t>1.2 服务方案要求</w:t>
            </w:r>
          </w:p>
          <w:p w14:paraId="0BB507C2">
            <w:pPr>
              <w:pStyle w:val="4"/>
            </w:pPr>
            <w:r>
              <w:rPr>
                <w:rFonts w:ascii="仿宋_GB2312" w:hAnsi="仿宋_GB2312" w:eastAsia="仿宋_GB2312" w:cs="仿宋_GB2312"/>
                <w:color w:val="000000"/>
                <w:sz w:val="24"/>
              </w:rPr>
              <w:t>（1）DA/T31-2017 中华人民共和国档案行业标准《纸质档案数字化技术规范》；</w:t>
            </w:r>
          </w:p>
          <w:p w14:paraId="584F818E">
            <w:pPr>
              <w:pStyle w:val="4"/>
            </w:pPr>
            <w:r>
              <w:rPr>
                <w:rFonts w:ascii="仿宋_GB2312" w:hAnsi="仿宋_GB2312" w:eastAsia="仿宋_GB2312" w:cs="仿宋_GB2312"/>
                <w:color w:val="000000"/>
                <w:sz w:val="24"/>
              </w:rPr>
              <w:t>（2）DA/T18-2022《档案著录规则》；</w:t>
            </w:r>
          </w:p>
          <w:p w14:paraId="46894D7D">
            <w:pPr>
              <w:pStyle w:val="4"/>
            </w:pPr>
            <w:r>
              <w:rPr>
                <w:rFonts w:ascii="仿宋_GB2312" w:hAnsi="仿宋_GB2312" w:eastAsia="仿宋_GB2312" w:cs="仿宋_GB2312"/>
                <w:color w:val="000000"/>
                <w:sz w:val="24"/>
              </w:rPr>
              <w:t>（3）GB/T18894-2016《电子文档归档与管理规范》；</w:t>
            </w:r>
          </w:p>
          <w:p w14:paraId="5F193DA4">
            <w:pPr>
              <w:pStyle w:val="4"/>
            </w:pPr>
            <w:r>
              <w:rPr>
                <w:rFonts w:ascii="仿宋_GB2312" w:hAnsi="仿宋_GB2312" w:eastAsia="仿宋_GB2312" w:cs="仿宋_GB2312"/>
                <w:color w:val="000000"/>
                <w:sz w:val="24"/>
              </w:rPr>
              <w:t>（4）《中华人民共和国档案法》；</w:t>
            </w:r>
          </w:p>
          <w:p w14:paraId="349BA31A">
            <w:pPr>
              <w:pStyle w:val="4"/>
            </w:pPr>
            <w:r>
              <w:rPr>
                <w:rFonts w:ascii="仿宋_GB2312" w:hAnsi="仿宋_GB2312" w:eastAsia="仿宋_GB2312" w:cs="仿宋_GB2312"/>
                <w:color w:val="000000"/>
                <w:sz w:val="24"/>
              </w:rPr>
              <w:t>（5）GB/T7156-2016《文献保密等级代码》；</w:t>
            </w:r>
          </w:p>
          <w:p w14:paraId="347C5F38">
            <w:pPr>
              <w:pStyle w:val="4"/>
            </w:pPr>
            <w:r>
              <w:rPr>
                <w:rFonts w:ascii="仿宋_GB2312" w:hAnsi="仿宋_GB2312" w:eastAsia="仿宋_GB2312" w:cs="仿宋_GB2312"/>
                <w:color w:val="000000"/>
                <w:sz w:val="24"/>
              </w:rPr>
              <w:t>（6）最高人民法院《人民法院纸质档案数字化处理规范》2007；</w:t>
            </w:r>
          </w:p>
          <w:p w14:paraId="6346FAB1">
            <w:pPr>
              <w:pStyle w:val="4"/>
            </w:pPr>
            <w:r>
              <w:rPr>
                <w:rFonts w:ascii="仿宋_GB2312" w:hAnsi="仿宋_GB2312" w:eastAsia="仿宋_GB2312" w:cs="仿宋_GB2312"/>
                <w:color w:val="000000"/>
                <w:sz w:val="24"/>
              </w:rPr>
              <w:t>（7）陕西省高级人民法院《关于全省法院卷宗数字化技术要求的通知》陕高法〔2017〕205 号文件；</w:t>
            </w:r>
          </w:p>
          <w:p w14:paraId="44F20EEF">
            <w:pPr>
              <w:pStyle w:val="4"/>
            </w:pPr>
            <w:r>
              <w:rPr>
                <w:rFonts w:ascii="仿宋_GB2312" w:hAnsi="仿宋_GB2312" w:eastAsia="仿宋_GB2312" w:cs="仿宋_GB2312"/>
                <w:color w:val="000000"/>
                <w:sz w:val="24"/>
              </w:rPr>
              <w:t>（8）《最高人民法院关于全面推进人民法院电子卷宗随案同步生成和深度应用的指导意见》；</w:t>
            </w:r>
          </w:p>
          <w:p w14:paraId="0587A299">
            <w:pPr>
              <w:pStyle w:val="4"/>
            </w:pPr>
            <w:r>
              <w:rPr>
                <w:rFonts w:ascii="仿宋_GB2312" w:hAnsi="仿宋_GB2312" w:eastAsia="仿宋_GB2312" w:cs="仿宋_GB2312"/>
                <w:color w:val="000000"/>
                <w:sz w:val="24"/>
              </w:rPr>
              <w:t>（9）《最高人民法院关于进一步加快推进电子卷宗随案同步生成和深度应用工作的通知》 ；</w:t>
            </w:r>
          </w:p>
          <w:p w14:paraId="156B8FB3">
            <w:pPr>
              <w:pStyle w:val="4"/>
            </w:pPr>
            <w:r>
              <w:rPr>
                <w:rFonts w:ascii="仿宋_GB2312" w:hAnsi="仿宋_GB2312" w:eastAsia="仿宋_GB2312" w:cs="仿宋_GB2312"/>
                <w:color w:val="000000"/>
                <w:sz w:val="24"/>
              </w:rPr>
              <w:t>（10）《电子卷宗随案同步生成与管理应用技术要求》；</w:t>
            </w:r>
          </w:p>
          <w:p w14:paraId="032BB21C">
            <w:pPr>
              <w:pStyle w:val="4"/>
            </w:pPr>
            <w:r>
              <w:rPr>
                <w:rFonts w:ascii="仿宋_GB2312" w:hAnsi="仿宋_GB2312" w:eastAsia="仿宋_GB2312" w:cs="仿宋_GB2312"/>
                <w:color w:val="000000"/>
                <w:sz w:val="24"/>
              </w:rPr>
              <w:t>（11）《电子卷宗阅卷目录规范》；</w:t>
            </w:r>
          </w:p>
          <w:p w14:paraId="1C510AE7">
            <w:pPr>
              <w:pStyle w:val="4"/>
            </w:pPr>
            <w:r>
              <w:rPr>
                <w:rFonts w:ascii="仿宋_GB2312" w:hAnsi="仿宋_GB2312" w:eastAsia="仿宋_GB2312" w:cs="仿宋_GB2312"/>
                <w:color w:val="000000"/>
                <w:sz w:val="24"/>
              </w:rPr>
              <w:t>（12）《电子档案管理应用技术要求》；</w:t>
            </w:r>
          </w:p>
          <w:p w14:paraId="1374F52C">
            <w:pPr>
              <w:pStyle w:val="4"/>
            </w:pPr>
            <w:r>
              <w:rPr>
                <w:rFonts w:ascii="仿宋_GB2312" w:hAnsi="仿宋_GB2312" w:eastAsia="仿宋_GB2312" w:cs="仿宋_GB2312"/>
                <w:color w:val="000000"/>
                <w:sz w:val="24"/>
              </w:rPr>
              <w:t>（13）《基于电子卷宗的审判支持应用技术要求》；</w:t>
            </w:r>
          </w:p>
          <w:p w14:paraId="24BB0276">
            <w:pPr>
              <w:pStyle w:val="4"/>
            </w:pPr>
            <w:r>
              <w:rPr>
                <w:rFonts w:ascii="仿宋_GB2312" w:hAnsi="仿宋_GB2312" w:eastAsia="仿宋_GB2312" w:cs="仿宋_GB2312"/>
                <w:color w:val="000000"/>
                <w:sz w:val="24"/>
              </w:rPr>
              <w:t>（14）《法院电子卷宗数据汇聚技术规范》；</w:t>
            </w:r>
          </w:p>
          <w:p w14:paraId="00825D40">
            <w:pPr>
              <w:pStyle w:val="4"/>
            </w:pPr>
            <w:r>
              <w:rPr>
                <w:rFonts w:ascii="仿宋_GB2312" w:hAnsi="仿宋_GB2312" w:eastAsia="仿宋_GB2312" w:cs="仿宋_GB2312"/>
                <w:color w:val="000000"/>
                <w:sz w:val="24"/>
              </w:rPr>
              <w:t>（15）长安区人民法院的档案信息化管理系统及其他相关行业标准的要求。</w:t>
            </w:r>
          </w:p>
          <w:p w14:paraId="1EB0F92D">
            <w:pPr>
              <w:pStyle w:val="4"/>
            </w:pPr>
            <w:r>
              <w:rPr>
                <w:rFonts w:ascii="仿宋_GB2312" w:hAnsi="仿宋_GB2312" w:eastAsia="仿宋_GB2312" w:cs="仿宋_GB2312"/>
                <w:color w:val="000000"/>
                <w:sz w:val="24"/>
              </w:rPr>
              <w:t>（16）解决法官对大量纸质卷宗在结案前的有序、统一管理和安全储存等问题。通过数字化技术与法院诉讼档案随案同步业务进行完美融合，实现审判全流程准无纸化办案。</w:t>
            </w:r>
          </w:p>
          <w:p w14:paraId="6ADE3AD7">
            <w:pPr>
              <w:pStyle w:val="4"/>
            </w:pPr>
            <w:r>
              <w:rPr>
                <w:rFonts w:ascii="仿宋_GB2312" w:hAnsi="仿宋_GB2312" w:eastAsia="仿宋_GB2312" w:cs="仿宋_GB2312"/>
                <w:color w:val="000000"/>
                <w:sz w:val="24"/>
              </w:rPr>
              <w:t>（17）在立案、庭前、庭后、结案等阶段将产生案卷材料，对收取的纸质材料进行扫描、分类校验、加工、生成电子卷宗、挂接至交大慧谷系统、对收取的诉讼材料进行整理和保管、将诉讼材料整理为诉讼卷宗并进行归档等全部工作。</w:t>
            </w:r>
          </w:p>
          <w:p w14:paraId="71E2DAA4">
            <w:pPr>
              <w:pStyle w:val="4"/>
            </w:pPr>
            <w:r>
              <w:rPr>
                <w:rFonts w:ascii="仿宋_GB2312" w:hAnsi="仿宋_GB2312" w:eastAsia="仿宋_GB2312" w:cs="仿宋_GB2312"/>
                <w:color w:val="000000"/>
                <w:sz w:val="24"/>
              </w:rPr>
              <w:t>（18）数据存储格式。全部采用彩色单页 jpg 的存储格式，纸质档案扫描分辨率要 300dpi 以上， 所有照片档案为彩色 600dpi。对于案卷中出现字迹较小、模糊、较密集等情况，应适当提高分辨率， 形成成品为24bit真彩的 JPEG 压缩格式的电子图片文件。扫描图像存储以案号命名根文件夹，正副卷结合的形式进行存储备份。</w:t>
            </w:r>
          </w:p>
          <w:p w14:paraId="333B0441">
            <w:pPr>
              <w:pStyle w:val="4"/>
            </w:pPr>
            <w:r>
              <w:rPr>
                <w:rFonts w:ascii="仿宋_GB2312" w:hAnsi="仿宋_GB2312" w:eastAsia="仿宋_GB2312" w:cs="仿宋_GB2312"/>
                <w:color w:val="000000"/>
                <w:sz w:val="24"/>
              </w:rPr>
              <w:t>（19）扫描图像质量的要求。图像质量情况完好率100%。图像清晰、完整，反映档案全貌；页面底色、字迹、印章颜色与档案本身颜色相仿，色泽均匀；图像效果必须符合正常的阅读习惯。</w:t>
            </w:r>
          </w:p>
          <w:p w14:paraId="38245D39">
            <w:pPr>
              <w:pStyle w:val="4"/>
            </w:pPr>
            <w:r>
              <w:rPr>
                <w:rFonts w:ascii="仿宋_GB2312" w:hAnsi="仿宋_GB2312" w:eastAsia="仿宋_GB2312" w:cs="仿宋_GB2312"/>
                <w:color w:val="000000"/>
                <w:sz w:val="24"/>
              </w:rPr>
              <w:t>（20）图像目录对应的信息正确率100%。图像齐全，包括卷面、目录、正文、备考表等信息。</w:t>
            </w:r>
          </w:p>
          <w:p w14:paraId="170B2B1E">
            <w:pPr>
              <w:pStyle w:val="4"/>
            </w:pPr>
            <w:r>
              <w:rPr>
                <w:rFonts w:ascii="仿宋_GB2312" w:hAnsi="仿宋_GB2312" w:eastAsia="仿宋_GB2312" w:cs="仿宋_GB2312"/>
                <w:color w:val="000000"/>
                <w:sz w:val="24"/>
              </w:rPr>
              <w:t>（21）数据上传质量检查。采用人工校对或自动校对的方式，对系统目录数据库的建库质量进行检查，核对上传项目是否完整，内容是否规范、准确，是否有漏传、错传等问题，对错传、漏传的数据进行修正、补录。</w:t>
            </w:r>
          </w:p>
          <w:p w14:paraId="156CC97A">
            <w:pPr>
              <w:pStyle w:val="4"/>
            </w:pPr>
            <w:r>
              <w:rPr>
                <w:rFonts w:ascii="仿宋_GB2312" w:hAnsi="仿宋_GB2312" w:eastAsia="仿宋_GB2312" w:cs="仿宋_GB2312"/>
                <w:color w:val="000000"/>
                <w:sz w:val="24"/>
              </w:rPr>
              <w:t>（22）投标人应结合长安区法院的档案管理制度制定一套符合完成本项目工作实际的档案整理、 电子化等的管理规定及操作流程，以确保档案装订规范、电子化质量达到品质要求、档案卷宗系统验卷、归档，确保档案材料的安全和项目任务的完成。</w:t>
            </w:r>
          </w:p>
          <w:p w14:paraId="6B8B1B28">
            <w:pPr>
              <w:pStyle w:val="4"/>
            </w:pPr>
            <w:r>
              <w:rPr>
                <w:rFonts w:ascii="仿宋_GB2312" w:hAnsi="仿宋_GB2312" w:eastAsia="仿宋_GB2312" w:cs="仿宋_GB2312"/>
                <w:color w:val="000000"/>
                <w:sz w:val="24"/>
              </w:rPr>
              <w:t>（23）投标人需派驻稳定团队，到长安区法院指定工作场所扫描案卷，服务期间须保持人员数量的稳定。</w:t>
            </w:r>
          </w:p>
          <w:p w14:paraId="27D06AD0">
            <w:pPr>
              <w:pStyle w:val="4"/>
            </w:pPr>
            <w:r>
              <w:rPr>
                <w:rFonts w:ascii="仿宋_GB2312" w:hAnsi="仿宋_GB2312" w:eastAsia="仿宋_GB2312" w:cs="仿宋_GB2312"/>
                <w:color w:val="000000"/>
                <w:sz w:val="24"/>
              </w:rPr>
              <w:t>（24）档案随案生成环节细分包括：档案接收、档案扫描、图像上传至交大慧谷办案系统、校对归目、归档验卷、档案装订、档案移交等。</w:t>
            </w:r>
          </w:p>
          <w:p w14:paraId="0D2DC505">
            <w:pPr>
              <w:pStyle w:val="4"/>
            </w:pPr>
            <w:r>
              <w:rPr>
                <w:rFonts w:ascii="仿宋_GB2312" w:hAnsi="仿宋_GB2312" w:eastAsia="仿宋_GB2312" w:cs="仿宋_GB2312"/>
                <w:color w:val="000000"/>
                <w:sz w:val="24"/>
              </w:rPr>
              <w:t>（25）投标人应保证扫描的案卷在装卸、运输和仓储过程中有足够的包装保护，防止纸质案卷 受潮、破损、着火及其他不可预见的损坏。</w:t>
            </w:r>
          </w:p>
          <w:p w14:paraId="69C2B187">
            <w:pPr>
              <w:pStyle w:val="4"/>
            </w:pPr>
            <w:r>
              <w:rPr>
                <w:rFonts w:ascii="仿宋_GB2312" w:hAnsi="仿宋_GB2312" w:eastAsia="仿宋_GB2312" w:cs="仿宋_GB2312"/>
                <w:color w:val="000000"/>
                <w:sz w:val="24"/>
              </w:rPr>
              <w:t>（26）纸质案卷到达采购人指定的整理地点后，投标投标人应按有关技术规程和采购人要求进行存放、保管和整理。</w:t>
            </w:r>
          </w:p>
          <w:p w14:paraId="4B92FA43">
            <w:pPr>
              <w:pStyle w:val="4"/>
            </w:pPr>
            <w:r>
              <w:rPr>
                <w:rFonts w:ascii="仿宋_GB2312" w:hAnsi="仿宋_GB2312" w:eastAsia="仿宋_GB2312" w:cs="仿宋_GB2312"/>
                <w:color w:val="000000"/>
                <w:sz w:val="24"/>
              </w:rPr>
              <w:t>（27）人员要求</w:t>
            </w:r>
          </w:p>
          <w:p w14:paraId="30CFB822">
            <w:pPr>
              <w:pStyle w:val="4"/>
            </w:pPr>
            <w:r>
              <w:rPr>
                <w:rFonts w:ascii="仿宋_GB2312" w:hAnsi="仿宋_GB2312" w:eastAsia="仿宋_GB2312" w:cs="仿宋_GB2312"/>
                <w:color w:val="000000"/>
                <w:sz w:val="24"/>
              </w:rPr>
              <w:t>档案数字化项目组人员充足，不少于14人，配置完善合理。</w:t>
            </w:r>
          </w:p>
          <w:p w14:paraId="2EA46666">
            <w:pPr>
              <w:pStyle w:val="4"/>
            </w:pPr>
            <w:r>
              <w:rPr>
                <w:rFonts w:ascii="仿宋_GB2312" w:hAnsi="仿宋_GB2312" w:eastAsia="仿宋_GB2312" w:cs="仿宋_GB2312"/>
                <w:color w:val="000000"/>
                <w:sz w:val="24"/>
              </w:rPr>
              <w:t>1.3 质量要求</w:t>
            </w:r>
          </w:p>
          <w:p w14:paraId="1C6DA41F">
            <w:pPr>
              <w:pStyle w:val="4"/>
            </w:pPr>
            <w:r>
              <w:rPr>
                <w:rFonts w:ascii="仿宋_GB2312" w:hAnsi="仿宋_GB2312" w:eastAsia="仿宋_GB2312" w:cs="仿宋_GB2312"/>
                <w:color w:val="000000"/>
                <w:sz w:val="24"/>
              </w:rPr>
              <w:t>1.3.1 服务、产品（如有）执行的标准、规范：</w:t>
            </w:r>
          </w:p>
          <w:p w14:paraId="7EAA2419">
            <w:pPr>
              <w:pStyle w:val="4"/>
            </w:pPr>
            <w:r>
              <w:rPr>
                <w:rFonts w:ascii="仿宋_GB2312" w:hAnsi="仿宋_GB2312" w:eastAsia="仿宋_GB2312" w:cs="仿宋_GB2312"/>
                <w:color w:val="000000"/>
                <w:sz w:val="24"/>
              </w:rPr>
              <w:t>（1）国家标准、规范     /    ；</w:t>
            </w:r>
          </w:p>
          <w:p w14:paraId="4F24CA7E">
            <w:pPr>
              <w:pStyle w:val="4"/>
            </w:pPr>
            <w:r>
              <w:rPr>
                <w:rFonts w:ascii="仿宋_GB2312" w:hAnsi="仿宋_GB2312" w:eastAsia="仿宋_GB2312" w:cs="仿宋_GB2312"/>
                <w:color w:val="000000"/>
                <w:sz w:val="24"/>
              </w:rPr>
              <w:t>（2）行业标准、规范     /    ；</w:t>
            </w:r>
          </w:p>
          <w:p w14:paraId="25454788">
            <w:pPr>
              <w:pStyle w:val="4"/>
            </w:pPr>
            <w:r>
              <w:rPr>
                <w:rFonts w:ascii="仿宋_GB2312" w:hAnsi="仿宋_GB2312" w:eastAsia="仿宋_GB2312" w:cs="仿宋_GB2312"/>
                <w:color w:val="000000"/>
                <w:sz w:val="24"/>
              </w:rPr>
              <w:t>（3）地方标准、规范     /    ；</w:t>
            </w:r>
          </w:p>
          <w:p w14:paraId="778CC8EF">
            <w:pPr>
              <w:pStyle w:val="4"/>
            </w:pPr>
            <w:r>
              <w:rPr>
                <w:rFonts w:ascii="仿宋_GB2312" w:hAnsi="仿宋_GB2312" w:eastAsia="仿宋_GB2312" w:cs="仿宋_GB2312"/>
                <w:color w:val="000000"/>
                <w:sz w:val="24"/>
              </w:rPr>
              <w:t>（4）团体标准、规范     /    ；</w:t>
            </w:r>
          </w:p>
          <w:p w14:paraId="55518EB7">
            <w:pPr>
              <w:pStyle w:val="4"/>
            </w:pPr>
            <w:r>
              <w:rPr>
                <w:rFonts w:ascii="仿宋_GB2312" w:hAnsi="仿宋_GB2312" w:eastAsia="仿宋_GB2312" w:cs="仿宋_GB2312"/>
                <w:color w:val="000000"/>
                <w:sz w:val="24"/>
              </w:rPr>
              <w:t>（5）企业标准、规范     /    。</w:t>
            </w:r>
          </w:p>
          <w:p w14:paraId="4F42F70C">
            <w:pPr>
              <w:pStyle w:val="4"/>
            </w:pPr>
            <w:r>
              <w:rPr>
                <w:rFonts w:ascii="仿宋_GB2312" w:hAnsi="仿宋_GB2312" w:eastAsia="仿宋_GB2312" w:cs="仿宋_GB2312"/>
                <w:color w:val="000000"/>
                <w:sz w:val="24"/>
              </w:rPr>
              <w:t>1.3.2 本章1.3.1条款未明确服务（产品）执行标准、规范的，按下列方法进行选择：</w:t>
            </w:r>
          </w:p>
          <w:p w14:paraId="79A0EF22">
            <w:pPr>
              <w:pStyle w:val="4"/>
            </w:pPr>
            <w:r>
              <w:rPr>
                <w:rFonts w:ascii="仿宋_GB2312" w:hAnsi="仿宋_GB2312" w:eastAsia="仿宋_GB2312" w:cs="仿宋_GB2312"/>
                <w:color w:val="000000"/>
                <w:sz w:val="24"/>
              </w:rPr>
              <w:t>□ 顺序执行：国家标准→行业标准→地方标准→团体标准→企业标准（有国家标准按国家标准执行，没有国家标准按行业标准，以此类推）；</w:t>
            </w:r>
          </w:p>
          <w:p w14:paraId="3F7F9A0E">
            <w:pPr>
              <w:pStyle w:val="4"/>
            </w:pPr>
            <w:r>
              <w:rPr>
                <w:rFonts w:ascii="仿宋_GB2312" w:hAnsi="仿宋_GB2312" w:eastAsia="仿宋_GB2312" w:cs="仿宋_GB2312"/>
                <w:color w:val="000000"/>
                <w:sz w:val="24"/>
              </w:rPr>
              <w:t>□ 最高标准执行：国家标准，行业标准，地方标准，团体标准，企业标准（那个标准高执行那个标准）</w:t>
            </w:r>
          </w:p>
          <w:p w14:paraId="503D8C88">
            <w:pPr>
              <w:pStyle w:val="4"/>
            </w:pPr>
            <w:r>
              <w:rPr>
                <w:rFonts w:ascii="仿宋_GB2312" w:hAnsi="仿宋_GB2312" w:eastAsia="仿宋_GB2312" w:cs="仿宋_GB2312"/>
                <w:color w:val="000000"/>
                <w:sz w:val="24"/>
              </w:rPr>
              <w:t>☑ 必须执行：国家（行业）强制性标准。</w:t>
            </w:r>
          </w:p>
          <w:p w14:paraId="0B8F65D4">
            <w:pPr>
              <w:pStyle w:val="4"/>
            </w:pPr>
            <w:r>
              <w:rPr>
                <w:rFonts w:ascii="仿宋_GB2312" w:hAnsi="仿宋_GB2312" w:eastAsia="仿宋_GB2312" w:cs="仿宋_GB2312"/>
                <w:color w:val="000000"/>
                <w:sz w:val="24"/>
              </w:rPr>
              <w:t>★1.4 人员要求</w:t>
            </w:r>
          </w:p>
          <w:p w14:paraId="7D7F042D">
            <w:pPr>
              <w:pStyle w:val="4"/>
            </w:pPr>
            <w:r>
              <w:rPr>
                <w:rFonts w:ascii="仿宋_GB2312" w:hAnsi="仿宋_GB2312" w:eastAsia="仿宋_GB2312" w:cs="仿宋_GB2312"/>
                <w:color w:val="000000"/>
                <w:sz w:val="24"/>
              </w:rPr>
              <w:t>档案数字化项目组人员充足，不少于14人，配置完善合理。</w:t>
            </w:r>
          </w:p>
          <w:p w14:paraId="5C064A13">
            <w:pPr>
              <w:pStyle w:val="4"/>
            </w:pPr>
            <w:r>
              <w:rPr>
                <w:rFonts w:ascii="仿宋_GB2312" w:hAnsi="仿宋_GB2312" w:eastAsia="仿宋_GB2312" w:cs="仿宋_GB2312"/>
                <w:color w:val="000000"/>
                <w:sz w:val="24"/>
              </w:rPr>
              <w:t>2. 商务要求</w:t>
            </w:r>
          </w:p>
          <w:p w14:paraId="20ABFE02">
            <w:pPr>
              <w:pStyle w:val="4"/>
            </w:pPr>
            <w:r>
              <w:rPr>
                <w:rFonts w:ascii="仿宋_GB2312" w:hAnsi="仿宋_GB2312" w:eastAsia="仿宋_GB2312" w:cs="仿宋_GB2312"/>
                <w:color w:val="000000"/>
                <w:sz w:val="24"/>
              </w:rPr>
              <w:t>2.1服务期限：</w:t>
            </w:r>
          </w:p>
          <w:p w14:paraId="6E9AC582">
            <w:pPr>
              <w:pStyle w:val="4"/>
            </w:pPr>
            <w:r>
              <w:rPr>
                <w:rFonts w:ascii="仿宋_GB2312" w:hAnsi="仿宋_GB2312" w:eastAsia="仿宋_GB2312" w:cs="仿宋_GB2312"/>
                <w:color w:val="000000"/>
                <w:sz w:val="24"/>
              </w:rPr>
              <w:t>自合同签订之日起至预算金额支付完毕</w:t>
            </w:r>
          </w:p>
          <w:p w14:paraId="4DF527FA">
            <w:pPr>
              <w:pStyle w:val="4"/>
            </w:pPr>
            <w:r>
              <w:rPr>
                <w:rFonts w:ascii="仿宋_GB2312" w:hAnsi="仿宋_GB2312" w:eastAsia="仿宋_GB2312" w:cs="仿宋_GB2312"/>
                <w:color w:val="000000"/>
                <w:sz w:val="24"/>
              </w:rPr>
              <w:t>2.2服务地点：</w:t>
            </w:r>
          </w:p>
          <w:p w14:paraId="155160E6">
            <w:pPr>
              <w:pStyle w:val="4"/>
            </w:pPr>
            <w:r>
              <w:rPr>
                <w:rFonts w:ascii="仿宋_GB2312" w:hAnsi="仿宋_GB2312" w:eastAsia="仿宋_GB2312" w:cs="仿宋_GB2312"/>
                <w:color w:val="000000"/>
                <w:sz w:val="24"/>
              </w:rPr>
              <w:t>西安市长安区人民法院全区域，采购人指定地点</w:t>
            </w:r>
          </w:p>
          <w:p w14:paraId="60727577">
            <w:pPr>
              <w:pStyle w:val="4"/>
            </w:pPr>
            <w:r>
              <w:rPr>
                <w:rFonts w:ascii="仿宋_GB2312" w:hAnsi="仿宋_GB2312" w:eastAsia="仿宋_GB2312" w:cs="仿宋_GB2312"/>
                <w:color w:val="000000"/>
                <w:sz w:val="24"/>
              </w:rPr>
              <w:t>长安区人民法院地址：西安市长安区西长安街141号；</w:t>
            </w:r>
          </w:p>
          <w:p w14:paraId="5646604C">
            <w:pPr>
              <w:pStyle w:val="4"/>
            </w:pPr>
            <w:r>
              <w:rPr>
                <w:rFonts w:ascii="仿宋_GB2312" w:hAnsi="仿宋_GB2312" w:eastAsia="仿宋_GB2312" w:cs="仿宋_GB2312"/>
                <w:color w:val="000000"/>
                <w:sz w:val="24"/>
              </w:rPr>
              <w:t>沣峪人民法庭地址：西安市长安区滦镇街道313县道（滦镇十字向西200米路北）；</w:t>
            </w:r>
          </w:p>
          <w:p w14:paraId="4B2C4607">
            <w:pPr>
              <w:pStyle w:val="4"/>
            </w:pPr>
            <w:r>
              <w:rPr>
                <w:rFonts w:ascii="仿宋_GB2312" w:hAnsi="仿宋_GB2312" w:eastAsia="仿宋_GB2312" w:cs="仿宋_GB2312"/>
                <w:color w:val="000000"/>
                <w:sz w:val="24"/>
              </w:rPr>
              <w:t>郭杜人民法庭地址：西安市长安区西户路与韦斗路十字西北角；</w:t>
            </w:r>
          </w:p>
          <w:p w14:paraId="73145220">
            <w:pPr>
              <w:pStyle w:val="4"/>
            </w:pPr>
            <w:r>
              <w:rPr>
                <w:rFonts w:ascii="仿宋_GB2312" w:hAnsi="仿宋_GB2312" w:eastAsia="仿宋_GB2312" w:cs="仿宋_GB2312"/>
                <w:color w:val="000000"/>
                <w:sz w:val="24"/>
              </w:rPr>
              <w:t>细柳人民法庭地址：西安市长安区西户路与韦斗路十字西北角；</w:t>
            </w:r>
          </w:p>
          <w:p w14:paraId="52706628">
            <w:pPr>
              <w:pStyle w:val="4"/>
            </w:pPr>
            <w:r>
              <w:rPr>
                <w:rFonts w:ascii="仿宋_GB2312" w:hAnsi="仿宋_GB2312" w:eastAsia="仿宋_GB2312" w:cs="仿宋_GB2312"/>
                <w:color w:val="000000"/>
                <w:sz w:val="24"/>
              </w:rPr>
              <w:t>王曲人民法庭地址：西安市长安区王曲街道238县道（王曲派出所旁）；</w:t>
            </w:r>
          </w:p>
          <w:p w14:paraId="71542D57">
            <w:pPr>
              <w:pStyle w:val="4"/>
            </w:pPr>
            <w:r>
              <w:rPr>
                <w:rFonts w:ascii="仿宋_GB2312" w:hAnsi="仿宋_GB2312" w:eastAsia="仿宋_GB2312" w:cs="仿宋_GB2312"/>
                <w:color w:val="000000"/>
                <w:sz w:val="24"/>
              </w:rPr>
              <w:t>引镇人民法庭地址：西安市长安区引镇街道太兴南路27号；</w:t>
            </w:r>
          </w:p>
          <w:p w14:paraId="469767D4">
            <w:pPr>
              <w:pStyle w:val="4"/>
            </w:pPr>
            <w:r>
              <w:rPr>
                <w:rFonts w:ascii="仿宋_GB2312" w:hAnsi="仿宋_GB2312" w:eastAsia="仿宋_GB2312" w:cs="仿宋_GB2312"/>
                <w:color w:val="000000"/>
                <w:sz w:val="24"/>
              </w:rPr>
              <w:t>鸣犊人民法庭地址：西安市长安区鸣犊东街与鸣犊正街交叉口东340米；</w:t>
            </w:r>
          </w:p>
          <w:p w14:paraId="2423740B">
            <w:pPr>
              <w:pStyle w:val="4"/>
            </w:pPr>
            <w:r>
              <w:rPr>
                <w:rFonts w:ascii="仿宋_GB2312" w:hAnsi="仿宋_GB2312" w:eastAsia="仿宋_GB2312" w:cs="仿宋_GB2312"/>
                <w:color w:val="000000"/>
                <w:sz w:val="24"/>
              </w:rPr>
              <w:t>西安国家民用航天产业基地人民法庭：西安市长安区国家民用航天产业基地航天中路518号寰宇大厦8F</w:t>
            </w:r>
          </w:p>
          <w:p w14:paraId="3FDACFC4">
            <w:pPr>
              <w:pStyle w:val="4"/>
            </w:pPr>
            <w:r>
              <w:rPr>
                <w:rFonts w:ascii="仿宋_GB2312" w:hAnsi="仿宋_GB2312" w:eastAsia="仿宋_GB2312" w:cs="仿宋_GB2312"/>
                <w:color w:val="000000"/>
                <w:sz w:val="24"/>
              </w:rPr>
              <w:t>3采购最高限价：</w:t>
            </w:r>
          </w:p>
          <w:p w14:paraId="5BD635D5">
            <w:pPr>
              <w:pStyle w:val="4"/>
            </w:pPr>
            <w:r>
              <w:rPr>
                <w:rFonts w:ascii="仿宋_GB2312" w:hAnsi="仿宋_GB2312" w:eastAsia="仿宋_GB2312" w:cs="仿宋_GB2312"/>
                <w:color w:val="000000"/>
                <w:sz w:val="24"/>
              </w:rPr>
              <w:t>采购包最高限价（元）：1390000.00</w:t>
            </w:r>
          </w:p>
          <w:p w14:paraId="3839B609">
            <w:pPr>
              <w:pStyle w:val="4"/>
            </w:pPr>
            <w:r>
              <w:rPr>
                <w:rFonts w:ascii="仿宋_GB2312" w:hAnsi="仿宋_GB2312" w:eastAsia="仿宋_GB2312" w:cs="仿宋_GB2312"/>
                <w:color w:val="000000"/>
                <w:sz w:val="24"/>
              </w:rPr>
              <w:t>采购包</w:t>
            </w:r>
            <w:r>
              <w:rPr>
                <w:rFonts w:ascii="仿宋_GB2312" w:hAnsi="仿宋_GB2312" w:eastAsia="仿宋_GB2312" w:cs="仿宋_GB2312"/>
                <w:color w:val="000000"/>
                <w:sz w:val="24"/>
                <w:u w:val="single"/>
              </w:rPr>
              <w:t>单价限价：58元/案</w:t>
            </w:r>
            <w:r>
              <w:rPr>
                <w:rFonts w:ascii="仿宋_GB2312" w:hAnsi="仿宋_GB2312" w:eastAsia="仿宋_GB2312" w:cs="仿宋_GB2312"/>
                <w:color w:val="000000"/>
                <w:sz w:val="24"/>
              </w:rPr>
              <w:t>。（本项目报单价进行评审和最终结算，结算累计金额至预算金额支付完毕。</w:t>
            </w:r>
          </w:p>
        </w:tc>
      </w:tr>
    </w:tbl>
    <w:p w14:paraId="469E9432">
      <w:pPr>
        <w:pStyle w:val="4"/>
        <w:outlineLvl w:val="2"/>
      </w:pPr>
      <w:r>
        <w:rPr>
          <w:rFonts w:ascii="仿宋_GB2312" w:hAnsi="仿宋_GB2312" w:eastAsia="仿宋_GB2312" w:cs="仿宋_GB2312"/>
          <w:b/>
          <w:sz w:val="28"/>
        </w:rPr>
        <w:t>3.2.3人员配置要求</w:t>
      </w:r>
    </w:p>
    <w:p w14:paraId="78791643">
      <w:pPr>
        <w:pStyle w:val="4"/>
      </w:pPr>
      <w:r>
        <w:rPr>
          <w:rFonts w:ascii="仿宋_GB2312" w:hAnsi="仿宋_GB2312" w:eastAsia="仿宋_GB2312" w:cs="仿宋_GB2312"/>
        </w:rPr>
        <w:t>采购包1：</w:t>
      </w:r>
    </w:p>
    <w:p w14:paraId="2C24B7BB">
      <w:pPr>
        <w:pStyle w:val="4"/>
      </w:pPr>
      <w:r>
        <w:rPr>
          <w:rFonts w:ascii="仿宋_GB2312" w:hAnsi="仿宋_GB2312" w:eastAsia="仿宋_GB2312" w:cs="仿宋_GB2312"/>
        </w:rPr>
        <w:t>档案数字化项目组人员充足，不少于14人，配置完善合理。</w:t>
      </w:r>
    </w:p>
    <w:p w14:paraId="27C598D9">
      <w:pPr>
        <w:pStyle w:val="4"/>
        <w:outlineLvl w:val="2"/>
      </w:pPr>
      <w:r>
        <w:rPr>
          <w:rFonts w:ascii="仿宋_GB2312" w:hAnsi="仿宋_GB2312" w:eastAsia="仿宋_GB2312" w:cs="仿宋_GB2312"/>
          <w:b/>
          <w:sz w:val="28"/>
        </w:rPr>
        <w:t>3.2.4设施设备要求</w:t>
      </w:r>
    </w:p>
    <w:p w14:paraId="0A684D67">
      <w:pPr>
        <w:pStyle w:val="4"/>
      </w:pPr>
      <w:r>
        <w:rPr>
          <w:rFonts w:ascii="仿宋_GB2312" w:hAnsi="仿宋_GB2312" w:eastAsia="仿宋_GB2312" w:cs="仿宋_GB2312"/>
        </w:rPr>
        <w:t>采购包1：</w:t>
      </w:r>
    </w:p>
    <w:p w14:paraId="1AD4FD3F">
      <w:pPr>
        <w:pStyle w:val="4"/>
      </w:pPr>
      <w:r>
        <w:rPr>
          <w:rFonts w:ascii="仿宋_GB2312" w:hAnsi="仿宋_GB2312" w:eastAsia="仿宋_GB2312" w:cs="仿宋_GB2312"/>
        </w:rPr>
        <w:t>提供本项目投入的设备配置情况，结合相关技术支持材料，满足档案数字化项目设备配置数量、设备先进、设备使用安全性</w:t>
      </w:r>
    </w:p>
    <w:p w14:paraId="0F8214E1">
      <w:pPr>
        <w:pStyle w:val="4"/>
        <w:outlineLvl w:val="2"/>
      </w:pPr>
      <w:r>
        <w:rPr>
          <w:rFonts w:ascii="仿宋_GB2312" w:hAnsi="仿宋_GB2312" w:eastAsia="仿宋_GB2312" w:cs="仿宋_GB2312"/>
          <w:b/>
          <w:sz w:val="28"/>
        </w:rPr>
        <w:t>3.2.5其他要求</w:t>
      </w:r>
    </w:p>
    <w:p w14:paraId="571327DA">
      <w:pPr>
        <w:pStyle w:val="4"/>
      </w:pPr>
      <w:r>
        <w:rPr>
          <w:rFonts w:ascii="仿宋_GB2312" w:hAnsi="仿宋_GB2312" w:eastAsia="仿宋_GB2312" w:cs="仿宋_GB2312"/>
        </w:rPr>
        <w:t>采购包1：</w:t>
      </w:r>
    </w:p>
    <w:p w14:paraId="4B2A0AD3">
      <w:pPr>
        <w:pStyle w:val="4"/>
      </w:pPr>
      <w:r>
        <w:rPr>
          <w:rFonts w:ascii="仿宋_GB2312" w:hAnsi="仿宋_GB2312" w:eastAsia="仿宋_GB2312" w:cs="仿宋_GB2312"/>
        </w:rPr>
        <w:t>/</w:t>
      </w:r>
    </w:p>
    <w:p w14:paraId="03E6295C">
      <w:pPr>
        <w:pStyle w:val="4"/>
        <w:outlineLvl w:val="2"/>
      </w:pPr>
      <w:r>
        <w:rPr>
          <w:rFonts w:ascii="仿宋_GB2312" w:hAnsi="仿宋_GB2312" w:eastAsia="仿宋_GB2312" w:cs="仿宋_GB2312"/>
          <w:b/>
          <w:sz w:val="28"/>
        </w:rPr>
        <w:t>3.3商务要求</w:t>
      </w:r>
    </w:p>
    <w:p w14:paraId="4E9F99C0">
      <w:pPr>
        <w:pStyle w:val="4"/>
        <w:outlineLvl w:val="3"/>
      </w:pPr>
      <w:r>
        <w:rPr>
          <w:rFonts w:ascii="仿宋_GB2312" w:hAnsi="仿宋_GB2312" w:eastAsia="仿宋_GB2312" w:cs="仿宋_GB2312"/>
          <w:b/>
          <w:sz w:val="24"/>
        </w:rPr>
        <w:t>3.3.1服务期限</w:t>
      </w:r>
    </w:p>
    <w:p w14:paraId="5B996BB4">
      <w:pPr>
        <w:pStyle w:val="4"/>
      </w:pPr>
      <w:r>
        <w:rPr>
          <w:rFonts w:ascii="仿宋_GB2312" w:hAnsi="仿宋_GB2312" w:eastAsia="仿宋_GB2312" w:cs="仿宋_GB2312"/>
        </w:rPr>
        <w:t>采购包1：</w:t>
      </w:r>
    </w:p>
    <w:p w14:paraId="4E99CF29">
      <w:pPr>
        <w:pStyle w:val="4"/>
      </w:pPr>
      <w:r>
        <w:rPr>
          <w:rFonts w:ascii="仿宋_GB2312" w:hAnsi="仿宋_GB2312" w:eastAsia="仿宋_GB2312" w:cs="仿宋_GB2312"/>
        </w:rPr>
        <w:t>自合同签订之日起至预算金额支付完毕</w:t>
      </w:r>
    </w:p>
    <w:p w14:paraId="2452A5AA">
      <w:pPr>
        <w:pStyle w:val="4"/>
        <w:outlineLvl w:val="3"/>
      </w:pPr>
      <w:r>
        <w:rPr>
          <w:rFonts w:ascii="仿宋_GB2312" w:hAnsi="仿宋_GB2312" w:eastAsia="仿宋_GB2312" w:cs="仿宋_GB2312"/>
          <w:b/>
          <w:sz w:val="24"/>
        </w:rPr>
        <w:t>3.3.2服务地点</w:t>
      </w:r>
    </w:p>
    <w:p w14:paraId="3BA51AB2">
      <w:pPr>
        <w:pStyle w:val="4"/>
      </w:pPr>
      <w:r>
        <w:rPr>
          <w:rFonts w:ascii="仿宋_GB2312" w:hAnsi="仿宋_GB2312" w:eastAsia="仿宋_GB2312" w:cs="仿宋_GB2312"/>
        </w:rPr>
        <w:t>采购包1：</w:t>
      </w:r>
    </w:p>
    <w:p w14:paraId="2B197BC8">
      <w:pPr>
        <w:pStyle w:val="4"/>
      </w:pPr>
      <w:r>
        <w:rPr>
          <w:rFonts w:ascii="仿宋_GB2312" w:hAnsi="仿宋_GB2312" w:eastAsia="仿宋_GB2312" w:cs="仿宋_GB2312"/>
        </w:rPr>
        <w:t>采购人指定地点</w:t>
      </w:r>
    </w:p>
    <w:p w14:paraId="6A017477">
      <w:pPr>
        <w:pStyle w:val="4"/>
        <w:outlineLvl w:val="3"/>
      </w:pPr>
      <w:r>
        <w:rPr>
          <w:rFonts w:ascii="仿宋_GB2312" w:hAnsi="仿宋_GB2312" w:eastAsia="仿宋_GB2312" w:cs="仿宋_GB2312"/>
          <w:b/>
          <w:sz w:val="24"/>
        </w:rPr>
        <w:t>3.3.3考核（验收）标准和方法</w:t>
      </w:r>
    </w:p>
    <w:p w14:paraId="78C31A72">
      <w:pPr>
        <w:pStyle w:val="4"/>
      </w:pPr>
      <w:r>
        <w:rPr>
          <w:rFonts w:ascii="仿宋_GB2312" w:hAnsi="仿宋_GB2312" w:eastAsia="仿宋_GB2312" w:cs="仿宋_GB2312"/>
        </w:rPr>
        <w:t>采购包1：</w:t>
      </w:r>
    </w:p>
    <w:p w14:paraId="4D4221ED">
      <w:pPr>
        <w:pStyle w:val="4"/>
      </w:pPr>
      <w:r>
        <w:rPr>
          <w:rFonts w:ascii="仿宋_GB2312" w:hAnsi="仿宋_GB2312" w:eastAsia="仿宋_GB2312" w:cs="仿宋_GB2312"/>
        </w:rPr>
        <w:t>由采购人对项目进行整体验收，供应商协助配合。其内容包括采购文件以及响应文件中所有服务内容，以及质量是否达到现行国家有关验收规范“合格”标准、是否按照采购人要求实施、是否按照采购人要求提供相关培训、是否在规定时间内完成工作。 1.服务内容和质量最终验收达不到采购文件要求和响应文件承诺的，或在项目实施中发现采购人不能容忍的缺陷等，将视为验收不合格，供应商应在采购人要求的时间内无条件免费进行整改。 2.验收标准：按采购文件、响应文件及澄清函等进行验收。 3.验收合格后，填写验收单，双方签字生效</w:t>
      </w:r>
    </w:p>
    <w:p w14:paraId="65858B00">
      <w:pPr>
        <w:pStyle w:val="4"/>
        <w:outlineLvl w:val="3"/>
      </w:pPr>
      <w:r>
        <w:rPr>
          <w:rFonts w:ascii="仿宋_GB2312" w:hAnsi="仿宋_GB2312" w:eastAsia="仿宋_GB2312" w:cs="仿宋_GB2312"/>
          <w:b/>
          <w:sz w:val="24"/>
        </w:rPr>
        <w:t>3.3.4支付方式</w:t>
      </w:r>
    </w:p>
    <w:p w14:paraId="14A44813">
      <w:pPr>
        <w:pStyle w:val="4"/>
      </w:pPr>
      <w:r>
        <w:rPr>
          <w:rFonts w:ascii="仿宋_GB2312" w:hAnsi="仿宋_GB2312" w:eastAsia="仿宋_GB2312" w:cs="仿宋_GB2312"/>
        </w:rPr>
        <w:t>采购包1：</w:t>
      </w:r>
    </w:p>
    <w:p w14:paraId="55D71E7C">
      <w:pPr>
        <w:pStyle w:val="4"/>
      </w:pPr>
      <w:r>
        <w:rPr>
          <w:rFonts w:ascii="仿宋_GB2312" w:hAnsi="仿宋_GB2312" w:eastAsia="仿宋_GB2312" w:cs="仿宋_GB2312"/>
        </w:rPr>
        <w:t>分期付款</w:t>
      </w:r>
    </w:p>
    <w:p w14:paraId="6AA579CF">
      <w:pPr>
        <w:pStyle w:val="4"/>
        <w:outlineLvl w:val="3"/>
      </w:pPr>
      <w:r>
        <w:rPr>
          <w:rFonts w:ascii="仿宋_GB2312" w:hAnsi="仿宋_GB2312" w:eastAsia="仿宋_GB2312" w:cs="仿宋_GB2312"/>
          <w:b/>
          <w:sz w:val="24"/>
        </w:rPr>
        <w:t>3.3.5支付约定</w:t>
      </w:r>
    </w:p>
    <w:p w14:paraId="483AD5EA">
      <w:pPr>
        <w:pStyle w:val="4"/>
      </w:pPr>
      <w:r>
        <w:rPr>
          <w:rFonts w:ascii="仿宋_GB2312" w:hAnsi="仿宋_GB2312" w:eastAsia="仿宋_GB2312" w:cs="仿宋_GB2312"/>
        </w:rPr>
        <w:t>采购包1： 付款条件说明： 1、服务单价最高限价:档案扫描 元 /案（包括立案、庭前、庭后、结案、归档5个节点的电子卷宗随案同步生成一切费用）。本项目签订合同后15个工作日内，甲方向乙方支付合同总价30%的价款， ，达到付款条件起 15 日内，支付合同总金额的 30.00%。</w:t>
      </w:r>
    </w:p>
    <w:p w14:paraId="13016B2C">
      <w:pPr>
        <w:pStyle w:val="4"/>
      </w:pPr>
      <w:r>
        <w:rPr>
          <w:rFonts w:ascii="仿宋_GB2312" w:hAnsi="仿宋_GB2312" w:eastAsia="仿宋_GB2312" w:cs="仿宋_GB2312"/>
        </w:rPr>
        <w:t>采购包1： 付款条件说明： 剩余70%按照每月实际扫描数量，经甲方确认后，每月15日据实结算上月价款。完成案件的立案节点后支付个案中标价的30%，案件归档后支付个案中标价的70%，结算价款总额不超过预算额（1390000.00元）。 ，达到付款条件起 15 日内，支付合同总金额的 70.00%。</w:t>
      </w:r>
    </w:p>
    <w:p w14:paraId="3A455827">
      <w:pPr>
        <w:pStyle w:val="4"/>
        <w:outlineLvl w:val="3"/>
      </w:pPr>
      <w:r>
        <w:rPr>
          <w:rFonts w:ascii="仿宋_GB2312" w:hAnsi="仿宋_GB2312" w:eastAsia="仿宋_GB2312" w:cs="仿宋_GB2312"/>
          <w:b/>
          <w:sz w:val="24"/>
        </w:rPr>
        <w:t>3.3.6违约责任及解决争议的方法</w:t>
      </w:r>
    </w:p>
    <w:p w14:paraId="64BCB430">
      <w:pPr>
        <w:pStyle w:val="4"/>
      </w:pPr>
      <w:r>
        <w:rPr>
          <w:rFonts w:ascii="仿宋_GB2312" w:hAnsi="仿宋_GB2312" w:eastAsia="仿宋_GB2312" w:cs="仿宋_GB2312"/>
        </w:rPr>
        <w:t>采购包1：</w:t>
      </w:r>
    </w:p>
    <w:p w14:paraId="31A50B50">
      <w:pPr>
        <w:pStyle w:val="4"/>
      </w:pPr>
      <w:r>
        <w:rPr>
          <w:rFonts w:ascii="仿宋_GB2312" w:hAnsi="仿宋_GB2312" w:eastAsia="仿宋_GB2312" w:cs="仿宋_GB2312"/>
        </w:rPr>
        <w:t>一、违约责任： 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并承担合同总额20%的违约责任。 二、合同争议解决的方式： 1、在执行本合同中发生的或与本合同有关的争端，双方应通过友好协商解决，经协商不能达成协议时，则采取向有管辖权的人民法院提起诉讼的方式解决争议； 2、在争议解决期间，本合同应继续履行。</w:t>
      </w:r>
    </w:p>
    <w:p w14:paraId="72E911D6">
      <w:pPr>
        <w:pStyle w:val="4"/>
        <w:outlineLvl w:val="2"/>
      </w:pPr>
      <w:r>
        <w:rPr>
          <w:rFonts w:ascii="仿宋_GB2312" w:hAnsi="仿宋_GB2312" w:eastAsia="仿宋_GB2312" w:cs="仿宋_GB2312"/>
          <w:b/>
          <w:sz w:val="28"/>
        </w:rPr>
        <w:t>3.4其他要求</w:t>
      </w:r>
    </w:p>
    <w:p w14:paraId="200A4290">
      <w:pPr>
        <w:pStyle w:val="4"/>
      </w:pPr>
      <w:r>
        <w:rPr>
          <w:rFonts w:ascii="仿宋_GB2312" w:hAnsi="仿宋_GB2312" w:eastAsia="仿宋_GB2312" w:cs="仿宋_GB2312"/>
        </w:rPr>
        <w:t>1.采购标的对应的中小企业划分标准所属行业为其他未列明行业。其他未列明行业的划型标准为：从业人员300人以下的为中小微型企业。其中，从业人员100人及以上的为中型企业；从业人员10人及以上的为小型企业；从业人员10人以下的为微型企业。</w:t>
      </w:r>
    </w:p>
    <w:p w14:paraId="192B1B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53852"/>
    <w:rsid w:val="42A5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2025-05-21T02:49:00Z</dcterms:created>
  <dc:creator>丁小小昕</dc:creator>
  <cp:lastModifiedBy>丁小小昕</cp:lastModifiedBy>
  <dcterms:modified xsi:type="dcterms:W3CDTF">2025-05-21T02:49:28Z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8B2D44F658F94E40A3BB670E3496A068_11</vt:lpwstr>
  </property>
  <property fmtid="{D5CDD505-2E9C-101B-9397-08002B2CF9AE}" pid="4" name="KSOTemplateDocerSaveRecord">
    <vt:lpwstr>eyJoZGlkIjoiOGY0MDlkN2Y4YTg5NTMwOTZkZmUwMzk2NjljNWJkNGMiLCJ1c2VySWQiOiI0MDg2NTQ1ODMifQ==</vt:lpwstr>
  </property>
</Properties>
</file>