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D2CC7">
      <w:pPr>
        <w:pStyle w:val="2"/>
        <w:numPr>
          <w:numId w:val="0"/>
        </w:numPr>
        <w:spacing w:line="360" w:lineRule="auto"/>
        <w:ind w:leftChars="0" w:firstLine="2650" w:firstLineChars="600"/>
        <w:jc w:val="both"/>
        <w:rPr>
          <w:rFonts w:hint="eastAsia" w:ascii="宋体" w:hAnsi="宋体" w:eastAsia="宋体" w:cs="宋体"/>
          <w:color w:val="000000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highlight w:val="none"/>
          <w:lang w:val="en-US" w:eastAsia="zh-CN"/>
        </w:rPr>
        <w:t>采</w:t>
      </w:r>
      <w:r>
        <w:rPr>
          <w:rFonts w:hint="eastAsia" w:ascii="宋体" w:hAnsi="宋体" w:eastAsia="宋体" w:cs="宋体"/>
          <w:highlight w:val="none"/>
        </w:rPr>
        <w:t>购内容及需求</w:t>
      </w:r>
    </w:p>
    <w:p w14:paraId="1E02AC53">
      <w:pPr>
        <w:pStyle w:val="3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/>
          <w:strike w:val="0"/>
          <w:dstrike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项</w:t>
      </w:r>
      <w:r>
        <w:rPr>
          <w:rFonts w:hint="eastAsia" w:ascii="宋体" w:hAnsi="宋体" w:eastAsia="宋体" w:cs="宋体"/>
          <w:b/>
          <w:bCs/>
          <w:strike w:val="0"/>
          <w:dstrike w:val="0"/>
          <w:highlight w:val="none"/>
          <w:lang w:val="en-US" w:eastAsia="zh-CN"/>
        </w:rPr>
        <w:t>目概况</w:t>
      </w:r>
    </w:p>
    <w:p w14:paraId="5F42C86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县级抽检任务不少于416批次。包括辖区内城乡结合部及农村地区流通环节的集贸市场、商场超市、便利店、食杂店、网络销售食品、外卖食品以及小作坊、小餐饮、小摊贩(食品“三小”)抽检220批次、食用农产品实验室检验196批次(其中“柞水木耳”抽检不少于15批次)。</w:t>
      </w:r>
    </w:p>
    <w:p w14:paraId="2DC14F6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（一）抽样对象和检验项目。抽样区域和场所主要是城乡结合部、农村地区的集贸市场、商场超市、便利店、食杂店、小作坊、小餐饮、小摊贩等，以及辖区内食用农产品经营场所销售的畜禽肉及副产品、蔬菜、水果、水产品、鲜蛋等食用农产品。检验项目按照《2025年食品安全监督抽检方案(城乡结合部、农村流通环节及“三小”；食用农产品)》所列执行。</w:t>
      </w:r>
    </w:p>
    <w:p w14:paraId="7F01E76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(二)抽检时间和频次。根据辖区“三小”生产经营品种和食用农产品销售季节特点的风险大小、数量和季节特点确定抽样频次和数量，在本年度10月份内完成抽样任务。原则上食用农产品经营市场全覆盖。</w:t>
      </w:r>
    </w:p>
    <w:p w14:paraId="06ABF7EB">
      <w:pPr>
        <w:numPr>
          <w:ilvl w:val="0"/>
          <w:numId w:val="0"/>
        </w:numPr>
        <w:tabs>
          <w:tab w:val="left" w:pos="0"/>
        </w:tabs>
        <w:spacing w:before="48" w:beforeLines="20" w:after="48" w:afterLines="20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 xml:space="preserve">二、服务要求 </w:t>
      </w:r>
    </w:p>
    <w:p w14:paraId="42FF85FD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能提供高效抽检服务，全天提供24小时服务，能接受抽样工作委托，有专门团队负责配合采样；</w:t>
      </w:r>
    </w:p>
    <w:p w14:paraId="66D14008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抽检样品必须在当天进入食品检测实验室，以确保样品检测报告的准确性、报告复检维持率高；</w:t>
      </w:r>
    </w:p>
    <w:p w14:paraId="721DC9C4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能够熟练运用各级抽检系统，及时准确地录入抽检、检验信息，辅助采购人完成统计报表、信息公示等工作；</w:t>
      </w:r>
    </w:p>
    <w:p w14:paraId="26F94225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有能满足采样、运输、检验等工作的车辆、设备等硬件；</w:t>
      </w:r>
    </w:p>
    <w:p w14:paraId="1F66F115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不得将检验任务外包或分包给其他检测机构检验；</w:t>
      </w:r>
    </w:p>
    <w:p w14:paraId="6ABDAABC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若投标人出具虚假、错误检验数据和结论，一经发现，立即取消合作资格；</w:t>
      </w:r>
    </w:p>
    <w:p w14:paraId="7598EE8E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须提供相关的业务咨询、报告分析等服务；</w:t>
      </w:r>
    </w:p>
    <w:p w14:paraId="4E8A0D24">
      <w:pPr>
        <w:numPr>
          <w:ilvl w:val="0"/>
          <w:numId w:val="3"/>
        </w:numPr>
        <w:spacing w:before="48" w:beforeLines="20" w:after="48" w:afterLines="20"/>
        <w:ind w:left="0"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时限要求：检验机构收到检品后20个工作日出具检验报告。对于特殊、涉案样品的检验，3天出结果，7天出报告；</w:t>
      </w:r>
    </w:p>
    <w:p w14:paraId="76916C6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C45C4"/>
    <w:multiLevelType w:val="singleLevel"/>
    <w:tmpl w:val="CFFC45C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0176D871"/>
    <w:multiLevelType w:val="multilevel"/>
    <w:tmpl w:val="0176D871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  <w:b/>
        <w:bCs/>
        <w:sz w:val="44"/>
        <w:szCs w:val="44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abstractNum w:abstractNumId="2">
    <w:nsid w:val="328F66A4"/>
    <w:multiLevelType w:val="singleLevel"/>
    <w:tmpl w:val="328F6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066C"/>
    <w:rsid w:val="4CF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" w:cs="Arial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widowControl w:val="0"/>
      <w:numPr>
        <w:ilvl w:val="0"/>
        <w:numId w:val="1"/>
      </w:numPr>
      <w:spacing w:before="340" w:after="330" w:line="576" w:lineRule="auto"/>
      <w:ind w:left="0" w:firstLine="0" w:firstLineChars="0"/>
      <w:jc w:val="center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</w:style>
  <w:style w:type="paragraph" w:styleId="4">
    <w:name w:val="toc 4"/>
    <w:basedOn w:val="1"/>
    <w:next w:val="1"/>
    <w:qFormat/>
    <w:uiPriority w:val="0"/>
    <w:pPr>
      <w:tabs>
        <w:tab w:val="left" w:pos="1890"/>
        <w:tab w:val="right" w:leader="dot" w:pos="8296"/>
      </w:tabs>
      <w:spacing w:line="240" w:lineRule="auto"/>
      <w:ind w:left="300" w:leftChars="300" w:firstLine="0" w:firstLineChars="0"/>
    </w:pPr>
    <w:rPr>
      <w:rFonts w:ascii="Calibri" w:hAnsi="Calibri" w:eastAsia="宋体" w:cs="Times New Roman"/>
      <w:sz w:val="21"/>
      <w:szCs w:val="22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Body Text First Indent 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2025-05-23T03:44:00Z</dcterms:created>
  <dc:creator>Administrator</dc:creator>
  <cp:lastModifiedBy>Administrator</cp:lastModifiedBy>
  <dcterms:modified xsi:type="dcterms:W3CDTF">2025-05-23T03:45:00Z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8506BDC61DC74534BD972A877FF37901_11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