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FB315">
      <w:pPr>
        <w:pStyle w:val="8"/>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采购</w:t>
      </w:r>
      <w:r>
        <w:rPr>
          <w:rFonts w:hint="eastAsia" w:ascii="宋体" w:hAnsi="宋体" w:eastAsia="宋体" w:cs="宋体"/>
          <w:b/>
          <w:bCs/>
          <w:color w:val="auto"/>
          <w:sz w:val="28"/>
          <w:szCs w:val="28"/>
        </w:rPr>
        <w:t>内容及要求</w:t>
      </w:r>
    </w:p>
    <w:p w14:paraId="48D19A39">
      <w:pPr>
        <w:numPr>
          <w:ilvl w:val="0"/>
          <w:numId w:val="1"/>
        </w:numPr>
        <w:autoSpaceDE w:val="0"/>
        <w:autoSpaceDN w:val="0"/>
        <w:snapToGrid w:val="0"/>
        <w:spacing w:line="560" w:lineRule="exact"/>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项目情况：</w:t>
      </w:r>
    </w:p>
    <w:p w14:paraId="5EFAB966">
      <w:pPr>
        <w:numPr>
          <w:ilvl w:val="0"/>
          <w:numId w:val="2"/>
        </w:numPr>
        <w:autoSpaceDE w:val="0"/>
        <w:autoSpaceDN w:val="0"/>
        <w:snapToGrid w:val="0"/>
        <w:spacing w:line="520" w:lineRule="exact"/>
        <w:ind w:firstLine="560" w:firstLineChars="200"/>
        <w:rPr>
          <w:rFonts w:hint="eastAsia" w:hAnsi="宋体" w:cs="宋体"/>
          <w:b w:val="0"/>
          <w:bCs/>
          <w:sz w:val="28"/>
          <w:szCs w:val="28"/>
          <w:lang w:eastAsia="zh-CN"/>
        </w:rPr>
      </w:pPr>
      <w:r>
        <w:rPr>
          <w:rFonts w:hint="eastAsia" w:ascii="宋体" w:hAnsi="宋体" w:eastAsia="宋体" w:cs="宋体"/>
          <w:color w:val="auto"/>
          <w:sz w:val="28"/>
          <w:szCs w:val="28"/>
          <w:lang w:val="zh-CN"/>
        </w:rPr>
        <w:t>项目名称：</w:t>
      </w:r>
      <w:r>
        <w:rPr>
          <w:rFonts w:hint="eastAsia" w:hAnsi="宋体" w:cs="宋体"/>
          <w:b w:val="0"/>
          <w:bCs/>
          <w:sz w:val="28"/>
          <w:szCs w:val="28"/>
          <w:lang w:eastAsia="zh-CN"/>
        </w:rPr>
        <w:t>旬阳市社会治安综合治理中心 （旬阳市矛盾调解中心）规范化建设</w:t>
      </w:r>
    </w:p>
    <w:p w14:paraId="47B3AB0B">
      <w:pPr>
        <w:numPr>
          <w:ilvl w:val="0"/>
          <w:numId w:val="0"/>
        </w:numPr>
        <w:autoSpaceDE w:val="0"/>
        <w:autoSpaceDN w:val="0"/>
        <w:snapToGrid w:val="0"/>
        <w:spacing w:line="5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auto"/>
          <w:sz w:val="28"/>
          <w:szCs w:val="28"/>
          <w:lang w:val="zh-CN"/>
        </w:rPr>
        <w:t>2、</w:t>
      </w:r>
      <w:r>
        <w:rPr>
          <w:rFonts w:hint="eastAsia" w:ascii="宋体" w:hAnsi="宋体" w:eastAsia="宋体" w:cs="宋体"/>
          <w:color w:val="auto"/>
          <w:sz w:val="28"/>
          <w:szCs w:val="28"/>
        </w:rPr>
        <w:t>工程概况：</w:t>
      </w:r>
      <w:r>
        <w:rPr>
          <w:rFonts w:hint="eastAsia" w:hAnsi="宋体" w:cs="宋体"/>
          <w:b w:val="0"/>
          <w:bCs/>
          <w:sz w:val="28"/>
          <w:szCs w:val="28"/>
          <w:lang w:eastAsia="zh-CN"/>
        </w:rPr>
        <w:t>旬阳市社会治安综合治理中心 （旬阳市矛盾调解中心）规范化建设</w:t>
      </w:r>
      <w:r>
        <w:rPr>
          <w:rFonts w:hint="eastAsia" w:ascii="宋体" w:hAnsi="宋体" w:eastAsia="宋体" w:cs="宋体"/>
          <w:bCs/>
          <w:color w:val="000000"/>
          <w:sz w:val="28"/>
          <w:szCs w:val="28"/>
        </w:rPr>
        <w:t>，</w:t>
      </w:r>
      <w:r>
        <w:rPr>
          <w:rFonts w:hint="eastAsia" w:ascii="宋体" w:hAnsi="宋体" w:eastAsia="宋体" w:cs="宋体"/>
          <w:color w:val="auto"/>
          <w:sz w:val="28"/>
          <w:szCs w:val="28"/>
          <w:lang w:val="en-US" w:eastAsia="zh-CN"/>
        </w:rPr>
        <w:t>最高限价：</w:t>
      </w:r>
      <w:r>
        <w:rPr>
          <w:rFonts w:hint="eastAsia" w:hAnsi="宋体" w:cs="宋体"/>
          <w:b w:val="0"/>
          <w:bCs/>
          <w:color w:val="000000"/>
          <w:kern w:val="0"/>
          <w:sz w:val="28"/>
          <w:szCs w:val="28"/>
          <w:lang w:val="en-US" w:eastAsia="zh-CN" w:bidi="ar-SA"/>
        </w:rPr>
        <w:t>2194497.02</w:t>
      </w:r>
      <w:r>
        <w:rPr>
          <w:rFonts w:hint="eastAsia" w:ascii="宋体" w:hAnsi="宋体" w:eastAsia="宋体" w:cs="宋体"/>
          <w:color w:val="000000"/>
          <w:sz w:val="28"/>
          <w:szCs w:val="28"/>
        </w:rPr>
        <w:t>元。</w:t>
      </w:r>
      <w:r>
        <w:rPr>
          <w:rFonts w:hint="eastAsia" w:ascii="宋体" w:hAnsi="宋体" w:eastAsia="宋体" w:cs="宋体"/>
          <w:bCs/>
          <w:color w:val="000000"/>
          <w:sz w:val="28"/>
          <w:szCs w:val="28"/>
        </w:rPr>
        <w:t>工程建设具体</w:t>
      </w:r>
      <w:r>
        <w:rPr>
          <w:rFonts w:hint="eastAsia" w:ascii="宋体" w:hAnsi="宋体" w:eastAsia="宋体" w:cs="宋体"/>
          <w:color w:val="000000"/>
          <w:sz w:val="28"/>
          <w:szCs w:val="28"/>
        </w:rPr>
        <w:t>以工程量清单</w:t>
      </w:r>
      <w:r>
        <w:rPr>
          <w:rFonts w:hint="eastAsia" w:ascii="宋体" w:hAnsi="宋体" w:eastAsia="宋体" w:cs="宋体"/>
          <w:color w:val="000000"/>
          <w:sz w:val="28"/>
          <w:szCs w:val="28"/>
          <w:lang w:val="en-US" w:eastAsia="zh-CN"/>
        </w:rPr>
        <w:t>内容</w:t>
      </w:r>
      <w:r>
        <w:rPr>
          <w:rFonts w:hint="eastAsia" w:ascii="宋体" w:hAnsi="宋体" w:eastAsia="宋体" w:cs="宋体"/>
          <w:color w:val="000000"/>
          <w:sz w:val="28"/>
          <w:szCs w:val="28"/>
        </w:rPr>
        <w:t>为准，必须按项目施工设计要求和采购人要求施工。</w:t>
      </w:r>
    </w:p>
    <w:p w14:paraId="61247901">
      <w:pPr>
        <w:autoSpaceDE w:val="0"/>
        <w:autoSpaceDN w:val="0"/>
        <w:snapToGrid w:val="0"/>
        <w:spacing w:line="520" w:lineRule="exact"/>
        <w:ind w:firstLine="560" w:firstLineChars="2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 xml:space="preserve"> 3、建设地点：</w:t>
      </w:r>
      <w:r>
        <w:rPr>
          <w:rFonts w:hint="eastAsia" w:hAnsi="宋体" w:cs="宋体"/>
          <w:color w:val="000000"/>
          <w:sz w:val="28"/>
          <w:szCs w:val="28"/>
          <w:lang w:val="en-US" w:eastAsia="zh-CN"/>
        </w:rPr>
        <w:t>旬阳市城关镇瑞莲路市政府家属楼二楼通道</w:t>
      </w:r>
    </w:p>
    <w:p w14:paraId="53AF3D20">
      <w:pPr>
        <w:spacing w:line="560" w:lineRule="exac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4、项目工期</w:t>
      </w:r>
      <w:r>
        <w:rPr>
          <w:rFonts w:hint="eastAsia" w:ascii="宋体" w:hAnsi="宋体" w:eastAsia="宋体" w:cs="宋体"/>
          <w:color w:val="auto"/>
          <w:sz w:val="28"/>
          <w:szCs w:val="28"/>
        </w:rPr>
        <w:t>：</w:t>
      </w:r>
      <w:r>
        <w:rPr>
          <w:rFonts w:hint="eastAsia" w:hAnsi="宋体" w:cs="宋体"/>
          <w:b w:val="0"/>
          <w:bCs w:val="0"/>
          <w:color w:val="auto"/>
          <w:sz w:val="28"/>
          <w:szCs w:val="28"/>
          <w:lang w:val="en-US" w:eastAsia="zh-CN"/>
        </w:rPr>
        <w:t>自合同签订之日起至2025年6月30日。</w:t>
      </w:r>
    </w:p>
    <w:p w14:paraId="6D5E9E9A">
      <w:pPr>
        <w:spacing w:line="560" w:lineRule="exact"/>
        <w:ind w:firstLine="420" w:firstLineChars="150"/>
        <w:rPr>
          <w:rFonts w:hint="eastAsia" w:ascii="宋体" w:hAnsi="宋体" w:eastAsia="宋体" w:cs="宋体"/>
          <w:color w:val="auto"/>
          <w:sz w:val="28"/>
          <w:szCs w:val="28"/>
        </w:rPr>
      </w:pPr>
      <w:r>
        <w:rPr>
          <w:rFonts w:hint="eastAsia" w:ascii="宋体" w:hAnsi="宋体" w:eastAsia="宋体" w:cs="宋体"/>
          <w:color w:val="auto"/>
          <w:sz w:val="28"/>
          <w:szCs w:val="28"/>
        </w:rPr>
        <w:t xml:space="preserve">  5、质量要求：合格。</w:t>
      </w:r>
    </w:p>
    <w:p w14:paraId="29053A05">
      <w:pPr>
        <w:spacing w:line="560" w:lineRule="exact"/>
        <w:ind w:firstLine="700" w:firstLineChars="250"/>
        <w:rPr>
          <w:rFonts w:hint="eastAsia" w:ascii="宋体" w:hAnsi="宋体" w:eastAsia="宋体" w:cs="宋体"/>
          <w:color w:val="auto"/>
          <w:sz w:val="28"/>
          <w:szCs w:val="28"/>
        </w:rPr>
      </w:pPr>
      <w:r>
        <w:rPr>
          <w:rFonts w:hint="eastAsia" w:ascii="宋体" w:hAnsi="宋体" w:eastAsia="宋体" w:cs="宋体"/>
          <w:color w:val="auto"/>
          <w:sz w:val="28"/>
          <w:szCs w:val="28"/>
        </w:rPr>
        <w:t>6、踏勘现场：采购人不组织，由各投标人自行踏勘。</w:t>
      </w:r>
    </w:p>
    <w:p w14:paraId="3BF4A56E">
      <w:pPr>
        <w:spacing w:line="560" w:lineRule="exact"/>
        <w:ind w:firstLine="700" w:firstLineChars="25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rPr>
        <w:t>7、付款方式：</w:t>
      </w:r>
      <w:r>
        <w:rPr>
          <w:rFonts w:hint="eastAsia" w:ascii="宋体" w:hAnsi="宋体" w:eastAsia="宋体" w:cs="宋体"/>
          <w:color w:val="auto"/>
          <w:sz w:val="28"/>
          <w:szCs w:val="28"/>
          <w:highlight w:val="none"/>
          <w:lang w:val="en-US" w:eastAsia="zh-CN"/>
        </w:rPr>
        <w:t>按相关规定在合同中约定。</w:t>
      </w:r>
    </w:p>
    <w:p w14:paraId="3A1BB803">
      <w:pPr>
        <w:pStyle w:val="5"/>
        <w:rPr>
          <w:rFonts w:hint="eastAsia" w:ascii="宋体" w:hAnsi="宋体" w:eastAsia="宋体" w:cs="宋体"/>
          <w:b w:val="0"/>
          <w:bCs w:val="0"/>
          <w:color w:val="auto"/>
          <w:sz w:val="28"/>
          <w:szCs w:val="28"/>
          <w:lang w:val="en-US"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b w:val="0"/>
          <w:bCs w:val="0"/>
          <w:color w:val="auto"/>
          <w:sz w:val="28"/>
          <w:szCs w:val="28"/>
          <w:lang w:val="en-US" w:eastAsia="zh-CN"/>
        </w:rPr>
        <w:t xml:space="preserve"> 8、施工许可：成交供应商须按照 （陕建管发〔2021〕3号）等文件要求向建设行政主管部门申请办理施工许可证。</w:t>
      </w:r>
    </w:p>
    <w:p w14:paraId="5F7B6539">
      <w:pPr>
        <w:pStyle w:val="5"/>
        <w:ind w:firstLine="840" w:firstLineChars="3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9、工程监理：本项目实行全过程工程监理。</w:t>
      </w:r>
    </w:p>
    <w:p w14:paraId="7EC9ACF9">
      <w:pPr>
        <w:spacing w:line="560" w:lineRule="exact"/>
        <w:ind w:firstLine="700" w:firstLineChars="250"/>
        <w:rPr>
          <w:rFonts w:hint="eastAsia" w:ascii="宋体" w:hAnsi="宋体" w:eastAsia="宋体" w:cs="宋体"/>
          <w:color w:val="auto"/>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color w:val="auto"/>
          <w:sz w:val="28"/>
          <w:szCs w:val="28"/>
        </w:rPr>
        <w:t>二、其他要求：</w:t>
      </w:r>
    </w:p>
    <w:p w14:paraId="31FEE7AA">
      <w:pPr>
        <w:autoSpaceDE w:val="0"/>
        <w:autoSpaceDN w:val="0"/>
        <w:snapToGrid w:val="0"/>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1、磋商供应商应仔细查阅磋商文件及图纸等相关资料，因自身原因未查阅图纸复核工程量，从而导致工程量不清楚或计算有误差，由磋商供应商自行承担不利后果。</w:t>
      </w:r>
    </w:p>
    <w:p w14:paraId="4B1BF134">
      <w:pPr>
        <w:autoSpaceDE w:val="0"/>
        <w:autoSpaceDN w:val="0"/>
        <w:snapToGrid w:val="0"/>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磋商供应商应自行现场踏勘，因现场实际情况造成施工方案发生改变而增加的工程造价由磋商供应商在报价时自行考虑，结算时不予调整。对于工程量清单中遗漏的工程量部分，应当在响应截止时间2日前向磋商组织机构书面提出。成交后严格按照施工图施工，自愿承担图纸与工程量清单不符的风险责任，对遗漏部份不另行支付。</w:t>
      </w:r>
    </w:p>
    <w:p w14:paraId="33F3F199">
      <w:pPr>
        <w:autoSpaceDE w:val="0"/>
        <w:autoSpaceDN w:val="0"/>
        <w:snapToGrid w:val="0"/>
        <w:spacing w:line="52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3、供应商应采取措施保护原有设施完好</w:t>
      </w:r>
      <w:r>
        <w:rPr>
          <w:rFonts w:hint="eastAsia" w:ascii="宋体" w:hAnsi="宋体" w:eastAsia="宋体" w:cs="宋体"/>
          <w:color w:val="auto"/>
          <w:sz w:val="28"/>
          <w:szCs w:val="28"/>
          <w:lang w:eastAsia="zh-CN"/>
        </w:rPr>
        <w:t>。</w:t>
      </w:r>
    </w:p>
    <w:p w14:paraId="0DD96AAB">
      <w:pPr>
        <w:autoSpaceDE w:val="0"/>
        <w:autoSpaceDN w:val="0"/>
        <w:snapToGrid w:val="0"/>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4、施工周边环境及关系协调全部由成交供应商负责，所产生的相关费用供应商在磋商报价中综合考虑， 结算时不作调整。</w:t>
      </w:r>
    </w:p>
    <w:p w14:paraId="13AE4385">
      <w:pPr>
        <w:autoSpaceDE w:val="0"/>
        <w:autoSpaceDN w:val="0"/>
        <w:snapToGrid w:val="0"/>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 5、建筑垃圾全部清理外运，弃碴场地由施工方负责落实，场地清扫干净。</w:t>
      </w:r>
    </w:p>
    <w:p w14:paraId="58FB7216">
      <w:pPr>
        <w:autoSpaceDE w:val="0"/>
        <w:autoSpaceDN w:val="0"/>
        <w:snapToGrid w:val="0"/>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6、工程必须符合现行工程质量标准和施工验收规范，在施工中必须保证文明施工和安全施工，施工期间的安全问题由施工方全权负责。</w:t>
      </w:r>
    </w:p>
    <w:p w14:paraId="036C94EF">
      <w:pPr>
        <w:autoSpaceDE w:val="0"/>
        <w:autoSpaceDN w:val="0"/>
        <w:snapToGrid w:val="0"/>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7、本项目所需材料均由成交供应商采购供应，所有材料必须使用符合国家标准规范及节能环保要求，主要材料进场前须提供样品和质检报告，经采购单位及监理单位的确认方可使用。</w:t>
      </w:r>
    </w:p>
    <w:p w14:paraId="0B0FD300">
      <w:pPr>
        <w:autoSpaceDE w:val="0"/>
        <w:autoSpaceDN w:val="0"/>
        <w:snapToGrid w:val="0"/>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8、关键工序及隐蔽工程须经采购人代表及监理单位见证验收后方可进行下一步工序。</w:t>
      </w:r>
    </w:p>
    <w:p w14:paraId="2445C1A0">
      <w:pPr>
        <w:autoSpaceDE w:val="0"/>
        <w:autoSpaceDN w:val="0"/>
        <w:snapToGrid w:val="0"/>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9、未尽事宜，按照工程建设的相关规定和惯例执行。</w:t>
      </w:r>
    </w:p>
    <w:p w14:paraId="484FD08B">
      <w:pPr>
        <w:autoSpaceDE w:val="0"/>
        <w:autoSpaceDN w:val="0"/>
        <w:snapToGrid w:val="0"/>
        <w:spacing w:line="520" w:lineRule="exact"/>
        <w:ind w:firstLine="562" w:firstLineChars="200"/>
        <w:rPr>
          <w:rFonts w:hint="eastAsia" w:ascii="宋体" w:hAnsi="宋体" w:eastAsia="宋体" w:cs="宋体"/>
          <w:color w:val="auto"/>
          <w:sz w:val="28"/>
          <w:szCs w:val="28"/>
          <w:lang w:val="zh-CN"/>
        </w:rPr>
      </w:pPr>
      <w:r>
        <w:rPr>
          <w:rFonts w:hint="eastAsia" w:ascii="宋体" w:hAnsi="宋体" w:eastAsia="宋体" w:cs="宋体"/>
          <w:b/>
          <w:bCs/>
          <w:color w:val="auto"/>
          <w:sz w:val="28"/>
          <w:szCs w:val="28"/>
        </w:rPr>
        <w:t>三</w:t>
      </w:r>
      <w:r>
        <w:rPr>
          <w:rFonts w:hint="eastAsia" w:ascii="宋体" w:hAnsi="宋体" w:eastAsia="宋体" w:cs="宋体"/>
          <w:color w:val="auto"/>
          <w:sz w:val="28"/>
          <w:szCs w:val="28"/>
        </w:rPr>
        <w:t>、报价</w:t>
      </w:r>
      <w:r>
        <w:rPr>
          <w:rFonts w:hint="eastAsia" w:ascii="宋体" w:hAnsi="宋体" w:eastAsia="宋体" w:cs="宋体"/>
          <w:color w:val="auto"/>
          <w:sz w:val="28"/>
          <w:szCs w:val="28"/>
          <w:lang w:val="en-US" w:eastAsia="zh-CN"/>
        </w:rPr>
        <w:t>要求</w:t>
      </w:r>
      <w:r>
        <w:rPr>
          <w:rFonts w:hint="eastAsia" w:ascii="宋体" w:hAnsi="宋体" w:eastAsia="宋体" w:cs="宋体"/>
          <w:color w:val="auto"/>
          <w:sz w:val="28"/>
          <w:szCs w:val="28"/>
        </w:rPr>
        <w:t>：</w:t>
      </w:r>
    </w:p>
    <w:p w14:paraId="0D1BBFE5">
      <w:pPr>
        <w:pStyle w:val="4"/>
        <w:keepNext w:val="0"/>
        <w:keepLines w:val="0"/>
        <w:autoSpaceDE w:val="0"/>
        <w:autoSpaceDN w:val="0"/>
        <w:spacing w:line="560" w:lineRule="exact"/>
        <w:ind w:firstLine="281" w:firstLineChars="100"/>
        <w:jc w:val="both"/>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 xml:space="preserve">  1、施工图纸（工程量清单）范围内所有工程内容及其保修。</w:t>
      </w:r>
      <w:r>
        <w:rPr>
          <w:rFonts w:hint="eastAsia" w:ascii="宋体" w:hAnsi="宋体" w:eastAsia="宋体" w:cs="宋体"/>
          <w:color w:val="auto"/>
          <w:sz w:val="28"/>
          <w:szCs w:val="28"/>
        </w:rPr>
        <w:t>应包括但不限于分部分项工程费、措施项目费、规费、施工设备、劳务、管理、材料、安装、维护、利润、税金及政策性文件规定的各项应有费用及图纸、清单范围内所有土建装饰改造及安装内容。</w:t>
      </w:r>
    </w:p>
    <w:p w14:paraId="1B30C718">
      <w:pPr>
        <w:pStyle w:val="4"/>
        <w:keepNext w:val="0"/>
        <w:keepLines w:val="0"/>
        <w:spacing w:line="560" w:lineRule="exact"/>
        <w:ind w:firstLine="562"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2、报价形式：本工程项目采用</w:t>
      </w:r>
      <w:r>
        <w:rPr>
          <w:rFonts w:hint="eastAsia" w:ascii="宋体" w:hAnsi="宋体" w:eastAsia="宋体" w:cs="宋体"/>
          <w:b/>
          <w:color w:val="auto"/>
          <w:sz w:val="28"/>
          <w:szCs w:val="28"/>
          <w:u w:val="single"/>
        </w:rPr>
        <w:t>工程量清单</w:t>
      </w:r>
      <w:r>
        <w:rPr>
          <w:rFonts w:hint="eastAsia" w:ascii="宋体" w:hAnsi="宋体" w:eastAsia="宋体" w:cs="宋体"/>
          <w:color w:val="auto"/>
          <w:sz w:val="28"/>
          <w:szCs w:val="28"/>
        </w:rPr>
        <w:t>报价方式，未按要求编制的报价无效。磋商报价单位应充分考虑施工期间各种材料的市场风险和国家政策性调整风险系数，并计入总报价，今后不作调整</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工程量清单报价表</w:t>
      </w:r>
      <w:r>
        <w:rPr>
          <w:rFonts w:hint="eastAsia" w:ascii="宋体" w:hAnsi="宋体" w:eastAsia="宋体" w:cs="宋体"/>
          <w:color w:val="auto"/>
          <w:sz w:val="28"/>
          <w:szCs w:val="28"/>
        </w:rPr>
        <w:t>必须加盖单位公章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法人代表签字</w:t>
      </w:r>
      <w:r>
        <w:rPr>
          <w:rFonts w:hint="eastAsia" w:ascii="宋体" w:hAnsi="宋体" w:eastAsia="宋体" w:cs="宋体"/>
          <w:color w:val="auto"/>
          <w:sz w:val="28"/>
          <w:szCs w:val="28"/>
          <w:lang w:val="en-US" w:eastAsia="zh-CN"/>
        </w:rPr>
        <w:t>或盖章</w:t>
      </w:r>
      <w:r>
        <w:rPr>
          <w:rFonts w:hint="eastAsia" w:ascii="宋体" w:hAnsi="宋体" w:eastAsia="宋体" w:cs="宋体"/>
          <w:color w:val="auto"/>
          <w:sz w:val="28"/>
          <w:szCs w:val="28"/>
        </w:rPr>
        <w:t xml:space="preserve">。 </w:t>
      </w:r>
    </w:p>
    <w:p w14:paraId="2D071073">
      <w:pPr>
        <w:spacing w:line="560" w:lineRule="exact"/>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rPr>
        <w:t>四、工程量清单</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图纸</w:t>
      </w:r>
      <w:r>
        <w:rPr>
          <w:rFonts w:hint="eastAsia" w:ascii="宋体" w:hAnsi="宋体" w:eastAsia="宋体" w:cs="宋体"/>
          <w:b/>
          <w:bCs/>
          <w:color w:val="auto"/>
          <w:sz w:val="28"/>
          <w:szCs w:val="28"/>
        </w:rPr>
        <w:t>及编制说明：</w:t>
      </w:r>
      <w:r>
        <w:rPr>
          <w:rFonts w:hint="eastAsia" w:ascii="宋体" w:hAnsi="宋体" w:eastAsia="宋体" w:cs="宋体"/>
          <w:b/>
          <w:bCs/>
          <w:color w:val="auto"/>
          <w:sz w:val="28"/>
          <w:szCs w:val="28"/>
          <w:lang w:val="en-US" w:eastAsia="zh-CN"/>
        </w:rPr>
        <w:t>见电子招标文件的其他材料。</w:t>
      </w:r>
    </w:p>
    <w:p w14:paraId="581D75E8">
      <w:pPr>
        <w:pStyle w:val="8"/>
        <w:jc w:val="both"/>
        <w:rPr>
          <w:rFonts w:hint="eastAsia" w:ascii="宋体" w:hAnsi="宋体" w:eastAsia="宋体" w:cs="宋体"/>
          <w:color w:val="auto"/>
          <w:sz w:val="28"/>
          <w:szCs w:val="28"/>
        </w:rPr>
      </w:pPr>
    </w:p>
    <w:p w14:paraId="64BF8AE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51CA9C"/>
    <w:multiLevelType w:val="singleLevel"/>
    <w:tmpl w:val="9251CA9C"/>
    <w:lvl w:ilvl="0" w:tentative="0">
      <w:start w:val="1"/>
      <w:numFmt w:val="decimal"/>
      <w:suff w:val="nothing"/>
      <w:lvlText w:val="%1、"/>
      <w:lvlJc w:val="left"/>
    </w:lvl>
  </w:abstractNum>
  <w:abstractNum w:abstractNumId="1">
    <w:nsid w:val="19635548"/>
    <w:multiLevelType w:val="multilevel"/>
    <w:tmpl w:val="19635548"/>
    <w:lvl w:ilvl="0" w:tentative="0">
      <w:start w:val="1"/>
      <w:numFmt w:val="chineseCountingThousand"/>
      <w:lvlText w:val="%1、"/>
      <w:lvlJc w:val="left"/>
      <w:pPr>
        <w:tabs>
          <w:tab w:val="left" w:pos="1168"/>
        </w:tabs>
        <w:ind w:left="1168" w:hanging="568"/>
      </w:p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hN2UyNGQyN2I4OTFjZjA5ZmViYjdmYzA4Yjg1MTIifQ=="/>
  </w:docVars>
  <w:rsids>
    <w:rsidRoot w:val="00000000"/>
    <w:rsid w:val="2FB53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line="360" w:lineRule="auto"/>
      <w:outlineLvl w:val="0"/>
    </w:pPr>
    <w:rPr>
      <w:rFonts w:eastAsia="宋体"/>
      <w:b/>
      <w:bCs/>
      <w:kern w:val="44"/>
      <w:sz w:val="32"/>
      <w:szCs w:val="44"/>
      <w:lang w:val="en-US" w:eastAsia="zh-CN" w:bidi="ar-SA"/>
    </w:rPr>
  </w:style>
  <w:style w:type="paragraph" w:styleId="5">
    <w:name w:val="heading 4"/>
    <w:basedOn w:val="1"/>
    <w:next w:val="1"/>
    <w:qFormat/>
    <w:uiPriority w:val="0"/>
    <w:pPr>
      <w:keepNext/>
      <w:keepLines/>
      <w:spacing w:line="360" w:lineRule="auto"/>
      <w:outlineLvl w:val="3"/>
    </w:pPr>
    <w:rPr>
      <w:rFonts w:ascii="Arial" w:hAnsi="Arial" w:eastAsia="宋体"/>
      <w:b/>
      <w:bCs/>
      <w:kern w:val="2"/>
      <w:sz w:val="21"/>
      <w:szCs w:val="28"/>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eastAsia="宋体"/>
      <w:kern w:val="2"/>
      <w:sz w:val="21"/>
      <w:szCs w:val="24"/>
      <w:lang w:val="en-US" w:eastAsia="zh-CN" w:bidi="ar-SA"/>
    </w:rPr>
  </w:style>
  <w:style w:type="paragraph" w:styleId="3">
    <w:name w:val="Body Text Indent 2"/>
    <w:basedOn w:val="1"/>
    <w:qFormat/>
    <w:uiPriority w:val="0"/>
    <w:pPr>
      <w:spacing w:line="520" w:lineRule="exact"/>
      <w:ind w:firstLine="624"/>
    </w:pPr>
    <w:rPr>
      <w:rFonts w:ascii="楷体_GB2312" w:eastAsia="楷体_GB2312"/>
      <w:kern w:val="2"/>
      <w:sz w:val="32"/>
      <w:szCs w:val="30"/>
      <w:lang w:val="en-US" w:eastAsia="zh-CN" w:bidi="ar-SA"/>
    </w:rPr>
  </w:style>
  <w:style w:type="paragraph" w:customStyle="1" w:styleId="8">
    <w:name w:val="※章节标题（第X章）"/>
    <w:basedOn w:val="1"/>
    <w:qFormat/>
    <w:uiPriority w:val="0"/>
    <w:pPr>
      <w:spacing w:line="240" w:lineRule="auto"/>
      <w:jc w:val="center"/>
      <w:outlineLvl w:val="0"/>
    </w:pPr>
    <w:rPr>
      <w:rFonts w:eastAsia="黑体"/>
      <w:sz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2025-05-23T07:41:13Z</dcterms:created>
  <dc:creator>HP</dc:creator>
  <cp:lastModifiedBy>邓敏</cp:lastModifiedBy>
  <dcterms:modified xsi:type="dcterms:W3CDTF">2025-05-23T07:41:19Z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DA1ED9927B044BDDA039DAAC9109F5CD_12</vt:lpwstr>
  </property>
</Properties>
</file>