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8B8EC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一、项目概况</w:t>
      </w:r>
    </w:p>
    <w:p w14:paraId="030EE719">
      <w:pPr>
        <w:pStyle w:val="4"/>
        <w:jc w:val="both"/>
      </w:pPr>
      <w:r>
        <w:rPr>
          <w:rFonts w:hint="eastAsia" w:ascii="仿宋_GB2312" w:hAnsi="仿宋_GB2312" w:eastAsia="仿宋_GB2312" w:cs="仿宋_GB2312"/>
          <w:color w:val="0000FF"/>
          <w:sz w:val="20"/>
          <w:lang w:eastAsia="zh-CN"/>
        </w:rPr>
        <w:t>无线发射塔拆除工程</w:t>
      </w:r>
      <w:r>
        <w:rPr>
          <w:rFonts w:ascii="仿宋_GB2312" w:hAnsi="仿宋_GB2312" w:eastAsia="仿宋_GB2312" w:cs="仿宋_GB2312"/>
          <w:color w:val="0000FF"/>
          <w:sz w:val="20"/>
        </w:rPr>
        <w:t>。</w:t>
      </w:r>
    </w:p>
    <w:p w14:paraId="17C6F3A2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本项目所属行业：建筑业。</w:t>
      </w:r>
    </w:p>
    <w:p w14:paraId="38FB6ED0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二、工程内容和施工地点、计划工期、缺陷责任期、质量保修期</w:t>
      </w:r>
    </w:p>
    <w:p w14:paraId="07224B86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</w:rPr>
        <w:t>（一）工程内</w:t>
      </w: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容：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  <w:lang w:eastAsia="zh-CN"/>
        </w:rPr>
        <w:t>无线发射塔拆除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</w:rPr>
        <w:t>。</w:t>
      </w:r>
    </w:p>
    <w:p w14:paraId="71F6C53F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（二）工程地点：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</w:rPr>
        <w:t>菊花园办公区8层顶部</w:t>
      </w: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。</w:t>
      </w:r>
    </w:p>
    <w:p w14:paraId="3CCA64A2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（三）计划工期：自进场之日起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  <w:lang w:val="en-US" w:eastAsia="zh-CN"/>
        </w:rPr>
        <w:t>90</w:t>
      </w: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个日历日内竣工。</w:t>
      </w:r>
    </w:p>
    <w:p w14:paraId="671E0007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（四）缺陷责任期：2年。</w:t>
      </w:r>
    </w:p>
    <w:p w14:paraId="4E0E1004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（五）质量保修期：/。</w:t>
      </w:r>
    </w:p>
    <w:p w14:paraId="4447BD9F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三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  <w:lang w:eastAsia="zh-CN"/>
        </w:rPr>
        <w:t>、</w:t>
      </w: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施工要求</w:t>
      </w:r>
    </w:p>
    <w:p w14:paraId="1342584C">
      <w:pPr>
        <w:pStyle w:val="4"/>
        <w:jc w:val="both"/>
        <w:rPr>
          <w:rFonts w:ascii="仿宋_GB2312" w:hAnsi="仿宋_GB2312" w:eastAsia="仿宋_GB2312" w:cs="仿宋_GB2312"/>
          <w:color w:val="0000FF"/>
          <w:sz w:val="20"/>
          <w:highlight w:val="none"/>
        </w:rPr>
      </w:pP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FF"/>
          <w:sz w:val="20"/>
          <w:highlight w:val="none"/>
        </w:rPr>
        <w:t>在进行拆除工程之前，需向城管等有关管理部门进行申报备案，对周边有安全隐患物品提前做好防护准备，并对相关设施进行保护和加固处理，以确保拆除过程中的绝对安全。在拆除过程中，需要对施工区域进行严格的封锁和警示围挡，保证没有无关人员和车辆进入施工作业半径范围，对涉及人员出入口的地点架设临时安全通道，严格按照施工流程分段分步进行。在进行收尾清理阶段时，对施工产生的残骸和材料进行清理和处理，确保场地的复原和安全。</w:t>
      </w:r>
    </w:p>
    <w:p w14:paraId="6BACA58B">
      <w:pPr>
        <w:pStyle w:val="4"/>
        <w:jc w:val="both"/>
        <w:rPr>
          <w:rFonts w:ascii="仿宋_GB2312" w:hAnsi="仿宋_GB2312" w:eastAsia="仿宋_GB2312" w:cs="仿宋_GB2312"/>
          <w:color w:val="0000FF"/>
          <w:sz w:val="20"/>
          <w:highlight w:val="none"/>
        </w:rPr>
      </w:pPr>
      <w:r>
        <w:rPr>
          <w:rFonts w:hint="eastAsia" w:ascii="仿宋_GB2312" w:hAnsi="仿宋_GB2312" w:eastAsia="仿宋_GB2312" w:cs="仿宋_GB2312"/>
          <w:color w:val="0000FF"/>
          <w:sz w:val="20"/>
          <w:highlight w:val="none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0000FF"/>
          <w:sz w:val="20"/>
          <w:highlight w:val="none"/>
        </w:rPr>
        <w:t>在施工期间，成交供应商必须注意人员安全，加强安全措施，并对施工人员进行安全教育。施工人员必须持证上岗。</w:t>
      </w:r>
    </w:p>
    <w:p w14:paraId="4F626EC0">
      <w:pPr>
        <w:pStyle w:val="4"/>
        <w:jc w:val="both"/>
        <w:rPr>
          <w:rFonts w:hint="default" w:ascii="仿宋_GB2312" w:hAnsi="仿宋_GB2312" w:eastAsia="仿宋_GB2312" w:cs="仿宋_GB2312"/>
          <w:color w:val="0000FF"/>
          <w:sz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0"/>
          <w:highlight w:val="none"/>
          <w:lang w:val="en-US" w:eastAsia="zh-CN"/>
        </w:rPr>
        <w:t>3.所有施工人员必须缴纳人身意外伤害保险。</w:t>
      </w:r>
    </w:p>
    <w:p w14:paraId="489AE6C0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4.施工过程中，严格遵守建设单位的各种管理规定及规章制度，做到文明施工。发生工伤及意外事故由施工单位负责。</w:t>
      </w:r>
    </w:p>
    <w:p w14:paraId="2AE2C917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5.严格按照国家和省上有关规定施工、规范施工，确保工程合格，如有更改须事先征得有关方面的同意，并在采购人落实后实施，并出具书面说明。</w:t>
      </w:r>
    </w:p>
    <w:p w14:paraId="4D46774B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6.施工过程中，严格遵守采购人的各种管理规定及规章制度，做到文明施工。发生工伤及意外事故由施工单位负责。</w:t>
      </w:r>
    </w:p>
    <w:p w14:paraId="50E381BE">
      <w:pPr>
        <w:pStyle w:val="4"/>
        <w:jc w:val="both"/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FF"/>
          <w:sz w:val="20"/>
        </w:rPr>
        <w:t>.严格按照国家和省上有关规定施工、规范施工，确保工程合格，如有更改须事先征得有关方面的同意，并在采购人落实后实施，并出具书面说明。</w:t>
      </w:r>
    </w:p>
    <w:p w14:paraId="0CDDC82D">
      <w:pPr>
        <w:pStyle w:val="4"/>
        <w:jc w:val="both"/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FF"/>
          <w:sz w:val="20"/>
        </w:rPr>
        <w:t>.施工期间需采取必要措施确保现场正常运行。</w:t>
      </w:r>
    </w:p>
    <w:p w14:paraId="5D996F66">
      <w:pPr>
        <w:pStyle w:val="4"/>
        <w:jc w:val="both"/>
        <w:rPr>
          <w:rFonts w:ascii="仿宋_GB2312" w:hAnsi="仿宋_GB2312" w:eastAsia="仿宋_GB2312" w:cs="仿宋_GB2312"/>
          <w:color w:val="0000FF"/>
          <w:sz w:val="20"/>
        </w:rPr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0000FF"/>
          <w:sz w:val="20"/>
        </w:rPr>
        <w:t>.所有施工人员需统一着装统一单位标识，严禁随意通行。</w:t>
      </w:r>
    </w:p>
    <w:p w14:paraId="5CC0A3F5">
      <w:pPr>
        <w:pStyle w:val="4"/>
        <w:jc w:val="both"/>
        <w:rPr>
          <w:rFonts w:hint="default" w:ascii="仿宋_GB2312" w:hAnsi="仿宋_GB2312" w:eastAsia="仿宋_GB2312" w:cs="仿宋_GB2312"/>
          <w:color w:val="0000FF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10.结合现场实际，设计拆除施工方案，依照设计方案在规定的时间内完成施工，并且做好大风、暴雨等极端天气影响时的应急措施，做好施工各项安全保障措施及垃圾清运。</w:t>
      </w:r>
    </w:p>
    <w:p w14:paraId="146D0B02">
      <w:pPr>
        <w:pStyle w:val="4"/>
        <w:jc w:val="both"/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四</w:t>
      </w:r>
      <w:r>
        <w:rPr>
          <w:rFonts w:ascii="仿宋_GB2312" w:hAnsi="仿宋_GB2312" w:eastAsia="仿宋_GB2312" w:cs="仿宋_GB2312"/>
          <w:color w:val="0000FF"/>
          <w:sz w:val="20"/>
        </w:rPr>
        <w:t>、商务要求（如合同价款及结算方式等）</w:t>
      </w:r>
    </w:p>
    <w:p w14:paraId="7C98C972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1、款项结算：</w:t>
      </w:r>
    </w:p>
    <w:p w14:paraId="2998502A">
      <w:pPr>
        <w:pStyle w:val="4"/>
        <w:jc w:val="both"/>
        <w:rPr>
          <w:rFonts w:hint="eastAsia" w:ascii="仿宋_GB2312" w:hAnsi="仿宋_GB2312" w:eastAsia="仿宋_GB2312" w:cs="仿宋_GB2312"/>
          <w:color w:val="0000FF"/>
          <w:sz w:val="20"/>
        </w:rPr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 xml:space="preserve">按施工进度分期两期支付，签订合同并收到发票后达到付款条件起15日内，支付合同总金额的50.00%。 </w:t>
      </w:r>
    </w:p>
    <w:p w14:paraId="4E3A772C">
      <w:pPr>
        <w:pStyle w:val="4"/>
        <w:jc w:val="both"/>
        <w:rPr>
          <w:rFonts w:hint="eastAsia" w:ascii="仿宋_GB2312" w:hAnsi="仿宋_GB2312" w:eastAsia="仿宋_GB2312" w:cs="仿宋_GB2312"/>
          <w:color w:val="0000FF"/>
          <w:sz w:val="20"/>
        </w:rPr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全部服务完成并经双方确认验收通过后后，15个工作日内，由乙方提出付款申请以及相关凭证。采购方自收到所有付款申请资料之日起，达到付款条件起15日内，支付合同总金额的50.00%</w:t>
      </w:r>
    </w:p>
    <w:p w14:paraId="0E1D5FE8">
      <w:pPr>
        <w:pStyle w:val="4"/>
        <w:jc w:val="both"/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CN"/>
        </w:rPr>
        <w:t>五</w:t>
      </w:r>
      <w:r>
        <w:rPr>
          <w:rFonts w:ascii="仿宋_GB2312" w:hAnsi="仿宋_GB2312" w:eastAsia="仿宋_GB2312" w:cs="仿宋_GB2312"/>
          <w:color w:val="0000FF"/>
          <w:sz w:val="20"/>
        </w:rPr>
        <w:t>、其他</w:t>
      </w:r>
    </w:p>
    <w:p w14:paraId="6663FB0A">
      <w:pPr>
        <w:pStyle w:val="4"/>
        <w:jc w:val="both"/>
      </w:pPr>
      <w:r>
        <w:rPr>
          <w:rFonts w:ascii="仿宋_GB2312" w:hAnsi="仿宋_GB2312" w:eastAsia="仿宋_GB2312" w:cs="仿宋_GB2312"/>
          <w:color w:val="0000FF"/>
          <w:sz w:val="20"/>
        </w:rPr>
        <w:t>质量验收标准或规范</w:t>
      </w:r>
    </w:p>
    <w:p w14:paraId="1B066D70">
      <w:pPr>
        <w:pStyle w:val="4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FF"/>
          <w:sz w:val="20"/>
        </w:rPr>
      </w:pPr>
      <w:r>
        <w:rPr>
          <w:rFonts w:hint="eastAsia" w:ascii="仿宋_GB2312" w:hAnsi="仿宋_GB2312" w:eastAsia="仿宋_GB2312" w:cs="仿宋_GB2312"/>
          <w:color w:val="0000FF"/>
          <w:sz w:val="20"/>
          <w:lang w:val="en-US" w:eastAsia="zh-Hans"/>
        </w:rPr>
        <w:t>（1）</w:t>
      </w:r>
      <w:r>
        <w:rPr>
          <w:rFonts w:hint="eastAsia" w:ascii="仿宋_GB2312" w:hAnsi="仿宋_GB2312" w:eastAsia="仿宋_GB2312" w:cs="仿宋_GB2312"/>
          <w:color w:val="0000FF"/>
          <w:sz w:val="20"/>
        </w:rPr>
        <w:t>按磋商文件、磋商响应文件等指标进行逐项验收，各项指标均应符合验收标准及要求；（2）符合《安全生产管理条例》的标准；（3）验收标准：应基本满足《既有钢结构改建与拆除技术规程》（T/CECS 1105-2022）和《建筑拆除工程安全技术规范》（JGJ147-2016）两项标准。</w:t>
      </w:r>
    </w:p>
    <w:p w14:paraId="6031F34A">
      <w:r>
        <w:drawing>
          <wp:inline distT="0" distB="0" distL="114300" distR="114300">
            <wp:extent cx="4229100" cy="10858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16680" cy="5109210"/>
            <wp:effectExtent l="0" t="0" r="762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24350" cy="22764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2025-05-27T07:34:51Z</dcterms:created>
  <dc:creator>陕西海佳</dc:creator>
  <cp:lastModifiedBy>WPS_1633180969</cp:lastModifiedBy>
  <dcterms:modified xsi:type="dcterms:W3CDTF">2025-05-27T07:35:08Z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eyJoZGlkIjoiY2M1NWZjOTI0MzZlNzdjZTNiMGIwOWFhODBmMDVjOTciLCJ1c2VySWQiOiIxMjgwNjI5MzYxIn0=</vt:lpwstr>
  </property>
  <property fmtid="{D5CDD505-2E9C-101B-9397-08002B2CF9AE}" pid="4" name="ICV">
    <vt:lpwstr>3E3159F0CAC94CF29181D6F1D66973D4_12</vt:lpwstr>
  </property>
</Properties>
</file>