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A64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48" w:lineRule="auto"/>
        <w:ind w:left="0" w:firstLine="0"/>
        <w:jc w:val="center"/>
        <w:textAlignment w:val="auto"/>
        <w:rPr>
          <w:rFonts w:hint="eastAsia" w:ascii="宋体" w:hAnsi="宋体" w:eastAsia="宋体" w:cs="宋体"/>
          <w:b/>
          <w:bCs/>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fill="FFFFFF"/>
          <w:lang w:val="en-US" w:eastAsia="zh-CN" w:bidi="ar"/>
          <w14:textFill>
            <w14:solidFill>
              <w14:schemeClr w14:val="tx1"/>
            </w14:solidFill>
          </w14:textFill>
        </w:rPr>
        <w:t>西安市航空六一八中学计算机教室、校园广播及部室设备采购项目(四次)竞争性谈判公告</w:t>
      </w:r>
    </w:p>
    <w:p w14:paraId="3D501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项目概况</w:t>
      </w:r>
    </w:p>
    <w:p w14:paraId="362ECD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西安市航空六一八中学计算机教室、校园广播及部室设备采购项目(四次)的潜在供应商应在陕西省政府采购综合管理平台项目电子化交易系统（以下简称“项目电子化交易系统”）获取采购文件，并于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2025年06月12日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7B280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4BE194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项目编号：SXLX24-01-106Z(H)(四次)</w:t>
      </w:r>
    </w:p>
    <w:p w14:paraId="457E5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项目名称：西安市航空六一八中学计算机教室、校园广播及部室设备采购项目(四次)</w:t>
      </w:r>
    </w:p>
    <w:p w14:paraId="46398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60A87E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预算金额：480,000.00元</w:t>
      </w:r>
    </w:p>
    <w:p w14:paraId="4F342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1421A8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55934D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采购包1：自合同签订生效之日起30日内完成供货、安装、调试、验收。</w:t>
      </w:r>
    </w:p>
    <w:p w14:paraId="4C8B16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02948B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743BD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12790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64B82E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2.落实政府采购政策需满足的资格要求：无。</w:t>
      </w:r>
    </w:p>
    <w:p w14:paraId="737602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548F6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188943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2025年06月04日至2025年06月06日，每天上午00:00:00至12:00:00，下午12:00:00至23:59:59（北京时间）</w:t>
      </w:r>
    </w:p>
    <w:p w14:paraId="392AFA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2208B8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1DB46E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69642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57E72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2025年06月12日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05513A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00F00A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五、开启</w:t>
      </w:r>
    </w:p>
    <w:p w14:paraId="0D162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2025年06月12日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60A9FA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6ECF1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DA4A1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52E39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44218E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AD0D5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86EF3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752A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AD82F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82A6E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39FE8C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B4F0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1E3139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3D1D68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11DE1D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4CD6C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（六）本项目需要落实的政府采购政策：</w:t>
      </w:r>
    </w:p>
    <w:p w14:paraId="6B3651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w:t>
      </w: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t>财库〔2014〕68号）；《关于促进残疾人就业政府采购政策的通知》（财库〔2017〕141号）；《陕西省中小企业政府采购信用融资办法》（陕财办采〔2018〕23号）。</w:t>
      </w:r>
    </w:p>
    <w:p w14:paraId="67340F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9797A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602C2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（4）支持创新等政府采购政策。</w:t>
      </w:r>
    </w:p>
    <w:p w14:paraId="034C4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76CD4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5CCAC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西安市航空六一八中学</w:t>
      </w:r>
    </w:p>
    <w:p w14:paraId="645771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西安市雁塔区电子一路239号</w:t>
      </w:r>
    </w:p>
    <w:p w14:paraId="68BB10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凌浩 029-88249087</w:t>
      </w:r>
    </w:p>
    <w:p w14:paraId="68346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6C1569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627BC0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西安市雁塔区雁翔路111号赛格·中京坊6幢1单元2层10201室</w:t>
      </w:r>
    </w:p>
    <w:p w14:paraId="600730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0DB7C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2D417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w:t>
      </w:r>
    </w:p>
    <w:p w14:paraId="49F7CE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53BDDA3A">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219" w:right="1672" w:bottom="1219"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A434A"/>
    <w:rsid w:val="04AA434A"/>
    <w:rsid w:val="1E8E4481"/>
    <w:rsid w:val="2F7546D4"/>
    <w:rsid w:val="4AD10FDB"/>
    <w:rsid w:val="4F70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2160</Words>
  <Characters>2409</Characters>
  <Lines>0</Lines>
  <Paragraphs>0</Paragraphs>
  <TotalTime>1</TotalTime>
  <ScaleCrop>false</ScaleCrop>
  <LinksUpToDate>false</LinksUpToDate>
  <CharactersWithSpaces>2413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2025-05-09T13:10:00Z</dcterms:created>
  <dc:creator>mo·xuan</dc:creator>
  <cp:lastModifiedBy>mo·xuan</cp:lastModifiedBy>
  <dcterms:modified xsi:type="dcterms:W3CDTF">2025-06-03T08:02:29Z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93F4ECBB558C4F94B23893FB8F08F80A_11</vt:lpwstr>
  </property>
  <property fmtid="{D5CDD505-2E9C-101B-9397-08002B2CF9AE}" pid="4" name="KSOTemplateDocerSaveRecord">
    <vt:lpwstr>eyJoZGlkIjoiYTYwNWE2MmNhNzRiMDNhMjMzYTJhNjIzZjY2YmY0MGMiLCJ1c2VySWQiOiI3OTY2NTg3ODQifQ==</vt:lpwstr>
  </property>
</Properties>
</file>