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491B4">
      <w:pPr>
        <w:pStyle w:val="2"/>
        <w:ind w:left="0"/>
        <w:jc w:val="center"/>
        <w:rPr>
          <w:rFonts w:hint="default" w:eastAsia="仿宋"/>
          <w:highlight w:val="none"/>
          <w:lang w:val="en-US" w:eastAsia="zh-CN"/>
        </w:rPr>
      </w:pPr>
      <w:bookmarkStart w:id="0" w:name="_Toc24719"/>
      <w:r>
        <w:rPr>
          <w:rFonts w:hint="eastAsia"/>
          <w:highlight w:val="none"/>
          <w:lang w:val="en-US" w:eastAsia="zh-CN"/>
        </w:rPr>
        <w:t>采购内容及技术要求</w:t>
      </w:r>
    </w:p>
    <w:p w14:paraId="6D954902">
      <w:pPr>
        <w:pStyle w:val="2"/>
        <w:ind w:left="0"/>
        <w:jc w:val="both"/>
        <w:rPr>
          <w:rFonts w:hint="eastAsia"/>
          <w:highlight w:val="none"/>
        </w:rPr>
      </w:pPr>
      <w:r>
        <w:rPr>
          <w:rFonts w:hint="eastAsia"/>
          <w:highlight w:val="none"/>
        </w:rPr>
        <w:t>一、人员和岗位设置</w:t>
      </w:r>
      <w:bookmarkEnd w:id="0"/>
    </w:p>
    <w:p w14:paraId="06817114">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为规范诉讼服务中心管理，提供优质诉讼服务，实现诉讼服务</w:t>
      </w:r>
      <w:bookmarkStart w:id="2" w:name="_GoBack"/>
      <w:bookmarkEnd w:id="2"/>
      <w:r>
        <w:rPr>
          <w:rFonts w:hint="eastAsia" w:ascii="仿宋" w:hAnsi="仿宋" w:eastAsia="仿宋" w:cs="仿宋"/>
          <w:szCs w:val="24"/>
          <w:highlight w:val="none"/>
        </w:rPr>
        <w:t>专业化运行，结合我院诉讼服务中心实际工作，本次对诉讼服务中心八项职能进行劳务外包，拟配备27人的专业技术团队（不含为实现管理需求派驻入场的人员），供应商需另外派驻管理人员入场，各服务职能人员要求如下：</w:t>
      </w:r>
    </w:p>
    <w:p w14:paraId="0EBEF8DB">
      <w:pPr>
        <w:spacing w:line="360" w:lineRule="auto"/>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所配备人员需为法律、法学、信息化等相关专业或具备一定的工作经验，信息化岗位需要一定的信息化工作经验和文字表达能力，项目经理本科以上学历，其他人员大专及以上学历。</w:t>
      </w:r>
    </w:p>
    <w:tbl>
      <w:tblPr>
        <w:tblStyle w:val="4"/>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49"/>
        <w:gridCol w:w="5955"/>
        <w:gridCol w:w="735"/>
      </w:tblGrid>
      <w:tr w14:paraId="579D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7" w:type="dxa"/>
            <w:noWrap/>
            <w:vAlign w:val="center"/>
          </w:tcPr>
          <w:p w14:paraId="7BBB4C9A">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1249" w:type="dxa"/>
            <w:noWrap/>
            <w:vAlign w:val="center"/>
          </w:tcPr>
          <w:p w14:paraId="31002DD0">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服务职能</w:t>
            </w:r>
          </w:p>
        </w:tc>
        <w:tc>
          <w:tcPr>
            <w:tcW w:w="5955" w:type="dxa"/>
            <w:noWrap/>
            <w:vAlign w:val="center"/>
          </w:tcPr>
          <w:p w14:paraId="48539D8F">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具体需求</w:t>
            </w:r>
          </w:p>
        </w:tc>
        <w:tc>
          <w:tcPr>
            <w:tcW w:w="735" w:type="dxa"/>
            <w:noWrap/>
            <w:vAlign w:val="center"/>
          </w:tcPr>
          <w:p w14:paraId="58BE1D5D">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人数</w:t>
            </w:r>
          </w:p>
        </w:tc>
      </w:tr>
      <w:tr w14:paraId="5FB4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noWrap/>
            <w:vAlign w:val="center"/>
          </w:tcPr>
          <w:p w14:paraId="5AE83169">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1</w:t>
            </w:r>
          </w:p>
        </w:tc>
        <w:tc>
          <w:tcPr>
            <w:tcW w:w="1249" w:type="dxa"/>
            <w:noWrap/>
            <w:vAlign w:val="center"/>
          </w:tcPr>
          <w:p w14:paraId="18332CF5">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导诉职能</w:t>
            </w:r>
          </w:p>
        </w:tc>
        <w:tc>
          <w:tcPr>
            <w:tcW w:w="5955" w:type="dxa"/>
            <w:noWrap/>
            <w:vAlign w:val="top"/>
          </w:tcPr>
          <w:p w14:paraId="1A370C88">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负责群众来访接待引导，并为来访人员提供一般的程序性法律咨询，根据群众来访目的将其引导至相关服务区域或告知其相应的解决办法，含材料预检、解答咨询、挂号分流、信息查询协调调度、受理建议、处置突发状况等，需具备一定的法律相关专业知识。</w:t>
            </w:r>
          </w:p>
        </w:tc>
        <w:tc>
          <w:tcPr>
            <w:tcW w:w="735" w:type="dxa"/>
            <w:noWrap/>
            <w:vAlign w:val="center"/>
          </w:tcPr>
          <w:p w14:paraId="1F59E90D">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2人</w:t>
            </w:r>
          </w:p>
        </w:tc>
      </w:tr>
      <w:tr w14:paraId="71AC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7" w:type="dxa"/>
            <w:noWrap/>
            <w:vAlign w:val="center"/>
          </w:tcPr>
          <w:p w14:paraId="6E9B645B">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2</w:t>
            </w:r>
          </w:p>
        </w:tc>
        <w:tc>
          <w:tcPr>
            <w:tcW w:w="1249" w:type="dxa"/>
            <w:noWrap/>
            <w:vAlign w:val="center"/>
          </w:tcPr>
          <w:p w14:paraId="191FB7D0">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窗口值守</w:t>
            </w:r>
          </w:p>
        </w:tc>
        <w:tc>
          <w:tcPr>
            <w:tcW w:w="5955" w:type="dxa"/>
            <w:noWrap/>
            <w:vAlign w:val="top"/>
          </w:tcPr>
          <w:p w14:paraId="5A49567B">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窗口服务工作直接展示我院诉讼服务形象，为规范窗口工作，确保窗口服务质量，我们对窗口值守工作进行外包，负责值守窗口并接收立案等相关材料，但立案审查权仍然由本院工作人员行使，需具备一定的法律相关专业知识。</w:t>
            </w:r>
          </w:p>
        </w:tc>
        <w:tc>
          <w:tcPr>
            <w:tcW w:w="735" w:type="dxa"/>
            <w:noWrap/>
            <w:vAlign w:val="center"/>
          </w:tcPr>
          <w:p w14:paraId="2BE1C5A2">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5人</w:t>
            </w:r>
          </w:p>
        </w:tc>
      </w:tr>
      <w:tr w14:paraId="6981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7" w:type="dxa"/>
            <w:noWrap/>
            <w:vAlign w:val="top"/>
          </w:tcPr>
          <w:p w14:paraId="70F4DF36">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3</w:t>
            </w:r>
          </w:p>
        </w:tc>
        <w:tc>
          <w:tcPr>
            <w:tcW w:w="1249" w:type="dxa"/>
            <w:noWrap/>
            <w:vAlign w:val="center"/>
          </w:tcPr>
          <w:p w14:paraId="1F8DBCB1">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录入工作</w:t>
            </w:r>
          </w:p>
        </w:tc>
        <w:tc>
          <w:tcPr>
            <w:tcW w:w="5955" w:type="dxa"/>
            <w:noWrap/>
            <w:vAlign w:val="top"/>
          </w:tcPr>
          <w:p w14:paraId="70106A8D">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负责本院4万余案件材料的接收、扫描和案件信息的集中录入工作，需具备民事、行政、刑事案件等诉讼案件录入经验。</w:t>
            </w:r>
          </w:p>
        </w:tc>
        <w:tc>
          <w:tcPr>
            <w:tcW w:w="735" w:type="dxa"/>
            <w:noWrap/>
            <w:vAlign w:val="top"/>
          </w:tcPr>
          <w:p w14:paraId="6C7AF0CE">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人</w:t>
            </w:r>
          </w:p>
        </w:tc>
      </w:tr>
      <w:tr w14:paraId="5D1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7" w:type="dxa"/>
            <w:noWrap/>
            <w:vAlign w:val="top"/>
          </w:tcPr>
          <w:p w14:paraId="5F33ACBB">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4</w:t>
            </w:r>
          </w:p>
        </w:tc>
        <w:tc>
          <w:tcPr>
            <w:tcW w:w="1249" w:type="dxa"/>
            <w:noWrap/>
            <w:vAlign w:val="center"/>
          </w:tcPr>
          <w:p w14:paraId="16EE4074">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再审申诉案件卷宗流转</w:t>
            </w:r>
          </w:p>
        </w:tc>
        <w:tc>
          <w:tcPr>
            <w:tcW w:w="5955" w:type="dxa"/>
            <w:noWrap/>
            <w:vAlign w:val="top"/>
          </w:tcPr>
          <w:p w14:paraId="40A3A0CD">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将基层法院移送本院的再审和申诉案件整理归类并移送相关业务庭，进一步规范卷宗流转，缩短流转时间。</w:t>
            </w:r>
          </w:p>
        </w:tc>
        <w:tc>
          <w:tcPr>
            <w:tcW w:w="735" w:type="dxa"/>
            <w:noWrap/>
            <w:vAlign w:val="top"/>
          </w:tcPr>
          <w:p w14:paraId="6B4BD1C4">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1人</w:t>
            </w:r>
          </w:p>
        </w:tc>
      </w:tr>
      <w:tr w14:paraId="41E1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7" w:type="dxa"/>
            <w:noWrap/>
            <w:vAlign w:val="top"/>
          </w:tcPr>
          <w:p w14:paraId="554CAC1B">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5</w:t>
            </w:r>
          </w:p>
        </w:tc>
        <w:tc>
          <w:tcPr>
            <w:tcW w:w="1249" w:type="dxa"/>
            <w:noWrap/>
            <w:vAlign w:val="center"/>
          </w:tcPr>
          <w:p w14:paraId="7646AA8A">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材料收转</w:t>
            </w:r>
          </w:p>
        </w:tc>
        <w:tc>
          <w:tcPr>
            <w:tcW w:w="5955" w:type="dxa"/>
            <w:noWrap/>
            <w:vAlign w:val="top"/>
          </w:tcPr>
          <w:p w14:paraId="33F6DB8F">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承担全部诉讼材料收转送工作，让当事人无需再因递送材料来往法官办公室，诉讼服务中心为当事人提供一站式服务。</w:t>
            </w:r>
          </w:p>
        </w:tc>
        <w:tc>
          <w:tcPr>
            <w:tcW w:w="735" w:type="dxa"/>
            <w:noWrap/>
            <w:vAlign w:val="top"/>
          </w:tcPr>
          <w:p w14:paraId="72F60AD7">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2人</w:t>
            </w:r>
          </w:p>
        </w:tc>
      </w:tr>
      <w:tr w14:paraId="7E97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47" w:type="dxa"/>
            <w:noWrap/>
            <w:vAlign w:val="top"/>
          </w:tcPr>
          <w:p w14:paraId="570CFC53">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6</w:t>
            </w:r>
          </w:p>
        </w:tc>
        <w:tc>
          <w:tcPr>
            <w:tcW w:w="1249" w:type="dxa"/>
            <w:noWrap/>
            <w:vAlign w:val="center"/>
          </w:tcPr>
          <w:p w14:paraId="3B42475E">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12368热线</w:t>
            </w:r>
          </w:p>
        </w:tc>
        <w:tc>
          <w:tcPr>
            <w:tcW w:w="5955" w:type="dxa"/>
            <w:noWrap/>
            <w:vAlign w:val="top"/>
          </w:tcPr>
          <w:p w14:paraId="782D4569">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12368服务热线包含全市两级法院统一外包，由市法院统一管理，将12368 诉讼服务热线外包，保证电话有人接听，提高咨询、接听服务质量，做好服务考核，树立法院良好形象，需具备一定的法律相关专业知识。</w:t>
            </w:r>
          </w:p>
        </w:tc>
        <w:tc>
          <w:tcPr>
            <w:tcW w:w="735" w:type="dxa"/>
            <w:noWrap/>
            <w:vAlign w:val="top"/>
          </w:tcPr>
          <w:p w14:paraId="3E2387B3">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人</w:t>
            </w:r>
          </w:p>
        </w:tc>
      </w:tr>
      <w:tr w14:paraId="0E0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7" w:type="dxa"/>
            <w:noWrap/>
            <w:vAlign w:val="top"/>
          </w:tcPr>
          <w:p w14:paraId="765E630B">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7</w:t>
            </w:r>
          </w:p>
        </w:tc>
        <w:tc>
          <w:tcPr>
            <w:tcW w:w="1249" w:type="dxa"/>
            <w:noWrap/>
            <w:vAlign w:val="center"/>
          </w:tcPr>
          <w:p w14:paraId="49A84155">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网上立案事务性辅助工作</w:t>
            </w:r>
          </w:p>
        </w:tc>
        <w:tc>
          <w:tcPr>
            <w:tcW w:w="5955" w:type="dxa"/>
            <w:noWrap/>
            <w:vAlign w:val="top"/>
          </w:tcPr>
          <w:p w14:paraId="2B6238A2">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协助一、二审网上立案工作人员进行材料审核、送达等工作，缩减网上立案工作的时间，提高工作效率。</w:t>
            </w:r>
          </w:p>
        </w:tc>
        <w:tc>
          <w:tcPr>
            <w:tcW w:w="735" w:type="dxa"/>
            <w:noWrap/>
            <w:vAlign w:val="top"/>
          </w:tcPr>
          <w:p w14:paraId="273C9508">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人</w:t>
            </w:r>
          </w:p>
        </w:tc>
      </w:tr>
      <w:tr w14:paraId="01A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7" w:type="dxa"/>
            <w:noWrap/>
            <w:vAlign w:val="top"/>
          </w:tcPr>
          <w:p w14:paraId="64D47CFF">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8</w:t>
            </w:r>
          </w:p>
        </w:tc>
        <w:tc>
          <w:tcPr>
            <w:tcW w:w="1249" w:type="dxa"/>
            <w:noWrap/>
            <w:vAlign w:val="center"/>
          </w:tcPr>
          <w:p w14:paraId="46044369">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诉讼服务中心信息系统</w:t>
            </w:r>
          </w:p>
        </w:tc>
        <w:tc>
          <w:tcPr>
            <w:tcW w:w="5955" w:type="dxa"/>
            <w:noWrap/>
            <w:vAlign w:val="top"/>
          </w:tcPr>
          <w:p w14:paraId="487C16B0">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在服务期内对最高人民法院和省法院开发的与诉讼服务质效平台考核相关的系统完成对接、并对相关系统进行管理、督促、联络、维护，保证上级法院质效考核系统能够及时抽取到我院诉讼服务数据，推动质效评估分数提升，保证服务期内质效考核分数一直保持在陕西省各中院前3名，并提供相关的成功案例。需具备信息化专业知识。</w:t>
            </w:r>
          </w:p>
        </w:tc>
        <w:tc>
          <w:tcPr>
            <w:tcW w:w="735" w:type="dxa"/>
            <w:noWrap/>
            <w:vAlign w:val="top"/>
          </w:tcPr>
          <w:p w14:paraId="167257FE">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1人</w:t>
            </w:r>
          </w:p>
        </w:tc>
      </w:tr>
    </w:tbl>
    <w:p w14:paraId="326577CE">
      <w:pPr>
        <w:pStyle w:val="2"/>
        <w:ind w:left="0"/>
        <w:jc w:val="both"/>
        <w:rPr>
          <w:rFonts w:hint="eastAsia"/>
          <w:highlight w:val="none"/>
        </w:rPr>
      </w:pPr>
      <w:bookmarkStart w:id="1" w:name="_Toc31253"/>
      <w:r>
        <w:rPr>
          <w:rFonts w:hint="eastAsia"/>
          <w:highlight w:val="none"/>
        </w:rPr>
        <w:t>二、总体要求</w:t>
      </w:r>
      <w:bookmarkEnd w:id="1"/>
    </w:p>
    <w:p w14:paraId="17BD6CA9">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1.人员培训</w:t>
      </w:r>
    </w:p>
    <w:p w14:paraId="48249B3D">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所有应聘人员应进行必要的岗前及在岗培训。</w:t>
      </w:r>
    </w:p>
    <w:p w14:paraId="77EDD910">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2.人员工资福利（</w:t>
      </w:r>
      <w:r>
        <w:rPr>
          <w:rFonts w:hint="eastAsia" w:ascii="仿宋" w:hAnsi="仿宋" w:eastAsia="仿宋" w:cs="仿宋"/>
          <w:szCs w:val="24"/>
          <w:highlight w:val="none"/>
          <w:lang w:val="en-US" w:eastAsia="zh-CN"/>
        </w:rPr>
        <w:t>27</w:t>
      </w:r>
      <w:r>
        <w:rPr>
          <w:rFonts w:hint="eastAsia" w:ascii="仿宋" w:hAnsi="仿宋" w:eastAsia="仿宋" w:cs="仿宋"/>
          <w:szCs w:val="24"/>
          <w:highlight w:val="none"/>
        </w:rPr>
        <w:t>人）</w:t>
      </w:r>
    </w:p>
    <w:p w14:paraId="760E8668">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人员工资由基础底薪、绩效工资、社保部分组成，每月不低于3697.00元；人员服装费、培训费、管理费、商业保险、体检费、保障金、福利（冬季取暖、夏季降温、节日慰问）、年终奖等不含在人员工资之内，年终奖不低于单月工资。</w:t>
      </w:r>
    </w:p>
    <w:p w14:paraId="44DB0AA2">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政策性费用（基本养老保险、基本医疗保险、失业保险、工伤保险、生育保险、住房公积金、取暖、工会、残疾人保障金等）标准均应不低于西安市现行政策要求。</w:t>
      </w:r>
    </w:p>
    <w:p w14:paraId="66B82762">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应按照《劳动法》、《劳动合同法》等法律法规规定，及时与劳务外包人员签订劳动合同，按时足额发放工资，办理缴纳社会保险等。</w:t>
      </w:r>
    </w:p>
    <w:p w14:paraId="0FA978E2">
      <w:pPr>
        <w:spacing w:line="360" w:lineRule="auto"/>
        <w:ind w:left="640"/>
        <w:rPr>
          <w:rFonts w:hint="eastAsia" w:ascii="仿宋" w:hAnsi="仿宋" w:eastAsia="仿宋" w:cs="仿宋"/>
          <w:szCs w:val="24"/>
          <w:highlight w:val="none"/>
        </w:rPr>
      </w:pPr>
      <w:r>
        <w:rPr>
          <w:rFonts w:hint="eastAsia" w:ascii="仿宋" w:hAnsi="仿宋" w:eastAsia="仿宋" w:cs="仿宋"/>
          <w:szCs w:val="24"/>
          <w:highlight w:val="none"/>
        </w:rPr>
        <w:t>3.人员服装</w:t>
      </w:r>
    </w:p>
    <w:p w14:paraId="72F8BA93">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夏装一套、春秋装一套，服装总费用人均不低于1200元。</w:t>
      </w:r>
    </w:p>
    <w:p w14:paraId="4D1A8AF6">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4. 备品耗材</w:t>
      </w:r>
    </w:p>
    <w:p w14:paraId="605C2209">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服务工作中产生的办公消耗品，除打印机和出具给当事人的材料外，其余办公用品和耗材由中标服务供应商自行提供。</w:t>
      </w:r>
    </w:p>
    <w:p w14:paraId="23C56FAB">
      <w:pPr>
        <w:spacing w:line="360" w:lineRule="auto"/>
        <w:ind w:left="640"/>
        <w:rPr>
          <w:rFonts w:hint="eastAsia" w:ascii="仿宋" w:hAnsi="仿宋" w:eastAsia="仿宋" w:cs="仿宋"/>
          <w:szCs w:val="24"/>
          <w:highlight w:val="none"/>
        </w:rPr>
      </w:pPr>
      <w:r>
        <w:rPr>
          <w:rFonts w:hint="eastAsia" w:ascii="仿宋" w:hAnsi="仿宋" w:eastAsia="仿宋" w:cs="仿宋"/>
          <w:szCs w:val="24"/>
          <w:highlight w:val="none"/>
        </w:rPr>
        <w:t>5. 管理要求</w:t>
      </w:r>
    </w:p>
    <w:p w14:paraId="1269B481">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供应商应负责管理所有服务人员，按时足额向服务人员发放薪资报酬等，处理服务期内劳动过程中产生的劳动争议、人身安全等所有纠纷，因服务人员的劳动争议等纠纷产生的赔偿费用及后果，由供应商自行承担，与采购人无关。</w:t>
      </w:r>
    </w:p>
    <w:p w14:paraId="4464478F">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为确保服务人员能够完成采购人约定的各项工作任务，服务供应商应加强对服务人员的业务管理，听取采购人对人员绩效等意见。</w:t>
      </w:r>
    </w:p>
    <w:p w14:paraId="514549EE">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服务人员应按照规定规范着装、规范用语，遵守采购人的工作秩序，工作时间按照采购单位规定的工时制，工作日正常上下班，法定节假日及重要节假日期间需要安排值班的，由供应商按照值班人员名单及值班天数,给值班人员发放加班费和误餐补贴。</w:t>
      </w:r>
    </w:p>
    <w:p w14:paraId="12538983">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供应商服务过程中须接受采购单位监督及考核，若服务过程中因人员自身问题考核不合格，采购人有权要求更换服务人员，若因供应商管理问题，采购单位有权进行处罚并要求供应商进行整改，若整改后无法满足采购单位服务要求，采购单位有权更换服务单位。</w:t>
      </w:r>
    </w:p>
    <w:p w14:paraId="05E34D7F">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 服务质量要求</w:t>
      </w:r>
    </w:p>
    <w:p w14:paraId="1B5CFD24">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案件信息录入及时率达到100%，录入正确率达到100%，导诉工作群众解答80%以上，12368电话接通率 96%以上，群众满意度98%；法官满意度98%。</w:t>
      </w:r>
    </w:p>
    <w:p w14:paraId="338FBAC7">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7. 保密要求</w:t>
      </w:r>
    </w:p>
    <w:p w14:paraId="36948935">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供应商服务前应组织服务人员进行保密教育，服务人员应遵守采购单位的保密规定，对于工作中知悉、接触到的案件信息和相关材料，不得私自复制、留存、转发，不得擅自拍摄、记录、摘抄相关资料，不得私自接触、获取工作范围外的信息，不透露、不议论评价当事人或公众来电细心，不得随意泄露办案人员的个人基本信息，不得从事与工作无关的其他活动。</w:t>
      </w:r>
    </w:p>
    <w:p w14:paraId="4EDB3C6C">
      <w:pPr>
        <w:pStyle w:val="3"/>
        <w:keepNext w:val="0"/>
        <w:keepLines w:val="0"/>
        <w:widowControl/>
        <w:numPr>
          <w:ilvl w:val="0"/>
          <w:numId w:val="1"/>
        </w:numPr>
        <w:shd w:val="clear" w:color="auto" w:fill="FFFFFF"/>
        <w:spacing w:before="0"/>
        <w:ind w:left="0" w:firstLine="0"/>
        <w:jc w:val="left"/>
        <w:rPr>
          <w:rStyle w:val="6"/>
          <w:rFonts w:hint="eastAsia" w:ascii="仿宋" w:hAnsi="仿宋" w:eastAsia="仿宋" w:cs="仿宋"/>
          <w:bCs/>
          <w:szCs w:val="24"/>
          <w:highlight w:val="none"/>
          <w:shd w:val="clear" w:color="auto" w:fill="FFFFFF"/>
        </w:rPr>
      </w:pPr>
      <w:r>
        <w:rPr>
          <w:rStyle w:val="6"/>
          <w:rFonts w:hint="eastAsia" w:ascii="仿宋" w:hAnsi="仿宋" w:eastAsia="仿宋" w:cs="仿宋"/>
          <w:bCs/>
          <w:szCs w:val="24"/>
          <w:highlight w:val="none"/>
          <w:shd w:val="clear" w:color="auto" w:fill="FFFFFF"/>
        </w:rPr>
        <w:t>服务期：自合同签订之日起一年。</w:t>
      </w:r>
    </w:p>
    <w:p w14:paraId="0BCC07F0">
      <w:pPr>
        <w:pStyle w:val="3"/>
        <w:keepNext w:val="0"/>
        <w:keepLines w:val="0"/>
        <w:widowControl/>
        <w:numPr>
          <w:ilvl w:val="0"/>
          <w:numId w:val="0"/>
        </w:numPr>
        <w:shd w:val="clear" w:color="auto" w:fill="FFFFFF"/>
        <w:spacing w:before="0"/>
        <w:ind w:leftChars="0"/>
        <w:jc w:val="left"/>
        <w:rPr>
          <w:rStyle w:val="6"/>
          <w:rFonts w:ascii="仿宋" w:hAnsi="仿宋" w:eastAsia="仿宋" w:cs="仿宋"/>
          <w:bCs/>
          <w:szCs w:val="24"/>
          <w:highlight w:val="none"/>
          <w:shd w:val="clear" w:color="auto" w:fill="FFFFFF"/>
        </w:rPr>
      </w:pPr>
      <w:r>
        <w:rPr>
          <w:rStyle w:val="6"/>
          <w:rFonts w:hint="eastAsia" w:ascii="仿宋" w:hAnsi="仿宋" w:eastAsia="仿宋" w:cs="仿宋"/>
          <w:bCs/>
          <w:szCs w:val="24"/>
          <w:highlight w:val="none"/>
          <w:shd w:val="clear" w:color="auto" w:fill="FFFFFF"/>
          <w:lang w:val="en-US" w:eastAsia="zh-CN"/>
        </w:rPr>
        <w:t>四、</w:t>
      </w:r>
      <w:r>
        <w:rPr>
          <w:rStyle w:val="6"/>
          <w:rFonts w:ascii="仿宋" w:hAnsi="仿宋" w:eastAsia="仿宋" w:cs="仿宋"/>
          <w:bCs/>
          <w:szCs w:val="24"/>
          <w:highlight w:val="none"/>
          <w:shd w:val="clear" w:color="auto" w:fill="FFFFFF"/>
        </w:rPr>
        <w:t>付款方式</w:t>
      </w:r>
      <w:r>
        <w:rPr>
          <w:rStyle w:val="6"/>
          <w:rFonts w:hint="eastAsia" w:ascii="仿宋" w:hAnsi="仿宋" w:eastAsia="仿宋" w:cs="仿宋"/>
          <w:bCs/>
          <w:szCs w:val="24"/>
          <w:highlight w:val="none"/>
          <w:shd w:val="clear" w:color="auto" w:fill="FFFFFF"/>
        </w:rPr>
        <w:t>：</w:t>
      </w:r>
    </w:p>
    <w:p w14:paraId="4C662323">
      <w:pPr>
        <w:spacing w:line="360" w:lineRule="auto"/>
        <w:rPr>
          <w:rFonts w:hint="eastAsia" w:ascii="仿宋" w:hAnsi="仿宋" w:eastAsia="仿宋" w:cs="仿宋"/>
          <w:szCs w:val="24"/>
          <w:highlight w:val="none"/>
        </w:rPr>
      </w:pPr>
      <w:r>
        <w:rPr>
          <w:rStyle w:val="6"/>
          <w:rFonts w:hint="eastAsia" w:ascii="仿宋" w:hAnsi="仿宋" w:eastAsia="仿宋" w:cs="仿宋"/>
          <w:szCs w:val="24"/>
          <w:highlight w:val="none"/>
          <w:shd w:val="clear" w:color="auto" w:fill="FFFFFF"/>
        </w:rPr>
        <w:t xml:space="preserve">    </w:t>
      </w:r>
      <w:r>
        <w:rPr>
          <w:rFonts w:hint="eastAsia" w:ascii="仿宋" w:hAnsi="仿宋" w:eastAsia="仿宋" w:cs="仿宋"/>
          <w:szCs w:val="24"/>
          <w:highlight w:val="none"/>
        </w:rPr>
        <w:t>每月应付金额为合同金额的十二分之一，每3个月支付一次，应支付金额为合同金额的25%，每月按照考核标准评估得分，根据得分情况确定实际支付比例。付款前供应商应向采购人提供等额增值税发票，采购人在收到发票后10个工作日内完成付款。</w:t>
      </w:r>
    </w:p>
    <w:p w14:paraId="1EC69170">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(1)得分大于等于95分，支付100%当月应付金额;</w:t>
      </w:r>
    </w:p>
    <w:p w14:paraId="70CDEFC7">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(2)得分在90分至95分之间的，扣当月应付金额3%;</w:t>
      </w:r>
    </w:p>
    <w:p w14:paraId="7B68161A">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(3)得分在85分至90分之间的，扣当月应付金额6%;</w:t>
      </w:r>
    </w:p>
    <w:p w14:paraId="745F7113">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(4)得分在80分至85分之间的，扣当月应付金额9%;</w:t>
      </w:r>
    </w:p>
    <w:p w14:paraId="79F97578">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(5)得分在70分至80分之间的，扣当月应付金额15%;</w:t>
      </w:r>
    </w:p>
    <w:p w14:paraId="13C4D08D">
      <w:r>
        <w:rPr>
          <w:rFonts w:hint="eastAsia" w:ascii="仿宋" w:hAnsi="仿宋" w:eastAsia="仿宋" w:cs="仿宋"/>
          <w:szCs w:val="24"/>
          <w:highlight w:val="none"/>
        </w:rPr>
        <w:t>(6)得分低于70分，扣当月应付金额25%。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CFBBE"/>
    <w:multiLevelType w:val="singleLevel"/>
    <w:tmpl w:val="BCDCFB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625B"/>
    <w:rsid w:val="6E1D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2"/>
    <w:basedOn w:val="1"/>
    <w:next w:val="1"/>
    <w:qFormat/>
    <w:uiPriority w:val="9"/>
    <w:pPr>
      <w:keepNext/>
      <w:keepLines/>
      <w:widowControl/>
      <w:spacing w:before="140" w:beforeLines="0" w:after="140" w:afterLines="0"/>
      <w:ind w:left="284"/>
      <w:jc w:val="center"/>
      <w:outlineLvl w:val="1"/>
    </w:pPr>
    <w:rPr>
      <w:rFonts w:ascii="Arial" w:hAnsi="Arial" w:eastAsia="仿宋"/>
      <w:b/>
      <w:bCs/>
      <w:sz w:val="28"/>
      <w:szCs w:val="32"/>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2025-06-03T08:57:00Z</dcterms:created>
  <dc:creator>QQQQ</dc:creator>
  <cp:lastModifiedBy>QQQQ</cp:lastModifiedBy>
  <dcterms:modified xsi:type="dcterms:W3CDTF">2025-06-03T08:57:30Z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ACEE62AD492C4C0988B5A4A5F9AEE977_11</vt:lpwstr>
  </property>
  <property fmtid="{D5CDD505-2E9C-101B-9397-08002B2CF9AE}" pid="4" name="KSOTemplateDocerSaveRecord">
    <vt:lpwstr>eyJoZGlkIjoiNmZlMDQwN2NiMDE0ZGM3OGQyMjI2MGI5NGMzYzk3YjEiLCJ1c2VySWQiOiIzODkzMjE1NzcifQ==</vt:lpwstr>
  </property>
</Properties>
</file>