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SCZK2025-CS-1176/002</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神木市石峁遗址XR沉浸式体验（剧本创作及项目策划）项目</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zh-CN" w:eastAsia="zh-CN"/>
        </w:rPr>
        <w:t>五</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6A116A6E">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eastAsia="仿宋_GB2312"/>
          <w:b/>
          <w:sz w:val="32"/>
          <w:szCs w:val="32"/>
        </w:rPr>
      </w:pPr>
      <w:r>
        <w:rPr>
          <w:rFonts w:eastAsia="仿宋_GB2312"/>
          <w:b/>
          <w:sz w:val="32"/>
          <w:szCs w:val="32"/>
        </w:rPr>
        <w:t>目  录</w:t>
      </w:r>
    </w:p>
    <w:p w14:paraId="300A6778">
      <w:pPr>
        <w:pStyle w:val="39"/>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62"/>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9"/>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62"/>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66FF8D3A">
      <w:pPr>
        <w:pStyle w:val="39"/>
        <w:tabs>
          <w:tab w:val="right" w:leader="dot" w:pos="8300"/>
          <w:tab w:val="clear" w:pos="9344"/>
        </w:tabs>
        <w:rPr>
          <w:rFonts w:eastAsia="仿宋_GB2312"/>
          <w:smallCaps w:val="0"/>
          <w:kern w:val="2"/>
          <w:sz w:val="28"/>
          <w:szCs w:val="28"/>
        </w:rPr>
      </w:pPr>
      <w:r>
        <w:fldChar w:fldCharType="begin"/>
      </w:r>
      <w:r>
        <w:instrText xml:space="preserve"> HYPERLINK \l "_Toc68590975" </w:instrText>
      </w:r>
      <w:r>
        <w:fldChar w:fldCharType="separate"/>
      </w:r>
      <w:r>
        <w:rPr>
          <w:rStyle w:val="62"/>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23</w:t>
      </w:r>
      <w:r>
        <w:rPr>
          <w:rFonts w:ascii="Times New Roman" w:eastAsia="仿宋_GB2312"/>
          <w:sz w:val="28"/>
          <w:szCs w:val="28"/>
        </w:rPr>
        <w:fldChar w:fldCharType="end"/>
      </w:r>
      <w:r>
        <w:rPr>
          <w:rFonts w:ascii="Times New Roman" w:eastAsia="仿宋_GB2312"/>
          <w:sz w:val="28"/>
          <w:szCs w:val="28"/>
        </w:rPr>
        <w:fldChar w:fldCharType="end"/>
      </w:r>
    </w:p>
    <w:p w14:paraId="089D0EDE">
      <w:pPr>
        <w:pStyle w:val="39"/>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62"/>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35</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9"/>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62"/>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42</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9"/>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62"/>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44</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47E00BEE">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50"/>
        <w:spacing w:line="360" w:lineRule="auto"/>
        <w:rPr>
          <w:rStyle w:val="207"/>
          <w:rFonts w:ascii="Times New Roman" w:hAnsi="Times New Roman" w:eastAsia="宋体"/>
          <w:sz w:val="36"/>
          <w:szCs w:val="36"/>
        </w:rPr>
      </w:pPr>
      <w:bookmarkStart w:id="0" w:name="_Toc21755"/>
      <w:bookmarkStart w:id="1" w:name="_Toc68590965"/>
      <w:bookmarkStart w:id="2" w:name="_Toc415499894"/>
      <w:bookmarkStart w:id="3" w:name="_Toc58504445"/>
      <w:bookmarkStart w:id="4" w:name="_Toc500747060"/>
      <w:bookmarkStart w:id="5" w:name="_Toc53722839"/>
      <w:bookmarkStart w:id="6" w:name="_Toc499711882"/>
      <w:bookmarkStart w:id="7" w:name="_Toc177189234"/>
      <w:bookmarkStart w:id="8" w:name="_Toc70687138"/>
      <w:bookmarkStart w:id="9" w:name="_Toc499711041"/>
      <w:bookmarkStart w:id="10" w:name="_Toc177995472"/>
      <w:bookmarkStart w:id="11" w:name="_Toc492955413"/>
      <w:bookmarkStart w:id="12" w:name="_Toc500747187"/>
      <w:bookmarkStart w:id="13" w:name="_Toc176882541"/>
      <w:bookmarkStart w:id="14" w:name="_Toc496324577"/>
      <w:bookmarkStart w:id="15" w:name="_Toc503063420"/>
      <w:bookmarkStart w:id="16" w:name="_Toc500746964"/>
      <w:bookmarkStart w:id="17" w:name="_Toc177817333"/>
      <w:bookmarkStart w:id="18" w:name="_Toc385992325"/>
      <w:bookmarkStart w:id="19" w:name="_Toc385992324"/>
      <w:r>
        <w:rPr>
          <w:rStyle w:val="207"/>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lang w:eastAsia="zh-CN"/>
        </w:rPr>
        <w:t>神木市石峁遗址XR沉浸式体验（剧本创作及项目策划）项目</w:t>
      </w: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6"/>
          <w:rFonts w:hint="eastAsia" w:ascii="仿宋_GB2312" w:hAnsi="仿宋_GB2312" w:eastAsia="仿宋_GB2312" w:cs="仿宋_GB2312"/>
          <w:b w:val="0"/>
          <w:bCs w:val="0"/>
          <w:color w:val="333333"/>
          <w:szCs w:val="24"/>
          <w:shd w:val="clear" w:color="auto" w:fill="FFFFFF"/>
        </w:rPr>
        <w:t>项目概况</w:t>
      </w:r>
    </w:p>
    <w:p w14:paraId="1D22D790">
      <w:pPr>
        <w:pStyle w:val="48"/>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lang w:eastAsia="zh-CN"/>
        </w:rPr>
        <w:t>神木市石峁遗址XR沉浸式体验（剧本创作及项目策划）项目</w:t>
      </w:r>
      <w:r>
        <w:rPr>
          <w:rFonts w:hint="eastAsia" w:ascii="仿宋_GB2312" w:hAnsi="仿宋_GB2312" w:eastAsia="仿宋_GB2312" w:cs="仿宋_GB2312"/>
          <w:color w:val="333333"/>
          <w:shd w:val="clear" w:color="auto" w:fill="FFFFFF"/>
        </w:rPr>
        <w:t>的潜在供应商应在</w:t>
      </w:r>
      <w:r>
        <w:rPr>
          <w:rFonts w:hint="eastAsia" w:ascii="Times New Roman" w:hAnsi="Times New Roman" w:eastAsia="仿宋_GB2312" w:cs="Times New Roman"/>
          <w:color w:val="auto"/>
          <w:u w:val="single"/>
          <w:shd w:val="clear" w:color="auto" w:fill="FFFFFF"/>
          <w:lang w:eastAsia="zh-CN"/>
        </w:rPr>
        <w:t>全国公共资源交易中心平台（陕西省）使用CA锁报名后</w:t>
      </w:r>
      <w:r>
        <w:rPr>
          <w:rFonts w:hint="default" w:ascii="Times New Roman" w:hAnsi="Times New Roman" w:eastAsia="仿宋_GB2312" w:cs="Times New Roman"/>
          <w:color w:val="333333"/>
          <w:shd w:val="clear" w:color="auto" w:fill="FFFFFF"/>
        </w:rPr>
        <w:t>获取采购文件，并于</w:t>
      </w:r>
      <w:r>
        <w:rPr>
          <w:rFonts w:hint="eastAsia" w:ascii="Times New Roman" w:hAnsi="Times New Roman" w:eastAsia="仿宋_GB2312" w:cs="Times New Roman"/>
          <w:color w:val="333333"/>
          <w:u w:val="single"/>
          <w:shd w:val="clear" w:color="auto" w:fill="FFFFFF"/>
          <w:lang w:val="en-US" w:eastAsia="zh-CN"/>
        </w:rPr>
        <w:t xml:space="preserve"> </w:t>
      </w:r>
      <w:r>
        <w:rPr>
          <w:rFonts w:hint="eastAsia" w:ascii="仿宋" w:hAnsi="仿宋" w:eastAsia="仿宋" w:cs="仿宋"/>
          <w:color w:val="333333"/>
          <w:highlight w:val="none"/>
          <w:u w:val="single"/>
          <w:lang w:eastAsia="zh-CN"/>
        </w:rPr>
        <w:t>2025年06月03日09时30分</w:t>
      </w:r>
      <w:r>
        <w:rPr>
          <w:rFonts w:hint="default" w:ascii="Times New Roman" w:hAnsi="Times New Roman" w:eastAsia="仿宋_GB2312" w:cs="Times New Roman"/>
          <w:color w:val="333333"/>
          <w:shd w:val="clear" w:color="auto" w:fill="FFFFFF"/>
        </w:rPr>
        <w:t>（北京时间）前递交响应文件。</w:t>
      </w:r>
    </w:p>
    <w:p w14:paraId="63EDAC6E">
      <w:pPr>
        <w:pStyle w:val="22"/>
        <w:tabs>
          <w:tab w:val="left" w:pos="567"/>
        </w:tabs>
        <w:rPr>
          <w:rFonts w:ascii="仿宋_GB2312" w:hAnsi="仿宋_GB2312" w:eastAsia="仿宋_GB2312" w:cs="仿宋_GB2312"/>
          <w:sz w:val="24"/>
        </w:rPr>
      </w:pP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项目编号：</w:t>
      </w:r>
      <w:r>
        <w:rPr>
          <w:rFonts w:hint="eastAsia" w:ascii="仿宋_GB2312" w:hAnsi="仿宋_GB2312" w:eastAsia="仿宋_GB2312" w:cs="仿宋_GB2312"/>
          <w:sz w:val="24"/>
          <w:lang w:eastAsia="zh-CN"/>
        </w:rPr>
        <w:t>SCZK2025-CS-1176/002</w:t>
      </w:r>
    </w:p>
    <w:p w14:paraId="5F9B2A37">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神木市石峁遗址XR沉浸式体验（剧本创作及项目策划）项目</w:t>
      </w:r>
    </w:p>
    <w:p w14:paraId="18024B0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eastAsia="zh-CN"/>
        </w:rPr>
        <w:t>700000.00</w:t>
      </w:r>
      <w:r>
        <w:rPr>
          <w:rFonts w:hint="eastAsia" w:ascii="仿宋_GB2312" w:hAnsi="仿宋_GB2312" w:eastAsia="仿宋_GB2312" w:cs="仿宋_GB2312"/>
          <w:sz w:val="24"/>
        </w:rPr>
        <w:t>元</w:t>
      </w:r>
    </w:p>
    <w:p w14:paraId="0FC9B6B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神木市石峁遗址XR沉浸式体验（剧本创作及项目策划）项目</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700000.00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700000.00</w:t>
      </w:r>
      <w:r>
        <w:rPr>
          <w:rFonts w:hint="eastAsia" w:ascii="仿宋_GB2312" w:hAnsi="仿宋_GB2312" w:eastAsia="仿宋_GB2312" w:cs="仿宋_GB2312"/>
          <w:sz w:val="24"/>
        </w:rPr>
        <w:t>元</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012"/>
        <w:gridCol w:w="956"/>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1012"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956"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1012" w:type="dxa"/>
            <w:vAlign w:val="center"/>
          </w:tcPr>
          <w:p w14:paraId="54D9F496">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艺术创作、表演和交流服务</w:t>
            </w:r>
          </w:p>
        </w:tc>
        <w:tc>
          <w:tcPr>
            <w:tcW w:w="956" w:type="dxa"/>
            <w:vAlign w:val="center"/>
          </w:tcPr>
          <w:p w14:paraId="3A977FC9">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剧本创作及项目策划</w:t>
            </w:r>
          </w:p>
        </w:tc>
        <w:tc>
          <w:tcPr>
            <w:tcW w:w="1276" w:type="dxa"/>
            <w:vAlign w:val="center"/>
          </w:tcPr>
          <w:p w14:paraId="51ADD9BC">
            <w:pPr>
              <w:jc w:val="center"/>
              <w:rPr>
                <w:rFonts w:ascii="仿宋_GB2312" w:hAnsi="仿宋_GB2312" w:eastAsia="仿宋_GB2312" w:cs="仿宋_GB2312"/>
                <w:sz w:val="24"/>
              </w:rPr>
            </w:pPr>
            <w:r>
              <w:rPr>
                <w:rFonts w:hint="eastAsia" w:eastAsia="仿宋_GB2312" w:cs="Times New Roman"/>
                <w:sz w:val="24"/>
                <w:lang w:val="en-US" w:eastAsia="zh-CN"/>
              </w:rPr>
              <w:t>1（批）</w:t>
            </w:r>
          </w:p>
        </w:tc>
        <w:tc>
          <w:tcPr>
            <w:tcW w:w="1755" w:type="dxa"/>
            <w:vAlign w:val="center"/>
          </w:tcPr>
          <w:p w14:paraId="39E0ECA1">
            <w:pPr>
              <w:jc w:val="center"/>
              <w:rPr>
                <w:rFonts w:ascii="仿宋_GB2312" w:hAnsi="仿宋_GB2312" w:eastAsia="仿宋_GB2312" w:cs="仿宋_GB2312"/>
                <w:sz w:val="24"/>
              </w:rPr>
            </w:pPr>
            <w:r>
              <w:rPr>
                <w:rFonts w:hint="eastAsia" w:eastAsia="仿宋_GB2312" w:cs="Times New Roman"/>
                <w:sz w:val="24"/>
                <w:lang w:val="en-US" w:eastAsia="zh-CN"/>
              </w:rPr>
              <w:t>详见文件</w:t>
            </w:r>
          </w:p>
        </w:tc>
        <w:tc>
          <w:tcPr>
            <w:tcW w:w="1656" w:type="dxa"/>
            <w:vAlign w:val="center"/>
          </w:tcPr>
          <w:p w14:paraId="677F9856">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700000.00</w:t>
            </w:r>
          </w:p>
        </w:tc>
        <w:tc>
          <w:tcPr>
            <w:tcW w:w="1656" w:type="dxa"/>
            <w:vAlign w:val="center"/>
          </w:tcPr>
          <w:p w14:paraId="47DB4C71">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700000.00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不接受</w:t>
      </w:r>
      <w:r>
        <w:rPr>
          <w:rFonts w:hint="eastAsia" w:ascii="仿宋_GB2312" w:hAnsi="仿宋_GB2312" w:eastAsia="仿宋_GB2312" w:cs="仿宋_GB2312"/>
          <w:sz w:val="24"/>
        </w:rPr>
        <w:t>联合体投标。</w:t>
      </w:r>
    </w:p>
    <w:p w14:paraId="26504735">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合同履行期限：</w:t>
      </w:r>
      <w:r>
        <w:rPr>
          <w:rFonts w:hint="eastAsia" w:ascii="仿宋_GB2312" w:hAnsi="仿宋_GB2312" w:eastAsia="仿宋_GB2312" w:cs="仿宋_GB2312"/>
          <w:sz w:val="24"/>
          <w:lang w:eastAsia="zh-CN"/>
        </w:rPr>
        <w:t>合同签订后6个月内实施完成</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48DBEB22">
      <w:pPr>
        <w:pStyle w:val="48"/>
        <w:keepNext w:val="0"/>
        <w:keepLines w:val="0"/>
        <w:pageBreakBefore w:val="0"/>
        <w:kinsoku/>
        <w:overflowPunct/>
        <w:topLinePunct w:val="0"/>
        <w:autoSpaceDE/>
        <w:autoSpaceDN/>
        <w:bidi w:val="0"/>
        <w:adjustRightInd/>
        <w:snapToGrid/>
        <w:spacing w:before="0" w:beforeAutospacing="0" w:after="0" w:afterAutospacing="0" w:line="360" w:lineRule="auto"/>
        <w:ind w:firstLine="48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本项目为专门面向中小企业的项目，供应商应为中小微企业、监狱企业或残疾人福利性单位。</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1BEF249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3.1具有独立承担民事责任的能力（提供有效的营业执照或自然人的身份证明）；</w:t>
      </w:r>
    </w:p>
    <w:p w14:paraId="0B5EC5F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3.2具有良好的商业信誉和健全的财务会计制度（提供投标供应商2023年</w:t>
      </w:r>
      <w:r>
        <w:rPr>
          <w:rFonts w:hint="eastAsia" w:ascii="仿宋_GB2312" w:hAnsi="仿宋_GB2312" w:eastAsia="仿宋_GB2312" w:cs="仿宋_GB2312"/>
          <w:sz w:val="24"/>
          <w:lang w:val="en-US" w:eastAsia="zh-CN"/>
        </w:rPr>
        <w:t>或2024年</w:t>
      </w:r>
      <w:r>
        <w:rPr>
          <w:rFonts w:hint="eastAsia" w:ascii="仿宋_GB2312" w:hAnsi="仿宋_GB2312" w:eastAsia="仿宋_GB2312" w:cs="仿宋_GB2312"/>
          <w:sz w:val="24"/>
        </w:rPr>
        <w:t>经审计的财务报告（包括资产负债表、现金流量表、利润表）或本年度基本开户银行出具的资信证明；</w:t>
      </w:r>
    </w:p>
    <w:p w14:paraId="48FA53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3.3具有履行合同所必需的设备和专业技术能力（提供承诺书）；</w:t>
      </w:r>
    </w:p>
    <w:p w14:paraId="5D22E70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3.4有依法缴纳税收和社会保障资金的良好记录；</w:t>
      </w:r>
    </w:p>
    <w:p w14:paraId="1DF8400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供应商应提供投标截止时间前六个月中任意一个月依法缴纳企业所得税或增值税的凭证，时间以税款所属时期为准（银行出具的缴税凭证或税务机关出具的证明的复印件，并加盖本单位公章），依法免税的供应商，应提供相应文件证明其依法免税；</w:t>
      </w:r>
    </w:p>
    <w:p w14:paraId="56C2F33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（2）投标供应商应提供近六个月中至少一个月的社会缴纳社会保险的凭据（专用收据或社会保险缴纳清单），不需要缴纳社会保障资金的供应商，应提供相应文件证明其不需要缴纳社会保障资金；</w:t>
      </w:r>
    </w:p>
    <w:p w14:paraId="24E780C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3.5参加政府采购活动前三年内，在经营活动中没有重大违法记录（提供书面声明）；</w:t>
      </w:r>
    </w:p>
    <w:p w14:paraId="79F4A8D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3.6投标供应商在“信用中国”网站（www.creditchina.gov.cn）和中国政府采购网（www.ccgp.gov.cn）上未被列入失信被执行人、重大税收违法失信主体、政府采购严重违法失信行为记录名单（代理公司现场查询）；</w:t>
      </w:r>
    </w:p>
    <w:p w14:paraId="1C90583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3.7供应商不得存在下列情形之一：</w:t>
      </w:r>
    </w:p>
    <w:p w14:paraId="053D84A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196A76E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6FD4B6D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059581EE">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 至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r>
        <w:rPr>
          <w:rFonts w:hint="eastAsia" w:ascii="仿宋" w:hAnsi="仿宋" w:eastAsia="仿宋" w:cs="仿宋"/>
          <w:sz w:val="24"/>
        </w:rPr>
        <w:t>，每天上午00:00:00至 12:00:00 ，下午 12:00:00 至 23:59:00 （北京时间,法定节假日除外）</w:t>
      </w:r>
    </w:p>
    <w:p w14:paraId="2D76FC6D">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w:t>
      </w:r>
      <w:r>
        <w:rPr>
          <w:rFonts w:hint="eastAsia" w:eastAsia="仿宋"/>
          <w:color w:val="000000" w:themeColor="text1"/>
          <w:sz w:val="24"/>
          <w:highlight w:val="none"/>
          <w14:textFill>
            <w14:solidFill>
              <w14:schemeClr w14:val="tx1"/>
            </w14:solidFill>
          </w14:textFill>
        </w:rPr>
        <w:t>全国公共资源交易中心平台（陕西省）使用CA锁报名后</w:t>
      </w:r>
    </w:p>
    <w:p w14:paraId="192131BC">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w:t>
      </w:r>
      <w:r>
        <w:rPr>
          <w:rFonts w:hint="eastAsia" w:eastAsia="仿宋"/>
          <w:color w:val="000000" w:themeColor="text1"/>
          <w:sz w:val="24"/>
          <w:highlight w:val="none"/>
          <w14:textFill>
            <w14:solidFill>
              <w14:schemeClr w14:val="tx1"/>
            </w14:solidFill>
          </w14:textFill>
        </w:rPr>
        <w:t>线上获取</w:t>
      </w:r>
    </w:p>
    <w:p w14:paraId="3E070517">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w:t>
      </w:r>
      <w:r>
        <w:rPr>
          <w:rFonts w:hint="eastAsia" w:ascii="仿宋" w:hAnsi="仿宋" w:eastAsia="仿宋" w:cs="仿宋"/>
          <w:sz w:val="24"/>
          <w:lang w:eastAsia="zh-CN"/>
        </w:rPr>
        <w:t>免费获取</w:t>
      </w:r>
    </w:p>
    <w:p w14:paraId="3C351120">
      <w:pPr>
        <w:spacing w:line="520" w:lineRule="exact"/>
        <w:ind w:firstLine="480" w:firstLineChars="200"/>
        <w:rPr>
          <w:rFonts w:hint="eastAsia" w:ascii="仿宋" w:hAnsi="仿宋" w:eastAsia="仿宋" w:cs="仿宋"/>
          <w:sz w:val="24"/>
        </w:rPr>
      </w:pPr>
      <w:r>
        <w:rPr>
          <w:rFonts w:hint="eastAsia" w:ascii="仿宋" w:hAnsi="仿宋" w:eastAsia="仿宋" w:cs="仿宋"/>
          <w:sz w:val="24"/>
        </w:rPr>
        <w:t>四、响应文件提交</w:t>
      </w:r>
    </w:p>
    <w:p w14:paraId="482742BD">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highlight w:val="none"/>
          <w:lang w:eastAsia="zh-CN"/>
        </w:rPr>
        <w:t>2025年06月03日09时30分00秒</w:t>
      </w:r>
      <w:r>
        <w:rPr>
          <w:rFonts w:hint="eastAsia" w:ascii="仿宋" w:hAnsi="仿宋" w:eastAsia="仿宋" w:cs="仿宋"/>
          <w:sz w:val="24"/>
        </w:rPr>
        <w:t xml:space="preserve"> （北京时间）</w:t>
      </w:r>
    </w:p>
    <w:p w14:paraId="7F924C2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地点：线上递交</w:t>
      </w:r>
    </w:p>
    <w:p w14:paraId="2BEB4544">
      <w:pPr>
        <w:spacing w:line="520" w:lineRule="exact"/>
        <w:ind w:firstLine="480" w:firstLineChars="200"/>
        <w:rPr>
          <w:rFonts w:hint="eastAsia" w:ascii="仿宋" w:hAnsi="仿宋" w:eastAsia="仿宋" w:cs="仿宋"/>
          <w:sz w:val="24"/>
        </w:rPr>
      </w:pPr>
      <w:r>
        <w:rPr>
          <w:rFonts w:hint="eastAsia" w:ascii="仿宋" w:hAnsi="仿宋" w:eastAsia="仿宋" w:cs="仿宋"/>
          <w:sz w:val="24"/>
        </w:rPr>
        <w:t>五、开启</w:t>
      </w:r>
    </w:p>
    <w:p w14:paraId="29455821">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lang w:eastAsia="zh-CN"/>
        </w:rPr>
        <w:t>2025年06月03日09时30分00秒</w:t>
      </w:r>
      <w:r>
        <w:rPr>
          <w:rFonts w:hint="eastAsia" w:ascii="仿宋" w:hAnsi="仿宋" w:eastAsia="仿宋" w:cs="仿宋"/>
          <w:sz w:val="24"/>
        </w:rPr>
        <w:t xml:space="preserve">（北京时间） </w:t>
      </w:r>
    </w:p>
    <w:p w14:paraId="408A55BA">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eastAsia="仿宋"/>
          <w:color w:val="000000" w:themeColor="text1"/>
          <w:sz w:val="24"/>
          <w:highlight w:val="none"/>
          <w:lang w:eastAsia="zh-CN"/>
          <w14:textFill>
            <w14:solidFill>
              <w14:schemeClr w14:val="tx1"/>
            </w14:solidFill>
          </w14:textFill>
        </w:rPr>
        <w:t>线上开启</w:t>
      </w:r>
    </w:p>
    <w:p w14:paraId="6246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六、公告期限</w:t>
      </w:r>
    </w:p>
    <w:p w14:paraId="10BA9DEE">
      <w:pPr>
        <w:spacing w:line="520" w:lineRule="exact"/>
        <w:ind w:firstLine="480" w:firstLineChars="200"/>
        <w:rPr>
          <w:rFonts w:ascii="仿宋_GB2312" w:hAnsi="仿宋_GB2312" w:eastAsia="仿宋_GB2312" w:cs="仿宋_GB2312"/>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2A2E60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3BCD129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4313ABC">
      <w:pPr>
        <w:spacing w:line="520" w:lineRule="exact"/>
        <w:ind w:firstLine="480" w:firstLineChars="200"/>
        <w:rPr>
          <w:rFonts w:hint="eastAsia" w:ascii="仿宋" w:hAnsi="仿宋" w:eastAsia="仿宋" w:cs="仿宋"/>
          <w:sz w:val="24"/>
          <w:szCs w:val="24"/>
          <w:highlight w:val="none"/>
        </w:rPr>
      </w:pPr>
      <w:r>
        <w:rPr>
          <w:rFonts w:hint="eastAsia" w:eastAsia="仿宋_GB2312" w:cs="Times New Roman"/>
          <w:sz w:val="24"/>
          <w:lang w:val="en-US" w:eastAsia="zh-CN"/>
        </w:rPr>
        <w:t>1.7</w:t>
      </w:r>
      <w:r>
        <w:rPr>
          <w:rFonts w:hint="eastAsia" w:ascii="仿宋" w:hAnsi="仿宋" w:eastAsia="仿宋" w:cs="仿宋"/>
          <w:sz w:val="24"/>
          <w:szCs w:val="24"/>
          <w:highlight w:val="none"/>
        </w:rPr>
        <w:t>《榆林市财政局关于进一步加大政府采购支持中小企业力度的通知》（榆政财采发〔2022〕10号）</w:t>
      </w:r>
    </w:p>
    <w:p w14:paraId="3218FE45">
      <w:pPr>
        <w:spacing w:line="520" w:lineRule="exact"/>
        <w:ind w:firstLine="480" w:firstLineChars="200"/>
        <w:rPr>
          <w:rFonts w:hint="default" w:ascii="Times New Roman" w:hAnsi="Times New Roman" w:eastAsia="仿宋_GB2312" w:cs="Times New Roman"/>
          <w:sz w:val="24"/>
          <w:lang w:val="en-US" w:eastAsia="zh-CN"/>
        </w:rPr>
      </w:pPr>
      <w:r>
        <w:rPr>
          <w:rFonts w:hint="eastAsia" w:ascii="仿宋" w:hAnsi="仿宋" w:eastAsia="仿宋" w:cs="仿宋"/>
          <w:sz w:val="24"/>
          <w:szCs w:val="24"/>
          <w:highlight w:val="none"/>
        </w:rPr>
        <w:t>若享受以上政策优惠的企业，提供相应声明函或品目清单范围内产品的有效认证证书或相关证明</w:t>
      </w:r>
    </w:p>
    <w:p w14:paraId="447C866B">
      <w:pPr>
        <w:spacing w:line="520" w:lineRule="exact"/>
        <w:ind w:firstLine="480" w:firstLineChars="200"/>
        <w:rPr>
          <w:rFonts w:hint="eastAsia" w:ascii="仿宋" w:hAnsi="仿宋" w:eastAsia="仿宋" w:cs="仿宋"/>
          <w:sz w:val="24"/>
        </w:rPr>
      </w:pPr>
      <w:r>
        <w:rPr>
          <w:rFonts w:hint="eastAsia" w:ascii="仿宋" w:hAnsi="仿宋" w:eastAsia="仿宋" w:cs="仿宋"/>
          <w:sz w:val="24"/>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14:paraId="4BA6CB1B">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3、请各投标供应商获取竞争性</w:t>
      </w:r>
      <w:r>
        <w:rPr>
          <w:rFonts w:hint="eastAsia" w:ascii="仿宋" w:hAnsi="仿宋" w:eastAsia="仿宋" w:cs="仿宋"/>
          <w:sz w:val="24"/>
          <w:lang w:val="en-US" w:eastAsia="zh-CN"/>
        </w:rPr>
        <w:t>磋商</w:t>
      </w:r>
      <w:r>
        <w:rPr>
          <w:rFonts w:hint="eastAsia" w:ascii="仿宋" w:hAnsi="仿宋" w:eastAsia="仿宋" w:cs="仿宋"/>
          <w:sz w:val="24"/>
        </w:rPr>
        <w:t>文件后，按照陕西省财政厅《关于政府采购供应商注册登记有关事项的通知》要求，通过陕西省政府采购网（http://www.ccgp-shaanxi.gov.cn/）注册登记加入陕西省政府采购供应商库。</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AC46CC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4A7915C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神木市石峁遗址管理处</w:t>
      </w:r>
    </w:p>
    <w:p w14:paraId="6F175915">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神木市高家堡镇石峁村</w:t>
      </w:r>
    </w:p>
    <w:p w14:paraId="4CD6C60F">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13669141911</w:t>
      </w:r>
    </w:p>
    <w:p w14:paraId="4546DAB2">
      <w:pPr>
        <w:spacing w:line="52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5965162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42E5EF2D">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陕西省西安市雁塔区锦业路1号都市之门C座9层</w:t>
      </w:r>
    </w:p>
    <w:p w14:paraId="0F38EA3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联系方式：0912-3683703</w:t>
      </w:r>
    </w:p>
    <w:p w14:paraId="7C60AC6C">
      <w:pPr>
        <w:spacing w:line="520" w:lineRule="exact"/>
        <w:rPr>
          <w:rFonts w:hint="eastAsia" w:ascii="仿宋" w:hAnsi="仿宋" w:eastAsia="仿宋" w:cs="仿宋"/>
          <w:sz w:val="24"/>
        </w:rPr>
      </w:pPr>
      <w:r>
        <w:rPr>
          <w:rFonts w:hint="eastAsia" w:ascii="仿宋" w:hAnsi="仿宋" w:eastAsia="仿宋" w:cs="仿宋"/>
          <w:sz w:val="24"/>
        </w:rPr>
        <w:t>3、项目联系方式</w:t>
      </w:r>
    </w:p>
    <w:p w14:paraId="609CF7D3">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胡忠贤</w:t>
      </w:r>
      <w:r>
        <w:rPr>
          <w:rFonts w:hint="eastAsia" w:ascii="仿宋" w:hAnsi="仿宋" w:eastAsia="仿宋" w:cs="仿宋"/>
          <w:sz w:val="24"/>
        </w:rPr>
        <w:t xml:space="preserve">     </w:t>
      </w:r>
    </w:p>
    <w:p w14:paraId="614E814E">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18392513418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50"/>
        <w:spacing w:line="360" w:lineRule="auto"/>
        <w:rPr>
          <w:rStyle w:val="207"/>
          <w:rFonts w:ascii="Times New Roman" w:hAnsi="Times New Roman" w:eastAsia="宋体"/>
          <w:sz w:val="36"/>
          <w:szCs w:val="36"/>
        </w:rPr>
      </w:pPr>
      <w:bookmarkStart w:id="20" w:name="_Toc249515277"/>
      <w:bookmarkStart w:id="21" w:name="_Toc230099796"/>
      <w:bookmarkStart w:id="22" w:name="_Toc230583540"/>
      <w:bookmarkStart w:id="23" w:name="_Toc249525158"/>
      <w:bookmarkStart w:id="24" w:name="_Toc232395211"/>
      <w:bookmarkStart w:id="25" w:name="_Toc249515389"/>
      <w:bookmarkStart w:id="26" w:name="_Toc68590966"/>
      <w:bookmarkStart w:id="27" w:name="_Toc184043011"/>
      <w:bookmarkStart w:id="28" w:name="_Toc232176271"/>
      <w:bookmarkStart w:id="29" w:name="_Toc230013631"/>
      <w:bookmarkStart w:id="30" w:name="_Toc256342142"/>
      <w:bookmarkStart w:id="31" w:name="_Toc415499895"/>
      <w:bookmarkStart w:id="32" w:name="_Toc58504446"/>
      <w:bookmarkStart w:id="33" w:name="_Toc21126"/>
      <w:bookmarkStart w:id="34" w:name="_Toc230099797"/>
      <w:bookmarkStart w:id="35" w:name="_Toc70687139"/>
      <w:bookmarkStart w:id="36" w:name="_Toc249515278"/>
      <w:bookmarkStart w:id="37" w:name="_Toc177995473"/>
      <w:bookmarkStart w:id="38" w:name="_Toc249525159"/>
      <w:bookmarkStart w:id="39" w:name="_Toc184043012"/>
      <w:bookmarkStart w:id="40" w:name="_Toc500746965"/>
      <w:bookmarkStart w:id="41" w:name="_Toc492955414"/>
      <w:bookmarkStart w:id="42" w:name="_Toc232395212"/>
      <w:bookmarkStart w:id="43" w:name="_Toc503063421"/>
      <w:bookmarkStart w:id="44" w:name="_Toc499711883"/>
      <w:bookmarkStart w:id="45" w:name="_Toc496324578"/>
      <w:bookmarkStart w:id="46" w:name="_Toc230013632"/>
      <w:bookmarkStart w:id="47" w:name="_Toc256342143"/>
      <w:bookmarkStart w:id="48" w:name="_Toc500747188"/>
      <w:bookmarkStart w:id="49" w:name="_Toc499711042"/>
      <w:bookmarkStart w:id="50" w:name="_Toc176882542"/>
      <w:bookmarkStart w:id="51" w:name="_Toc177817334"/>
      <w:bookmarkStart w:id="52" w:name="_Toc232176272"/>
      <w:bookmarkStart w:id="53" w:name="_Toc500747061"/>
      <w:bookmarkStart w:id="54" w:name="_Toc53722840"/>
      <w:bookmarkStart w:id="55" w:name="_Toc230583541"/>
      <w:bookmarkStart w:id="56" w:name="_Toc249515390"/>
      <w:bookmarkStart w:id="57" w:name="_Toc177189235"/>
      <w:r>
        <w:rPr>
          <w:rStyle w:val="207"/>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82"/>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32"/>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500747190"/>
            <w:bookmarkStart w:id="61" w:name="_Toc503063423"/>
            <w:bookmarkStart w:id="62" w:name="_Toc496324580"/>
            <w:bookmarkStart w:id="63" w:name="_Toc385992326"/>
            <w:bookmarkStart w:id="64" w:name="_Toc499711044"/>
            <w:bookmarkStart w:id="65" w:name="_Toc500746967"/>
            <w:bookmarkStart w:id="66" w:name="_Toc499711885"/>
            <w:bookmarkStart w:id="67" w:name="_Toc500747063"/>
            <w:bookmarkStart w:id="68" w:name="_Toc492955416"/>
            <w:bookmarkStart w:id="69" w:name="_Toc389620165"/>
            <w:r>
              <w:rPr>
                <w:rFonts w:ascii="Times New Roman" w:hAnsi="Times New Roman" w:eastAsia="仿宋_GB2312"/>
                <w:b/>
                <w:sz w:val="24"/>
                <w:szCs w:val="24"/>
              </w:rPr>
              <w:t>条款号</w:t>
            </w:r>
          </w:p>
        </w:tc>
        <w:tc>
          <w:tcPr>
            <w:tcW w:w="7650" w:type="dxa"/>
            <w:vAlign w:val="center"/>
          </w:tcPr>
          <w:p w14:paraId="14C206DB">
            <w:pPr>
              <w:pStyle w:val="32"/>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32"/>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SCZK2025-CS-1176/002</w:t>
            </w:r>
          </w:p>
          <w:p w14:paraId="41B5AC3C">
            <w:pPr>
              <w:pStyle w:val="32"/>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eastAsia="zh-CN"/>
              </w:rPr>
              <w:t>神木市石峁遗址XR沉浸式体验（剧本创作及项目策划）项目</w:t>
            </w:r>
          </w:p>
          <w:p w14:paraId="064EF165">
            <w:pPr>
              <w:pStyle w:val="32"/>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资金来源：财政资金</w:t>
            </w:r>
          </w:p>
          <w:p w14:paraId="70585EE3">
            <w:pPr>
              <w:pStyle w:val="32"/>
              <w:adjustRightInd w:val="0"/>
              <w:snapToGrid w:val="0"/>
              <w:spacing w:line="360" w:lineRule="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700000.00元</w:t>
            </w:r>
          </w:p>
          <w:p w14:paraId="329586CA">
            <w:pPr>
              <w:pStyle w:val="32"/>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采购方式：竞争性磋商</w:t>
            </w:r>
          </w:p>
          <w:p w14:paraId="7DEF1B59">
            <w:pPr>
              <w:pStyle w:val="32"/>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采购内容：详见本磋商文件第五章</w:t>
            </w:r>
          </w:p>
          <w:p w14:paraId="1C75A23E">
            <w:pPr>
              <w:pStyle w:val="32"/>
              <w:adjustRightInd w:val="0"/>
              <w:snapToGrid w:val="0"/>
              <w:spacing w:line="360" w:lineRule="auto"/>
              <w:rPr>
                <w:rFonts w:hint="default" w:ascii="Times New Roman" w:hAnsi="Times New Roman" w:eastAsia="仿宋_GB2312"/>
                <w:sz w:val="24"/>
                <w:szCs w:val="24"/>
                <w:lang w:val="en-US" w:eastAsia="zh-CN"/>
              </w:rPr>
            </w:pPr>
            <w:r>
              <w:rPr>
                <w:rFonts w:hint="eastAsia"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222199A">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30293A84">
            <w:pPr>
              <w:pStyle w:val="32"/>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采购人：</w:t>
            </w:r>
            <w:r>
              <w:rPr>
                <w:rFonts w:hint="eastAsia" w:ascii="Times New Roman" w:hAnsi="Times New Roman" w:eastAsia="仿宋_GB2312"/>
                <w:sz w:val="24"/>
                <w:szCs w:val="24"/>
                <w:lang w:eastAsia="zh-CN"/>
              </w:rPr>
              <w:t>神木市石峁遗址管理处</w:t>
            </w:r>
            <w:r>
              <w:rPr>
                <w:rFonts w:hint="eastAsia" w:ascii="Times New Roman" w:hAnsi="Times New Roman" w:eastAsia="仿宋_GB2312"/>
                <w:sz w:val="24"/>
                <w:szCs w:val="24"/>
              </w:rPr>
              <w:t xml:space="preserve">              </w:t>
            </w:r>
          </w:p>
          <w:p w14:paraId="7A321BEC">
            <w:pPr>
              <w:pStyle w:val="32"/>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地址：</w:t>
            </w:r>
            <w:r>
              <w:rPr>
                <w:rFonts w:hint="eastAsia" w:ascii="Times New Roman" w:hAnsi="Times New Roman" w:eastAsia="仿宋_GB2312"/>
                <w:sz w:val="24"/>
                <w:szCs w:val="24"/>
                <w:lang w:eastAsia="zh-CN"/>
              </w:rPr>
              <w:t>神木市高家堡镇石峁村</w:t>
            </w:r>
            <w:r>
              <w:rPr>
                <w:rFonts w:hint="eastAsia" w:ascii="Times New Roman" w:hAnsi="Times New Roman" w:eastAsia="仿宋_GB2312"/>
                <w:sz w:val="24"/>
                <w:szCs w:val="24"/>
              </w:rPr>
              <w:t xml:space="preserve">                 </w:t>
            </w:r>
          </w:p>
          <w:p w14:paraId="0B61FDEE">
            <w:pPr>
              <w:pStyle w:val="32"/>
              <w:adjustRightInd w:val="0"/>
              <w:snapToGrid w:val="0"/>
              <w:spacing w:line="360" w:lineRule="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联系方式：</w:t>
            </w:r>
            <w:r>
              <w:rPr>
                <w:rFonts w:hint="eastAsia" w:ascii="Times New Roman" w:hAnsi="Times New Roman" w:eastAsia="仿宋_GB2312"/>
                <w:sz w:val="24"/>
                <w:szCs w:val="24"/>
                <w:lang w:eastAsia="zh-CN"/>
              </w:rPr>
              <w:t>13669141911</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B8ED9F1">
            <w:pPr>
              <w:pStyle w:val="3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20A8EFA4">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陕西省西安市雁塔区锦业路1号都市之门C座9层</w:t>
            </w:r>
          </w:p>
          <w:p w14:paraId="0E54800F">
            <w:pPr>
              <w:pStyle w:val="32"/>
              <w:adjustRightInd w:val="0"/>
              <w:snapToGrid w:val="0"/>
              <w:spacing w:line="240" w:lineRule="auto"/>
              <w:rPr>
                <w:rFonts w:ascii="Times New Roman" w:hAnsi="Times New Roman" w:eastAsia="仿宋_GB2312"/>
                <w:sz w:val="24"/>
                <w:szCs w:val="24"/>
              </w:rPr>
            </w:pPr>
            <w:r>
              <w:rPr>
                <w:rFonts w:hint="eastAsia" w:ascii="仿宋" w:hAnsi="仿宋" w:eastAsia="仿宋" w:cs="仿宋"/>
                <w:sz w:val="24"/>
                <w:highlight w:val="none"/>
              </w:rPr>
              <w:t>联系人：</w:t>
            </w:r>
            <w:r>
              <w:rPr>
                <w:rFonts w:hint="eastAsia" w:ascii="仿宋" w:hAnsi="仿宋" w:eastAsia="仿宋" w:cs="仿宋"/>
                <w:sz w:val="24"/>
                <w:highlight w:val="none"/>
                <w:u w:val="single"/>
                <w:lang w:eastAsia="zh-CN"/>
              </w:rPr>
              <w:t>胡忠贤</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rPr>
              <w:t>电话：</w:t>
            </w:r>
            <w:r>
              <w:rPr>
                <w:rFonts w:hint="eastAsia" w:ascii="仿宋" w:hAnsi="仿宋" w:eastAsia="仿宋" w:cs="仿宋"/>
                <w:sz w:val="24"/>
                <w:highlight w:val="none"/>
                <w:u w:val="single"/>
                <w:lang w:val="en-US" w:eastAsia="zh-CN"/>
              </w:rPr>
              <w:t>18392513418</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32"/>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32"/>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32"/>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32"/>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32"/>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32"/>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4"/>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2DACB1F2">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w:t>
            </w:r>
            <w:r>
              <w:rPr>
                <w:rFonts w:hint="eastAsia" w:eastAsia="仿宋_GB2312"/>
                <w:sz w:val="24"/>
                <w:lang w:eastAsia="zh-CN"/>
              </w:rPr>
              <w:t>人工费</w:t>
            </w:r>
            <w:r>
              <w:rPr>
                <w:rFonts w:eastAsia="仿宋_GB2312"/>
                <w:sz w:val="24"/>
              </w:rPr>
              <w:t>、</w:t>
            </w:r>
            <w:r>
              <w:rPr>
                <w:rFonts w:hint="eastAsia" w:eastAsia="仿宋_GB2312"/>
                <w:sz w:val="24"/>
                <w:lang w:val="en-US" w:eastAsia="zh-CN"/>
              </w:rPr>
              <w:t>材料费</w:t>
            </w:r>
            <w:r>
              <w:rPr>
                <w:rFonts w:eastAsia="仿宋_GB2312"/>
                <w:sz w:val="24"/>
              </w:rPr>
              <w:t>、</w:t>
            </w:r>
            <w:r>
              <w:rPr>
                <w:rFonts w:hint="eastAsia" w:eastAsia="仿宋_GB2312"/>
                <w:sz w:val="24"/>
                <w:lang w:val="en-US" w:eastAsia="zh-CN"/>
              </w:rPr>
              <w:t>设计费</w:t>
            </w:r>
            <w:r>
              <w:rPr>
                <w:rFonts w:eastAsia="仿宋_GB2312"/>
                <w:sz w:val="24"/>
              </w:rPr>
              <w:t>、</w:t>
            </w:r>
            <w:r>
              <w:rPr>
                <w:rFonts w:hint="eastAsia" w:eastAsia="仿宋_GB2312"/>
                <w:sz w:val="24"/>
                <w:lang w:val="en-US" w:eastAsia="zh-CN"/>
              </w:rPr>
              <w:t>配送费、</w:t>
            </w:r>
            <w:r>
              <w:rPr>
                <w:rFonts w:eastAsia="仿宋_GB2312"/>
                <w:sz w:val="24"/>
              </w:rPr>
              <w:t>售后服务</w:t>
            </w:r>
            <w:r>
              <w:rPr>
                <w:rFonts w:hint="eastAsia" w:eastAsia="仿宋_GB2312"/>
                <w:sz w:val="24"/>
                <w:lang w:val="en-US" w:eastAsia="zh-CN"/>
              </w:rPr>
              <w:t>费以及</w:t>
            </w:r>
            <w:r>
              <w:rPr>
                <w:rFonts w:eastAsia="仿宋_GB2312"/>
                <w:sz w:val="24"/>
              </w:rPr>
              <w:t>增值税等税费、运杂保险费等）。</w:t>
            </w:r>
          </w:p>
          <w:p w14:paraId="4C6471F7">
            <w:pPr>
              <w:pStyle w:val="32"/>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32"/>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080" w:type="dxa"/>
            <w:vAlign w:val="center"/>
          </w:tcPr>
          <w:p w14:paraId="5D4FDFE0">
            <w:pPr>
              <w:pStyle w:val="32"/>
              <w:adjustRightInd w:val="0"/>
              <w:snapToGrid w:val="0"/>
              <w:spacing w:line="240" w:lineRule="auto"/>
              <w:jc w:val="center"/>
              <w:rPr>
                <w:rFonts w:ascii="Times New Roman" w:hAnsi="Times New Roman" w:eastAsia="仿宋_GB2312"/>
                <w:sz w:val="24"/>
                <w:szCs w:val="24"/>
              </w:rPr>
            </w:pPr>
          </w:p>
          <w:p w14:paraId="1EDC2BEF">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57AB172">
            <w:pPr>
              <w:pStyle w:val="32"/>
              <w:adjustRightInd w:val="0"/>
              <w:snapToGrid w:val="0"/>
              <w:spacing w:line="240" w:lineRule="auto"/>
              <w:rPr>
                <w:rFonts w:ascii="Times New Roman" w:hAnsi="Times New Roman" w:eastAsia="仿宋_GB2312"/>
                <w:sz w:val="24"/>
                <w:szCs w:val="24"/>
              </w:rPr>
            </w:pPr>
          </w:p>
        </w:tc>
        <w:tc>
          <w:tcPr>
            <w:tcW w:w="7650" w:type="dxa"/>
            <w:vAlign w:val="center"/>
          </w:tcPr>
          <w:p w14:paraId="7A150478">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14:paraId="5872C9BD">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32"/>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hint="eastAsia" w:ascii="Times New Roman" w:hAnsi="Times New Roman" w:eastAsia="仿宋_GB2312"/>
                <w:sz w:val="24"/>
                <w:szCs w:val="24"/>
                <w:u w:val="single"/>
                <w:lang w:val="en-US" w:eastAsia="zh-CN"/>
              </w:rPr>
              <w:t>60</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6B22EF1">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74E1B87D">
            <w:pPr>
              <w:pStyle w:val="32"/>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响应文件的份数：本项目采用电子招标，上传电子版响应文件，无需递交纸质版文件。</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0" w:type="dxa"/>
            <w:vAlign w:val="center"/>
          </w:tcPr>
          <w:p w14:paraId="6E94E5B9">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32"/>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32"/>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32"/>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32"/>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F302A61">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382ECDF3">
            <w:pPr>
              <w:tabs>
                <w:tab w:val="left" w:pos="588"/>
              </w:tabs>
              <w:spacing w:line="360" w:lineRule="auto"/>
              <w:rPr>
                <w:rFonts w:hint="eastAsia" w:eastAsia="仿宋_GB2312"/>
                <w:sz w:val="24"/>
              </w:rPr>
            </w:pPr>
            <w:r>
              <w:rPr>
                <w:rFonts w:hint="eastAsia" w:eastAsia="仿宋_GB2312"/>
                <w:sz w:val="24"/>
              </w:rPr>
              <w:t>响应文件递交截止时间：</w:t>
            </w:r>
            <w:r>
              <w:rPr>
                <w:rFonts w:hint="eastAsia" w:eastAsia="仿宋_GB2312"/>
                <w:sz w:val="24"/>
                <w:lang w:eastAsia="zh-CN"/>
              </w:rPr>
              <w:t>2025年06月03日09时30分00秒</w:t>
            </w:r>
            <w:r>
              <w:rPr>
                <w:rFonts w:hint="eastAsia" w:eastAsia="仿宋_GB2312"/>
                <w:sz w:val="24"/>
              </w:rPr>
              <w:t>（北京时间）。</w:t>
            </w:r>
          </w:p>
          <w:p w14:paraId="7897838A">
            <w:pPr>
              <w:tabs>
                <w:tab w:val="left" w:pos="588"/>
              </w:tabs>
              <w:spacing w:line="360" w:lineRule="auto"/>
              <w:rPr>
                <w:rFonts w:eastAsia="仿宋_GB2312"/>
                <w:sz w:val="24"/>
              </w:rPr>
            </w:pPr>
            <w:r>
              <w:rPr>
                <w:rFonts w:hint="eastAsia" w:eastAsia="仿宋_GB2312"/>
                <w:sz w:val="24"/>
              </w:rPr>
              <w:t>响应文件递交地点：线上递交。</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32"/>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hint="eastAsia" w:eastAsia="仿宋_GB2312"/>
                <w:sz w:val="24"/>
                <w:u w:val="single"/>
                <w:lang w:val="en-US" w:eastAsia="zh-CN"/>
              </w:rPr>
              <w:t>3</w:t>
            </w:r>
            <w:r>
              <w:rPr>
                <w:rFonts w:eastAsia="仿宋_GB2312"/>
                <w:b/>
                <w:bCs/>
                <w:sz w:val="24"/>
                <w:u w:val="single"/>
              </w:rPr>
              <w:t xml:space="preserve">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32"/>
              <w:adjustRightInd w:val="0"/>
              <w:snapToGrid w:val="0"/>
              <w:spacing w:line="240" w:lineRule="auto"/>
              <w:jc w:val="center"/>
              <w:rPr>
                <w:rFonts w:hint="default" w:ascii="Times New Roman" w:hAnsi="Times New Roman" w:eastAsia="仿宋_GB2312"/>
                <w:i w:val="0"/>
                <w:iCs w:val="0"/>
                <w:sz w:val="24"/>
                <w:szCs w:val="24"/>
                <w:highlight w:val="none"/>
                <w:lang w:val="en-US" w:eastAsia="zh-CN"/>
              </w:rPr>
            </w:pPr>
            <w:r>
              <w:rPr>
                <w:rFonts w:hint="eastAsia" w:ascii="Times New Roman" w:hAnsi="Times New Roman" w:eastAsia="仿宋_GB2312"/>
                <w:i w:val="0"/>
                <w:iCs w:val="0"/>
                <w:sz w:val="24"/>
                <w:szCs w:val="24"/>
                <w:highlight w:val="none"/>
                <w:lang w:val="en-US" w:eastAsia="zh-CN"/>
              </w:rPr>
              <w:t>23.2.2</w:t>
            </w:r>
          </w:p>
        </w:tc>
        <w:tc>
          <w:tcPr>
            <w:tcW w:w="7650" w:type="dxa"/>
            <w:vAlign w:val="center"/>
          </w:tcPr>
          <w:p w14:paraId="15585D2F">
            <w:pPr>
              <w:spacing w:line="360" w:lineRule="auto"/>
              <w:rPr>
                <w:rFonts w:hint="eastAsia" w:eastAsia="仿宋_GB2312"/>
                <w:i w:val="0"/>
                <w:iCs w:val="0"/>
                <w:sz w:val="24"/>
                <w:highlight w:val="none"/>
                <w:u w:val="single"/>
                <w:lang w:val="en-US" w:eastAsia="zh-CN"/>
              </w:rPr>
            </w:pPr>
            <w:r>
              <w:rPr>
                <w:rFonts w:hint="eastAsia" w:eastAsia="仿宋_GB2312"/>
                <w:i w:val="0"/>
                <w:iCs w:val="0"/>
                <w:sz w:val="24"/>
                <w:highlight w:val="none"/>
                <w:u w:val="none"/>
                <w:lang w:val="en-US" w:eastAsia="zh-CN"/>
              </w:rPr>
              <w:t>本项目涉及的政府强制采购产品：</w:t>
            </w:r>
            <w:r>
              <w:rPr>
                <w:rFonts w:hint="eastAsia" w:eastAsia="仿宋_GB2312"/>
                <w:i w:val="0"/>
                <w:iCs w:val="0"/>
                <w:sz w:val="24"/>
                <w:highlight w:val="none"/>
                <w:u w:val="single"/>
                <w:lang w:val="en-US" w:eastAsia="zh-CN"/>
              </w:rPr>
              <w:t>/</w:t>
            </w:r>
          </w:p>
          <w:p w14:paraId="47714B65">
            <w:pPr>
              <w:spacing w:line="360" w:lineRule="auto"/>
              <w:rPr>
                <w:rFonts w:hint="default" w:eastAsia="仿宋_GB2312"/>
                <w:i w:val="0"/>
                <w:iCs w:val="0"/>
                <w:sz w:val="24"/>
                <w:highlight w:val="none"/>
                <w:lang w:val="en-US"/>
              </w:rPr>
            </w:pPr>
            <w:r>
              <w:rPr>
                <w:rFonts w:hint="eastAsia" w:eastAsia="仿宋_GB2312"/>
                <w:i w:val="0"/>
                <w:iCs w:val="0"/>
                <w:sz w:val="24"/>
                <w:highlight w:val="none"/>
                <w:lang w:val="en-US" w:eastAsia="zh-CN"/>
              </w:rPr>
              <w:t>本项目涉及的</w:t>
            </w:r>
            <w:r>
              <w:rPr>
                <w:rFonts w:hint="eastAsia" w:eastAsia="仿宋_GB2312"/>
                <w:i w:val="0"/>
                <w:iCs w:val="0"/>
                <w:sz w:val="24"/>
                <w:highlight w:val="none"/>
              </w:rPr>
              <w:t>网络关键设备和网络安全专用产品</w:t>
            </w:r>
            <w:r>
              <w:rPr>
                <w:rFonts w:hint="eastAsia" w:eastAsia="仿宋_GB2312"/>
                <w:i w:val="0"/>
                <w:iCs w:val="0"/>
                <w:sz w:val="24"/>
                <w:highlight w:val="none"/>
                <w:lang w:eastAsia="zh-CN"/>
              </w:rPr>
              <w:t>：</w:t>
            </w:r>
            <w:r>
              <w:rPr>
                <w:rFonts w:hint="eastAsia" w:eastAsia="仿宋_GB2312"/>
                <w:i w:val="0"/>
                <w:iCs w:val="0"/>
                <w:sz w:val="24"/>
                <w:highlight w:val="none"/>
                <w:u w:val="single"/>
                <w:lang w:val="en-US" w:eastAsia="zh-CN"/>
              </w:rPr>
              <w:t>/</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eastAsia="仿宋_GB2312"/>
                <w:sz w:val="24"/>
              </w:rPr>
              <w:t>□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r w14:paraId="25B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56BE44F">
            <w:pPr>
              <w:jc w:val="center"/>
              <w:rPr>
                <w:rFonts w:hint="default" w:eastAsia="仿宋_GB2312"/>
                <w:sz w:val="24"/>
                <w:lang w:val="en-US" w:eastAsia="zh-CN"/>
              </w:rPr>
            </w:pPr>
            <w:bookmarkStart w:id="70" w:name="_Toc232176273"/>
            <w:bookmarkStart w:id="71" w:name="_Toc230099798"/>
            <w:bookmarkStart w:id="72" w:name="_Toc249525160"/>
            <w:bookmarkStart w:id="73" w:name="_Toc256342144"/>
            <w:bookmarkStart w:id="74" w:name="_Toc70687140"/>
            <w:bookmarkStart w:id="75" w:name="_Toc177995474"/>
            <w:bookmarkStart w:id="76" w:name="_Toc230583542"/>
            <w:bookmarkStart w:id="77" w:name="_Toc232395213"/>
            <w:bookmarkStart w:id="78" w:name="_Toc177817335"/>
            <w:bookmarkStart w:id="79" w:name="_Toc184043013"/>
            <w:bookmarkStart w:id="80" w:name="_Toc230013633"/>
            <w:bookmarkStart w:id="81" w:name="_Toc177189236"/>
            <w:bookmarkStart w:id="82" w:name="_Toc249515279"/>
            <w:bookmarkStart w:id="83" w:name="_Toc249515391"/>
            <w:bookmarkStart w:id="84" w:name="_Toc176882543"/>
            <w:bookmarkStart w:id="85" w:name="_Toc53722841"/>
            <w:r>
              <w:rPr>
                <w:rFonts w:hint="eastAsia" w:eastAsia="仿宋_GB2312"/>
                <w:sz w:val="24"/>
                <w:lang w:val="en-US" w:eastAsia="zh-CN"/>
              </w:rPr>
              <w:t>33</w:t>
            </w:r>
          </w:p>
        </w:tc>
        <w:tc>
          <w:tcPr>
            <w:tcW w:w="7650" w:type="dxa"/>
            <w:vAlign w:val="center"/>
          </w:tcPr>
          <w:p w14:paraId="286E5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所有响应供应商按照《榆林市公共资源交易中心关于公共资源交易信用承诺网上公示的通知》  (榆交易函〔2021〕19 号) 文件 要求，于响应文件递交截止时间前自主申报信用承诺。自主上报信用承诺书具体事项如下：</w:t>
            </w:r>
          </w:p>
          <w:p w14:paraId="6924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1.承诺事项名称：选择《榆林市政府采购工程类/货物类/服务类 项目供应商信用承诺书》；承诺事由：填写项目名称及标段名称；承诺附件：按招标文件给定的格式填写，需上传至承诺附件；受理部门为榆林市财政局采购科；承诺有效期为 90天。</w:t>
            </w:r>
          </w:p>
          <w:p w14:paraId="23CE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2.承诺事项名称：选择《投标人信用承诺》；承诺事由：填写项 目名称及标段名称；承诺附件：按招标文件给定的格式填写，需上传至承诺附件；受理部门为榆林市公共资源交易中心；承诺有效期为 90天。</w:t>
            </w:r>
          </w:p>
          <w:p w14:paraId="0949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3.承诺事项名称：《投标人委托代理人员信用承诺书》；承诺事 由：填写项目名称及标段名称；承诺附件：按招标文件给定的格式填写，需 上传至承诺附件；受理部门为榆林市公共资源交易中心；承诺有效期为 90天。</w:t>
            </w:r>
          </w:p>
          <w:p w14:paraId="5012028B">
            <w:pPr>
              <w:jc w:val="left"/>
              <w:rPr>
                <w:rFonts w:hint="eastAsia" w:eastAsia="仿宋_GB2312"/>
                <w:sz w:val="24"/>
                <w:lang w:eastAsia="zh-CN"/>
              </w:rPr>
            </w:pPr>
            <w:r>
              <w:rPr>
                <w:rFonts w:hint="eastAsia" w:ascii="仿宋" w:hAnsi="仿宋" w:eastAsia="仿宋" w:cs="仿宋"/>
                <w:sz w:val="24"/>
              </w:rPr>
              <w:t>注：开标开始后采购代理机构将通过平台进行核实查验，未按上述要求在“信用中国 (陕西榆林) ”网站进行上报将否决投标。</w:t>
            </w:r>
          </w:p>
        </w:tc>
      </w:tr>
      <w:tr w14:paraId="5A2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3A26C0F">
            <w:pPr>
              <w:jc w:val="center"/>
              <w:rPr>
                <w:rFonts w:eastAsia="仿宋_GB2312"/>
                <w:sz w:val="24"/>
              </w:rPr>
            </w:pPr>
            <w:r>
              <w:rPr>
                <w:rFonts w:hint="eastAsia" w:ascii="仿宋" w:hAnsi="仿宋" w:eastAsia="仿宋" w:cs="仿宋"/>
                <w:color w:val="auto"/>
                <w:sz w:val="24"/>
                <w:highlight w:val="none"/>
                <w:lang w:val="en-US" w:eastAsia="zh-CN"/>
              </w:rPr>
              <w:t>34</w:t>
            </w:r>
          </w:p>
        </w:tc>
        <w:tc>
          <w:tcPr>
            <w:tcW w:w="7650" w:type="dxa"/>
            <w:vAlign w:val="center"/>
          </w:tcPr>
          <w:p w14:paraId="3BFDE4F2">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14:paraId="047E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14:paraId="3E8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14:paraId="5ACD2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14:paraId="31C3C179">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14:paraId="48B95C7C">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磋商响应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磋商响应</w:t>
            </w:r>
            <w:r>
              <w:rPr>
                <w:rFonts w:hint="eastAsia" w:ascii="仿宋" w:hAnsi="仿宋" w:eastAsia="仿宋" w:cs="仿宋"/>
                <w:sz w:val="24"/>
              </w:rPr>
              <w:t>文件，逾期提交系统将拒绝接收。</w:t>
            </w:r>
          </w:p>
          <w:p w14:paraId="1F75FC33">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w:t>
            </w:r>
            <w:r>
              <w:rPr>
                <w:rFonts w:hint="eastAsia" w:ascii="仿宋" w:hAnsi="仿宋" w:eastAsia="仿宋" w:cs="仿宋"/>
                <w:sz w:val="24"/>
                <w:lang w:eastAsia="zh-CN"/>
              </w:rPr>
              <w:t>磋商</w:t>
            </w:r>
            <w:r>
              <w:rPr>
                <w:rFonts w:hint="eastAsia" w:ascii="仿宋" w:hAnsi="仿宋" w:eastAsia="仿宋" w:cs="仿宋"/>
                <w:sz w:val="24"/>
              </w:rPr>
              <w:t>文件以及交易平台〖首页〉服务指南〉下载专区〗中的《榆林市不见面开标大厅操作手册（供应商）》</w:t>
            </w:r>
          </w:p>
          <w:p w14:paraId="2790C1AF">
            <w:pPr>
              <w:numPr>
                <w:ilvl w:val="0"/>
                <w:numId w:val="0"/>
              </w:numPr>
              <w:spacing w:line="360" w:lineRule="auto"/>
              <w:ind w:leftChars="0"/>
              <w:rPr>
                <w:rFonts w:hint="eastAsia" w:ascii="仿宋" w:hAnsi="仿宋" w:eastAsia="仿宋" w:cs="仿宋"/>
                <w:b/>
                <w:sz w:val="24"/>
              </w:rPr>
            </w:pPr>
            <w:r>
              <w:rPr>
                <w:rFonts w:hint="eastAsia" w:ascii="仿宋" w:hAnsi="仿宋" w:eastAsia="仿宋" w:cs="仿宋"/>
                <w:b/>
                <w:sz w:val="24"/>
              </w:rPr>
              <w:t>不见面开标流程</w:t>
            </w:r>
          </w:p>
          <w:p w14:paraId="03AB09EB">
            <w:pPr>
              <w:spacing w:line="360" w:lineRule="auto"/>
              <w:rPr>
                <w:rFonts w:hint="eastAsia" w:ascii="仿宋" w:hAnsi="仿宋" w:eastAsia="仿宋" w:cs="仿宋"/>
                <w:sz w:val="24"/>
              </w:rPr>
            </w:pPr>
            <w:r>
              <w:rPr>
                <w:rFonts w:hint="eastAsia" w:ascii="仿宋" w:hAnsi="仿宋" w:eastAsia="仿宋" w:cs="仿宋"/>
                <w:sz w:val="24"/>
              </w:rPr>
              <w:t>该项目将采取“不见面”开标的形式，供应商无须到达开标现场，即可在网上直接参与开标活动。相关注意事项如下：</w:t>
            </w:r>
          </w:p>
          <w:p w14:paraId="26FCFEF4">
            <w:pPr>
              <w:spacing w:line="360" w:lineRule="auto"/>
              <w:rPr>
                <w:rFonts w:hint="eastAsia" w:ascii="仿宋" w:hAnsi="仿宋" w:eastAsia="仿宋" w:cs="仿宋"/>
                <w:sz w:val="24"/>
              </w:rPr>
            </w:pPr>
            <w:r>
              <w:rPr>
                <w:rFonts w:hint="eastAsia" w:ascii="仿宋" w:hAnsi="仿宋" w:eastAsia="仿宋" w:cs="仿宋"/>
                <w:sz w:val="24"/>
              </w:rPr>
              <w:t>4.1开标当日，请各供应商在开标截止时间前至少提前半小时登录“不见面”开标系统登录方式有以下几种：</w:t>
            </w:r>
          </w:p>
          <w:p w14:paraId="3D298D27">
            <w:pPr>
              <w:spacing w:line="360" w:lineRule="auto"/>
              <w:rPr>
                <w:rFonts w:hint="eastAsia" w:ascii="仿宋" w:hAnsi="仿宋" w:eastAsia="仿宋" w:cs="仿宋"/>
                <w:sz w:val="24"/>
              </w:rPr>
            </w:pPr>
            <w:r>
              <w:rPr>
                <w:rFonts w:hint="eastAsia" w:ascii="仿宋" w:hAnsi="仿宋" w:eastAsia="仿宋" w:cs="仿宋"/>
                <w:sz w:val="24"/>
              </w:rPr>
              <w:t>4.2 IE浏览器输入网址：</w:t>
            </w:r>
          </w:p>
          <w:p w14:paraId="1CE3886E">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http://111.20.184.126:8081/BidOpeningHallCS/bidhall/default/login；</w:t>
            </w:r>
            <w:r>
              <w:rPr>
                <w:rFonts w:hint="eastAsia" w:ascii="仿宋" w:hAnsi="仿宋" w:eastAsia="仿宋" w:cs="仿宋"/>
                <w:sz w:val="24"/>
              </w:rPr>
              <w:fldChar w:fldCharType="end"/>
            </w:r>
          </w:p>
          <w:p w14:paraId="22D492F7">
            <w:pPr>
              <w:spacing w:line="360" w:lineRule="auto"/>
              <w:rPr>
                <w:rFonts w:hint="eastAsia" w:ascii="仿宋" w:hAnsi="仿宋" w:eastAsia="仿宋" w:cs="仿宋"/>
                <w:sz w:val="24"/>
              </w:rPr>
            </w:pPr>
            <w:r>
              <w:rPr>
                <w:rFonts w:hint="eastAsia" w:ascii="仿宋" w:hAnsi="仿宋" w:eastAsia="仿宋" w:cs="仿宋"/>
                <w:sz w:val="24"/>
              </w:rPr>
              <w:t>4.3在【全国公共资源交易平台（陕西省·榆林市）】网站首页点击不见面开标模块进入；</w:t>
            </w:r>
          </w:p>
          <w:p w14:paraId="4C1286EC">
            <w:pPr>
              <w:spacing w:line="360" w:lineRule="auto"/>
              <w:rPr>
                <w:rFonts w:hint="eastAsia" w:ascii="仿宋" w:hAnsi="仿宋" w:eastAsia="仿宋" w:cs="仿宋"/>
                <w:sz w:val="24"/>
              </w:rPr>
            </w:pPr>
            <w:r>
              <w:rPr>
                <w:rFonts w:hint="eastAsia" w:ascii="仿宋" w:hAnsi="仿宋" w:eastAsia="仿宋" w:cs="仿宋"/>
                <w:sz w:val="24"/>
              </w:rPr>
              <w:t>4.4在【全国公共资源交易平台（陕西省）】网站首页点击不见面开标模块选择榆林市进入。</w:t>
            </w:r>
          </w:p>
          <w:p w14:paraId="108114FD">
            <w:pPr>
              <w:spacing w:line="360" w:lineRule="auto"/>
              <w:rPr>
                <w:rFonts w:hint="eastAsia" w:ascii="仿宋" w:hAnsi="仿宋" w:eastAsia="仿宋" w:cs="仿宋"/>
                <w:sz w:val="24"/>
              </w:rPr>
            </w:pPr>
            <w:r>
              <w:rPr>
                <w:rFonts w:hint="eastAsia" w:ascii="仿宋" w:hAnsi="仿宋" w:eastAsia="仿宋" w:cs="仿宋"/>
                <w:sz w:val="24"/>
              </w:rPr>
              <w:t>4.5注：登录不见面开标系统请选择IE11浏览器</w:t>
            </w:r>
          </w:p>
          <w:p w14:paraId="691628C8">
            <w:pPr>
              <w:spacing w:line="360" w:lineRule="auto"/>
              <w:rPr>
                <w:rFonts w:hint="eastAsia" w:ascii="仿宋" w:hAnsi="仿宋" w:eastAsia="仿宋" w:cs="仿宋"/>
                <w:sz w:val="24"/>
              </w:rPr>
            </w:pPr>
            <w:r>
              <w:rPr>
                <w:rFonts w:hint="eastAsia" w:ascii="仿宋" w:hAnsi="仿宋" w:eastAsia="仿宋" w:cs="仿宋"/>
                <w:sz w:val="24"/>
              </w:rPr>
              <w:t>4.6供应商应按要求及时签到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14:paraId="64B34EE7">
            <w:pPr>
              <w:spacing w:line="360" w:lineRule="auto"/>
              <w:rPr>
                <w:rFonts w:hint="eastAsia" w:ascii="仿宋" w:hAnsi="仿宋" w:eastAsia="仿宋" w:cs="仿宋"/>
                <w:sz w:val="24"/>
              </w:rPr>
            </w:pPr>
            <w:r>
              <w:rPr>
                <w:rFonts w:hint="eastAsia" w:ascii="仿宋" w:hAnsi="仿宋" w:eastAsia="仿宋" w:cs="仿宋"/>
                <w:sz w:val="24"/>
              </w:rPr>
              <w:t>4.7开标过程中，供应商在收到工作人员“开始解密”指令后，请及时使用CA对电子</w:t>
            </w:r>
            <w:r>
              <w:rPr>
                <w:rFonts w:hint="eastAsia" w:ascii="仿宋" w:hAnsi="仿宋" w:eastAsia="仿宋" w:cs="仿宋"/>
                <w:sz w:val="24"/>
                <w:lang w:eastAsia="zh-CN"/>
              </w:rPr>
              <w:t>磋商响应</w:t>
            </w:r>
            <w:r>
              <w:rPr>
                <w:rFonts w:hint="eastAsia" w:ascii="仿宋" w:hAnsi="仿宋" w:eastAsia="仿宋" w:cs="仿宋"/>
                <w:sz w:val="24"/>
              </w:rPr>
              <w:t>文件进行解密。解密时所用CA应与加密</w:t>
            </w:r>
            <w:r>
              <w:rPr>
                <w:rFonts w:hint="eastAsia" w:ascii="仿宋" w:hAnsi="仿宋" w:eastAsia="仿宋" w:cs="仿宋"/>
                <w:sz w:val="24"/>
                <w:lang w:eastAsia="zh-CN"/>
              </w:rPr>
              <w:t>磋商响应</w:t>
            </w:r>
            <w:r>
              <w:rPr>
                <w:rFonts w:hint="eastAsia" w:ascii="仿宋" w:hAnsi="仿宋" w:eastAsia="仿宋" w:cs="仿宋"/>
                <w:sz w:val="24"/>
              </w:rPr>
              <w:t>文件时所用CA相同；注：解密时间为30分钟，在解密时间内供应商全部解密完成后，可提前进入开标下一阶段。</w:t>
            </w:r>
          </w:p>
          <w:p w14:paraId="1D6F774D">
            <w:pPr>
              <w:spacing w:line="360" w:lineRule="auto"/>
              <w:rPr>
                <w:rFonts w:hint="eastAsia" w:ascii="仿宋" w:hAnsi="仿宋" w:eastAsia="仿宋" w:cs="仿宋"/>
                <w:sz w:val="24"/>
              </w:rPr>
            </w:pPr>
            <w:r>
              <w:rPr>
                <w:rFonts w:hint="eastAsia" w:ascii="仿宋" w:hAnsi="仿宋" w:eastAsia="仿宋" w:cs="仿宋"/>
                <w:sz w:val="24"/>
              </w:rPr>
              <w:t>4.8相关技术问题，请咨询软件开发商：</w:t>
            </w:r>
          </w:p>
          <w:p w14:paraId="73928C3F">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14:paraId="768C4BA4">
            <w:pPr>
              <w:pStyle w:val="22"/>
              <w:rPr>
                <w:rFonts w:hint="eastAsia" w:eastAsia="仿宋_GB2312"/>
                <w:sz w:val="24"/>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bl>
    <w:p w14:paraId="3BC35B78">
      <w:pPr>
        <w:rPr>
          <w:rFonts w:eastAsia="仿宋_GB2312"/>
          <w:sz w:val="30"/>
          <w:szCs w:val="30"/>
        </w:rPr>
      </w:pPr>
      <w:r>
        <w:rPr>
          <w:rFonts w:eastAsia="仿宋_GB2312"/>
          <w:sz w:val="30"/>
          <w:szCs w:val="30"/>
        </w:rPr>
        <w:br w:type="page"/>
      </w:r>
    </w:p>
    <w:p w14:paraId="450159F6">
      <w:pPr>
        <w:pStyle w:val="82"/>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82"/>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184043014"/>
      <w:bookmarkStart w:id="90" w:name="_Toc249515392"/>
      <w:bookmarkStart w:id="91" w:name="_Toc249525161"/>
      <w:bookmarkStart w:id="92" w:name="_Toc249515280"/>
      <w:bookmarkStart w:id="93" w:name="_Toc25504"/>
      <w:r>
        <w:rPr>
          <w:rFonts w:ascii="Times New Roman" w:hAnsi="Times New Roman" w:eastAsia="仿宋_GB2312"/>
          <w:b/>
          <w:sz w:val="24"/>
          <w:szCs w:val="21"/>
        </w:rPr>
        <w:t>1.     项目说明</w:t>
      </w:r>
      <w:bookmarkEnd w:id="89"/>
      <w:bookmarkEnd w:id="90"/>
      <w:bookmarkEnd w:id="91"/>
      <w:bookmarkEnd w:id="92"/>
      <w:bookmarkEnd w:id="93"/>
    </w:p>
    <w:p w14:paraId="7BB85B3D">
      <w:pPr>
        <w:pStyle w:val="68"/>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249515281"/>
      <w:bookmarkStart w:id="95" w:name="_Toc249525162"/>
      <w:bookmarkStart w:id="96" w:name="_Toc184043015"/>
      <w:bookmarkStart w:id="97" w:name="_Toc31509"/>
      <w:bookmarkStart w:id="98" w:name="_Toc70687142"/>
      <w:bookmarkStart w:id="99" w:name="_Toc249515393"/>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249525163"/>
      <w:bookmarkStart w:id="101" w:name="_Toc389620168"/>
      <w:bookmarkStart w:id="102" w:name="_Toc385992329"/>
      <w:bookmarkStart w:id="103" w:name="_Toc184043016"/>
      <w:bookmarkStart w:id="104" w:name="_Toc70687143"/>
      <w:bookmarkStart w:id="105" w:name="_Toc249515394"/>
      <w:bookmarkStart w:id="106" w:name="_Toc249515282"/>
      <w:bookmarkStart w:id="107" w:name="_Toc23705"/>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 xml:space="preserve">3.2.1  </w:t>
      </w:r>
      <w:r>
        <w:rPr>
          <w:rFonts w:eastAsia="仿宋_GB2312"/>
          <w:kern w:val="24"/>
          <w:sz w:val="24"/>
          <w:szCs w:val="21"/>
          <w:highlight w:val="none"/>
        </w:rPr>
        <w:t>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w:t>
      </w:r>
      <w:r>
        <w:rPr>
          <w:rFonts w:eastAsia="仿宋_GB2312"/>
          <w:kern w:val="24"/>
          <w:sz w:val="24"/>
          <w:szCs w:val="21"/>
        </w:rPr>
        <w:t>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249515395"/>
      <w:bookmarkStart w:id="109" w:name="_Toc184043017"/>
      <w:bookmarkStart w:id="110" w:name="_Toc385992330"/>
      <w:bookmarkStart w:id="111" w:name="_Toc70687144"/>
      <w:bookmarkStart w:id="112" w:name="_Toc249525164"/>
      <w:bookmarkStart w:id="113" w:name="_Toc26580"/>
      <w:bookmarkStart w:id="114" w:name="_Toc389620169"/>
      <w:bookmarkStart w:id="115" w:name="_Toc249515283"/>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82"/>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249515285"/>
      <w:bookmarkStart w:id="119" w:name="_Toc184043019"/>
      <w:bookmarkStart w:id="120" w:name="_Toc389620171"/>
      <w:bookmarkStart w:id="121" w:name="_Toc385992332"/>
      <w:bookmarkStart w:id="122" w:name="_Toc249525166"/>
      <w:bookmarkStart w:id="123" w:name="_Toc70687146"/>
      <w:bookmarkStart w:id="124" w:name="_Toc249515397"/>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249525167"/>
      <w:bookmarkStart w:id="127" w:name="_Toc389620172"/>
      <w:bookmarkStart w:id="128" w:name="_Toc184043020"/>
      <w:bookmarkStart w:id="129" w:name="_Toc385992333"/>
      <w:bookmarkStart w:id="130" w:name="_Toc249515286"/>
      <w:bookmarkStart w:id="131" w:name="_Toc249515398"/>
      <w:bookmarkStart w:id="132" w:name="_Toc70687147"/>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70687148"/>
      <w:bookmarkStart w:id="135" w:name="_Toc385992334"/>
      <w:bookmarkStart w:id="136" w:name="_Toc389620173"/>
      <w:r>
        <w:rPr>
          <w:rFonts w:eastAsia="仿宋_GB2312"/>
          <w:sz w:val="24"/>
        </w:rPr>
        <w:t xml:space="preserve">7.1    </w:t>
      </w:r>
      <w:bookmarkEnd w:id="134"/>
      <w:bookmarkEnd w:id="135"/>
      <w:bookmarkEnd w:id="136"/>
      <w:bookmarkStart w:id="137" w:name="_Toc389620174"/>
      <w:bookmarkStart w:id="138" w:name="_Toc499711046"/>
      <w:bookmarkStart w:id="139" w:name="_Toc500747192"/>
      <w:bookmarkStart w:id="140" w:name="_Toc500747065"/>
      <w:bookmarkStart w:id="141" w:name="_Toc492955418"/>
      <w:bookmarkStart w:id="142" w:name="_Toc496324582"/>
      <w:bookmarkStart w:id="143" w:name="_Toc70687149"/>
      <w:bookmarkStart w:id="144" w:name="_Toc503063425"/>
      <w:bookmarkStart w:id="145" w:name="_Toc385992335"/>
      <w:bookmarkStart w:id="146" w:name="_Toc500746969"/>
      <w:bookmarkStart w:id="147" w:name="_Toc53722843"/>
      <w:bookmarkStart w:id="148" w:name="_Toc499711887"/>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82"/>
        <w:spacing w:before="24" w:after="24"/>
        <w:ind w:left="3313"/>
        <w:rPr>
          <w:rFonts w:eastAsia="仿宋_GB2312"/>
          <w:sz w:val="30"/>
          <w:szCs w:val="30"/>
        </w:rPr>
      </w:pPr>
      <w:bookmarkStart w:id="149" w:name="_Toc176882545"/>
      <w:bookmarkStart w:id="150" w:name="_Toc230583544"/>
      <w:bookmarkStart w:id="151" w:name="_Toc232395215"/>
      <w:bookmarkStart w:id="152" w:name="_Toc177995476"/>
      <w:bookmarkStart w:id="153" w:name="_Toc230013635"/>
      <w:bookmarkStart w:id="154" w:name="_Toc177817337"/>
      <w:bookmarkStart w:id="155" w:name="_Toc230099800"/>
      <w:bookmarkStart w:id="156" w:name="_Toc177189238"/>
      <w:bookmarkStart w:id="157" w:name="_Toc249525169"/>
      <w:bookmarkStart w:id="158" w:name="_Toc249515288"/>
      <w:bookmarkStart w:id="159" w:name="_Toc232176275"/>
      <w:bookmarkStart w:id="160" w:name="_Toc256342146"/>
      <w:bookmarkStart w:id="161" w:name="_Toc249515400"/>
      <w:bookmarkStart w:id="162" w:name="_Toc68590971"/>
      <w:bookmarkStart w:id="163" w:name="_Toc184043022"/>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249525170"/>
      <w:bookmarkStart w:id="165" w:name="_Toc249515401"/>
      <w:bookmarkStart w:id="166" w:name="_Toc184043023"/>
      <w:bookmarkStart w:id="167" w:name="_Toc70687150"/>
      <w:bookmarkStart w:id="168" w:name="_Toc249515289"/>
      <w:bookmarkStart w:id="169" w:name="_Toc3015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249515402"/>
      <w:bookmarkStart w:id="173" w:name="_Toc249525171"/>
      <w:bookmarkStart w:id="174" w:name="_Toc18327"/>
      <w:bookmarkStart w:id="175" w:name="_Toc70687151"/>
      <w:bookmarkStart w:id="176" w:name="_Toc249515290"/>
      <w:bookmarkStart w:id="177" w:name="_Toc184043024"/>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184043025"/>
      <w:bookmarkStart w:id="179" w:name="_Toc385992338"/>
      <w:bookmarkStart w:id="180" w:name="_Toc249515291"/>
      <w:bookmarkStart w:id="181" w:name="_Toc249515403"/>
      <w:bookmarkStart w:id="182" w:name="_Toc29318"/>
      <w:bookmarkStart w:id="183" w:name="_Toc389620177"/>
      <w:bookmarkStart w:id="184" w:name="_Toc249525172"/>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70687153"/>
      <w:bookmarkStart w:id="187" w:name="_Toc26312"/>
      <w:bookmarkStart w:id="188" w:name="_Toc249515404"/>
      <w:bookmarkStart w:id="189" w:name="_Toc249525173"/>
      <w:bookmarkStart w:id="190" w:name="_Toc385992339"/>
      <w:bookmarkStart w:id="191" w:name="_Toc249515292"/>
      <w:bookmarkStart w:id="192" w:name="_Toc389620178"/>
      <w:bookmarkStart w:id="193" w:name="_Toc184043026"/>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lang w:eastAsia="zh-CN"/>
        </w:rPr>
        <w:t>服务</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249515406"/>
      <w:bookmarkStart w:id="196" w:name="_Toc385992341"/>
      <w:bookmarkStart w:id="197" w:name="_Toc70687155"/>
      <w:bookmarkStart w:id="198" w:name="_Toc20687"/>
      <w:bookmarkStart w:id="199" w:name="_Toc184043028"/>
      <w:bookmarkStart w:id="200" w:name="_Toc249525175"/>
      <w:bookmarkStart w:id="201" w:name="_Toc249515294"/>
      <w:bookmarkStart w:id="202" w:name="_Toc389620180"/>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009BDE59">
      <w:pPr>
        <w:pStyle w:val="5"/>
        <w:tabs>
          <w:tab w:val="left" w:pos="360"/>
        </w:tabs>
        <w:rPr>
          <w:rFonts w:hint="eastAsia" w:ascii="仿宋" w:hAnsi="仿宋" w:eastAsia="仿宋" w:cs="仿宋"/>
          <w:b w:val="0"/>
          <w:bCs/>
          <w:color w:val="000000" w:themeColor="text1"/>
          <w:kern w:val="24"/>
          <w:sz w:val="24"/>
          <w:szCs w:val="21"/>
          <w:highlight w:val="none"/>
          <w14:textFill>
            <w14:solidFill>
              <w14:schemeClr w14:val="tx1"/>
            </w14:solidFill>
          </w14:textFill>
        </w:rPr>
      </w:pPr>
      <w:bookmarkStart w:id="205" w:name="止观"/>
      <w:bookmarkEnd w:id="205"/>
      <w:bookmarkStart w:id="206" w:name="_Toc492955419"/>
      <w:bookmarkStart w:id="207" w:name="_Toc389620186"/>
      <w:bookmarkStart w:id="208" w:name="_Toc230099801"/>
      <w:bookmarkStart w:id="209" w:name="_Toc385992347"/>
      <w:bookmarkStart w:id="210" w:name="_Toc256342147"/>
      <w:bookmarkStart w:id="211" w:name="_Toc232176276"/>
      <w:bookmarkStart w:id="212" w:name="_Toc184043034"/>
      <w:bookmarkStart w:id="213" w:name="_Toc177995477"/>
      <w:bookmarkStart w:id="214" w:name="_Toc230583545"/>
      <w:bookmarkStart w:id="215" w:name="_Toc70687161"/>
      <w:bookmarkStart w:id="216" w:name="_Toc503063426"/>
      <w:bookmarkStart w:id="217" w:name="_Toc176882546"/>
      <w:bookmarkStart w:id="218" w:name="_Toc499711888"/>
      <w:bookmarkStart w:id="219" w:name="_Toc177817338"/>
      <w:bookmarkStart w:id="220" w:name="_Toc249525179"/>
      <w:bookmarkStart w:id="221" w:name="_Toc230013636"/>
      <w:bookmarkStart w:id="222" w:name="_Toc496324583"/>
      <w:bookmarkStart w:id="223" w:name="_Toc249515410"/>
      <w:bookmarkStart w:id="224" w:name="_Toc500747066"/>
      <w:bookmarkStart w:id="225" w:name="_Toc500746970"/>
      <w:bookmarkStart w:id="226" w:name="_Toc53722844"/>
      <w:bookmarkStart w:id="227" w:name="_Toc499711047"/>
      <w:bookmarkStart w:id="228" w:name="_Toc232395216"/>
      <w:bookmarkStart w:id="229" w:name="_Toc249515298"/>
      <w:bookmarkStart w:id="230" w:name="_Toc177189239"/>
      <w:bookmarkStart w:id="231" w:name="_Toc500747193"/>
      <w:r>
        <w:rPr>
          <w:rFonts w:hint="eastAsia" w:ascii="仿宋" w:hAnsi="仿宋" w:eastAsia="仿宋" w:cs="仿宋"/>
          <w:b w:val="0"/>
          <w:bCs/>
          <w:color w:val="000000" w:themeColor="text1"/>
          <w:sz w:val="24"/>
          <w:szCs w:val="21"/>
          <w:highlight w:val="none"/>
          <w14:textFill>
            <w14:solidFill>
              <w14:schemeClr w14:val="tx1"/>
            </w14:solidFill>
          </w14:textFill>
        </w:rPr>
        <w:t>14.    信用承诺书</w:t>
      </w:r>
    </w:p>
    <w:p w14:paraId="1ABD103C">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sz w:val="24"/>
          <w:szCs w:val="21"/>
          <w:highlight w:val="none"/>
          <w14:textFill>
            <w14:solidFill>
              <w14:schemeClr w14:val="tx1"/>
            </w14:solidFill>
          </w14:textFill>
        </w:rPr>
      </w:pPr>
      <w:r>
        <w:rPr>
          <w:rFonts w:hint="eastAsia" w:ascii="仿宋" w:hAnsi="仿宋" w:eastAsia="仿宋" w:cs="仿宋"/>
          <w:b w:val="0"/>
          <w:bCs/>
          <w:color w:val="000000" w:themeColor="text1"/>
          <w:sz w:val="24"/>
          <w:szCs w:val="21"/>
          <w:highlight w:val="none"/>
          <w14:textFill>
            <w14:solidFill>
              <w14:schemeClr w14:val="tx1"/>
            </w14:solidFill>
          </w14:textFill>
        </w:rPr>
        <w:t>14.1   本项目采用“投标信用(保证金）承诺书”代替投标（响应）保证金，供应商须在投标（响应）截止时间前在“信用中国（陕西榆林）（网址：https://credit.yl.gov.cn/）”网站进行注册、登录、自主上报信用承诺</w:t>
      </w:r>
      <w:r>
        <w:rPr>
          <w:rFonts w:hint="eastAsia" w:ascii="仿宋" w:hAnsi="仿宋" w:eastAsia="仿宋" w:cs="仿宋"/>
          <w:b w:val="0"/>
          <w:bCs/>
          <w:color w:val="000000" w:themeColor="text1"/>
          <w:sz w:val="24"/>
          <w:szCs w:val="21"/>
          <w:highlight w:val="none"/>
          <w:lang w:eastAsia="zh-CN"/>
          <w14:textFill>
            <w14:solidFill>
              <w14:schemeClr w14:val="tx1"/>
            </w14:solidFill>
          </w14:textFill>
        </w:rPr>
        <w:t>，未</w:t>
      </w:r>
      <w:r>
        <w:rPr>
          <w:rFonts w:hint="eastAsia" w:ascii="仿宋" w:hAnsi="仿宋" w:eastAsia="仿宋" w:cs="仿宋"/>
          <w:b w:val="0"/>
          <w:bCs/>
          <w:color w:val="000000" w:themeColor="text1"/>
          <w:kern w:val="24"/>
          <w:sz w:val="24"/>
          <w:szCs w:val="21"/>
          <w:highlight w:val="none"/>
          <w14:textFill>
            <w14:solidFill>
              <w14:schemeClr w14:val="tx1"/>
            </w14:solidFill>
          </w14:textFill>
        </w:rPr>
        <w:t>规定</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上传并公示投标信用(保证金）承诺书</w:t>
      </w:r>
      <w:r>
        <w:rPr>
          <w:rFonts w:hint="eastAsia" w:ascii="仿宋" w:hAnsi="仿宋" w:eastAsia="仿宋" w:cs="仿宋"/>
          <w:b w:val="0"/>
          <w:bCs/>
          <w:color w:val="000000" w:themeColor="text1"/>
          <w:kern w:val="24"/>
          <w:sz w:val="24"/>
          <w:szCs w:val="21"/>
          <w:highlight w:val="none"/>
          <w14:textFill>
            <w14:solidFill>
              <w14:schemeClr w14:val="tx1"/>
            </w14:solidFill>
          </w14:textFill>
        </w:rPr>
        <w:t>的响应文件</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w:t>
      </w:r>
      <w:r>
        <w:rPr>
          <w:rFonts w:hint="eastAsia" w:ascii="仿宋" w:hAnsi="仿宋" w:eastAsia="仿宋" w:cs="仿宋"/>
          <w:kern w:val="24"/>
          <w:sz w:val="24"/>
          <w:szCs w:val="21"/>
        </w:rPr>
        <w:t>响应文件将被认定为无效</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E794993">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14.2   凡没有根据本须知第14.1条的规定随附信用承诺书的响应文件，将被视为非响应予以拒绝。</w:t>
      </w:r>
    </w:p>
    <w:p w14:paraId="527DC956">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14.3   成交供应商有下列情形之一的，在项目财政主管部门备案；情节严重的，由财政部门将其列入不良行为纪录名单予以通报，在一至三年内禁止参加政府采购活动：</w:t>
      </w:r>
    </w:p>
    <w:p w14:paraId="04DBC4C1">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供应商在提交响应文件截止时间后撤回响应文件的；</w:t>
      </w:r>
    </w:p>
    <w:p w14:paraId="7DF22272">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供应商在响应文件中提供虚假材料的；</w:t>
      </w:r>
    </w:p>
    <w:p w14:paraId="208094F4">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除因不可抗力外，成交供应商在规定期限内</w:t>
      </w:r>
      <w:r>
        <w:rPr>
          <w:rFonts w:hint="eastAsia" w:ascii="仿宋" w:hAnsi="仿宋" w:eastAsia="仿宋" w:cs="仿宋"/>
          <w:color w:val="000000" w:themeColor="text1"/>
          <w:kern w:val="24"/>
          <w:sz w:val="24"/>
          <w:szCs w:val="21"/>
          <w:highlight w:val="none"/>
          <w14:textFill>
            <w14:solidFill>
              <w14:schemeClr w14:val="tx1"/>
            </w14:solidFill>
          </w14:textFill>
        </w:rPr>
        <w:t xml:space="preserve">未能根据本须知第26条规定签订合同； </w:t>
      </w:r>
    </w:p>
    <w:p w14:paraId="540A41CA">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color w:val="000000" w:themeColor="text1"/>
          <w:kern w:val="24"/>
          <w:sz w:val="24"/>
          <w:szCs w:val="21"/>
          <w:highlight w:val="none"/>
          <w14:textFill>
            <w14:solidFill>
              <w14:schemeClr w14:val="tx1"/>
            </w14:solidFill>
          </w14:textFill>
        </w:rPr>
        <w:t>供应商与采购人、其他供应商或者采购代理机构恶意串通的；</w:t>
      </w:r>
    </w:p>
    <w:p w14:paraId="2BD370E1">
      <w:pPr>
        <w:numPr>
          <w:ilvl w:val="0"/>
          <w:numId w:val="6"/>
        </w:numPr>
        <w:tabs>
          <w:tab w:val="left" w:pos="425"/>
          <w:tab w:val="left" w:pos="588"/>
          <w:tab w:val="clear" w:pos="420"/>
        </w:tabs>
        <w:spacing w:line="360" w:lineRule="auto"/>
        <w:ind w:hanging="5"/>
        <w:rPr>
          <w:rFonts w:eastAsia="仿宋_GB2312"/>
          <w:kern w:val="24"/>
          <w:sz w:val="24"/>
          <w:szCs w:val="21"/>
        </w:rPr>
      </w:pPr>
      <w:r>
        <w:rPr>
          <w:rFonts w:hint="eastAsia" w:ascii="仿宋" w:hAnsi="仿宋" w:eastAsia="仿宋" w:cs="仿宋"/>
          <w:color w:val="000000" w:themeColor="text1"/>
          <w:kern w:val="24"/>
          <w:sz w:val="24"/>
          <w:szCs w:val="21"/>
          <w:highlight w:val="none"/>
          <w14:textFill>
            <w14:solidFill>
              <w14:schemeClr w14:val="tx1"/>
            </w14:solidFill>
          </w14:textFill>
        </w:rPr>
        <w:t>成交供应商未按本须知第29条规定缴纳服务费</w:t>
      </w:r>
      <w:r>
        <w:rPr>
          <w:rFonts w:eastAsia="仿宋"/>
          <w:color w:val="000000" w:themeColor="text1"/>
          <w:kern w:val="24"/>
          <w:sz w:val="24"/>
          <w:szCs w:val="21"/>
          <w:highlight w:val="none"/>
          <w14:textFill>
            <w14:solidFill>
              <w14:schemeClr w14:val="tx1"/>
            </w14:solidFill>
          </w14:textFill>
        </w:rPr>
        <w:t>。</w:t>
      </w:r>
    </w:p>
    <w:p w14:paraId="37F730F5">
      <w:pPr>
        <w:pStyle w:val="5"/>
        <w:numPr>
          <w:ilvl w:val="0"/>
          <w:numId w:val="7"/>
        </w:numPr>
        <w:tabs>
          <w:tab w:val="left" w:pos="360"/>
        </w:tabs>
        <w:rPr>
          <w:rFonts w:ascii="Times New Roman" w:hAnsi="Times New Roman" w:eastAsia="仿宋_GB2312"/>
          <w:b w:val="0"/>
          <w:bCs/>
          <w:sz w:val="24"/>
          <w:szCs w:val="21"/>
        </w:rPr>
      </w:pPr>
      <w:bookmarkStart w:id="232" w:name="_Toc7949"/>
      <w:bookmarkStart w:id="233" w:name="_Toc249515296"/>
      <w:bookmarkStart w:id="234" w:name="_Toc249515408"/>
      <w:bookmarkStart w:id="235" w:name="_Toc249525177"/>
      <w:r>
        <w:rPr>
          <w:rFonts w:ascii="Times New Roman" w:hAnsi="Times New Roman" w:eastAsia="仿宋_GB2312"/>
          <w:b w:val="0"/>
          <w:bCs/>
          <w:sz w:val="24"/>
          <w:szCs w:val="21"/>
        </w:rPr>
        <w:t xml:space="preserve">   </w:t>
      </w:r>
      <w:r>
        <w:rPr>
          <w:rFonts w:hint="eastAsia" w:ascii="Times New Roman" w:hAnsi="Times New Roman" w:eastAsia="仿宋_GB2312"/>
          <w:b w:val="0"/>
          <w:bCs/>
          <w:sz w:val="24"/>
          <w:szCs w:val="21"/>
          <w:lang w:val="en-US" w:eastAsia="zh-CN"/>
        </w:rPr>
        <w:t>磋商</w:t>
      </w:r>
      <w:r>
        <w:rPr>
          <w:rFonts w:ascii="Times New Roman" w:hAnsi="Times New Roman" w:eastAsia="仿宋_GB2312"/>
          <w:b w:val="0"/>
          <w:bCs/>
          <w:sz w:val="24"/>
          <w:szCs w:val="21"/>
        </w:rPr>
        <w:t>有效期</w:t>
      </w:r>
      <w:bookmarkEnd w:id="232"/>
      <w:bookmarkEnd w:id="233"/>
      <w:bookmarkEnd w:id="234"/>
      <w:bookmarkEnd w:id="235"/>
    </w:p>
    <w:p w14:paraId="79C10CCE">
      <w:pPr>
        <w:tabs>
          <w:tab w:val="left" w:pos="360"/>
          <w:tab w:val="left" w:pos="502"/>
          <w:tab w:val="left" w:pos="588"/>
        </w:tabs>
        <w:spacing w:line="360" w:lineRule="auto"/>
        <w:ind w:left="840" w:hanging="840" w:hangingChars="350"/>
        <w:rPr>
          <w:rFonts w:eastAsia="仿宋_GB2312"/>
          <w:sz w:val="24"/>
        </w:rPr>
      </w:pPr>
      <w:r>
        <w:rPr>
          <w:rFonts w:eastAsia="仿宋_GB2312"/>
          <w:b w:val="0"/>
          <w:bCs/>
          <w:sz w:val="24"/>
        </w:rPr>
        <w:t xml:space="preserve">15.1   </w:t>
      </w:r>
      <w:r>
        <w:rPr>
          <w:rFonts w:hint="eastAsia" w:eastAsia="仿宋_GB2312"/>
          <w:b w:val="0"/>
          <w:bCs/>
          <w:sz w:val="24"/>
          <w:lang w:val="en-US" w:eastAsia="zh-CN"/>
        </w:rPr>
        <w:t>磋商</w:t>
      </w:r>
      <w:r>
        <w:rPr>
          <w:rFonts w:eastAsia="仿宋_GB2312"/>
          <w:b w:val="0"/>
          <w:bCs/>
          <w:sz w:val="24"/>
        </w:rPr>
        <w:t>有效期见本须知前附表。在</w:t>
      </w:r>
      <w:r>
        <w:rPr>
          <w:rFonts w:hint="eastAsia" w:eastAsia="仿宋_GB2312"/>
          <w:b w:val="0"/>
          <w:bCs/>
          <w:sz w:val="24"/>
          <w:lang w:eastAsia="zh-CN"/>
        </w:rPr>
        <w:t>磋商</w:t>
      </w:r>
      <w:r>
        <w:rPr>
          <w:rFonts w:eastAsia="仿宋_GB2312"/>
          <w:b w:val="0"/>
          <w:bCs/>
          <w:sz w:val="24"/>
        </w:rPr>
        <w:t>有效期内，所有响应文件均保持有效。响应文件的有效期比本须知规定的有效期短的</w:t>
      </w:r>
      <w:r>
        <w:rPr>
          <w:rFonts w:eastAsia="仿宋_GB2312"/>
          <w:sz w:val="24"/>
        </w:rPr>
        <w:t>，将被视为非实质响应，采购人有权拒绝。</w:t>
      </w:r>
    </w:p>
    <w:p w14:paraId="7FDADFA7">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w:t>
      </w:r>
      <w:r>
        <w:rPr>
          <w:rFonts w:hint="eastAsia" w:eastAsia="仿宋_GB2312"/>
          <w:sz w:val="24"/>
          <w:lang w:val="en-US" w:eastAsia="zh-CN"/>
        </w:rPr>
        <w:t>磋商</w:t>
      </w:r>
      <w:r>
        <w:rPr>
          <w:rFonts w:eastAsia="仿宋_GB2312"/>
          <w:sz w:val="24"/>
        </w:rPr>
        <w:t>有效期满之前要求供应商同意延长有效期，要求与答复均应为书面形式。供应商可以拒绝上述要求，其</w:t>
      </w:r>
      <w:r>
        <w:rPr>
          <w:rFonts w:hint="eastAsia" w:eastAsia="仿宋_GB2312"/>
          <w:sz w:val="24"/>
          <w:lang w:val="en-US" w:eastAsia="zh-CN"/>
        </w:rPr>
        <w:t>磋商</w:t>
      </w:r>
      <w:r>
        <w:rPr>
          <w:rFonts w:eastAsia="仿宋_GB2312"/>
          <w:sz w:val="24"/>
        </w:rPr>
        <w:t>保证金不被没收。对于同意该要求的供应商，既不要求也不允许其修改响应文件，但将要求其相应延长投标保证金的有效期，有关退还和没收投标保证金的规定在</w:t>
      </w:r>
      <w:r>
        <w:rPr>
          <w:rFonts w:hint="eastAsia" w:eastAsia="仿宋_GB2312"/>
          <w:sz w:val="24"/>
          <w:lang w:val="en-US" w:eastAsia="zh-CN"/>
        </w:rPr>
        <w:t>磋商</w:t>
      </w:r>
      <w:r>
        <w:rPr>
          <w:rFonts w:eastAsia="仿宋_GB2312"/>
          <w:sz w:val="24"/>
        </w:rPr>
        <w:t>有效期的延长期内继续有效。</w:t>
      </w:r>
    </w:p>
    <w:p w14:paraId="7148587D">
      <w:pPr>
        <w:pStyle w:val="5"/>
        <w:tabs>
          <w:tab w:val="left" w:pos="360"/>
        </w:tabs>
        <w:rPr>
          <w:rFonts w:ascii="Times New Roman" w:hAnsi="Times New Roman" w:eastAsia="仿宋_GB2312"/>
          <w:b w:val="0"/>
          <w:bCs/>
          <w:sz w:val="24"/>
          <w:szCs w:val="21"/>
          <w:highlight w:val="none"/>
        </w:rPr>
      </w:pPr>
      <w:bookmarkStart w:id="236" w:name="_Toc385992346"/>
      <w:bookmarkStart w:id="237" w:name="_Toc16612"/>
      <w:bookmarkStart w:id="238" w:name="_Toc389620185"/>
      <w:bookmarkStart w:id="239" w:name="_Toc70687160"/>
      <w:bookmarkStart w:id="240" w:name="_Toc249515297"/>
      <w:bookmarkStart w:id="241" w:name="_Toc249525178"/>
      <w:bookmarkStart w:id="242" w:name="_Toc184043033"/>
      <w:bookmarkStart w:id="243" w:name="_Toc249515409"/>
      <w:r>
        <w:rPr>
          <w:rFonts w:ascii="Times New Roman" w:hAnsi="Times New Roman" w:eastAsia="仿宋_GB2312"/>
          <w:b w:val="0"/>
          <w:bCs/>
          <w:sz w:val="24"/>
          <w:szCs w:val="21"/>
          <w:highlight w:val="none"/>
        </w:rPr>
        <w:t>16.    响应文件的制作和签署</w:t>
      </w:r>
      <w:bookmarkEnd w:id="236"/>
      <w:bookmarkEnd w:id="237"/>
      <w:bookmarkEnd w:id="238"/>
      <w:bookmarkEnd w:id="239"/>
      <w:bookmarkEnd w:id="240"/>
      <w:bookmarkEnd w:id="241"/>
      <w:bookmarkEnd w:id="242"/>
      <w:bookmarkEnd w:id="243"/>
    </w:p>
    <w:p w14:paraId="139E872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16.1   供应商应按</w:t>
      </w:r>
      <w:r>
        <w:rPr>
          <w:rFonts w:hint="eastAsia" w:ascii="仿宋" w:hAnsi="仿宋" w:eastAsia="仿宋" w:cs="仿宋"/>
          <w:b w:val="0"/>
          <w:bCs/>
          <w:sz w:val="24"/>
          <w:highlight w:val="none"/>
          <w:u w:val="single"/>
        </w:rPr>
        <w:t>投标人须知前附表</w:t>
      </w:r>
      <w:r>
        <w:rPr>
          <w:rFonts w:hint="eastAsia" w:ascii="仿宋" w:hAnsi="仿宋" w:eastAsia="仿宋" w:cs="仿宋"/>
          <w:b w:val="0"/>
          <w:bCs/>
          <w:sz w:val="24"/>
          <w:highlight w:val="none"/>
        </w:rPr>
        <w:t>中的规定，准备和上传投标文件电子文档。</w:t>
      </w:r>
    </w:p>
    <w:p w14:paraId="515E7899">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采购人不接受以电报、电话、传真、电子邮件形式递交的响应文件。</w:t>
      </w:r>
    </w:p>
    <w:p w14:paraId="3A99EC47">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DD16B2F">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 xml:space="preserve">   响应文件应按照“资格证明文件”和“商务及技术文件”分成两部分。</w:t>
      </w:r>
    </w:p>
    <w:p w14:paraId="2C0AB7E5">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 xml:space="preserve">   响应文件因字迹潦草、表达不清或上传不当所引起的后果由投标人负责。</w:t>
      </w:r>
    </w:p>
    <w:p w14:paraId="12D0B859">
      <w:pPr>
        <w:pStyle w:val="22"/>
      </w:pPr>
    </w:p>
    <w:p w14:paraId="6CA99F43">
      <w:pPr>
        <w:pStyle w:val="82"/>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4"/>
    </w:p>
    <w:p w14:paraId="0CA01C2D">
      <w:pPr>
        <w:rPr>
          <w:rFonts w:eastAsia="仿宋_GB2312"/>
        </w:rPr>
      </w:pPr>
    </w:p>
    <w:p w14:paraId="69C4A638">
      <w:pPr>
        <w:pStyle w:val="5"/>
        <w:rPr>
          <w:rFonts w:hint="eastAsia" w:ascii="仿宋" w:hAnsi="仿宋" w:eastAsia="仿宋" w:cs="仿宋"/>
          <w:b w:val="0"/>
          <w:bCs/>
          <w:sz w:val="24"/>
          <w:szCs w:val="21"/>
          <w:highlight w:val="none"/>
        </w:rPr>
      </w:pPr>
      <w:bookmarkStart w:id="245" w:name="_Toc184043035"/>
      <w:bookmarkStart w:id="246" w:name="_Toc249515299"/>
      <w:bookmarkStart w:id="247" w:name="_Toc249525180"/>
      <w:bookmarkStart w:id="248" w:name="_Toc385992348"/>
      <w:bookmarkStart w:id="249" w:name="_Toc4042"/>
      <w:bookmarkStart w:id="250" w:name="_Toc249515411"/>
      <w:bookmarkStart w:id="251" w:name="_Toc389620187"/>
      <w:bookmarkStart w:id="252" w:name="_Toc70687162"/>
      <w:r>
        <w:rPr>
          <w:rFonts w:hint="eastAsia" w:ascii="仿宋" w:hAnsi="仿宋" w:eastAsia="仿宋" w:cs="仿宋"/>
          <w:b w:val="0"/>
          <w:bCs/>
          <w:sz w:val="24"/>
          <w:szCs w:val="21"/>
          <w:highlight w:val="none"/>
        </w:rPr>
        <w:t>17.    响应文件的密封和标记</w:t>
      </w:r>
      <w:bookmarkEnd w:id="245"/>
      <w:bookmarkEnd w:id="246"/>
      <w:bookmarkEnd w:id="247"/>
      <w:bookmarkEnd w:id="248"/>
      <w:bookmarkEnd w:id="249"/>
      <w:bookmarkEnd w:id="250"/>
      <w:bookmarkEnd w:id="251"/>
      <w:bookmarkEnd w:id="252"/>
    </w:p>
    <w:p w14:paraId="17C6C48D">
      <w:pPr>
        <w:tabs>
          <w:tab w:val="left" w:pos="588"/>
        </w:tabs>
        <w:spacing w:line="360" w:lineRule="auto"/>
        <w:ind w:left="840" w:hanging="840" w:hangingChars="350"/>
        <w:rPr>
          <w:rFonts w:hint="eastAsia" w:ascii="仿宋" w:hAnsi="仿宋" w:eastAsia="仿宋" w:cs="仿宋"/>
          <w:b w:val="0"/>
          <w:bCs/>
          <w:sz w:val="24"/>
          <w:highlight w:val="none"/>
        </w:rPr>
      </w:pPr>
      <w:bookmarkStart w:id="253" w:name="_Toc389620188"/>
      <w:bookmarkStart w:id="254" w:name="_Toc385992349"/>
      <w:bookmarkStart w:id="255" w:name="_Toc184043036"/>
      <w:bookmarkStart w:id="256" w:name="_Toc70687163"/>
      <w:r>
        <w:rPr>
          <w:rFonts w:hint="eastAsia" w:ascii="仿宋" w:hAnsi="仿宋" w:eastAsia="仿宋" w:cs="仿宋"/>
          <w:b w:val="0"/>
          <w:bCs/>
          <w:kern w:val="0"/>
          <w:sz w:val="24"/>
          <w:szCs w:val="21"/>
          <w:highlight w:val="none"/>
        </w:rPr>
        <w:t xml:space="preserve">17.1   </w:t>
      </w:r>
      <w:r>
        <w:rPr>
          <w:rFonts w:hint="eastAsia" w:ascii="仿宋" w:hAnsi="仿宋" w:eastAsia="仿宋" w:cs="仿宋"/>
          <w:b w:val="0"/>
          <w:bCs/>
          <w:sz w:val="24"/>
          <w:szCs w:val="21"/>
          <w:highlight w:val="none"/>
        </w:rPr>
        <w:t>响应文件的密封和标记</w:t>
      </w:r>
      <w:r>
        <w:rPr>
          <w:rFonts w:hint="eastAsia" w:ascii="仿宋" w:hAnsi="仿宋" w:eastAsia="仿宋" w:cs="仿宋"/>
          <w:b w:val="0"/>
          <w:bCs/>
          <w:sz w:val="24"/>
          <w:szCs w:val="21"/>
          <w:highlight w:val="none"/>
          <w:lang w:eastAsia="zh-CN"/>
        </w:rPr>
        <w:t>要求见</w:t>
      </w:r>
      <w:r>
        <w:rPr>
          <w:rFonts w:hint="eastAsia" w:ascii="仿宋" w:hAnsi="仿宋" w:eastAsia="仿宋" w:cs="仿宋"/>
          <w:b w:val="0"/>
          <w:bCs/>
          <w:sz w:val="24"/>
          <w:highlight w:val="none"/>
        </w:rPr>
        <w:t>供应商须知前附表</w:t>
      </w:r>
      <w:r>
        <w:rPr>
          <w:rFonts w:hint="eastAsia" w:ascii="仿宋" w:hAnsi="仿宋" w:eastAsia="仿宋" w:cs="仿宋"/>
          <w:b w:val="0"/>
          <w:bCs/>
          <w:kern w:val="0"/>
          <w:sz w:val="24"/>
          <w:szCs w:val="21"/>
          <w:highlight w:val="none"/>
        </w:rPr>
        <w:t>。</w:t>
      </w:r>
    </w:p>
    <w:bookmarkEnd w:id="253"/>
    <w:bookmarkEnd w:id="254"/>
    <w:p w14:paraId="78921AAF">
      <w:pPr>
        <w:pStyle w:val="5"/>
        <w:rPr>
          <w:rFonts w:hint="eastAsia" w:ascii="仿宋" w:hAnsi="仿宋" w:eastAsia="仿宋" w:cs="仿宋"/>
          <w:b w:val="0"/>
          <w:bCs/>
          <w:sz w:val="24"/>
          <w:szCs w:val="21"/>
          <w:highlight w:val="none"/>
        </w:rPr>
      </w:pPr>
      <w:bookmarkStart w:id="257" w:name="_Toc249525181"/>
      <w:bookmarkStart w:id="258" w:name="_Toc249515300"/>
      <w:bookmarkStart w:id="259" w:name="_Toc249515412"/>
      <w:bookmarkStart w:id="260" w:name="_Toc31171"/>
      <w:r>
        <w:rPr>
          <w:rFonts w:hint="eastAsia" w:ascii="仿宋" w:hAnsi="仿宋" w:eastAsia="仿宋" w:cs="仿宋"/>
          <w:b w:val="0"/>
          <w:bCs/>
          <w:sz w:val="24"/>
          <w:szCs w:val="21"/>
          <w:highlight w:val="none"/>
        </w:rPr>
        <w:t>18.    响应文件递交截止时间</w:t>
      </w:r>
      <w:bookmarkEnd w:id="255"/>
      <w:bookmarkEnd w:id="256"/>
      <w:bookmarkEnd w:id="257"/>
      <w:bookmarkEnd w:id="258"/>
      <w:bookmarkEnd w:id="259"/>
      <w:bookmarkEnd w:id="260"/>
    </w:p>
    <w:p w14:paraId="47125694">
      <w:pPr>
        <w:tabs>
          <w:tab w:val="left" w:pos="588"/>
        </w:tabs>
        <w:spacing w:line="360" w:lineRule="auto"/>
        <w:rPr>
          <w:rFonts w:hint="eastAsia" w:ascii="仿宋" w:hAnsi="仿宋" w:eastAsia="仿宋" w:cs="仿宋"/>
          <w:b w:val="0"/>
          <w:bCs/>
          <w:sz w:val="24"/>
          <w:highlight w:val="none"/>
        </w:rPr>
      </w:pPr>
      <w:bookmarkStart w:id="261" w:name="_Toc389620189"/>
      <w:bookmarkStart w:id="262" w:name="_Toc70687164"/>
      <w:bookmarkStart w:id="263" w:name="_Toc184043037"/>
      <w:bookmarkStart w:id="264" w:name="_Toc385992350"/>
      <w:r>
        <w:rPr>
          <w:rFonts w:hint="eastAsia" w:ascii="仿宋" w:hAnsi="仿宋" w:eastAsia="仿宋" w:cs="仿宋"/>
          <w:b w:val="0"/>
          <w:bCs/>
          <w:sz w:val="24"/>
          <w:highlight w:val="none"/>
        </w:rPr>
        <w:t>18.1   响应文件递交截止时间和地点见供应商须知前附表。</w:t>
      </w:r>
    </w:p>
    <w:p w14:paraId="45793C25">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18.</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采购人可以按本须知第7条规定，通知修改磋商文件，适当延长响应文件递交截止时间。在此情况下，采购人和供应商受响应文件递交截止时间制约的所有权利和义务均应延长至新的截止期。</w:t>
      </w:r>
    </w:p>
    <w:p w14:paraId="36E4D33A">
      <w:pPr>
        <w:pStyle w:val="5"/>
        <w:rPr>
          <w:rFonts w:hint="eastAsia" w:ascii="仿宋" w:hAnsi="仿宋" w:eastAsia="仿宋" w:cs="仿宋"/>
          <w:b w:val="0"/>
          <w:bCs/>
          <w:sz w:val="24"/>
          <w:szCs w:val="21"/>
          <w:highlight w:val="none"/>
        </w:rPr>
      </w:pPr>
      <w:bookmarkStart w:id="265" w:name="_Toc249515301"/>
      <w:bookmarkStart w:id="266" w:name="_Toc249515413"/>
      <w:bookmarkStart w:id="267" w:name="_Toc7175"/>
      <w:bookmarkStart w:id="268" w:name="_Toc249525182"/>
      <w:r>
        <w:rPr>
          <w:rFonts w:hint="eastAsia" w:ascii="仿宋" w:hAnsi="仿宋" w:eastAsia="仿宋" w:cs="仿宋"/>
          <w:b w:val="0"/>
          <w:bCs/>
          <w:sz w:val="24"/>
          <w:szCs w:val="21"/>
          <w:highlight w:val="none"/>
        </w:rPr>
        <w:t xml:space="preserve">19.    </w:t>
      </w:r>
      <w:r>
        <w:rPr>
          <w:rFonts w:hint="eastAsia" w:ascii="仿宋" w:hAnsi="仿宋" w:eastAsia="仿宋" w:cs="仿宋"/>
          <w:b w:val="0"/>
          <w:bCs/>
          <w:sz w:val="24"/>
          <w:szCs w:val="21"/>
          <w:highlight w:val="none"/>
          <w:lang w:eastAsia="zh-CN"/>
        </w:rPr>
        <w:t>签到</w:t>
      </w:r>
      <w:bookmarkEnd w:id="261"/>
      <w:bookmarkEnd w:id="262"/>
      <w:bookmarkEnd w:id="263"/>
      <w:bookmarkEnd w:id="264"/>
      <w:bookmarkEnd w:id="265"/>
      <w:bookmarkEnd w:id="266"/>
      <w:bookmarkEnd w:id="267"/>
      <w:bookmarkEnd w:id="268"/>
    </w:p>
    <w:p w14:paraId="2C15033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19.1   投标人应按要求及时签到（签到时间为投标截止时间前1小时内，如果未签到将视为放弃投标资格）。根据主持人要求在不见面开标大厅群聊界面确认到场，在收到工作人员“开始解密”指令后，及时使用CA对电子响应文件进行解密。解密时所用CA应与加密响应文件时所用CA相同。</w:t>
      </w:r>
    </w:p>
    <w:p w14:paraId="019DFEE8">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采购人将拒绝接收第18条规定的响应文件递交截止时间后递交</w:t>
      </w:r>
      <w:r>
        <w:rPr>
          <w:rFonts w:hint="eastAsia" w:ascii="仿宋" w:hAnsi="仿宋" w:eastAsia="仿宋" w:cs="仿宋"/>
          <w:b w:val="0"/>
          <w:bCs/>
          <w:sz w:val="24"/>
          <w:highlight w:val="none"/>
          <w:lang w:eastAsia="zh-CN"/>
        </w:rPr>
        <w:t>以及签到</w:t>
      </w:r>
      <w:r>
        <w:rPr>
          <w:rFonts w:hint="eastAsia" w:ascii="仿宋" w:hAnsi="仿宋" w:eastAsia="仿宋" w:cs="仿宋"/>
          <w:b w:val="0"/>
          <w:bCs/>
          <w:sz w:val="24"/>
          <w:highlight w:val="none"/>
        </w:rPr>
        <w:t>的任何响应文件。</w:t>
      </w:r>
    </w:p>
    <w:p w14:paraId="57E07A39">
      <w:pPr>
        <w:pStyle w:val="5"/>
        <w:rPr>
          <w:rFonts w:hint="eastAsia" w:ascii="仿宋" w:hAnsi="仿宋" w:eastAsia="仿宋" w:cs="仿宋"/>
          <w:b w:val="0"/>
          <w:bCs/>
          <w:sz w:val="24"/>
          <w:szCs w:val="21"/>
          <w:highlight w:val="none"/>
        </w:rPr>
      </w:pPr>
      <w:bookmarkStart w:id="269" w:name="_Toc10272"/>
      <w:bookmarkStart w:id="270" w:name="_Toc184043038"/>
      <w:bookmarkStart w:id="271" w:name="_Toc249515302"/>
      <w:bookmarkStart w:id="272" w:name="_Toc70687165"/>
      <w:bookmarkStart w:id="273" w:name="_Toc389620190"/>
      <w:bookmarkStart w:id="274" w:name="_Toc249525183"/>
      <w:bookmarkStart w:id="275" w:name="_Toc385992351"/>
      <w:bookmarkStart w:id="276" w:name="_Toc249515414"/>
      <w:r>
        <w:rPr>
          <w:rFonts w:hint="eastAsia" w:ascii="仿宋" w:hAnsi="仿宋" w:eastAsia="仿宋" w:cs="仿宋"/>
          <w:b w:val="0"/>
          <w:bCs/>
          <w:sz w:val="24"/>
          <w:szCs w:val="21"/>
          <w:highlight w:val="none"/>
        </w:rPr>
        <w:t>20.    响应文件的修改和撤</w:t>
      </w:r>
      <w:bookmarkEnd w:id="269"/>
      <w:bookmarkEnd w:id="270"/>
      <w:bookmarkEnd w:id="271"/>
      <w:bookmarkEnd w:id="272"/>
      <w:bookmarkEnd w:id="273"/>
      <w:bookmarkEnd w:id="274"/>
      <w:bookmarkEnd w:id="275"/>
      <w:bookmarkEnd w:id="276"/>
      <w:r>
        <w:rPr>
          <w:rFonts w:hint="eastAsia" w:ascii="仿宋" w:hAnsi="仿宋" w:eastAsia="仿宋" w:cs="仿宋"/>
          <w:b w:val="0"/>
          <w:bCs/>
          <w:sz w:val="24"/>
          <w:szCs w:val="21"/>
          <w:highlight w:val="none"/>
        </w:rPr>
        <w:t>回</w:t>
      </w:r>
    </w:p>
    <w:p w14:paraId="1D56DAB4">
      <w:pPr>
        <w:tabs>
          <w:tab w:val="left" w:pos="588"/>
        </w:tabs>
        <w:spacing w:line="360" w:lineRule="auto"/>
        <w:ind w:left="840" w:leftChars="4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供应商在提交响应文件后可对其响应文件进行修改或撤回，但该修改或撤回的书面通知须在响应文件递交截止时间之前</w:t>
      </w:r>
      <w:r>
        <w:rPr>
          <w:rFonts w:hint="eastAsia" w:ascii="仿宋" w:hAnsi="仿宋" w:eastAsia="仿宋" w:cs="仿宋"/>
          <w:b w:val="0"/>
          <w:bCs/>
          <w:sz w:val="24"/>
          <w:highlight w:val="none"/>
          <w:lang w:eastAsia="zh-CN"/>
        </w:rPr>
        <w:t>重新</w:t>
      </w:r>
      <w:r>
        <w:rPr>
          <w:rFonts w:hint="eastAsia" w:ascii="仿宋" w:hAnsi="仿宋" w:eastAsia="仿宋" w:cs="仿宋"/>
          <w:b w:val="0"/>
          <w:bCs/>
          <w:sz w:val="24"/>
          <w:highlight w:val="none"/>
        </w:rPr>
        <w:t>上传至陕西省公共资源交易中心平台（http://xxxq.sxggzyjy.cn/）方为有效。</w:t>
      </w:r>
    </w:p>
    <w:p w14:paraId="4F05E381">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20.1   本项目采用电子化招投标，电子投标文件需在投标截止时间之前上传至陕西省公共资源交易中心平台（http://xxxq.sxggzyjy.cn/）。</w:t>
      </w:r>
    </w:p>
    <w:p w14:paraId="70409F28">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20.2   在响应文件递交截止时间之后，供应商不得对其响应文件做任何修改。</w:t>
      </w:r>
    </w:p>
    <w:p w14:paraId="48C52BF0">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20.3   供应商不得在响应文件递交截止时间起至响应</w:t>
      </w:r>
      <w:r>
        <w:rPr>
          <w:rFonts w:hint="eastAsia" w:ascii="仿宋" w:hAnsi="仿宋" w:eastAsia="仿宋" w:cs="仿宋"/>
          <w:sz w:val="24"/>
          <w:highlight w:val="none"/>
        </w:rPr>
        <w:t>文件有效期期满前撤销其响应文件。</w:t>
      </w:r>
    </w:p>
    <w:p w14:paraId="3EB9DB03">
      <w:pPr>
        <w:pStyle w:val="22"/>
      </w:pPr>
    </w:p>
    <w:p w14:paraId="308860C9">
      <w:pPr>
        <w:pStyle w:val="82"/>
        <w:spacing w:before="24" w:after="24"/>
        <w:ind w:left="3313"/>
        <w:rPr>
          <w:rFonts w:eastAsia="仿宋_GB2312"/>
          <w:sz w:val="30"/>
          <w:szCs w:val="30"/>
        </w:rPr>
      </w:pPr>
      <w:bookmarkStart w:id="277" w:name="_Hlt491765712"/>
      <w:bookmarkEnd w:id="277"/>
      <w:bookmarkStart w:id="278" w:name="_Hlt497729441"/>
      <w:bookmarkEnd w:id="278"/>
      <w:bookmarkStart w:id="279" w:name="_Toc249525184"/>
      <w:bookmarkStart w:id="280" w:name="_Toc256342148"/>
      <w:bookmarkStart w:id="281" w:name="_Toc249515415"/>
      <w:bookmarkStart w:id="282" w:name="_Toc249515303"/>
      <w:bookmarkStart w:id="283" w:name="_Toc68590973"/>
      <w:bookmarkStart w:id="284" w:name="_Toc500746971"/>
      <w:bookmarkStart w:id="285" w:name="_Toc496324584"/>
      <w:bookmarkStart w:id="286" w:name="_Toc177995478"/>
      <w:bookmarkStart w:id="287" w:name="_Toc177189240"/>
      <w:bookmarkStart w:id="288" w:name="_Toc70687166"/>
      <w:bookmarkStart w:id="289" w:name="_Toc500747067"/>
      <w:bookmarkStart w:id="290" w:name="_Toc503063427"/>
      <w:bookmarkStart w:id="291" w:name="_Toc389620191"/>
      <w:bookmarkStart w:id="292" w:name="_Toc385992352"/>
      <w:bookmarkStart w:id="293" w:name="_Toc53722845"/>
      <w:bookmarkStart w:id="294" w:name="_Toc176882547"/>
      <w:bookmarkStart w:id="295" w:name="_Toc499711048"/>
      <w:bookmarkStart w:id="296" w:name="_Toc177817339"/>
      <w:bookmarkStart w:id="297" w:name="_Toc184043039"/>
      <w:bookmarkStart w:id="298" w:name="_Toc499711889"/>
      <w:bookmarkStart w:id="299" w:name="_Toc492955420"/>
      <w:bookmarkStart w:id="300" w:name="_Toc500747194"/>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249525186"/>
      <w:bookmarkStart w:id="302" w:name="_Toc249515417"/>
      <w:bookmarkStart w:id="303" w:name="_Toc16042"/>
      <w:bookmarkStart w:id="304" w:name="_Toc249515305"/>
      <w:r>
        <w:rPr>
          <w:rFonts w:ascii="Times New Roman" w:hAnsi="Times New Roman" w:eastAsia="仿宋_GB2312"/>
          <w:b/>
          <w:sz w:val="24"/>
        </w:rPr>
        <w:t xml:space="preserve">   磋商小组</w:t>
      </w:r>
      <w:bookmarkEnd w:id="301"/>
      <w:bookmarkEnd w:id="302"/>
      <w:bookmarkEnd w:id="303"/>
      <w:bookmarkEnd w:id="304"/>
    </w:p>
    <w:p w14:paraId="719740DE">
      <w:pPr>
        <w:pStyle w:val="32"/>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32"/>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32"/>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32"/>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32"/>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32"/>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32"/>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32"/>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32"/>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lang w:eastAsia="zh-CN"/>
        </w:rPr>
        <w:t>遵循</w:t>
      </w:r>
      <w:r>
        <w:rPr>
          <w:rFonts w:ascii="Times New Roman" w:hAnsi="Times New Roman" w:eastAsia="仿宋_GB2312"/>
          <w:sz w:val="24"/>
          <w:szCs w:val="24"/>
        </w:rPr>
        <w:t>客观、公正、审慎的原则；</w:t>
      </w:r>
    </w:p>
    <w:p w14:paraId="5F8F5E9B">
      <w:pPr>
        <w:pStyle w:val="32"/>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32"/>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32"/>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32"/>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32"/>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83547667"/>
      <w:bookmarkStart w:id="306" w:name="_Toc249515418"/>
      <w:bookmarkStart w:id="307" w:name="_Toc20608"/>
      <w:bookmarkStart w:id="308" w:name="_Toc249525187"/>
      <w:bookmarkStart w:id="309" w:name="_Toc249515306"/>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089FDE32">
      <w:pPr>
        <w:pStyle w:val="22"/>
        <w:ind w:left="840" w:leftChars="400"/>
        <w:rPr>
          <w:rFonts w:ascii="Times New Roman" w:hAnsi="Times New Roman" w:eastAsia="仿宋_GB2312"/>
          <w:sz w:val="24"/>
          <w:szCs w:val="32"/>
        </w:rPr>
      </w:pPr>
      <w:bookmarkStart w:id="311" w:name="_Toc58504508"/>
      <w:r>
        <w:rPr>
          <w:rFonts w:ascii="Times New Roman" w:hAnsi="Times New Roman" w:eastAsia="仿宋_GB2312"/>
          <w:sz w:val="24"/>
        </w:rPr>
        <w:t>在</w:t>
      </w:r>
      <w:r>
        <w:rPr>
          <w:rFonts w:hint="eastAsia" w:ascii="Times New Roman" w:hAnsi="Times New Roman" w:eastAsia="仿宋_GB2312"/>
          <w:sz w:val="24"/>
          <w:lang w:val="en-US" w:eastAsia="zh-CN"/>
        </w:rPr>
        <w:t>磋商</w:t>
      </w:r>
      <w:r>
        <w:rPr>
          <w:rFonts w:ascii="Times New Roman" w:hAnsi="Times New Roman" w:eastAsia="仿宋_GB2312"/>
          <w:sz w:val="24"/>
        </w:rPr>
        <w:t>文件规定的时间和地点，由采购代理机构组织</w:t>
      </w:r>
      <w:r>
        <w:rPr>
          <w:rFonts w:hint="eastAsia" w:ascii="Times New Roman" w:hAnsi="Times New Roman" w:eastAsia="仿宋_GB2312"/>
          <w:sz w:val="24"/>
          <w:lang w:val="en-US" w:eastAsia="zh-CN"/>
        </w:rPr>
        <w:t>磋商</w:t>
      </w:r>
      <w:r>
        <w:rPr>
          <w:rFonts w:ascii="Times New Roman" w:hAnsi="Times New Roman" w:eastAsia="仿宋_GB2312"/>
          <w:sz w:val="24"/>
        </w:rPr>
        <w:t>工作，供应商须委派代表</w:t>
      </w:r>
      <w:r>
        <w:rPr>
          <w:rFonts w:hint="eastAsia" w:ascii="Times New Roman" w:hAnsi="Times New Roman" w:eastAsia="仿宋_GB2312"/>
          <w:sz w:val="24"/>
          <w:lang w:val="en-US" w:eastAsia="zh-CN"/>
        </w:rPr>
        <w:t>进入腾讯会议</w:t>
      </w:r>
      <w:r>
        <w:rPr>
          <w:rFonts w:ascii="Times New Roman" w:hAnsi="Times New Roman" w:eastAsia="仿宋_GB2312"/>
          <w:sz w:val="24"/>
        </w:rPr>
        <w:t>参加</w:t>
      </w:r>
      <w:r>
        <w:rPr>
          <w:rFonts w:ascii="Times New Roman" w:hAnsi="Times New Roman" w:eastAsia="仿宋"/>
          <w:color w:val="000000" w:themeColor="text1"/>
          <w:sz w:val="24"/>
          <w:highlight w:val="none"/>
          <w14:textFill>
            <w14:solidFill>
              <w14:schemeClr w14:val="tx1"/>
            </w14:solidFill>
          </w14:textFill>
        </w:rPr>
        <w:t>采购代理机构</w:t>
      </w:r>
      <w:r>
        <w:rPr>
          <w:rFonts w:hint="eastAsia" w:ascii="Times New Roman" w:hAnsi="Times New Roman" w:eastAsia="仿宋"/>
          <w:color w:val="000000" w:themeColor="text1"/>
          <w:sz w:val="24"/>
          <w:highlight w:val="none"/>
          <w:lang w:val="en-US" w:eastAsia="zh-CN"/>
          <w14:textFill>
            <w14:solidFill>
              <w14:schemeClr w14:val="tx1"/>
            </w14:solidFill>
          </w14:textFill>
        </w:rPr>
        <w:t>开标事</w:t>
      </w:r>
      <w:r>
        <w:rPr>
          <w:rFonts w:ascii="Times New Roman" w:hAnsi="Times New Roman" w:eastAsia="仿宋"/>
          <w:color w:val="000000" w:themeColor="text1"/>
          <w:sz w:val="24"/>
          <w:highlight w:val="none"/>
          <w14:textFill>
            <w14:solidFill>
              <w14:schemeClr w14:val="tx1"/>
            </w14:solidFill>
          </w14:textFill>
        </w:rPr>
        <w:t>所述流程进行</w:t>
      </w:r>
      <w:r>
        <w:rPr>
          <w:rFonts w:hint="eastAsia" w:ascii="Times New Roman" w:hAnsi="Times New Roman" w:eastAsia="仿宋"/>
          <w:color w:val="000000" w:themeColor="text1"/>
          <w:sz w:val="24"/>
          <w:highlight w:val="none"/>
          <w:lang w:val="en-US" w:eastAsia="zh-CN"/>
          <w14:textFill>
            <w14:solidFill>
              <w14:schemeClr w14:val="tx1"/>
            </w14:solidFill>
          </w14:textFill>
        </w:rPr>
        <w:t>磋商</w:t>
      </w:r>
      <w:r>
        <w:rPr>
          <w:rFonts w:ascii="Times New Roman" w:hAnsi="Times New Roman" w:eastAsia="仿宋"/>
          <w:color w:val="000000" w:themeColor="text1"/>
          <w:sz w:val="24"/>
          <w:highlight w:val="none"/>
          <w14:textFill>
            <w14:solidFill>
              <w14:schemeClr w14:val="tx1"/>
            </w14:solidFill>
          </w14:textFill>
        </w:rPr>
        <w:t>会议</w:t>
      </w:r>
      <w:r>
        <w:rPr>
          <w:rFonts w:ascii="Times New Roman" w:hAnsi="Times New Roman" w:eastAsia="仿宋_GB2312"/>
          <w:sz w:val="24"/>
        </w:rPr>
        <w:t>。</w:t>
      </w:r>
      <w:bookmarkEnd w:id="311"/>
    </w:p>
    <w:p w14:paraId="40F41819">
      <w:pPr>
        <w:pStyle w:val="5"/>
        <w:tabs>
          <w:tab w:val="left" w:pos="360"/>
        </w:tabs>
        <w:rPr>
          <w:rFonts w:ascii="Times New Roman" w:hAnsi="Times New Roman" w:eastAsia="仿宋_GB2312"/>
          <w:b/>
          <w:sz w:val="24"/>
          <w:szCs w:val="21"/>
        </w:rPr>
      </w:pPr>
      <w:bookmarkStart w:id="312" w:name="_Toc58504511"/>
      <w:r>
        <w:rPr>
          <w:rFonts w:ascii="Times New Roman" w:hAnsi="Times New Roman" w:eastAsia="仿宋_GB2312"/>
          <w:b/>
          <w:sz w:val="24"/>
          <w:szCs w:val="21"/>
        </w:rPr>
        <w:t>23.2   响应文件</w:t>
      </w:r>
      <w:bookmarkEnd w:id="305"/>
      <w:bookmarkEnd w:id="306"/>
      <w:bookmarkEnd w:id="307"/>
      <w:bookmarkEnd w:id="308"/>
      <w:bookmarkEnd w:id="309"/>
      <w:r>
        <w:rPr>
          <w:rFonts w:ascii="Times New Roman" w:hAnsi="Times New Roman" w:eastAsia="仿宋_GB2312"/>
          <w:b/>
          <w:sz w:val="24"/>
          <w:szCs w:val="21"/>
        </w:rPr>
        <w:t>评审</w:t>
      </w:r>
      <w:bookmarkEnd w:id="312"/>
    </w:p>
    <w:p w14:paraId="07157DC5">
      <w:pPr>
        <w:tabs>
          <w:tab w:val="left" w:pos="360"/>
          <w:tab w:val="left" w:pos="588"/>
        </w:tabs>
        <w:spacing w:line="360" w:lineRule="auto"/>
        <w:ind w:left="843" w:hanging="843" w:hangingChars="350"/>
        <w:rPr>
          <w:rFonts w:eastAsia="仿宋_GB2312"/>
          <w:sz w:val="24"/>
        </w:rPr>
      </w:pPr>
      <w:bookmarkStart w:id="313"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hint="eastAsia" w:eastAsia="仿宋_GB2312"/>
          <w:sz w:val="24"/>
        </w:rPr>
        <w:t>磋商小组负责对响应文件中的资格证明文件、信用查询记录等进行审查</w:t>
      </w:r>
      <w:r>
        <w:rPr>
          <w:rFonts w:eastAsia="仿宋_GB2312"/>
          <w:sz w:val="24"/>
        </w:rPr>
        <w:t>，以确认供应商具备相应资格。资格性审查出现下列情况者（但不限于），按无效文件处理：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4</w:t>
      </w:r>
      <w:r>
        <w:rPr>
          <w:rFonts w:ascii="Times New Roman" w:hAnsi="Times New Roman" w:eastAsia="仿宋_GB2312"/>
          <w:sz w:val="24"/>
        </w:rPr>
        <w:t>）首次磋商报价超出采购预算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5</w:t>
      </w:r>
      <w:r>
        <w:rPr>
          <w:rFonts w:ascii="Times New Roman" w:hAnsi="Times New Roman" w:eastAsia="仿宋_GB2312"/>
          <w:sz w:val="24"/>
        </w:rPr>
        <w:t>）响应文件中对合同草案条款附加了采购人难以接受的条件。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6</w:t>
      </w:r>
      <w:r>
        <w:rPr>
          <w:rFonts w:ascii="Times New Roman" w:hAnsi="Times New Roman" w:eastAsia="仿宋_GB2312"/>
          <w:sz w:val="24"/>
        </w:rPr>
        <w:t>）磋商内容出现漏项或数量与要求不符，出现重大负偏差。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7</w:t>
      </w:r>
      <w:r>
        <w:rPr>
          <w:rFonts w:ascii="Times New Roman" w:hAnsi="Times New Roman" w:eastAsia="仿宋_GB2312"/>
          <w:sz w:val="24"/>
        </w:rPr>
        <w:t>）响应文件中技术指标达不到采购要求，降低了产品档次或影响产品性能、功能。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8</w:t>
      </w:r>
      <w:r>
        <w:rPr>
          <w:rFonts w:ascii="Times New Roman" w:hAnsi="Times New Roman" w:eastAsia="仿宋_GB2312"/>
          <w:sz w:val="24"/>
        </w:rPr>
        <w:t>）响应报价与市场价偏离较大，低于成本，形成不正当竞争。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10</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5EDEE4B5">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6F311270">
      <w:pPr>
        <w:pStyle w:val="22"/>
        <w:ind w:left="840" w:leftChars="400"/>
        <w:rPr>
          <w:highlight w:val="yellow"/>
        </w:rPr>
      </w:pPr>
      <w:r>
        <w:rPr>
          <w:rFonts w:hint="eastAsia" w:ascii="Times New Roman" w:hAnsi="Times New Roman" w:eastAsia="仿宋_GB2312"/>
          <w:sz w:val="24"/>
          <w:lang w:eastAsia="zh-CN"/>
        </w:rPr>
        <w:t>（1</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）不符合法规或磋商文件中规定的其他实质性要求的</w:t>
      </w:r>
      <w:r>
        <w:rPr>
          <w:rFonts w:hint="eastAsia" w:ascii="Times New Roman" w:hAnsi="Times New Roman" w:eastAsia="仿宋_GB2312"/>
          <w:sz w:val="24"/>
          <w:highlight w:val="none"/>
          <w:lang w:eastAsia="zh-CN"/>
        </w:rPr>
        <w:t>。</w:t>
      </w:r>
    </w:p>
    <w:p w14:paraId="008975AF">
      <w:pPr>
        <w:pStyle w:val="5"/>
        <w:tabs>
          <w:tab w:val="left" w:pos="360"/>
        </w:tabs>
        <w:rPr>
          <w:rFonts w:ascii="Times New Roman" w:hAnsi="Times New Roman" w:eastAsia="仿宋_GB2312"/>
          <w:b/>
          <w:sz w:val="24"/>
          <w:szCs w:val="21"/>
        </w:rPr>
      </w:pPr>
      <w:bookmarkStart w:id="314" w:name="_Toc58504512"/>
      <w:r>
        <w:rPr>
          <w:rFonts w:ascii="Times New Roman" w:hAnsi="Times New Roman" w:eastAsia="仿宋_GB2312"/>
          <w:b/>
          <w:sz w:val="24"/>
          <w:szCs w:val="21"/>
        </w:rPr>
        <w:t>23.3   磋商</w:t>
      </w:r>
      <w:bookmarkEnd w:id="314"/>
    </w:p>
    <w:p w14:paraId="3852771F">
      <w:pPr>
        <w:pStyle w:val="22"/>
        <w:ind w:left="840" w:hanging="840" w:hangingChars="350"/>
        <w:rPr>
          <w:rFonts w:ascii="Times New Roman" w:hAnsi="Times New Roman" w:eastAsia="仿宋_GB2312"/>
          <w:sz w:val="24"/>
        </w:rPr>
      </w:pPr>
      <w:bookmarkStart w:id="315" w:name="_Toc58504513"/>
      <w:r>
        <w:rPr>
          <w:rFonts w:ascii="Times New Roman" w:hAnsi="Times New Roman" w:eastAsia="仿宋_GB2312"/>
          <w:sz w:val="24"/>
        </w:rPr>
        <w:t>23.3.1 磋商小组集中与各供应商分别进行磋商，并给所有参加磋商供应商平等的磋商机会。</w:t>
      </w:r>
      <w:bookmarkEnd w:id="315"/>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最后报价应按报价的格式内容填写，并且同时提交最后响应报价表、最后报价明细表、最后节能、环境标志产品明细表等内容。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6" w:name="_Toc151193788"/>
      <w:bookmarkStart w:id="317" w:name="_Toc164608660"/>
      <w:bookmarkStart w:id="318" w:name="_Toc127161460"/>
      <w:bookmarkStart w:id="319" w:name="_Toc249525191"/>
      <w:bookmarkStart w:id="320" w:name="_Toc150509297"/>
      <w:bookmarkStart w:id="321" w:name="_Toc249515422"/>
      <w:bookmarkStart w:id="322" w:name="_Toc151193716"/>
      <w:bookmarkStart w:id="323" w:name="_Toc142311048"/>
      <w:bookmarkStart w:id="324" w:name="_Toc164608815"/>
      <w:bookmarkStart w:id="325" w:name="_Toc150480784"/>
      <w:bookmarkStart w:id="326" w:name="_Toc127151546"/>
      <w:bookmarkStart w:id="327" w:name="_Toc13753"/>
      <w:bookmarkStart w:id="328" w:name="_Toc249515310"/>
      <w:bookmarkStart w:id="329" w:name="_Toc520356170"/>
      <w:bookmarkStart w:id="330" w:name="_Toc164229241"/>
      <w:bookmarkStart w:id="331" w:name="_Toc195842911"/>
      <w:bookmarkStart w:id="332" w:name="_Toc151190173"/>
      <w:bookmarkStart w:id="333" w:name="_Toc164229387"/>
      <w:bookmarkStart w:id="334" w:name="_Toc150774646"/>
      <w:bookmarkStart w:id="335" w:name="_Toc150774751"/>
      <w:bookmarkStart w:id="336" w:name="_Toc164351640"/>
      <w:bookmarkStart w:id="337" w:name="_Toc151193644"/>
      <w:bookmarkStart w:id="338" w:name="_Toc149720839"/>
      <w:bookmarkStart w:id="339" w:name="_Ref467307010"/>
      <w:bookmarkStart w:id="340" w:name="_Toc151193860"/>
      <w:bookmarkStart w:id="341" w:name="_Toc151193934"/>
      <w:bookmarkStart w:id="342" w:name="_Toc127151747"/>
      <w:r>
        <w:rPr>
          <w:rFonts w:ascii="Times New Roman" w:hAnsi="Times New Roman" w:eastAsia="仿宋_GB2312"/>
          <w:b/>
          <w:bCs/>
          <w:sz w:val="24"/>
          <w:szCs w:val="21"/>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3"/>
    <w:p w14:paraId="417B2E2E">
      <w:pPr>
        <w:pStyle w:val="82"/>
        <w:spacing w:before="24" w:after="24"/>
        <w:jc w:val="center"/>
        <w:rPr>
          <w:rFonts w:eastAsia="仿宋_GB2312"/>
          <w:sz w:val="30"/>
          <w:szCs w:val="30"/>
        </w:rPr>
      </w:pPr>
      <w:bookmarkStart w:id="343" w:name="_Hlt491765714"/>
      <w:bookmarkEnd w:id="343"/>
      <w:bookmarkStart w:id="344" w:name="_Hlt497729446"/>
      <w:bookmarkEnd w:id="344"/>
      <w:bookmarkStart w:id="345" w:name="_Toc232176278"/>
      <w:bookmarkStart w:id="346" w:name="_Toc232395218"/>
      <w:bookmarkStart w:id="347" w:name="_Toc249525192"/>
      <w:bookmarkStart w:id="348" w:name="_Toc249515311"/>
      <w:bookmarkStart w:id="349" w:name="_Toc256342149"/>
      <w:bookmarkStart w:id="350" w:name="_Toc249515423"/>
      <w:bookmarkStart w:id="351" w:name="_Toc68590974"/>
      <w:bookmarkStart w:id="352" w:name="_Toc499711890"/>
      <w:bookmarkStart w:id="353" w:name="_Toc53722846"/>
      <w:bookmarkStart w:id="354" w:name="_Toc177817340"/>
      <w:bookmarkStart w:id="355" w:name="_Toc496324585"/>
      <w:bookmarkStart w:id="356" w:name="_Toc500746972"/>
      <w:bookmarkStart w:id="357" w:name="_Toc176882548"/>
      <w:bookmarkStart w:id="358" w:name="_Toc177995479"/>
      <w:bookmarkStart w:id="359" w:name="_Toc500747068"/>
      <w:bookmarkStart w:id="360" w:name="_Toc184043047"/>
      <w:bookmarkStart w:id="361" w:name="_Toc385992360"/>
      <w:bookmarkStart w:id="362" w:name="_Toc70687174"/>
      <w:bookmarkStart w:id="363" w:name="_Toc177189241"/>
      <w:bookmarkStart w:id="364" w:name="_Toc500747195"/>
      <w:bookmarkStart w:id="365" w:name="_Toc492955421"/>
      <w:bookmarkStart w:id="366" w:name="_Toc499711049"/>
      <w:bookmarkStart w:id="367" w:name="_Toc389620199"/>
      <w:bookmarkStart w:id="368" w:name="_Toc503063428"/>
      <w:r>
        <w:rPr>
          <w:rFonts w:eastAsia="仿宋_GB2312"/>
          <w:sz w:val="30"/>
          <w:szCs w:val="30"/>
        </w:rPr>
        <w:t>六、确定成交单位、授予合同</w:t>
      </w:r>
      <w:bookmarkEnd w:id="345"/>
      <w:bookmarkEnd w:id="346"/>
      <w:bookmarkEnd w:id="347"/>
      <w:bookmarkEnd w:id="348"/>
      <w:bookmarkEnd w:id="349"/>
      <w:bookmarkEnd w:id="350"/>
      <w:bookmarkEnd w:id="351"/>
    </w:p>
    <w:p w14:paraId="62E58D63">
      <w:pPr>
        <w:rPr>
          <w:rFonts w:eastAsia="仿宋_GB2312"/>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75B1A05">
      <w:pPr>
        <w:pStyle w:val="5"/>
        <w:numPr>
          <w:ilvl w:val="0"/>
          <w:numId w:val="9"/>
        </w:numPr>
        <w:rPr>
          <w:rFonts w:ascii="Times New Roman" w:hAnsi="Times New Roman" w:eastAsia="仿宋_GB2312"/>
          <w:b/>
          <w:bCs/>
          <w:sz w:val="24"/>
          <w:szCs w:val="21"/>
        </w:rPr>
      </w:pPr>
      <w:bookmarkStart w:id="369" w:name="_Toc249515312"/>
      <w:bookmarkStart w:id="370" w:name="_Toc385992361"/>
      <w:bookmarkStart w:id="371" w:name="_Toc249515424"/>
      <w:bookmarkStart w:id="372" w:name="_Toc249525193"/>
      <w:bookmarkStart w:id="373" w:name="_Toc27151"/>
      <w:bookmarkStart w:id="374" w:name="_Toc184043048"/>
      <w:bookmarkStart w:id="375" w:name="_Toc70687175"/>
      <w:bookmarkStart w:id="376" w:name="_Toc389620200"/>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9"/>
      <w:bookmarkEnd w:id="370"/>
      <w:bookmarkEnd w:id="371"/>
      <w:bookmarkEnd w:id="372"/>
      <w:bookmarkEnd w:id="373"/>
      <w:bookmarkEnd w:id="374"/>
      <w:bookmarkEnd w:id="375"/>
      <w:bookmarkEnd w:id="376"/>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7" w:name="_Toc389620204"/>
      <w:bookmarkStart w:id="378" w:name="_Toc385992365"/>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72"/>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7"/>
    <w:bookmarkEnd w:id="378"/>
    <w:p w14:paraId="22D95BDD">
      <w:pPr>
        <w:pStyle w:val="5"/>
        <w:rPr>
          <w:rFonts w:hint="eastAsia" w:ascii="Times New Roman" w:hAnsi="Times New Roman" w:eastAsia="仿宋_GB2312"/>
          <w:b/>
          <w:bCs/>
          <w:sz w:val="24"/>
          <w:szCs w:val="21"/>
          <w:highlight w:val="none"/>
          <w:lang w:eastAsia="zh-CN"/>
        </w:rPr>
      </w:pPr>
      <w:bookmarkStart w:id="379"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（本项目不要求提供履约保证金）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5"/>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79"/>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w:t>
      </w:r>
      <w:r>
        <w:rPr>
          <w:rFonts w:eastAsia="仿宋_GB2312"/>
          <w:sz w:val="24"/>
        </w:rPr>
        <w:t>参照原国家计委计价格〔2002〕1980号文和国家发改委发改办价格〔2003〕857号文的计算方法（按标段）收取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80"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0"/>
    </w:p>
    <w:p w14:paraId="2348950E">
      <w:pPr>
        <w:tabs>
          <w:tab w:val="left" w:pos="588"/>
        </w:tabs>
        <w:spacing w:line="360" w:lineRule="auto"/>
        <w:ind w:left="840" w:leftChars="400"/>
        <w:rPr>
          <w:rFonts w:eastAsia="仿宋_GB2312"/>
          <w:sz w:val="24"/>
        </w:rPr>
      </w:pPr>
      <w:bookmarkStart w:id="381" w:name="_Toc385992366"/>
      <w:bookmarkStart w:id="382"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bookmarkEnd w:id="381"/>
    <w:bookmarkEnd w:id="382"/>
    <w:tbl>
      <w:tblPr>
        <w:tblStyle w:val="53"/>
        <w:tblpPr w:leftFromText="180" w:rightFromText="180" w:vertAnchor="page" w:horzAnchor="page" w:tblpX="1107" w:tblpY="799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3BD9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038AD31D">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bookmarkStart w:id="383" w:name="_Toc230099802"/>
            <w:bookmarkStart w:id="384" w:name="_Toc184025279"/>
            <w:bookmarkStart w:id="385" w:name="_Toc230013637"/>
            <w:bookmarkStart w:id="386" w:name="_Toc184114070"/>
            <w:r>
              <w:rPr>
                <w:rFonts w:eastAsia="仿宋_GB2312"/>
                <w:sz w:val="24"/>
              </w:rPr>
              <w:t xml:space="preserve">  </w:t>
            </w:r>
          </w:p>
        </w:tc>
        <w:tc>
          <w:tcPr>
            <w:tcW w:w="8892" w:type="dxa"/>
            <w:gridSpan w:val="7"/>
            <w:tcBorders>
              <w:top w:val="nil"/>
              <w:left w:val="nil"/>
              <w:bottom w:val="nil"/>
              <w:right w:val="nil"/>
            </w:tcBorders>
            <w:noWrap/>
            <w:vAlign w:val="center"/>
          </w:tcPr>
          <w:p w14:paraId="1D939A6D">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412D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8E8FA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E7F5B4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1BDCD8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EEDB3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D5EFFA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7DC04B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C9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DCF5D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052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D98C3D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66F2AD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C1DC8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738A1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194B77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3D13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3EBFA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4B1054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596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0F8531">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FF49F8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F9B02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1A4110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8A349C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410AF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B0863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D26211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575D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61992B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2E21CF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5ED709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B66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C198A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39D35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975AB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7C6F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624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C14DA3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81581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AA1C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A9ED11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3BCE89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2F0222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8784A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EF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34AA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8C2C1E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3AFD0B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2F8C4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41C2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2E7827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609A5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EB0B2A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2AD73A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2C7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84D354">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7B50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EC96A5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23E0B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D754E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1DE05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21F52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26FB0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3C4D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3523E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11A62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F7B291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4C536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0476B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0B2D05B">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429AE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9B92A0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6957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F14B8B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21E63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F78F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1C5DA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044C0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55537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F7424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8A475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1B86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9252E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C324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7339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EDA40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E014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FD6791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BB3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C170A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6A63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F7937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BEAF6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60FA3D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939A9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57782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CB389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9CB99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9B48B8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40F5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CD47C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8503B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8BE99F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05A707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A5C4D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C3780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D9F882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3FEDFA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7B0C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1E6344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F7CDD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736F1D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FD3CC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4E906A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1FFAE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8E138A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DB3BC2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17A2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19DAFC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AF306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B73C6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E59B28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0F0CBF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814140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AB9306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FE4FC1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71FA1B5B">
      <w:pPr>
        <w:tabs>
          <w:tab w:val="left" w:pos="588"/>
        </w:tabs>
        <w:spacing w:line="360" w:lineRule="auto"/>
        <w:rPr>
          <w:rFonts w:eastAsia="仿宋_GB2312"/>
          <w:sz w:val="24"/>
        </w:rPr>
      </w:pPr>
      <w:r>
        <w:rPr>
          <w:rFonts w:hint="eastAsia" w:eastAsia="仿宋_GB2312"/>
          <w:sz w:val="24"/>
          <w:lang w:val="en-US" w:eastAsia="zh-CN"/>
        </w:rPr>
        <w:t xml:space="preserve">32.2   </w:t>
      </w:r>
      <w:r>
        <w:rPr>
          <w:rFonts w:hint="eastAsia" w:eastAsia="仿宋_GB2312"/>
          <w:sz w:val="24"/>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r>
        <w:rPr>
          <w:rFonts w:eastAsia="仿宋_GB2312"/>
          <w:sz w:val="24"/>
        </w:rPr>
        <w:br w:type="page"/>
      </w:r>
    </w:p>
    <w:bookmarkEnd w:id="383"/>
    <w:bookmarkEnd w:id="384"/>
    <w:bookmarkEnd w:id="385"/>
    <w:bookmarkEnd w:id="386"/>
    <w:p w14:paraId="78BB099D">
      <w:pPr>
        <w:pStyle w:val="50"/>
        <w:spacing w:line="360" w:lineRule="auto"/>
        <w:rPr>
          <w:rStyle w:val="207"/>
          <w:rFonts w:ascii="Times New Roman" w:hAnsi="Times New Roman" w:eastAsia="宋体"/>
          <w:sz w:val="36"/>
          <w:szCs w:val="36"/>
        </w:rPr>
      </w:pPr>
      <w:bookmarkStart w:id="387" w:name="_Toc68590975"/>
      <w:bookmarkStart w:id="388" w:name="_Toc17469"/>
      <w:bookmarkStart w:id="389" w:name="_Toc58504447"/>
      <w:r>
        <w:rPr>
          <w:rStyle w:val="207"/>
          <w:rFonts w:ascii="Times New Roman" w:hAnsi="Times New Roman" w:eastAsia="宋体"/>
          <w:sz w:val="36"/>
          <w:szCs w:val="36"/>
        </w:rPr>
        <w:t>第三章  评审办法和标准</w:t>
      </w:r>
      <w:bookmarkEnd w:id="387"/>
    </w:p>
    <w:p w14:paraId="18D7CB7B">
      <w:pPr>
        <w:tabs>
          <w:tab w:val="left" w:pos="360"/>
          <w:tab w:val="left" w:pos="588"/>
        </w:tabs>
        <w:spacing w:line="360" w:lineRule="auto"/>
        <w:ind w:left="840"/>
        <w:rPr>
          <w:rFonts w:eastAsia="仿宋_GB2312"/>
          <w:sz w:val="24"/>
        </w:rPr>
      </w:pPr>
    </w:p>
    <w:p w14:paraId="6A6D2998">
      <w:pPr>
        <w:pStyle w:val="82"/>
        <w:spacing w:before="24" w:after="24"/>
        <w:rPr>
          <w:rFonts w:eastAsia="仿宋_GB2312"/>
          <w:sz w:val="28"/>
          <w:szCs w:val="28"/>
        </w:rPr>
      </w:pPr>
      <w:bookmarkStart w:id="390" w:name="_Toc7005040"/>
      <w:bookmarkStart w:id="391" w:name="_Toc68590976"/>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0"/>
      <w:bookmarkEnd w:id="391"/>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82"/>
        <w:spacing w:before="24" w:after="24"/>
        <w:rPr>
          <w:rFonts w:eastAsia="仿宋_GB2312"/>
          <w:sz w:val="28"/>
          <w:szCs w:val="28"/>
        </w:rPr>
      </w:pPr>
      <w:bookmarkStart w:id="392" w:name="_Toc7005041"/>
      <w:bookmarkStart w:id="393"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2"/>
      <w:bookmarkEnd w:id="393"/>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仿宋" w:hAnsi="仿宋" w:eastAsia="仿宋" w:cs="仿宋"/>
          <w:sz w:val="24"/>
          <w:highlight w:val="none"/>
        </w:rPr>
        <w:t>见附表三</w:t>
      </w:r>
      <w:r>
        <w:rPr>
          <w:rFonts w:ascii="Times New Roman" w:hAnsi="Times New Roman" w:eastAsia="仿宋_GB2312"/>
          <w:sz w:val="24"/>
        </w:rPr>
        <w:t>。</w:t>
      </w:r>
    </w:p>
    <w:p w14:paraId="6A37AF89">
      <w:pPr>
        <w:pStyle w:val="22"/>
        <w:rPr>
          <w:rFonts w:ascii="Times New Roman" w:hAnsi="Times New Roman" w:eastAsia="仿宋_GB2312"/>
          <w:sz w:val="24"/>
        </w:rPr>
      </w:pPr>
      <w:bookmarkStart w:id="394" w:name="_Ref426362114"/>
      <w:r>
        <w:rPr>
          <w:rFonts w:ascii="Times New Roman" w:hAnsi="Times New Roman" w:eastAsia="仿宋_GB2312"/>
          <w:sz w:val="24"/>
        </w:rPr>
        <w:t>2.3 商务和技术评审标准</w:t>
      </w:r>
      <w:bookmarkEnd w:id="394"/>
    </w:p>
    <w:p w14:paraId="538A0A94">
      <w:pPr>
        <w:pStyle w:val="22"/>
        <w:rPr>
          <w:rFonts w:ascii="Times New Roman" w:hAnsi="Times New Roman" w:eastAsia="仿宋_GB2312"/>
          <w:sz w:val="24"/>
        </w:rPr>
      </w:pPr>
      <w:bookmarkStart w:id="395" w:name="_Ref426362140"/>
      <w:r>
        <w:rPr>
          <w:rFonts w:ascii="Times New Roman" w:hAnsi="Times New Roman" w:eastAsia="仿宋_GB2312"/>
          <w:sz w:val="24"/>
        </w:rPr>
        <w:t>2.3.1商务部分评分标准：见附表</w:t>
      </w:r>
      <w:bookmarkEnd w:id="395"/>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6" w:name="_Ref426362158"/>
      <w:r>
        <w:rPr>
          <w:rFonts w:ascii="Times New Roman" w:hAnsi="Times New Roman" w:eastAsia="仿宋_GB2312"/>
          <w:sz w:val="24"/>
        </w:rPr>
        <w:t>2.3.2技术部分评分标准：见附表</w:t>
      </w:r>
      <w:bookmarkEnd w:id="396"/>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397" w:name="_Ref426362176"/>
      <w:r>
        <w:rPr>
          <w:rFonts w:ascii="Times New Roman" w:hAnsi="Times New Roman" w:eastAsia="仿宋_GB2312"/>
          <w:sz w:val="24"/>
        </w:rPr>
        <w:t>2.3.3报价评分标准：</w:t>
      </w:r>
      <w:bookmarkEnd w:id="397"/>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小微企业、监狱企业或残疾人福利性单位用投标报价扣除20%后的价格参加评审。</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hint="eastAsia" w:ascii="Times New Roman" w:hAnsi="Times New Roman" w:eastAsia="仿宋_GB2312"/>
          <w:i/>
          <w:iCs/>
          <w:sz w:val="24"/>
          <w:highlight w:val="none"/>
          <w:u w:val="single"/>
          <w:lang w:val="en-US" w:eastAsia="zh-CN"/>
        </w:rPr>
        <w:t>6</w:t>
      </w:r>
      <w:r>
        <w:rPr>
          <w:rFonts w:ascii="Times New Roman" w:hAnsi="Times New Roman" w:eastAsia="仿宋_GB2312"/>
          <w:i/>
          <w:iCs/>
          <w:sz w:val="24"/>
          <w:highlight w:val="none"/>
          <w:u w:val="single"/>
        </w:rPr>
        <w:t>%（工程为</w:t>
      </w:r>
      <w:r>
        <w:rPr>
          <w:rFonts w:hint="eastAsia" w:ascii="Times New Roman" w:hAnsi="Times New Roman" w:eastAsia="仿宋_GB2312"/>
          <w:i/>
          <w:iCs/>
          <w:sz w:val="24"/>
          <w:highlight w:val="none"/>
          <w:u w:val="single"/>
          <w:lang w:val="en-US" w:eastAsia="zh-CN"/>
        </w:rPr>
        <w:t>3</w:t>
      </w:r>
      <w:r>
        <w:rPr>
          <w:rFonts w:ascii="Times New Roman" w:hAnsi="Times New Roman" w:eastAsia="仿宋_GB2312"/>
          <w:i/>
          <w:iCs/>
          <w:sz w:val="24"/>
          <w:highlight w:val="none"/>
          <w:u w:val="single"/>
        </w:rPr>
        <w:t>%）</w:t>
      </w:r>
      <w:r>
        <w:rPr>
          <w:rFonts w:ascii="Times New Roman" w:hAnsi="Times New Roman" w:eastAsia="仿宋_GB2312"/>
          <w:sz w:val="24"/>
          <w:highlight w:val="none"/>
        </w:rPr>
        <w:t>的扣除。联合体各方均为小型、微型企业和监狱企业的，联合体视同为小型、微型企业和监狱企业。</w:t>
      </w:r>
    </w:p>
    <w:p w14:paraId="0262710C">
      <w:pPr>
        <w:jc w:val="center"/>
        <w:rPr>
          <w:rFonts w:hint="eastAsia" w:eastAsia="仿宋_GB2312"/>
          <w:b/>
          <w:bCs/>
          <w:lang w:eastAsia="zh-CN"/>
        </w:rPr>
      </w:pPr>
      <w:r>
        <w:rPr>
          <w:rFonts w:hint="eastAsia" w:eastAsia="仿宋_GB2312"/>
          <w:b/>
          <w:bCs/>
          <w:sz w:val="24"/>
          <w:highlight w:val="none"/>
          <w:lang w:eastAsia="zh-CN"/>
        </w:rPr>
        <w:t>本项目为专门面向中小企业，不进行价格扣除</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w:t>
      </w:r>
      <w:r>
        <w:rPr>
          <w:rFonts w:hint="eastAsia" w:eastAsia="仿宋_GB2312"/>
          <w:sz w:val="24"/>
          <w:highlight w:val="none"/>
          <w:lang w:eastAsia="zh-CN"/>
        </w:rPr>
        <w:t>磋商</w:t>
      </w:r>
      <w:r>
        <w:rPr>
          <w:rFonts w:eastAsia="仿宋_GB2312"/>
          <w:sz w:val="24"/>
          <w:highlight w:val="none"/>
        </w:rPr>
        <w:t>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82"/>
        <w:spacing w:before="24" w:after="24"/>
        <w:rPr>
          <w:rFonts w:eastAsia="仿宋_GB2312"/>
          <w:sz w:val="28"/>
          <w:szCs w:val="28"/>
        </w:rPr>
      </w:pPr>
      <w:bookmarkStart w:id="398" w:name="_Toc7005042"/>
      <w:bookmarkStart w:id="399"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8"/>
      <w:bookmarkEnd w:id="399"/>
    </w:p>
    <w:p w14:paraId="423461B0">
      <w:pPr>
        <w:pStyle w:val="22"/>
        <w:rPr>
          <w:rFonts w:ascii="Times New Roman" w:hAnsi="Times New Roman" w:eastAsia="仿宋_GB2312"/>
          <w:b/>
          <w:sz w:val="24"/>
        </w:rPr>
      </w:pPr>
      <w:bookmarkStart w:id="400"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0"/>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hint="eastAsia" w:ascii="Times New Roman" w:hAnsi="Times New Roman" w:eastAsia="仿宋_GB2312"/>
          <w:i w:val="0"/>
          <w:iCs/>
          <w:sz w:val="24"/>
          <w:u w:val="single"/>
          <w:lang w:val="en-US" w:eastAsia="zh-CN"/>
        </w:rPr>
        <w:t>磋商小组</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1" w:name="_Toc7005044"/>
      <w:r>
        <w:rPr>
          <w:rFonts w:ascii="Times New Roman" w:hAnsi="Times New Roman" w:eastAsia="仿宋_GB2312"/>
          <w:b/>
          <w:sz w:val="24"/>
        </w:rPr>
        <w:t>3.2 磋商</w:t>
      </w:r>
      <w:bookmarkEnd w:id="401"/>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2"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2"/>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301"/>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300"/>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300"/>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523F4BF1">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（1）提供2023</w:t>
            </w:r>
            <w:r>
              <w:rPr>
                <w:rFonts w:hint="eastAsia" w:ascii="仿宋_GB2312" w:hAnsi="仿宋_GB2312" w:eastAsia="仿宋_GB2312" w:cs="仿宋_GB2312"/>
                <w:spacing w:val="0"/>
                <w:sz w:val="21"/>
                <w:szCs w:val="21"/>
                <w:lang w:val="en-US" w:eastAsia="zh-CN"/>
              </w:rPr>
              <w:t>或2024</w:t>
            </w:r>
            <w:r>
              <w:rPr>
                <w:rFonts w:hint="eastAsia" w:ascii="仿宋_GB2312" w:hAnsi="仿宋_GB2312" w:eastAsia="仿宋_GB2312" w:cs="仿宋_GB2312"/>
                <w:spacing w:val="0"/>
                <w:sz w:val="21"/>
                <w:szCs w:val="21"/>
              </w:rPr>
              <w:t>年度财务报表复印件，应满足以下要求：①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300"/>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300"/>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708" w:type="dxa"/>
            <w:vAlign w:val="center"/>
          </w:tcPr>
          <w:p w14:paraId="5240419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Align w:val="center"/>
          </w:tcPr>
          <w:p w14:paraId="5E44EF4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300"/>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708" w:type="dxa"/>
            <w:vAlign w:val="center"/>
          </w:tcPr>
          <w:p w14:paraId="6D3193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vAlign w:val="center"/>
          </w:tcPr>
          <w:p w14:paraId="4F857A0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300"/>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7242E5F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300"/>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3814567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5FFE420D">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1C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08" w:type="dxa"/>
            <w:vAlign w:val="center"/>
          </w:tcPr>
          <w:p w14:paraId="7A5D4B9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7AB9FB45">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特定资格要求</w:t>
            </w:r>
          </w:p>
        </w:tc>
        <w:tc>
          <w:tcPr>
            <w:tcW w:w="4966" w:type="dxa"/>
            <w:vAlign w:val="center"/>
          </w:tcPr>
          <w:p w14:paraId="3A8E5A0A">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1122" w:type="dxa"/>
            <w:vAlign w:val="center"/>
          </w:tcPr>
          <w:p w14:paraId="08E88B91">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D99EEF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672CF0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磋商小组</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72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A3AD8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33F4209A">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31D1C638">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3919945B">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1F0F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63DC60">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1D6274C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29076B07">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126D4D0C">
            <w:pPr>
              <w:pStyle w:val="22"/>
              <w:tabs>
                <w:tab w:val="left" w:pos="567"/>
              </w:tabs>
              <w:spacing w:line="240" w:lineRule="auto"/>
              <w:rPr>
                <w:rFonts w:hint="eastAsia" w:ascii="仿宋_GB2312" w:eastAsia="仿宋_GB2312"/>
              </w:rPr>
            </w:pPr>
          </w:p>
        </w:tc>
      </w:tr>
      <w:tr w14:paraId="513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F971CA9">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47C0D39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CC047D7">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p>
        </w:tc>
        <w:tc>
          <w:tcPr>
            <w:tcW w:w="1623" w:type="dxa"/>
            <w:noWrap w:val="0"/>
            <w:vAlign w:val="center"/>
          </w:tcPr>
          <w:p w14:paraId="6C35FBAC">
            <w:pPr>
              <w:pStyle w:val="22"/>
              <w:tabs>
                <w:tab w:val="left" w:pos="567"/>
              </w:tabs>
              <w:spacing w:line="240" w:lineRule="auto"/>
              <w:rPr>
                <w:rFonts w:hint="eastAsia" w:ascii="仿宋_GB2312" w:eastAsia="仿宋_GB2312"/>
              </w:rPr>
            </w:pPr>
          </w:p>
        </w:tc>
      </w:tr>
      <w:tr w14:paraId="5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3564493">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3</w:t>
            </w:r>
          </w:p>
        </w:tc>
        <w:tc>
          <w:tcPr>
            <w:tcW w:w="1512" w:type="dxa"/>
            <w:noWrap w:val="0"/>
            <w:vAlign w:val="center"/>
          </w:tcPr>
          <w:p w14:paraId="0B8522BE">
            <w:pPr>
              <w:tabs>
                <w:tab w:val="left" w:pos="1260"/>
                <w:tab w:val="left" w:pos="1620"/>
              </w:tabs>
              <w:adjustRightInd w:val="0"/>
              <w:snapToGrid w:val="0"/>
              <w:jc w:val="center"/>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服务期和服务地点</w:t>
            </w:r>
          </w:p>
        </w:tc>
        <w:tc>
          <w:tcPr>
            <w:tcW w:w="5370" w:type="dxa"/>
            <w:noWrap w:val="0"/>
            <w:vAlign w:val="center"/>
          </w:tcPr>
          <w:p w14:paraId="325EDB1D">
            <w:pPr>
              <w:tabs>
                <w:tab w:val="left" w:pos="1260"/>
                <w:tab w:val="left" w:pos="1620"/>
              </w:tabs>
              <w:adjustRightInd w:val="0"/>
              <w:snapToGrid w:val="0"/>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满足磋商文件要求；</w:t>
            </w:r>
          </w:p>
        </w:tc>
        <w:tc>
          <w:tcPr>
            <w:tcW w:w="1623" w:type="dxa"/>
            <w:noWrap w:val="0"/>
            <w:vAlign w:val="center"/>
          </w:tcPr>
          <w:p w14:paraId="640E0B99">
            <w:pPr>
              <w:pStyle w:val="22"/>
              <w:tabs>
                <w:tab w:val="left" w:pos="567"/>
              </w:tabs>
              <w:spacing w:line="240" w:lineRule="auto"/>
              <w:rPr>
                <w:rFonts w:hint="eastAsia" w:ascii="仿宋_GB2312" w:eastAsia="仿宋_GB2312"/>
              </w:rPr>
            </w:pPr>
          </w:p>
        </w:tc>
      </w:tr>
      <w:tr w14:paraId="338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6BA293FE">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4</w:t>
            </w:r>
          </w:p>
        </w:tc>
        <w:tc>
          <w:tcPr>
            <w:tcW w:w="1512" w:type="dxa"/>
            <w:noWrap w:val="0"/>
            <w:vAlign w:val="center"/>
          </w:tcPr>
          <w:p w14:paraId="55BF8F2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502C43FC">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F9BB836">
            <w:pPr>
              <w:pStyle w:val="22"/>
              <w:tabs>
                <w:tab w:val="left" w:pos="567"/>
              </w:tabs>
              <w:spacing w:before="0" w:line="240" w:lineRule="auto"/>
              <w:rPr>
                <w:rFonts w:hint="eastAsia" w:ascii="仿宋_GB2312" w:eastAsia="仿宋_GB2312"/>
              </w:rPr>
            </w:pPr>
          </w:p>
        </w:tc>
      </w:tr>
      <w:tr w14:paraId="60AB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369CD934">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5</w:t>
            </w:r>
          </w:p>
        </w:tc>
        <w:tc>
          <w:tcPr>
            <w:tcW w:w="1512" w:type="dxa"/>
            <w:noWrap w:val="0"/>
            <w:vAlign w:val="center"/>
          </w:tcPr>
          <w:p w14:paraId="03A24A4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5105864">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18CF29B5">
            <w:pPr>
              <w:pStyle w:val="22"/>
              <w:tabs>
                <w:tab w:val="left" w:pos="567"/>
              </w:tabs>
              <w:spacing w:before="0" w:line="240" w:lineRule="auto"/>
              <w:rPr>
                <w:rFonts w:hint="eastAsia" w:ascii="仿宋_GB2312" w:eastAsia="仿宋_GB2312"/>
              </w:rPr>
            </w:pPr>
          </w:p>
        </w:tc>
      </w:tr>
      <w:tr w14:paraId="00E7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7022D50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6</w:t>
            </w:r>
          </w:p>
        </w:tc>
        <w:tc>
          <w:tcPr>
            <w:tcW w:w="1512" w:type="dxa"/>
            <w:noWrap w:val="0"/>
            <w:vAlign w:val="center"/>
          </w:tcPr>
          <w:p w14:paraId="6985D02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D77B8E4">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053B7E3B">
            <w:pPr>
              <w:pStyle w:val="22"/>
              <w:tabs>
                <w:tab w:val="left" w:pos="567"/>
              </w:tabs>
              <w:spacing w:before="0" w:line="240" w:lineRule="auto"/>
              <w:rPr>
                <w:rFonts w:hint="eastAsia" w:ascii="仿宋_GB2312" w:eastAsia="仿宋_GB2312"/>
              </w:rPr>
            </w:pPr>
          </w:p>
        </w:tc>
      </w:tr>
      <w:tr w14:paraId="491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5D185A21">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noWrap w:val="0"/>
            <w:vAlign w:val="center"/>
          </w:tcPr>
          <w:p w14:paraId="65F14A92">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0572ACB6">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521D9FF6">
            <w:pPr>
              <w:pStyle w:val="22"/>
              <w:tabs>
                <w:tab w:val="left" w:pos="567"/>
              </w:tabs>
              <w:spacing w:before="0" w:line="240" w:lineRule="auto"/>
              <w:rPr>
                <w:rFonts w:hint="eastAsia" w:ascii="仿宋_GB2312" w:eastAsia="仿宋_GB2312"/>
              </w:rPr>
            </w:pPr>
          </w:p>
        </w:tc>
      </w:tr>
      <w:tr w14:paraId="4BE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439BC7A3">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6B2699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167A2B89">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0480FD71">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3C7F2181">
            <w:pPr>
              <w:pStyle w:val="22"/>
              <w:tabs>
                <w:tab w:val="left" w:pos="567"/>
              </w:tabs>
              <w:spacing w:before="0" w:line="240" w:lineRule="auto"/>
              <w:rPr>
                <w:rFonts w:hint="eastAsia" w:ascii="仿宋_GB2312" w:eastAsia="仿宋_GB2312"/>
              </w:rPr>
            </w:pPr>
          </w:p>
        </w:tc>
      </w:tr>
      <w:tr w14:paraId="74B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456382D">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4A8B7A61">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233BEC7C">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7B8DCDB3">
            <w:pPr>
              <w:pStyle w:val="22"/>
              <w:tabs>
                <w:tab w:val="left" w:pos="567"/>
              </w:tabs>
              <w:spacing w:before="0" w:line="240" w:lineRule="auto"/>
              <w:rPr>
                <w:rFonts w:hint="eastAsia" w:ascii="仿宋_GB2312" w:eastAsia="仿宋_GB2312"/>
              </w:rPr>
            </w:pPr>
          </w:p>
        </w:tc>
      </w:tr>
      <w:tr w14:paraId="40CC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B34CF0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8AE7D41">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0F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39C7C70">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4357C16E">
            <w:pPr>
              <w:pStyle w:val="22"/>
              <w:tabs>
                <w:tab w:val="left" w:pos="567"/>
              </w:tabs>
              <w:spacing w:before="0" w:line="240" w:lineRule="auto"/>
              <w:rPr>
                <w:rFonts w:hint="eastAsia" w:ascii="仿宋_GB2312" w:eastAsia="仿宋_GB2312"/>
              </w:rPr>
            </w:pPr>
          </w:p>
        </w:tc>
      </w:tr>
    </w:tbl>
    <w:p w14:paraId="0DA1FDEE">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3" w:name="_Toc7005048"/>
      <w:bookmarkStart w:id="404" w:name="_Toc410631198"/>
      <w:bookmarkStart w:id="405" w:name="_Toc414446034"/>
      <w:r>
        <w:rPr>
          <w:rFonts w:eastAsia="仿宋_GB2312"/>
          <w:b/>
          <w:sz w:val="30"/>
          <w:szCs w:val="30"/>
        </w:rPr>
        <w:t>附表三 评审</w:t>
      </w:r>
      <w:bookmarkEnd w:id="403"/>
      <w:bookmarkEnd w:id="404"/>
      <w:bookmarkEnd w:id="405"/>
      <w:r>
        <w:rPr>
          <w:rFonts w:hint="eastAsia" w:eastAsia="仿宋_GB2312"/>
          <w:b/>
          <w:sz w:val="30"/>
          <w:szCs w:val="30"/>
          <w:lang w:val="en-US" w:eastAsia="zh-CN"/>
        </w:rPr>
        <w:t>标准</w:t>
      </w:r>
    </w:p>
    <w:tbl>
      <w:tblPr>
        <w:tblStyle w:val="5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1"/>
        <w:gridCol w:w="1192"/>
        <w:gridCol w:w="5382"/>
        <w:gridCol w:w="1224"/>
      </w:tblGrid>
      <w:tr w14:paraId="4AD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noWrap w:val="0"/>
            <w:vAlign w:val="center"/>
          </w:tcPr>
          <w:p w14:paraId="256493A3">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序号</w:t>
            </w:r>
          </w:p>
        </w:tc>
        <w:tc>
          <w:tcPr>
            <w:tcW w:w="1431" w:type="dxa"/>
            <w:noWrap w:val="0"/>
            <w:vAlign w:val="center"/>
          </w:tcPr>
          <w:p w14:paraId="1913230A">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评审项目</w:t>
            </w:r>
          </w:p>
        </w:tc>
        <w:tc>
          <w:tcPr>
            <w:tcW w:w="1192" w:type="dxa"/>
            <w:noWrap w:val="0"/>
            <w:vAlign w:val="center"/>
          </w:tcPr>
          <w:p w14:paraId="22E56D48">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评审内容</w:t>
            </w:r>
          </w:p>
        </w:tc>
        <w:tc>
          <w:tcPr>
            <w:tcW w:w="5382" w:type="dxa"/>
            <w:noWrap w:val="0"/>
            <w:vAlign w:val="center"/>
          </w:tcPr>
          <w:p w14:paraId="3A100C1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  审  标  准</w:t>
            </w:r>
          </w:p>
        </w:tc>
        <w:tc>
          <w:tcPr>
            <w:tcW w:w="1224" w:type="dxa"/>
            <w:noWrap w:val="0"/>
            <w:vAlign w:val="center"/>
          </w:tcPr>
          <w:p w14:paraId="5CEFB97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满分</w:t>
            </w:r>
          </w:p>
        </w:tc>
      </w:tr>
      <w:tr w14:paraId="3E0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05ADAB08">
            <w:pPr>
              <w:snapToGrid w:val="0"/>
              <w:jc w:val="center"/>
              <w:rPr>
                <w:rFonts w:hint="eastAsia"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w:t>
            </w:r>
          </w:p>
        </w:tc>
        <w:tc>
          <w:tcPr>
            <w:tcW w:w="1431" w:type="dxa"/>
            <w:vMerge w:val="restart"/>
            <w:noWrap w:val="0"/>
            <w:vAlign w:val="center"/>
          </w:tcPr>
          <w:p w14:paraId="1888CDD1">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技术部分</w:t>
            </w:r>
          </w:p>
        </w:tc>
        <w:tc>
          <w:tcPr>
            <w:tcW w:w="1192" w:type="dxa"/>
            <w:noWrap w:val="0"/>
            <w:vAlign w:val="center"/>
          </w:tcPr>
          <w:p w14:paraId="25EBA92D">
            <w:pPr>
              <w:snapToGrid w:val="0"/>
              <w:jc w:val="center"/>
              <w:rPr>
                <w:rFonts w:hint="eastAsia" w:ascii="Times New Roman" w:hAnsi="Times New Roman" w:eastAsia="仿宋_GB2312" w:cs="Times New Roman"/>
                <w:i w:val="0"/>
                <w:iCs w:val="0"/>
                <w:sz w:val="24"/>
                <w:lang w:val="zh-CN" w:eastAsia="zh-CN"/>
              </w:rPr>
            </w:pPr>
            <w:r>
              <w:rPr>
                <w:rFonts w:hint="eastAsia" w:ascii="仿宋" w:hAnsi="仿宋" w:eastAsia="仿宋" w:cs="仿宋"/>
                <w:i w:val="0"/>
                <w:iCs w:val="0"/>
                <w:sz w:val="24"/>
                <w:szCs w:val="24"/>
                <w:lang w:val="en-US" w:eastAsia="zh-CN"/>
              </w:rPr>
              <w:t>项目分析</w:t>
            </w:r>
          </w:p>
        </w:tc>
        <w:tc>
          <w:tcPr>
            <w:tcW w:w="5382" w:type="dxa"/>
            <w:noWrap w:val="0"/>
            <w:vAlign w:val="center"/>
          </w:tcPr>
          <w:p w14:paraId="60626351">
            <w:pPr>
              <w:snapToGrid w:val="0"/>
              <w:jc w:val="both"/>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供应商</w:t>
            </w:r>
            <w:r>
              <w:rPr>
                <w:rFonts w:hint="default" w:ascii="Times New Roman" w:hAnsi="Times New Roman" w:eastAsia="仿宋_GB2312" w:cs="Times New Roman"/>
                <w:i w:val="0"/>
                <w:iCs w:val="0"/>
                <w:sz w:val="24"/>
                <w:lang w:val="en-US" w:eastAsia="zh-CN"/>
              </w:rPr>
              <w:t>按照本项目采购内容及要求</w:t>
            </w:r>
            <w:r>
              <w:rPr>
                <w:rFonts w:hint="eastAsia" w:eastAsia="仿宋_GB2312" w:cs="Times New Roman"/>
                <w:i w:val="0"/>
                <w:iCs w:val="0"/>
                <w:sz w:val="24"/>
                <w:lang w:val="en-US" w:eastAsia="zh-CN"/>
              </w:rPr>
              <w:t>进行充分调研</w:t>
            </w:r>
            <w:r>
              <w:rPr>
                <w:rFonts w:hint="default" w:ascii="Times New Roman" w:hAnsi="Times New Roman" w:eastAsia="仿宋_GB2312" w:cs="Times New Roman"/>
                <w:i w:val="0"/>
                <w:iCs w:val="0"/>
                <w:sz w:val="24"/>
                <w:lang w:val="en-US" w:eastAsia="zh-CN"/>
              </w:rPr>
              <w:t>，针对本项目</w:t>
            </w:r>
            <w:r>
              <w:rPr>
                <w:rFonts w:hint="eastAsia" w:eastAsia="仿宋_GB2312" w:cs="Times New Roman"/>
                <w:i w:val="0"/>
                <w:iCs w:val="0"/>
                <w:sz w:val="24"/>
                <w:lang w:val="en-US" w:eastAsia="zh-CN"/>
              </w:rPr>
              <w:t>的具体实施内容</w:t>
            </w:r>
            <w:r>
              <w:rPr>
                <w:rFonts w:hint="default" w:ascii="Times New Roman" w:hAnsi="Times New Roman" w:eastAsia="仿宋_GB2312" w:cs="Times New Roman"/>
                <w:i w:val="0"/>
                <w:iCs w:val="0"/>
                <w:sz w:val="24"/>
                <w:lang w:val="en-US" w:eastAsia="zh-CN"/>
              </w:rPr>
              <w:t>、条件等关键点、重难点分析及应对措施、合理化建议进行阐述，内容应包含以下内容：</w:t>
            </w:r>
          </w:p>
          <w:p w14:paraId="6EA3B1B3">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①对本项目</w:t>
            </w:r>
            <w:r>
              <w:rPr>
                <w:rFonts w:hint="eastAsia" w:eastAsia="仿宋_GB2312" w:cs="Times New Roman"/>
                <w:i w:val="0"/>
                <w:iCs w:val="0"/>
                <w:sz w:val="24"/>
                <w:lang w:val="en-US" w:eastAsia="zh-CN"/>
              </w:rPr>
              <w:t>实施内容</w:t>
            </w:r>
            <w:r>
              <w:rPr>
                <w:rFonts w:hint="default" w:ascii="Times New Roman" w:hAnsi="Times New Roman" w:eastAsia="仿宋_GB2312" w:cs="Times New Roman"/>
                <w:i w:val="0"/>
                <w:iCs w:val="0"/>
                <w:sz w:val="24"/>
                <w:lang w:val="en-US" w:eastAsia="zh-CN"/>
              </w:rPr>
              <w:t>、</w:t>
            </w:r>
            <w:r>
              <w:rPr>
                <w:rFonts w:hint="eastAsia" w:eastAsia="仿宋_GB2312" w:cs="Times New Roman"/>
                <w:i w:val="0"/>
                <w:iCs w:val="0"/>
                <w:sz w:val="24"/>
                <w:lang w:val="en-US" w:eastAsia="zh-CN"/>
              </w:rPr>
              <w:t>历史人文背景分析</w:t>
            </w:r>
            <w:r>
              <w:rPr>
                <w:rFonts w:hint="default" w:ascii="Times New Roman" w:hAnsi="Times New Roman" w:eastAsia="仿宋_GB2312" w:cs="Times New Roman"/>
                <w:i w:val="0"/>
                <w:iCs w:val="0"/>
                <w:sz w:val="24"/>
                <w:lang w:val="en-US" w:eastAsia="zh-CN"/>
              </w:rPr>
              <w:t>；</w:t>
            </w:r>
          </w:p>
          <w:p w14:paraId="34FCA6CA">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②对本项目重点、难点的理解分析；</w:t>
            </w:r>
          </w:p>
          <w:p w14:paraId="528456E1">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③结合理解分析和应对措施给出的合理化建议。</w:t>
            </w:r>
          </w:p>
          <w:p w14:paraId="5768AF81">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从分析内容全面，切合本项目实际情况，条理清晰，内容详实、合理等方面进行赋分，每项内容5分，最多得15分。每缺少一项内容扣5分，每有一处内容存在缺陷，扣1分，扣完为止。</w:t>
            </w:r>
          </w:p>
          <w:p w14:paraId="602FCCE9">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7F5ED24">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15</w:t>
            </w:r>
          </w:p>
        </w:tc>
      </w:tr>
      <w:tr w14:paraId="783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48BE271D">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2</w:t>
            </w:r>
          </w:p>
        </w:tc>
        <w:tc>
          <w:tcPr>
            <w:tcW w:w="1431" w:type="dxa"/>
            <w:vMerge w:val="continue"/>
            <w:noWrap w:val="0"/>
            <w:vAlign w:val="center"/>
          </w:tcPr>
          <w:p w14:paraId="4181B367">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602FC3F7">
            <w:pPr>
              <w:snapToGrid w:val="0"/>
              <w:jc w:val="center"/>
              <w:rPr>
                <w:rFonts w:hint="eastAsia" w:ascii="仿宋" w:hAnsi="仿宋" w:eastAsia="仿宋" w:cs="仿宋"/>
                <w:i w:val="0"/>
                <w:iCs w:val="0"/>
                <w:sz w:val="24"/>
                <w:szCs w:val="24"/>
                <w:lang w:val="en-US" w:eastAsia="zh-CN"/>
              </w:rPr>
            </w:pPr>
            <w:r>
              <w:rPr>
                <w:rFonts w:hint="eastAsia" w:ascii="仿宋" w:hAnsi="仿宋" w:eastAsia="仿宋" w:cs="仿宋"/>
                <w:sz w:val="24"/>
                <w:szCs w:val="24"/>
                <w:lang w:eastAsia="zh-CN"/>
              </w:rPr>
              <w:t>项目实施方案</w:t>
            </w:r>
          </w:p>
        </w:tc>
        <w:tc>
          <w:tcPr>
            <w:tcW w:w="5382" w:type="dxa"/>
            <w:noWrap w:val="0"/>
            <w:vAlign w:val="center"/>
          </w:tcPr>
          <w:p w14:paraId="2D570160">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供应商针对本项目制定项目实施方案，方案内容包括但不限于：①</w:t>
            </w:r>
            <w:r>
              <w:rPr>
                <w:rFonts w:hint="eastAsia" w:ascii="仿宋" w:hAnsi="仿宋" w:eastAsia="仿宋" w:cs="仿宋"/>
                <w:sz w:val="24"/>
                <w:szCs w:val="24"/>
              </w:rPr>
              <w:t>故事脚本创作</w:t>
            </w:r>
            <w:r>
              <w:rPr>
                <w:rFonts w:hint="eastAsia" w:ascii="仿宋_GB2312" w:hAnsi="仿宋_GB2312" w:eastAsia="仿宋_GB2312" w:cs="仿宋_GB2312"/>
                <w:sz w:val="24"/>
                <w:szCs w:val="24"/>
                <w:lang w:val="en-US" w:eastAsia="zh-CN"/>
              </w:rPr>
              <w:t>方案</w:t>
            </w:r>
            <w:r>
              <w:rPr>
                <w:rFonts w:hint="default" w:ascii="Times New Roman" w:hAnsi="Times New Roman" w:eastAsia="仿宋_GB2312" w:cs="Times New Roman"/>
                <w:i w:val="0"/>
                <w:iCs w:val="0"/>
                <w:sz w:val="24"/>
                <w:lang w:val="en-US" w:eastAsia="zh-CN"/>
              </w:rPr>
              <w:t>；②</w:t>
            </w:r>
            <w:r>
              <w:rPr>
                <w:rFonts w:hint="eastAsia" w:ascii="仿宋" w:hAnsi="仿宋" w:eastAsia="仿宋" w:cs="仿宋"/>
                <w:sz w:val="24"/>
                <w:szCs w:val="24"/>
              </w:rPr>
              <w:t>场景概念设计</w:t>
            </w:r>
            <w:r>
              <w:rPr>
                <w:rFonts w:hint="default" w:ascii="Times New Roman" w:hAnsi="Times New Roman" w:eastAsia="仿宋_GB2312" w:cs="Times New Roman"/>
                <w:i w:val="0"/>
                <w:iCs w:val="0"/>
                <w:sz w:val="24"/>
                <w:lang w:val="en-US" w:eastAsia="zh-CN"/>
              </w:rPr>
              <w:t>方案；③角色设计方案</w:t>
            </w:r>
            <w:r>
              <w:rPr>
                <w:rFonts w:hint="eastAsia" w:eastAsia="仿宋_GB2312" w:cs="Times New Roman"/>
                <w:i w:val="0"/>
                <w:iCs w:val="0"/>
                <w:sz w:val="24"/>
                <w:lang w:val="en-US" w:eastAsia="zh-CN"/>
              </w:rPr>
              <w:t>；④文化研究与资料收集</w:t>
            </w:r>
            <w:r>
              <w:rPr>
                <w:rFonts w:hint="eastAsia" w:ascii="仿宋_GB2312" w:hAnsi="仿宋_GB2312" w:eastAsia="仿宋_GB2312" w:cs="仿宋_GB2312"/>
                <w:sz w:val="24"/>
                <w:szCs w:val="24"/>
                <w:lang w:val="en-US" w:eastAsia="zh-CN"/>
              </w:rPr>
              <w:t>方案；⑤体验流程规划方案；⑥主题策划深化方案。</w:t>
            </w:r>
            <w:r>
              <w:rPr>
                <w:rFonts w:hint="default" w:ascii="Times New Roman" w:hAnsi="Times New Roman" w:eastAsia="仿宋_GB2312" w:cs="Times New Roman"/>
                <w:i w:val="0"/>
                <w:iCs w:val="0"/>
                <w:sz w:val="24"/>
                <w:lang w:val="en-US" w:eastAsia="zh-CN"/>
              </w:rPr>
              <w:t>方案应切合本项目实际情况，条理清晰，内容详实、合理，完全满足采购需求。根据方案的内容从方案的全面行、合理性、可行性等方面进行赋分，每项内容5分，最多得</w:t>
            </w:r>
            <w:r>
              <w:rPr>
                <w:rFonts w:hint="eastAsia" w:eastAsia="仿宋_GB2312" w:cs="Times New Roman"/>
                <w:i w:val="0"/>
                <w:iCs w:val="0"/>
                <w:sz w:val="24"/>
                <w:lang w:val="en-US" w:eastAsia="zh-CN"/>
              </w:rPr>
              <w:t>30</w:t>
            </w:r>
            <w:r>
              <w:rPr>
                <w:rFonts w:hint="default" w:ascii="Times New Roman" w:hAnsi="Times New Roman" w:eastAsia="仿宋_GB2312" w:cs="Times New Roman"/>
                <w:i w:val="0"/>
                <w:iCs w:val="0"/>
                <w:sz w:val="24"/>
                <w:lang w:val="en-US" w:eastAsia="zh-CN"/>
              </w:rPr>
              <w:t>分。每缺少一项内容扣5分，每有一处内容存在缺陷，扣1分，扣完为止。</w:t>
            </w:r>
          </w:p>
          <w:p w14:paraId="6F39BE75">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EA92FCB">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30</w:t>
            </w:r>
          </w:p>
        </w:tc>
      </w:tr>
      <w:tr w14:paraId="308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11BAFA80">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3</w:t>
            </w:r>
          </w:p>
        </w:tc>
        <w:tc>
          <w:tcPr>
            <w:tcW w:w="1431" w:type="dxa"/>
            <w:vMerge w:val="continue"/>
            <w:noWrap w:val="0"/>
            <w:vAlign w:val="center"/>
          </w:tcPr>
          <w:p w14:paraId="5B75B358">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11982E5C">
            <w:pPr>
              <w:snapToGrid w:val="0"/>
              <w:jc w:val="center"/>
              <w:rPr>
                <w:rFonts w:hint="eastAsia" w:ascii="Times New Roman" w:hAnsi="Times New Roman" w:eastAsia="仿宋_GB2312" w:cs="Times New Roman"/>
                <w:i w:val="0"/>
                <w:iCs w:val="0"/>
                <w:sz w:val="24"/>
                <w:lang w:val="zh-CN" w:eastAsia="zh-CN"/>
              </w:rPr>
            </w:pPr>
            <w:r>
              <w:rPr>
                <w:rFonts w:hint="eastAsia" w:eastAsia="仿宋_GB2312" w:cs="Times New Roman"/>
                <w:i w:val="0"/>
                <w:iCs w:val="0"/>
                <w:sz w:val="24"/>
                <w:lang w:val="zh-CN" w:eastAsia="zh-CN"/>
              </w:rPr>
              <w:t>外部延伸技术能力</w:t>
            </w:r>
          </w:p>
        </w:tc>
        <w:tc>
          <w:tcPr>
            <w:tcW w:w="5382" w:type="dxa"/>
            <w:noWrap w:val="0"/>
            <w:vAlign w:val="center"/>
          </w:tcPr>
          <w:p w14:paraId="3A809DA3">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根据投标人外部延伸技术能力（外接技术支持指导服务（如专业院校、行业协会、国/省市权威专家团队）等情况进行打分，每提供一份证明材料得</w:t>
            </w:r>
            <w:r>
              <w:rPr>
                <w:rFonts w:hint="eastAsia" w:eastAsia="仿宋_GB2312" w:cs="Times New Roman"/>
                <w:i w:val="0"/>
                <w:iCs w:val="0"/>
                <w:sz w:val="24"/>
                <w:lang w:val="en-US" w:eastAsia="zh-CN"/>
              </w:rPr>
              <w:t>2.5</w:t>
            </w:r>
            <w:r>
              <w:rPr>
                <w:rFonts w:hint="default" w:ascii="Times New Roman" w:hAnsi="Times New Roman" w:eastAsia="仿宋_GB2312" w:cs="Times New Roman"/>
                <w:i w:val="0"/>
                <w:iCs w:val="0"/>
                <w:sz w:val="24"/>
                <w:lang w:val="en-US" w:eastAsia="zh-CN"/>
              </w:rPr>
              <w:t>分，最高得</w:t>
            </w:r>
            <w:r>
              <w:rPr>
                <w:rFonts w:hint="eastAsia" w:eastAsia="仿宋_GB2312" w:cs="Times New Roman"/>
                <w:i w:val="0"/>
                <w:iCs w:val="0"/>
                <w:sz w:val="24"/>
                <w:lang w:val="en-US" w:eastAsia="zh-CN"/>
              </w:rPr>
              <w:t>5</w:t>
            </w:r>
            <w:r>
              <w:rPr>
                <w:rFonts w:hint="default" w:ascii="Times New Roman" w:hAnsi="Times New Roman" w:eastAsia="仿宋_GB2312" w:cs="Times New Roman"/>
                <w:i w:val="0"/>
                <w:iCs w:val="0"/>
                <w:sz w:val="24"/>
                <w:lang w:val="en-US" w:eastAsia="zh-CN"/>
              </w:rPr>
              <w:t>分。（需提供身份证、毕业证、职称证书、聘用协议、校企合作协议等证明材料，未提供或材料不全不得分）</w:t>
            </w:r>
          </w:p>
        </w:tc>
        <w:tc>
          <w:tcPr>
            <w:tcW w:w="1224" w:type="dxa"/>
            <w:noWrap w:val="0"/>
            <w:vAlign w:val="center"/>
          </w:tcPr>
          <w:p w14:paraId="0D58E6E8">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5</w:t>
            </w:r>
          </w:p>
        </w:tc>
      </w:tr>
      <w:tr w14:paraId="3177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noWrap w:val="0"/>
            <w:vAlign w:val="center"/>
          </w:tcPr>
          <w:p w14:paraId="3A34D522">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4</w:t>
            </w:r>
          </w:p>
        </w:tc>
        <w:tc>
          <w:tcPr>
            <w:tcW w:w="1431" w:type="dxa"/>
            <w:vMerge w:val="continue"/>
            <w:noWrap w:val="0"/>
            <w:vAlign w:val="center"/>
          </w:tcPr>
          <w:p w14:paraId="645AA0D8">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699658D0">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eastAsia="仿宋_GB2312" w:cs="Times New Roman"/>
                <w:i w:val="0"/>
                <w:iCs w:val="0"/>
                <w:kern w:val="2"/>
                <w:sz w:val="24"/>
                <w:szCs w:val="24"/>
                <w:lang w:val="en-US" w:eastAsia="zh-CN" w:bidi="ar-SA"/>
              </w:rPr>
              <w:t>文物保护专项方案</w:t>
            </w:r>
          </w:p>
        </w:tc>
        <w:tc>
          <w:tcPr>
            <w:tcW w:w="5382" w:type="dxa"/>
            <w:noWrap w:val="0"/>
            <w:vAlign w:val="center"/>
          </w:tcPr>
          <w:p w14:paraId="031A6398">
            <w:pPr>
              <w:snapToGrid w:val="0"/>
              <w:jc w:val="both"/>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kern w:val="2"/>
                <w:sz w:val="24"/>
                <w:szCs w:val="24"/>
                <w:lang w:val="en-US" w:eastAsia="zh-CN" w:bidi="ar-SA"/>
              </w:rPr>
              <w:t>供应商</w:t>
            </w:r>
            <w:r>
              <w:rPr>
                <w:rFonts w:hint="eastAsia" w:eastAsia="仿宋_GB2312" w:cs="Times New Roman"/>
                <w:i w:val="0"/>
                <w:iCs w:val="0"/>
                <w:kern w:val="2"/>
                <w:sz w:val="24"/>
                <w:szCs w:val="24"/>
                <w:lang w:val="en-US" w:eastAsia="zh-CN" w:bidi="ar-SA"/>
              </w:rPr>
              <w:t>根据项目采购需求，编制文物保护专项方案，防止在文献研究、历史文化采集等过程中发生“建设性破坏”方案内容包括但不限于①保护目标与原则；②技术措施；③管理措施；④应急修缮及突发预案。</w:t>
            </w:r>
            <w:r>
              <w:rPr>
                <w:rFonts w:hint="default" w:ascii="Times New Roman" w:hAnsi="Times New Roman" w:eastAsia="仿宋_GB2312" w:cs="Times New Roman"/>
                <w:i w:val="0"/>
                <w:iCs w:val="0"/>
                <w:sz w:val="24"/>
                <w:lang w:val="en-US" w:eastAsia="zh-CN"/>
              </w:rPr>
              <w:t>方案应切合本项目实际情况，条理清晰，内容详实、合理，</w:t>
            </w:r>
            <w:r>
              <w:rPr>
                <w:rFonts w:hint="eastAsia" w:ascii="Times New Roman" w:hAnsi="Times New Roman" w:eastAsia="仿宋_GB2312" w:cs="Times New Roman"/>
                <w:i w:val="0"/>
                <w:iCs w:val="0"/>
                <w:sz w:val="24"/>
                <w:lang w:val="en-US" w:eastAsia="zh-CN"/>
              </w:rPr>
              <w:t>有针对性</w:t>
            </w:r>
            <w:r>
              <w:rPr>
                <w:rFonts w:hint="default" w:ascii="Times New Roman" w:hAnsi="Times New Roman" w:eastAsia="仿宋_GB2312" w:cs="Times New Roman"/>
                <w:i w:val="0"/>
                <w:iCs w:val="0"/>
                <w:sz w:val="24"/>
                <w:lang w:val="en-US" w:eastAsia="zh-CN"/>
              </w:rPr>
              <w:t>。根据方案的内容从方案的全面行、合理性、可行性等方面进行赋分，每项内容</w:t>
            </w:r>
            <w:r>
              <w:rPr>
                <w:rFonts w:hint="eastAsia" w:ascii="Times New Roman" w:hAnsi="Times New Roman" w:eastAsia="仿宋_GB2312" w:cs="Times New Roman"/>
                <w:i w:val="0"/>
                <w:iCs w:val="0"/>
                <w:sz w:val="24"/>
                <w:lang w:val="en-US" w:eastAsia="zh-CN"/>
              </w:rPr>
              <w:t>2.5</w:t>
            </w:r>
            <w:r>
              <w:rPr>
                <w:rFonts w:hint="default" w:ascii="Times New Roman" w:hAnsi="Times New Roman" w:eastAsia="仿宋_GB2312" w:cs="Times New Roman"/>
                <w:i w:val="0"/>
                <w:iCs w:val="0"/>
                <w:sz w:val="24"/>
                <w:lang w:val="en-US" w:eastAsia="zh-CN"/>
              </w:rPr>
              <w:t>分，最多得</w:t>
            </w:r>
            <w:r>
              <w:rPr>
                <w:rFonts w:hint="eastAsia" w:ascii="Times New Roman" w:hAnsi="Times New Roman" w:eastAsia="仿宋_GB2312" w:cs="Times New Roman"/>
                <w:i w:val="0"/>
                <w:iCs w:val="0"/>
                <w:sz w:val="24"/>
                <w:lang w:val="en-US" w:eastAsia="zh-CN"/>
              </w:rPr>
              <w:t>10</w:t>
            </w:r>
            <w:r>
              <w:rPr>
                <w:rFonts w:hint="default" w:ascii="Times New Roman" w:hAnsi="Times New Roman" w:eastAsia="仿宋_GB2312" w:cs="Times New Roman"/>
                <w:i w:val="0"/>
                <w:iCs w:val="0"/>
                <w:sz w:val="24"/>
                <w:lang w:val="en-US" w:eastAsia="zh-CN"/>
              </w:rPr>
              <w:t>分。每缺少一项内容扣</w:t>
            </w:r>
            <w:r>
              <w:rPr>
                <w:rFonts w:hint="eastAsia" w:ascii="Times New Roman" w:hAnsi="Times New Roman" w:eastAsia="仿宋_GB2312" w:cs="Times New Roman"/>
                <w:i w:val="0"/>
                <w:iCs w:val="0"/>
                <w:sz w:val="24"/>
                <w:lang w:val="en-US" w:eastAsia="zh-CN"/>
              </w:rPr>
              <w:t>2.5</w:t>
            </w:r>
            <w:r>
              <w:rPr>
                <w:rFonts w:hint="default" w:ascii="Times New Roman" w:hAnsi="Times New Roman" w:eastAsia="仿宋_GB2312" w:cs="Times New Roman"/>
                <w:i w:val="0"/>
                <w:iCs w:val="0"/>
                <w:sz w:val="24"/>
                <w:lang w:val="en-US" w:eastAsia="zh-CN"/>
              </w:rPr>
              <w:t>分，每有一处内容存在缺陷，扣1分，扣完为止。</w:t>
            </w:r>
          </w:p>
          <w:p w14:paraId="07FF77BA">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6CDDB1C8">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10</w:t>
            </w:r>
          </w:p>
        </w:tc>
      </w:tr>
      <w:tr w14:paraId="117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vMerge w:val="restart"/>
            <w:noWrap w:val="0"/>
            <w:vAlign w:val="center"/>
          </w:tcPr>
          <w:p w14:paraId="269DA648">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c>
          <w:tcPr>
            <w:tcW w:w="1431" w:type="dxa"/>
            <w:vMerge w:val="continue"/>
            <w:noWrap w:val="0"/>
            <w:vAlign w:val="center"/>
          </w:tcPr>
          <w:p w14:paraId="5C64CBA3">
            <w:pPr>
              <w:jc w:val="center"/>
              <w:rPr>
                <w:rFonts w:hint="eastAsia" w:ascii="Times New Roman" w:hAnsi="Times New Roman" w:eastAsia="仿宋_GB2312" w:cs="Times New Roman"/>
                <w:i w:val="0"/>
                <w:iCs w:val="0"/>
                <w:kern w:val="2"/>
                <w:sz w:val="24"/>
                <w:szCs w:val="24"/>
                <w:lang w:val="zh-CN" w:eastAsia="zh-CN" w:bidi="ar-SA"/>
              </w:rPr>
            </w:pPr>
          </w:p>
        </w:tc>
        <w:tc>
          <w:tcPr>
            <w:tcW w:w="1192" w:type="dxa"/>
            <w:vMerge w:val="restart"/>
            <w:noWrap w:val="0"/>
            <w:vAlign w:val="center"/>
          </w:tcPr>
          <w:p w14:paraId="39A489FD">
            <w:pPr>
              <w:jc w:val="center"/>
              <w:rPr>
                <w:rFonts w:hint="eastAsia" w:ascii="Times New Roman" w:hAnsi="Times New Roman" w:eastAsia="仿宋_GB2312" w:cs="Times New Roman"/>
                <w:i w:val="0"/>
                <w:iCs w:val="0"/>
                <w:kern w:val="2"/>
                <w:sz w:val="24"/>
                <w:szCs w:val="24"/>
                <w:lang w:val="zh-CN" w:eastAsia="zh-CN" w:bidi="ar-SA"/>
              </w:rPr>
            </w:pPr>
            <w:r>
              <w:rPr>
                <w:rFonts w:hint="eastAsia" w:ascii="仿宋" w:hAnsi="仿宋" w:eastAsia="仿宋" w:cs="仿宋"/>
                <w:sz w:val="24"/>
                <w:szCs w:val="24"/>
                <w:lang w:eastAsia="zh-CN"/>
              </w:rPr>
              <w:t>项目组织机构</w:t>
            </w:r>
          </w:p>
        </w:tc>
        <w:tc>
          <w:tcPr>
            <w:tcW w:w="5382" w:type="dxa"/>
            <w:noWrap w:val="0"/>
            <w:vAlign w:val="center"/>
          </w:tcPr>
          <w:p w14:paraId="3A199D5F">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供应商提供针对本项目的组织架构及项目组人员配备（包含驻场人员），项目经理经验丰富，项目组成员分工合理、具有相关经验，并能提供相关证明材料（包含详细的人员信息、证书、岗位职责、相关经验证明、人员在职证明等）</w:t>
            </w:r>
          </w:p>
          <w:p w14:paraId="26FA61F1">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①人员安排合理，责任划分明确，证明材料全面，团队人员实力强，能完全满足项目实施需求计5分；</w:t>
            </w:r>
          </w:p>
          <w:p w14:paraId="14335E60">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②人员数量满足但岗位职责等划分模糊计3分；</w:t>
            </w:r>
          </w:p>
          <w:p w14:paraId="15597AA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③人员数量不足、证明材料不全计1分；</w:t>
            </w:r>
          </w:p>
          <w:p w14:paraId="3EC3C7CD">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未提供的不计分。</w:t>
            </w:r>
          </w:p>
        </w:tc>
        <w:tc>
          <w:tcPr>
            <w:tcW w:w="1224" w:type="dxa"/>
            <w:noWrap w:val="0"/>
            <w:vAlign w:val="center"/>
          </w:tcPr>
          <w:p w14:paraId="624F3C3A">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7F2A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vMerge w:val="continue"/>
            <w:noWrap w:val="0"/>
            <w:vAlign w:val="center"/>
          </w:tcPr>
          <w:p w14:paraId="06933F4D">
            <w:pPr>
              <w:pStyle w:val="22"/>
              <w:jc w:val="center"/>
              <w:rPr>
                <w:rFonts w:hint="eastAsia" w:ascii="Times New Roman" w:hAnsi="Times New Roman" w:eastAsia="仿宋_GB2312" w:cs="Times New Roman"/>
                <w:i w:val="0"/>
                <w:iCs w:val="0"/>
                <w:kern w:val="2"/>
                <w:sz w:val="24"/>
                <w:szCs w:val="24"/>
                <w:lang w:val="en-US" w:eastAsia="zh-CN" w:bidi="ar-SA"/>
              </w:rPr>
            </w:pPr>
          </w:p>
        </w:tc>
        <w:tc>
          <w:tcPr>
            <w:tcW w:w="1431" w:type="dxa"/>
            <w:vMerge w:val="continue"/>
            <w:noWrap w:val="0"/>
            <w:vAlign w:val="center"/>
          </w:tcPr>
          <w:p w14:paraId="3B6F13F3">
            <w:pPr>
              <w:jc w:val="center"/>
              <w:rPr>
                <w:rFonts w:hint="eastAsia" w:ascii="Times New Roman" w:hAnsi="Times New Roman" w:eastAsia="仿宋_GB2312" w:cs="Times New Roman"/>
                <w:i w:val="0"/>
                <w:iCs w:val="0"/>
                <w:kern w:val="2"/>
                <w:sz w:val="24"/>
                <w:szCs w:val="24"/>
                <w:lang w:val="zh-CN" w:eastAsia="zh-CN" w:bidi="ar-SA"/>
              </w:rPr>
            </w:pPr>
          </w:p>
        </w:tc>
        <w:tc>
          <w:tcPr>
            <w:tcW w:w="1192" w:type="dxa"/>
            <w:vMerge w:val="continue"/>
            <w:noWrap w:val="0"/>
            <w:vAlign w:val="center"/>
          </w:tcPr>
          <w:p w14:paraId="603BA49C">
            <w:pPr>
              <w:jc w:val="center"/>
              <w:rPr>
                <w:rFonts w:hint="eastAsia" w:ascii="仿宋" w:hAnsi="仿宋" w:eastAsia="仿宋" w:cs="仿宋"/>
                <w:sz w:val="24"/>
                <w:szCs w:val="24"/>
                <w:lang w:eastAsia="zh-CN"/>
              </w:rPr>
            </w:pPr>
          </w:p>
        </w:tc>
        <w:tc>
          <w:tcPr>
            <w:tcW w:w="5382" w:type="dxa"/>
            <w:noWrap w:val="0"/>
            <w:vAlign w:val="center"/>
          </w:tcPr>
          <w:p w14:paraId="6596A423">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拟投入</w:t>
            </w:r>
            <w:r>
              <w:rPr>
                <w:rFonts w:hint="eastAsia" w:eastAsia="仿宋_GB2312" w:cs="Times New Roman"/>
                <w:i w:val="0"/>
                <w:iCs w:val="0"/>
                <w:kern w:val="2"/>
                <w:sz w:val="24"/>
                <w:szCs w:val="24"/>
                <w:lang w:val="en-US" w:eastAsia="zh-CN" w:bidi="ar-SA"/>
              </w:rPr>
              <w:t>本</w:t>
            </w:r>
            <w:r>
              <w:rPr>
                <w:rFonts w:hint="default" w:ascii="Times New Roman" w:hAnsi="Times New Roman" w:eastAsia="仿宋_GB2312" w:cs="Times New Roman"/>
                <w:i w:val="0"/>
                <w:iCs w:val="0"/>
                <w:kern w:val="2"/>
                <w:sz w:val="24"/>
                <w:szCs w:val="24"/>
                <w:lang w:val="en-US" w:eastAsia="zh-CN" w:bidi="ar-SA"/>
              </w:rPr>
              <w:t>项目负责人具有</w:t>
            </w:r>
            <w:r>
              <w:rPr>
                <w:rFonts w:hint="eastAsia" w:eastAsia="仿宋_GB2312" w:cs="Times New Roman"/>
                <w:i w:val="0"/>
                <w:iCs w:val="0"/>
                <w:kern w:val="2"/>
                <w:sz w:val="24"/>
                <w:szCs w:val="24"/>
                <w:lang w:val="en-US" w:eastAsia="zh-CN" w:bidi="ar-SA"/>
              </w:rPr>
              <w:t>硕士及以上学历</w:t>
            </w:r>
            <w:r>
              <w:rPr>
                <w:rFonts w:hint="default" w:ascii="Times New Roman" w:hAnsi="Times New Roman" w:eastAsia="仿宋_GB2312" w:cs="Times New Roman"/>
                <w:i w:val="0"/>
                <w:iCs w:val="0"/>
                <w:kern w:val="2"/>
                <w:sz w:val="24"/>
                <w:szCs w:val="24"/>
                <w:lang w:val="en-US" w:eastAsia="zh-CN" w:bidi="ar-SA"/>
              </w:rPr>
              <w:t>，具有高级工程师证书</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每提供符合以上要求的一</w:t>
            </w:r>
            <w:r>
              <w:rPr>
                <w:rFonts w:hint="eastAsia" w:eastAsia="仿宋_GB2312" w:cs="Times New Roman"/>
                <w:i w:val="0"/>
                <w:iCs w:val="0"/>
                <w:kern w:val="2"/>
                <w:sz w:val="24"/>
                <w:szCs w:val="24"/>
                <w:lang w:val="en-US" w:eastAsia="zh-CN" w:bidi="ar-SA"/>
              </w:rPr>
              <w:t>项</w:t>
            </w:r>
            <w:r>
              <w:rPr>
                <w:rFonts w:hint="default" w:ascii="Times New Roman" w:hAnsi="Times New Roman" w:eastAsia="仿宋_GB2312" w:cs="Times New Roman"/>
                <w:i w:val="0"/>
                <w:iCs w:val="0"/>
                <w:kern w:val="2"/>
                <w:sz w:val="24"/>
                <w:szCs w:val="24"/>
                <w:lang w:val="en-US" w:eastAsia="zh-CN" w:bidi="ar-SA"/>
              </w:rPr>
              <w:t>得</w:t>
            </w:r>
            <w:r>
              <w:rPr>
                <w:rFonts w:hint="eastAsia" w:ascii="Times New Roman" w:hAnsi="Times New Roman" w:eastAsia="仿宋_GB2312" w:cs="Times New Roman"/>
                <w:i w:val="0"/>
                <w:iCs w:val="0"/>
                <w:kern w:val="2"/>
                <w:sz w:val="24"/>
                <w:szCs w:val="24"/>
                <w:lang w:val="en-US" w:eastAsia="zh-CN" w:bidi="ar-SA"/>
              </w:rPr>
              <w:t>2.5</w:t>
            </w:r>
            <w:r>
              <w:rPr>
                <w:rFonts w:hint="default" w:ascii="Times New Roman" w:hAnsi="Times New Roman" w:eastAsia="仿宋_GB2312" w:cs="Times New Roman"/>
                <w:i w:val="0"/>
                <w:iCs w:val="0"/>
                <w:kern w:val="2"/>
                <w:sz w:val="24"/>
                <w:szCs w:val="24"/>
                <w:lang w:val="en-US" w:eastAsia="zh-CN" w:bidi="ar-SA"/>
              </w:rPr>
              <w:t>分，最高得</w:t>
            </w:r>
            <w:r>
              <w:rPr>
                <w:rFonts w:hint="eastAsia" w:eastAsia="仿宋_GB2312" w:cs="Times New Roman"/>
                <w:i w:val="0"/>
                <w:iCs w:val="0"/>
                <w:kern w:val="2"/>
                <w:sz w:val="24"/>
                <w:szCs w:val="24"/>
                <w:lang w:val="en-US" w:eastAsia="zh-CN" w:bidi="ar-SA"/>
              </w:rPr>
              <w:t>5</w:t>
            </w:r>
            <w:r>
              <w:rPr>
                <w:rFonts w:hint="default" w:ascii="Times New Roman" w:hAnsi="Times New Roman" w:eastAsia="仿宋_GB2312" w:cs="Times New Roman"/>
                <w:i w:val="0"/>
                <w:iCs w:val="0"/>
                <w:kern w:val="2"/>
                <w:sz w:val="24"/>
                <w:szCs w:val="24"/>
                <w:lang w:val="en-US" w:eastAsia="zh-CN" w:bidi="ar-SA"/>
              </w:rPr>
              <w:t>分。</w:t>
            </w:r>
          </w:p>
          <w:p w14:paraId="68DD0882">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注：需提供相关人员身份证及证书复印件和证明以上人员为本单位人员的证明材料复印件（如劳动合同和社保，退休人员可以提供聘用协议）；</w:t>
            </w:r>
          </w:p>
          <w:p w14:paraId="1E74A8D4">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未按要求提供证明材料的不得分。</w:t>
            </w:r>
            <w:bookmarkStart w:id="501" w:name="_GoBack"/>
            <w:bookmarkEnd w:id="501"/>
          </w:p>
        </w:tc>
        <w:tc>
          <w:tcPr>
            <w:tcW w:w="1224" w:type="dxa"/>
            <w:noWrap w:val="0"/>
            <w:vAlign w:val="center"/>
          </w:tcPr>
          <w:p w14:paraId="5E9AC06E">
            <w:pPr>
              <w:jc w:val="center"/>
              <w:rPr>
                <w:rFonts w:hint="default"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5EF2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vMerge w:val="continue"/>
            <w:noWrap w:val="0"/>
            <w:vAlign w:val="center"/>
          </w:tcPr>
          <w:p w14:paraId="740A4394">
            <w:pPr>
              <w:pStyle w:val="22"/>
              <w:jc w:val="center"/>
              <w:rPr>
                <w:rFonts w:hint="eastAsia" w:ascii="Times New Roman" w:hAnsi="Times New Roman" w:eastAsia="仿宋_GB2312" w:cs="Times New Roman"/>
                <w:i w:val="0"/>
                <w:iCs w:val="0"/>
                <w:kern w:val="2"/>
                <w:sz w:val="24"/>
                <w:szCs w:val="24"/>
                <w:lang w:val="en-US" w:eastAsia="zh-CN" w:bidi="ar-SA"/>
              </w:rPr>
            </w:pPr>
          </w:p>
        </w:tc>
        <w:tc>
          <w:tcPr>
            <w:tcW w:w="1431" w:type="dxa"/>
            <w:vMerge w:val="continue"/>
            <w:noWrap w:val="0"/>
            <w:vAlign w:val="center"/>
          </w:tcPr>
          <w:p w14:paraId="54FC761A">
            <w:pPr>
              <w:jc w:val="center"/>
              <w:rPr>
                <w:rFonts w:hint="eastAsia" w:ascii="Times New Roman" w:hAnsi="Times New Roman" w:eastAsia="仿宋_GB2312" w:cs="Times New Roman"/>
                <w:i w:val="0"/>
                <w:iCs w:val="0"/>
                <w:kern w:val="2"/>
                <w:sz w:val="24"/>
                <w:szCs w:val="24"/>
                <w:lang w:val="zh-CN" w:eastAsia="zh-CN" w:bidi="ar-SA"/>
              </w:rPr>
            </w:pPr>
          </w:p>
        </w:tc>
        <w:tc>
          <w:tcPr>
            <w:tcW w:w="1192" w:type="dxa"/>
            <w:vMerge w:val="continue"/>
            <w:noWrap w:val="0"/>
            <w:vAlign w:val="center"/>
          </w:tcPr>
          <w:p w14:paraId="10DD9675">
            <w:pPr>
              <w:jc w:val="center"/>
              <w:rPr>
                <w:rFonts w:hint="eastAsia" w:ascii="仿宋" w:hAnsi="仿宋" w:eastAsia="仿宋" w:cs="仿宋"/>
                <w:sz w:val="24"/>
                <w:szCs w:val="24"/>
                <w:lang w:eastAsia="zh-CN"/>
              </w:rPr>
            </w:pPr>
          </w:p>
        </w:tc>
        <w:tc>
          <w:tcPr>
            <w:tcW w:w="5382" w:type="dxa"/>
            <w:noWrap w:val="0"/>
            <w:vAlign w:val="center"/>
          </w:tcPr>
          <w:p w14:paraId="0B9A1C5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项目团队人员具有</w:t>
            </w:r>
            <w:r>
              <w:rPr>
                <w:rFonts w:hint="eastAsia" w:eastAsia="仿宋_GB2312" w:cs="Times New Roman"/>
                <w:i w:val="0"/>
                <w:iCs w:val="0"/>
                <w:kern w:val="2"/>
                <w:sz w:val="24"/>
                <w:szCs w:val="24"/>
                <w:lang w:val="en-US" w:eastAsia="zh-CN" w:bidi="ar-SA"/>
              </w:rPr>
              <w:t>相关</w:t>
            </w:r>
            <w:r>
              <w:rPr>
                <w:rFonts w:hint="default" w:ascii="Times New Roman" w:hAnsi="Times New Roman" w:eastAsia="仿宋_GB2312" w:cs="Times New Roman"/>
                <w:i w:val="0"/>
                <w:iCs w:val="0"/>
                <w:kern w:val="2"/>
                <w:sz w:val="24"/>
                <w:szCs w:val="24"/>
                <w:lang w:val="en-US" w:eastAsia="zh-CN" w:bidi="ar-SA"/>
              </w:rPr>
              <w:t>专业</w:t>
            </w:r>
            <w:r>
              <w:rPr>
                <w:rFonts w:hint="eastAsia" w:eastAsia="仿宋_GB2312" w:cs="Times New Roman"/>
                <w:i w:val="0"/>
                <w:iCs w:val="0"/>
                <w:kern w:val="2"/>
                <w:sz w:val="24"/>
                <w:szCs w:val="24"/>
                <w:lang w:val="en-US" w:eastAsia="zh-CN" w:bidi="ar-SA"/>
              </w:rPr>
              <w:t>中级及以上职称</w:t>
            </w:r>
            <w:r>
              <w:rPr>
                <w:rFonts w:hint="default" w:ascii="Times New Roman" w:hAnsi="Times New Roman" w:eastAsia="仿宋_GB2312" w:cs="Times New Roman"/>
                <w:i w:val="0"/>
                <w:iCs w:val="0"/>
                <w:kern w:val="2"/>
                <w:sz w:val="24"/>
                <w:szCs w:val="24"/>
                <w:lang w:val="en-US" w:eastAsia="zh-CN" w:bidi="ar-SA"/>
              </w:rPr>
              <w:t>，</w:t>
            </w:r>
            <w:r>
              <w:rPr>
                <w:rFonts w:hint="eastAsia" w:eastAsia="仿宋_GB2312" w:cs="Times New Roman"/>
                <w:i w:val="0"/>
                <w:iCs w:val="0"/>
                <w:kern w:val="2"/>
                <w:sz w:val="24"/>
                <w:szCs w:val="24"/>
                <w:lang w:val="en-US" w:eastAsia="zh-CN" w:bidi="ar-SA"/>
              </w:rPr>
              <w:t>本科及以上学历；</w:t>
            </w:r>
            <w:r>
              <w:rPr>
                <w:rFonts w:hint="default" w:ascii="Times New Roman" w:hAnsi="Times New Roman" w:eastAsia="仿宋_GB2312" w:cs="Times New Roman"/>
                <w:i w:val="0"/>
                <w:iCs w:val="0"/>
                <w:kern w:val="2"/>
                <w:sz w:val="24"/>
                <w:szCs w:val="24"/>
                <w:lang w:val="en-US" w:eastAsia="zh-CN" w:bidi="ar-SA"/>
              </w:rPr>
              <w:t>每提供符合以上要求的一人得1分，最高得</w:t>
            </w:r>
            <w:r>
              <w:rPr>
                <w:rFonts w:hint="eastAsia" w:eastAsia="仿宋_GB2312" w:cs="Times New Roman"/>
                <w:i w:val="0"/>
                <w:iCs w:val="0"/>
                <w:kern w:val="2"/>
                <w:sz w:val="24"/>
                <w:szCs w:val="24"/>
                <w:lang w:val="en-US" w:eastAsia="zh-CN" w:bidi="ar-SA"/>
              </w:rPr>
              <w:t>5</w:t>
            </w:r>
            <w:r>
              <w:rPr>
                <w:rFonts w:hint="default" w:ascii="Times New Roman" w:hAnsi="Times New Roman" w:eastAsia="仿宋_GB2312" w:cs="Times New Roman"/>
                <w:i w:val="0"/>
                <w:iCs w:val="0"/>
                <w:kern w:val="2"/>
                <w:sz w:val="24"/>
                <w:szCs w:val="24"/>
                <w:lang w:val="en-US" w:eastAsia="zh-CN" w:bidi="ar-SA"/>
              </w:rPr>
              <w:t>分。</w:t>
            </w:r>
          </w:p>
          <w:p w14:paraId="1A83B74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注：需提供相关人员身份证及证书复印件和证明以上人员为本单位人员的证明材料复印件（如劳动合同和社保，退休人员可以提供聘用协议）；</w:t>
            </w:r>
          </w:p>
          <w:p w14:paraId="6C4DD411">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未按要求提供证明材料的不得分。</w:t>
            </w:r>
          </w:p>
        </w:tc>
        <w:tc>
          <w:tcPr>
            <w:tcW w:w="1224" w:type="dxa"/>
            <w:noWrap w:val="0"/>
            <w:vAlign w:val="center"/>
          </w:tcPr>
          <w:p w14:paraId="125FC791">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345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7" w:type="dxa"/>
            <w:noWrap w:val="0"/>
            <w:vAlign w:val="center"/>
          </w:tcPr>
          <w:p w14:paraId="6B0C3DB3">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6</w:t>
            </w:r>
          </w:p>
        </w:tc>
        <w:tc>
          <w:tcPr>
            <w:tcW w:w="1431" w:type="dxa"/>
            <w:vMerge w:val="continue"/>
            <w:noWrap w:val="0"/>
            <w:vAlign w:val="center"/>
          </w:tcPr>
          <w:p w14:paraId="3E15986C">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36981D00">
            <w:pPr>
              <w:widowControl/>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售后及服务承诺</w:t>
            </w:r>
          </w:p>
        </w:tc>
        <w:tc>
          <w:tcPr>
            <w:tcW w:w="5382" w:type="dxa"/>
            <w:noWrap w:val="0"/>
            <w:vAlign w:val="center"/>
          </w:tcPr>
          <w:p w14:paraId="6B45F045">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提供切实可行的售后服务方案，服务响应高效、服务标准和服务承诺明确具体，包括但不限于项目完成期限内质量</w:t>
            </w:r>
            <w:r>
              <w:rPr>
                <w:rFonts w:hint="eastAsia" w:eastAsia="仿宋_GB2312" w:cs="Times New Roman"/>
                <w:i w:val="0"/>
                <w:iCs w:val="0"/>
                <w:kern w:val="2"/>
                <w:sz w:val="24"/>
                <w:szCs w:val="24"/>
                <w:lang w:val="zh-CN" w:eastAsia="zh-CN" w:bidi="ar-SA"/>
              </w:rPr>
              <w:t>、进度</w:t>
            </w:r>
            <w:r>
              <w:rPr>
                <w:rFonts w:hint="eastAsia" w:ascii="Times New Roman" w:hAnsi="Times New Roman" w:eastAsia="仿宋_GB2312" w:cs="Times New Roman"/>
                <w:i w:val="0"/>
                <w:iCs w:val="0"/>
                <w:kern w:val="2"/>
                <w:sz w:val="24"/>
                <w:szCs w:val="24"/>
                <w:lang w:val="zh-CN" w:eastAsia="zh-CN" w:bidi="ar-SA"/>
              </w:rPr>
              <w:t>保证、</w:t>
            </w:r>
            <w:r>
              <w:rPr>
                <w:rFonts w:hint="eastAsia" w:eastAsia="仿宋_GB2312" w:cs="Times New Roman"/>
                <w:i w:val="0"/>
                <w:iCs w:val="0"/>
                <w:kern w:val="2"/>
                <w:sz w:val="24"/>
                <w:szCs w:val="24"/>
                <w:lang w:val="zh-CN" w:eastAsia="zh-CN" w:bidi="ar-SA"/>
              </w:rPr>
              <w:t>项目方案策划的修改与完善</w:t>
            </w:r>
            <w:r>
              <w:rPr>
                <w:rFonts w:hint="eastAsia" w:ascii="Times New Roman" w:hAnsi="Times New Roman" w:eastAsia="仿宋_GB2312" w:cs="Times New Roman"/>
                <w:i w:val="0"/>
                <w:iCs w:val="0"/>
                <w:kern w:val="2"/>
                <w:sz w:val="24"/>
                <w:szCs w:val="24"/>
                <w:lang w:val="zh-CN" w:eastAsia="zh-CN" w:bidi="ar-SA"/>
              </w:rPr>
              <w:t>、出现质量问题时的补救措施等。</w:t>
            </w:r>
          </w:p>
          <w:p w14:paraId="39410C3A">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①方案科学合理详细，针对性强，服务标准严格、服务响应高效、流程清晰易行，服务措施完善，可操作性强计5分；</w:t>
            </w:r>
          </w:p>
          <w:p w14:paraId="25CD646F">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②方案基本合理，服务标准尚且规范、服务响应尚可接受、服务流程较清楚，有一定针对性和可操作性计3分；</w:t>
            </w:r>
          </w:p>
          <w:p w14:paraId="630C4E7F">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③方案无针对性、语言不详计1分。</w:t>
            </w:r>
          </w:p>
          <w:p w14:paraId="6535E78E">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未提供不得分。</w:t>
            </w:r>
          </w:p>
        </w:tc>
        <w:tc>
          <w:tcPr>
            <w:tcW w:w="1224" w:type="dxa"/>
            <w:noWrap w:val="0"/>
            <w:vAlign w:val="center"/>
          </w:tcPr>
          <w:p w14:paraId="2E81DE59">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67E7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78871E4B">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7</w:t>
            </w:r>
          </w:p>
        </w:tc>
        <w:tc>
          <w:tcPr>
            <w:tcW w:w="1431" w:type="dxa"/>
            <w:vMerge w:val="continue"/>
            <w:noWrap w:val="0"/>
            <w:vAlign w:val="center"/>
          </w:tcPr>
          <w:p w14:paraId="51D5B52D">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8ABC39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仿宋" w:hAnsi="仿宋" w:eastAsia="仿宋" w:cs="仿宋"/>
                <w:i w:val="0"/>
                <w:iCs w:val="0"/>
                <w:sz w:val="24"/>
                <w:szCs w:val="24"/>
                <w:lang w:val="en-US" w:eastAsia="zh-CN"/>
              </w:rPr>
              <w:t>进度计划及保障措施</w:t>
            </w:r>
          </w:p>
        </w:tc>
        <w:tc>
          <w:tcPr>
            <w:tcW w:w="5382" w:type="dxa"/>
            <w:noWrap w:val="0"/>
            <w:vAlign w:val="center"/>
          </w:tcPr>
          <w:p w14:paraId="1109B101">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据供应商针对本项目制定进度计划及相应的质量、安全、进度保障措施，措施包括但不限于：①整体服务进度规划；②质量保障措施、</w:t>
            </w:r>
            <w:r>
              <w:rPr>
                <w:rFonts w:hint="eastAsia" w:eastAsia="仿宋_GB2312" w:cs="Times New Roman"/>
                <w:i w:val="0"/>
                <w:iCs w:val="0"/>
                <w:kern w:val="2"/>
                <w:sz w:val="24"/>
                <w:szCs w:val="24"/>
                <w:lang w:val="zh-CN" w:eastAsia="zh-CN" w:bidi="ar-SA"/>
              </w:rPr>
              <w:t>③</w:t>
            </w:r>
            <w:r>
              <w:rPr>
                <w:rFonts w:hint="eastAsia" w:ascii="Times New Roman" w:hAnsi="Times New Roman" w:eastAsia="仿宋_GB2312" w:cs="Times New Roman"/>
                <w:i w:val="0"/>
                <w:iCs w:val="0"/>
                <w:kern w:val="2"/>
                <w:sz w:val="24"/>
                <w:szCs w:val="24"/>
                <w:lang w:val="zh-CN" w:eastAsia="zh-CN" w:bidi="ar-SA"/>
              </w:rPr>
              <w:t>安全保障措施；</w:t>
            </w:r>
            <w:r>
              <w:rPr>
                <w:rFonts w:hint="eastAsia" w:eastAsia="仿宋_GB2312" w:cs="Times New Roman"/>
                <w:i w:val="0"/>
                <w:iCs w:val="0"/>
                <w:kern w:val="2"/>
                <w:sz w:val="24"/>
                <w:szCs w:val="24"/>
                <w:lang w:val="zh-CN" w:eastAsia="zh-CN" w:bidi="ar-SA"/>
              </w:rPr>
              <w:t>④</w:t>
            </w:r>
            <w:r>
              <w:rPr>
                <w:rFonts w:hint="eastAsia" w:ascii="Times New Roman" w:hAnsi="Times New Roman" w:eastAsia="仿宋_GB2312" w:cs="Times New Roman"/>
                <w:i w:val="0"/>
                <w:iCs w:val="0"/>
                <w:kern w:val="2"/>
                <w:sz w:val="24"/>
                <w:szCs w:val="24"/>
                <w:lang w:val="zh-CN" w:eastAsia="zh-CN" w:bidi="ar-SA"/>
              </w:rPr>
              <w:t>进度控制措施；进度计划及</w:t>
            </w:r>
            <w:r>
              <w:rPr>
                <w:rFonts w:hint="eastAsia" w:eastAsia="仿宋_GB2312" w:cs="Times New Roman"/>
                <w:i w:val="0"/>
                <w:iCs w:val="0"/>
                <w:kern w:val="2"/>
                <w:sz w:val="24"/>
                <w:szCs w:val="24"/>
                <w:lang w:val="zh-CN" w:eastAsia="zh-CN" w:bidi="ar-SA"/>
              </w:rPr>
              <w:t>保障</w:t>
            </w:r>
            <w:r>
              <w:rPr>
                <w:rFonts w:hint="eastAsia" w:ascii="Times New Roman" w:hAnsi="Times New Roman" w:eastAsia="仿宋_GB2312" w:cs="Times New Roman"/>
                <w:i w:val="0"/>
                <w:iCs w:val="0"/>
                <w:kern w:val="2"/>
                <w:sz w:val="24"/>
                <w:szCs w:val="24"/>
                <w:lang w:val="zh-CN" w:eastAsia="zh-CN" w:bidi="ar-SA"/>
              </w:rPr>
              <w:t>措施应切合本项目实际情况，条理清晰，内容详实、合理，完全满足采购需求。根据方案的内容从方案的全面行、合理性、可行性等方面进行赋分，每项内容</w:t>
            </w:r>
            <w:r>
              <w:rPr>
                <w:rFonts w:hint="eastAsia" w:eastAsia="仿宋_GB2312" w:cs="Times New Roman"/>
                <w:i w:val="0"/>
                <w:iCs w:val="0"/>
                <w:kern w:val="2"/>
                <w:sz w:val="24"/>
                <w:szCs w:val="24"/>
                <w:lang w:val="en-US" w:eastAsia="zh-CN" w:bidi="ar-SA"/>
              </w:rPr>
              <w:t>2.5</w:t>
            </w:r>
            <w:r>
              <w:rPr>
                <w:rFonts w:hint="eastAsia" w:ascii="Times New Roman" w:hAnsi="Times New Roman" w:eastAsia="仿宋_GB2312" w:cs="Times New Roman"/>
                <w:i w:val="0"/>
                <w:iCs w:val="0"/>
                <w:kern w:val="2"/>
                <w:sz w:val="24"/>
                <w:szCs w:val="24"/>
                <w:lang w:val="zh-CN" w:eastAsia="zh-CN" w:bidi="ar-SA"/>
              </w:rPr>
              <w:t>分，最多得</w:t>
            </w:r>
            <w:r>
              <w:rPr>
                <w:rFonts w:hint="eastAsia"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eastAsia="仿宋_GB2312" w:cs="Times New Roman"/>
                <w:i w:val="0"/>
                <w:iCs w:val="0"/>
                <w:kern w:val="2"/>
                <w:sz w:val="24"/>
                <w:szCs w:val="24"/>
                <w:lang w:val="en-US" w:eastAsia="zh-CN" w:bidi="ar-SA"/>
              </w:rPr>
              <w:t>2.5</w:t>
            </w:r>
            <w:r>
              <w:rPr>
                <w:rFonts w:hint="eastAsia" w:ascii="Times New Roman" w:hAnsi="Times New Roman" w:eastAsia="仿宋_GB2312" w:cs="Times New Roman"/>
                <w:i w:val="0"/>
                <w:iCs w:val="0"/>
                <w:kern w:val="2"/>
                <w:sz w:val="24"/>
                <w:szCs w:val="24"/>
                <w:lang w:val="zh-CN" w:eastAsia="zh-CN" w:bidi="ar-SA"/>
              </w:rPr>
              <w:t>分，每有一处内容存在缺陷，扣1分，扣完为止。</w:t>
            </w:r>
          </w:p>
          <w:p w14:paraId="06B5C8D0">
            <w:pPr>
              <w:snapToGrid w:val="0"/>
              <w:jc w:val="both"/>
              <w:rPr>
                <w:rFonts w:hint="eastAsia" w:ascii="Times New Roman" w:hAnsi="Times New Roman" w:eastAsia="仿宋_GB2312" w:cs="Times New Roman"/>
                <w:i w:val="0"/>
                <w:iCs w:val="0"/>
                <w:kern w:val="2"/>
                <w:sz w:val="24"/>
                <w:szCs w:val="24"/>
                <w:lang w:val="zh-CN" w:eastAsia="zh-CN" w:bidi="ar-SA"/>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4E838CCA">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10</w:t>
            </w:r>
          </w:p>
        </w:tc>
      </w:tr>
      <w:tr w14:paraId="260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7" w:type="dxa"/>
            <w:noWrap w:val="0"/>
            <w:vAlign w:val="center"/>
          </w:tcPr>
          <w:p w14:paraId="6D6101B9">
            <w:pPr>
              <w:snapToGrid w:val="0"/>
              <w:jc w:val="center"/>
              <w:rPr>
                <w:rFonts w:hint="eastAsia"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8</w:t>
            </w:r>
          </w:p>
        </w:tc>
        <w:tc>
          <w:tcPr>
            <w:tcW w:w="1431" w:type="dxa"/>
            <w:noWrap w:val="0"/>
            <w:vAlign w:val="center"/>
          </w:tcPr>
          <w:p w14:paraId="295EE98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价格</w:t>
            </w:r>
          </w:p>
        </w:tc>
        <w:tc>
          <w:tcPr>
            <w:tcW w:w="1192" w:type="dxa"/>
            <w:noWrap w:val="0"/>
            <w:vAlign w:val="center"/>
          </w:tcPr>
          <w:p w14:paraId="4AA6347F">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报价得分</w:t>
            </w:r>
          </w:p>
        </w:tc>
        <w:tc>
          <w:tcPr>
            <w:tcW w:w="5382" w:type="dxa"/>
            <w:noWrap w:val="0"/>
            <w:vAlign w:val="top"/>
          </w:tcPr>
          <w:p w14:paraId="1256532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1.评审基准价：效响应文件中的最后报价为评审基准价。</w:t>
            </w:r>
          </w:p>
          <w:p w14:paraId="06ACE86C">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2.供应商报价得分：报价得分=（评审基准价／最后报价）×1</w:t>
            </w:r>
            <w:r>
              <w:rPr>
                <w:rFonts w:hint="eastAsia" w:ascii="Times New Roman" w:hAnsi="Times New Roman" w:eastAsia="仿宋_GB2312" w:cs="Times New Roman"/>
                <w:i w:val="0"/>
                <w:iCs w:val="0"/>
                <w:kern w:val="2"/>
                <w:sz w:val="24"/>
                <w:szCs w:val="24"/>
                <w:lang w:val="en-US" w:eastAsia="zh-CN" w:bidi="ar-SA"/>
              </w:rPr>
              <w:t>0</w:t>
            </w:r>
            <w:r>
              <w:rPr>
                <w:rFonts w:hint="eastAsia" w:ascii="Times New Roman" w:hAnsi="Times New Roman" w:eastAsia="仿宋_GB2312" w:cs="Times New Roman"/>
                <w:i w:val="0"/>
                <w:iCs w:val="0"/>
                <w:kern w:val="2"/>
                <w:sz w:val="24"/>
                <w:szCs w:val="24"/>
                <w:lang w:val="zh-CN" w:eastAsia="zh-CN" w:bidi="ar-SA"/>
              </w:rPr>
              <w:t>。</w:t>
            </w:r>
          </w:p>
          <w:p w14:paraId="5F2883D2">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b/>
                <w:bCs/>
                <w:i w:val="0"/>
                <w:iCs w:val="0"/>
                <w:kern w:val="2"/>
                <w:sz w:val="24"/>
                <w:szCs w:val="24"/>
                <w:lang w:val="zh-CN" w:eastAsia="zh-CN" w:bidi="ar-SA"/>
              </w:rPr>
              <w:t>本项目为专门面向中小企业采购的项目不进行价格扣除。</w:t>
            </w:r>
          </w:p>
        </w:tc>
        <w:tc>
          <w:tcPr>
            <w:tcW w:w="1224" w:type="dxa"/>
            <w:noWrap w:val="0"/>
            <w:vAlign w:val="center"/>
          </w:tcPr>
          <w:p w14:paraId="5D019357">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bl>
    <w:p w14:paraId="2C5BA803">
      <w:pPr>
        <w:jc w:val="both"/>
        <w:rPr>
          <w:rFonts w:eastAsia="仿宋_GB2312"/>
          <w:b/>
          <w:kern w:val="0"/>
          <w:sz w:val="30"/>
          <w:szCs w:val="30"/>
        </w:rPr>
      </w:pPr>
      <w:r>
        <w:rPr>
          <w:rFonts w:eastAsia="仿宋_GB2312"/>
          <w:szCs w:val="21"/>
        </w:rPr>
        <w:br w:type="page"/>
      </w:r>
    </w:p>
    <w:p w14:paraId="1908425F">
      <w:pPr>
        <w:pStyle w:val="50"/>
        <w:spacing w:line="360" w:lineRule="auto"/>
        <w:rPr>
          <w:rStyle w:val="207"/>
          <w:rFonts w:ascii="Times New Roman" w:hAnsi="Times New Roman" w:eastAsia="宋体"/>
          <w:sz w:val="36"/>
          <w:szCs w:val="36"/>
        </w:rPr>
      </w:pPr>
      <w:bookmarkStart w:id="406" w:name="_Toc68590979"/>
      <w:r>
        <w:rPr>
          <w:rStyle w:val="207"/>
          <w:rFonts w:ascii="Times New Roman" w:hAnsi="Times New Roman" w:eastAsia="宋体"/>
          <w:sz w:val="36"/>
          <w:szCs w:val="36"/>
        </w:rPr>
        <w:t xml:space="preserve">第四章  </w:t>
      </w:r>
      <w:bookmarkEnd w:id="19"/>
      <w:bookmarkEnd w:id="388"/>
      <w:bookmarkEnd w:id="389"/>
      <w:bookmarkEnd w:id="406"/>
      <w:bookmarkStart w:id="407" w:name="_Toc230583552"/>
      <w:bookmarkStart w:id="408" w:name="_Toc256342152"/>
      <w:bookmarkStart w:id="409" w:name="_Toc184043058"/>
      <w:bookmarkStart w:id="410" w:name="_Toc415499897"/>
      <w:bookmarkStart w:id="411" w:name="_Toc230099803"/>
      <w:bookmarkStart w:id="412" w:name="_Toc28450"/>
      <w:bookmarkStart w:id="413" w:name="_Toc503063458"/>
      <w:bookmarkStart w:id="414" w:name="_Toc499711928"/>
      <w:bookmarkStart w:id="415" w:name="_Toc177189245"/>
      <w:bookmarkStart w:id="416" w:name="_Toc232395222"/>
      <w:bookmarkStart w:id="417" w:name="_Toc230013638"/>
      <w:bookmarkStart w:id="418" w:name="_Toc249525250"/>
      <w:bookmarkStart w:id="419" w:name="_Toc70687202"/>
      <w:bookmarkStart w:id="420" w:name="_Toc53722865"/>
      <w:bookmarkStart w:id="421" w:name="_Toc500747233"/>
      <w:bookmarkStart w:id="422" w:name="_Toc496324623"/>
      <w:bookmarkStart w:id="423" w:name="_Toc176882552"/>
      <w:bookmarkStart w:id="424" w:name="_Toc249515482"/>
      <w:bookmarkStart w:id="425" w:name="_Toc492955459"/>
      <w:bookmarkStart w:id="426" w:name="_Toc177817344"/>
      <w:bookmarkStart w:id="427" w:name="_Toc177995483"/>
      <w:bookmarkStart w:id="428" w:name="_Toc500747106"/>
      <w:bookmarkStart w:id="429" w:name="_Toc232176282"/>
      <w:bookmarkStart w:id="430" w:name="_Toc500747010"/>
      <w:bookmarkStart w:id="431" w:name="_Toc249515369"/>
      <w:bookmarkStart w:id="432" w:name="_Toc499711087"/>
      <w:r>
        <w:rPr>
          <w:rStyle w:val="207"/>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0BBC9873">
      <w:pPr>
        <w:jc w:val="center"/>
        <w:rPr>
          <w:rFonts w:hint="eastAsia" w:ascii="楷体" w:hAnsi="楷体" w:eastAsia="楷体" w:cs="楷体"/>
          <w:b/>
          <w:bCs/>
          <w:sz w:val="52"/>
        </w:rPr>
      </w:pPr>
      <w:r>
        <w:rPr>
          <w:rFonts w:hint="eastAsia" w:ascii="楷体" w:hAnsi="楷体" w:eastAsia="楷体" w:cs="楷体"/>
          <w:b/>
          <w:bCs/>
          <w:sz w:val="52"/>
        </w:rPr>
        <w:t>技术服务（委托）合同</w:t>
      </w:r>
    </w:p>
    <w:p w14:paraId="6F79BA50">
      <w:pPr>
        <w:jc w:val="center"/>
        <w:rPr>
          <w:rFonts w:hint="eastAsia" w:ascii="楷体" w:hAnsi="楷体" w:eastAsia="楷体" w:cs="楷体"/>
          <w:sz w:val="36"/>
        </w:rPr>
      </w:pPr>
    </w:p>
    <w:p w14:paraId="741995DD">
      <w:pPr>
        <w:spacing w:line="312" w:lineRule="auto"/>
        <w:rPr>
          <w:rFonts w:hint="eastAsia" w:ascii="楷体" w:hAnsi="楷体" w:eastAsia="楷体" w:cs="楷体"/>
          <w:b/>
          <w:bCs/>
          <w:spacing w:val="114"/>
          <w:sz w:val="36"/>
        </w:rPr>
      </w:pPr>
    </w:p>
    <w:p w14:paraId="04E6CB53">
      <w:pPr>
        <w:keepNext w:val="0"/>
        <w:keepLines w:val="0"/>
        <w:pageBreakBefore w:val="0"/>
        <w:kinsoku/>
        <w:wordWrap/>
        <w:overflowPunct/>
        <w:topLinePunct w:val="0"/>
        <w:autoSpaceDE w:val="0"/>
        <w:autoSpaceDN w:val="0"/>
        <w:bidi w:val="0"/>
        <w:adjustRightInd w:val="0"/>
        <w:snapToGrid w:val="0"/>
        <w:spacing w:line="700" w:lineRule="exact"/>
        <w:ind w:left="2735" w:hanging="2735" w:hangingChars="464"/>
        <w:textAlignment w:val="auto"/>
        <w:rPr>
          <w:rFonts w:hint="eastAsia" w:ascii="楷体" w:hAnsi="楷体" w:eastAsia="楷体" w:cs="楷体"/>
          <w:b/>
          <w:bCs/>
          <w:sz w:val="36"/>
          <w:szCs w:val="36"/>
          <w:u w:val="single"/>
        </w:rPr>
      </w:pPr>
      <w:r>
        <w:rPr>
          <w:rFonts w:hint="eastAsia" w:ascii="楷体" w:hAnsi="楷体" w:eastAsia="楷体" w:cs="楷体"/>
          <w:b/>
          <w:bCs/>
          <w:spacing w:val="114"/>
          <w:sz w:val="36"/>
          <w:szCs w:val="36"/>
        </w:rPr>
        <w:t>项目名称</w:t>
      </w:r>
      <w:r>
        <w:rPr>
          <w:rFonts w:hint="eastAsia" w:ascii="楷体" w:hAnsi="楷体" w:eastAsia="楷体" w:cs="楷体"/>
          <w:b/>
          <w:bCs/>
          <w:sz w:val="36"/>
          <w:szCs w:val="36"/>
        </w:rPr>
        <w:t>：</w:t>
      </w:r>
      <w:r>
        <w:rPr>
          <w:rFonts w:hint="eastAsia" w:ascii="楷体" w:hAnsi="楷体" w:eastAsia="楷体" w:cs="楷体"/>
          <w:b/>
          <w:bCs/>
          <w:color w:val="000000"/>
          <w:sz w:val="36"/>
          <w:szCs w:val="36"/>
          <w:u w:val="single"/>
          <w:lang w:val="en-US" w:eastAsia="zh-CN"/>
        </w:rPr>
        <w:t xml:space="preserve">     </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1719C631">
      <w:pPr>
        <w:pStyle w:val="2"/>
        <w:keepNext w:val="0"/>
        <w:keepLines w:val="0"/>
        <w:pageBreakBefore w:val="0"/>
        <w:widowControl/>
        <w:shd w:val="clear" w:color="auto" w:fill="FFFFFF"/>
        <w:kinsoku/>
        <w:wordWrap/>
        <w:overflowPunct/>
        <w:topLinePunct w:val="0"/>
        <w:bidi w:val="0"/>
        <w:spacing w:before="0" w:beforeAutospacing="0" w:after="0" w:afterAutospacing="0" w:line="700" w:lineRule="exact"/>
        <w:textAlignment w:val="auto"/>
        <w:rPr>
          <w:rFonts w:hint="eastAsia" w:ascii="楷体" w:hAnsi="楷体" w:eastAsia="楷体" w:cs="楷体"/>
          <w:b/>
          <w:bCs/>
          <w:sz w:val="36"/>
          <w:szCs w:val="36"/>
        </w:rPr>
      </w:pPr>
    </w:p>
    <w:p w14:paraId="6AE9D203">
      <w:pPr>
        <w:keepNext w:val="0"/>
        <w:keepLines w:val="0"/>
        <w:pageBreakBefore w:val="0"/>
        <w:kinsoku/>
        <w:wordWrap/>
        <w:overflowPunct/>
        <w:topLinePunct w:val="0"/>
        <w:bidi w:val="0"/>
        <w:spacing w:line="700" w:lineRule="exact"/>
        <w:textAlignment w:val="auto"/>
        <w:rPr>
          <w:rFonts w:hint="eastAsia" w:ascii="楷体" w:hAnsi="楷体" w:eastAsia="楷体" w:cs="楷体"/>
          <w:b/>
          <w:bCs/>
          <w:kern w:val="2"/>
          <w:sz w:val="36"/>
          <w:szCs w:val="36"/>
          <w:u w:val="single"/>
          <w:lang w:val="en-US" w:eastAsia="zh-CN"/>
        </w:rPr>
      </w:pPr>
      <w:r>
        <w:rPr>
          <w:rFonts w:hint="eastAsia" w:ascii="楷体" w:hAnsi="楷体" w:eastAsia="楷体" w:cs="楷体"/>
          <w:b/>
          <w:bCs/>
          <w:sz w:val="36"/>
          <w:szCs w:val="36"/>
        </w:rPr>
        <w:t>委托方（甲方）：</w:t>
      </w:r>
      <w:r>
        <w:rPr>
          <w:rFonts w:hint="eastAsia" w:ascii="楷体" w:hAnsi="楷体" w:eastAsia="楷体" w:cs="楷体"/>
          <w:b/>
          <w:bCs/>
          <w:kern w:val="2"/>
          <w:sz w:val="36"/>
          <w:szCs w:val="36"/>
          <w:u w:val="single"/>
          <w:lang w:val="en-US" w:eastAsia="zh-CN"/>
        </w:rPr>
        <w:t xml:space="preserve">                        </w:t>
      </w:r>
    </w:p>
    <w:p w14:paraId="72A7EDB4">
      <w:pPr>
        <w:keepNext w:val="0"/>
        <w:keepLines w:val="0"/>
        <w:pageBreakBefore w:val="0"/>
        <w:kinsoku/>
        <w:wordWrap/>
        <w:overflowPunct/>
        <w:topLinePunct w:val="0"/>
        <w:bidi w:val="0"/>
        <w:spacing w:line="700" w:lineRule="exact"/>
        <w:ind w:right="-426" w:rightChars="-203"/>
        <w:textAlignment w:val="auto"/>
        <w:rPr>
          <w:rFonts w:hint="eastAsia" w:ascii="楷体" w:hAnsi="楷体" w:eastAsia="楷体" w:cs="楷体"/>
          <w:b/>
          <w:bCs/>
          <w:sz w:val="36"/>
          <w:szCs w:val="36"/>
          <w:u w:val="single"/>
        </w:rPr>
      </w:pPr>
    </w:p>
    <w:p w14:paraId="31838EE1">
      <w:pPr>
        <w:keepNext w:val="0"/>
        <w:keepLines w:val="0"/>
        <w:pageBreakBefore w:val="0"/>
        <w:kinsoku/>
        <w:wordWrap/>
        <w:overflowPunct/>
        <w:topLinePunct w:val="0"/>
        <w:bidi w:val="0"/>
        <w:spacing w:line="700" w:lineRule="exact"/>
        <w:ind w:right="-15"/>
        <w:textAlignment w:val="auto"/>
        <w:rPr>
          <w:rFonts w:hint="eastAsia" w:ascii="楷体" w:hAnsi="楷体" w:eastAsia="楷体" w:cs="楷体"/>
          <w:b/>
          <w:bCs/>
          <w:sz w:val="36"/>
          <w:szCs w:val="36"/>
        </w:rPr>
      </w:pPr>
      <w:r>
        <w:rPr>
          <w:rFonts w:hint="eastAsia" w:ascii="楷体" w:hAnsi="楷体" w:eastAsia="楷体" w:cs="楷体"/>
          <w:b/>
          <w:bCs/>
          <w:sz w:val="36"/>
          <w:szCs w:val="36"/>
        </w:rPr>
        <w:t>受托方（乙方）：</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54994A54">
      <w:pPr>
        <w:keepNext w:val="0"/>
        <w:keepLines w:val="0"/>
        <w:pageBreakBefore w:val="0"/>
        <w:kinsoku/>
        <w:wordWrap/>
        <w:overflowPunct/>
        <w:topLinePunct w:val="0"/>
        <w:bidi w:val="0"/>
        <w:spacing w:line="700" w:lineRule="exact"/>
        <w:ind w:left="-540" w:right="-15"/>
        <w:textAlignment w:val="auto"/>
        <w:rPr>
          <w:rFonts w:hint="eastAsia" w:ascii="楷体" w:hAnsi="楷体" w:eastAsia="楷体" w:cs="楷体"/>
          <w:b/>
          <w:bCs/>
          <w:sz w:val="36"/>
          <w:szCs w:val="36"/>
          <w:u w:val="single"/>
        </w:rPr>
      </w:pPr>
    </w:p>
    <w:p w14:paraId="554E772F">
      <w:pPr>
        <w:keepNext w:val="0"/>
        <w:keepLines w:val="0"/>
        <w:pageBreakBefore w:val="0"/>
        <w:kinsoku/>
        <w:wordWrap/>
        <w:overflowPunct/>
        <w:topLinePunct w:val="0"/>
        <w:bidi w:val="0"/>
        <w:spacing w:line="700" w:lineRule="exact"/>
        <w:ind w:left="-180" w:right="-15"/>
        <w:textAlignment w:val="auto"/>
        <w:rPr>
          <w:rFonts w:hint="eastAsia" w:ascii="楷体" w:hAnsi="楷体" w:eastAsia="楷体" w:cs="楷体"/>
          <w:b/>
          <w:bCs/>
          <w:sz w:val="36"/>
          <w:szCs w:val="36"/>
          <w:u w:val="single"/>
        </w:rPr>
      </w:pPr>
      <w:r>
        <w:rPr>
          <w:rFonts w:hint="eastAsia" w:ascii="楷体" w:hAnsi="楷体" w:eastAsia="楷体" w:cs="楷体"/>
          <w:b/>
          <w:bCs/>
          <w:sz w:val="36"/>
          <w:szCs w:val="36"/>
        </w:rPr>
        <w:t xml:space="preserve"> 签  订  时  间：</w:t>
      </w:r>
      <w:r>
        <w:rPr>
          <w:rFonts w:hint="eastAsia" w:ascii="楷体" w:hAnsi="楷体" w:eastAsia="楷体" w:cs="楷体"/>
          <w:b/>
          <w:bCs/>
          <w:sz w:val="36"/>
          <w:szCs w:val="36"/>
          <w:u w:val="single"/>
        </w:rPr>
        <w:t xml:space="preserve">   </w:t>
      </w:r>
      <w:r>
        <w:rPr>
          <w:rFonts w:hint="eastAsia" w:ascii="楷体" w:hAnsi="楷体" w:eastAsia="楷体" w:cs="楷体"/>
          <w:b/>
          <w:bCs/>
          <w:sz w:val="36"/>
          <w:szCs w:val="36"/>
          <w:u w:val="single"/>
          <w:lang w:val="en-US" w:eastAsia="zh-CN"/>
        </w:rPr>
        <w:t xml:space="preserve"> </w:t>
      </w:r>
      <w:r>
        <w:rPr>
          <w:rFonts w:hint="eastAsia" w:ascii="楷体" w:hAnsi="楷体" w:eastAsia="楷体" w:cs="楷体"/>
          <w:b/>
          <w:bCs/>
          <w:sz w:val="36"/>
          <w:szCs w:val="36"/>
          <w:u w:val="single"/>
        </w:rPr>
        <w:t xml:space="preserve">                    </w:t>
      </w:r>
    </w:p>
    <w:p w14:paraId="0BA86273">
      <w:pPr>
        <w:ind w:right="-210" w:rightChars="-100"/>
        <w:rPr>
          <w:rFonts w:hint="eastAsia" w:ascii="楷体" w:hAnsi="楷体" w:eastAsia="楷体" w:cs="楷体"/>
          <w:b/>
          <w:bCs/>
          <w:sz w:val="36"/>
          <w:szCs w:val="36"/>
        </w:rPr>
      </w:pPr>
    </w:p>
    <w:p w14:paraId="4A11830A">
      <w:pPr>
        <w:snapToGrid w:val="0"/>
        <w:spacing w:line="520" w:lineRule="exact"/>
        <w:jc w:val="center"/>
        <w:rPr>
          <w:rFonts w:hint="eastAsia" w:ascii="楷体" w:hAnsi="楷体" w:eastAsia="楷体" w:cs="楷体"/>
          <w:sz w:val="28"/>
          <w:szCs w:val="28"/>
        </w:rPr>
      </w:pPr>
    </w:p>
    <w:p w14:paraId="2D929CA8">
      <w:pPr>
        <w:snapToGrid w:val="0"/>
        <w:spacing w:line="520" w:lineRule="exact"/>
        <w:jc w:val="center"/>
        <w:rPr>
          <w:rFonts w:hint="eastAsia" w:ascii="楷体" w:hAnsi="楷体" w:eastAsia="楷体" w:cs="楷体"/>
          <w:sz w:val="28"/>
          <w:szCs w:val="28"/>
        </w:rPr>
      </w:pPr>
    </w:p>
    <w:p w14:paraId="67215F38">
      <w:pPr>
        <w:snapToGrid w:val="0"/>
        <w:spacing w:line="520" w:lineRule="exact"/>
        <w:ind w:firstLine="280" w:firstLineChars="100"/>
        <w:rPr>
          <w:rFonts w:hint="eastAsia" w:ascii="楷体" w:hAnsi="楷体" w:eastAsia="楷体" w:cs="楷体"/>
          <w:sz w:val="28"/>
          <w:szCs w:val="28"/>
        </w:rPr>
      </w:pPr>
      <w:r>
        <w:rPr>
          <w:rFonts w:hint="eastAsia" w:ascii="楷体" w:hAnsi="楷体" w:eastAsia="楷体" w:cs="楷体"/>
          <w:sz w:val="28"/>
          <w:szCs w:val="28"/>
        </w:rPr>
        <w:t xml:space="preserve">  </w:t>
      </w:r>
    </w:p>
    <w:p w14:paraId="3429CAB8">
      <w:pPr>
        <w:snapToGrid w:val="0"/>
        <w:spacing w:line="640" w:lineRule="exact"/>
        <w:rPr>
          <w:rFonts w:hint="eastAsia" w:ascii="楷体" w:hAnsi="楷体" w:eastAsia="楷体" w:cs="楷体"/>
          <w:sz w:val="28"/>
          <w:szCs w:val="28"/>
        </w:rPr>
      </w:pPr>
    </w:p>
    <w:p w14:paraId="2678830E">
      <w:pPr>
        <w:snapToGrid w:val="0"/>
        <w:spacing w:line="640" w:lineRule="exact"/>
        <w:ind w:firstLine="638" w:firstLineChars="228"/>
        <w:rPr>
          <w:rFonts w:hint="eastAsia" w:ascii="楷体" w:hAnsi="楷体" w:eastAsia="楷体" w:cs="楷体"/>
          <w:sz w:val="28"/>
          <w:szCs w:val="28"/>
        </w:rPr>
      </w:pPr>
    </w:p>
    <w:p w14:paraId="67F5624A">
      <w:pPr>
        <w:snapToGrid w:val="0"/>
        <w:spacing w:line="640" w:lineRule="exact"/>
        <w:ind w:firstLine="638" w:firstLineChars="228"/>
        <w:rPr>
          <w:rFonts w:hint="eastAsia" w:ascii="楷体" w:hAnsi="楷体" w:eastAsia="楷体" w:cs="楷体"/>
          <w:sz w:val="28"/>
          <w:szCs w:val="28"/>
        </w:rPr>
      </w:pPr>
    </w:p>
    <w:p w14:paraId="2445C016">
      <w:pPr>
        <w:snapToGrid w:val="0"/>
        <w:spacing w:line="640" w:lineRule="exact"/>
        <w:rPr>
          <w:rFonts w:hint="eastAsia" w:ascii="楷体" w:hAnsi="楷体" w:eastAsia="楷体" w:cs="楷体"/>
          <w:sz w:val="28"/>
          <w:szCs w:val="28"/>
        </w:rPr>
      </w:pPr>
    </w:p>
    <w:p w14:paraId="235B9FF0">
      <w:pPr>
        <w:snapToGrid w:val="0"/>
        <w:spacing w:line="640" w:lineRule="exact"/>
        <w:ind w:firstLine="638" w:firstLineChars="228"/>
        <w:rPr>
          <w:rFonts w:hint="eastAsia" w:ascii="楷体" w:hAnsi="楷体" w:eastAsia="楷体" w:cs="楷体"/>
          <w:sz w:val="28"/>
          <w:szCs w:val="28"/>
        </w:rPr>
      </w:pPr>
    </w:p>
    <w:p w14:paraId="72DE88FC">
      <w:pPr>
        <w:keepNext w:val="0"/>
        <w:keepLines w:val="0"/>
        <w:pageBreakBefore w:val="0"/>
        <w:kinsoku/>
        <w:wordWrap/>
        <w:overflowPunct/>
        <w:topLinePunct w:val="0"/>
        <w:autoSpaceDE/>
        <w:autoSpaceDN/>
        <w:bidi w:val="0"/>
        <w:adjustRightInd/>
        <w:spacing w:line="700" w:lineRule="exact"/>
        <w:ind w:firstLine="560" w:firstLineChars="200"/>
        <w:textAlignment w:val="auto"/>
        <w:rPr>
          <w:rFonts w:hint="eastAsia" w:ascii="楷体" w:hAnsi="楷体" w:eastAsia="楷体" w:cs="楷体"/>
          <w:sz w:val="28"/>
          <w:szCs w:val="28"/>
        </w:rPr>
      </w:pPr>
    </w:p>
    <w:p w14:paraId="73DC9ECE">
      <w:pPr>
        <w:keepNext w:val="0"/>
        <w:keepLines w:val="0"/>
        <w:pageBreakBefore w:val="0"/>
        <w:kinsoku/>
        <w:wordWrap/>
        <w:overflowPunct/>
        <w:topLinePunct w:val="0"/>
        <w:autoSpaceDE/>
        <w:autoSpaceDN/>
        <w:bidi w:val="0"/>
        <w:adjustRightInd/>
        <w:spacing w:line="700" w:lineRule="exact"/>
        <w:ind w:firstLine="560" w:firstLineChars="200"/>
        <w:textAlignment w:val="auto"/>
        <w:rPr>
          <w:rFonts w:hint="default" w:ascii="楷体" w:hAnsi="楷体" w:eastAsia="楷体" w:cs="楷体"/>
          <w:color w:val="auto"/>
          <w:sz w:val="28"/>
          <w:szCs w:val="28"/>
          <w:u w:val="single"/>
          <w:lang w:val="en-US" w:eastAsia="zh-CN"/>
        </w:rPr>
      </w:pPr>
      <w:r>
        <w:rPr>
          <w:rFonts w:hint="eastAsia" w:ascii="楷体" w:hAnsi="楷体" w:eastAsia="楷体" w:cs="楷体"/>
          <w:sz w:val="28"/>
          <w:szCs w:val="28"/>
        </w:rPr>
        <w:t>委托方（甲方）：</w:t>
      </w:r>
      <w:r>
        <w:rPr>
          <w:rFonts w:hint="eastAsia" w:ascii="楷体" w:hAnsi="楷体" w:eastAsia="楷体" w:cs="楷体"/>
          <w:sz w:val="28"/>
          <w:szCs w:val="28"/>
          <w:u w:val="single"/>
        </w:rPr>
        <w:t xml:space="preserve"> </w:t>
      </w:r>
      <w:r>
        <w:rPr>
          <w:rFonts w:hint="eastAsia" w:ascii="楷体" w:hAnsi="楷体" w:eastAsia="楷体" w:cs="楷体"/>
          <w:color w:val="auto"/>
          <w:sz w:val="28"/>
          <w:szCs w:val="28"/>
          <w:u w:val="single"/>
          <w:lang w:val="en-US" w:eastAsia="zh-CN"/>
        </w:rPr>
        <w:t xml:space="preserve">                                </w:t>
      </w:r>
    </w:p>
    <w:p w14:paraId="062E2849">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住  所  地：</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51D1E853">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项目联系人：</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6AF089BF">
      <w:pPr>
        <w:keepNext w:val="0"/>
        <w:keepLines w:val="0"/>
        <w:pageBreakBefore w:val="0"/>
        <w:kinsoku/>
        <w:wordWrap/>
        <w:overflowPunct/>
        <w:topLinePunct w:val="0"/>
        <w:autoSpaceDE/>
        <w:autoSpaceDN/>
        <w:bidi w:val="0"/>
        <w:adjustRightInd/>
        <w:snapToGrid w:val="0"/>
        <w:spacing w:line="700" w:lineRule="exact"/>
        <w:ind w:firstLine="840" w:firstLineChars="300"/>
        <w:textAlignment w:val="auto"/>
        <w:rPr>
          <w:rFonts w:hint="eastAsia" w:ascii="楷体" w:hAnsi="楷体" w:eastAsia="楷体" w:cs="楷体"/>
          <w:sz w:val="28"/>
          <w:szCs w:val="28"/>
        </w:rPr>
      </w:pPr>
      <w:r>
        <w:rPr>
          <w:rFonts w:hint="eastAsia" w:ascii="楷体" w:hAnsi="楷体" w:eastAsia="楷体" w:cs="楷体"/>
          <w:sz w:val="28"/>
          <w:szCs w:val="28"/>
        </w:rPr>
        <w:t>电    话：</w:t>
      </w:r>
      <w:r>
        <w:rPr>
          <w:rFonts w:hint="eastAsia" w:ascii="楷体" w:hAnsi="楷体" w:eastAsia="楷体" w:cs="楷体"/>
          <w:sz w:val="28"/>
          <w:szCs w:val="28"/>
          <w:u w:val="single"/>
        </w:rPr>
        <w:t xml:space="preserve">                                               </w:t>
      </w:r>
    </w:p>
    <w:p w14:paraId="068CA4B3">
      <w:pPr>
        <w:keepNext w:val="0"/>
        <w:keepLines w:val="0"/>
        <w:pageBreakBefore w:val="0"/>
        <w:tabs>
          <w:tab w:val="left" w:pos="8100"/>
        </w:tabs>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通讯地址：</w:t>
      </w:r>
      <w:r>
        <w:rPr>
          <w:rFonts w:hint="eastAsia" w:ascii="楷体" w:hAnsi="楷体" w:eastAsia="楷体" w:cs="楷体"/>
          <w:sz w:val="28"/>
          <w:szCs w:val="28"/>
          <w:u w:val="single"/>
        </w:rPr>
        <w:t xml:space="preserve">  </w:t>
      </w:r>
      <w:r>
        <w:rPr>
          <w:rFonts w:hint="eastAsia" w:ascii="楷体" w:hAnsi="楷体" w:eastAsia="楷体" w:cs="楷体"/>
          <w:color w:val="000000"/>
          <w:sz w:val="28"/>
          <w:szCs w:val="28"/>
          <w:u w:val="single"/>
        </w:rPr>
        <w:t xml:space="preserve">   </w:t>
      </w:r>
      <w:r>
        <w:rPr>
          <w:rFonts w:hint="eastAsia" w:ascii="楷体" w:hAnsi="楷体" w:eastAsia="楷体" w:cs="楷体"/>
          <w:sz w:val="28"/>
          <w:szCs w:val="28"/>
          <w:u w:val="single"/>
        </w:rPr>
        <w:t xml:space="preserve">                                                     </w:t>
      </w:r>
    </w:p>
    <w:p w14:paraId="17E76DBD">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受托方（乙方）：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1F022D89">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住  所  地：</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2E42ED8B">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u w:val="single"/>
        </w:rPr>
      </w:pPr>
      <w:r>
        <w:rPr>
          <w:rFonts w:hint="eastAsia" w:ascii="楷体" w:hAnsi="楷体" w:eastAsia="楷体" w:cs="楷体"/>
          <w:sz w:val="28"/>
          <w:szCs w:val="28"/>
        </w:rPr>
        <w:t xml:space="preserve">      项目联系人：</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7A8FC078">
      <w:pPr>
        <w:keepNext w:val="0"/>
        <w:keepLines w:val="0"/>
        <w:pageBreakBefore w:val="0"/>
        <w:kinsoku/>
        <w:wordWrap/>
        <w:overflowPunct/>
        <w:topLinePunct w:val="0"/>
        <w:autoSpaceDE/>
        <w:autoSpaceDN/>
        <w:bidi w:val="0"/>
        <w:adjustRightInd/>
        <w:snapToGrid w:val="0"/>
        <w:spacing w:line="700" w:lineRule="exact"/>
        <w:textAlignment w:val="auto"/>
        <w:rPr>
          <w:rFonts w:hint="eastAsia" w:ascii="楷体" w:hAnsi="楷体" w:eastAsia="楷体" w:cs="楷体"/>
          <w:sz w:val="28"/>
          <w:szCs w:val="28"/>
        </w:rPr>
      </w:pPr>
      <w:r>
        <w:rPr>
          <w:rFonts w:hint="eastAsia" w:ascii="楷体" w:hAnsi="楷体" w:eastAsia="楷体" w:cs="楷体"/>
          <w:sz w:val="28"/>
          <w:szCs w:val="28"/>
        </w:rPr>
        <w:t xml:space="preserve">      电    话：</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5AB4B965">
      <w:pPr>
        <w:keepNext w:val="0"/>
        <w:keepLines w:val="0"/>
        <w:pageBreakBefore w:val="0"/>
        <w:kinsoku/>
        <w:wordWrap/>
        <w:overflowPunct/>
        <w:topLinePunct w:val="0"/>
        <w:autoSpaceDE/>
        <w:autoSpaceDN/>
        <w:bidi w:val="0"/>
        <w:adjustRightInd/>
        <w:snapToGrid w:val="0"/>
        <w:spacing w:line="700" w:lineRule="exact"/>
        <w:ind w:left="839" w:leftChars="133" w:hanging="560" w:hangingChars="200"/>
        <w:textAlignment w:val="auto"/>
        <w:rPr>
          <w:rFonts w:hint="eastAsia" w:ascii="楷体" w:hAnsi="楷体" w:eastAsia="楷体" w:cs="楷体"/>
          <w:color w:val="000000"/>
        </w:rPr>
      </w:pPr>
      <w:r>
        <w:rPr>
          <w:rFonts w:hint="eastAsia" w:ascii="楷体" w:hAnsi="楷体" w:eastAsia="楷体" w:cs="楷体"/>
          <w:sz w:val="28"/>
          <w:szCs w:val="28"/>
        </w:rPr>
        <w:t xml:space="preserve">    通讯地址：</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p>
    <w:p w14:paraId="2FEF0580">
      <w:pPr>
        <w:pStyle w:val="48"/>
        <w:keepNext w:val="0"/>
        <w:keepLines w:val="0"/>
        <w:pageBreakBefore w:val="0"/>
        <w:kinsoku/>
        <w:wordWrap/>
        <w:overflowPunct/>
        <w:topLinePunct w:val="0"/>
        <w:autoSpaceDE/>
        <w:autoSpaceDN/>
        <w:bidi w:val="0"/>
        <w:adjustRightInd/>
        <w:spacing w:before="0" w:beforeAutospacing="0" w:after="0" w:afterAutospacing="0" w:line="700" w:lineRule="exact"/>
        <w:textAlignment w:val="auto"/>
        <w:rPr>
          <w:rFonts w:hint="eastAsia" w:ascii="楷体" w:hAnsi="楷体" w:eastAsia="楷体" w:cs="楷体"/>
          <w:color w:val="000000"/>
        </w:rPr>
      </w:pPr>
    </w:p>
    <w:p w14:paraId="10085D36">
      <w:pPr>
        <w:snapToGrid w:val="0"/>
        <w:spacing w:line="520" w:lineRule="exact"/>
        <w:ind w:firstLine="280" w:firstLineChars="100"/>
        <w:rPr>
          <w:rFonts w:hint="eastAsia" w:ascii="楷体" w:hAnsi="楷体" w:eastAsia="楷体" w:cs="楷体"/>
          <w:sz w:val="28"/>
          <w:szCs w:val="28"/>
        </w:rPr>
      </w:pPr>
    </w:p>
    <w:p w14:paraId="546C1768">
      <w:pPr>
        <w:pStyle w:val="48"/>
        <w:spacing w:before="0" w:beforeAutospacing="0" w:after="0" w:afterAutospacing="0" w:line="480" w:lineRule="exact"/>
        <w:ind w:firstLine="480"/>
        <w:rPr>
          <w:rFonts w:hint="eastAsia" w:ascii="楷体" w:hAnsi="楷体" w:eastAsia="楷体" w:cs="楷体"/>
          <w:color w:val="000000"/>
          <w:sz w:val="28"/>
          <w:szCs w:val="28"/>
        </w:rPr>
      </w:pPr>
    </w:p>
    <w:p w14:paraId="5D9C85D0">
      <w:pPr>
        <w:pStyle w:val="48"/>
        <w:spacing w:before="0" w:beforeAutospacing="0" w:after="0" w:afterAutospacing="0" w:line="560" w:lineRule="exact"/>
        <w:rPr>
          <w:rFonts w:hint="eastAsia" w:ascii="楷体" w:hAnsi="楷体" w:eastAsia="楷体" w:cs="楷体"/>
          <w:color w:val="000000"/>
        </w:rPr>
      </w:pPr>
    </w:p>
    <w:p w14:paraId="2D76A1E4">
      <w:pPr>
        <w:pStyle w:val="48"/>
        <w:spacing w:before="0" w:beforeAutospacing="0" w:after="0" w:afterAutospacing="0" w:line="560" w:lineRule="exact"/>
        <w:rPr>
          <w:rFonts w:hint="eastAsia" w:ascii="楷体" w:hAnsi="楷体" w:eastAsia="楷体" w:cs="楷体"/>
          <w:color w:val="000000"/>
        </w:rPr>
      </w:pPr>
    </w:p>
    <w:p w14:paraId="2479FE1D">
      <w:pPr>
        <w:pStyle w:val="48"/>
        <w:spacing w:before="0" w:beforeAutospacing="0" w:after="0" w:afterAutospacing="0" w:line="560" w:lineRule="exact"/>
        <w:rPr>
          <w:rFonts w:hint="eastAsia" w:ascii="楷体" w:hAnsi="楷体" w:eastAsia="楷体" w:cs="楷体"/>
          <w:color w:val="000000"/>
        </w:rPr>
      </w:pPr>
    </w:p>
    <w:p w14:paraId="2E37ED52">
      <w:pPr>
        <w:pStyle w:val="4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根据《中华人民共和国民法典》有关技术合同的规定及其他相关法律法规的规定，双方经友好协商，同意就以下条款订立本合同，共同信守执行。</w:t>
      </w:r>
    </w:p>
    <w:p w14:paraId="068054E2">
      <w:pPr>
        <w:pStyle w:val="4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第一条  项目名称</w:t>
      </w:r>
    </w:p>
    <w:p w14:paraId="352B6CB5">
      <w:pPr>
        <w:pStyle w:val="27"/>
        <w:keepNext w:val="0"/>
        <w:keepLines w:val="0"/>
        <w:pageBreakBefore w:val="0"/>
        <w:kinsoku/>
        <w:wordWrap/>
        <w:overflowPunct/>
        <w:topLinePunct w:val="0"/>
        <w:autoSpaceDE/>
        <w:autoSpaceDN/>
        <w:bidi w:val="0"/>
        <w:adjustRightInd/>
        <w:snapToGrid/>
        <w:spacing w:line="560" w:lineRule="exact"/>
        <w:ind w:left="480" w:leftChars="0"/>
        <w:textAlignment w:val="auto"/>
        <w:rPr>
          <w:rFonts w:hint="eastAsia" w:ascii="楷体" w:hAnsi="楷体" w:eastAsia="楷体" w:cs="楷体"/>
          <w:color w:val="000000"/>
          <w:sz w:val="24"/>
          <w:szCs w:val="24"/>
          <w:u w:val="single"/>
        </w:rPr>
      </w:pPr>
      <w:r>
        <w:rPr>
          <w:rFonts w:hint="eastAsia" w:ascii="楷体" w:hAnsi="楷体" w:eastAsia="楷体" w:cs="楷体"/>
          <w:color w:val="000000"/>
          <w:sz w:val="24"/>
          <w:szCs w:val="24"/>
          <w:u w:val="single"/>
          <w:lang w:val="en-US" w:eastAsia="zh-CN"/>
        </w:rPr>
        <w:t xml:space="preserve">                         </w:t>
      </w:r>
    </w:p>
    <w:p w14:paraId="6A2D4472">
      <w:pPr>
        <w:keepNext w:val="0"/>
        <w:keepLines w:val="0"/>
        <w:pageBreakBefore w:val="0"/>
        <w:numPr>
          <w:ilvl w:val="0"/>
          <w:numId w:val="11"/>
        </w:numPr>
        <w:kinsoku/>
        <w:wordWrap/>
        <w:overflowPunct/>
        <w:topLinePunct w:val="0"/>
        <w:autoSpaceDE/>
        <w:autoSpaceDN/>
        <w:bidi w:val="0"/>
        <w:adjustRightInd/>
        <w:snapToGrid/>
        <w:spacing w:line="560" w:lineRule="exact"/>
        <w:ind w:left="0"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工作</w:t>
      </w:r>
      <w:r>
        <w:rPr>
          <w:rFonts w:hint="eastAsia" w:ascii="楷体" w:hAnsi="楷体" w:eastAsia="楷体" w:cs="楷体"/>
          <w:b/>
          <w:color w:val="000000"/>
          <w:sz w:val="24"/>
          <w:szCs w:val="24"/>
        </w:rPr>
        <w:t>内容</w:t>
      </w:r>
    </w:p>
    <w:p w14:paraId="2BEA060C">
      <w:pPr>
        <w:pStyle w:val="27"/>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楷体" w:hAnsi="楷体" w:eastAsia="楷体" w:cs="楷体"/>
          <w:color w:val="000000"/>
          <w:kern w:val="0"/>
          <w:sz w:val="24"/>
          <w:szCs w:val="24"/>
          <w:lang w:val="en-US" w:eastAsia="zh-CN" w:bidi="ar"/>
        </w:rPr>
      </w:pPr>
      <w:r>
        <w:rPr>
          <w:rStyle w:val="302"/>
          <w:rFonts w:hint="eastAsia" w:ascii="楷体" w:hAnsi="楷体" w:eastAsia="楷体" w:cs="楷体"/>
          <w:color w:val="auto"/>
          <w:sz w:val="24"/>
          <w:szCs w:val="24"/>
          <w:lang w:val="en-US" w:eastAsia="zh-CN"/>
        </w:rPr>
        <w:t xml:space="preserve"> </w:t>
      </w:r>
    </w:p>
    <w:p w14:paraId="272CA6D7">
      <w:pPr>
        <w:keepNext w:val="0"/>
        <w:keepLines w:val="0"/>
        <w:pageBreakBefore w:val="0"/>
        <w:numPr>
          <w:ilvl w:val="0"/>
          <w:numId w:val="12"/>
        </w:numPr>
        <w:kinsoku/>
        <w:wordWrap/>
        <w:overflowPunct/>
        <w:topLinePunct w:val="0"/>
        <w:autoSpaceDE/>
        <w:autoSpaceDN/>
        <w:bidi w:val="0"/>
        <w:spacing w:line="520" w:lineRule="exact"/>
        <w:ind w:left="0" w:leftChars="0"/>
        <w:textAlignment w:val="auto"/>
        <w:rPr>
          <w:rFonts w:hint="eastAsia" w:ascii="楷体" w:hAnsi="楷体" w:eastAsia="楷体" w:cs="楷体"/>
          <w:sz w:val="24"/>
          <w:szCs w:val="24"/>
        </w:rPr>
      </w:pPr>
      <w:r>
        <w:rPr>
          <w:rFonts w:hint="eastAsia" w:ascii="楷体" w:hAnsi="楷体" w:eastAsia="楷体" w:cs="楷体"/>
          <w:b/>
          <w:color w:val="000000"/>
          <w:sz w:val="24"/>
          <w:szCs w:val="24"/>
        </w:rPr>
        <w:t xml:space="preserve"> </w:t>
      </w:r>
      <w:r>
        <w:rPr>
          <w:rFonts w:hint="eastAsia" w:ascii="楷体" w:hAnsi="楷体" w:eastAsia="楷体" w:cs="楷体"/>
          <w:b/>
          <w:color w:val="000000"/>
          <w:sz w:val="24"/>
          <w:szCs w:val="24"/>
          <w:lang w:val="en-US" w:eastAsia="zh-CN"/>
        </w:rPr>
        <w:t>项目</w:t>
      </w:r>
      <w:r>
        <w:rPr>
          <w:rFonts w:hint="eastAsia" w:ascii="楷体" w:hAnsi="楷体" w:eastAsia="楷体" w:cs="楷体"/>
          <w:b/>
          <w:color w:val="000000"/>
          <w:sz w:val="24"/>
          <w:szCs w:val="24"/>
        </w:rPr>
        <w:t>成果</w:t>
      </w:r>
    </w:p>
    <w:p w14:paraId="7EEC85EE">
      <w:pPr>
        <w:pStyle w:val="48"/>
        <w:keepNext w:val="0"/>
        <w:keepLines w:val="0"/>
        <w:pageBreakBefore w:val="0"/>
        <w:kinsoku/>
        <w:wordWrap/>
        <w:overflowPunct/>
        <w:topLinePunct w:val="0"/>
        <w:autoSpaceDE/>
        <w:autoSpaceDN/>
        <w:bidi w:val="0"/>
        <w:spacing w:before="0" w:beforeAutospacing="0" w:after="0" w:afterAutospacing="0" w:line="520" w:lineRule="exact"/>
        <w:ind w:left="0" w:leftChars="0"/>
        <w:textAlignment w:val="auto"/>
        <w:rPr>
          <w:rFonts w:hint="eastAsia" w:ascii="楷体" w:hAnsi="楷体" w:eastAsia="楷体" w:cs="楷体"/>
          <w:bCs/>
          <w:color w:val="000000"/>
          <w:sz w:val="24"/>
          <w:szCs w:val="24"/>
        </w:rPr>
      </w:pPr>
      <w:r>
        <w:rPr>
          <w:rFonts w:hint="eastAsia" w:ascii="楷体" w:hAnsi="楷体" w:eastAsia="楷体" w:cs="楷体"/>
          <w:b/>
          <w:color w:val="000000"/>
          <w:sz w:val="24"/>
          <w:szCs w:val="24"/>
        </w:rPr>
        <w:t>第四条  费用及其支付方式</w:t>
      </w:r>
    </w:p>
    <w:p w14:paraId="3CC1D33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default" w:ascii="楷体" w:hAnsi="楷体" w:eastAsia="楷体" w:cs="楷体"/>
          <w:color w:val="000000"/>
          <w:sz w:val="24"/>
          <w:szCs w:val="24"/>
          <w:u w:val="single"/>
          <w:lang w:val="en-US"/>
        </w:rPr>
      </w:pPr>
      <w:r>
        <w:rPr>
          <w:rFonts w:hint="eastAsia" w:ascii="楷体" w:hAnsi="楷体" w:eastAsia="楷体" w:cs="楷体"/>
          <w:color w:val="000000"/>
          <w:sz w:val="24"/>
          <w:szCs w:val="24"/>
        </w:rPr>
        <w:t>1、本合同服务费用金额共计为人民币：</w:t>
      </w:r>
      <w:r>
        <w:rPr>
          <w:rFonts w:hint="eastAsia" w:ascii="楷体" w:hAnsi="楷体" w:eastAsia="楷体" w:cs="楷体"/>
          <w:color w:val="000000"/>
          <w:sz w:val="24"/>
          <w:szCs w:val="24"/>
          <w:u w:val="single"/>
          <w:lang w:val="en-US" w:eastAsia="zh-CN"/>
        </w:rPr>
        <w:t xml:space="preserve">       </w:t>
      </w:r>
    </w:p>
    <w:p w14:paraId="754D7BFF">
      <w:pPr>
        <w:pStyle w:val="48"/>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2、合同</w:t>
      </w:r>
      <w:r>
        <w:rPr>
          <w:rFonts w:hint="eastAsia" w:ascii="楷体" w:hAnsi="楷体" w:eastAsia="楷体" w:cs="楷体"/>
          <w:color w:val="000000"/>
          <w:sz w:val="24"/>
          <w:szCs w:val="24"/>
          <w:lang w:val="en-US" w:eastAsia="zh-CN"/>
        </w:rPr>
        <w:t>签订</w:t>
      </w:r>
      <w:r>
        <w:rPr>
          <w:rFonts w:hint="eastAsia" w:ascii="楷体" w:hAnsi="楷体" w:eastAsia="楷体" w:cs="楷体"/>
          <w:color w:val="000000"/>
          <w:sz w:val="24"/>
          <w:szCs w:val="24"/>
        </w:rPr>
        <w:t>后</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rPr>
        <w:t>日内，甲方向乙方支付</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%首付款人民币：</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，乙方提供等额增值税发票。</w:t>
      </w:r>
    </w:p>
    <w:p w14:paraId="233EAFEA">
      <w:pPr>
        <w:pStyle w:val="48"/>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3、提交成果并经甲方确认后</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日内，甲方向乙方支付</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%尾款人民币：</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，乙方提供等额增值税发票。</w:t>
      </w:r>
    </w:p>
    <w:p w14:paraId="1437BBB2">
      <w:pPr>
        <w:pStyle w:val="48"/>
        <w:keepNext w:val="0"/>
        <w:keepLines w:val="0"/>
        <w:pageBreakBefore w:val="0"/>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4、</w:t>
      </w:r>
      <w:r>
        <w:rPr>
          <w:rFonts w:hint="eastAsia" w:ascii="楷体" w:hAnsi="楷体" w:eastAsia="楷体" w:cs="楷体"/>
          <w:color w:val="000000"/>
          <w:sz w:val="24"/>
          <w:szCs w:val="24"/>
        </w:rPr>
        <w:t>授予中小企业政府采购合同预付款比例不低于合同价款的40%，以人工投入为主且实行按月定期结算支付款项的项目除外。</w:t>
      </w:r>
    </w:p>
    <w:p w14:paraId="3E0216CD">
      <w:pPr>
        <w:pStyle w:val="48"/>
        <w:keepNext w:val="0"/>
        <w:keepLines w:val="0"/>
        <w:pageBreakBefore w:val="0"/>
        <w:kinsoku/>
        <w:wordWrap/>
        <w:overflowPunct/>
        <w:topLinePunct w:val="0"/>
        <w:autoSpaceDE/>
        <w:autoSpaceDN/>
        <w:bidi w:val="0"/>
        <w:spacing w:before="0" w:beforeAutospacing="0" w:after="0" w:afterAutospacing="0"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Cs/>
          <w:color w:val="000000"/>
          <w:sz w:val="24"/>
          <w:szCs w:val="24"/>
        </w:rPr>
        <w:t>对公转账（收款账户）：</w:t>
      </w:r>
    </w:p>
    <w:p w14:paraId="6417D207">
      <w:pPr>
        <w:keepNext w:val="0"/>
        <w:keepLines w:val="0"/>
        <w:pageBreakBefore w:val="0"/>
        <w:shd w:val="clear" w:color="auto" w:fill="FFFFFF"/>
        <w:kinsoku/>
        <w:wordWrap/>
        <w:overflowPunct/>
        <w:topLinePunct w:val="0"/>
        <w:autoSpaceDE/>
        <w:autoSpaceDN/>
        <w:bidi w:val="0"/>
        <w:snapToGrid w:val="0"/>
        <w:spacing w:line="520" w:lineRule="exact"/>
        <w:ind w:left="0" w:leftChars="0"/>
        <w:textAlignment w:val="auto"/>
        <w:rPr>
          <w:rFonts w:hint="default"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第五条  项目</w:t>
      </w:r>
      <w:r>
        <w:rPr>
          <w:rFonts w:hint="eastAsia" w:ascii="楷体" w:hAnsi="楷体" w:eastAsia="楷体" w:cs="楷体"/>
          <w:b/>
          <w:bCs/>
          <w:color w:val="000000"/>
          <w:sz w:val="24"/>
          <w:szCs w:val="24"/>
          <w:lang w:val="en-US" w:eastAsia="zh-CN"/>
        </w:rPr>
        <w:t>服务期限</w:t>
      </w:r>
    </w:p>
    <w:p w14:paraId="5A11683F">
      <w:pPr>
        <w:spacing w:line="360" w:lineRule="auto"/>
        <w:ind w:firstLine="480" w:firstLineChars="200"/>
        <w:rPr>
          <w:rFonts w:hint="eastAsia" w:ascii="楷体" w:hAnsi="楷体" w:eastAsia="楷体" w:cs="楷体"/>
          <w:b/>
          <w:color w:val="000000"/>
          <w:sz w:val="24"/>
          <w:szCs w:val="24"/>
        </w:rPr>
      </w:pPr>
      <w:r>
        <w:rPr>
          <w:rStyle w:val="302"/>
          <w:rFonts w:hint="eastAsia" w:ascii="楷体" w:hAnsi="楷体" w:eastAsia="楷体" w:cs="楷体"/>
          <w:b w:val="0"/>
          <w:bCs w:val="0"/>
          <w:color w:val="auto"/>
          <w:sz w:val="24"/>
          <w:szCs w:val="22"/>
          <w:highlight w:val="none"/>
        </w:rPr>
        <w:t>服务期限：</w:t>
      </w:r>
      <w:r>
        <w:rPr>
          <w:rStyle w:val="302"/>
          <w:rFonts w:hint="eastAsia" w:ascii="楷体" w:hAnsi="楷体" w:eastAsia="楷体" w:cs="楷体"/>
          <w:b w:val="0"/>
          <w:bCs w:val="0"/>
          <w:color w:val="auto"/>
          <w:sz w:val="24"/>
          <w:szCs w:val="22"/>
          <w:highlight w:val="none"/>
          <w:u w:val="single"/>
          <w:lang w:val="en-US"/>
        </w:rPr>
        <w:t xml:space="preserve">           </w:t>
      </w:r>
      <w:r>
        <w:rPr>
          <w:rFonts w:hint="eastAsia" w:ascii="楷体" w:hAnsi="楷体" w:eastAsia="楷体" w:cs="楷体"/>
          <w:b w:val="0"/>
          <w:bCs w:val="0"/>
          <w:color w:val="000000"/>
          <w:sz w:val="24"/>
          <w:szCs w:val="24"/>
        </w:rPr>
        <w:t>如遇不可抗力影响（如战争、严重火灾、洪水、台风、地震、疫情等）或因甲方原因（如需求确认拖延、或工作量变更等）影响，甲方应及时向乙方告知项目进展及受不可抗力影响程度，经乙方知悉并同意后，可以按双方约定顺延工期。</w:t>
      </w:r>
    </w:p>
    <w:p w14:paraId="1AC3902A">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第六条  甲方责任</w:t>
      </w:r>
    </w:p>
    <w:p w14:paraId="07C0FA5D">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1、在合同履行期间，甲方无故要求终止或解除本合同，且乙方已开始工作的，甲方应根据乙方已进行的实际工作量，以该全部工作量的总价款乘以已进行的工作量与全部工作量的比例支付费用。</w:t>
      </w:r>
    </w:p>
    <w:p w14:paraId="14FB8092">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甲方变更委托项目内容、规模、条件或因提交的资料错误，或所提交资料存在瑕疵、遗漏或作较大修改，以致造成乙方工作需返工时，甲、乙双方除需另行协商签订补充协议并重新明确有关条款外，甲方应按乙方所耗工作量向乙方增付费用。</w:t>
      </w:r>
    </w:p>
    <w:p w14:paraId="013FF3CE">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3、在合同生效后，甲方需提供项目实施所需的场地等项目相关条件支持，以保证乙方项目进度能够顺利实施。如因甲方协调不力造成乙方无法按时作业，由甲方承担由此产生的相关费用并按延误天数推迟期限。</w:t>
      </w:r>
    </w:p>
    <w:p w14:paraId="73DFC80E">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color w:val="000000"/>
          <w:sz w:val="24"/>
          <w:szCs w:val="24"/>
        </w:rPr>
      </w:pPr>
      <w:r>
        <w:rPr>
          <w:rFonts w:hint="eastAsia" w:ascii="楷体" w:hAnsi="楷体" w:eastAsia="楷体" w:cs="楷体"/>
          <w:b/>
          <w:color w:val="000000"/>
          <w:sz w:val="24"/>
          <w:szCs w:val="24"/>
        </w:rPr>
        <w:t>第七条  乙方责任</w:t>
      </w:r>
    </w:p>
    <w:p w14:paraId="003522AC">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1、乙方严格遵守由甲乙双方友好协商的工作计划、时间安排等，如遇工作流程中未尽事宜双方应友好协商解决。</w:t>
      </w:r>
    </w:p>
    <w:p w14:paraId="690E17F1">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2、双方依据合同精神，乙方在未得到甲方授权的情况下不得向其他任何单位或个人泄露本次项目的任何信息。</w:t>
      </w:r>
    </w:p>
    <w:p w14:paraId="68905DC4">
      <w:pPr>
        <w:keepNext w:val="0"/>
        <w:keepLines w:val="0"/>
        <w:pageBreakBefore w:val="0"/>
        <w:tabs>
          <w:tab w:val="left" w:pos="945"/>
        </w:tabs>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3、</w:t>
      </w:r>
      <w:r>
        <w:rPr>
          <w:rFonts w:hint="eastAsia" w:ascii="楷体" w:hAnsi="楷体" w:eastAsia="楷体" w:cs="楷体"/>
          <w:color w:val="000000"/>
          <w:sz w:val="24"/>
          <w:szCs w:val="24"/>
        </w:rPr>
        <w:t>乙方对工作成果出现的遗漏或错误负责修改或补充。</w:t>
      </w:r>
    </w:p>
    <w:p w14:paraId="68E1134F">
      <w:pPr>
        <w:keepNext w:val="0"/>
        <w:keepLines w:val="0"/>
        <w:pageBreakBefore w:val="0"/>
        <w:shd w:val="clear" w:color="auto" w:fill="FFFFFF"/>
        <w:kinsoku/>
        <w:wordWrap/>
        <w:overflowPunct/>
        <w:topLinePunct w:val="0"/>
        <w:autoSpaceDE/>
        <w:autoSpaceDN/>
        <w:bidi w:val="0"/>
        <w:snapToGrid w:val="0"/>
        <w:spacing w:line="520" w:lineRule="exact"/>
        <w:ind w:left="0" w:leftChars="0" w:firstLine="480" w:firstLineChars="200"/>
        <w:textAlignment w:val="auto"/>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rPr>
        <w:t>4、乙方应自行准备为完成本协议项下工作所需设备、器材及工具，在项目实施中也可以向甲方提出借用设备、器材和工具的申请，甲方可以根据自己的情况决定能否提供，如果甲方不能提供相关工具的借用，则需要乙方自行解决。</w:t>
      </w:r>
    </w:p>
    <w:p w14:paraId="3A43B99F">
      <w:pPr>
        <w:pStyle w:val="5"/>
        <w:keepNext w:val="0"/>
        <w:keepLines w:val="0"/>
        <w:pageBreakBefore w:val="0"/>
        <w:widowControl/>
        <w:shd w:val="clear" w:color="auto" w:fill="FFFFFF"/>
        <w:kinsoku/>
        <w:wordWrap/>
        <w:overflowPunct/>
        <w:topLinePunct w:val="0"/>
        <w:autoSpaceDE/>
        <w:autoSpaceDN/>
        <w:bidi w:val="0"/>
        <w:spacing w:before="0" w:after="0" w:line="520" w:lineRule="exact"/>
        <w:ind w:left="0" w:leftChars="0"/>
        <w:jc w:val="left"/>
        <w:textAlignment w:val="auto"/>
        <w:rPr>
          <w:rFonts w:hint="eastAsia" w:ascii="楷体" w:hAnsi="楷体" w:eastAsia="楷体" w:cs="楷体"/>
          <w:b/>
          <w:color w:val="000000"/>
          <w:kern w:val="2"/>
          <w:sz w:val="24"/>
          <w:szCs w:val="24"/>
          <w:lang w:val="en-US" w:eastAsia="zh-CN" w:bidi="ar-SA"/>
        </w:rPr>
      </w:pPr>
      <w:r>
        <w:rPr>
          <w:rFonts w:hint="eastAsia" w:ascii="楷体" w:hAnsi="楷体" w:eastAsia="楷体" w:cs="楷体"/>
          <w:b/>
          <w:color w:val="000000"/>
          <w:kern w:val="2"/>
          <w:sz w:val="24"/>
          <w:szCs w:val="24"/>
          <w:lang w:val="en-US" w:eastAsia="zh-CN" w:bidi="ar-SA"/>
        </w:rPr>
        <w:t>第八条  违约责任</w:t>
      </w:r>
    </w:p>
    <w:p w14:paraId="1E34898A">
      <w:pPr>
        <w:pStyle w:val="48"/>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1、合同生效后，任何一方在双方未取得一致意见并办理合同终止手续的情况下擅自解除合同的，违约方应按合同总金额的5%作为违约金赔偿对方，若违约金不足以弥补因此给守约方造成的损失，违约方还应就其余损失进行赔偿。</w:t>
      </w:r>
    </w:p>
    <w:p w14:paraId="4932DDFE">
      <w:pPr>
        <w:pStyle w:val="48"/>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2、如因乙方原因延期交货的，乙方应按每延期一天承担合同金额的0.1%承担逾期交货的违约金（但因不可抗力</w:t>
      </w:r>
      <w:r>
        <w:rPr>
          <w:rFonts w:hint="eastAsia" w:ascii="楷体" w:hAnsi="楷体" w:eastAsia="楷体" w:cs="楷体"/>
          <w:color w:val="000000"/>
          <w:sz w:val="24"/>
          <w:szCs w:val="24"/>
        </w:rPr>
        <w:t>或因甲方原因</w:t>
      </w:r>
      <w:r>
        <w:rPr>
          <w:rFonts w:hint="eastAsia" w:ascii="楷体" w:hAnsi="楷体" w:eastAsia="楷体" w:cs="楷体"/>
          <w:color w:val="000000"/>
          <w:sz w:val="24"/>
          <w:szCs w:val="24"/>
          <w:shd w:val="clear" w:color="auto" w:fill="FFFFFF"/>
        </w:rPr>
        <w:t>导致延期履行的除外），违约金不超过合同总额的5%。</w:t>
      </w:r>
    </w:p>
    <w:p w14:paraId="0960C22A">
      <w:pPr>
        <w:pStyle w:val="48"/>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3、甲方在规定期限内不能按时付款，则每延迟一天，支付合同金额0.1％的违约金，违约金不超过合同总额的5%。</w:t>
      </w:r>
    </w:p>
    <w:p w14:paraId="021DDC2B">
      <w:pPr>
        <w:pStyle w:val="48"/>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shd w:val="clear" w:color="auto" w:fill="FFFFFF"/>
        </w:rPr>
        <w:t>4、本合同履行过程中，如有一方违反合同约定或怠于履行相关责任或义务，由此给对方或第三方造成损失的(包括但不限于律师费、诉讼费、保全费、公告费、鉴定费、误工费、交通食宿费),违约方应承担相应的赔偿责任，且守约方保留追究其法律责任的权利。</w:t>
      </w:r>
    </w:p>
    <w:p w14:paraId="68813CE5">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w:t>
      </w:r>
      <w:r>
        <w:rPr>
          <w:rFonts w:hint="eastAsia" w:ascii="楷体" w:hAnsi="楷体" w:eastAsia="楷体" w:cs="楷体"/>
          <w:b/>
          <w:bCs/>
          <w:color w:val="000000"/>
          <w:sz w:val="24"/>
          <w:szCs w:val="24"/>
          <w:lang w:val="en-US" w:eastAsia="zh-CN"/>
        </w:rPr>
        <w:t>九</w:t>
      </w:r>
      <w:r>
        <w:rPr>
          <w:rFonts w:hint="eastAsia" w:ascii="楷体" w:hAnsi="楷体" w:eastAsia="楷体" w:cs="楷体"/>
          <w:b/>
          <w:bCs/>
          <w:color w:val="000000"/>
          <w:sz w:val="24"/>
          <w:szCs w:val="24"/>
        </w:rPr>
        <w:t>条  提出异议的时间和方法</w:t>
      </w:r>
    </w:p>
    <w:p w14:paraId="45C50D65">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1、甲方在验收中若对项目的成果有异议时，应在收到成果资料起</w:t>
      </w:r>
      <w:r>
        <w:rPr>
          <w:rFonts w:hint="eastAsia" w:ascii="楷体" w:hAnsi="楷体" w:eastAsia="楷体" w:cs="楷体"/>
          <w:color w:val="000000"/>
          <w:sz w:val="24"/>
          <w:szCs w:val="24"/>
          <w:u w:val="single"/>
        </w:rPr>
        <w:t xml:space="preserve"> 5 </w:t>
      </w:r>
      <w:r>
        <w:rPr>
          <w:rFonts w:hint="eastAsia" w:ascii="楷体" w:hAnsi="楷体" w:eastAsia="楷体" w:cs="楷体"/>
          <w:color w:val="000000"/>
          <w:sz w:val="24"/>
          <w:szCs w:val="24"/>
        </w:rPr>
        <w:t>日内向乙方提出书面异议。</w:t>
      </w:r>
    </w:p>
    <w:p w14:paraId="20BF6CB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2、乙方在接到甲方书面异议通知后，应在</w:t>
      </w:r>
      <w:r>
        <w:rPr>
          <w:rFonts w:hint="eastAsia" w:ascii="楷体" w:hAnsi="楷体" w:eastAsia="楷体" w:cs="楷体"/>
          <w:color w:val="000000"/>
          <w:sz w:val="24"/>
          <w:szCs w:val="24"/>
          <w:u w:val="single"/>
        </w:rPr>
        <w:t xml:space="preserve"> 5 </w:t>
      </w:r>
      <w:r>
        <w:rPr>
          <w:rFonts w:hint="eastAsia" w:ascii="楷体" w:hAnsi="楷体" w:eastAsia="楷体" w:cs="楷体"/>
          <w:color w:val="000000"/>
          <w:sz w:val="24"/>
          <w:szCs w:val="24"/>
        </w:rPr>
        <w:t>日内负责处理并回复甲方处理情况，否则，即视为接受甲方提出的异议和处理意见。</w:t>
      </w:r>
    </w:p>
    <w:p w14:paraId="0A9BB53B">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第十条  争议的解决</w:t>
      </w:r>
    </w:p>
    <w:p w14:paraId="313D9521">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1、在执行本合同中发生的或与本合同有关的争端，双方应通过友好协商解决，经协商在60天内不能达成协议时，双方均可向乙方所在地有管辖权人民法院提起诉讼。</w:t>
      </w:r>
    </w:p>
    <w:p w14:paraId="0E0FA9CC">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2、有关诉讼费由败诉方负担。</w:t>
      </w:r>
    </w:p>
    <w:p w14:paraId="2C68A7E5">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3、在诉讼期间，除正在进行诉讼部分外，合同其它部分继续履行。</w:t>
      </w:r>
    </w:p>
    <w:p w14:paraId="49D21DD9">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一</w:t>
      </w:r>
      <w:r>
        <w:rPr>
          <w:rFonts w:hint="eastAsia" w:ascii="楷体" w:hAnsi="楷体" w:eastAsia="楷体" w:cs="楷体"/>
          <w:b/>
          <w:bCs/>
          <w:color w:val="000000"/>
          <w:sz w:val="24"/>
          <w:szCs w:val="24"/>
        </w:rPr>
        <w:t>条  不可抗力</w:t>
      </w:r>
    </w:p>
    <w:p w14:paraId="70EA0070">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合同双方任一方由于受诸如战争、严重火灾、洪水、台风、地震、瘟疫等不可抗力事件的影响而不能执行合同时，履行合同的期限应予以延长，延长期限以双方协商确认为准，否则延长的期限应相当于事件所影响的时间。不可抗力事件系指买卖双方在缔结合同时所不能预见的，并且它的发生及其后果是无法避免和无法克服的。</w:t>
      </w:r>
    </w:p>
    <w:p w14:paraId="6459AEB0">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二</w:t>
      </w:r>
      <w:r>
        <w:rPr>
          <w:rFonts w:hint="eastAsia" w:ascii="楷体" w:hAnsi="楷体" w:eastAsia="楷体" w:cs="楷体"/>
          <w:b/>
          <w:bCs/>
          <w:color w:val="000000"/>
          <w:sz w:val="24"/>
          <w:szCs w:val="24"/>
        </w:rPr>
        <w:t>条  税费</w:t>
      </w:r>
    </w:p>
    <w:p w14:paraId="0A2F1FA8">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在中国境内外发生的与本合同相关的一切税费均由乙方负担</w:t>
      </w:r>
    </w:p>
    <w:p w14:paraId="12B7AF34">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三</w:t>
      </w:r>
      <w:r>
        <w:rPr>
          <w:rFonts w:hint="eastAsia" w:ascii="楷体" w:hAnsi="楷体" w:eastAsia="楷体" w:cs="楷体"/>
          <w:b/>
          <w:bCs/>
          <w:color w:val="000000"/>
          <w:sz w:val="24"/>
          <w:szCs w:val="24"/>
        </w:rPr>
        <w:t>条  合同生效</w:t>
      </w:r>
    </w:p>
    <w:p w14:paraId="5F52201D">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b w:val="0"/>
          <w:bCs w:val="0"/>
          <w:color w:val="000000"/>
          <w:sz w:val="24"/>
          <w:szCs w:val="24"/>
        </w:rPr>
      </w:pPr>
      <w:r>
        <w:rPr>
          <w:rFonts w:hint="eastAsia" w:ascii="楷体" w:hAnsi="楷体" w:eastAsia="楷体" w:cs="楷体"/>
          <w:b w:val="0"/>
          <w:bCs w:val="0"/>
          <w:color w:val="000000"/>
          <w:sz w:val="24"/>
          <w:szCs w:val="24"/>
        </w:rPr>
        <w:t>1、本合同经甲乙双方法定代表或授权代表</w:t>
      </w:r>
      <w:r>
        <w:rPr>
          <w:rFonts w:hint="eastAsia" w:ascii="楷体" w:hAnsi="楷体" w:eastAsia="楷体" w:cs="楷体"/>
          <w:b w:val="0"/>
          <w:bCs w:val="0"/>
          <w:color w:val="000000"/>
        </w:rPr>
        <w:t>签字</w:t>
      </w:r>
      <w:r>
        <w:rPr>
          <w:rFonts w:hint="eastAsia" w:ascii="楷体" w:hAnsi="楷体" w:eastAsia="楷体" w:cs="楷体"/>
          <w:b w:val="0"/>
          <w:bCs w:val="0"/>
          <w:color w:val="000000"/>
          <w:lang w:val="en-US" w:eastAsia="zh-CN"/>
        </w:rPr>
        <w:t>\盖章</w:t>
      </w:r>
      <w:r>
        <w:rPr>
          <w:rFonts w:hint="eastAsia" w:ascii="楷体" w:hAnsi="楷体" w:eastAsia="楷体" w:cs="楷体"/>
          <w:b w:val="0"/>
          <w:bCs w:val="0"/>
          <w:color w:val="000000"/>
          <w:sz w:val="24"/>
          <w:szCs w:val="24"/>
        </w:rPr>
        <w:t>并加盖公章或合同专用章后生效。</w:t>
      </w:r>
    </w:p>
    <w:p w14:paraId="607AB1B8">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2、本合同中的所有附件，均作为本合同不可分割的组成部分，与本合同具有同等的法律效力。</w:t>
      </w:r>
    </w:p>
    <w:p w14:paraId="370D97A1">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 xml:space="preserve">    3、如需修改合同内容，双方应签署书面修改或补充协议，该修改协议作为本合同的一个组成部分。</w:t>
      </w:r>
    </w:p>
    <w:p w14:paraId="2011159C">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4、本合同具有法律效力，受中华人民共和国现行法律法规保护。</w:t>
      </w:r>
    </w:p>
    <w:p w14:paraId="20B875DA">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b/>
          <w:bCs/>
          <w:color w:val="000000"/>
          <w:sz w:val="24"/>
          <w:szCs w:val="24"/>
        </w:rPr>
      </w:pPr>
      <w:r>
        <w:rPr>
          <w:rFonts w:hint="eastAsia" w:ascii="楷体" w:hAnsi="楷体" w:eastAsia="楷体" w:cs="楷体"/>
          <w:color w:val="000000"/>
          <w:sz w:val="24"/>
          <w:szCs w:val="24"/>
        </w:rPr>
        <w:t>5、本合同一式陆份，甲乙双方各执叁份</w:t>
      </w:r>
    </w:p>
    <w:p w14:paraId="6EEB4F39">
      <w:pPr>
        <w:keepNext w:val="0"/>
        <w:keepLines w:val="0"/>
        <w:pageBreakBefore w:val="0"/>
        <w:kinsoku/>
        <w:wordWrap/>
        <w:overflowPunct/>
        <w:topLinePunct w:val="0"/>
        <w:autoSpaceDE/>
        <w:autoSpaceDN/>
        <w:bidi w:val="0"/>
        <w:spacing w:line="520" w:lineRule="exact"/>
        <w:ind w:left="0" w:leftChars="0"/>
        <w:textAlignment w:val="auto"/>
        <w:rPr>
          <w:rFonts w:hint="eastAsia" w:ascii="楷体" w:hAnsi="楷体" w:eastAsia="楷体" w:cs="楷体"/>
          <w:b/>
          <w:bCs/>
          <w:color w:val="000000"/>
          <w:sz w:val="24"/>
          <w:szCs w:val="24"/>
        </w:rPr>
      </w:pPr>
      <w:r>
        <w:rPr>
          <w:rFonts w:hint="eastAsia" w:ascii="楷体" w:hAnsi="楷体" w:eastAsia="楷体" w:cs="楷体"/>
          <w:b/>
          <w:bCs/>
          <w:color w:val="000000"/>
          <w:sz w:val="24"/>
          <w:szCs w:val="24"/>
        </w:rPr>
        <w:t>第十</w:t>
      </w:r>
      <w:r>
        <w:rPr>
          <w:rFonts w:hint="eastAsia" w:ascii="楷体" w:hAnsi="楷体" w:eastAsia="楷体" w:cs="楷体"/>
          <w:b/>
          <w:bCs/>
          <w:color w:val="000000"/>
          <w:sz w:val="24"/>
          <w:szCs w:val="24"/>
          <w:lang w:val="en-US" w:eastAsia="zh-CN"/>
        </w:rPr>
        <w:t>四</w:t>
      </w:r>
      <w:r>
        <w:rPr>
          <w:rFonts w:hint="eastAsia" w:ascii="楷体" w:hAnsi="楷体" w:eastAsia="楷体" w:cs="楷体"/>
          <w:b/>
          <w:bCs/>
          <w:color w:val="000000"/>
          <w:sz w:val="24"/>
          <w:szCs w:val="24"/>
        </w:rPr>
        <w:t>条  其它</w:t>
      </w:r>
    </w:p>
    <w:p w14:paraId="52C63E15">
      <w:pPr>
        <w:keepNext w:val="0"/>
        <w:keepLines w:val="0"/>
        <w:pageBreakBefore w:val="0"/>
        <w:kinsoku/>
        <w:wordWrap/>
        <w:overflowPunct/>
        <w:topLinePunct w:val="0"/>
        <w:autoSpaceDE/>
        <w:autoSpaceDN/>
        <w:bidi w:val="0"/>
        <w:spacing w:line="520" w:lineRule="exact"/>
        <w:ind w:left="0" w:leftChars="0"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1、甲方委托乙方承担本合同内容之外的工作或服务时，应由双方另行协商解决。</w:t>
      </w:r>
    </w:p>
    <w:p w14:paraId="1FADF092">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2、如一方地址、电话、传真号码有变更，应在变更后48小时内书面通知对方，否则，应承担相应责任。</w:t>
      </w:r>
    </w:p>
    <w:p w14:paraId="1B521460">
      <w:pPr>
        <w:keepNext w:val="0"/>
        <w:keepLines w:val="0"/>
        <w:pageBreakBefore w:val="0"/>
        <w:kinsoku/>
        <w:wordWrap/>
        <w:overflowPunct/>
        <w:topLinePunct w:val="0"/>
        <w:autoSpaceDE/>
        <w:autoSpaceDN/>
        <w:bidi w:val="0"/>
        <w:spacing w:line="520" w:lineRule="exact"/>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3、未经甲方书面同意，乙方不得擅自向第三方转让其应履行的本合同项下的全部义务。</w:t>
      </w:r>
    </w:p>
    <w:p w14:paraId="2A980B0E">
      <w:pPr>
        <w:pStyle w:val="48"/>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楷体" w:hAnsi="楷体" w:eastAsia="楷体" w:cs="楷体"/>
          <w:b/>
          <w:bCs/>
          <w:color w:val="000000"/>
          <w:sz w:val="24"/>
          <w:szCs w:val="24"/>
        </w:rPr>
      </w:pPr>
    </w:p>
    <w:p w14:paraId="5E74F063">
      <w:pPr>
        <w:pStyle w:val="48"/>
        <w:spacing w:before="0" w:beforeAutospacing="0" w:after="0" w:afterAutospacing="0" w:line="360" w:lineRule="auto"/>
        <w:rPr>
          <w:rFonts w:hint="eastAsia" w:ascii="楷体" w:hAnsi="楷体" w:eastAsia="楷体" w:cs="楷体"/>
          <w:b/>
          <w:bCs/>
          <w:color w:val="000000"/>
        </w:rPr>
      </w:pPr>
    </w:p>
    <w:p w14:paraId="46D53983">
      <w:pPr>
        <w:pStyle w:val="48"/>
        <w:spacing w:before="0" w:beforeAutospacing="0" w:after="0" w:afterAutospacing="0" w:line="360" w:lineRule="auto"/>
        <w:rPr>
          <w:rFonts w:hint="eastAsia" w:ascii="楷体" w:hAnsi="楷体" w:eastAsia="楷体" w:cs="楷体"/>
          <w:b/>
          <w:bCs/>
          <w:color w:val="000000"/>
          <w:lang w:eastAsia="zh-CN"/>
        </w:rPr>
      </w:pPr>
    </w:p>
    <w:p w14:paraId="29FB9A66">
      <w:pPr>
        <w:pStyle w:val="48"/>
        <w:spacing w:before="0" w:beforeAutospacing="0" w:after="0" w:afterAutospacing="0" w:line="360" w:lineRule="auto"/>
        <w:rPr>
          <w:rFonts w:hint="eastAsia" w:ascii="楷体" w:hAnsi="楷体" w:eastAsia="楷体" w:cs="楷体"/>
          <w:b/>
          <w:bCs/>
          <w:color w:val="000000"/>
        </w:rPr>
      </w:pPr>
    </w:p>
    <w:p w14:paraId="33A4B7C0">
      <w:pPr>
        <w:pStyle w:val="48"/>
        <w:spacing w:before="0" w:beforeAutospacing="0" w:after="0" w:afterAutospacing="0" w:line="360" w:lineRule="auto"/>
        <w:rPr>
          <w:rFonts w:hint="eastAsia" w:ascii="楷体" w:hAnsi="楷体" w:eastAsia="楷体" w:cs="楷体"/>
          <w:b/>
          <w:bCs/>
          <w:color w:val="000000"/>
        </w:rPr>
      </w:pPr>
    </w:p>
    <w:p w14:paraId="16726CEF">
      <w:pPr>
        <w:pStyle w:val="48"/>
        <w:spacing w:before="0" w:beforeAutospacing="0" w:after="0" w:afterAutospacing="0" w:line="360" w:lineRule="auto"/>
        <w:rPr>
          <w:rFonts w:hint="eastAsia" w:ascii="楷体" w:hAnsi="楷体" w:eastAsia="楷体" w:cs="楷体"/>
          <w:b/>
          <w:bCs/>
          <w:color w:val="000000"/>
        </w:rPr>
      </w:pPr>
    </w:p>
    <w:p w14:paraId="24E41EE2">
      <w:pPr>
        <w:pStyle w:val="48"/>
        <w:spacing w:before="0" w:beforeAutospacing="0" w:after="0" w:afterAutospacing="0" w:line="360" w:lineRule="auto"/>
        <w:rPr>
          <w:rFonts w:hint="eastAsia" w:ascii="楷体" w:hAnsi="楷体" w:eastAsia="楷体" w:cs="楷体"/>
          <w:b/>
          <w:bCs/>
          <w:color w:val="000000"/>
        </w:rPr>
      </w:pPr>
    </w:p>
    <w:p w14:paraId="5A3177EC">
      <w:pPr>
        <w:pStyle w:val="48"/>
        <w:spacing w:before="0" w:beforeAutospacing="0" w:after="0" w:afterAutospacing="0" w:line="360" w:lineRule="auto"/>
        <w:rPr>
          <w:rFonts w:hint="eastAsia" w:ascii="楷体" w:hAnsi="楷体" w:eastAsia="楷体" w:cs="楷体"/>
          <w:b/>
          <w:bCs/>
          <w:color w:val="000000"/>
        </w:rPr>
      </w:pPr>
    </w:p>
    <w:p w14:paraId="319FBD7F">
      <w:pPr>
        <w:pStyle w:val="48"/>
        <w:spacing w:before="0" w:beforeAutospacing="0" w:after="0" w:afterAutospacing="0" w:line="360" w:lineRule="auto"/>
        <w:rPr>
          <w:rFonts w:hint="eastAsia" w:ascii="楷体" w:hAnsi="楷体" w:eastAsia="楷体" w:cs="楷体"/>
          <w:b/>
          <w:bCs/>
          <w:color w:val="000000"/>
          <w:sz w:val="24"/>
          <w:szCs w:val="24"/>
          <w:u w:val="none"/>
          <w:lang w:eastAsia="zh-CN"/>
        </w:rPr>
      </w:pPr>
      <w:r>
        <w:rPr>
          <w:rFonts w:hint="eastAsia" w:ascii="楷体" w:hAnsi="楷体" w:eastAsia="楷体" w:cs="楷体"/>
          <w:b/>
          <w:bCs/>
          <w:color w:val="000000"/>
          <w:sz w:val="24"/>
          <w:szCs w:val="24"/>
          <w:u w:val="none"/>
        </w:rPr>
        <w:t>甲方：</w:t>
      </w:r>
      <w:r>
        <w:rPr>
          <w:rFonts w:hint="eastAsia" w:ascii="楷体" w:hAnsi="楷体" w:eastAsia="楷体" w:cs="楷体"/>
          <w:b/>
          <w:bCs/>
          <w:color w:val="auto"/>
          <w:sz w:val="24"/>
          <w:szCs w:val="24"/>
          <w:u w:val="none"/>
          <w:lang w:val="en-US" w:eastAsia="zh-CN"/>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乙方：</w:t>
      </w:r>
      <w:r>
        <w:rPr>
          <w:rFonts w:hint="eastAsia" w:ascii="楷体" w:hAnsi="楷体" w:eastAsia="楷体" w:cs="楷体"/>
          <w:b/>
          <w:bCs/>
          <w:color w:val="000000"/>
          <w:sz w:val="24"/>
          <w:szCs w:val="24"/>
          <w:u w:val="none"/>
          <w:lang w:val="en-US" w:eastAsia="zh-CN"/>
        </w:rPr>
        <w:t xml:space="preserve"> </w:t>
      </w:r>
    </w:p>
    <w:p w14:paraId="32B21C01">
      <w:pPr>
        <w:pStyle w:val="48"/>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（盖章）                                 （盖章）</w:t>
      </w:r>
    </w:p>
    <w:p w14:paraId="7B276B3C">
      <w:pPr>
        <w:pStyle w:val="48"/>
        <w:spacing w:before="0" w:beforeAutospacing="0" w:after="0" w:afterAutospacing="0" w:line="360" w:lineRule="auto"/>
        <w:rPr>
          <w:rFonts w:hint="eastAsia" w:ascii="楷体" w:hAnsi="楷体" w:eastAsia="楷体" w:cs="楷体"/>
          <w:b/>
          <w:bCs/>
          <w:color w:val="000000"/>
          <w:sz w:val="24"/>
          <w:szCs w:val="24"/>
          <w:u w:val="none"/>
        </w:rPr>
      </w:pPr>
    </w:p>
    <w:p w14:paraId="1551CCB2">
      <w:pPr>
        <w:pStyle w:val="48"/>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法定代表人：                              法定代表人：</w:t>
      </w:r>
    </w:p>
    <w:p w14:paraId="541FAAB3">
      <w:pPr>
        <w:pStyle w:val="48"/>
        <w:spacing w:before="0" w:beforeAutospacing="0" w:after="0" w:afterAutospacing="0" w:line="360" w:lineRule="auto"/>
        <w:rPr>
          <w:rFonts w:hint="eastAsia" w:ascii="楷体" w:hAnsi="楷体" w:eastAsia="楷体" w:cs="楷体"/>
          <w:b/>
          <w:bCs/>
          <w:color w:val="000000"/>
          <w:sz w:val="24"/>
          <w:szCs w:val="24"/>
          <w:u w:val="none"/>
        </w:rPr>
      </w:pPr>
    </w:p>
    <w:p w14:paraId="471715D0">
      <w:pPr>
        <w:pStyle w:val="48"/>
        <w:spacing w:before="0" w:beforeAutospacing="0" w:after="0" w:afterAutospacing="0" w:line="360" w:lineRule="auto"/>
        <w:rPr>
          <w:rFonts w:hint="eastAsia" w:ascii="楷体" w:hAnsi="楷体" w:eastAsia="楷体" w:cs="楷体"/>
          <w:b/>
          <w:bCs/>
          <w:color w:val="000000"/>
          <w:sz w:val="24"/>
          <w:szCs w:val="24"/>
          <w:u w:val="none"/>
        </w:rPr>
      </w:pPr>
      <w:r>
        <w:rPr>
          <w:rFonts w:hint="eastAsia" w:ascii="楷体" w:hAnsi="楷体" w:eastAsia="楷体" w:cs="楷体"/>
          <w:b/>
          <w:bCs/>
          <w:color w:val="000000"/>
          <w:sz w:val="24"/>
          <w:szCs w:val="24"/>
          <w:u w:val="none"/>
        </w:rPr>
        <w:t>授权代表（签字</w:t>
      </w:r>
      <w:r>
        <w:rPr>
          <w:rFonts w:hint="eastAsia" w:ascii="楷体" w:hAnsi="楷体" w:eastAsia="楷体" w:cs="楷体"/>
          <w:b/>
          <w:bCs/>
          <w:color w:val="000000"/>
          <w:sz w:val="24"/>
          <w:szCs w:val="24"/>
          <w:u w:val="none"/>
          <w:lang w:val="en-US" w:eastAsia="zh-CN"/>
        </w:rPr>
        <w:t>\盖章</w:t>
      </w:r>
      <w:r>
        <w:rPr>
          <w:rFonts w:hint="eastAsia" w:ascii="楷体" w:hAnsi="楷体" w:eastAsia="楷体" w:cs="楷体"/>
          <w:b/>
          <w:bCs/>
          <w:color w:val="000000"/>
          <w:sz w:val="24"/>
          <w:szCs w:val="24"/>
          <w:u w:val="none"/>
        </w:rPr>
        <w:t>）：                   授权代表（签字</w:t>
      </w:r>
      <w:r>
        <w:rPr>
          <w:rFonts w:hint="eastAsia" w:ascii="楷体" w:hAnsi="楷体" w:eastAsia="楷体" w:cs="楷体"/>
          <w:b/>
          <w:bCs/>
          <w:color w:val="000000"/>
          <w:sz w:val="24"/>
          <w:szCs w:val="24"/>
          <w:u w:val="none"/>
          <w:lang w:val="en-US" w:eastAsia="zh-CN"/>
        </w:rPr>
        <w:t>\盖章</w:t>
      </w:r>
      <w:r>
        <w:rPr>
          <w:rFonts w:hint="eastAsia" w:ascii="楷体" w:hAnsi="楷体" w:eastAsia="楷体" w:cs="楷体"/>
          <w:b/>
          <w:bCs/>
          <w:color w:val="000000"/>
          <w:sz w:val="24"/>
          <w:szCs w:val="24"/>
          <w:u w:val="none"/>
        </w:rPr>
        <w:t>）：</w:t>
      </w:r>
    </w:p>
    <w:p w14:paraId="2E0ACE45">
      <w:pPr>
        <w:pStyle w:val="48"/>
        <w:spacing w:before="0" w:beforeAutospacing="0" w:after="0" w:afterAutospacing="0" w:line="360" w:lineRule="auto"/>
        <w:rPr>
          <w:rFonts w:hint="eastAsia" w:ascii="楷体" w:hAnsi="楷体" w:eastAsia="楷体" w:cs="楷体"/>
          <w:b/>
          <w:bCs/>
          <w:color w:val="000000"/>
          <w:sz w:val="24"/>
          <w:szCs w:val="24"/>
          <w:u w:val="none"/>
        </w:rPr>
      </w:pPr>
    </w:p>
    <w:p w14:paraId="5237CC6B">
      <w:pPr>
        <w:pStyle w:val="48"/>
        <w:spacing w:before="0" w:beforeAutospacing="0" w:after="0" w:afterAutospacing="0" w:line="360" w:lineRule="auto"/>
        <w:ind w:left="6264" w:hanging="6264" w:hangingChars="2600"/>
        <w:rPr>
          <w:rFonts w:hint="eastAsia" w:ascii="楷体" w:hAnsi="楷体" w:eastAsia="楷体" w:cs="楷体"/>
          <w:b/>
          <w:bCs/>
          <w:sz w:val="24"/>
          <w:szCs w:val="24"/>
          <w:u w:val="none"/>
        </w:rPr>
      </w:pPr>
      <w:r>
        <w:rPr>
          <w:rFonts w:hint="eastAsia" w:ascii="楷体" w:hAnsi="楷体" w:eastAsia="楷体" w:cs="楷体"/>
          <w:b/>
          <w:bCs/>
          <w:color w:val="000000"/>
          <w:sz w:val="24"/>
          <w:szCs w:val="24"/>
          <w:u w:val="none"/>
        </w:rPr>
        <w:t>开户银行：</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开户银行：</w:t>
      </w:r>
      <w:r>
        <w:rPr>
          <w:rFonts w:hint="eastAsia" w:ascii="楷体" w:hAnsi="楷体" w:eastAsia="楷体" w:cs="楷体"/>
          <w:b/>
          <w:bCs/>
          <w:sz w:val="24"/>
          <w:szCs w:val="24"/>
          <w:u w:val="none"/>
          <w:lang w:val="en-US" w:eastAsia="zh-CN"/>
        </w:rPr>
        <w:t xml:space="preserve"> </w:t>
      </w:r>
      <w:r>
        <w:rPr>
          <w:rFonts w:hint="eastAsia" w:ascii="楷体" w:hAnsi="楷体" w:eastAsia="楷体" w:cs="楷体"/>
          <w:b/>
          <w:bCs/>
          <w:sz w:val="24"/>
          <w:szCs w:val="24"/>
          <w:u w:val="none"/>
        </w:rPr>
        <w:t xml:space="preserve">  </w:t>
      </w:r>
    </w:p>
    <w:p w14:paraId="4F02797A">
      <w:pPr>
        <w:pStyle w:val="48"/>
        <w:spacing w:before="0" w:beforeAutospacing="0" w:after="0" w:afterAutospacing="0" w:line="360" w:lineRule="auto"/>
        <w:ind w:left="6278" w:leftChars="580" w:hanging="5060" w:hangingChars="2100"/>
        <w:rPr>
          <w:rFonts w:hint="eastAsia" w:ascii="楷体" w:hAnsi="楷体" w:eastAsia="楷体" w:cs="楷体"/>
          <w:b/>
          <w:bCs/>
          <w:color w:val="000000"/>
          <w:sz w:val="24"/>
          <w:szCs w:val="24"/>
          <w:u w:val="none"/>
          <w:lang w:eastAsia="zh-CN"/>
        </w:rPr>
      </w:pPr>
      <w:r>
        <w:rPr>
          <w:rFonts w:hint="eastAsia" w:ascii="楷体" w:hAnsi="楷体" w:eastAsia="楷体" w:cs="楷体"/>
          <w:b/>
          <w:bCs/>
          <w:sz w:val="24"/>
          <w:szCs w:val="24"/>
          <w:u w:val="none"/>
        </w:rPr>
        <w:t xml:space="preserve">                                </w:t>
      </w:r>
      <w:r>
        <w:rPr>
          <w:rFonts w:hint="eastAsia" w:ascii="楷体" w:hAnsi="楷体" w:eastAsia="楷体" w:cs="楷体"/>
          <w:b/>
          <w:bCs/>
          <w:sz w:val="24"/>
          <w:szCs w:val="24"/>
          <w:u w:val="none"/>
          <w:lang w:val="en-US" w:eastAsia="zh-CN"/>
        </w:rPr>
        <w:t xml:space="preserve"> </w:t>
      </w:r>
    </w:p>
    <w:p w14:paraId="0E9A767B">
      <w:pPr>
        <w:pStyle w:val="48"/>
        <w:spacing w:before="0" w:beforeAutospacing="0" w:after="0" w:afterAutospacing="0" w:line="360" w:lineRule="auto"/>
        <w:rPr>
          <w:rFonts w:hint="eastAsia" w:ascii="楷体" w:hAnsi="楷体" w:eastAsia="楷体" w:cs="楷体"/>
          <w:b/>
          <w:bCs/>
          <w:sz w:val="24"/>
          <w:szCs w:val="24"/>
          <w:u w:val="none"/>
          <w:lang w:eastAsia="zh-CN"/>
        </w:rPr>
      </w:pPr>
      <w:r>
        <w:rPr>
          <w:rFonts w:hint="eastAsia" w:ascii="楷体" w:hAnsi="楷体" w:eastAsia="楷体" w:cs="楷体"/>
          <w:b/>
          <w:bCs/>
          <w:color w:val="000000"/>
          <w:sz w:val="24"/>
          <w:szCs w:val="24"/>
          <w:u w:val="none"/>
        </w:rPr>
        <w:t>账号：</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账号：</w:t>
      </w:r>
      <w:r>
        <w:rPr>
          <w:rFonts w:hint="eastAsia" w:ascii="楷体" w:hAnsi="楷体" w:eastAsia="楷体" w:cs="楷体"/>
          <w:b/>
          <w:bCs/>
          <w:sz w:val="24"/>
          <w:szCs w:val="24"/>
          <w:u w:val="none"/>
          <w:lang w:val="en-US" w:eastAsia="zh-CN"/>
        </w:rPr>
        <w:t xml:space="preserve"> </w:t>
      </w:r>
    </w:p>
    <w:p w14:paraId="712DB501">
      <w:pPr>
        <w:pStyle w:val="48"/>
        <w:spacing w:before="0" w:beforeAutospacing="0" w:after="0" w:afterAutospacing="0" w:line="360" w:lineRule="auto"/>
        <w:ind w:left="5060" w:hanging="5060" w:hangingChars="2100"/>
        <w:rPr>
          <w:rFonts w:hint="eastAsia" w:ascii="楷体" w:hAnsi="楷体" w:eastAsia="楷体" w:cs="楷体"/>
          <w:b/>
          <w:bCs/>
          <w:color w:val="000000"/>
          <w:sz w:val="24"/>
          <w:szCs w:val="24"/>
          <w:u w:val="none"/>
        </w:rPr>
      </w:pPr>
    </w:p>
    <w:p w14:paraId="0A37A020">
      <w:pPr>
        <w:pStyle w:val="48"/>
        <w:spacing w:before="0" w:beforeAutospacing="0" w:after="0" w:afterAutospacing="0" w:line="360" w:lineRule="auto"/>
        <w:ind w:left="5060" w:hanging="5060" w:hangingChars="2100"/>
        <w:rPr>
          <w:rFonts w:hint="eastAsia" w:ascii="楷体" w:hAnsi="楷体" w:eastAsia="楷体" w:cs="楷体"/>
          <w:b/>
          <w:bCs/>
          <w:color w:val="000000"/>
          <w:sz w:val="24"/>
          <w:szCs w:val="24"/>
          <w:u w:val="none"/>
          <w:lang w:eastAsia="zh-CN"/>
        </w:rPr>
      </w:pPr>
      <w:r>
        <w:rPr>
          <w:rFonts w:hint="eastAsia" w:ascii="楷体" w:hAnsi="楷体" w:eastAsia="楷体" w:cs="楷体"/>
          <w:b/>
          <w:bCs/>
          <w:color w:val="000000"/>
          <w:sz w:val="24"/>
          <w:szCs w:val="24"/>
          <w:u w:val="none"/>
        </w:rPr>
        <w:t>纳税人识别号：</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 xml:space="preserve">    </w:t>
      </w:r>
      <w:r>
        <w:rPr>
          <w:rFonts w:hint="eastAsia" w:ascii="楷体" w:hAnsi="楷体" w:eastAsia="楷体" w:cs="楷体"/>
          <w:b/>
          <w:bCs/>
          <w:color w:val="000000"/>
          <w:sz w:val="24"/>
          <w:szCs w:val="24"/>
          <w:u w:val="none"/>
          <w:lang w:val="en-US" w:eastAsia="zh-CN"/>
        </w:rPr>
        <w:t xml:space="preserve"> </w:t>
      </w:r>
      <w:r>
        <w:rPr>
          <w:rFonts w:hint="eastAsia" w:ascii="楷体" w:hAnsi="楷体" w:eastAsia="楷体" w:cs="楷体"/>
          <w:b/>
          <w:bCs/>
          <w:color w:val="000000"/>
          <w:sz w:val="24"/>
          <w:szCs w:val="24"/>
          <w:u w:val="none"/>
        </w:rPr>
        <w:t>纳税人识别号：</w:t>
      </w:r>
      <w:r>
        <w:rPr>
          <w:rFonts w:hint="eastAsia" w:ascii="楷体" w:hAnsi="楷体" w:eastAsia="楷体" w:cs="楷体"/>
          <w:b/>
          <w:bCs/>
          <w:color w:val="000000"/>
          <w:sz w:val="24"/>
          <w:szCs w:val="24"/>
          <w:u w:val="none"/>
          <w:lang w:val="en-US" w:eastAsia="zh-CN"/>
        </w:rPr>
        <w:t xml:space="preserve"> </w:t>
      </w:r>
    </w:p>
    <w:p w14:paraId="6873E600">
      <w:pPr>
        <w:pStyle w:val="48"/>
        <w:spacing w:before="0" w:beforeAutospacing="0" w:after="0" w:afterAutospacing="0" w:line="360" w:lineRule="auto"/>
        <w:rPr>
          <w:rFonts w:hint="eastAsia" w:ascii="楷体" w:hAnsi="楷体" w:eastAsia="楷体" w:cs="楷体"/>
          <w:b/>
          <w:bCs/>
          <w:color w:val="000000"/>
        </w:rPr>
      </w:pPr>
    </w:p>
    <w:p w14:paraId="075AD32B">
      <w:pPr>
        <w:pStyle w:val="48"/>
        <w:spacing w:before="0" w:beforeAutospacing="0" w:after="0" w:afterAutospacing="0" w:line="360" w:lineRule="auto"/>
        <w:rPr>
          <w:rFonts w:hint="eastAsia" w:ascii="黑体" w:hAnsi="黑体" w:eastAsia="黑体" w:cs="黑体"/>
          <w:b/>
          <w:bCs/>
          <w:sz w:val="32"/>
          <w:szCs w:val="32"/>
        </w:rPr>
      </w:pPr>
      <w:r>
        <w:rPr>
          <w:rFonts w:hint="eastAsia" w:ascii="楷体" w:hAnsi="楷体" w:eastAsia="楷体" w:cs="楷体"/>
          <w:b/>
          <w:bCs/>
          <w:color w:val="000000"/>
        </w:rPr>
        <w:t>日期：       年    月    日               日期：       年    月    日</w:t>
      </w:r>
    </w:p>
    <w:p w14:paraId="26C7839D">
      <w:pPr>
        <w:spacing w:line="360" w:lineRule="auto"/>
        <w:ind w:firstLine="480" w:firstLineChars="200"/>
        <w:rPr>
          <w:rFonts w:eastAsia="仿宋_GB2312"/>
          <w:sz w:val="24"/>
        </w:rPr>
      </w:pPr>
    </w:p>
    <w:p w14:paraId="6D8BD065">
      <w:pPr>
        <w:spacing w:line="360" w:lineRule="auto"/>
        <w:ind w:firstLine="480" w:firstLineChars="200"/>
        <w:rPr>
          <w:rFonts w:eastAsia="仿宋_GB2312"/>
          <w:sz w:val="24"/>
        </w:rPr>
      </w:pPr>
    </w:p>
    <w:p w14:paraId="5D676AB2">
      <w:pPr>
        <w:spacing w:line="360" w:lineRule="auto"/>
        <w:ind w:firstLine="480" w:firstLineChars="200"/>
        <w:rPr>
          <w:rFonts w:eastAsia="仿宋_GB2312"/>
          <w:sz w:val="24"/>
        </w:rPr>
      </w:pPr>
    </w:p>
    <w:p w14:paraId="713DE6F0">
      <w:pPr>
        <w:spacing w:line="360" w:lineRule="auto"/>
        <w:ind w:firstLine="480" w:firstLineChars="200"/>
        <w:rPr>
          <w:rFonts w:eastAsia="仿宋_GB2312"/>
          <w:sz w:val="24"/>
        </w:rPr>
      </w:pPr>
    </w:p>
    <w:p w14:paraId="25F7ADEC">
      <w:pPr>
        <w:spacing w:line="360" w:lineRule="auto"/>
        <w:ind w:firstLine="480" w:firstLineChars="200"/>
        <w:rPr>
          <w:rFonts w:eastAsia="仿宋_GB2312"/>
          <w:sz w:val="24"/>
        </w:rPr>
      </w:pPr>
    </w:p>
    <w:p w14:paraId="365BAB6A">
      <w:pPr>
        <w:spacing w:line="360" w:lineRule="auto"/>
        <w:ind w:firstLine="480" w:firstLineChars="200"/>
        <w:rPr>
          <w:rFonts w:eastAsia="仿宋_GB2312"/>
          <w:sz w:val="24"/>
        </w:rPr>
      </w:pPr>
    </w:p>
    <w:p w14:paraId="557F4A43">
      <w:pPr>
        <w:spacing w:line="360" w:lineRule="auto"/>
        <w:ind w:firstLine="480" w:firstLineChars="200"/>
        <w:rPr>
          <w:rFonts w:eastAsia="仿宋_GB2312"/>
          <w:sz w:val="24"/>
        </w:rPr>
      </w:pPr>
    </w:p>
    <w:p w14:paraId="0B5B225B">
      <w:pPr>
        <w:spacing w:line="360" w:lineRule="auto"/>
        <w:ind w:firstLine="480" w:firstLineChars="200"/>
        <w:rPr>
          <w:rFonts w:eastAsia="仿宋_GB2312"/>
          <w:sz w:val="24"/>
        </w:rPr>
      </w:pPr>
    </w:p>
    <w:p w14:paraId="54E85D0E">
      <w:pPr>
        <w:spacing w:line="360" w:lineRule="auto"/>
        <w:ind w:firstLine="480" w:firstLineChars="200"/>
        <w:rPr>
          <w:rFonts w:eastAsia="仿宋_GB2312"/>
          <w:sz w:val="24"/>
        </w:rPr>
      </w:pPr>
    </w:p>
    <w:p w14:paraId="51FECC36">
      <w:pPr>
        <w:spacing w:line="360" w:lineRule="auto"/>
        <w:ind w:firstLine="480" w:firstLineChars="200"/>
        <w:rPr>
          <w:rFonts w:eastAsia="仿宋_GB2312"/>
          <w:sz w:val="24"/>
        </w:rPr>
      </w:pPr>
    </w:p>
    <w:p w14:paraId="2CC590CC">
      <w:pPr>
        <w:spacing w:line="360" w:lineRule="auto"/>
        <w:ind w:firstLine="480" w:firstLineChars="200"/>
        <w:rPr>
          <w:rFonts w:eastAsia="仿宋_GB2312"/>
          <w:sz w:val="24"/>
        </w:rPr>
      </w:pPr>
    </w:p>
    <w:p w14:paraId="6BE6BD06">
      <w:pPr>
        <w:spacing w:line="360" w:lineRule="auto"/>
        <w:ind w:firstLine="480" w:firstLineChars="200"/>
        <w:rPr>
          <w:rFonts w:eastAsia="仿宋_GB2312"/>
          <w:sz w:val="24"/>
        </w:rPr>
      </w:pPr>
    </w:p>
    <w:p w14:paraId="1F652D48">
      <w:pPr>
        <w:spacing w:line="360" w:lineRule="auto"/>
        <w:ind w:firstLine="480" w:firstLineChars="200"/>
        <w:rPr>
          <w:rFonts w:eastAsia="仿宋_GB2312"/>
          <w:sz w:val="24"/>
        </w:rPr>
      </w:pPr>
      <w:r>
        <w:rPr>
          <w:rFonts w:eastAsia="仿宋_GB2312"/>
          <w:sz w:val="24"/>
        </w:rPr>
        <w:t>合同附件1：</w:t>
      </w:r>
    </w:p>
    <w:tbl>
      <w:tblPr>
        <w:tblStyle w:val="53"/>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5AE66366">
      <w:pPr>
        <w:pStyle w:val="50"/>
        <w:spacing w:line="360" w:lineRule="auto"/>
        <w:rPr>
          <w:rFonts w:eastAsia="仿宋_GB2312"/>
          <w:sz w:val="24"/>
        </w:rPr>
      </w:pPr>
      <w:bookmarkStart w:id="433" w:name="_Toc58504448"/>
      <w:bookmarkStart w:id="434" w:name="_Toc68590980"/>
      <w:r>
        <w:rPr>
          <w:rStyle w:val="207"/>
          <w:rFonts w:ascii="Times New Roman" w:hAnsi="Times New Roman" w:eastAsia="宋体"/>
          <w:sz w:val="36"/>
          <w:szCs w:val="36"/>
        </w:rPr>
        <w:t>第五章  采购内容及要求</w:t>
      </w:r>
      <w:bookmarkEnd w:id="433"/>
      <w:bookmarkEnd w:id="434"/>
    </w:p>
    <w:p w14:paraId="6B851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技术要求</w:t>
      </w:r>
    </w:p>
    <w:p w14:paraId="65140C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项目采用前沿的VR大空间多人实时互动技术，依据石峁考古的丰硕成果，精心重现一个四千年前气势磅礴的石峁城。在这里，参观者将有机会身临其境地“穿越”至遥远的史前石峁，化身为“石峁人”,自由地在城中漫步，组队狩猎战斗，甚至参与庄严的祭祀活动。通过扮演不同的历史角色，选择多样化的故事线，参观者能够全方位、沉浸式地体验石</w:t>
      </w:r>
      <w:r>
        <w:rPr>
          <w:rFonts w:hint="eastAsia" w:ascii="仿宋" w:hAnsi="仿宋" w:eastAsia="仿宋" w:cs="仿宋"/>
          <w:sz w:val="24"/>
          <w:szCs w:val="24"/>
          <w:lang w:eastAsia="zh-CN"/>
        </w:rPr>
        <w:t>峁</w:t>
      </w:r>
      <w:r>
        <w:rPr>
          <w:rFonts w:hint="eastAsia" w:ascii="仿宋" w:hAnsi="仿宋" w:eastAsia="仿宋" w:cs="仿宋"/>
          <w:sz w:val="24"/>
          <w:szCs w:val="24"/>
        </w:rPr>
        <w:t>深厚的历史文化</w:t>
      </w:r>
      <w:r>
        <w:rPr>
          <w:rFonts w:hint="eastAsia" w:ascii="仿宋" w:hAnsi="仿宋" w:eastAsia="仿宋" w:cs="仿宋"/>
          <w:sz w:val="24"/>
          <w:szCs w:val="24"/>
          <w:lang w:eastAsia="zh-CN"/>
        </w:rPr>
        <w:t>，</w:t>
      </w:r>
      <w:r>
        <w:rPr>
          <w:rFonts w:hint="eastAsia" w:ascii="仿宋" w:hAnsi="仿宋" w:eastAsia="仿宋" w:cs="仿宋"/>
          <w:sz w:val="24"/>
          <w:szCs w:val="24"/>
        </w:rPr>
        <w:t>本项目方案策划具体内容如下：</w:t>
      </w:r>
    </w:p>
    <w:p w14:paraId="526F44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一、故事脚本创作</w:t>
      </w:r>
    </w:p>
    <w:p w14:paraId="3D8560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深入研究石峁遗址的历史文化，结合多幕剧结构，创作情节丰富、逻辑连贯的故事脚本。融入冒险、神秘、情感元素，设置不同章节的任务目标和剧情分支，确保故事既具文化内涵，又能吸引玩家，为整个项目奠定叙事基础。</w:t>
      </w:r>
    </w:p>
    <w:p w14:paraId="29D2AC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二、场景概念设计</w:t>
      </w:r>
    </w:p>
    <w:p w14:paraId="4FF520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石峁遗址的考古资料，设计遗址外围、古城内部、战斗场景等不同区域的概念图。展现各区域独特的建筑风格、环境氛围，如城墙的构造、宫殿的布局等，同时考虑多人互动体验和空间布局合理性，体现文化特色与艺术创新的平衡。</w:t>
      </w:r>
    </w:p>
    <w:p w14:paraId="6E6037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三、角色设计</w:t>
      </w:r>
    </w:p>
    <w:p w14:paraId="27BA5F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设计玩家角色以及石峁先民、虚拟考古学家等角色形象。从服饰、发型、面部特征等方面进行细致刻画，使其符合石峁文化背景，同时兼顾现代审美，赋予角色独特个性，增强玩家的代入感和与角色互动的趣味性。</w:t>
      </w:r>
    </w:p>
    <w:p w14:paraId="3A7A70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四、文化研究与资料收集</w:t>
      </w:r>
    </w:p>
    <w:p w14:paraId="10A1B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全面收集石峁遗址的考古报告、学术研究成果、历史文献等资料。对遗址的城市建设、社会结构、宗教信仰、艺术创作等方面进行深入研究，为故事脚本、场景设计、角色设计提供准确的文化依据，确保项目文化传播的专业性。</w:t>
      </w:r>
    </w:p>
    <w:p w14:paraId="7C89FC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五、体验流程规划</w:t>
      </w:r>
    </w:p>
    <w:p w14:paraId="207C2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规划从玩家入场到离场的整体体验流程，包括探秘石峁、古城寻秘、决战邪祟等环节的衔接。确定每个环节的时长、交互方式、难度递进，优化玩家在不同场景间的过渡体验，保障游戏节奏紧凑、流畅，提升玩家参与感和沉浸感。</w:t>
      </w:r>
    </w:p>
    <w:p w14:paraId="381BAF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六、主题</w:t>
      </w:r>
      <w:r>
        <w:rPr>
          <w:rFonts w:hint="eastAsia" w:ascii="仿宋" w:hAnsi="仿宋" w:eastAsia="仿宋" w:cs="仿宋"/>
          <w:sz w:val="24"/>
          <w:szCs w:val="24"/>
          <w:lang w:eastAsia="zh-CN"/>
        </w:rPr>
        <w:t>策划</w:t>
      </w:r>
      <w:r>
        <w:rPr>
          <w:rFonts w:hint="eastAsia" w:ascii="仿宋" w:hAnsi="仿宋" w:eastAsia="仿宋" w:cs="仿宋"/>
          <w:sz w:val="24"/>
          <w:szCs w:val="24"/>
        </w:rPr>
        <w:t>深化</w:t>
      </w:r>
    </w:p>
    <w:p w14:paraId="0C5CD7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进一步挖掘石峁遗址核心文化元素，围绕文化传承和情感共鸣，细化主题策划。明确各章节如何引导玩家感受石峁先民智慧，激发文化传承责任感，融入情绪价值元素，增强故事的感染力和吸引力。</w:t>
      </w:r>
    </w:p>
    <w:p w14:paraId="552856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七、专家咨询与评审</w:t>
      </w:r>
    </w:p>
    <w:p w14:paraId="3C61B8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b/>
          <w:bCs/>
          <w:sz w:val="24"/>
          <w:szCs w:val="24"/>
          <w:lang w:val="en-US" w:eastAsia="zh-CN"/>
        </w:rPr>
      </w:pPr>
      <w:r>
        <w:rPr>
          <w:rFonts w:hint="eastAsia" w:ascii="仿宋" w:hAnsi="仿宋" w:eastAsia="仿宋" w:cs="仿宋"/>
          <w:sz w:val="24"/>
          <w:szCs w:val="24"/>
        </w:rPr>
        <w:t>邀请考古学、历史学、VR技术、文旅产业等领域专家，对策划方案进行咨询和评审。在项目关键节点，组织专家论证会，确保项目在文化准确性、技术可行性、市场适应性等方面符合要求，及时调整优化方案</w:t>
      </w:r>
      <w:r>
        <w:rPr>
          <w:rFonts w:hint="eastAsia" w:ascii="仿宋" w:hAnsi="仿宋" w:eastAsia="仿宋" w:cs="仿宋"/>
          <w:sz w:val="24"/>
          <w:szCs w:val="24"/>
          <w:lang w:eastAsia="zh-CN"/>
        </w:rPr>
        <w:t>。</w:t>
      </w:r>
    </w:p>
    <w:p w14:paraId="287F4F1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商务要求</w:t>
      </w:r>
    </w:p>
    <w:p w14:paraId="1588F87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val="0"/>
          <w:bCs w:val="0"/>
          <w:color w:val="000000"/>
          <w:kern w:val="0"/>
          <w:sz w:val="24"/>
          <w:szCs w:val="24"/>
          <w:lang w:val="en-US" w:eastAsia="zh-CN" w:bidi="ar"/>
        </w:rPr>
        <w:t>服务</w:t>
      </w:r>
      <w:r>
        <w:rPr>
          <w:rFonts w:hint="eastAsia" w:ascii="仿宋" w:hAnsi="仿宋" w:eastAsia="仿宋" w:cs="仿宋"/>
          <w:sz w:val="24"/>
          <w:szCs w:val="24"/>
        </w:rPr>
        <w:t>地点：</w:t>
      </w:r>
      <w:r>
        <w:rPr>
          <w:rFonts w:hint="eastAsia" w:ascii="仿宋" w:hAnsi="仿宋" w:eastAsia="仿宋" w:cs="仿宋"/>
          <w:sz w:val="24"/>
          <w:szCs w:val="24"/>
          <w:lang w:eastAsia="zh-CN"/>
        </w:rPr>
        <w:t>神木市石峁遗址</w:t>
      </w:r>
      <w:r>
        <w:rPr>
          <w:rFonts w:hint="eastAsia" w:ascii="仿宋" w:hAnsi="仿宋" w:eastAsia="仿宋" w:cs="仿宋"/>
          <w:sz w:val="24"/>
          <w:szCs w:val="24"/>
        </w:rPr>
        <w:t>；</w:t>
      </w:r>
    </w:p>
    <w:p w14:paraId="7C99E1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w:t>
      </w:r>
      <w:r>
        <w:rPr>
          <w:rFonts w:hint="eastAsia" w:ascii="仿宋_GB2312" w:hAnsi="仿宋_GB2312" w:eastAsia="仿宋_GB2312" w:cs="仿宋_GB2312"/>
          <w:sz w:val="24"/>
          <w:lang w:eastAsia="zh-CN"/>
        </w:rPr>
        <w:t>合同签订后6个月内实施完成</w:t>
      </w:r>
      <w:r>
        <w:rPr>
          <w:rFonts w:hint="eastAsia" w:ascii="仿宋" w:hAnsi="仿宋" w:eastAsia="仿宋" w:cs="仿宋"/>
          <w:sz w:val="24"/>
          <w:szCs w:val="24"/>
        </w:rPr>
        <w:t>。</w:t>
      </w:r>
    </w:p>
    <w:p w14:paraId="2CBCDDC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lang w:val="en-US" w:eastAsia="zh-CN" w:bidi="ar"/>
        </w:rPr>
        <w:t>4、项目主要技术标准：</w:t>
      </w:r>
      <w:r>
        <w:rPr>
          <w:rFonts w:hint="eastAsia" w:ascii="仿宋" w:hAnsi="仿宋" w:eastAsia="仿宋" w:cs="仿宋"/>
          <w:b w:val="0"/>
          <w:bCs w:val="0"/>
          <w:sz w:val="24"/>
          <w:szCs w:val="24"/>
          <w:lang w:val="en-US" w:eastAsia="zh-CN"/>
        </w:rPr>
        <w:t>详见技术要求</w:t>
      </w:r>
    </w:p>
    <w:p w14:paraId="0764A2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5、合同价款</w:t>
      </w:r>
    </w:p>
    <w:p w14:paraId="338D8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总价包干，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 </w:t>
      </w:r>
    </w:p>
    <w:p w14:paraId="359A8A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（2）合同总价一次包死，不受市场价变化的影响。</w:t>
      </w:r>
    </w:p>
    <w:p w14:paraId="4FAF44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（3）授予中小企业政府采购合同预付款比例不低于合同价款的40%，以人工投入为主且实行按月定期结算支付款项的项目除外。</w:t>
      </w:r>
    </w:p>
    <w:p w14:paraId="47AD818A">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p>
    <w:p w14:paraId="3D340215">
      <w:pPr>
        <w:rPr>
          <w:rStyle w:val="207"/>
          <w:rFonts w:ascii="Times New Roman" w:hAnsi="Times New Roman" w:eastAsia="宋体"/>
          <w:sz w:val="36"/>
          <w:szCs w:val="36"/>
        </w:rPr>
      </w:pPr>
      <w:bookmarkStart w:id="435" w:name="_Toc415499899"/>
      <w:bookmarkStart w:id="436" w:name="_Toc385992401"/>
      <w:bookmarkStart w:id="437" w:name="_Toc31008"/>
      <w:bookmarkStart w:id="438" w:name="_Toc68590981"/>
      <w:bookmarkStart w:id="439" w:name="_Toc389620241"/>
      <w:bookmarkStart w:id="440" w:name="_Toc58504449"/>
      <w:r>
        <w:rPr>
          <w:rStyle w:val="207"/>
          <w:rFonts w:ascii="Times New Roman" w:hAnsi="Times New Roman" w:eastAsia="宋体"/>
          <w:sz w:val="36"/>
          <w:szCs w:val="36"/>
        </w:rPr>
        <w:br w:type="page"/>
      </w:r>
    </w:p>
    <w:p w14:paraId="6B464C23">
      <w:pPr>
        <w:pStyle w:val="50"/>
        <w:spacing w:line="360" w:lineRule="auto"/>
        <w:rPr>
          <w:rFonts w:ascii="Times New Roman" w:hAnsi="Times New Roman" w:eastAsiaTheme="minorEastAsia"/>
        </w:rPr>
      </w:pPr>
      <w:r>
        <w:rPr>
          <w:rStyle w:val="207"/>
          <w:rFonts w:ascii="Times New Roman" w:hAnsi="Times New Roman" w:eastAsia="宋体"/>
          <w:sz w:val="36"/>
          <w:szCs w:val="36"/>
        </w:rPr>
        <w:t>第六章  磋商响应文件格式</w:t>
      </w:r>
      <w:bookmarkEnd w:id="435"/>
      <w:bookmarkEnd w:id="436"/>
      <w:bookmarkEnd w:id="437"/>
      <w:bookmarkEnd w:id="438"/>
      <w:bookmarkEnd w:id="439"/>
      <w:bookmarkEnd w:id="440"/>
      <w:r>
        <w:rPr>
          <w:rFonts w:ascii="Times New Roman" w:hAnsi="Times New Roman" w:eastAsiaTheme="minorEastAsia"/>
        </w:rPr>
        <w:br w:type="page"/>
      </w:r>
      <w:r>
        <w:rPr>
          <w:rFonts w:ascii="Times New Roman" w:hAnsi="Times New Roman" w:eastAsiaTheme="minorEastAsia"/>
        </w:rPr>
        <w:t xml:space="preserve">                                 </w:t>
      </w: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9"/>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3"/>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41"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41"/>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形式不限</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5B2AA23A">
      <w:pPr>
        <w:tabs>
          <w:tab w:val="left" w:pos="993"/>
          <w:tab w:val="left" w:pos="1030"/>
          <w:tab w:val="left" w:pos="8364"/>
        </w:tabs>
        <w:snapToGrid w:val="0"/>
        <w:spacing w:after="120" w:afterLines="50" w:line="360" w:lineRule="auto"/>
        <w:ind w:left="420" w:right="-57" w:rightChars="-27"/>
        <w:jc w:val="left"/>
        <w:rPr>
          <w:rFonts w:hint="default" w:ascii="Times New Roman" w:hAnsi="Times New Roman" w:eastAsia="仿宋_GB2312" w:cs="Times New Roman"/>
          <w:sz w:val="24"/>
          <w:lang w:val="en-US" w:eastAsia="zh-CN"/>
        </w:rPr>
      </w:pPr>
      <w:r>
        <w:rPr>
          <w:rFonts w:hint="eastAsia" w:eastAsia="仿宋_GB2312"/>
          <w:sz w:val="24"/>
        </w:rPr>
        <w:t xml:space="preserve">8. </w:t>
      </w:r>
      <w:r>
        <w:rPr>
          <w:rFonts w:eastAsia="仿宋_GB2312"/>
          <w:sz w:val="24"/>
        </w:rPr>
        <w:t>证明供应商符合特定资格条件的证明材料；</w:t>
      </w:r>
    </w:p>
    <w:p w14:paraId="73C37957">
      <w:pPr>
        <w:pStyle w:val="32"/>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32"/>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32"/>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w:t>
      </w:r>
      <w:r>
        <w:rPr>
          <w:rFonts w:hint="eastAsia" w:ascii="Times New Roman" w:hAnsi="Times New Roman" w:eastAsia="仿宋_GB2312"/>
          <w:b/>
          <w:sz w:val="24"/>
          <w:lang w:eastAsia="zh-CN"/>
        </w:rPr>
        <w:t>上传</w:t>
      </w:r>
      <w:r>
        <w:rPr>
          <w:rFonts w:ascii="Times New Roman" w:hAnsi="Times New Roman" w:eastAsia="仿宋_GB2312"/>
          <w:b/>
          <w:sz w:val="24"/>
        </w:rPr>
        <w:t>。</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2AFCFC40">
      <w:pPr>
        <w:rPr>
          <w:rFonts w:eastAsia="仿宋_GB2312"/>
          <w:b/>
          <w:sz w:val="24"/>
        </w:rPr>
      </w:pPr>
      <w:bookmarkStart w:id="442"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42"/>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43" w:name="_Toc7005121"/>
      <w:bookmarkStart w:id="444" w:name="_Ref527015333"/>
      <w:r>
        <w:rPr>
          <w:rFonts w:eastAsia="仿宋_GB2312"/>
          <w:b/>
          <w:sz w:val="24"/>
        </w:rPr>
        <w:t>6-</w:t>
      </w:r>
      <w:r>
        <w:rPr>
          <w:rFonts w:hint="eastAsia" w:eastAsia="仿宋_GB2312"/>
          <w:b/>
          <w:sz w:val="24"/>
        </w:rPr>
        <w:t xml:space="preserve">2  </w:t>
      </w:r>
      <w:r>
        <w:rPr>
          <w:rFonts w:eastAsia="仿宋_GB2312"/>
          <w:b/>
          <w:sz w:val="24"/>
        </w:rPr>
        <w:t>经审计的财务报</w:t>
      </w:r>
      <w:bookmarkEnd w:id="443"/>
      <w:bookmarkEnd w:id="444"/>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45" w:name="_Toc7005122"/>
      <w:r>
        <w:rPr>
          <w:rFonts w:eastAsia="仿宋_GB2312"/>
          <w:b/>
          <w:sz w:val="24"/>
        </w:rPr>
        <w:t xml:space="preserve">或  6-2 </w:t>
      </w:r>
      <w:bookmarkEnd w:id="445"/>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46"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46"/>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47"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47"/>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48"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48"/>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49"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49"/>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50"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50"/>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51"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51"/>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w:t>
      </w:r>
      <w:r>
        <w:rPr>
          <w:rFonts w:hint="eastAsia" w:eastAsia="仿宋_GB2312"/>
          <w:sz w:val="24"/>
          <w:u w:val="single"/>
          <w:lang w:val="en-US" w:eastAsia="zh-CN"/>
        </w:rPr>
        <w:t>属于/</w:t>
      </w:r>
      <w:r>
        <w:rPr>
          <w:rFonts w:eastAsia="仿宋_GB2312"/>
          <w:sz w:val="24"/>
          <w:u w:val="single"/>
        </w:rPr>
        <w:t xml:space="preserve">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52"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52"/>
      <w:r>
        <w:rPr>
          <w:rFonts w:eastAsia="仿宋_GB2312"/>
          <w:b/>
          <w:sz w:val="24"/>
        </w:rPr>
        <w:t>：</w:t>
      </w:r>
    </w:p>
    <w:p w14:paraId="16C58064">
      <w:pPr>
        <w:pStyle w:val="22"/>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在“信用中国”网站（www.creditchina.gov.cn）上未被列入失信被执行人、重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大税收违法失信主体以及在中国政府采购网（www.ccgp.gov.cn）未被列入政府采购严重违法失信行为记录名单</w:t>
      </w:r>
      <w:r>
        <w:rPr>
          <w:rFonts w:hint="eastAsia" w:ascii="仿宋" w:hAnsi="仿宋" w:eastAsia="仿宋" w:cs="仿宋"/>
          <w:sz w:val="24"/>
          <w:highlight w:val="none"/>
          <w:lang w:eastAsia="zh-CN"/>
        </w:rPr>
        <w:t>；</w:t>
      </w:r>
    </w:p>
    <w:p w14:paraId="3430378D">
      <w:pPr>
        <w:pStyle w:val="22"/>
        <w:rPr>
          <w:rFonts w:ascii="Times New Roman" w:hAnsi="Times New Roman"/>
        </w:rPr>
      </w:pPr>
      <w:r>
        <w:rPr>
          <w:rFonts w:ascii="Times New Roman" w:hAnsi="Times New Roman"/>
        </w:rPr>
        <w:br w:type="page"/>
      </w:r>
    </w:p>
    <w:p w14:paraId="50680A27">
      <w:pPr>
        <w:spacing w:after="120"/>
        <w:rPr>
          <w:rFonts w:eastAsia="仿宋_GB2312"/>
        </w:rPr>
      </w:pP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9"/>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 xml:space="preserve">第六部分  </w:t>
      </w:r>
      <w:r>
        <w:rPr>
          <w:rFonts w:hint="eastAsia" w:ascii="仿宋" w:hAnsi="仿宋" w:eastAsia="仿宋" w:cs="仿宋"/>
          <w:sz w:val="24"/>
          <w:highlight w:val="none"/>
        </w:rPr>
        <w:t>投标信用承诺书</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、愿意按照竞争性磋商文件中的要求，提供采购产品及技术服务，完成合同的责任和义务。</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zh-CN"/>
        </w:rPr>
        <w:t>电子文本</w:t>
      </w:r>
      <w:r>
        <w:rPr>
          <w:rFonts w:eastAsia="仿宋_GB2312"/>
          <w:sz w:val="24"/>
          <w:u w:val="single"/>
          <w:lang w:val="zh-CN"/>
        </w:rPr>
        <w:t>一</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lang w:val="zh-CN"/>
        </w:rPr>
        <w:t>个日历天。若我方成交，响应文件有效期延长至合同执行完毕。</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七、同意向贵方提供可能要求的与本次磋商有关的任何证据或资料，且尊重磋商小组的评审结论和结果。</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hint="eastAsia" w:eastAsia="仿宋_GB2312"/>
          <w:sz w:val="24"/>
          <w:lang w:val="en-US" w:eastAsia="zh-CN"/>
        </w:rPr>
        <w:t>邮  箱</w:t>
      </w:r>
      <w:r>
        <w:rPr>
          <w:rFonts w:eastAsia="仿宋_GB2312"/>
          <w:sz w:val="24"/>
          <w:lang w:val="zh-CN"/>
        </w:rPr>
        <w:t>：</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53" w:name="_Hlt520356241"/>
      <w:bookmarkEnd w:id="453"/>
      <w:r>
        <w:rPr>
          <w:rFonts w:ascii="Times New Roman"/>
        </w:rPr>
        <w:br w:type="page"/>
      </w:r>
      <w:bookmarkStart w:id="454" w:name="_Toc232176284"/>
      <w:bookmarkStart w:id="455" w:name="_Toc230583554"/>
      <w:bookmarkStart w:id="456" w:name="_Toc230099805"/>
      <w:bookmarkStart w:id="457" w:name="_Toc232395224"/>
      <w:bookmarkStart w:id="458" w:name="_Toc256342154"/>
      <w:bookmarkStart w:id="459" w:name="_Toc249515371"/>
      <w:bookmarkStart w:id="460" w:name="_Toc415499901"/>
      <w:bookmarkStart w:id="461" w:name="_Toc230013640"/>
      <w:bookmarkStart w:id="462" w:name="_Toc249525252"/>
      <w:bookmarkStart w:id="463" w:name="_Toc8496"/>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10A539C6">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54"/>
    <w:bookmarkEnd w:id="455"/>
    <w:bookmarkEnd w:id="456"/>
    <w:bookmarkEnd w:id="457"/>
    <w:bookmarkEnd w:id="458"/>
    <w:bookmarkEnd w:id="459"/>
    <w:bookmarkEnd w:id="460"/>
    <w:bookmarkEnd w:id="461"/>
    <w:bookmarkEnd w:id="462"/>
    <w:bookmarkEnd w:id="463"/>
    <w:p w14:paraId="2840E99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03F2055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F7D9CD7">
      <w:r>
        <w:rPr>
          <w:rFonts w:eastAsia="仿宋_GB2312"/>
          <w:sz w:val="24"/>
        </w:rPr>
        <w:t>项目名称：</w:t>
      </w:r>
    </w:p>
    <w:tbl>
      <w:tblPr>
        <w:tblStyle w:val="53"/>
        <w:tblW w:w="9480" w:type="dxa"/>
        <w:jc w:val="center"/>
        <w:tblLayout w:type="fixed"/>
        <w:tblCellMar>
          <w:top w:w="0" w:type="dxa"/>
          <w:left w:w="0" w:type="dxa"/>
          <w:bottom w:w="0" w:type="dxa"/>
          <w:right w:w="0" w:type="dxa"/>
        </w:tblCellMar>
      </w:tblPr>
      <w:tblGrid>
        <w:gridCol w:w="1827"/>
        <w:gridCol w:w="728"/>
        <w:gridCol w:w="1319"/>
        <w:gridCol w:w="1079"/>
        <w:gridCol w:w="1321"/>
        <w:gridCol w:w="1286"/>
        <w:gridCol w:w="1920"/>
      </w:tblGrid>
      <w:tr w14:paraId="450CE839">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F25A46">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项目</w:t>
            </w:r>
            <w:r>
              <w:rPr>
                <w:rFonts w:hint="eastAsia" w:ascii="仿宋" w:hAnsi="仿宋" w:eastAsia="仿宋" w:cs="仿宋"/>
                <w:color w:val="000000"/>
                <w:kern w:val="0"/>
                <w:sz w:val="24"/>
                <w:highlight w:val="none"/>
                <w:lang w:bidi="ar"/>
              </w:rPr>
              <w:t>内容</w:t>
            </w:r>
          </w:p>
        </w:tc>
        <w:tc>
          <w:tcPr>
            <w:tcW w:w="72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E2D5ED">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单位</w:t>
            </w:r>
          </w:p>
        </w:tc>
        <w:tc>
          <w:tcPr>
            <w:tcW w:w="132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041AF7">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数量</w:t>
            </w:r>
          </w:p>
        </w:tc>
        <w:tc>
          <w:tcPr>
            <w:tcW w:w="10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665BF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单价（元）</w:t>
            </w:r>
          </w:p>
        </w:tc>
        <w:tc>
          <w:tcPr>
            <w:tcW w:w="132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ACF4E1">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小计（元）</w:t>
            </w: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2ED419">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合计（元）</w:t>
            </w:r>
          </w:p>
        </w:tc>
        <w:tc>
          <w:tcPr>
            <w:tcW w:w="19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E8B17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备注</w:t>
            </w:r>
          </w:p>
        </w:tc>
      </w:tr>
      <w:tr w14:paraId="45923E81">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DC251">
            <w:pPr>
              <w:widowControl/>
              <w:jc w:val="center"/>
              <w:textAlignment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562769">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AED634">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CC32FA">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736A9E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C1A38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B6026A5">
            <w:pPr>
              <w:rPr>
                <w:rFonts w:ascii="仿宋" w:hAnsi="仿宋" w:eastAsia="仿宋" w:cs="仿宋"/>
                <w:color w:val="000000"/>
                <w:sz w:val="22"/>
                <w:szCs w:val="22"/>
                <w:highlight w:val="none"/>
              </w:rPr>
            </w:pPr>
          </w:p>
        </w:tc>
      </w:tr>
      <w:tr w14:paraId="4DDB89CA">
        <w:tblPrEx>
          <w:tblCellMar>
            <w:top w:w="0" w:type="dxa"/>
            <w:left w:w="0" w:type="dxa"/>
            <w:bottom w:w="0" w:type="dxa"/>
            <w:right w:w="0" w:type="dxa"/>
          </w:tblCellMar>
        </w:tblPrEx>
        <w:trPr>
          <w:trHeight w:val="708"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102F">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955EF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2A64F7">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CDC2A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762E925">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C8E99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387EF85">
            <w:pPr>
              <w:rPr>
                <w:rFonts w:ascii="仿宋" w:hAnsi="仿宋" w:eastAsia="仿宋" w:cs="仿宋"/>
                <w:color w:val="000000"/>
                <w:sz w:val="22"/>
                <w:szCs w:val="22"/>
                <w:highlight w:val="none"/>
              </w:rPr>
            </w:pPr>
          </w:p>
        </w:tc>
      </w:tr>
      <w:tr w14:paraId="354901AF">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F4532">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67D9C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6719A">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6795F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210A89B">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9B4111F">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2207C4">
            <w:pPr>
              <w:rPr>
                <w:rFonts w:ascii="仿宋" w:hAnsi="仿宋" w:eastAsia="仿宋" w:cs="仿宋"/>
                <w:color w:val="000000"/>
                <w:sz w:val="22"/>
                <w:szCs w:val="22"/>
                <w:highlight w:val="none"/>
              </w:rPr>
            </w:pPr>
          </w:p>
        </w:tc>
      </w:tr>
      <w:tr w14:paraId="4EE14BBA">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4B924">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BF46">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CCBD0">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DE4C">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68E8D">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B3A6">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ABB">
            <w:pPr>
              <w:rPr>
                <w:rFonts w:ascii="仿宋" w:hAnsi="仿宋" w:eastAsia="仿宋" w:cs="仿宋"/>
                <w:color w:val="000000"/>
                <w:sz w:val="22"/>
                <w:szCs w:val="22"/>
                <w:highlight w:val="none"/>
              </w:rPr>
            </w:pPr>
          </w:p>
        </w:tc>
      </w:tr>
      <w:tr w14:paraId="48D2A2E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77D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D1D2">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CCD6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7980">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E5B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D464">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DF98">
            <w:pPr>
              <w:rPr>
                <w:rFonts w:ascii="仿宋" w:hAnsi="仿宋" w:eastAsia="仿宋" w:cs="仿宋"/>
                <w:color w:val="000000"/>
                <w:sz w:val="22"/>
                <w:szCs w:val="22"/>
                <w:highlight w:val="none"/>
              </w:rPr>
            </w:pPr>
          </w:p>
        </w:tc>
      </w:tr>
      <w:tr w14:paraId="329405D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6D8D8">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A3B4">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3DFF">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2896">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57F6">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106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4B4E">
            <w:pPr>
              <w:rPr>
                <w:rFonts w:ascii="仿宋" w:hAnsi="仿宋" w:eastAsia="仿宋" w:cs="仿宋"/>
                <w:color w:val="000000"/>
                <w:sz w:val="22"/>
                <w:szCs w:val="22"/>
                <w:highlight w:val="none"/>
              </w:rPr>
            </w:pPr>
          </w:p>
        </w:tc>
      </w:tr>
      <w:tr w14:paraId="1B42A773">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08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237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3BC32">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D1D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259">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CFB0">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AF8">
            <w:pPr>
              <w:rPr>
                <w:rFonts w:ascii="仿宋" w:hAnsi="仿宋" w:eastAsia="仿宋" w:cs="仿宋"/>
                <w:color w:val="000000"/>
                <w:sz w:val="22"/>
                <w:szCs w:val="22"/>
                <w:highlight w:val="none"/>
              </w:rPr>
            </w:pPr>
          </w:p>
        </w:tc>
      </w:tr>
      <w:tr w14:paraId="7D598426">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654E">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676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647C">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62345">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3054">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887B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6DC2">
            <w:pPr>
              <w:rPr>
                <w:rFonts w:ascii="仿宋" w:hAnsi="仿宋" w:eastAsia="仿宋" w:cs="仿宋"/>
                <w:color w:val="000000"/>
                <w:sz w:val="22"/>
                <w:szCs w:val="22"/>
                <w:highlight w:val="none"/>
              </w:rPr>
            </w:pPr>
          </w:p>
        </w:tc>
      </w:tr>
      <w:tr w14:paraId="0DF6C720">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763B">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72CA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2098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2542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DA3">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906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A3">
            <w:pPr>
              <w:rPr>
                <w:rFonts w:ascii="仿宋" w:hAnsi="仿宋" w:eastAsia="仿宋" w:cs="仿宋"/>
                <w:color w:val="000000"/>
                <w:sz w:val="22"/>
                <w:szCs w:val="22"/>
                <w:highlight w:val="none"/>
              </w:rPr>
            </w:pPr>
          </w:p>
        </w:tc>
      </w:tr>
      <w:tr w14:paraId="706B09FC">
        <w:tblPrEx>
          <w:tblCellMar>
            <w:top w:w="0" w:type="dxa"/>
            <w:left w:w="0" w:type="dxa"/>
            <w:bottom w:w="0" w:type="dxa"/>
            <w:right w:w="0" w:type="dxa"/>
          </w:tblCellMar>
        </w:tblPrEx>
        <w:trPr>
          <w:trHeight w:val="691"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72AA">
            <w:pP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合计：（小写）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w:t>
            </w:r>
          </w:p>
        </w:tc>
      </w:tr>
    </w:tbl>
    <w:p w14:paraId="4425EE10">
      <w:pPr>
        <w:spacing w:line="360" w:lineRule="auto"/>
        <w:jc w:val="left"/>
        <w:rPr>
          <w:rFonts w:hint="eastAsia" w:eastAsia="仿宋_GB2312"/>
          <w:sz w:val="24"/>
          <w:lang w:eastAsia="zh-CN"/>
        </w:rPr>
      </w:pPr>
      <w:r>
        <w:rPr>
          <w:rFonts w:hint="eastAsia" w:eastAsia="仿宋_GB2312"/>
          <w:sz w:val="24"/>
          <w:lang w:eastAsia="zh-CN"/>
        </w:rPr>
        <w:t>注：供应商可根据自身情况自拟分项报价表</w:t>
      </w:r>
    </w:p>
    <w:p w14:paraId="72D72E1D">
      <w:pPr>
        <w:spacing w:line="360" w:lineRule="auto"/>
        <w:ind w:firstLine="1920" w:firstLineChars="800"/>
        <w:rPr>
          <w:rFonts w:eastAsia="仿宋_GB2312"/>
          <w:sz w:val="24"/>
        </w:rPr>
      </w:pPr>
    </w:p>
    <w:p w14:paraId="1A586AB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72BE24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1E078E8">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D5C1A8">
      <w:pPr>
        <w:adjustRightInd w:val="0"/>
        <w:snapToGrid w:val="0"/>
        <w:spacing w:line="360" w:lineRule="auto"/>
        <w:jc w:val="center"/>
        <w:rPr>
          <w:rFonts w:eastAsia="仿宋_GB2312"/>
          <w:b/>
          <w:sz w:val="42"/>
        </w:rPr>
      </w:pPr>
    </w:p>
    <w:p w14:paraId="4DEE7B6B">
      <w:pPr>
        <w:spacing w:line="288" w:lineRule="auto"/>
        <w:ind w:left="424" w:leftChars="202"/>
        <w:rPr>
          <w:rFonts w:eastAsia="仿宋_GB2312"/>
          <w:bCs/>
          <w:sz w:val="24"/>
        </w:rPr>
      </w:pPr>
    </w:p>
    <w:p w14:paraId="66CDCFD9">
      <w:pPr>
        <w:pStyle w:val="22"/>
        <w:rPr>
          <w:rFonts w:ascii="Times New Roman" w:hAnsi="Times New Roman" w:eastAsia="仿宋_GB2312"/>
        </w:rPr>
      </w:pPr>
    </w:p>
    <w:p w14:paraId="264B75D8">
      <w:pPr>
        <w:pStyle w:val="22"/>
        <w:rPr>
          <w:rFonts w:ascii="Times New Roman" w:hAnsi="Times New Roman" w:eastAsia="仿宋_GB2312"/>
        </w:rPr>
      </w:pPr>
      <w:r>
        <w:rPr>
          <w:rFonts w:eastAsia="仿宋_GB2312"/>
          <w:b/>
          <w:sz w:val="28"/>
          <w:szCs w:val="28"/>
        </w:rPr>
        <w:br w:type="page"/>
      </w:r>
    </w:p>
    <w:p w14:paraId="0B5A63C4">
      <w:pPr>
        <w:pStyle w:val="3"/>
        <w:jc w:val="center"/>
        <w:rPr>
          <w:rFonts w:eastAsia="仿宋_GB2312"/>
        </w:rPr>
      </w:pPr>
      <w:bookmarkStart w:id="464" w:name="_Toc249525253"/>
      <w:bookmarkStart w:id="465" w:name="_Toc177817345"/>
      <w:bookmarkStart w:id="466" w:name="_Toc389620242"/>
      <w:bookmarkStart w:id="467" w:name="_Toc232395225"/>
      <w:bookmarkStart w:id="468" w:name="_Toc256342155"/>
      <w:bookmarkStart w:id="469" w:name="_Toc230583555"/>
      <w:bookmarkStart w:id="470" w:name="_Toc415499902"/>
      <w:bookmarkStart w:id="471" w:name="_Toc500747011"/>
      <w:bookmarkStart w:id="472" w:name="_Toc496324624"/>
      <w:bookmarkStart w:id="473" w:name="_Toc232176285"/>
      <w:bookmarkStart w:id="474" w:name="_Toc385992402"/>
      <w:bookmarkStart w:id="475" w:name="_Toc177189246"/>
      <w:bookmarkStart w:id="476" w:name="_Toc500747107"/>
      <w:bookmarkStart w:id="477" w:name="_Toc499711929"/>
      <w:bookmarkStart w:id="478" w:name="_Toc176882553"/>
      <w:bookmarkStart w:id="479" w:name="_Toc492955460"/>
      <w:bookmarkStart w:id="480" w:name="_Toc177995484"/>
      <w:bookmarkStart w:id="481" w:name="_Toc503063459"/>
      <w:bookmarkStart w:id="482" w:name="_Toc70687203"/>
      <w:bookmarkStart w:id="483" w:name="_Toc499711088"/>
      <w:bookmarkStart w:id="484" w:name="_Toc184043059"/>
      <w:bookmarkStart w:id="485" w:name="_Toc83547687"/>
      <w:bookmarkStart w:id="486" w:name="_Toc230099806"/>
      <w:bookmarkStart w:id="487" w:name="_Toc249515372"/>
      <w:bookmarkStart w:id="488" w:name="_Toc500747234"/>
      <w:bookmarkStart w:id="489" w:name="_Toc230013641"/>
      <w:bookmarkStart w:id="490" w:name="_Toc225933091"/>
      <w:bookmarkStart w:id="491" w:name="_Toc53722866"/>
      <w:r>
        <w:rPr>
          <w:rFonts w:ascii="仿宋_GB2312" w:hAnsi="仿宋_GB2312" w:eastAsia="仿宋_GB2312" w:cs="仿宋_GB2312"/>
          <w:b/>
          <w:bCs/>
        </w:rPr>
        <w:t>第三部分  偏离表</w:t>
      </w:r>
    </w:p>
    <w:p w14:paraId="27CDF6A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301ACBBA">
      <w:pPr>
        <w:pStyle w:val="22"/>
        <w:rPr>
          <w:rFonts w:ascii="Times New Roman" w:hAnsi="Times New Roman" w:eastAsia="仿宋_GB2312"/>
          <w:sz w:val="24"/>
        </w:rPr>
      </w:pPr>
      <w:r>
        <w:rPr>
          <w:rFonts w:ascii="Times New Roman" w:hAnsi="Times New Roman" w:eastAsia="仿宋_GB2312"/>
          <w:sz w:val="24"/>
        </w:rPr>
        <w:t>项目编号：</w:t>
      </w:r>
    </w:p>
    <w:p w14:paraId="0CA22E6C">
      <w:pPr>
        <w:pStyle w:val="22"/>
        <w:rPr>
          <w:rFonts w:ascii="Times New Roman" w:hAnsi="Times New Roman" w:eastAsia="仿宋_GB2312"/>
          <w:sz w:val="24"/>
        </w:rPr>
      </w:pPr>
      <w:r>
        <w:rPr>
          <w:rFonts w:ascii="Times New Roman" w:hAnsi="Times New Roman" w:eastAsia="仿宋_GB2312"/>
          <w:sz w:val="24"/>
        </w:rPr>
        <w:t>项目名称：</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7F7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754A491B">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14:paraId="660B8887">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14:paraId="0942BE4E">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14:paraId="630784C6">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14:paraId="5D0B2109">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4E0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887762">
            <w:pPr>
              <w:pStyle w:val="32"/>
              <w:jc w:val="center"/>
              <w:rPr>
                <w:rFonts w:ascii="仿宋" w:hAnsi="仿宋" w:eastAsia="仿宋" w:cs="仿宋"/>
                <w:sz w:val="24"/>
                <w:szCs w:val="24"/>
                <w:highlight w:val="none"/>
              </w:rPr>
            </w:pPr>
          </w:p>
        </w:tc>
        <w:tc>
          <w:tcPr>
            <w:tcW w:w="2835" w:type="dxa"/>
          </w:tcPr>
          <w:p w14:paraId="3836814A">
            <w:pPr>
              <w:pStyle w:val="32"/>
              <w:jc w:val="center"/>
              <w:rPr>
                <w:rFonts w:ascii="仿宋" w:hAnsi="仿宋" w:eastAsia="仿宋" w:cs="仿宋"/>
                <w:sz w:val="24"/>
                <w:szCs w:val="24"/>
                <w:highlight w:val="none"/>
              </w:rPr>
            </w:pPr>
            <w:r>
              <w:rPr>
                <w:rFonts w:hint="eastAsia" w:ascii="仿宋" w:hAnsi="仿宋" w:eastAsia="仿宋" w:cs="仿宋"/>
                <w:sz w:val="24"/>
                <w:szCs w:val="24"/>
                <w:highlight w:val="none"/>
              </w:rPr>
              <w:t>(服务地点)</w:t>
            </w:r>
          </w:p>
        </w:tc>
        <w:tc>
          <w:tcPr>
            <w:tcW w:w="1701" w:type="dxa"/>
          </w:tcPr>
          <w:p w14:paraId="6844CCCD">
            <w:pPr>
              <w:pStyle w:val="32"/>
              <w:jc w:val="center"/>
              <w:rPr>
                <w:rFonts w:ascii="仿宋" w:hAnsi="仿宋" w:eastAsia="仿宋" w:cs="仿宋"/>
                <w:sz w:val="24"/>
                <w:szCs w:val="24"/>
                <w:highlight w:val="none"/>
              </w:rPr>
            </w:pPr>
          </w:p>
        </w:tc>
        <w:tc>
          <w:tcPr>
            <w:tcW w:w="1417" w:type="dxa"/>
          </w:tcPr>
          <w:p w14:paraId="43CBFCD8">
            <w:pPr>
              <w:pStyle w:val="32"/>
              <w:jc w:val="center"/>
              <w:rPr>
                <w:rFonts w:ascii="仿宋" w:hAnsi="仿宋" w:eastAsia="仿宋" w:cs="仿宋"/>
                <w:sz w:val="24"/>
                <w:szCs w:val="24"/>
                <w:highlight w:val="none"/>
              </w:rPr>
            </w:pPr>
          </w:p>
        </w:tc>
        <w:tc>
          <w:tcPr>
            <w:tcW w:w="2195" w:type="dxa"/>
          </w:tcPr>
          <w:p w14:paraId="0E94E32B">
            <w:pPr>
              <w:pStyle w:val="32"/>
              <w:jc w:val="center"/>
              <w:rPr>
                <w:rFonts w:ascii="仿宋" w:hAnsi="仿宋" w:eastAsia="仿宋" w:cs="仿宋"/>
                <w:sz w:val="24"/>
                <w:szCs w:val="24"/>
                <w:highlight w:val="none"/>
              </w:rPr>
            </w:pPr>
          </w:p>
        </w:tc>
      </w:tr>
      <w:tr w14:paraId="481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F366DE0">
            <w:pPr>
              <w:pStyle w:val="32"/>
              <w:ind w:left="1080" w:leftChars="257" w:hanging="540"/>
              <w:rPr>
                <w:rFonts w:ascii="仿宋" w:hAnsi="仿宋" w:eastAsia="仿宋" w:cs="仿宋"/>
                <w:sz w:val="24"/>
                <w:szCs w:val="24"/>
                <w:highlight w:val="none"/>
              </w:rPr>
            </w:pPr>
          </w:p>
        </w:tc>
        <w:tc>
          <w:tcPr>
            <w:tcW w:w="2835" w:type="dxa"/>
            <w:vAlign w:val="center"/>
          </w:tcPr>
          <w:p w14:paraId="5181689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(服务期)</w:t>
            </w:r>
          </w:p>
        </w:tc>
        <w:tc>
          <w:tcPr>
            <w:tcW w:w="1701" w:type="dxa"/>
          </w:tcPr>
          <w:p w14:paraId="40C38D0A">
            <w:pPr>
              <w:pStyle w:val="32"/>
              <w:ind w:left="1080" w:leftChars="257" w:hanging="540"/>
              <w:jc w:val="center"/>
              <w:rPr>
                <w:rFonts w:ascii="仿宋" w:hAnsi="仿宋" w:eastAsia="仿宋" w:cs="仿宋"/>
                <w:sz w:val="24"/>
                <w:szCs w:val="24"/>
                <w:highlight w:val="none"/>
              </w:rPr>
            </w:pPr>
          </w:p>
        </w:tc>
        <w:tc>
          <w:tcPr>
            <w:tcW w:w="1417" w:type="dxa"/>
          </w:tcPr>
          <w:p w14:paraId="6168BF48">
            <w:pPr>
              <w:pStyle w:val="32"/>
              <w:ind w:left="1080" w:leftChars="257" w:hanging="540"/>
              <w:jc w:val="center"/>
              <w:rPr>
                <w:rFonts w:ascii="仿宋" w:hAnsi="仿宋" w:eastAsia="仿宋" w:cs="仿宋"/>
                <w:sz w:val="24"/>
                <w:szCs w:val="24"/>
                <w:highlight w:val="none"/>
              </w:rPr>
            </w:pPr>
          </w:p>
        </w:tc>
        <w:tc>
          <w:tcPr>
            <w:tcW w:w="2195" w:type="dxa"/>
          </w:tcPr>
          <w:p w14:paraId="799B85C2">
            <w:pPr>
              <w:pStyle w:val="32"/>
              <w:ind w:left="1080" w:leftChars="257" w:hanging="540"/>
              <w:rPr>
                <w:rFonts w:ascii="仿宋" w:hAnsi="仿宋" w:eastAsia="仿宋" w:cs="仿宋"/>
                <w:sz w:val="24"/>
                <w:szCs w:val="24"/>
                <w:highlight w:val="none"/>
              </w:rPr>
            </w:pPr>
          </w:p>
        </w:tc>
      </w:tr>
      <w:tr w14:paraId="7D3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A1DB50">
            <w:pPr>
              <w:pStyle w:val="32"/>
              <w:ind w:left="1080" w:leftChars="257" w:hanging="540"/>
              <w:rPr>
                <w:rFonts w:ascii="仿宋" w:hAnsi="仿宋" w:eastAsia="仿宋" w:cs="仿宋"/>
                <w:sz w:val="24"/>
                <w:szCs w:val="24"/>
                <w:highlight w:val="none"/>
              </w:rPr>
            </w:pPr>
          </w:p>
        </w:tc>
        <w:tc>
          <w:tcPr>
            <w:tcW w:w="2835" w:type="dxa"/>
            <w:vAlign w:val="center"/>
          </w:tcPr>
          <w:p w14:paraId="74C0927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50340F2E">
            <w:pPr>
              <w:pStyle w:val="32"/>
              <w:ind w:left="1080" w:leftChars="257" w:hanging="540"/>
              <w:rPr>
                <w:rFonts w:ascii="仿宋" w:hAnsi="仿宋" w:eastAsia="仿宋" w:cs="仿宋"/>
                <w:sz w:val="24"/>
                <w:szCs w:val="24"/>
                <w:highlight w:val="none"/>
              </w:rPr>
            </w:pPr>
          </w:p>
        </w:tc>
        <w:tc>
          <w:tcPr>
            <w:tcW w:w="1417" w:type="dxa"/>
          </w:tcPr>
          <w:p w14:paraId="3D155D5D">
            <w:pPr>
              <w:pStyle w:val="32"/>
              <w:ind w:left="1080" w:leftChars="257" w:hanging="540"/>
              <w:rPr>
                <w:rFonts w:ascii="仿宋" w:hAnsi="仿宋" w:eastAsia="仿宋" w:cs="仿宋"/>
                <w:sz w:val="24"/>
                <w:szCs w:val="24"/>
                <w:highlight w:val="none"/>
              </w:rPr>
            </w:pPr>
          </w:p>
        </w:tc>
        <w:tc>
          <w:tcPr>
            <w:tcW w:w="2195" w:type="dxa"/>
          </w:tcPr>
          <w:p w14:paraId="45EF0FE0">
            <w:pPr>
              <w:pStyle w:val="32"/>
              <w:ind w:left="1080" w:leftChars="257" w:hanging="540"/>
              <w:rPr>
                <w:rFonts w:ascii="仿宋" w:hAnsi="仿宋" w:eastAsia="仿宋" w:cs="仿宋"/>
                <w:sz w:val="24"/>
                <w:szCs w:val="24"/>
                <w:highlight w:val="none"/>
              </w:rPr>
            </w:pPr>
          </w:p>
        </w:tc>
      </w:tr>
      <w:tr w14:paraId="376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CF9731">
            <w:pPr>
              <w:pStyle w:val="32"/>
              <w:ind w:left="1080" w:leftChars="257" w:hanging="540"/>
              <w:rPr>
                <w:rFonts w:ascii="仿宋" w:hAnsi="仿宋" w:eastAsia="仿宋" w:cs="仿宋"/>
                <w:sz w:val="24"/>
                <w:szCs w:val="24"/>
                <w:highlight w:val="none"/>
              </w:rPr>
            </w:pPr>
          </w:p>
        </w:tc>
        <w:tc>
          <w:tcPr>
            <w:tcW w:w="2835" w:type="dxa"/>
            <w:vAlign w:val="center"/>
          </w:tcPr>
          <w:p w14:paraId="2C89A783">
            <w:pPr>
              <w:spacing w:line="360" w:lineRule="auto"/>
              <w:jc w:val="center"/>
              <w:rPr>
                <w:rFonts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18A9F8B9">
            <w:pPr>
              <w:pStyle w:val="32"/>
              <w:ind w:left="1080" w:leftChars="257" w:hanging="540"/>
              <w:rPr>
                <w:rFonts w:ascii="仿宋" w:hAnsi="仿宋" w:eastAsia="仿宋" w:cs="仿宋"/>
                <w:sz w:val="24"/>
                <w:szCs w:val="24"/>
                <w:highlight w:val="none"/>
              </w:rPr>
            </w:pPr>
          </w:p>
        </w:tc>
        <w:tc>
          <w:tcPr>
            <w:tcW w:w="1417" w:type="dxa"/>
          </w:tcPr>
          <w:p w14:paraId="0E11C017">
            <w:pPr>
              <w:pStyle w:val="32"/>
              <w:ind w:left="1080" w:leftChars="257" w:hanging="540"/>
              <w:rPr>
                <w:rFonts w:ascii="仿宋" w:hAnsi="仿宋" w:eastAsia="仿宋" w:cs="仿宋"/>
                <w:sz w:val="24"/>
                <w:szCs w:val="24"/>
                <w:highlight w:val="none"/>
              </w:rPr>
            </w:pPr>
          </w:p>
        </w:tc>
        <w:tc>
          <w:tcPr>
            <w:tcW w:w="2195" w:type="dxa"/>
          </w:tcPr>
          <w:p w14:paraId="35902CE2">
            <w:pPr>
              <w:pStyle w:val="32"/>
              <w:ind w:left="1080" w:leftChars="257" w:hanging="540"/>
              <w:rPr>
                <w:rFonts w:ascii="仿宋" w:hAnsi="仿宋" w:eastAsia="仿宋" w:cs="仿宋"/>
                <w:sz w:val="24"/>
                <w:szCs w:val="24"/>
                <w:highlight w:val="none"/>
              </w:rPr>
            </w:pPr>
          </w:p>
        </w:tc>
      </w:tr>
      <w:tr w14:paraId="2818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7C8891">
            <w:pPr>
              <w:pStyle w:val="32"/>
              <w:ind w:left="1080" w:leftChars="257" w:hanging="540"/>
              <w:rPr>
                <w:rFonts w:ascii="仿宋" w:hAnsi="仿宋" w:eastAsia="仿宋" w:cs="仿宋"/>
                <w:sz w:val="24"/>
                <w:szCs w:val="24"/>
                <w:highlight w:val="none"/>
              </w:rPr>
            </w:pPr>
          </w:p>
        </w:tc>
        <w:tc>
          <w:tcPr>
            <w:tcW w:w="2835" w:type="dxa"/>
            <w:vAlign w:val="center"/>
          </w:tcPr>
          <w:p w14:paraId="465863DA">
            <w:pPr>
              <w:spacing w:line="360" w:lineRule="auto"/>
              <w:jc w:val="center"/>
              <w:rPr>
                <w:rFonts w:ascii="仿宋" w:hAnsi="仿宋" w:eastAsia="仿宋" w:cs="仿宋"/>
                <w:bCs/>
                <w:sz w:val="24"/>
                <w:highlight w:val="none"/>
              </w:rPr>
            </w:pPr>
          </w:p>
        </w:tc>
        <w:tc>
          <w:tcPr>
            <w:tcW w:w="1701" w:type="dxa"/>
          </w:tcPr>
          <w:p w14:paraId="5B21C730">
            <w:pPr>
              <w:pStyle w:val="32"/>
              <w:ind w:left="1080" w:leftChars="257" w:hanging="540"/>
              <w:rPr>
                <w:rFonts w:ascii="仿宋" w:hAnsi="仿宋" w:eastAsia="仿宋" w:cs="仿宋"/>
                <w:sz w:val="24"/>
                <w:szCs w:val="24"/>
                <w:highlight w:val="none"/>
              </w:rPr>
            </w:pPr>
          </w:p>
        </w:tc>
        <w:tc>
          <w:tcPr>
            <w:tcW w:w="1417" w:type="dxa"/>
          </w:tcPr>
          <w:p w14:paraId="0877BA0B">
            <w:pPr>
              <w:pStyle w:val="32"/>
              <w:ind w:left="1080" w:leftChars="257" w:hanging="540"/>
              <w:rPr>
                <w:rFonts w:ascii="仿宋" w:hAnsi="仿宋" w:eastAsia="仿宋" w:cs="仿宋"/>
                <w:sz w:val="24"/>
                <w:szCs w:val="24"/>
                <w:highlight w:val="none"/>
              </w:rPr>
            </w:pPr>
          </w:p>
        </w:tc>
        <w:tc>
          <w:tcPr>
            <w:tcW w:w="2195" w:type="dxa"/>
          </w:tcPr>
          <w:p w14:paraId="4A40DADA">
            <w:pPr>
              <w:pStyle w:val="32"/>
              <w:ind w:left="1080" w:leftChars="257" w:hanging="540"/>
              <w:rPr>
                <w:rFonts w:ascii="仿宋" w:hAnsi="仿宋" w:eastAsia="仿宋" w:cs="仿宋"/>
                <w:sz w:val="24"/>
                <w:szCs w:val="24"/>
                <w:highlight w:val="none"/>
              </w:rPr>
            </w:pPr>
          </w:p>
        </w:tc>
      </w:tr>
      <w:tr w14:paraId="6A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330D770">
            <w:pPr>
              <w:pStyle w:val="32"/>
              <w:ind w:left="1080" w:leftChars="257" w:hanging="540"/>
              <w:rPr>
                <w:rFonts w:ascii="仿宋" w:hAnsi="仿宋" w:eastAsia="仿宋" w:cs="仿宋"/>
                <w:sz w:val="24"/>
                <w:szCs w:val="24"/>
                <w:highlight w:val="none"/>
              </w:rPr>
            </w:pPr>
          </w:p>
        </w:tc>
        <w:tc>
          <w:tcPr>
            <w:tcW w:w="2835" w:type="dxa"/>
            <w:vAlign w:val="center"/>
          </w:tcPr>
          <w:p w14:paraId="444EDD76">
            <w:pPr>
              <w:spacing w:line="360" w:lineRule="auto"/>
              <w:jc w:val="center"/>
              <w:rPr>
                <w:rFonts w:ascii="仿宋" w:hAnsi="仿宋" w:eastAsia="仿宋" w:cs="仿宋"/>
                <w:bCs/>
                <w:sz w:val="24"/>
                <w:highlight w:val="none"/>
              </w:rPr>
            </w:pPr>
          </w:p>
        </w:tc>
        <w:tc>
          <w:tcPr>
            <w:tcW w:w="1701" w:type="dxa"/>
          </w:tcPr>
          <w:p w14:paraId="3E8448F2">
            <w:pPr>
              <w:pStyle w:val="32"/>
              <w:ind w:left="1080" w:leftChars="257" w:hanging="540"/>
              <w:rPr>
                <w:rFonts w:ascii="仿宋" w:hAnsi="仿宋" w:eastAsia="仿宋" w:cs="仿宋"/>
                <w:sz w:val="24"/>
                <w:szCs w:val="24"/>
                <w:highlight w:val="none"/>
              </w:rPr>
            </w:pPr>
          </w:p>
        </w:tc>
        <w:tc>
          <w:tcPr>
            <w:tcW w:w="1417" w:type="dxa"/>
          </w:tcPr>
          <w:p w14:paraId="162222BC">
            <w:pPr>
              <w:pStyle w:val="32"/>
              <w:ind w:left="1080" w:leftChars="257" w:hanging="540"/>
              <w:rPr>
                <w:rFonts w:ascii="仿宋" w:hAnsi="仿宋" w:eastAsia="仿宋" w:cs="仿宋"/>
                <w:sz w:val="24"/>
                <w:szCs w:val="24"/>
                <w:highlight w:val="none"/>
              </w:rPr>
            </w:pPr>
          </w:p>
        </w:tc>
        <w:tc>
          <w:tcPr>
            <w:tcW w:w="2195" w:type="dxa"/>
          </w:tcPr>
          <w:p w14:paraId="66397EC3">
            <w:pPr>
              <w:pStyle w:val="32"/>
              <w:ind w:left="1080" w:leftChars="257" w:hanging="540"/>
              <w:rPr>
                <w:rFonts w:ascii="仿宋" w:hAnsi="仿宋" w:eastAsia="仿宋" w:cs="仿宋"/>
                <w:sz w:val="24"/>
                <w:szCs w:val="24"/>
                <w:highlight w:val="none"/>
              </w:rPr>
            </w:pPr>
          </w:p>
        </w:tc>
      </w:tr>
      <w:tr w14:paraId="0B8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77641CD">
            <w:pPr>
              <w:pStyle w:val="32"/>
              <w:ind w:left="1080" w:leftChars="257" w:hanging="540"/>
              <w:rPr>
                <w:rFonts w:ascii="仿宋" w:hAnsi="仿宋" w:eastAsia="仿宋" w:cs="仿宋"/>
                <w:sz w:val="24"/>
                <w:szCs w:val="24"/>
                <w:highlight w:val="none"/>
              </w:rPr>
            </w:pPr>
          </w:p>
        </w:tc>
        <w:tc>
          <w:tcPr>
            <w:tcW w:w="2835" w:type="dxa"/>
            <w:vAlign w:val="center"/>
          </w:tcPr>
          <w:p w14:paraId="43188D80">
            <w:pPr>
              <w:spacing w:line="360" w:lineRule="auto"/>
              <w:jc w:val="center"/>
              <w:rPr>
                <w:rFonts w:ascii="仿宋" w:hAnsi="仿宋" w:eastAsia="仿宋" w:cs="仿宋"/>
                <w:bCs/>
                <w:sz w:val="24"/>
                <w:highlight w:val="none"/>
              </w:rPr>
            </w:pPr>
          </w:p>
        </w:tc>
        <w:tc>
          <w:tcPr>
            <w:tcW w:w="1701" w:type="dxa"/>
          </w:tcPr>
          <w:p w14:paraId="296DFDF9">
            <w:pPr>
              <w:pStyle w:val="32"/>
              <w:ind w:left="1080" w:leftChars="257" w:hanging="540"/>
              <w:rPr>
                <w:rFonts w:ascii="仿宋" w:hAnsi="仿宋" w:eastAsia="仿宋" w:cs="仿宋"/>
                <w:sz w:val="24"/>
                <w:szCs w:val="24"/>
                <w:highlight w:val="none"/>
              </w:rPr>
            </w:pPr>
          </w:p>
        </w:tc>
        <w:tc>
          <w:tcPr>
            <w:tcW w:w="1417" w:type="dxa"/>
          </w:tcPr>
          <w:p w14:paraId="06E95C3C">
            <w:pPr>
              <w:pStyle w:val="32"/>
              <w:ind w:left="1080" w:leftChars="257" w:hanging="540"/>
              <w:rPr>
                <w:rFonts w:ascii="仿宋" w:hAnsi="仿宋" w:eastAsia="仿宋" w:cs="仿宋"/>
                <w:sz w:val="24"/>
                <w:szCs w:val="24"/>
                <w:highlight w:val="none"/>
              </w:rPr>
            </w:pPr>
          </w:p>
        </w:tc>
        <w:tc>
          <w:tcPr>
            <w:tcW w:w="2195" w:type="dxa"/>
          </w:tcPr>
          <w:p w14:paraId="1664795E">
            <w:pPr>
              <w:pStyle w:val="32"/>
              <w:ind w:left="1080" w:leftChars="257" w:hanging="540"/>
              <w:rPr>
                <w:rFonts w:ascii="仿宋" w:hAnsi="仿宋" w:eastAsia="仿宋" w:cs="仿宋"/>
                <w:sz w:val="24"/>
                <w:szCs w:val="24"/>
                <w:highlight w:val="none"/>
              </w:rPr>
            </w:pPr>
          </w:p>
        </w:tc>
      </w:tr>
      <w:tr w14:paraId="6FF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92326F0">
            <w:pPr>
              <w:pStyle w:val="32"/>
              <w:ind w:left="1080" w:leftChars="257" w:hanging="540"/>
              <w:rPr>
                <w:rFonts w:ascii="仿宋" w:hAnsi="仿宋" w:eastAsia="仿宋" w:cs="仿宋"/>
                <w:sz w:val="24"/>
                <w:szCs w:val="24"/>
                <w:highlight w:val="none"/>
              </w:rPr>
            </w:pPr>
          </w:p>
        </w:tc>
        <w:tc>
          <w:tcPr>
            <w:tcW w:w="2835" w:type="dxa"/>
          </w:tcPr>
          <w:p w14:paraId="523FE3D4">
            <w:pPr>
              <w:pStyle w:val="32"/>
              <w:ind w:left="1080" w:leftChars="257" w:hanging="540"/>
              <w:rPr>
                <w:rFonts w:ascii="仿宋" w:hAnsi="仿宋" w:eastAsia="仿宋" w:cs="仿宋"/>
                <w:sz w:val="24"/>
                <w:szCs w:val="24"/>
                <w:highlight w:val="none"/>
              </w:rPr>
            </w:pPr>
          </w:p>
        </w:tc>
        <w:tc>
          <w:tcPr>
            <w:tcW w:w="1701" w:type="dxa"/>
          </w:tcPr>
          <w:p w14:paraId="7CC12FAE">
            <w:pPr>
              <w:pStyle w:val="32"/>
              <w:ind w:left="1080" w:leftChars="257" w:hanging="540"/>
              <w:rPr>
                <w:rFonts w:ascii="仿宋" w:hAnsi="仿宋" w:eastAsia="仿宋" w:cs="仿宋"/>
                <w:sz w:val="24"/>
                <w:szCs w:val="24"/>
                <w:highlight w:val="none"/>
              </w:rPr>
            </w:pPr>
          </w:p>
        </w:tc>
        <w:tc>
          <w:tcPr>
            <w:tcW w:w="1417" w:type="dxa"/>
          </w:tcPr>
          <w:p w14:paraId="21832016">
            <w:pPr>
              <w:pStyle w:val="32"/>
              <w:ind w:left="1080" w:leftChars="257" w:hanging="540"/>
              <w:rPr>
                <w:rFonts w:ascii="仿宋" w:hAnsi="仿宋" w:eastAsia="仿宋" w:cs="仿宋"/>
                <w:sz w:val="24"/>
                <w:szCs w:val="24"/>
                <w:highlight w:val="none"/>
              </w:rPr>
            </w:pPr>
          </w:p>
        </w:tc>
        <w:tc>
          <w:tcPr>
            <w:tcW w:w="2195" w:type="dxa"/>
          </w:tcPr>
          <w:p w14:paraId="51F2B6A9">
            <w:pPr>
              <w:pStyle w:val="32"/>
              <w:ind w:left="1080" w:leftChars="257" w:hanging="540"/>
              <w:rPr>
                <w:rFonts w:ascii="仿宋" w:hAnsi="仿宋" w:eastAsia="仿宋" w:cs="仿宋"/>
                <w:sz w:val="24"/>
                <w:szCs w:val="24"/>
                <w:highlight w:val="none"/>
              </w:rPr>
            </w:pPr>
          </w:p>
        </w:tc>
      </w:tr>
      <w:tr w14:paraId="750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0F3CC4">
            <w:pPr>
              <w:pStyle w:val="32"/>
              <w:ind w:left="1080" w:leftChars="257" w:hanging="540"/>
              <w:rPr>
                <w:rFonts w:ascii="仿宋" w:hAnsi="仿宋" w:eastAsia="仿宋" w:cs="仿宋"/>
                <w:sz w:val="24"/>
                <w:szCs w:val="24"/>
                <w:highlight w:val="none"/>
              </w:rPr>
            </w:pPr>
          </w:p>
        </w:tc>
        <w:tc>
          <w:tcPr>
            <w:tcW w:w="2835" w:type="dxa"/>
          </w:tcPr>
          <w:p w14:paraId="6B760A20">
            <w:pPr>
              <w:pStyle w:val="32"/>
              <w:ind w:left="1080" w:leftChars="257" w:hanging="540"/>
              <w:rPr>
                <w:rFonts w:ascii="仿宋" w:hAnsi="仿宋" w:eastAsia="仿宋" w:cs="仿宋"/>
                <w:sz w:val="24"/>
                <w:szCs w:val="24"/>
                <w:highlight w:val="none"/>
              </w:rPr>
            </w:pPr>
          </w:p>
        </w:tc>
        <w:tc>
          <w:tcPr>
            <w:tcW w:w="1701" w:type="dxa"/>
          </w:tcPr>
          <w:p w14:paraId="5EF3C6EF">
            <w:pPr>
              <w:pStyle w:val="32"/>
              <w:ind w:left="1080" w:leftChars="257" w:hanging="540"/>
              <w:rPr>
                <w:rFonts w:ascii="仿宋" w:hAnsi="仿宋" w:eastAsia="仿宋" w:cs="仿宋"/>
                <w:sz w:val="24"/>
                <w:szCs w:val="24"/>
                <w:highlight w:val="none"/>
              </w:rPr>
            </w:pPr>
          </w:p>
        </w:tc>
        <w:tc>
          <w:tcPr>
            <w:tcW w:w="1417" w:type="dxa"/>
          </w:tcPr>
          <w:p w14:paraId="72F6AC7D">
            <w:pPr>
              <w:pStyle w:val="32"/>
              <w:ind w:left="1080" w:leftChars="257" w:hanging="540"/>
              <w:rPr>
                <w:rFonts w:ascii="仿宋" w:hAnsi="仿宋" w:eastAsia="仿宋" w:cs="仿宋"/>
                <w:sz w:val="24"/>
                <w:szCs w:val="24"/>
                <w:highlight w:val="none"/>
              </w:rPr>
            </w:pPr>
          </w:p>
        </w:tc>
        <w:tc>
          <w:tcPr>
            <w:tcW w:w="2195" w:type="dxa"/>
          </w:tcPr>
          <w:p w14:paraId="38E4F2B2">
            <w:pPr>
              <w:pStyle w:val="32"/>
              <w:ind w:left="1080" w:leftChars="257" w:hanging="540"/>
              <w:rPr>
                <w:rFonts w:ascii="仿宋" w:hAnsi="仿宋" w:eastAsia="仿宋" w:cs="仿宋"/>
                <w:sz w:val="24"/>
                <w:szCs w:val="24"/>
                <w:highlight w:val="none"/>
              </w:rPr>
            </w:pPr>
          </w:p>
        </w:tc>
      </w:tr>
      <w:tr w14:paraId="18F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319E82E">
            <w:pPr>
              <w:pStyle w:val="32"/>
              <w:ind w:left="1080" w:leftChars="257" w:hanging="540"/>
              <w:rPr>
                <w:rFonts w:ascii="仿宋" w:hAnsi="仿宋" w:eastAsia="仿宋" w:cs="仿宋"/>
                <w:sz w:val="24"/>
                <w:szCs w:val="24"/>
                <w:highlight w:val="none"/>
              </w:rPr>
            </w:pPr>
          </w:p>
        </w:tc>
        <w:tc>
          <w:tcPr>
            <w:tcW w:w="2835" w:type="dxa"/>
          </w:tcPr>
          <w:p w14:paraId="4FFFF529">
            <w:pPr>
              <w:pStyle w:val="32"/>
              <w:ind w:left="1080" w:leftChars="257" w:hanging="540"/>
              <w:rPr>
                <w:rFonts w:ascii="仿宋" w:hAnsi="仿宋" w:eastAsia="仿宋" w:cs="仿宋"/>
                <w:sz w:val="24"/>
                <w:szCs w:val="24"/>
                <w:highlight w:val="none"/>
              </w:rPr>
            </w:pPr>
          </w:p>
        </w:tc>
        <w:tc>
          <w:tcPr>
            <w:tcW w:w="1701" w:type="dxa"/>
          </w:tcPr>
          <w:p w14:paraId="26D7F4A3">
            <w:pPr>
              <w:pStyle w:val="32"/>
              <w:ind w:left="1080" w:leftChars="257" w:hanging="540"/>
              <w:rPr>
                <w:rFonts w:ascii="仿宋" w:hAnsi="仿宋" w:eastAsia="仿宋" w:cs="仿宋"/>
                <w:sz w:val="24"/>
                <w:szCs w:val="24"/>
                <w:highlight w:val="none"/>
              </w:rPr>
            </w:pPr>
          </w:p>
        </w:tc>
        <w:tc>
          <w:tcPr>
            <w:tcW w:w="1417" w:type="dxa"/>
          </w:tcPr>
          <w:p w14:paraId="442700D2">
            <w:pPr>
              <w:pStyle w:val="32"/>
              <w:ind w:left="1080" w:leftChars="257" w:hanging="540"/>
              <w:rPr>
                <w:rFonts w:ascii="仿宋" w:hAnsi="仿宋" w:eastAsia="仿宋" w:cs="仿宋"/>
                <w:sz w:val="24"/>
                <w:szCs w:val="24"/>
                <w:highlight w:val="none"/>
              </w:rPr>
            </w:pPr>
          </w:p>
        </w:tc>
        <w:tc>
          <w:tcPr>
            <w:tcW w:w="2195" w:type="dxa"/>
          </w:tcPr>
          <w:p w14:paraId="1DB7684E">
            <w:pPr>
              <w:pStyle w:val="32"/>
              <w:ind w:left="1080" w:leftChars="257" w:hanging="540"/>
              <w:rPr>
                <w:rFonts w:ascii="仿宋" w:hAnsi="仿宋" w:eastAsia="仿宋" w:cs="仿宋"/>
                <w:sz w:val="24"/>
                <w:szCs w:val="24"/>
                <w:highlight w:val="none"/>
              </w:rPr>
            </w:pPr>
          </w:p>
        </w:tc>
      </w:tr>
      <w:tr w14:paraId="69C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0FF29D">
            <w:pPr>
              <w:pStyle w:val="32"/>
              <w:ind w:left="1080" w:leftChars="257" w:hanging="540"/>
              <w:rPr>
                <w:rFonts w:ascii="仿宋" w:hAnsi="仿宋" w:eastAsia="仿宋" w:cs="仿宋"/>
                <w:sz w:val="24"/>
                <w:szCs w:val="24"/>
                <w:highlight w:val="none"/>
              </w:rPr>
            </w:pPr>
          </w:p>
        </w:tc>
        <w:tc>
          <w:tcPr>
            <w:tcW w:w="2835" w:type="dxa"/>
          </w:tcPr>
          <w:p w14:paraId="39AA36A6">
            <w:pPr>
              <w:pStyle w:val="32"/>
              <w:ind w:left="1080" w:leftChars="257" w:hanging="540"/>
              <w:rPr>
                <w:rFonts w:ascii="仿宋" w:hAnsi="仿宋" w:eastAsia="仿宋" w:cs="仿宋"/>
                <w:sz w:val="24"/>
                <w:szCs w:val="24"/>
                <w:highlight w:val="none"/>
              </w:rPr>
            </w:pPr>
          </w:p>
        </w:tc>
        <w:tc>
          <w:tcPr>
            <w:tcW w:w="1701" w:type="dxa"/>
          </w:tcPr>
          <w:p w14:paraId="4E977485">
            <w:pPr>
              <w:pStyle w:val="32"/>
              <w:ind w:left="1080" w:leftChars="257" w:hanging="540"/>
              <w:rPr>
                <w:rFonts w:ascii="仿宋" w:hAnsi="仿宋" w:eastAsia="仿宋" w:cs="仿宋"/>
                <w:sz w:val="24"/>
                <w:szCs w:val="24"/>
                <w:highlight w:val="none"/>
              </w:rPr>
            </w:pPr>
          </w:p>
        </w:tc>
        <w:tc>
          <w:tcPr>
            <w:tcW w:w="1417" w:type="dxa"/>
          </w:tcPr>
          <w:p w14:paraId="0C66D0FC">
            <w:pPr>
              <w:pStyle w:val="32"/>
              <w:ind w:left="1080" w:leftChars="257" w:hanging="540"/>
              <w:rPr>
                <w:rFonts w:ascii="仿宋" w:hAnsi="仿宋" w:eastAsia="仿宋" w:cs="仿宋"/>
                <w:sz w:val="24"/>
                <w:szCs w:val="24"/>
                <w:highlight w:val="none"/>
              </w:rPr>
            </w:pPr>
          </w:p>
        </w:tc>
        <w:tc>
          <w:tcPr>
            <w:tcW w:w="2195" w:type="dxa"/>
          </w:tcPr>
          <w:p w14:paraId="7593083F">
            <w:pPr>
              <w:pStyle w:val="32"/>
              <w:ind w:left="1080" w:leftChars="257" w:hanging="540"/>
              <w:rPr>
                <w:rFonts w:ascii="仿宋" w:hAnsi="仿宋" w:eastAsia="仿宋" w:cs="仿宋"/>
                <w:sz w:val="24"/>
                <w:szCs w:val="24"/>
                <w:highlight w:val="none"/>
              </w:rPr>
            </w:pPr>
          </w:p>
        </w:tc>
      </w:tr>
    </w:tbl>
    <w:p w14:paraId="450E9637">
      <w:pPr>
        <w:pStyle w:val="32"/>
        <w:ind w:left="1080" w:leftChars="257" w:hanging="540"/>
        <w:rPr>
          <w:rFonts w:ascii="Times New Roman" w:hAnsi="Times New Roman" w:eastAsia="仿宋_GB2312"/>
          <w:sz w:val="24"/>
          <w:szCs w:val="24"/>
        </w:rPr>
      </w:pPr>
    </w:p>
    <w:p w14:paraId="2FEB362E">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872AF5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955098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FF6AAB2">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1786FA1E">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54858E3B">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5480023">
      <w:pPr>
        <w:snapToGrid w:val="0"/>
        <w:spacing w:after="120" w:afterLines="50"/>
        <w:ind w:left="842" w:leftChars="401"/>
        <w:rPr>
          <w:rFonts w:ascii="Times New Roman" w:hAnsi="Times New Roman" w:eastAsia="仿宋_GB2312"/>
          <w:sz w:val="24"/>
          <w:szCs w:val="24"/>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B601C95">
      <w:pPr>
        <w:rPr>
          <w:rFonts w:ascii="仿宋_GB2312" w:hAnsi="仿宋_GB2312" w:eastAsia="仿宋_GB2312" w:cs="仿宋_GB2312"/>
          <w:b/>
          <w:bCs/>
          <w:sz w:val="28"/>
          <w:szCs w:val="36"/>
        </w:rPr>
      </w:pPr>
      <w:bookmarkStart w:id="492" w:name="_Toc7005136"/>
      <w:bookmarkStart w:id="493" w:name="_Toc416103825"/>
      <w:bookmarkStart w:id="494" w:name="_Toc410631184"/>
      <w:bookmarkStart w:id="495" w:name="_Toc414445775"/>
      <w:r>
        <w:rPr>
          <w:rFonts w:ascii="仿宋_GB2312" w:hAnsi="仿宋_GB2312" w:eastAsia="仿宋_GB2312" w:cs="仿宋_GB2312"/>
          <w:b/>
          <w:bCs/>
          <w:sz w:val="28"/>
          <w:szCs w:val="36"/>
        </w:rPr>
        <w:br w:type="page"/>
      </w:r>
    </w:p>
    <w:p w14:paraId="16695F8C">
      <w:pPr>
        <w:pStyle w:val="5"/>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492"/>
      <w:bookmarkEnd w:id="493"/>
      <w:bookmarkEnd w:id="494"/>
      <w:bookmarkEnd w:id="495"/>
    </w:p>
    <w:p w14:paraId="17870BB0">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1450A86">
      <w:pPr>
        <w:pStyle w:val="22"/>
      </w:pPr>
      <w:r>
        <w:rPr>
          <w:rFonts w:ascii="Times New Roman" w:hAnsi="Times New Roman" w:eastAsia="仿宋_GB2312"/>
          <w:sz w:val="24"/>
        </w:rPr>
        <w:t>项目名称：</w:t>
      </w:r>
    </w:p>
    <w:tbl>
      <w:tblPr>
        <w:tblStyle w:val="5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A5E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F5068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14:paraId="47EC2933">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14:paraId="55AC84CE">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14:paraId="2FF3F577">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有偏离</w:t>
            </w:r>
          </w:p>
        </w:tc>
        <w:tc>
          <w:tcPr>
            <w:tcW w:w="2394" w:type="dxa"/>
          </w:tcPr>
          <w:p w14:paraId="673B24D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偏离简述</w:t>
            </w:r>
          </w:p>
        </w:tc>
      </w:tr>
      <w:tr w14:paraId="7496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0E605A">
            <w:pPr>
              <w:spacing w:line="400" w:lineRule="exact"/>
              <w:rPr>
                <w:rFonts w:ascii="仿宋" w:hAnsi="仿宋" w:eastAsia="仿宋" w:cs="仿宋"/>
                <w:sz w:val="24"/>
                <w:highlight w:val="none"/>
              </w:rPr>
            </w:pPr>
          </w:p>
        </w:tc>
        <w:tc>
          <w:tcPr>
            <w:tcW w:w="1932" w:type="dxa"/>
          </w:tcPr>
          <w:p w14:paraId="22ED117C">
            <w:pPr>
              <w:spacing w:line="400" w:lineRule="exact"/>
              <w:rPr>
                <w:rFonts w:ascii="仿宋" w:hAnsi="仿宋" w:eastAsia="仿宋" w:cs="仿宋"/>
                <w:sz w:val="24"/>
                <w:highlight w:val="none"/>
              </w:rPr>
            </w:pPr>
          </w:p>
        </w:tc>
        <w:tc>
          <w:tcPr>
            <w:tcW w:w="1236" w:type="dxa"/>
          </w:tcPr>
          <w:p w14:paraId="56EDBA9F">
            <w:pPr>
              <w:spacing w:line="400" w:lineRule="exact"/>
              <w:rPr>
                <w:rFonts w:ascii="仿宋" w:hAnsi="仿宋" w:eastAsia="仿宋" w:cs="仿宋"/>
                <w:sz w:val="24"/>
                <w:highlight w:val="none"/>
              </w:rPr>
            </w:pPr>
          </w:p>
        </w:tc>
        <w:tc>
          <w:tcPr>
            <w:tcW w:w="1236" w:type="dxa"/>
          </w:tcPr>
          <w:p w14:paraId="1E6A24D4">
            <w:pPr>
              <w:spacing w:line="400" w:lineRule="exact"/>
              <w:rPr>
                <w:rFonts w:ascii="仿宋" w:hAnsi="仿宋" w:eastAsia="仿宋" w:cs="仿宋"/>
                <w:sz w:val="24"/>
                <w:highlight w:val="none"/>
              </w:rPr>
            </w:pPr>
          </w:p>
        </w:tc>
        <w:tc>
          <w:tcPr>
            <w:tcW w:w="2394" w:type="dxa"/>
          </w:tcPr>
          <w:p w14:paraId="59B133F2">
            <w:pPr>
              <w:spacing w:line="400" w:lineRule="exact"/>
              <w:rPr>
                <w:rFonts w:ascii="仿宋" w:hAnsi="仿宋" w:eastAsia="仿宋" w:cs="仿宋"/>
                <w:sz w:val="24"/>
                <w:highlight w:val="none"/>
              </w:rPr>
            </w:pPr>
          </w:p>
        </w:tc>
      </w:tr>
      <w:tr w14:paraId="4EB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3C9041">
            <w:pPr>
              <w:spacing w:line="400" w:lineRule="exact"/>
              <w:rPr>
                <w:rFonts w:ascii="仿宋" w:hAnsi="仿宋" w:eastAsia="仿宋" w:cs="仿宋"/>
                <w:sz w:val="24"/>
                <w:highlight w:val="none"/>
              </w:rPr>
            </w:pPr>
          </w:p>
        </w:tc>
        <w:tc>
          <w:tcPr>
            <w:tcW w:w="1932" w:type="dxa"/>
          </w:tcPr>
          <w:p w14:paraId="442CAED1">
            <w:pPr>
              <w:spacing w:line="400" w:lineRule="exact"/>
              <w:rPr>
                <w:rFonts w:ascii="仿宋" w:hAnsi="仿宋" w:eastAsia="仿宋" w:cs="仿宋"/>
                <w:sz w:val="24"/>
                <w:highlight w:val="none"/>
              </w:rPr>
            </w:pPr>
          </w:p>
        </w:tc>
        <w:tc>
          <w:tcPr>
            <w:tcW w:w="1236" w:type="dxa"/>
          </w:tcPr>
          <w:p w14:paraId="3E616E4D">
            <w:pPr>
              <w:spacing w:line="400" w:lineRule="exact"/>
              <w:rPr>
                <w:rFonts w:ascii="仿宋" w:hAnsi="仿宋" w:eastAsia="仿宋" w:cs="仿宋"/>
                <w:sz w:val="24"/>
                <w:highlight w:val="none"/>
              </w:rPr>
            </w:pPr>
          </w:p>
        </w:tc>
        <w:tc>
          <w:tcPr>
            <w:tcW w:w="1236" w:type="dxa"/>
          </w:tcPr>
          <w:p w14:paraId="3E629D3E">
            <w:pPr>
              <w:spacing w:line="400" w:lineRule="exact"/>
              <w:rPr>
                <w:rFonts w:ascii="仿宋" w:hAnsi="仿宋" w:eastAsia="仿宋" w:cs="仿宋"/>
                <w:sz w:val="24"/>
                <w:highlight w:val="none"/>
              </w:rPr>
            </w:pPr>
          </w:p>
        </w:tc>
        <w:tc>
          <w:tcPr>
            <w:tcW w:w="2394" w:type="dxa"/>
          </w:tcPr>
          <w:p w14:paraId="3A548D3D">
            <w:pPr>
              <w:spacing w:line="400" w:lineRule="exact"/>
              <w:rPr>
                <w:rFonts w:ascii="仿宋" w:hAnsi="仿宋" w:eastAsia="仿宋" w:cs="仿宋"/>
                <w:sz w:val="24"/>
                <w:highlight w:val="none"/>
              </w:rPr>
            </w:pPr>
          </w:p>
        </w:tc>
      </w:tr>
      <w:tr w14:paraId="6117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7683E2">
            <w:pPr>
              <w:spacing w:line="400" w:lineRule="exact"/>
              <w:rPr>
                <w:rFonts w:ascii="仿宋" w:hAnsi="仿宋" w:eastAsia="仿宋" w:cs="仿宋"/>
                <w:sz w:val="24"/>
                <w:highlight w:val="none"/>
              </w:rPr>
            </w:pPr>
          </w:p>
        </w:tc>
        <w:tc>
          <w:tcPr>
            <w:tcW w:w="1932" w:type="dxa"/>
          </w:tcPr>
          <w:p w14:paraId="3C467665">
            <w:pPr>
              <w:spacing w:line="400" w:lineRule="exact"/>
              <w:rPr>
                <w:rFonts w:ascii="仿宋" w:hAnsi="仿宋" w:eastAsia="仿宋" w:cs="仿宋"/>
                <w:sz w:val="24"/>
                <w:highlight w:val="none"/>
              </w:rPr>
            </w:pPr>
          </w:p>
        </w:tc>
        <w:tc>
          <w:tcPr>
            <w:tcW w:w="1236" w:type="dxa"/>
          </w:tcPr>
          <w:p w14:paraId="179E5CDD">
            <w:pPr>
              <w:spacing w:line="400" w:lineRule="exact"/>
              <w:rPr>
                <w:rFonts w:ascii="仿宋" w:hAnsi="仿宋" w:eastAsia="仿宋" w:cs="仿宋"/>
                <w:sz w:val="24"/>
                <w:highlight w:val="none"/>
              </w:rPr>
            </w:pPr>
          </w:p>
        </w:tc>
        <w:tc>
          <w:tcPr>
            <w:tcW w:w="1236" w:type="dxa"/>
          </w:tcPr>
          <w:p w14:paraId="599F0947">
            <w:pPr>
              <w:spacing w:line="400" w:lineRule="exact"/>
              <w:rPr>
                <w:rFonts w:ascii="仿宋" w:hAnsi="仿宋" w:eastAsia="仿宋" w:cs="仿宋"/>
                <w:sz w:val="24"/>
                <w:highlight w:val="none"/>
              </w:rPr>
            </w:pPr>
          </w:p>
        </w:tc>
        <w:tc>
          <w:tcPr>
            <w:tcW w:w="2394" w:type="dxa"/>
          </w:tcPr>
          <w:p w14:paraId="761E662B">
            <w:pPr>
              <w:spacing w:line="400" w:lineRule="exact"/>
              <w:rPr>
                <w:rFonts w:ascii="仿宋" w:hAnsi="仿宋" w:eastAsia="仿宋" w:cs="仿宋"/>
                <w:sz w:val="24"/>
                <w:highlight w:val="none"/>
              </w:rPr>
            </w:pPr>
          </w:p>
        </w:tc>
      </w:tr>
      <w:tr w14:paraId="0985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BCB759E">
            <w:pPr>
              <w:spacing w:line="400" w:lineRule="exact"/>
              <w:rPr>
                <w:rFonts w:ascii="仿宋" w:hAnsi="仿宋" w:eastAsia="仿宋" w:cs="仿宋"/>
                <w:sz w:val="24"/>
                <w:highlight w:val="none"/>
              </w:rPr>
            </w:pPr>
          </w:p>
        </w:tc>
        <w:tc>
          <w:tcPr>
            <w:tcW w:w="1932" w:type="dxa"/>
          </w:tcPr>
          <w:p w14:paraId="33F190AB">
            <w:pPr>
              <w:spacing w:line="400" w:lineRule="exact"/>
              <w:rPr>
                <w:rFonts w:ascii="仿宋" w:hAnsi="仿宋" w:eastAsia="仿宋" w:cs="仿宋"/>
                <w:sz w:val="24"/>
                <w:highlight w:val="none"/>
              </w:rPr>
            </w:pPr>
          </w:p>
        </w:tc>
        <w:tc>
          <w:tcPr>
            <w:tcW w:w="1236" w:type="dxa"/>
          </w:tcPr>
          <w:p w14:paraId="6406B1ED">
            <w:pPr>
              <w:spacing w:line="400" w:lineRule="exact"/>
              <w:rPr>
                <w:rFonts w:ascii="仿宋" w:hAnsi="仿宋" w:eastAsia="仿宋" w:cs="仿宋"/>
                <w:sz w:val="24"/>
                <w:highlight w:val="none"/>
              </w:rPr>
            </w:pPr>
          </w:p>
        </w:tc>
        <w:tc>
          <w:tcPr>
            <w:tcW w:w="1236" w:type="dxa"/>
          </w:tcPr>
          <w:p w14:paraId="766B2C5B">
            <w:pPr>
              <w:spacing w:line="400" w:lineRule="exact"/>
              <w:rPr>
                <w:rFonts w:ascii="仿宋" w:hAnsi="仿宋" w:eastAsia="仿宋" w:cs="仿宋"/>
                <w:sz w:val="24"/>
                <w:highlight w:val="none"/>
              </w:rPr>
            </w:pPr>
          </w:p>
        </w:tc>
        <w:tc>
          <w:tcPr>
            <w:tcW w:w="2394" w:type="dxa"/>
          </w:tcPr>
          <w:p w14:paraId="445F842F">
            <w:pPr>
              <w:spacing w:line="400" w:lineRule="exact"/>
              <w:rPr>
                <w:rFonts w:ascii="仿宋" w:hAnsi="仿宋" w:eastAsia="仿宋" w:cs="仿宋"/>
                <w:sz w:val="24"/>
                <w:highlight w:val="none"/>
              </w:rPr>
            </w:pPr>
          </w:p>
        </w:tc>
      </w:tr>
      <w:tr w14:paraId="0332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1E85F4C">
            <w:pPr>
              <w:spacing w:line="400" w:lineRule="exact"/>
              <w:rPr>
                <w:rFonts w:ascii="仿宋" w:hAnsi="仿宋" w:eastAsia="仿宋" w:cs="仿宋"/>
                <w:sz w:val="24"/>
                <w:highlight w:val="none"/>
              </w:rPr>
            </w:pPr>
          </w:p>
        </w:tc>
        <w:tc>
          <w:tcPr>
            <w:tcW w:w="1932" w:type="dxa"/>
          </w:tcPr>
          <w:p w14:paraId="41E11E53">
            <w:pPr>
              <w:spacing w:line="400" w:lineRule="exact"/>
              <w:rPr>
                <w:rFonts w:ascii="仿宋" w:hAnsi="仿宋" w:eastAsia="仿宋" w:cs="仿宋"/>
                <w:sz w:val="24"/>
                <w:highlight w:val="none"/>
              </w:rPr>
            </w:pPr>
          </w:p>
        </w:tc>
        <w:tc>
          <w:tcPr>
            <w:tcW w:w="1236" w:type="dxa"/>
          </w:tcPr>
          <w:p w14:paraId="722DEF9F">
            <w:pPr>
              <w:spacing w:line="400" w:lineRule="exact"/>
              <w:rPr>
                <w:rFonts w:ascii="仿宋" w:hAnsi="仿宋" w:eastAsia="仿宋" w:cs="仿宋"/>
                <w:sz w:val="24"/>
                <w:highlight w:val="none"/>
              </w:rPr>
            </w:pPr>
          </w:p>
        </w:tc>
        <w:tc>
          <w:tcPr>
            <w:tcW w:w="1236" w:type="dxa"/>
          </w:tcPr>
          <w:p w14:paraId="79452898">
            <w:pPr>
              <w:spacing w:line="400" w:lineRule="exact"/>
              <w:rPr>
                <w:rFonts w:ascii="仿宋" w:hAnsi="仿宋" w:eastAsia="仿宋" w:cs="仿宋"/>
                <w:sz w:val="24"/>
                <w:highlight w:val="none"/>
              </w:rPr>
            </w:pPr>
          </w:p>
        </w:tc>
        <w:tc>
          <w:tcPr>
            <w:tcW w:w="2394" w:type="dxa"/>
          </w:tcPr>
          <w:p w14:paraId="27A01BCC">
            <w:pPr>
              <w:spacing w:line="400" w:lineRule="exact"/>
              <w:rPr>
                <w:rFonts w:ascii="仿宋" w:hAnsi="仿宋" w:eastAsia="仿宋" w:cs="仿宋"/>
                <w:sz w:val="24"/>
                <w:highlight w:val="none"/>
              </w:rPr>
            </w:pPr>
          </w:p>
        </w:tc>
      </w:tr>
      <w:tr w14:paraId="6A7E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BF1C0E">
            <w:pPr>
              <w:spacing w:line="400" w:lineRule="exact"/>
              <w:rPr>
                <w:rFonts w:ascii="仿宋" w:hAnsi="仿宋" w:eastAsia="仿宋" w:cs="仿宋"/>
                <w:sz w:val="24"/>
                <w:highlight w:val="none"/>
              </w:rPr>
            </w:pPr>
          </w:p>
        </w:tc>
        <w:tc>
          <w:tcPr>
            <w:tcW w:w="1932" w:type="dxa"/>
          </w:tcPr>
          <w:p w14:paraId="1BA74BB1">
            <w:pPr>
              <w:spacing w:line="400" w:lineRule="exact"/>
              <w:rPr>
                <w:rFonts w:ascii="仿宋" w:hAnsi="仿宋" w:eastAsia="仿宋" w:cs="仿宋"/>
                <w:bCs/>
                <w:sz w:val="24"/>
                <w:highlight w:val="none"/>
              </w:rPr>
            </w:pPr>
          </w:p>
        </w:tc>
        <w:tc>
          <w:tcPr>
            <w:tcW w:w="1236" w:type="dxa"/>
          </w:tcPr>
          <w:p w14:paraId="4F3D3875">
            <w:pPr>
              <w:spacing w:line="400" w:lineRule="exact"/>
              <w:rPr>
                <w:rFonts w:ascii="仿宋" w:hAnsi="仿宋" w:eastAsia="仿宋" w:cs="仿宋"/>
                <w:sz w:val="24"/>
                <w:highlight w:val="none"/>
              </w:rPr>
            </w:pPr>
          </w:p>
        </w:tc>
        <w:tc>
          <w:tcPr>
            <w:tcW w:w="1236" w:type="dxa"/>
          </w:tcPr>
          <w:p w14:paraId="776C089C">
            <w:pPr>
              <w:spacing w:line="400" w:lineRule="exact"/>
              <w:rPr>
                <w:rFonts w:ascii="仿宋" w:hAnsi="仿宋" w:eastAsia="仿宋" w:cs="仿宋"/>
                <w:sz w:val="24"/>
                <w:highlight w:val="none"/>
              </w:rPr>
            </w:pPr>
          </w:p>
        </w:tc>
        <w:tc>
          <w:tcPr>
            <w:tcW w:w="2394" w:type="dxa"/>
          </w:tcPr>
          <w:p w14:paraId="5E928FE7">
            <w:pPr>
              <w:spacing w:line="400" w:lineRule="exact"/>
              <w:rPr>
                <w:rFonts w:ascii="仿宋" w:hAnsi="仿宋" w:eastAsia="仿宋" w:cs="仿宋"/>
                <w:sz w:val="24"/>
                <w:highlight w:val="none"/>
              </w:rPr>
            </w:pPr>
          </w:p>
        </w:tc>
      </w:tr>
      <w:tr w14:paraId="6406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8D1DB1">
            <w:pPr>
              <w:spacing w:line="400" w:lineRule="exact"/>
              <w:rPr>
                <w:rFonts w:ascii="仿宋" w:hAnsi="仿宋" w:eastAsia="仿宋" w:cs="仿宋"/>
                <w:sz w:val="24"/>
                <w:highlight w:val="none"/>
              </w:rPr>
            </w:pPr>
          </w:p>
        </w:tc>
        <w:tc>
          <w:tcPr>
            <w:tcW w:w="1932" w:type="dxa"/>
          </w:tcPr>
          <w:p w14:paraId="3EF02E20">
            <w:pPr>
              <w:spacing w:line="400" w:lineRule="exact"/>
              <w:rPr>
                <w:rFonts w:ascii="仿宋" w:hAnsi="仿宋" w:eastAsia="仿宋" w:cs="仿宋"/>
                <w:bCs/>
                <w:sz w:val="24"/>
                <w:highlight w:val="none"/>
              </w:rPr>
            </w:pPr>
          </w:p>
        </w:tc>
        <w:tc>
          <w:tcPr>
            <w:tcW w:w="1236" w:type="dxa"/>
          </w:tcPr>
          <w:p w14:paraId="340C2034">
            <w:pPr>
              <w:spacing w:line="400" w:lineRule="exact"/>
              <w:rPr>
                <w:rFonts w:ascii="仿宋" w:hAnsi="仿宋" w:eastAsia="仿宋" w:cs="仿宋"/>
                <w:sz w:val="24"/>
                <w:highlight w:val="none"/>
              </w:rPr>
            </w:pPr>
          </w:p>
        </w:tc>
        <w:tc>
          <w:tcPr>
            <w:tcW w:w="1236" w:type="dxa"/>
          </w:tcPr>
          <w:p w14:paraId="01F34D46">
            <w:pPr>
              <w:spacing w:line="400" w:lineRule="exact"/>
              <w:rPr>
                <w:rFonts w:ascii="仿宋" w:hAnsi="仿宋" w:eastAsia="仿宋" w:cs="仿宋"/>
                <w:sz w:val="24"/>
                <w:highlight w:val="none"/>
              </w:rPr>
            </w:pPr>
          </w:p>
        </w:tc>
        <w:tc>
          <w:tcPr>
            <w:tcW w:w="2394" w:type="dxa"/>
          </w:tcPr>
          <w:p w14:paraId="477C078B">
            <w:pPr>
              <w:spacing w:line="400" w:lineRule="exact"/>
              <w:rPr>
                <w:rFonts w:ascii="仿宋" w:hAnsi="仿宋" w:eastAsia="仿宋" w:cs="仿宋"/>
                <w:sz w:val="24"/>
                <w:highlight w:val="none"/>
              </w:rPr>
            </w:pPr>
          </w:p>
        </w:tc>
      </w:tr>
    </w:tbl>
    <w:p w14:paraId="6AC9D5D0">
      <w:pPr>
        <w:spacing w:line="360" w:lineRule="auto"/>
        <w:ind w:firstLine="1920" w:firstLineChars="800"/>
        <w:rPr>
          <w:rFonts w:eastAsia="仿宋_GB2312"/>
          <w:sz w:val="24"/>
        </w:rPr>
      </w:pPr>
    </w:p>
    <w:p w14:paraId="77D54C0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F753EB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87A98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58EF845">
      <w:pPr>
        <w:spacing w:line="360" w:lineRule="auto"/>
        <w:rPr>
          <w:rFonts w:eastAsia="仿宋_GB2312"/>
        </w:rPr>
      </w:pPr>
    </w:p>
    <w:p w14:paraId="6A862A3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28B97C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3BC59725">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w:t>
      </w:r>
      <w:r>
        <w:rPr>
          <w:rFonts w:hint="eastAsia" w:eastAsia="仿宋_GB2312"/>
        </w:rPr>
        <w:t>如果未完整填写响应表的各项内容则视作供应商对</w:t>
      </w:r>
      <w:r>
        <w:rPr>
          <w:rFonts w:hint="eastAsia" w:eastAsia="仿宋_GB2312"/>
          <w:lang w:eastAsia="zh-CN"/>
        </w:rPr>
        <w:t>磋商</w:t>
      </w:r>
      <w:r>
        <w:rPr>
          <w:rFonts w:hint="eastAsia" w:eastAsia="仿宋_GB2312"/>
        </w:rPr>
        <w:t>文件采购内容及要求不响应</w:t>
      </w:r>
      <w:r>
        <w:rPr>
          <w:rFonts w:eastAsia="仿宋_GB2312"/>
        </w:rPr>
        <w:t>。</w:t>
      </w:r>
    </w:p>
    <w:p w14:paraId="493679FC">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BE9242D">
      <w:pPr>
        <w:autoSpaceDE w:val="0"/>
        <w:autoSpaceDN w:val="0"/>
        <w:adjustRightInd w:val="0"/>
        <w:snapToGrid w:val="0"/>
        <w:spacing w:line="360" w:lineRule="auto"/>
        <w:jc w:val="center"/>
        <w:rPr>
          <w:rFonts w:eastAsia="仿宋_GB2312"/>
          <w:b/>
          <w:sz w:val="32"/>
          <w:szCs w:val="32"/>
        </w:rPr>
      </w:pPr>
    </w:p>
    <w:p w14:paraId="233B22E2">
      <w:pPr>
        <w:autoSpaceDE w:val="0"/>
        <w:autoSpaceDN w:val="0"/>
        <w:adjustRightInd w:val="0"/>
        <w:snapToGrid w:val="0"/>
        <w:spacing w:line="360" w:lineRule="auto"/>
        <w:jc w:val="center"/>
        <w:rPr>
          <w:rFonts w:eastAsia="仿宋_GB2312"/>
          <w:b/>
          <w:bCs/>
          <w:sz w:val="24"/>
        </w:rPr>
      </w:pPr>
      <w:r>
        <w:rPr>
          <w:rFonts w:eastAsia="仿宋_GB2312"/>
        </w:rPr>
        <w:br w:type="page"/>
      </w:r>
    </w:p>
    <w:p w14:paraId="377791E6">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1AF387BF">
      <w:pPr>
        <w:pStyle w:val="22"/>
        <w:rPr>
          <w:rFonts w:ascii="Times New Roman" w:hAnsi="Times New Roman" w:eastAsia="仿宋_GB2312"/>
          <w:lang w:val="zh-CN"/>
        </w:rPr>
      </w:pPr>
    </w:p>
    <w:p w14:paraId="2D1D8B6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2A311F0">
      <w:pPr>
        <w:pStyle w:val="22"/>
        <w:rPr>
          <w:rFonts w:ascii="Times New Roman" w:hAnsi="Times New Roman" w:eastAsia="仿宋_GB2312"/>
          <w:lang w:val="zh-CN"/>
        </w:rPr>
      </w:pPr>
      <w:r>
        <w:rPr>
          <w:rFonts w:ascii="Times New Roman" w:hAnsi="Times New Roman" w:eastAsia="仿宋_GB2312"/>
          <w:lang w:val="zh-CN"/>
        </w:rPr>
        <w:br w:type="page"/>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F9A0949">
      <w:pPr>
        <w:spacing w:after="120"/>
        <w:rPr>
          <w:rFonts w:eastAsia="仿宋_GB2312"/>
        </w:rPr>
      </w:pPr>
    </w:p>
    <w:p w14:paraId="77DEBFEC">
      <w:pPr>
        <w:pStyle w:val="3"/>
        <w:jc w:val="center"/>
        <w:rPr>
          <w:rFonts w:ascii="Times New Roman" w:eastAsia="仿宋"/>
          <w:b/>
          <w:bCs/>
          <w:sz w:val="32"/>
          <w:szCs w:val="32"/>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ACFBAC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hint="eastAsia" w:ascii="仿宋_GB2312" w:hAnsi="仿宋_GB2312" w:eastAsia="仿宋_GB2312" w:cs="仿宋_GB2312"/>
          <w:b/>
          <w:bCs/>
          <w:sz w:val="28"/>
          <w:szCs w:val="36"/>
          <w:lang w:val="en-US" w:eastAsia="zh-CN"/>
        </w:rPr>
        <w:t>服务</w:t>
      </w:r>
      <w:r>
        <w:rPr>
          <w:rFonts w:hint="eastAsia" w:ascii="仿宋_GB2312" w:hAnsi="仿宋_GB2312" w:eastAsia="仿宋_GB2312" w:cs="仿宋_GB2312"/>
          <w:b/>
          <w:bCs/>
          <w:sz w:val="28"/>
          <w:szCs w:val="36"/>
        </w:rPr>
        <w:t>）</w:t>
      </w:r>
    </w:p>
    <w:p w14:paraId="5729A8DF">
      <w:pPr>
        <w:jc w:val="center"/>
        <w:rPr>
          <w:rFonts w:eastAsia="仿宋_GB2312"/>
          <w:sz w:val="24"/>
        </w:rPr>
      </w:pPr>
      <w:r>
        <w:rPr>
          <w:rFonts w:eastAsia="仿宋_GB2312"/>
          <w:sz w:val="24"/>
        </w:rPr>
        <w:t>（注：符合中小企业划型标准的企业请提供本函，不符合的不提供本函）</w:t>
      </w:r>
    </w:p>
    <w:p w14:paraId="6B76AB8D">
      <w:pPr>
        <w:snapToGrid w:val="0"/>
        <w:spacing w:before="120" w:beforeLines="50"/>
        <w:ind w:firstLine="480" w:firstLineChars="200"/>
        <w:rPr>
          <w:rFonts w:eastAsia="仿宋_GB2312"/>
          <w:sz w:val="24"/>
        </w:rPr>
      </w:pPr>
    </w:p>
    <w:p w14:paraId="1EDBC05F">
      <w:pPr>
        <w:spacing w:line="560" w:lineRule="exact"/>
        <w:ind w:firstLine="480" w:firstLineChars="200"/>
        <w:rPr>
          <w:rFonts w:ascii="仿宋" w:hAnsi="仿宋" w:eastAsia="仿宋" w:cs="仿宋"/>
          <w:kern w:val="0"/>
          <w:sz w:val="24"/>
          <w:highlight w:val="none"/>
        </w:rPr>
      </w:pPr>
      <w:bookmarkStart w:id="496" w:name="_Toc7005133"/>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3FEAB61">
      <w:pPr>
        <w:pStyle w:val="72"/>
        <w:numPr>
          <w:ilvl w:val="0"/>
          <w:numId w:val="13"/>
        </w:numPr>
        <w:spacing w:line="560" w:lineRule="exact"/>
        <w:ind w:left="0" w:firstLine="600" w:firstLineChars="0"/>
        <w:rPr>
          <w:rFonts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采购文件中明确的所属行业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2FB8A3A5">
      <w:pPr>
        <w:pStyle w:val="72"/>
        <w:spacing w:line="560" w:lineRule="exact"/>
        <w:ind w:left="-10" w:firstLine="576" w:firstLineChars="240"/>
        <w:rPr>
          <w:rFonts w:ascii="Times New Roman" w:hAnsi="Times New Roman" w:eastAsia="仿宋_GB2312"/>
          <w:kern w:val="0"/>
          <w:sz w:val="24"/>
          <w:szCs w:val="24"/>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9423744">
      <w:pPr>
        <w:spacing w:line="560" w:lineRule="exact"/>
        <w:ind w:firstLine="480" w:firstLineChars="200"/>
        <w:rPr>
          <w:rFonts w:eastAsia="仿宋_GB2312"/>
          <w:kern w:val="0"/>
          <w:sz w:val="24"/>
        </w:rPr>
      </w:pPr>
      <w:r>
        <w:rPr>
          <w:rFonts w:eastAsia="仿宋_GB2312"/>
          <w:kern w:val="0"/>
          <w:sz w:val="24"/>
        </w:rPr>
        <w:t>……</w:t>
      </w:r>
    </w:p>
    <w:p w14:paraId="41BA23A3">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63C6D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5697A9E4">
      <w:pPr>
        <w:spacing w:line="560" w:lineRule="exact"/>
        <w:ind w:firstLine="3480" w:firstLineChars="1450"/>
        <w:rPr>
          <w:rFonts w:eastAsia="仿宋_GB2312"/>
          <w:kern w:val="0"/>
          <w:sz w:val="24"/>
        </w:rPr>
      </w:pPr>
    </w:p>
    <w:p w14:paraId="4335DF2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C18946A">
      <w:pPr>
        <w:spacing w:line="560" w:lineRule="exact"/>
        <w:ind w:firstLine="3480" w:firstLineChars="1450"/>
        <w:rPr>
          <w:rFonts w:eastAsia="仿宋_GB2312"/>
          <w:kern w:val="0"/>
          <w:sz w:val="24"/>
        </w:rPr>
      </w:pPr>
      <w:r>
        <w:rPr>
          <w:rFonts w:eastAsia="仿宋_GB2312"/>
          <w:kern w:val="0"/>
          <w:sz w:val="24"/>
        </w:rPr>
        <w:t>日期：</w:t>
      </w:r>
    </w:p>
    <w:p w14:paraId="5172A952">
      <w:pPr>
        <w:pStyle w:val="22"/>
        <w:rPr>
          <w:rFonts w:ascii="Times New Roman" w:hAnsi="Times New Roman" w:eastAsia="仿宋_GB2312"/>
        </w:rPr>
      </w:pPr>
    </w:p>
    <w:p w14:paraId="2E918DE3">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2C612D82">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3C9930A">
      <w:pPr>
        <w:pStyle w:val="22"/>
        <w:rPr>
          <w:rFonts w:ascii="Times New Roman" w:hAnsi="Times New Roman" w:eastAsia="仿宋_GB2312"/>
        </w:rPr>
      </w:pPr>
      <w:r>
        <w:rPr>
          <w:rFonts w:ascii="Times New Roman" w:hAnsi="Times New Roman" w:eastAsia="仿宋_GB2312"/>
        </w:rPr>
        <w:br w:type="page"/>
      </w:r>
    </w:p>
    <w:bookmarkEnd w:id="496"/>
    <w:p w14:paraId="1045B23F">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3E86678D">
      <w:pPr>
        <w:spacing w:line="360" w:lineRule="auto"/>
        <w:rPr>
          <w:rFonts w:eastAsia="仿宋_GB2312"/>
          <w:b/>
          <w:kern w:val="0"/>
          <w:sz w:val="24"/>
          <w:szCs w:val="20"/>
        </w:rPr>
      </w:pPr>
    </w:p>
    <w:p w14:paraId="697BEE9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2A1DC14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6CAC52B8">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725A085">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4CD9C62">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35F5DB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AC963C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4F383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21AB9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12587FD">
      <w:pPr>
        <w:widowControl/>
        <w:spacing w:before="100" w:beforeAutospacing="1" w:after="100" w:afterAutospacing="1" w:line="360" w:lineRule="auto"/>
        <w:jc w:val="left"/>
        <w:rPr>
          <w:rFonts w:eastAsia="仿宋_GB2312"/>
          <w:kern w:val="0"/>
          <w:sz w:val="24"/>
          <w:u w:val="single"/>
        </w:rPr>
      </w:pPr>
    </w:p>
    <w:p w14:paraId="1698C3B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60D6A8F">
      <w:pPr>
        <w:rPr>
          <w:rFonts w:eastAsia="仿宋_GB2312"/>
          <w:sz w:val="32"/>
          <w:szCs w:val="32"/>
        </w:rPr>
      </w:pPr>
    </w:p>
    <w:p w14:paraId="01153188">
      <w:pPr>
        <w:pStyle w:val="5"/>
        <w:jc w:val="center"/>
        <w:rPr>
          <w:rFonts w:ascii="Times New Roman" w:hAnsi="Times New Roman" w:eastAsia="仿宋_GB2312"/>
          <w:b/>
          <w:sz w:val="32"/>
          <w:szCs w:val="32"/>
        </w:rPr>
      </w:pPr>
      <w:bookmarkStart w:id="497"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497"/>
    </w:p>
    <w:p w14:paraId="5D29E245">
      <w:pPr>
        <w:spacing w:after="120"/>
        <w:rPr>
          <w:rFonts w:eastAsia="仿宋_GB2312"/>
        </w:rPr>
      </w:pPr>
    </w:p>
    <w:p w14:paraId="7294800B">
      <w:pPr>
        <w:jc w:val="center"/>
        <w:rPr>
          <w:rFonts w:eastAsia="仿宋_GB2312"/>
          <w:sz w:val="24"/>
        </w:rPr>
      </w:pPr>
      <w:r>
        <w:rPr>
          <w:rFonts w:eastAsia="仿宋_GB2312"/>
          <w:sz w:val="24"/>
        </w:rPr>
        <w:t>（注：符合条件的残疾人福利性单位请提供本函，不符合的不提供本函）</w:t>
      </w:r>
    </w:p>
    <w:p w14:paraId="0BF405C0">
      <w:pPr>
        <w:rPr>
          <w:rFonts w:eastAsia="仿宋_GB2312"/>
          <w:sz w:val="24"/>
        </w:rPr>
      </w:pPr>
    </w:p>
    <w:p w14:paraId="5C0B282D">
      <w:pPr>
        <w:spacing w:line="360" w:lineRule="auto"/>
        <w:rPr>
          <w:rFonts w:eastAsia="仿宋_GB2312"/>
          <w:sz w:val="24"/>
        </w:rPr>
      </w:pPr>
    </w:p>
    <w:p w14:paraId="2A1F94A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32FA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9969ED5">
      <w:pPr>
        <w:spacing w:line="360" w:lineRule="auto"/>
        <w:rPr>
          <w:rFonts w:eastAsia="仿宋_GB2312"/>
          <w:sz w:val="24"/>
        </w:rPr>
      </w:pPr>
    </w:p>
    <w:p w14:paraId="2E9ADDB0">
      <w:pPr>
        <w:rPr>
          <w:rFonts w:eastAsia="仿宋_GB2312"/>
          <w:sz w:val="24"/>
        </w:rPr>
      </w:pPr>
      <w:r>
        <w:rPr>
          <w:rFonts w:eastAsia="仿宋_GB2312"/>
          <w:sz w:val="24"/>
        </w:rPr>
        <w:t xml:space="preserve"> </w:t>
      </w:r>
    </w:p>
    <w:p w14:paraId="08E8A7E2">
      <w:pPr>
        <w:rPr>
          <w:rFonts w:eastAsia="仿宋_GB2312"/>
          <w:sz w:val="24"/>
        </w:rPr>
      </w:pPr>
    </w:p>
    <w:p w14:paraId="36A2059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8D1081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C44CF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77AA61F">
      <w:pPr>
        <w:ind w:firstLine="3600" w:firstLineChars="1500"/>
        <w:rPr>
          <w:rFonts w:eastAsia="仿宋_GB2312"/>
          <w:sz w:val="24"/>
        </w:rPr>
      </w:pPr>
    </w:p>
    <w:p w14:paraId="7FD2F424">
      <w:pPr>
        <w:rPr>
          <w:rFonts w:eastAsia="仿宋_GB2312"/>
          <w:sz w:val="24"/>
        </w:rPr>
      </w:pPr>
    </w:p>
    <w:p w14:paraId="253ED6FE">
      <w:pPr>
        <w:snapToGrid w:val="0"/>
        <w:spacing w:before="120" w:beforeLines="50"/>
        <w:jc w:val="center"/>
        <w:rPr>
          <w:rFonts w:eastAsia="仿宋_GB2312"/>
          <w:b/>
          <w:sz w:val="24"/>
          <w:szCs w:val="21"/>
        </w:rPr>
      </w:pPr>
    </w:p>
    <w:p w14:paraId="5A61AF2D">
      <w:pPr>
        <w:widowControl/>
        <w:jc w:val="left"/>
        <w:rPr>
          <w:rFonts w:eastAsia="仿宋_GB2312"/>
          <w:sz w:val="24"/>
        </w:rPr>
      </w:pPr>
      <w:r>
        <w:rPr>
          <w:rFonts w:eastAsia="仿宋_GB2312"/>
          <w:sz w:val="24"/>
        </w:rPr>
        <w:br w:type="page"/>
      </w:r>
    </w:p>
    <w:p w14:paraId="09F64A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34881059">
      <w:pPr>
        <w:spacing w:line="360" w:lineRule="auto"/>
        <w:rPr>
          <w:rFonts w:eastAsia="仿宋_GB2312"/>
          <w:sz w:val="24"/>
        </w:rPr>
      </w:pPr>
    </w:p>
    <w:p w14:paraId="3BB4C77B">
      <w:pPr>
        <w:spacing w:line="360" w:lineRule="auto"/>
        <w:rPr>
          <w:rFonts w:eastAsia="仿宋_GB2312"/>
          <w:sz w:val="24"/>
        </w:rPr>
      </w:pPr>
      <w:r>
        <w:rPr>
          <w:rFonts w:eastAsia="仿宋_GB2312"/>
          <w:sz w:val="24"/>
        </w:rPr>
        <w:t>陕西省采购招标有限责任公司：</w:t>
      </w:r>
    </w:p>
    <w:p w14:paraId="1E5AF716">
      <w:pPr>
        <w:spacing w:line="360" w:lineRule="auto"/>
        <w:ind w:firstLine="480" w:firstLineChars="200"/>
        <w:rPr>
          <w:rFonts w:eastAsia="仿宋_GB2312"/>
          <w:sz w:val="24"/>
        </w:rPr>
      </w:pPr>
      <w:r>
        <w:rPr>
          <w:rFonts w:eastAsia="仿宋_GB2312"/>
          <w:sz w:val="24"/>
        </w:rPr>
        <w:t>我方在此声明，我方以下事项进行承诺：</w:t>
      </w:r>
    </w:p>
    <w:p w14:paraId="43CE45DE">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392ABA9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44D9461B">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60C93C32">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A83615A">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4640384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6228EC2E">
      <w:pPr>
        <w:spacing w:line="360" w:lineRule="auto"/>
        <w:ind w:firstLine="480" w:firstLineChars="200"/>
        <w:rPr>
          <w:rFonts w:eastAsia="仿宋_GB2312"/>
          <w:sz w:val="24"/>
        </w:rPr>
      </w:pPr>
      <w:r>
        <w:rPr>
          <w:rFonts w:eastAsia="仿宋_GB2312"/>
          <w:sz w:val="24"/>
        </w:rPr>
        <w:t>特此承诺。</w:t>
      </w:r>
    </w:p>
    <w:p w14:paraId="3804AF1E">
      <w:pPr>
        <w:spacing w:line="360" w:lineRule="auto"/>
        <w:ind w:firstLine="480" w:firstLineChars="200"/>
        <w:rPr>
          <w:rFonts w:eastAsia="仿宋_GB2312"/>
          <w:sz w:val="24"/>
        </w:rPr>
      </w:pPr>
    </w:p>
    <w:p w14:paraId="2B56B7D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27A494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4DABDB5">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274BE2E">
      <w:pPr>
        <w:pStyle w:val="22"/>
        <w:rPr>
          <w:rFonts w:ascii="Times New Roman" w:hAnsi="Times New Roman"/>
        </w:rPr>
      </w:pPr>
      <w:r>
        <w:rPr>
          <w:rFonts w:ascii="Times New Roman" w:hAnsi="Times New Roman"/>
        </w:rPr>
        <w:br w:type="page"/>
      </w:r>
    </w:p>
    <w:p w14:paraId="36AAB96A">
      <w:pPr>
        <w:pStyle w:val="5"/>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第六部分  </w:t>
      </w:r>
      <w:bookmarkStart w:id="498" w:name="_Toc12469"/>
      <w:r>
        <w:rPr>
          <w:rFonts w:hint="eastAsia" w:ascii="仿宋" w:hAnsi="仿宋" w:eastAsia="仿宋" w:cs="仿宋"/>
          <w:b/>
          <w:bCs/>
          <w:sz w:val="32"/>
          <w:szCs w:val="32"/>
        </w:rPr>
        <w:t>投标</w:t>
      </w:r>
      <w:r>
        <w:rPr>
          <w:rFonts w:hint="eastAsia" w:ascii="仿宋" w:hAnsi="仿宋" w:eastAsia="仿宋" w:cs="仿宋"/>
          <w:b/>
          <w:bCs/>
          <w:sz w:val="32"/>
          <w:szCs w:val="32"/>
          <w:lang w:eastAsia="zh-CN"/>
        </w:rPr>
        <w:t>信用承诺书</w:t>
      </w:r>
      <w:bookmarkEnd w:id="498"/>
    </w:p>
    <w:p w14:paraId="320EF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p>
    <w:p w14:paraId="0CB1B0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p w14:paraId="31E068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统一社会信用代码：                               法人代表：                 </w:t>
      </w:r>
    </w:p>
    <w:p w14:paraId="6F631A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在本项目标段招投标活动中，我公司（单位）自愿作出以下投标信用承诺：</w:t>
      </w:r>
    </w:p>
    <w:p w14:paraId="2197F8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w:t>
      </w:r>
    </w:p>
    <w:p w14:paraId="58ACB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154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7E5DE39">
      <w:pPr>
        <w:pStyle w:val="46"/>
        <w:rPr>
          <w:rFonts w:hint="eastAsia" w:ascii="仿宋" w:hAnsi="仿宋" w:eastAsia="仿宋" w:cs="仿宋"/>
          <w:sz w:val="24"/>
          <w:highlight w:val="none"/>
        </w:rPr>
      </w:pPr>
    </w:p>
    <w:p w14:paraId="1120062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51D7F5FD">
      <w:pPr>
        <w:numPr>
          <w:ilvl w:val="0"/>
          <w:numId w:val="0"/>
        </w:numPr>
        <w:snapToGrid w:val="0"/>
        <w:spacing w:line="288" w:lineRule="auto"/>
        <w:ind w:firstLine="480" w:firstLineChars="200"/>
        <w:rPr>
          <w:rFonts w:hint="eastAsia" w:ascii="仿宋" w:hAnsi="仿宋" w:eastAsia="仿宋" w:cs="仿宋"/>
          <w:sz w:val="24"/>
          <w:highlight w:val="none"/>
        </w:rPr>
      </w:pPr>
    </w:p>
    <w:p w14:paraId="6E3240A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承诺时间：       年     月     日</w:t>
      </w:r>
    </w:p>
    <w:p w14:paraId="47C1207A">
      <w:pPr>
        <w:numPr>
          <w:ilvl w:val="0"/>
          <w:numId w:val="0"/>
        </w:numPr>
        <w:snapToGrid w:val="0"/>
        <w:spacing w:line="288" w:lineRule="auto"/>
        <w:ind w:firstLine="480" w:firstLineChars="200"/>
        <w:rPr>
          <w:rFonts w:hint="eastAsia" w:ascii="仿宋" w:hAnsi="仿宋" w:eastAsia="仿宋" w:cs="仿宋"/>
          <w:sz w:val="24"/>
          <w:highlight w:val="none"/>
        </w:rPr>
      </w:pPr>
    </w:p>
    <w:p w14:paraId="6A86C349">
      <w:pPr>
        <w:numPr>
          <w:ilvl w:val="0"/>
          <w:numId w:val="0"/>
        </w:numPr>
        <w:snapToGrid w:val="0"/>
        <w:spacing w:line="288" w:lineRule="auto"/>
        <w:ind w:firstLine="482" w:firstLineChars="200"/>
        <w:rPr>
          <w:rFonts w:hint="eastAsia" w:ascii="仿宋" w:hAnsi="仿宋" w:eastAsia="仿宋" w:cs="仿宋"/>
          <w:b/>
          <w:bCs/>
          <w:sz w:val="24"/>
          <w:highlight w:val="none"/>
        </w:rPr>
      </w:pPr>
    </w:p>
    <w:p w14:paraId="469D7E3F">
      <w:pPr>
        <w:numPr>
          <w:ilvl w:val="0"/>
          <w:numId w:val="0"/>
        </w:numPr>
        <w:snapToGrid w:val="0"/>
        <w:spacing w:line="288" w:lineRule="auto"/>
        <w:ind w:firstLine="482" w:firstLineChars="200"/>
        <w:rPr>
          <w:rFonts w:hint="eastAsia" w:ascii="仿宋" w:hAnsi="仿宋" w:eastAsia="仿宋" w:cs="仿宋"/>
          <w:b/>
          <w:bCs/>
          <w:sz w:val="24"/>
          <w:highlight w:val="none"/>
        </w:rPr>
      </w:pPr>
    </w:p>
    <w:p w14:paraId="2BA21946">
      <w:pPr>
        <w:numPr>
          <w:ilvl w:val="0"/>
          <w:numId w:val="0"/>
        </w:numPr>
        <w:snapToGrid w:val="0"/>
        <w:spacing w:line="288"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说明：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本承诺书效力和作用等同投标保证金，其有效期与投标有效期一致</w:t>
      </w:r>
      <w:r>
        <w:rPr>
          <w:rFonts w:hint="eastAsia" w:ascii="仿宋" w:hAnsi="仿宋" w:eastAsia="仿宋" w:cs="仿宋"/>
          <w:b/>
          <w:bCs/>
          <w:sz w:val="24"/>
          <w:highlight w:val="none"/>
          <w:lang w:eastAsia="zh-CN"/>
        </w:rPr>
        <w:t>；</w:t>
      </w:r>
    </w:p>
    <w:p w14:paraId="4809CB1C">
      <w:pPr>
        <w:pStyle w:val="3"/>
        <w:jc w:val="center"/>
        <w:rPr>
          <w:rFonts w:hint="eastAsia" w:ascii="仿宋" w:hAnsi="仿宋" w:eastAsia="仿宋" w:cs="仿宋"/>
          <w:b/>
          <w:bCs/>
        </w:rPr>
      </w:pPr>
    </w:p>
    <w:p w14:paraId="30252F3F">
      <w:pPr>
        <w:pStyle w:val="199"/>
        <w:rPr>
          <w:rFonts w:hint="eastAsia" w:ascii="仿宋" w:hAnsi="仿宋" w:eastAsia="仿宋" w:cs="仿宋"/>
          <w:b/>
          <w:sz w:val="32"/>
          <w:szCs w:val="32"/>
        </w:rPr>
      </w:pPr>
    </w:p>
    <w:p w14:paraId="4778E4FC">
      <w:pPr>
        <w:rPr>
          <w:rFonts w:hint="eastAsia" w:ascii="仿宋" w:hAnsi="仿宋" w:eastAsia="仿宋" w:cs="仿宋"/>
          <w:sz w:val="24"/>
        </w:rPr>
      </w:pPr>
    </w:p>
    <w:p w14:paraId="41D0A3E8">
      <w:pPr>
        <w:spacing w:after="120"/>
        <w:rPr>
          <w:rFonts w:hint="eastAsia" w:ascii="仿宋" w:hAnsi="仿宋" w:eastAsia="仿宋" w:cs="仿宋"/>
        </w:rPr>
      </w:pPr>
    </w:p>
    <w:p w14:paraId="632EF963">
      <w:pPr>
        <w:pStyle w:val="5"/>
        <w:ind w:firstLine="0" w:firstLineChars="0"/>
        <w:jc w:val="left"/>
        <w:rPr>
          <w:rFonts w:hint="eastAsia" w:ascii="仿宋" w:hAnsi="仿宋" w:eastAsia="仿宋" w:cs="仿宋"/>
          <w:b/>
          <w:bCs/>
          <w:sz w:val="28"/>
          <w:szCs w:val="28"/>
        </w:rPr>
      </w:pPr>
      <w:r>
        <w:rPr>
          <w:rFonts w:hint="eastAsia" w:ascii="仿宋" w:hAnsi="仿宋" w:eastAsia="仿宋" w:cs="仿宋"/>
          <w:b/>
          <w:bCs/>
          <w:sz w:val="24"/>
          <w:szCs w:val="32"/>
        </w:rPr>
        <w:t>附件1</w:t>
      </w:r>
      <w:bookmarkStart w:id="499" w:name="_Toc11167"/>
      <w:r>
        <w:rPr>
          <w:rFonts w:hint="eastAsia" w:ascii="仿宋" w:hAnsi="仿宋" w:eastAsia="仿宋" w:cs="仿宋"/>
          <w:b/>
          <w:bCs/>
          <w:sz w:val="28"/>
          <w:szCs w:val="28"/>
          <w:lang w:val="en-US" w:eastAsia="zh-CN"/>
        </w:rPr>
        <w:t>：</w:t>
      </w:r>
      <w:r>
        <w:rPr>
          <w:rFonts w:hint="eastAsia" w:ascii="仿宋" w:hAnsi="仿宋" w:eastAsia="仿宋" w:cs="仿宋"/>
          <w:b/>
          <w:bCs/>
          <w:sz w:val="28"/>
          <w:szCs w:val="28"/>
        </w:rPr>
        <w:t>榆林市政府采购服务类项目供应商信用承诺书（须上传至信用中国（陕西榆林）附件中进行公示）</w:t>
      </w:r>
      <w:bookmarkEnd w:id="499"/>
    </w:p>
    <w:p w14:paraId="5A49824E">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市场主体名称：</w:t>
      </w:r>
    </w:p>
    <w:p w14:paraId="1CC12057">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证件类型：统一社会信用代码</w:t>
      </w:r>
    </w:p>
    <w:p w14:paraId="01BCDA98">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证件号码：</w:t>
      </w:r>
    </w:p>
    <w:p w14:paraId="5EED773A">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法人代表：</w:t>
      </w:r>
    </w:p>
    <w:p w14:paraId="70062288">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承诺有效期限：     年      月      日—         年      月      日</w:t>
      </w:r>
    </w:p>
    <w:p w14:paraId="1CC7C1C9">
      <w:pPr>
        <w:pStyle w:val="48"/>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承诺内容：</w:t>
      </w:r>
    </w:p>
    <w:p w14:paraId="4C54DCE9">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为维护公开、公平、公正的政府采购市场秩序，树立诚实守信的政府采购供应商形象，本单位自愿做出以下承诺：</w:t>
      </w:r>
    </w:p>
    <w:p w14:paraId="4216AC5E">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一、承诺本单位严格遵守国家</w:t>
      </w:r>
      <w:r>
        <w:rPr>
          <w:rFonts w:hint="eastAsia" w:ascii="仿宋" w:hAnsi="仿宋" w:eastAsia="仿宋" w:cs="仿宋"/>
          <w:color w:val="auto"/>
          <w:sz w:val="24"/>
          <w:szCs w:val="24"/>
          <w:highlight w:val="none"/>
          <w:shd w:val="clear" w:color="auto" w:fill="FFFFFF"/>
          <w:lang w:eastAsia="zh-CN"/>
        </w:rPr>
        <w:t>法律法规</w:t>
      </w:r>
      <w:r>
        <w:rPr>
          <w:rFonts w:hint="eastAsia" w:ascii="仿宋" w:hAnsi="仿宋" w:eastAsia="仿宋" w:cs="仿宋"/>
          <w:color w:val="auto"/>
          <w:sz w:val="24"/>
          <w:szCs w:val="24"/>
          <w:highlight w:val="none"/>
          <w:shd w:val="clear" w:color="auto" w:fill="FFFFFF"/>
        </w:rPr>
        <w:t>和规章，全面履行应尽的责任和义务，全面做到履约守信，具备《</w:t>
      </w:r>
      <w:r>
        <w:rPr>
          <w:rFonts w:hint="eastAsia" w:ascii="仿宋" w:hAnsi="仿宋" w:eastAsia="仿宋" w:cs="仿宋"/>
          <w:color w:val="auto"/>
          <w:sz w:val="24"/>
          <w:szCs w:val="24"/>
          <w:highlight w:val="none"/>
          <w:shd w:val="clear" w:color="auto" w:fill="FFFFFF"/>
          <w:lang w:eastAsia="zh-CN"/>
        </w:rPr>
        <w:t>中华人民共和国政府采购法</w:t>
      </w:r>
      <w:r>
        <w:rPr>
          <w:rFonts w:hint="eastAsia" w:ascii="仿宋" w:hAnsi="仿宋" w:eastAsia="仿宋" w:cs="仿宋"/>
          <w:color w:val="auto"/>
          <w:sz w:val="24"/>
          <w:szCs w:val="24"/>
          <w:highlight w:val="none"/>
          <w:shd w:val="clear" w:color="auto" w:fill="FFFFFF"/>
        </w:rPr>
        <w:t>》第二十二条第一款规定的条件;</w:t>
      </w:r>
    </w:p>
    <w:p w14:paraId="06FB0D3F">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二、承诺本单位提供给注册登记部门、行业管理部门、司法部门、行业组织以及在政府采购活动中提交的所有资料均合法、真实、有效，无任何伪造、修改、</w:t>
      </w:r>
      <w:r>
        <w:rPr>
          <w:rFonts w:hint="eastAsia" w:ascii="仿宋" w:hAnsi="仿宋" w:eastAsia="仿宋" w:cs="仿宋"/>
          <w:color w:val="auto"/>
          <w:sz w:val="24"/>
          <w:szCs w:val="24"/>
          <w:highlight w:val="none"/>
          <w:shd w:val="clear" w:color="auto" w:fill="FFFFFF"/>
          <w:lang w:eastAsia="zh-CN"/>
        </w:rPr>
        <w:t>虚假成分</w:t>
      </w:r>
      <w:r>
        <w:rPr>
          <w:rFonts w:hint="eastAsia" w:ascii="仿宋" w:hAnsi="仿宋" w:eastAsia="仿宋" w:cs="仿宋"/>
          <w:color w:val="auto"/>
          <w:sz w:val="24"/>
          <w:szCs w:val="24"/>
          <w:highlight w:val="none"/>
          <w:shd w:val="clear" w:color="auto" w:fill="FFFFFF"/>
        </w:rPr>
        <w:t>，并对所提供资料的真实性负责；</w:t>
      </w:r>
    </w:p>
    <w:p w14:paraId="76D389BF">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三、承诺本单位严格依法开展生产经营活动，主动接受行业监管，自愿接受依法开展的日常检查；违法失信经营后将自愿接受约束和惩戒，并依法承担相应责任；</w:t>
      </w:r>
    </w:p>
    <w:p w14:paraId="0ED551E8">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四、承诺本单位自觉接受行政管理部门、行业组织、社会公众、新闻舆论的监督；</w:t>
      </w:r>
    </w:p>
    <w:p w14:paraId="09849F8E">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五、承诺本单位自我约束、自我管理，重合同、守信用，不制假售假、商标侵权、虚假宣传、违约毁约、恶意逃债、偷税漏税、价格欺诈、垄断和不正当竞争，维护经营者、消费者的合法权益；</w:t>
      </w:r>
    </w:p>
    <w:p w14:paraId="158BEAD7">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六、承诺本单位提出政府采购质疑和投诉坚持依法依规、诚实信用原则，在全国范围12个月内没有三次以上查无实据的政府采购投诉；</w:t>
      </w:r>
    </w:p>
    <w:p w14:paraId="05CBB68D">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七、根据政府采购相关法律法规的规定需要作出的其他承诺： </w:t>
      </w:r>
    </w:p>
    <w:p w14:paraId="435C1E41">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u w:val="single"/>
          <w:shd w:val="clear" w:color="auto" w:fill="FFFFFF"/>
        </w:rPr>
      </w:pPr>
      <w:r>
        <w:rPr>
          <w:rFonts w:hint="eastAsia" w:ascii="仿宋" w:hAnsi="仿宋" w:eastAsia="仿宋" w:cs="仿宋"/>
          <w:color w:val="auto"/>
          <w:sz w:val="24"/>
          <w:szCs w:val="24"/>
          <w:highlight w:val="none"/>
          <w:u w:val="single"/>
          <w:shd w:val="clear" w:color="auto" w:fill="FFFFFF"/>
        </w:rPr>
        <w:t xml:space="preserve">                                                                   ；</w:t>
      </w:r>
    </w:p>
    <w:p w14:paraId="756D019A">
      <w:pPr>
        <w:pStyle w:val="48"/>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5A46E72">
      <w:pPr>
        <w:pStyle w:val="48"/>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承诺单位（盖章）：</w:t>
      </w:r>
    </w:p>
    <w:p w14:paraId="7509FFDE">
      <w:pPr>
        <w:pStyle w:val="48"/>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法定代表人（负责人）：（签字或盖章）</w:t>
      </w:r>
    </w:p>
    <w:p w14:paraId="21743C8D">
      <w:pPr>
        <w:pStyle w:val="48"/>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法定代表人（负责人）身份证号：</w:t>
      </w:r>
    </w:p>
    <w:p w14:paraId="25B65F73">
      <w:pPr>
        <w:pStyle w:val="48"/>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承诺日期：        </w:t>
      </w:r>
    </w:p>
    <w:p w14:paraId="2B2EB309">
      <w:pPr>
        <w:pStyle w:val="5"/>
        <w:pageBreakBefore w:val="0"/>
        <w:kinsoku/>
        <w:wordWrap/>
        <w:overflowPunct/>
        <w:topLinePunct w:val="0"/>
        <w:bidi w:val="0"/>
        <w:snapToGrid/>
        <w:spacing w:line="360" w:lineRule="auto"/>
        <w:ind w:firstLine="0" w:firstLineChars="0"/>
        <w:jc w:val="both"/>
        <w:textAlignment w:val="auto"/>
        <w:rPr>
          <w:rFonts w:hint="eastAsia" w:ascii="仿宋" w:hAnsi="仿宋" w:eastAsia="仿宋" w:cs="仿宋"/>
          <w:sz w:val="24"/>
          <w:szCs w:val="24"/>
        </w:rPr>
      </w:pPr>
      <w:bookmarkStart w:id="500" w:name="_Toc22499"/>
      <w:r>
        <w:rPr>
          <w:rFonts w:hint="eastAsia" w:ascii="仿宋" w:hAnsi="仿宋" w:eastAsia="仿宋" w:cs="仿宋"/>
          <w:color w:val="auto"/>
          <w:sz w:val="24"/>
          <w:szCs w:val="24"/>
          <w:highlight w:val="none"/>
          <w:shd w:val="clear" w:color="auto" w:fill="FFFFFF"/>
        </w:rPr>
        <w:t>注：法定代表人或负责人、主体名称发生变更的应当重新做出承诺；承诺书标题按照工程类、货物类、服务类确定。</w:t>
      </w:r>
      <w:r>
        <w:rPr>
          <w:rFonts w:hint="eastAsia" w:ascii="仿宋" w:hAnsi="仿宋" w:eastAsia="仿宋" w:cs="仿宋"/>
          <w:sz w:val="24"/>
          <w:szCs w:val="24"/>
        </w:rPr>
        <w:br w:type="page"/>
      </w:r>
      <w:bookmarkEnd w:id="500"/>
    </w:p>
    <w:p w14:paraId="69BD8B13">
      <w:pPr>
        <w:tabs>
          <w:tab w:val="left" w:pos="993"/>
          <w:tab w:val="left" w:pos="1030"/>
          <w:tab w:val="left" w:pos="8364"/>
        </w:tabs>
        <w:snapToGrid w:val="0"/>
        <w:spacing w:after="156" w:afterLines="50" w:line="360" w:lineRule="auto"/>
        <w:ind w:right="-57" w:rightChars="-27"/>
        <w:jc w:val="center"/>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lang w:eastAsia="zh-CN"/>
        </w:rPr>
        <w:t>投标人</w:t>
      </w:r>
      <w:r>
        <w:rPr>
          <w:rFonts w:hint="eastAsia" w:ascii="仿宋" w:hAnsi="仿宋" w:eastAsia="仿宋" w:cs="仿宋"/>
          <w:b/>
          <w:sz w:val="32"/>
          <w:szCs w:val="32"/>
          <w:highlight w:val="none"/>
          <w:shd w:val="clear" w:color="auto" w:fill="FFFFFF"/>
        </w:rPr>
        <w:t>信用承诺书</w:t>
      </w:r>
    </w:p>
    <w:p w14:paraId="38D7B20D">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374BA2D6">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统一社会信用代码：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法人代表：</w:t>
      </w:r>
      <w:r>
        <w:rPr>
          <w:rFonts w:hint="eastAsia" w:ascii="仿宋" w:hAnsi="仿宋" w:eastAsia="仿宋" w:cs="仿宋"/>
          <w:sz w:val="24"/>
          <w:highlight w:val="none"/>
          <w:u w:val="single"/>
        </w:rPr>
        <w:t xml:space="preserve">                  </w:t>
      </w:r>
    </w:p>
    <w:p w14:paraId="5C7A5BE5">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DEC1D61">
      <w:pPr>
        <w:widowControl/>
        <w:adjustRightInd w:val="0"/>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项目招投标活动中，我公司（单位）郑重作出以下信用承诺：</w:t>
      </w:r>
    </w:p>
    <w:p w14:paraId="60D72125">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47EA32E2">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14ED2B8B">
      <w:pPr>
        <w:widowControl/>
        <w:adjustRightInd w:val="0"/>
        <w:snapToGrid w:val="0"/>
        <w:spacing w:line="360" w:lineRule="auto"/>
        <w:ind w:firstLine="482"/>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0CC091BD">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（四）同意将此信用承诺纳入陕西省公共信用信息平台和榆林市公共信用信息共享平台，并上网公示，接受社会监督。</w:t>
      </w:r>
    </w:p>
    <w:p w14:paraId="1522B059">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BAA9178">
      <w:pPr>
        <w:rPr>
          <w:rFonts w:hint="eastAsia" w:ascii="仿宋" w:hAnsi="仿宋" w:eastAsia="仿宋" w:cs="仿宋"/>
          <w:highlight w:val="none"/>
        </w:rPr>
      </w:pPr>
    </w:p>
    <w:p w14:paraId="6FB8D5C6">
      <w:pPr>
        <w:widowControl/>
        <w:tabs>
          <w:tab w:val="left" w:pos="4395"/>
        </w:tabs>
        <w:adjustRightInd w:val="0"/>
        <w:snapToGrid w:val="0"/>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7AF367B0">
      <w:pPr>
        <w:adjustRightInd w:val="0"/>
        <w:snapToGrid w:val="0"/>
        <w:spacing w:line="480" w:lineRule="auto"/>
        <w:jc w:val="center"/>
        <w:rPr>
          <w:rFonts w:hint="eastAsia" w:ascii="仿宋" w:hAnsi="仿宋" w:eastAsia="仿宋" w:cs="仿宋"/>
          <w:sz w:val="24"/>
          <w:highlight w:val="none"/>
        </w:rPr>
      </w:pPr>
    </w:p>
    <w:p w14:paraId="11089D52">
      <w:pPr>
        <w:adjustRightInd w:val="0"/>
        <w:snapToGrid w:val="0"/>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CBBE5E2">
      <w:pPr>
        <w:spacing w:line="480" w:lineRule="auto"/>
        <w:ind w:right="-2"/>
        <w:jc w:val="center"/>
        <w:rPr>
          <w:rFonts w:hint="eastAsia" w:ascii="仿宋" w:hAnsi="仿宋" w:eastAsia="仿宋" w:cs="仿宋"/>
          <w:b/>
          <w:bCs/>
          <w:sz w:val="32"/>
          <w:szCs w:val="32"/>
          <w:highlight w:val="none"/>
        </w:rPr>
        <w:sectPr>
          <w:pgSz w:w="11906" w:h="16838"/>
          <w:pgMar w:top="1440" w:right="1531" w:bottom="1440" w:left="1531"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70525853">
      <w:pPr>
        <w:spacing w:line="560" w:lineRule="exact"/>
        <w:ind w:right="-2"/>
        <w:jc w:val="center"/>
        <w:rPr>
          <w:rFonts w:hint="eastAsia" w:ascii="仿宋" w:hAnsi="仿宋" w:eastAsia="仿宋" w:cs="仿宋"/>
          <w:sz w:val="24"/>
          <w:highlight w:val="none"/>
        </w:rPr>
      </w:pPr>
      <w:r>
        <w:rPr>
          <w:rFonts w:hint="eastAsia" w:ascii="仿宋" w:hAnsi="仿宋" w:eastAsia="仿宋" w:cs="仿宋"/>
          <w:b/>
          <w:bCs/>
          <w:sz w:val="32"/>
          <w:szCs w:val="32"/>
          <w:highlight w:val="none"/>
        </w:rPr>
        <w:t>投标人委托代理人员信用承诺书</w:t>
      </w:r>
    </w:p>
    <w:p w14:paraId="71A5847B">
      <w:pPr>
        <w:widowControl/>
        <w:spacing w:line="5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项目招投标活动中，我个人郑重作出以下信用承诺：</w:t>
      </w:r>
    </w:p>
    <w:p w14:paraId="64905943">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（一）能严格遵守法律法规、职业道德和行业规范，具有独立承担民事责任的能力；无法律法规规定禁止开展从业活动情形。我所递交的文件资料合法、真实、准确、完整、有效，无弄虚作假等情形。</w:t>
      </w:r>
    </w:p>
    <w:p w14:paraId="38E79ABD">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411E1A39">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4FCFD6E4">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（四）同意将此信用承诺纳入陕西省公共信用信息平台和榆林市公共信用信息共享平台，并接受社会监督。</w:t>
      </w:r>
    </w:p>
    <w:p w14:paraId="598675EC">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60BD33">
      <w:pPr>
        <w:widowControl/>
        <w:spacing w:line="320" w:lineRule="exact"/>
        <w:ind w:firstLine="482"/>
        <w:jc w:val="left"/>
        <w:rPr>
          <w:rFonts w:hint="eastAsia" w:ascii="仿宋" w:hAnsi="仿宋" w:eastAsia="仿宋" w:cs="仿宋"/>
          <w:sz w:val="24"/>
          <w:highlight w:val="none"/>
        </w:rPr>
      </w:pPr>
    </w:p>
    <w:p w14:paraId="7F46129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745C69">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13D3E68E">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承诺人（签字或盖章）：</w:t>
      </w:r>
      <w:r>
        <w:rPr>
          <w:rFonts w:hint="eastAsia" w:ascii="仿宋" w:hAnsi="仿宋" w:eastAsia="仿宋" w:cs="仿宋"/>
          <w:sz w:val="24"/>
          <w:highlight w:val="none"/>
          <w:u w:val="single"/>
        </w:rPr>
        <w:t xml:space="preserve">                 </w:t>
      </w:r>
    </w:p>
    <w:p w14:paraId="4026E1F4">
      <w:pPr>
        <w:pStyle w:val="4"/>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rPr>
        <w:t>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095113E">
      <w:pPr>
        <w:autoSpaceDE w:val="0"/>
        <w:autoSpaceDN w:val="0"/>
        <w:adjustRightInd w:val="0"/>
        <w:spacing w:line="360" w:lineRule="auto"/>
        <w:jc w:val="center"/>
        <w:rPr>
          <w:rFonts w:eastAsia="仿宋_GB2312"/>
          <w:szCs w:val="21"/>
        </w:rPr>
      </w:pPr>
      <w:r>
        <w:rPr>
          <w:rFonts w:hint="eastAsia" w:ascii="仿宋" w:hAnsi="仿宋" w:eastAsia="仿宋" w:cs="仿宋"/>
          <w:sz w:val="24"/>
          <w:highlight w:val="none"/>
        </w:rPr>
        <w:br w:type="page"/>
      </w:r>
      <w:r>
        <w:rPr>
          <w:rFonts w:hint="eastAsia" w:ascii="仿宋" w:hAnsi="仿宋" w:eastAsia="仿宋" w:cs="仿宋"/>
          <w:highlight w:val="none"/>
        </w:rPr>
        <w:t>关于信用承诺网上公示的通知及操作指南</w:t>
      </w:r>
      <w:r>
        <w:rPr>
          <w:rFonts w:hint="eastAsia" w:ascii="楷体" w:hAnsi="楷体" w:eastAsia="楷体" w:cs="楷体"/>
          <w:color w:val="auto"/>
          <w:sz w:val="32"/>
          <w:szCs w:val="32"/>
          <w:highlight w:val="none"/>
          <w:shd w:val="clear" w:color="auto" w:fill="FFFFFF"/>
          <w:lang w:val="zh-CN"/>
        </w:rPr>
        <w:drawing>
          <wp:inline distT="0" distB="0" distL="114300" distR="114300">
            <wp:extent cx="5579745" cy="7879715"/>
            <wp:effectExtent l="0" t="0" r="1905" b="6985"/>
            <wp:docPr id="12" name="图片 1" descr="“信用中国”信用承诺网上公示操作流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信用中国”信用承诺网上公示操作流程(1)_00"/>
                    <pic:cNvPicPr>
                      <a:picLocks noChangeAspect="1"/>
                    </pic:cNvPicPr>
                  </pic:nvPicPr>
                  <pic:blipFill>
                    <a:blip r:embed="rId13"/>
                    <a:stretch>
                      <a:fillRect/>
                    </a:stretch>
                  </pic:blipFill>
                  <pic:spPr>
                    <a:xfrm>
                      <a:off x="0" y="0"/>
                      <a:ext cx="5579745" cy="7879715"/>
                    </a:xfrm>
                    <a:prstGeom prst="rect">
                      <a:avLst/>
                    </a:prstGeom>
                    <a:noFill/>
                    <a:ln>
                      <a:noFill/>
                    </a:ln>
                  </pic:spPr>
                </pic:pic>
              </a:graphicData>
            </a:graphic>
          </wp:inline>
        </w:drawing>
      </w:r>
      <w:r>
        <w:rPr>
          <w:rFonts w:hint="eastAsia" w:ascii="楷体" w:hAnsi="楷体" w:eastAsia="楷体" w:cs="楷体"/>
          <w:color w:val="auto"/>
          <w:sz w:val="32"/>
          <w:szCs w:val="32"/>
          <w:highlight w:val="none"/>
          <w:shd w:val="clear" w:color="auto" w:fill="FFFFFF"/>
          <w:lang w:val="zh-CN"/>
        </w:rPr>
        <w:drawing>
          <wp:inline distT="0" distB="0" distL="114300" distR="114300">
            <wp:extent cx="5093970" cy="7193280"/>
            <wp:effectExtent l="0" t="0" r="11430" b="7620"/>
            <wp:docPr id="16" name="图片 2" descr="“信用中国”信用承诺网上公示操作流程(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信用中国”信用承诺网上公示操作流程(1)_01"/>
                    <pic:cNvPicPr>
                      <a:picLocks noChangeAspect="1"/>
                    </pic:cNvPicPr>
                  </pic:nvPicPr>
                  <pic:blipFill>
                    <a:blip r:embed="rId14"/>
                    <a:stretch>
                      <a:fillRect/>
                    </a:stretch>
                  </pic:blipFill>
                  <pic:spPr>
                    <a:xfrm>
                      <a:off x="0" y="0"/>
                      <a:ext cx="5093970" cy="7193280"/>
                    </a:xfrm>
                    <a:prstGeom prst="rect">
                      <a:avLst/>
                    </a:prstGeom>
                    <a:noFill/>
                    <a:ln>
                      <a:noFill/>
                    </a:ln>
                  </pic:spPr>
                </pic:pic>
              </a:graphicData>
            </a:graphic>
          </wp:inline>
        </w:drawing>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48</w:t>
    </w:r>
    <w:r>
      <w:fldChar w:fldCharType="end"/>
    </w:r>
  </w:p>
  <w:p w14:paraId="4A4BCFD9">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8"/>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8"/>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9547DB1"/>
    <w:multiLevelType w:val="singleLevel"/>
    <w:tmpl w:val="89547DB1"/>
    <w:lvl w:ilvl="0" w:tentative="0">
      <w:start w:val="2"/>
      <w:numFmt w:val="chineseCounting"/>
      <w:suff w:val="space"/>
      <w:lvlText w:val="第%1条"/>
      <w:lvlJc w:val="left"/>
      <w:rPr>
        <w:rFonts w:hint="eastAsia"/>
      </w:rPr>
    </w:lvl>
  </w:abstractNum>
  <w:abstractNum w:abstractNumId="1">
    <w:nsid w:val="D8A8FEC9"/>
    <w:multiLevelType w:val="singleLevel"/>
    <w:tmpl w:val="D8A8FEC9"/>
    <w:lvl w:ilvl="0" w:tentative="0">
      <w:start w:val="3"/>
      <w:numFmt w:val="chineseCounting"/>
      <w:suff w:val="space"/>
      <w:lvlText w:val="第%1条"/>
      <w:lvlJc w:val="left"/>
      <w:rPr>
        <w:rFonts w:hint="eastAsia"/>
      </w:rPr>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FA2D3D5B"/>
    <w:multiLevelType w:val="singleLevel"/>
    <w:tmpl w:val="FA2D3D5B"/>
    <w:lvl w:ilvl="0" w:tentative="0">
      <w:start w:val="30"/>
      <w:numFmt w:val="decimal"/>
      <w:suff w:val="space"/>
      <w:lvlText w:val="%1."/>
      <w:lvlJc w:val="left"/>
    </w:lvl>
  </w:abstractNum>
  <w:abstractNum w:abstractNumId="4">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9"/>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339CA047"/>
    <w:multiLevelType w:val="singleLevel"/>
    <w:tmpl w:val="339CA047"/>
    <w:lvl w:ilvl="0" w:tentative="0">
      <w:start w:val="15"/>
      <w:numFmt w:val="decimal"/>
      <w:suff w:val="space"/>
      <w:lvlText w:val="%1."/>
      <w:lvlJc w:val="left"/>
    </w:lvl>
  </w:abstractNum>
  <w:abstractNum w:abstractNumId="8">
    <w:nsid w:val="537AA372"/>
    <w:multiLevelType w:val="singleLevel"/>
    <w:tmpl w:val="537AA372"/>
    <w:lvl w:ilvl="0" w:tentative="0">
      <w:start w:val="21"/>
      <w:numFmt w:val="decimal"/>
      <w:suff w:val="space"/>
      <w:lvlText w:val="%1."/>
      <w:lvlJc w:val="left"/>
    </w:lvl>
  </w:abstractNum>
  <w:abstractNum w:abstractNumId="9">
    <w:nsid w:val="624D1350"/>
    <w:multiLevelType w:val="singleLevel"/>
    <w:tmpl w:val="624D1350"/>
    <w:lvl w:ilvl="0" w:tentative="0">
      <w:start w:val="25"/>
      <w:numFmt w:val="decimal"/>
      <w:suff w:val="space"/>
      <w:lvlText w:val="%1."/>
      <w:lvlJc w:val="left"/>
    </w:lvl>
  </w:abstractNum>
  <w:abstractNum w:abstractNumId="10">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0"/>
  </w:num>
  <w:num w:numId="4">
    <w:abstractNumId w:val="12"/>
  </w:num>
  <w:num w:numId="5">
    <w:abstractNumId w:val="6"/>
  </w:num>
  <w:num w:numId="6">
    <w:abstractNumId w:val="2"/>
  </w:num>
  <w:num w:numId="7">
    <w:abstractNumId w:val="7"/>
  </w:num>
  <w:num w:numId="8">
    <w:abstractNumId w:val="8"/>
  </w:num>
  <w:num w:numId="9">
    <w:abstractNumId w:val="9"/>
  </w:num>
  <w:num w:numId="10">
    <w:abstractNumId w:val="3"/>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46152"/>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D6029"/>
    <w:rsid w:val="01276CE6"/>
    <w:rsid w:val="01391AF7"/>
    <w:rsid w:val="01497155"/>
    <w:rsid w:val="017B4CFD"/>
    <w:rsid w:val="017E0CD4"/>
    <w:rsid w:val="01A56820"/>
    <w:rsid w:val="01B73196"/>
    <w:rsid w:val="01DB0F21"/>
    <w:rsid w:val="01F85948"/>
    <w:rsid w:val="021A6C4F"/>
    <w:rsid w:val="027D1EDC"/>
    <w:rsid w:val="02AA6F17"/>
    <w:rsid w:val="02E6429D"/>
    <w:rsid w:val="02F17256"/>
    <w:rsid w:val="032E5AB3"/>
    <w:rsid w:val="03374FA4"/>
    <w:rsid w:val="036219CF"/>
    <w:rsid w:val="0380752A"/>
    <w:rsid w:val="03AE3AF3"/>
    <w:rsid w:val="03C4317A"/>
    <w:rsid w:val="03CF5E03"/>
    <w:rsid w:val="041E1097"/>
    <w:rsid w:val="04616A3E"/>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02047"/>
    <w:rsid w:val="07C548CA"/>
    <w:rsid w:val="082B0E32"/>
    <w:rsid w:val="0838785B"/>
    <w:rsid w:val="08545BC6"/>
    <w:rsid w:val="08634780"/>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385366"/>
    <w:rsid w:val="0B651CEF"/>
    <w:rsid w:val="0B705986"/>
    <w:rsid w:val="0BB41D63"/>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2162F"/>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80872"/>
    <w:rsid w:val="120C3966"/>
    <w:rsid w:val="12191209"/>
    <w:rsid w:val="122510EE"/>
    <w:rsid w:val="123757B7"/>
    <w:rsid w:val="12405481"/>
    <w:rsid w:val="12837EE6"/>
    <w:rsid w:val="128D1331"/>
    <w:rsid w:val="12C1355D"/>
    <w:rsid w:val="12D37057"/>
    <w:rsid w:val="12E806A4"/>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22256E"/>
    <w:rsid w:val="15345AE6"/>
    <w:rsid w:val="153A4D4A"/>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256C1"/>
    <w:rsid w:val="17E50036"/>
    <w:rsid w:val="1820060E"/>
    <w:rsid w:val="18205BA9"/>
    <w:rsid w:val="18352A53"/>
    <w:rsid w:val="18370FAA"/>
    <w:rsid w:val="188D7D42"/>
    <w:rsid w:val="1890464C"/>
    <w:rsid w:val="18C45643"/>
    <w:rsid w:val="19146F58"/>
    <w:rsid w:val="19153875"/>
    <w:rsid w:val="192C0577"/>
    <w:rsid w:val="19575882"/>
    <w:rsid w:val="195E155B"/>
    <w:rsid w:val="197321D5"/>
    <w:rsid w:val="199944A6"/>
    <w:rsid w:val="19BE3F0C"/>
    <w:rsid w:val="19D8069E"/>
    <w:rsid w:val="1A082863"/>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557F8"/>
    <w:rsid w:val="219E251A"/>
    <w:rsid w:val="21A2314B"/>
    <w:rsid w:val="21A94E54"/>
    <w:rsid w:val="21C24F4B"/>
    <w:rsid w:val="21D73DBD"/>
    <w:rsid w:val="21FB2187"/>
    <w:rsid w:val="22071464"/>
    <w:rsid w:val="22283C9F"/>
    <w:rsid w:val="2232235C"/>
    <w:rsid w:val="22BD235F"/>
    <w:rsid w:val="23256DAA"/>
    <w:rsid w:val="23291785"/>
    <w:rsid w:val="23710488"/>
    <w:rsid w:val="2381304A"/>
    <w:rsid w:val="23A7789F"/>
    <w:rsid w:val="23BB002C"/>
    <w:rsid w:val="23C33515"/>
    <w:rsid w:val="23F1680C"/>
    <w:rsid w:val="242E494F"/>
    <w:rsid w:val="2434221F"/>
    <w:rsid w:val="243479AD"/>
    <w:rsid w:val="243E15D5"/>
    <w:rsid w:val="24551238"/>
    <w:rsid w:val="2475725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A4607"/>
    <w:rsid w:val="27DE5929"/>
    <w:rsid w:val="27E14C4C"/>
    <w:rsid w:val="27E64D5A"/>
    <w:rsid w:val="282160D2"/>
    <w:rsid w:val="286C62A1"/>
    <w:rsid w:val="287D5B6E"/>
    <w:rsid w:val="289E5635"/>
    <w:rsid w:val="28A069B8"/>
    <w:rsid w:val="28C21683"/>
    <w:rsid w:val="28F72971"/>
    <w:rsid w:val="290F3C6E"/>
    <w:rsid w:val="2959155B"/>
    <w:rsid w:val="2A3073E0"/>
    <w:rsid w:val="2A761A78"/>
    <w:rsid w:val="2A8D5961"/>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5F13C2"/>
    <w:rsid w:val="2E6E6547"/>
    <w:rsid w:val="2E6E7857"/>
    <w:rsid w:val="2E8B1B62"/>
    <w:rsid w:val="2E970AE4"/>
    <w:rsid w:val="2EB227A5"/>
    <w:rsid w:val="2F286757"/>
    <w:rsid w:val="2F502084"/>
    <w:rsid w:val="2F540DBC"/>
    <w:rsid w:val="2F822BAC"/>
    <w:rsid w:val="2F8C268B"/>
    <w:rsid w:val="2F96630B"/>
    <w:rsid w:val="2FAC7913"/>
    <w:rsid w:val="301F6139"/>
    <w:rsid w:val="30641E74"/>
    <w:rsid w:val="30810E1D"/>
    <w:rsid w:val="30D616E4"/>
    <w:rsid w:val="30F97581"/>
    <w:rsid w:val="31232B7B"/>
    <w:rsid w:val="31346079"/>
    <w:rsid w:val="314256C4"/>
    <w:rsid w:val="316E48C8"/>
    <w:rsid w:val="31947CF5"/>
    <w:rsid w:val="31AC12F5"/>
    <w:rsid w:val="31C65637"/>
    <w:rsid w:val="32417274"/>
    <w:rsid w:val="324A563C"/>
    <w:rsid w:val="324A57AF"/>
    <w:rsid w:val="329F04E5"/>
    <w:rsid w:val="32A27980"/>
    <w:rsid w:val="32CB0035"/>
    <w:rsid w:val="32CE6B16"/>
    <w:rsid w:val="32F9755F"/>
    <w:rsid w:val="331B2806"/>
    <w:rsid w:val="333214D1"/>
    <w:rsid w:val="3370495E"/>
    <w:rsid w:val="33CC0FC6"/>
    <w:rsid w:val="33DD0EAC"/>
    <w:rsid w:val="340622E0"/>
    <w:rsid w:val="34117602"/>
    <w:rsid w:val="341220B6"/>
    <w:rsid w:val="34143D51"/>
    <w:rsid w:val="34302898"/>
    <w:rsid w:val="343230D5"/>
    <w:rsid w:val="345B460B"/>
    <w:rsid w:val="347B1D25"/>
    <w:rsid w:val="348E2B4F"/>
    <w:rsid w:val="34B87A7E"/>
    <w:rsid w:val="34BB4966"/>
    <w:rsid w:val="34CE1050"/>
    <w:rsid w:val="359C73A0"/>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26196"/>
    <w:rsid w:val="387719FE"/>
    <w:rsid w:val="387C3364"/>
    <w:rsid w:val="387E5FB0"/>
    <w:rsid w:val="3885236D"/>
    <w:rsid w:val="38CC73F3"/>
    <w:rsid w:val="38D96670"/>
    <w:rsid w:val="38E022EF"/>
    <w:rsid w:val="392751D2"/>
    <w:rsid w:val="3942025E"/>
    <w:rsid w:val="395B66C1"/>
    <w:rsid w:val="395E3B0F"/>
    <w:rsid w:val="3990776B"/>
    <w:rsid w:val="39AD1B7B"/>
    <w:rsid w:val="39AE15AC"/>
    <w:rsid w:val="39D30EB6"/>
    <w:rsid w:val="39E218FD"/>
    <w:rsid w:val="39E83FB4"/>
    <w:rsid w:val="3A153790"/>
    <w:rsid w:val="3A1F11A7"/>
    <w:rsid w:val="3A2B6F44"/>
    <w:rsid w:val="3A86575A"/>
    <w:rsid w:val="3AC94052"/>
    <w:rsid w:val="3B115AB0"/>
    <w:rsid w:val="3B341FC1"/>
    <w:rsid w:val="3B6F11E8"/>
    <w:rsid w:val="3B732683"/>
    <w:rsid w:val="3B851216"/>
    <w:rsid w:val="3C5A766D"/>
    <w:rsid w:val="3D084D63"/>
    <w:rsid w:val="3D0A6622"/>
    <w:rsid w:val="3D0B4A9A"/>
    <w:rsid w:val="3D1837B0"/>
    <w:rsid w:val="3D420A8C"/>
    <w:rsid w:val="3D517AA3"/>
    <w:rsid w:val="3DA349DC"/>
    <w:rsid w:val="3DE421F6"/>
    <w:rsid w:val="3DEC56E0"/>
    <w:rsid w:val="3E0F5C92"/>
    <w:rsid w:val="3E2D6905"/>
    <w:rsid w:val="3E3457B0"/>
    <w:rsid w:val="3E9753EA"/>
    <w:rsid w:val="3E9948D1"/>
    <w:rsid w:val="3EA27F5C"/>
    <w:rsid w:val="3EE41CB3"/>
    <w:rsid w:val="3F43088C"/>
    <w:rsid w:val="3F5E71A0"/>
    <w:rsid w:val="3F7A2597"/>
    <w:rsid w:val="3F7F3F6B"/>
    <w:rsid w:val="3FAA2EEE"/>
    <w:rsid w:val="3FAA346A"/>
    <w:rsid w:val="3FAB317E"/>
    <w:rsid w:val="3FE327A2"/>
    <w:rsid w:val="4038652C"/>
    <w:rsid w:val="405E545C"/>
    <w:rsid w:val="40602185"/>
    <w:rsid w:val="406D3C7A"/>
    <w:rsid w:val="408D0A8F"/>
    <w:rsid w:val="40B93302"/>
    <w:rsid w:val="40D55514"/>
    <w:rsid w:val="40DD4529"/>
    <w:rsid w:val="412A3AB2"/>
    <w:rsid w:val="414920DE"/>
    <w:rsid w:val="41550B18"/>
    <w:rsid w:val="41AD34BA"/>
    <w:rsid w:val="41E371A6"/>
    <w:rsid w:val="4206324A"/>
    <w:rsid w:val="427B54C4"/>
    <w:rsid w:val="42827CD6"/>
    <w:rsid w:val="42B01A80"/>
    <w:rsid w:val="42B540C6"/>
    <w:rsid w:val="43124DBF"/>
    <w:rsid w:val="43267EE9"/>
    <w:rsid w:val="433D2CCC"/>
    <w:rsid w:val="43411BCB"/>
    <w:rsid w:val="435C4BA0"/>
    <w:rsid w:val="436A7A26"/>
    <w:rsid w:val="4373005F"/>
    <w:rsid w:val="43CF0940"/>
    <w:rsid w:val="442326F2"/>
    <w:rsid w:val="442418FE"/>
    <w:rsid w:val="444A0DD1"/>
    <w:rsid w:val="44781DAA"/>
    <w:rsid w:val="44C9249B"/>
    <w:rsid w:val="44CA357E"/>
    <w:rsid w:val="44D54B81"/>
    <w:rsid w:val="4587776E"/>
    <w:rsid w:val="45CF460B"/>
    <w:rsid w:val="45D77461"/>
    <w:rsid w:val="45E27E1E"/>
    <w:rsid w:val="45E32481"/>
    <w:rsid w:val="46142700"/>
    <w:rsid w:val="470316C4"/>
    <w:rsid w:val="47064679"/>
    <w:rsid w:val="470E368E"/>
    <w:rsid w:val="477631E0"/>
    <w:rsid w:val="47AC7367"/>
    <w:rsid w:val="47AD6319"/>
    <w:rsid w:val="47BA5BC1"/>
    <w:rsid w:val="47C7285C"/>
    <w:rsid w:val="480C69CA"/>
    <w:rsid w:val="487519F9"/>
    <w:rsid w:val="491312CF"/>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A37C0"/>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531C9"/>
    <w:rsid w:val="52321D93"/>
    <w:rsid w:val="52420452"/>
    <w:rsid w:val="524A5FDD"/>
    <w:rsid w:val="52533FC1"/>
    <w:rsid w:val="525C30D5"/>
    <w:rsid w:val="52B85DAB"/>
    <w:rsid w:val="52E95362"/>
    <w:rsid w:val="52F201A7"/>
    <w:rsid w:val="52F30FD8"/>
    <w:rsid w:val="530973DA"/>
    <w:rsid w:val="53BB70AD"/>
    <w:rsid w:val="53DA43C4"/>
    <w:rsid w:val="53E267AB"/>
    <w:rsid w:val="53FD4057"/>
    <w:rsid w:val="54A0435F"/>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6E7BDB"/>
    <w:rsid w:val="59E71DDE"/>
    <w:rsid w:val="59F36CDF"/>
    <w:rsid w:val="5A064D2E"/>
    <w:rsid w:val="5A1924BD"/>
    <w:rsid w:val="5A496D02"/>
    <w:rsid w:val="5A53496E"/>
    <w:rsid w:val="5A7756D8"/>
    <w:rsid w:val="5A96078C"/>
    <w:rsid w:val="5A9713A0"/>
    <w:rsid w:val="5ABB0552"/>
    <w:rsid w:val="5AC87CD6"/>
    <w:rsid w:val="5AE85A5C"/>
    <w:rsid w:val="5AEC799D"/>
    <w:rsid w:val="5B18744E"/>
    <w:rsid w:val="5BC63955"/>
    <w:rsid w:val="5C4A2BD7"/>
    <w:rsid w:val="5C990F6F"/>
    <w:rsid w:val="5CAF68F6"/>
    <w:rsid w:val="5CBA7F88"/>
    <w:rsid w:val="5CF84E92"/>
    <w:rsid w:val="5D213D72"/>
    <w:rsid w:val="5D4E247E"/>
    <w:rsid w:val="5D63632E"/>
    <w:rsid w:val="5D89138F"/>
    <w:rsid w:val="5DC10114"/>
    <w:rsid w:val="5DD63758"/>
    <w:rsid w:val="5DDB259F"/>
    <w:rsid w:val="5E2775BD"/>
    <w:rsid w:val="5E326512"/>
    <w:rsid w:val="5E4205CC"/>
    <w:rsid w:val="5E504C73"/>
    <w:rsid w:val="5E985E8A"/>
    <w:rsid w:val="5EE54D87"/>
    <w:rsid w:val="5F773F0E"/>
    <w:rsid w:val="5F97635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3E0D13"/>
    <w:rsid w:val="62A11A47"/>
    <w:rsid w:val="62B4089B"/>
    <w:rsid w:val="62E94FF3"/>
    <w:rsid w:val="62F475B6"/>
    <w:rsid w:val="630C6A64"/>
    <w:rsid w:val="631F7E44"/>
    <w:rsid w:val="63376FCF"/>
    <w:rsid w:val="635D124F"/>
    <w:rsid w:val="637C04DD"/>
    <w:rsid w:val="638B61DA"/>
    <w:rsid w:val="63964CCA"/>
    <w:rsid w:val="63B3451B"/>
    <w:rsid w:val="643C6CB2"/>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672FAC"/>
    <w:rsid w:val="688751BF"/>
    <w:rsid w:val="688F3871"/>
    <w:rsid w:val="6893310E"/>
    <w:rsid w:val="68D862F5"/>
    <w:rsid w:val="68DC76F5"/>
    <w:rsid w:val="68E74072"/>
    <w:rsid w:val="68E85E7D"/>
    <w:rsid w:val="69173BDC"/>
    <w:rsid w:val="69BD4674"/>
    <w:rsid w:val="6A036769"/>
    <w:rsid w:val="6A142041"/>
    <w:rsid w:val="6A325674"/>
    <w:rsid w:val="6A4D2C84"/>
    <w:rsid w:val="6A52291B"/>
    <w:rsid w:val="6A7B10E5"/>
    <w:rsid w:val="6A817F02"/>
    <w:rsid w:val="6A8A48EA"/>
    <w:rsid w:val="6AA41E52"/>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8343C6"/>
    <w:rsid w:val="6D9D1563"/>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665AC"/>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A6436"/>
    <w:rsid w:val="74CC21DF"/>
    <w:rsid w:val="74E16F35"/>
    <w:rsid w:val="753F3D93"/>
    <w:rsid w:val="75532D3D"/>
    <w:rsid w:val="758805C2"/>
    <w:rsid w:val="7588697C"/>
    <w:rsid w:val="75907680"/>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74088"/>
    <w:rsid w:val="781F51BA"/>
    <w:rsid w:val="78494544"/>
    <w:rsid w:val="78810ADD"/>
    <w:rsid w:val="788E2C97"/>
    <w:rsid w:val="78955947"/>
    <w:rsid w:val="78A05E2C"/>
    <w:rsid w:val="78D36201"/>
    <w:rsid w:val="78DC47E1"/>
    <w:rsid w:val="78E431C4"/>
    <w:rsid w:val="78EB4A40"/>
    <w:rsid w:val="79392FBE"/>
    <w:rsid w:val="79532003"/>
    <w:rsid w:val="796C6682"/>
    <w:rsid w:val="79BB696B"/>
    <w:rsid w:val="79F944AF"/>
    <w:rsid w:val="7A2F69EB"/>
    <w:rsid w:val="7A4413F9"/>
    <w:rsid w:val="7A5711E4"/>
    <w:rsid w:val="7A822D65"/>
    <w:rsid w:val="7AEA0E27"/>
    <w:rsid w:val="7B455A6D"/>
    <w:rsid w:val="7B4E6BA2"/>
    <w:rsid w:val="7BAF6112"/>
    <w:rsid w:val="7BBE1FE9"/>
    <w:rsid w:val="7BEE5100"/>
    <w:rsid w:val="7C2F7BF3"/>
    <w:rsid w:val="7C4A702F"/>
    <w:rsid w:val="7C5A4544"/>
    <w:rsid w:val="7C674FA4"/>
    <w:rsid w:val="7C735E4E"/>
    <w:rsid w:val="7D071AF5"/>
    <w:rsid w:val="7D276B1C"/>
    <w:rsid w:val="7D394FD8"/>
    <w:rsid w:val="7D494CE4"/>
    <w:rsid w:val="7D7E7646"/>
    <w:rsid w:val="7DBA7B76"/>
    <w:rsid w:val="7DC26738"/>
    <w:rsid w:val="7E972C19"/>
    <w:rsid w:val="7EB32F71"/>
    <w:rsid w:val="7EBB2BFC"/>
    <w:rsid w:val="7EC64112"/>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7"/>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40"/>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3"/>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8"/>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4"/>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4"/>
    <w:autoRedefine/>
    <w:qFormat/>
    <w:uiPriority w:val="0"/>
    <w:pPr>
      <w:jc w:val="left"/>
    </w:pPr>
    <w:rPr>
      <w:rFonts w:ascii="Tahoma" w:hAnsi="Tahoma"/>
    </w:rPr>
  </w:style>
  <w:style w:type="paragraph" w:styleId="20">
    <w:name w:val="Salutation"/>
    <w:basedOn w:val="14"/>
    <w:next w:val="14"/>
    <w:link w:val="202"/>
    <w:autoRedefine/>
    <w:qFormat/>
    <w:uiPriority w:val="0"/>
    <w:rPr>
      <w:rFonts w:ascii="..ì." w:eastAsia="..ì." w:cs="Times New Roman"/>
      <w:color w:val="auto"/>
      <w:szCs w:val="20"/>
    </w:rPr>
  </w:style>
  <w:style w:type="paragraph" w:styleId="21">
    <w:name w:val="Body Text 3"/>
    <w:basedOn w:val="1"/>
    <w:link w:val="210"/>
    <w:autoRedefine/>
    <w:qFormat/>
    <w:uiPriority w:val="99"/>
    <w:pPr>
      <w:spacing w:after="120"/>
    </w:pPr>
    <w:rPr>
      <w:rFonts w:eastAsia="宋体"/>
      <w:sz w:val="16"/>
      <w:szCs w:val="16"/>
    </w:rPr>
  </w:style>
  <w:style w:type="paragraph" w:styleId="22">
    <w:name w:val="Body Text"/>
    <w:basedOn w:val="1"/>
    <w:next w:val="1"/>
    <w:link w:val="138"/>
    <w:autoRedefine/>
    <w:qFormat/>
    <w:uiPriority w:val="99"/>
    <w:pPr>
      <w:spacing w:line="360" w:lineRule="auto"/>
    </w:pPr>
    <w:rPr>
      <w:rFonts w:ascii="Tahoma" w:hAnsi="Tahoma"/>
    </w:rPr>
  </w:style>
  <w:style w:type="paragraph" w:styleId="23">
    <w:name w:val="Body Text Indent"/>
    <w:basedOn w:val="24"/>
    <w:next w:val="26"/>
    <w:link w:val="170"/>
    <w:autoRedefine/>
    <w:qFormat/>
    <w:uiPriority w:val="99"/>
    <w:pPr>
      <w:widowControl/>
      <w:spacing w:line="360" w:lineRule="auto"/>
      <w:ind w:firstLine="709"/>
      <w:jc w:val="left"/>
    </w:pPr>
    <w:rPr>
      <w:rFonts w:ascii="Tahoma" w:hAnsi="Tahoma"/>
    </w:rPr>
  </w:style>
  <w:style w:type="paragraph" w:customStyle="1" w:styleId="24">
    <w:name w:val="Normal_1"/>
    <w:next w:val="25"/>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5">
    <w:name w:val="Body Text First Indent 2"/>
    <w:basedOn w:val="23"/>
    <w:next w:val="1"/>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26">
    <w:name w:val="envelope return"/>
    <w:basedOn w:val="24"/>
    <w:qFormat/>
    <w:uiPriority w:val="0"/>
    <w:pPr>
      <w:snapToGrid w:val="0"/>
    </w:pPr>
    <w:rPr>
      <w:rFonts w:ascii="Arial" w:hAnsi="Arial" w:eastAsia="宋体" w:cs="Times New Roman"/>
    </w:rPr>
  </w:style>
  <w:style w:type="paragraph" w:styleId="27">
    <w:name w:val="List 2"/>
    <w:basedOn w:val="1"/>
    <w:qFormat/>
    <w:uiPriority w:val="0"/>
    <w:pPr>
      <w:ind w:left="100" w:leftChars="200" w:hanging="200" w:hangingChars="200"/>
    </w:pPr>
  </w:style>
  <w:style w:type="paragraph" w:styleId="28">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9">
    <w:name w:val="List Bullet 2"/>
    <w:basedOn w:val="1"/>
    <w:autoRedefine/>
    <w:qFormat/>
    <w:uiPriority w:val="0"/>
    <w:pPr>
      <w:numPr>
        <w:ilvl w:val="1"/>
        <w:numId w:val="1"/>
      </w:numPr>
      <w:spacing w:line="360" w:lineRule="auto"/>
    </w:pPr>
    <w:rPr>
      <w:sz w:val="24"/>
      <w:szCs w:val="28"/>
    </w:rPr>
  </w:style>
  <w:style w:type="paragraph" w:styleId="30">
    <w:name w:val="toc 5"/>
    <w:basedOn w:val="1"/>
    <w:next w:val="1"/>
    <w:autoRedefine/>
    <w:qFormat/>
    <w:uiPriority w:val="39"/>
    <w:pPr>
      <w:spacing w:line="440" w:lineRule="exact"/>
      <w:ind w:left="1120"/>
      <w:jc w:val="left"/>
    </w:pPr>
    <w:rPr>
      <w:rFonts w:ascii="Calibri" w:hAnsi="Calibri"/>
      <w:sz w:val="18"/>
      <w:szCs w:val="18"/>
    </w:rPr>
  </w:style>
  <w:style w:type="paragraph" w:styleId="31">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2">
    <w:name w:val="Plain Text"/>
    <w:basedOn w:val="1"/>
    <w:next w:val="1"/>
    <w:link w:val="224"/>
    <w:autoRedefine/>
    <w:qFormat/>
    <w:uiPriority w:val="0"/>
    <w:pPr>
      <w:spacing w:line="360" w:lineRule="auto"/>
    </w:pPr>
    <w:rPr>
      <w:rFonts w:ascii="宋体" w:hAnsi="Courier New"/>
      <w:szCs w:val="21"/>
    </w:rPr>
  </w:style>
  <w:style w:type="paragraph" w:styleId="33">
    <w:name w:val="toc 8"/>
    <w:basedOn w:val="1"/>
    <w:next w:val="1"/>
    <w:autoRedefine/>
    <w:qFormat/>
    <w:uiPriority w:val="39"/>
    <w:pPr>
      <w:spacing w:line="440" w:lineRule="exact"/>
      <w:ind w:left="1960"/>
      <w:jc w:val="left"/>
    </w:pPr>
    <w:rPr>
      <w:rFonts w:ascii="Calibri" w:hAnsi="Calibri"/>
      <w:sz w:val="18"/>
      <w:szCs w:val="18"/>
    </w:rPr>
  </w:style>
  <w:style w:type="paragraph" w:styleId="34">
    <w:name w:val="Date"/>
    <w:basedOn w:val="1"/>
    <w:next w:val="1"/>
    <w:link w:val="200"/>
    <w:autoRedefine/>
    <w:qFormat/>
    <w:uiPriority w:val="99"/>
    <w:pPr>
      <w:spacing w:line="360" w:lineRule="auto"/>
      <w:ind w:left="2500" w:leftChars="2500"/>
    </w:pPr>
    <w:rPr>
      <w:rFonts w:ascii="Tahoma" w:hAnsi="Tahoma"/>
    </w:rPr>
  </w:style>
  <w:style w:type="paragraph" w:styleId="35">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6">
    <w:name w:val="Balloon Text"/>
    <w:basedOn w:val="1"/>
    <w:link w:val="100"/>
    <w:autoRedefine/>
    <w:qFormat/>
    <w:uiPriority w:val="0"/>
    <w:rPr>
      <w:sz w:val="18"/>
      <w:szCs w:val="18"/>
    </w:rPr>
  </w:style>
  <w:style w:type="paragraph" w:styleId="37">
    <w:name w:val="footer"/>
    <w:basedOn w:val="1"/>
    <w:next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8">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9">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40">
    <w:name w:val="toc 4"/>
    <w:basedOn w:val="1"/>
    <w:next w:val="1"/>
    <w:autoRedefine/>
    <w:qFormat/>
    <w:uiPriority w:val="39"/>
    <w:pPr>
      <w:spacing w:line="440" w:lineRule="exact"/>
      <w:ind w:left="840"/>
      <w:jc w:val="left"/>
    </w:pPr>
    <w:rPr>
      <w:rFonts w:ascii="Calibri" w:hAnsi="Calibri"/>
      <w:sz w:val="18"/>
      <w:szCs w:val="18"/>
    </w:rPr>
  </w:style>
  <w:style w:type="paragraph" w:styleId="41">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42">
    <w:name w:val="toc 6"/>
    <w:basedOn w:val="1"/>
    <w:next w:val="1"/>
    <w:autoRedefine/>
    <w:qFormat/>
    <w:uiPriority w:val="39"/>
    <w:pPr>
      <w:spacing w:line="440" w:lineRule="exact"/>
      <w:ind w:left="1400"/>
      <w:jc w:val="left"/>
    </w:pPr>
    <w:rPr>
      <w:rFonts w:ascii="Calibri" w:hAnsi="Calibri"/>
      <w:sz w:val="18"/>
      <w:szCs w:val="18"/>
    </w:rPr>
  </w:style>
  <w:style w:type="paragraph" w:styleId="43">
    <w:name w:val="Body Text Indent 3"/>
    <w:basedOn w:val="1"/>
    <w:link w:val="213"/>
    <w:autoRedefine/>
    <w:qFormat/>
    <w:uiPriority w:val="99"/>
    <w:pPr>
      <w:spacing w:after="120"/>
      <w:ind w:left="420" w:leftChars="200"/>
    </w:pPr>
    <w:rPr>
      <w:sz w:val="16"/>
      <w:szCs w:val="16"/>
    </w:rPr>
  </w:style>
  <w:style w:type="paragraph" w:styleId="44">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5">
    <w:name w:val="toc 9"/>
    <w:basedOn w:val="1"/>
    <w:next w:val="1"/>
    <w:autoRedefine/>
    <w:qFormat/>
    <w:uiPriority w:val="39"/>
    <w:pPr>
      <w:spacing w:line="440" w:lineRule="exact"/>
      <w:ind w:left="2240"/>
      <w:jc w:val="left"/>
    </w:pPr>
    <w:rPr>
      <w:rFonts w:ascii="Calibri" w:hAnsi="Calibri"/>
      <w:sz w:val="18"/>
      <w:szCs w:val="18"/>
    </w:rPr>
  </w:style>
  <w:style w:type="paragraph" w:styleId="46">
    <w:name w:val="Body Text 2"/>
    <w:basedOn w:val="1"/>
    <w:link w:val="172"/>
    <w:autoRedefine/>
    <w:qFormat/>
    <w:uiPriority w:val="99"/>
    <w:pPr>
      <w:spacing w:line="360" w:lineRule="auto"/>
      <w:ind w:right="26"/>
    </w:pPr>
    <w:rPr>
      <w:rFonts w:ascii="宋体" w:eastAsia="宋体"/>
      <w:szCs w:val="20"/>
    </w:rPr>
  </w:style>
  <w:style w:type="paragraph" w:styleId="4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qFormat/>
    <w:uiPriority w:val="99"/>
    <w:pPr>
      <w:spacing w:line="220" w:lineRule="exact"/>
      <w:jc w:val="center"/>
    </w:pPr>
    <w:rPr>
      <w:rFonts w:ascii="仿宋_GB2312" w:eastAsia="仿宋_GB2312"/>
      <w:szCs w:val="21"/>
    </w:rPr>
  </w:style>
  <w:style w:type="paragraph" w:styleId="50">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51">
    <w:name w:val="annotation subject"/>
    <w:basedOn w:val="19"/>
    <w:next w:val="19"/>
    <w:link w:val="132"/>
    <w:autoRedefine/>
    <w:unhideWhenUsed/>
    <w:qFormat/>
    <w:uiPriority w:val="99"/>
    <w:pPr>
      <w:spacing w:line="440" w:lineRule="exact"/>
    </w:pPr>
    <w:rPr>
      <w:b/>
      <w:bCs/>
      <w:sz w:val="24"/>
      <w:szCs w:val="28"/>
    </w:rPr>
  </w:style>
  <w:style w:type="paragraph" w:styleId="52">
    <w:name w:val="Body Text First Indent"/>
    <w:basedOn w:val="22"/>
    <w:next w:val="42"/>
    <w:link w:val="135"/>
    <w:autoRedefine/>
    <w:qFormat/>
    <w:uiPriority w:val="0"/>
    <w:pPr>
      <w:spacing w:after="120" w:line="240" w:lineRule="auto"/>
      <w:ind w:firstLine="100" w:firstLineChars="100"/>
    </w:pPr>
  </w:style>
  <w:style w:type="table" w:styleId="54">
    <w:name w:val="Table Grid"/>
    <w:basedOn w:val="5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0"/>
  </w:style>
  <w:style w:type="character" w:styleId="57">
    <w:name w:val="page number"/>
    <w:basedOn w:val="55"/>
    <w:autoRedefine/>
    <w:qFormat/>
    <w:uiPriority w:val="99"/>
  </w:style>
  <w:style w:type="character" w:styleId="58">
    <w:name w:val="FollowedHyperlink"/>
    <w:autoRedefine/>
    <w:unhideWhenUsed/>
    <w:qFormat/>
    <w:uiPriority w:val="99"/>
    <w:rPr>
      <w:color w:val="954F72"/>
      <w:u w:val="single"/>
    </w:rPr>
  </w:style>
  <w:style w:type="character" w:styleId="59">
    <w:name w:val="Emphasis"/>
    <w:autoRedefine/>
    <w:qFormat/>
    <w:uiPriority w:val="0"/>
    <w:rPr>
      <w:i/>
      <w:iCs/>
    </w:rPr>
  </w:style>
  <w:style w:type="character" w:styleId="60">
    <w:name w:val="HTML Definition"/>
    <w:autoRedefine/>
    <w:unhideWhenUsed/>
    <w:qFormat/>
    <w:uiPriority w:val="0"/>
  </w:style>
  <w:style w:type="character" w:styleId="61">
    <w:name w:val="HTML Variable"/>
    <w:autoRedefine/>
    <w:unhideWhenUsed/>
    <w:qFormat/>
    <w:uiPriority w:val="0"/>
  </w:style>
  <w:style w:type="character" w:styleId="62">
    <w:name w:val="Hyperlink"/>
    <w:autoRedefine/>
    <w:qFormat/>
    <w:uiPriority w:val="99"/>
    <w:rPr>
      <w:rFonts w:hint="eastAsia" w:ascii="宋体" w:hAnsi="宋体" w:eastAsia="宋体" w:cs="宋体"/>
      <w:color w:val="004A85"/>
      <w:sz w:val="12"/>
      <w:szCs w:val="12"/>
      <w:u w:val="single"/>
    </w:rPr>
  </w:style>
  <w:style w:type="character" w:styleId="63">
    <w:name w:val="HTML Code"/>
    <w:autoRedefine/>
    <w:unhideWhenUsed/>
    <w:qFormat/>
    <w:uiPriority w:val="0"/>
    <w:rPr>
      <w:rFonts w:ascii="Courier New" w:hAnsi="Courier New"/>
      <w:sz w:val="20"/>
    </w:rPr>
  </w:style>
  <w:style w:type="character" w:styleId="64">
    <w:name w:val="annotation reference"/>
    <w:autoRedefine/>
    <w:qFormat/>
    <w:uiPriority w:val="99"/>
    <w:rPr>
      <w:sz w:val="21"/>
      <w:szCs w:val="21"/>
    </w:rPr>
  </w:style>
  <w:style w:type="character" w:styleId="65">
    <w:name w:val="HTML Cite"/>
    <w:autoRedefine/>
    <w:unhideWhenUsed/>
    <w:qFormat/>
    <w:uiPriority w:val="0"/>
  </w:style>
  <w:style w:type="paragraph" w:customStyle="1" w:styleId="66">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7">
    <w:name w:val="样式1"/>
    <w:basedOn w:val="1"/>
    <w:next w:val="5"/>
    <w:autoRedefine/>
    <w:qFormat/>
    <w:uiPriority w:val="99"/>
    <w:rPr>
      <w:rFonts w:eastAsia="宋体"/>
      <w:sz w:val="24"/>
      <w:szCs w:val="20"/>
    </w:r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4"/>
    <w:autoRedefine/>
    <w:qFormat/>
    <w:uiPriority w:val="0"/>
    <w:pPr>
      <w:ind w:firstLine="420"/>
    </w:pPr>
    <w:rPr>
      <w:sz w:val="21"/>
      <w:szCs w:val="21"/>
    </w:rPr>
  </w:style>
  <w:style w:type="paragraph" w:customStyle="1" w:styleId="82">
    <w:name w:val="标题2"/>
    <w:basedOn w:val="3"/>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2"/>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字符"/>
    <w:link w:val="15"/>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字符"/>
    <w:link w:val="36"/>
    <w:autoRedefine/>
    <w:qFormat/>
    <w:uiPriority w:val="0"/>
    <w:rPr>
      <w:kern w:val="2"/>
      <w:sz w:val="18"/>
      <w:szCs w:val="18"/>
    </w:rPr>
  </w:style>
  <w:style w:type="character" w:customStyle="1" w:styleId="101">
    <w:name w:val="refresh"/>
    <w:basedOn w:val="55"/>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5"/>
    <w:autoRedefine/>
    <w:qFormat/>
    <w:uiPriority w:val="0"/>
  </w:style>
  <w:style w:type="character" w:customStyle="1" w:styleId="104">
    <w:name w:val="批注文字 字符"/>
    <w:link w:val="19"/>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字符"/>
    <w:link w:val="7"/>
    <w:autoRedefine/>
    <w:qFormat/>
    <w:uiPriority w:val="99"/>
    <w:rPr>
      <w:b/>
      <w:bCs/>
      <w:kern w:val="2"/>
      <w:sz w:val="24"/>
      <w:szCs w:val="28"/>
    </w:rPr>
  </w:style>
  <w:style w:type="character" w:customStyle="1" w:styleId="107">
    <w:name w:val="标题 2 字符"/>
    <w:link w:val="3"/>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5"/>
    <w:autoRedefine/>
    <w:qFormat/>
    <w:uiPriority w:val="0"/>
  </w:style>
  <w:style w:type="character" w:customStyle="1" w:styleId="112">
    <w:name w:val="标题 8 字符"/>
    <w:link w:val="10"/>
    <w:autoRedefine/>
    <w:qFormat/>
    <w:uiPriority w:val="99"/>
    <w:rPr>
      <w:rFonts w:ascii="Arial" w:hAnsi="Arial" w:eastAsia="黑体"/>
      <w:kern w:val="2"/>
      <w:sz w:val="24"/>
      <w:szCs w:val="28"/>
    </w:rPr>
  </w:style>
  <w:style w:type="character" w:customStyle="1" w:styleId="113">
    <w:name w:val="open2"/>
    <w:basedOn w:val="55"/>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5"/>
    <w:autoRedefine/>
    <w:qFormat/>
    <w:uiPriority w:val="0"/>
  </w:style>
  <w:style w:type="character" w:customStyle="1" w:styleId="116">
    <w:name w:val="del2"/>
    <w:basedOn w:val="55"/>
    <w:autoRedefine/>
    <w:qFormat/>
    <w:uiPriority w:val="0"/>
  </w:style>
  <w:style w:type="character" w:customStyle="1" w:styleId="117">
    <w:name w:val="标题 3 字符"/>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5"/>
    <w:autoRedefine/>
    <w:qFormat/>
    <w:uiPriority w:val="0"/>
  </w:style>
  <w:style w:type="character" w:customStyle="1" w:styleId="120">
    <w:name w:val="morewin"/>
    <w:basedOn w:val="55"/>
    <w:autoRedefine/>
    <w:qFormat/>
    <w:uiPriority w:val="0"/>
  </w:style>
  <w:style w:type="character" w:customStyle="1" w:styleId="121">
    <w:name w:val="open"/>
    <w:basedOn w:val="55"/>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字符"/>
    <w:link w:val="2"/>
    <w:autoRedefine/>
    <w:qFormat/>
    <w:uiPriority w:val="99"/>
    <w:rPr>
      <w:rFonts w:ascii="Tahoma" w:hAnsi="Tahoma"/>
      <w:b/>
      <w:bCs/>
      <w:kern w:val="44"/>
      <w:sz w:val="24"/>
      <w:szCs w:val="44"/>
    </w:rPr>
  </w:style>
  <w:style w:type="character" w:customStyle="1" w:styleId="126">
    <w:name w:val="页眉 字符"/>
    <w:link w:val="38"/>
    <w:autoRedefine/>
    <w:qFormat/>
    <w:uiPriority w:val="99"/>
    <w:rPr>
      <w:rFonts w:ascii="Tahoma" w:hAnsi="Tahoma"/>
      <w:kern w:val="2"/>
      <w:sz w:val="18"/>
      <w:szCs w:val="18"/>
    </w:rPr>
  </w:style>
  <w:style w:type="character" w:customStyle="1" w:styleId="127">
    <w:name w:val="标题 7 字符"/>
    <w:link w:val="9"/>
    <w:autoRedefine/>
    <w:qFormat/>
    <w:uiPriority w:val="99"/>
    <w:rPr>
      <w:b/>
      <w:bCs/>
      <w:kern w:val="2"/>
      <w:sz w:val="24"/>
      <w:szCs w:val="28"/>
    </w:rPr>
  </w:style>
  <w:style w:type="character" w:customStyle="1" w:styleId="128">
    <w:name w:val="标题 字符"/>
    <w:link w:val="50"/>
    <w:autoRedefine/>
    <w:qFormat/>
    <w:uiPriority w:val="0"/>
    <w:rPr>
      <w:rFonts w:ascii="Cambria" w:hAnsi="Cambria"/>
      <w:b/>
      <w:bCs/>
      <w:kern w:val="2"/>
      <w:sz w:val="32"/>
      <w:szCs w:val="32"/>
    </w:rPr>
  </w:style>
  <w:style w:type="character" w:customStyle="1" w:styleId="129">
    <w:name w:val="标题 9 字符"/>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5"/>
    <w:autoRedefine/>
    <w:qFormat/>
    <w:uiPriority w:val="0"/>
  </w:style>
  <w:style w:type="character" w:customStyle="1" w:styleId="132">
    <w:name w:val="批注主题 字符"/>
    <w:link w:val="51"/>
    <w:autoRedefine/>
    <w:qFormat/>
    <w:uiPriority w:val="99"/>
    <w:rPr>
      <w:rFonts w:ascii="Tahoma" w:hAnsi="Tahoma"/>
      <w:b/>
      <w:bCs/>
      <w:kern w:val="2"/>
      <w:sz w:val="24"/>
      <w:szCs w:val="28"/>
    </w:rPr>
  </w:style>
  <w:style w:type="character" w:customStyle="1" w:styleId="133">
    <w:name w:val="pagebanner"/>
    <w:basedOn w:val="55"/>
    <w:autoRedefine/>
    <w:qFormat/>
    <w:uiPriority w:val="0"/>
  </w:style>
  <w:style w:type="character" w:customStyle="1" w:styleId="134">
    <w:name w:val="文档结构图 字符"/>
    <w:link w:val="17"/>
    <w:autoRedefine/>
    <w:qFormat/>
    <w:uiPriority w:val="99"/>
    <w:rPr>
      <w:rFonts w:ascii="宋体"/>
      <w:kern w:val="2"/>
      <w:sz w:val="18"/>
      <w:szCs w:val="18"/>
    </w:rPr>
  </w:style>
  <w:style w:type="character" w:customStyle="1" w:styleId="135">
    <w:name w:val="正文首行缩进 字符"/>
    <w:link w:val="52"/>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字符"/>
    <w:link w:val="8"/>
    <w:autoRedefine/>
    <w:qFormat/>
    <w:uiPriority w:val="99"/>
    <w:rPr>
      <w:rFonts w:ascii="Arial" w:hAnsi="Arial" w:eastAsia="黑体"/>
      <w:b/>
      <w:bCs/>
      <w:kern w:val="2"/>
      <w:sz w:val="24"/>
      <w:szCs w:val="28"/>
    </w:rPr>
  </w:style>
  <w:style w:type="character" w:customStyle="1" w:styleId="138">
    <w:name w:val="正文文本 字符1"/>
    <w:link w:val="22"/>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4"/>
    <w:autoRedefine/>
    <w:qFormat/>
    <w:uiPriority w:val="0"/>
    <w:rPr>
      <w:kern w:val="2"/>
      <w:sz w:val="24"/>
    </w:rPr>
  </w:style>
  <w:style w:type="character" w:customStyle="1" w:styleId="141">
    <w:name w:val="页脚 字符"/>
    <w:link w:val="37"/>
    <w:autoRedefine/>
    <w:qFormat/>
    <w:uiPriority w:val="99"/>
    <w:rPr>
      <w:rFonts w:ascii="Tahoma" w:hAnsi="Tahoma"/>
      <w:kern w:val="2"/>
      <w:sz w:val="18"/>
      <w:szCs w:val="18"/>
    </w:rPr>
  </w:style>
  <w:style w:type="character" w:customStyle="1" w:styleId="142">
    <w:name w:val="mod"/>
    <w:basedOn w:val="55"/>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字符"/>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5"/>
    <w:autoRedefine/>
    <w:qFormat/>
    <w:uiPriority w:val="0"/>
    <w:rPr>
      <w:color w:val="BA2636"/>
      <w:sz w:val="12"/>
      <w:szCs w:val="12"/>
    </w:rPr>
  </w:style>
  <w:style w:type="character" w:customStyle="1" w:styleId="147">
    <w:name w:val="gjfg"/>
    <w:basedOn w:val="55"/>
    <w:autoRedefine/>
    <w:qFormat/>
    <w:uiPriority w:val="0"/>
  </w:style>
  <w:style w:type="character" w:customStyle="1" w:styleId="148">
    <w:name w:val="redfilenumber"/>
    <w:basedOn w:val="55"/>
    <w:autoRedefine/>
    <w:qFormat/>
    <w:uiPriority w:val="0"/>
    <w:rPr>
      <w:color w:val="BA2636"/>
      <w:sz w:val="12"/>
      <w:szCs w:val="12"/>
    </w:rPr>
  </w:style>
  <w:style w:type="character" w:customStyle="1" w:styleId="149">
    <w:name w:val="qxdate"/>
    <w:basedOn w:val="55"/>
    <w:autoRedefine/>
    <w:qFormat/>
    <w:uiPriority w:val="0"/>
    <w:rPr>
      <w:color w:val="333333"/>
      <w:sz w:val="12"/>
      <w:szCs w:val="12"/>
    </w:rPr>
  </w:style>
  <w:style w:type="character" w:customStyle="1" w:styleId="150">
    <w:name w:val="prev"/>
    <w:basedOn w:val="55"/>
    <w:autoRedefine/>
    <w:qFormat/>
    <w:uiPriority w:val="0"/>
    <w:rPr>
      <w:rFonts w:ascii="微软雅黑" w:hAnsi="微软雅黑" w:eastAsia="微软雅黑" w:cs="微软雅黑"/>
      <w:sz w:val="14"/>
      <w:szCs w:val="14"/>
    </w:rPr>
  </w:style>
  <w:style w:type="character" w:customStyle="1" w:styleId="151">
    <w:name w:val="cfdate"/>
    <w:basedOn w:val="55"/>
    <w:autoRedefine/>
    <w:qFormat/>
    <w:uiPriority w:val="0"/>
    <w:rPr>
      <w:color w:val="333333"/>
      <w:sz w:val="12"/>
      <w:szCs w:val="12"/>
    </w:rPr>
  </w:style>
  <w:style w:type="character" w:customStyle="1" w:styleId="152">
    <w:name w:val="displayarti"/>
    <w:basedOn w:val="55"/>
    <w:autoRedefine/>
    <w:qFormat/>
    <w:uiPriority w:val="0"/>
    <w:rPr>
      <w:color w:val="FFFFFF"/>
      <w:shd w:val="clear" w:color="auto" w:fill="A00000"/>
    </w:rPr>
  </w:style>
  <w:style w:type="character" w:customStyle="1" w:styleId="153">
    <w:name w:val="next2"/>
    <w:basedOn w:val="55"/>
    <w:autoRedefine/>
    <w:qFormat/>
    <w:uiPriority w:val="0"/>
    <w:rPr>
      <w:rFonts w:hint="eastAsia" w:ascii="微软雅黑" w:hAnsi="微软雅黑" w:eastAsia="微软雅黑" w:cs="微软雅黑"/>
      <w:sz w:val="14"/>
      <w:szCs w:val="14"/>
    </w:rPr>
  </w:style>
  <w:style w:type="character" w:customStyle="1" w:styleId="154">
    <w:name w:val="next3"/>
    <w:basedOn w:val="55"/>
    <w:autoRedefine/>
    <w:qFormat/>
    <w:uiPriority w:val="0"/>
    <w:rPr>
      <w:color w:val="888888"/>
    </w:rPr>
  </w:style>
  <w:style w:type="character" w:customStyle="1" w:styleId="155">
    <w:name w:val="next"/>
    <w:basedOn w:val="55"/>
    <w:autoRedefine/>
    <w:qFormat/>
    <w:uiPriority w:val="0"/>
    <w:rPr>
      <w:rFonts w:ascii="微软雅黑" w:hAnsi="微软雅黑" w:eastAsia="微软雅黑" w:cs="微软雅黑"/>
      <w:sz w:val="14"/>
      <w:szCs w:val="14"/>
    </w:rPr>
  </w:style>
  <w:style w:type="character" w:customStyle="1" w:styleId="156">
    <w:name w:val="prev1"/>
    <w:basedOn w:val="55"/>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5"/>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5"/>
    <w:link w:val="35"/>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5"/>
    <w:link w:val="23"/>
    <w:autoRedefine/>
    <w:qFormat/>
    <w:uiPriority w:val="99"/>
    <w:rPr>
      <w:rFonts w:ascii="Tahoma" w:hAnsi="Tahoma" w:eastAsia="Arial Unicode MS" w:cs="Times New Roman"/>
      <w:kern w:val="2"/>
      <w:sz w:val="21"/>
      <w:szCs w:val="24"/>
    </w:rPr>
  </w:style>
  <w:style w:type="character" w:customStyle="1" w:styleId="171">
    <w:name w:val="正文首行缩进 2 字符"/>
    <w:basedOn w:val="170"/>
    <w:link w:val="25"/>
    <w:autoRedefine/>
    <w:qFormat/>
    <w:uiPriority w:val="0"/>
    <w:rPr>
      <w:rFonts w:ascii="Times New Roman" w:hAnsi="Times New Roman" w:eastAsia="宋体" w:cs="Times New Roman"/>
      <w:kern w:val="2"/>
      <w:sz w:val="21"/>
      <w:szCs w:val="24"/>
    </w:rPr>
  </w:style>
  <w:style w:type="character" w:customStyle="1" w:styleId="172">
    <w:name w:val="正文文本 2 字符"/>
    <w:basedOn w:val="55"/>
    <w:link w:val="46"/>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4"/>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5"/>
    <w:link w:val="20"/>
    <w:autoRedefine/>
    <w:qFormat/>
    <w:uiPriority w:val="0"/>
    <w:rPr>
      <w:rFonts w:ascii="..ì." w:hAnsi="Times New Roman" w:eastAsia="..ì." w:cs="Times New Roman"/>
      <w:sz w:val="24"/>
    </w:rPr>
  </w:style>
  <w:style w:type="character" w:customStyle="1" w:styleId="203">
    <w:name w:val="注释标题 字符"/>
    <w:basedOn w:val="55"/>
    <w:link w:val="13"/>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1"/>
    <w:autoRedefine/>
    <w:qFormat/>
    <w:uiPriority w:val="99"/>
    <w:rPr>
      <w:rFonts w:ascii="宋体" w:eastAsia="宋体"/>
      <w:sz w:val="24"/>
      <w:szCs w:val="20"/>
    </w:rPr>
  </w:style>
  <w:style w:type="character" w:customStyle="1" w:styleId="210">
    <w:name w:val="正文文本 3 字符"/>
    <w:basedOn w:val="55"/>
    <w:link w:val="21"/>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字符"/>
    <w:link w:val="43"/>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32"/>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next w:val="2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字符"/>
    <w:basedOn w:val="55"/>
    <w:link w:val="47"/>
    <w:autoRedefine/>
    <w:qFormat/>
    <w:uiPriority w:val="0"/>
    <w:rPr>
      <w:rFonts w:ascii="黑体" w:hAnsi="Courier New" w:eastAsia="黑体"/>
    </w:rPr>
  </w:style>
  <w:style w:type="paragraph" w:customStyle="1" w:styleId="300">
    <w:name w:val="Table Text"/>
    <w:basedOn w:val="1"/>
    <w:autoRedefine/>
    <w:semiHidden/>
    <w:qFormat/>
    <w:uiPriority w:val="0"/>
    <w:rPr>
      <w:rFonts w:ascii="宋体" w:hAnsi="宋体" w:eastAsia="宋体" w:cs="宋体"/>
      <w:sz w:val="24"/>
      <w:szCs w:val="24"/>
      <w:lang w:val="en-US" w:eastAsia="en-US" w:bidi="ar-SA"/>
    </w:rPr>
  </w:style>
  <w:style w:type="table" w:customStyle="1" w:styleId="301">
    <w:name w:val="Table Normal"/>
    <w:autoRedefine/>
    <w:semiHidden/>
    <w:unhideWhenUsed/>
    <w:qFormat/>
    <w:uiPriority w:val="0"/>
    <w:tblPr>
      <w:tblCellMar>
        <w:top w:w="0" w:type="dxa"/>
        <w:left w:w="0" w:type="dxa"/>
        <w:bottom w:w="0" w:type="dxa"/>
        <w:right w:w="0" w:type="dxa"/>
      </w:tblCellMar>
    </w:tblPr>
  </w:style>
  <w:style w:type="character" w:customStyle="1" w:styleId="302">
    <w:name w:val="NormalCharacter"/>
    <w:qFormat/>
    <w:uiPriority w:val="0"/>
    <w:rPr>
      <w:kern w:val="2"/>
      <w:sz w:val="21"/>
      <w:lang w:val="en-US" w:eastAsia="zh-CN" w:bidi="ar-SA"/>
    </w:rPr>
  </w:style>
  <w:style w:type="paragraph" w:customStyle="1" w:styleId="303">
    <w:name w:val="首行缩进"/>
    <w:basedOn w:val="289"/>
    <w:next w:val="32"/>
    <w:qFormat/>
    <w:uiPriority w:val="0"/>
    <w:pPr>
      <w:spacing w:line="360" w:lineRule="auto"/>
      <w:ind w:firstLine="480" w:firstLineChars="200"/>
    </w:pPr>
    <w:rPr>
      <w:rFonts w:ascii="宋体" w:hAnsi="宋体" w:cs="宋体"/>
      <w:kern w:val="0"/>
      <w:sz w:val="24"/>
    </w:rPr>
  </w:style>
  <w:style w:type="paragraph" w:customStyle="1" w:styleId="30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18907</Words>
  <Characters>20764</Characters>
  <Lines>287</Lines>
  <Paragraphs>80</Paragraphs>
  <TotalTime>5</TotalTime>
  <ScaleCrop>false</ScaleCrop>
  <LinksUpToDate>false</LinksUpToDate>
  <CharactersWithSpaces>21455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HP</cp:lastModifiedBy>
  <cp:lastPrinted>2021-01-08T03:14:00Z</cp:lastPrinted>
  <dcterms:modified xsi:type="dcterms:W3CDTF">2025-05-26T06:49:58Z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218699DD5EA74A19B8394C5351A72D8D</vt:lpwstr>
  </property>
  <property fmtid="{D5CDD505-2E9C-101B-9397-08002B2CF9AE}" pid="4" name="KSOTemplateDocerSaveRecord">
    <vt:lpwstr>eyJoZGlkIjoiMTQ0YmQwN2I3NGY0M2E1MjAzZTc3YTU4MWNiOTQyMWMiLCJ1c2VySWQiOiI2NDIyMjE1OTUifQ==</vt:lpwstr>
  </property>
</Properties>
</file>