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 w:hAnsi="仿宋" w:eastAsia="仿宋"/>
          <w:b/>
          <w:sz w:val="32"/>
          <w:szCs w:val="32"/>
        </w:rPr>
      </w:pPr>
      <w:r>
        <w:rPr>
          <w:rFonts w:hint="eastAsia" w:ascii="仿宋" w:hAnsi="仿宋" w:eastAsia="仿宋"/>
          <w:b/>
          <w:sz w:val="32"/>
          <w:szCs w:val="32"/>
        </w:rPr>
        <w:t>档案寄存服务政府采购需求（服务类）</w:t>
      </w:r>
    </w:p>
    <w:p>
      <w:pPr>
        <w:widowControl/>
      </w:pPr>
      <w:r>
        <w:rPr>
          <w:rFonts w:hint="eastAsia" w:ascii="仿宋" w:hAnsi="仿宋" w:eastAsia="仿宋"/>
          <w:b/>
          <w:sz w:val="32"/>
          <w:szCs w:val="32"/>
        </w:rPr>
        <w:t>（合同包1）历史档案寄存</w:t>
      </w:r>
    </w:p>
    <w:tbl>
      <w:tblPr>
        <w:tblStyle w:val="8"/>
        <w:tblW w:w="9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pPr>
              <w:pStyle w:val="11"/>
              <w:ind w:left="38"/>
              <w:jc w:val="center"/>
              <w:rPr>
                <w:b/>
                <w:kern w:val="2"/>
                <w:lang w:val="zh-CN"/>
              </w:rPr>
            </w:pPr>
            <w:r>
              <w:rPr>
                <w:rFonts w:hint="eastAsia"/>
                <w:b/>
                <w:kern w:val="2"/>
                <w:sz w:val="28"/>
                <w:szCs w:val="28"/>
                <w:lang w:val="zh-CN"/>
              </w:rPr>
              <w:t>关键事项</w:t>
            </w:r>
          </w:p>
        </w:tc>
        <w:tc>
          <w:tcPr>
            <w:tcW w:w="7067" w:type="dxa"/>
            <w:vAlign w:val="center"/>
          </w:tcPr>
          <w:p>
            <w:pPr>
              <w:pStyle w:val="11"/>
              <w:jc w:val="center"/>
              <w:rPr>
                <w:b/>
                <w:kern w:val="2"/>
                <w:lang w:val="zh-CN"/>
              </w:rPr>
            </w:pPr>
            <w:r>
              <w:rPr>
                <w:rFonts w:hint="eastAsia"/>
                <w:b/>
                <w:kern w:val="2"/>
                <w:sz w:val="28"/>
                <w:szCs w:val="28"/>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pPr>
              <w:pStyle w:val="11"/>
              <w:ind w:left="38"/>
              <w:jc w:val="center"/>
              <w:rPr>
                <w:kern w:val="2"/>
                <w:lang w:val="zh-CN"/>
              </w:rPr>
            </w:pPr>
            <w:r>
              <w:rPr>
                <w:rFonts w:hint="eastAsia"/>
                <w:kern w:val="2"/>
                <w:lang w:val="zh-CN"/>
              </w:rPr>
              <w:t>采购预算</w:t>
            </w:r>
          </w:p>
        </w:tc>
        <w:tc>
          <w:tcPr>
            <w:tcW w:w="7067" w:type="dxa"/>
            <w:vAlign w:val="center"/>
          </w:tcPr>
          <w:p>
            <w:pPr>
              <w:pStyle w:val="11"/>
              <w:jc w:val="both"/>
              <w:rPr>
                <w:b/>
                <w:kern w:val="2"/>
                <w:lang w:val="zh-CN"/>
              </w:rPr>
            </w:pPr>
            <w:r>
              <w:rPr>
                <w:rFonts w:hint="eastAsia"/>
                <w:b/>
                <w:kern w:val="2"/>
                <w:lang w:val="zh-CN"/>
              </w:rPr>
              <w:t>人民币</w:t>
            </w:r>
            <w:r>
              <w:rPr>
                <w:rFonts w:hint="eastAsia"/>
                <w:b/>
                <w:kern w:val="2"/>
                <w:u w:val="single"/>
              </w:rPr>
              <w:t xml:space="preserve"> 930000 </w:t>
            </w:r>
            <w:r>
              <w:rPr>
                <w:rFonts w:hint="eastAsia"/>
                <w:b/>
                <w:kern w:val="2"/>
                <w:lang w:val="zh-CN"/>
              </w:rPr>
              <w:t>元</w:t>
            </w:r>
          </w:p>
          <w:p>
            <w:pPr>
              <w:pStyle w:val="11"/>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pPr>
              <w:pStyle w:val="11"/>
              <w:ind w:left="38"/>
              <w:jc w:val="center"/>
              <w:rPr>
                <w:kern w:val="2"/>
                <w:lang w:val="zh-CN"/>
              </w:rPr>
            </w:pPr>
            <w:r>
              <w:rPr>
                <w:rFonts w:hint="eastAsia"/>
                <w:kern w:val="2"/>
                <w:lang w:val="zh-CN"/>
              </w:rPr>
              <w:t>最高限价</w:t>
            </w:r>
          </w:p>
        </w:tc>
        <w:tc>
          <w:tcPr>
            <w:tcW w:w="7067" w:type="dxa"/>
            <w:vAlign w:val="center"/>
          </w:tcPr>
          <w:p>
            <w:pPr>
              <w:pStyle w:val="11"/>
              <w:jc w:val="both"/>
              <w:rPr>
                <w:b/>
                <w:kern w:val="2"/>
                <w:lang w:val="zh-CN"/>
              </w:rPr>
            </w:pPr>
            <w:r>
              <w:rPr>
                <w:rFonts w:hint="eastAsia"/>
                <w:b/>
                <w:kern w:val="2"/>
                <w:lang w:val="zh-CN"/>
              </w:rPr>
              <w:t>人民币</w:t>
            </w:r>
            <w:r>
              <w:rPr>
                <w:rFonts w:hint="eastAsia"/>
                <w:b/>
                <w:kern w:val="2"/>
                <w:u w:val="single"/>
              </w:rPr>
              <w:t xml:space="preserve"> 930000 </w:t>
            </w:r>
            <w:r>
              <w:rPr>
                <w:rFonts w:hint="eastAsia"/>
                <w:b/>
                <w:kern w:val="2"/>
                <w:lang w:val="zh-CN"/>
              </w:rPr>
              <w:t>元</w:t>
            </w:r>
          </w:p>
          <w:p>
            <w:pPr>
              <w:pStyle w:val="4"/>
              <w:adjustRightInd w:val="0"/>
              <w:snapToGrid w:val="0"/>
              <w:spacing w:line="240" w:lineRule="auto"/>
              <w:rPr>
                <w:b/>
                <w:lang w:val="zh-CN"/>
              </w:rPr>
            </w:pPr>
            <w:r>
              <w:rPr>
                <w:rFonts w:hint="eastAsia"/>
                <w:lang w:val="zh-CN"/>
              </w:rPr>
              <w:t>供应商投标报价高于最高限价的则其投标文件将按无效投标文件处理。（投标报价应包括供应商为完成磋商文件中规定的本项目采购内容和范围所需要的全部费用以及与所报货物、服务相关的所有税费。）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Merge w:val="restart"/>
            <w:vAlign w:val="center"/>
          </w:tcPr>
          <w:p>
            <w:pPr>
              <w:pStyle w:val="11"/>
              <w:ind w:left="38"/>
              <w:jc w:val="center"/>
              <w:rPr>
                <w:kern w:val="2"/>
                <w:lang w:val="zh-CN"/>
              </w:rPr>
            </w:pPr>
            <w:r>
              <w:rPr>
                <w:rFonts w:hint="eastAsia"/>
                <w:kern w:val="2"/>
                <w:lang w:val="zh-CN"/>
              </w:rPr>
              <w:t>项目性质</w:t>
            </w:r>
          </w:p>
        </w:tc>
        <w:tc>
          <w:tcPr>
            <w:tcW w:w="7067" w:type="dxa"/>
            <w:vAlign w:val="center"/>
          </w:tcPr>
          <w:p>
            <w:pPr>
              <w:pStyle w:val="11"/>
              <w:jc w:val="both"/>
              <w:rPr>
                <w:b/>
                <w:kern w:val="2"/>
                <w:lang w:val="zh-CN"/>
              </w:rPr>
            </w:pPr>
            <w:r>
              <w:rPr>
                <w:rFonts w:hint="eastAsia"/>
              </w:rPr>
              <w:t>●</w:t>
            </w:r>
            <w:r>
              <w:rPr>
                <w:rFonts w:hint="eastAsia"/>
                <w:b/>
                <w:kern w:val="2"/>
                <w:lang w:val="zh-CN"/>
              </w:rPr>
              <w:t>专门面向中小企业采购</w:t>
            </w:r>
          </w:p>
          <w:p>
            <w:pPr>
              <w:pStyle w:val="11"/>
              <w:ind w:left="38"/>
              <w:jc w:val="both"/>
              <w:rPr>
                <w:b/>
                <w:kern w:val="2"/>
                <w:lang w:val="zh-CN"/>
              </w:rPr>
            </w:pPr>
            <w:r>
              <w:rPr>
                <w:rFonts w:hint="eastAsia"/>
                <w:kern w:val="2"/>
                <w:sz w:val="21"/>
                <w:szCs w:val="21"/>
                <w:lang w:val="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sz w:val="28"/>
                <w:szCs w:val="28"/>
                <w:lang w:val="zh-CN"/>
              </w:rPr>
            </w:pPr>
          </w:p>
        </w:tc>
        <w:tc>
          <w:tcPr>
            <w:tcW w:w="1556" w:type="dxa"/>
            <w:vMerge w:val="continue"/>
            <w:vAlign w:val="center"/>
          </w:tcPr>
          <w:p>
            <w:pPr>
              <w:pStyle w:val="11"/>
              <w:ind w:left="96"/>
              <w:jc w:val="center"/>
              <w:rPr>
                <w:kern w:val="2"/>
                <w:lang w:val="zh-CN"/>
              </w:rPr>
            </w:pPr>
          </w:p>
        </w:tc>
        <w:tc>
          <w:tcPr>
            <w:tcW w:w="7067" w:type="dxa"/>
            <w:vAlign w:val="center"/>
          </w:tcPr>
          <w:p>
            <w:pPr>
              <w:rPr>
                <w:rFonts w:ascii="宋体" w:hAnsi="宋体" w:cs="宋体"/>
                <w:b/>
                <w:sz w:val="24"/>
                <w:szCs w:val="24"/>
                <w:lang w:val="zh-CN"/>
              </w:rPr>
            </w:pPr>
            <w:r>
              <w:rPr>
                <w:rFonts w:ascii="宋体" w:hAnsi="宋体" w:cs="宋体"/>
                <w:b/>
                <w:sz w:val="24"/>
                <w:szCs w:val="24"/>
                <w:lang w:val="zh-CN"/>
              </w:rPr>
              <w:t>○</w:t>
            </w:r>
            <w:r>
              <w:rPr>
                <w:rFonts w:hint="eastAsia" w:ascii="宋体" w:hAnsi="宋体" w:cs="宋体"/>
                <w:b/>
                <w:sz w:val="24"/>
                <w:szCs w:val="24"/>
                <w:lang w:val="zh-CN"/>
              </w:rPr>
              <w:t>非专门面向中小企业采购</w:t>
            </w:r>
          </w:p>
          <w:p>
            <w:pPr>
              <w:ind w:right="94" w:rightChars="45"/>
              <w:rPr>
                <w:rFonts w:ascii="宋体" w:hAnsi="宋体"/>
                <w:b/>
                <w:szCs w:val="21"/>
              </w:rPr>
            </w:pPr>
            <w:r>
              <w:rPr>
                <w:rFonts w:hint="eastAsia" w:ascii="宋体" w:hAnsi="宋体" w:cs="宋体"/>
                <w:color w:val="000000" w:themeColor="text1"/>
                <w:kern w:val="0"/>
                <w:szCs w:val="21"/>
                <w:lang w:val="zh-CN"/>
              </w:rPr>
              <w:t>对符合《政府采购促进中小企业发展管理办法》（财库〔2020〕46号）规定的小微企业（监狱企业视同小型、微型企业）的报价</w:t>
            </w:r>
            <w:r>
              <w:rPr>
                <w:rFonts w:hint="eastAsia" w:ascii="宋体" w:hAnsi="宋体" w:cs="宋体"/>
                <w:b/>
                <w:color w:val="000000" w:themeColor="text1"/>
                <w:kern w:val="0"/>
                <w:szCs w:val="21"/>
                <w:lang w:val="zh-CN"/>
              </w:rPr>
              <w:t>给予___%（6%-</w:t>
            </w:r>
            <w:r>
              <w:rPr>
                <w:rFonts w:ascii="宋体" w:hAnsi="宋体" w:cs="宋体"/>
                <w:b/>
                <w:color w:val="000000" w:themeColor="text1"/>
                <w:kern w:val="0"/>
                <w:szCs w:val="21"/>
                <w:lang w:val="zh-CN"/>
              </w:rPr>
              <w:t>10%</w:t>
            </w:r>
            <w:r>
              <w:rPr>
                <w:rFonts w:hint="eastAsia" w:ascii="宋体" w:hAnsi="宋体" w:cs="宋体"/>
                <w:b/>
                <w:color w:val="000000" w:themeColor="text1"/>
                <w:kern w:val="0"/>
                <w:szCs w:val="21"/>
                <w:lang w:val="zh-CN"/>
              </w:rPr>
              <w:t>）的扣除</w:t>
            </w:r>
            <w:r>
              <w:rPr>
                <w:rFonts w:hint="eastAsia" w:ascii="宋体" w:hAnsi="宋体" w:cs="宋体"/>
                <w:color w:val="000000" w:themeColor="text1"/>
                <w:kern w:val="0"/>
                <w:szCs w:val="21"/>
                <w:lang w:val="zh-CN"/>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4</w:t>
            </w:r>
          </w:p>
        </w:tc>
        <w:tc>
          <w:tcPr>
            <w:tcW w:w="1556" w:type="dxa"/>
            <w:vAlign w:val="center"/>
          </w:tcPr>
          <w:p>
            <w:pPr>
              <w:pStyle w:val="11"/>
              <w:ind w:left="96"/>
              <w:jc w:val="center"/>
              <w:rPr>
                <w:kern w:val="2"/>
                <w:lang w:val="zh-CN"/>
              </w:rPr>
            </w:pPr>
            <w:r>
              <w:rPr>
                <w:kern w:val="2"/>
                <w:highlight w:val="none"/>
                <w:lang w:val="zh-CN"/>
              </w:rPr>
              <w:t>对供应商的</w:t>
            </w:r>
            <w:r>
              <w:rPr>
                <w:kern w:val="2"/>
                <w:highlight w:val="none"/>
                <w:lang w:val="zh-CN"/>
              </w:rPr>
              <w:br w:type="textWrapping"/>
            </w:r>
            <w:r>
              <w:rPr>
                <w:kern w:val="2"/>
                <w:highlight w:val="none"/>
                <w:lang w:val="zh-CN"/>
              </w:rPr>
              <w:t>资格要求</w:t>
            </w:r>
          </w:p>
        </w:tc>
        <w:tc>
          <w:tcPr>
            <w:tcW w:w="7067" w:type="dxa"/>
            <w:vAlign w:val="center"/>
          </w:tcPr>
          <w:p>
            <w:pPr>
              <w:pStyle w:val="11"/>
              <w:jc w:val="both"/>
              <w:rPr>
                <w:rFonts w:hint="eastAsia"/>
                <w:kern w:val="2"/>
                <w:sz w:val="21"/>
                <w:szCs w:val="21"/>
                <w:lang w:val="zh-CN"/>
              </w:rPr>
            </w:pPr>
            <w:r>
              <w:rPr>
                <w:rFonts w:hint="eastAsia"/>
                <w:kern w:val="2"/>
                <w:sz w:val="21"/>
                <w:szCs w:val="21"/>
                <w:lang w:val="zh-CN"/>
              </w:rPr>
              <w:t>1、满足《中华人民共和国政府采购法》第二十二条规定</w:t>
            </w:r>
          </w:p>
          <w:p>
            <w:pPr>
              <w:pStyle w:val="11"/>
              <w:jc w:val="both"/>
              <w:rPr>
                <w:kern w:val="2"/>
                <w:lang w:val="zh-CN"/>
              </w:rPr>
            </w:pPr>
            <w:r>
              <w:rPr>
                <w:rFonts w:hint="eastAsia"/>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5</w:t>
            </w:r>
          </w:p>
        </w:tc>
        <w:tc>
          <w:tcPr>
            <w:tcW w:w="1556" w:type="dxa"/>
            <w:vMerge w:val="restart"/>
            <w:vAlign w:val="center"/>
          </w:tcPr>
          <w:p>
            <w:pPr>
              <w:pStyle w:val="11"/>
              <w:ind w:left="96"/>
              <w:jc w:val="center"/>
              <w:rPr>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pPr>
              <w:pStyle w:val="11"/>
              <w:jc w:val="both"/>
              <w:rPr>
                <w:b/>
                <w:kern w:val="2"/>
                <w:lang w:val="zh-CN"/>
              </w:rPr>
            </w:pPr>
            <w:r>
              <w:rPr>
                <w:rFonts w:hint="eastAsia"/>
                <w:b/>
                <w:kern w:val="2"/>
                <w:lang w:val="zh-CN"/>
              </w:rPr>
              <w:t>○接受</w:t>
            </w:r>
          </w:p>
          <w:p>
            <w:pPr>
              <w:pStyle w:val="11"/>
              <w:jc w:val="both"/>
              <w:rPr>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11"/>
              <w:ind w:left="96"/>
              <w:jc w:val="center"/>
              <w:rPr>
                <w:kern w:val="2"/>
                <w:lang w:val="zh-CN"/>
              </w:rPr>
            </w:pPr>
          </w:p>
        </w:tc>
        <w:tc>
          <w:tcPr>
            <w:tcW w:w="7067" w:type="dxa"/>
            <w:vAlign w:val="center"/>
          </w:tcPr>
          <w:p>
            <w:pPr>
              <w:pStyle w:val="11"/>
              <w:jc w:val="both"/>
              <w:rPr>
                <w:b/>
                <w:kern w:val="2"/>
                <w:lang w:val="zh-CN"/>
              </w:rPr>
            </w:pPr>
            <w:r>
              <w:rPr>
                <w:rFonts w:hint="eastAsia"/>
              </w:rPr>
              <w:t>●</w:t>
            </w:r>
            <w:r>
              <w:rPr>
                <w:rFonts w:hint="eastAsia"/>
                <w:b/>
                <w:kern w:val="2"/>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ascii="宋体" w:hAnsi="宋体"/>
                <w:sz w:val="24"/>
              </w:rPr>
              <w:t>6</w:t>
            </w:r>
          </w:p>
        </w:tc>
        <w:tc>
          <w:tcPr>
            <w:tcW w:w="1556" w:type="dxa"/>
            <w:vMerge w:val="restart"/>
            <w:vAlign w:val="center"/>
          </w:tcPr>
          <w:p>
            <w:pPr>
              <w:pStyle w:val="11"/>
              <w:ind w:left="96"/>
              <w:jc w:val="center"/>
              <w:rPr>
                <w:kern w:val="2"/>
                <w:lang w:val="zh-CN"/>
              </w:rPr>
            </w:pPr>
            <w:r>
              <w:rPr>
                <w:kern w:val="2"/>
                <w:lang w:val="zh-CN"/>
              </w:rPr>
              <w:t>履约保证金</w:t>
            </w:r>
          </w:p>
        </w:tc>
        <w:tc>
          <w:tcPr>
            <w:tcW w:w="7067" w:type="dxa"/>
            <w:vAlign w:val="center"/>
          </w:tcPr>
          <w:p>
            <w:pPr>
              <w:ind w:right="94" w:rightChars="45"/>
              <w:rPr>
                <w:rFonts w:ascii="宋体" w:hAnsi="宋体"/>
                <w:b/>
                <w:sz w:val="24"/>
              </w:rPr>
            </w:pPr>
            <w:r>
              <w:rPr>
                <w:rFonts w:ascii="宋体" w:hAnsi="宋体"/>
                <w:b/>
                <w:sz w:val="24"/>
              </w:rPr>
              <w:t>占政府采购合同金额的</w:t>
            </w:r>
            <w:r>
              <w:rPr>
                <w:rFonts w:hint="eastAsia" w:ascii="宋体" w:hAnsi="宋体"/>
                <w:b/>
                <w:sz w:val="24"/>
              </w:rPr>
              <w:t>_</w:t>
            </w:r>
            <w:r>
              <w:rPr>
                <w:rFonts w:hint="eastAsia" w:ascii="宋体" w:hAnsi="宋体"/>
                <w:b/>
                <w:sz w:val="24"/>
                <w:u w:val="single"/>
              </w:rPr>
              <w:t>0</w:t>
            </w:r>
            <w:r>
              <w:rPr>
                <w:rFonts w:hint="eastAsia" w:ascii="宋体" w:hAnsi="宋体"/>
                <w:b/>
                <w:sz w:val="24"/>
              </w:rPr>
              <w:t>_%</w:t>
            </w:r>
          </w:p>
          <w:p>
            <w:pPr>
              <w:ind w:right="94" w:rightChars="45"/>
              <w:rPr>
                <w:rFonts w:ascii="宋体" w:hAnsi="宋体"/>
                <w:szCs w:val="21"/>
              </w:rPr>
            </w:pPr>
            <w:r>
              <w:rPr>
                <w:rFonts w:hint="eastAsia" w:ascii="宋体" w:hAnsi="宋体"/>
                <w:szCs w:val="21"/>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11"/>
              <w:ind w:left="96"/>
              <w:jc w:val="center"/>
              <w:rPr>
                <w:kern w:val="2"/>
                <w:lang w:val="zh-CN"/>
              </w:rPr>
            </w:pPr>
          </w:p>
        </w:tc>
        <w:tc>
          <w:tcPr>
            <w:tcW w:w="7067" w:type="dxa"/>
            <w:vAlign w:val="center"/>
          </w:tcPr>
          <w:p>
            <w:pPr>
              <w:ind w:right="94" w:rightChars="45"/>
              <w:rPr>
                <w:rFonts w:ascii="宋体" w:hAnsi="宋体"/>
                <w:b/>
                <w:sz w:val="24"/>
              </w:rPr>
            </w:pPr>
            <w:r>
              <w:rPr>
                <w:rFonts w:ascii="宋体" w:hAnsi="宋体"/>
                <w:b/>
                <w:sz w:val="24"/>
              </w:rPr>
              <w:t>○由采购单位自行收退</w:t>
            </w:r>
          </w:p>
          <w:p>
            <w:pPr>
              <w:ind w:right="94" w:rightChars="45"/>
              <w:rPr>
                <w:rFonts w:ascii="宋体" w:hAnsi="宋体"/>
                <w:b/>
                <w:sz w:val="24"/>
              </w:rPr>
            </w:pPr>
            <w:r>
              <w:rPr>
                <w:rFonts w:ascii="宋体" w:hAnsi="宋体"/>
                <w:b/>
                <w:sz w:val="24"/>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7</w:t>
            </w:r>
          </w:p>
        </w:tc>
        <w:tc>
          <w:tcPr>
            <w:tcW w:w="1556" w:type="dxa"/>
            <w:vAlign w:val="center"/>
          </w:tcPr>
          <w:p>
            <w:pPr>
              <w:pStyle w:val="11"/>
              <w:ind w:left="96"/>
              <w:jc w:val="center"/>
              <w:rPr>
                <w:kern w:val="2"/>
                <w:lang w:val="zh-CN"/>
              </w:rPr>
            </w:pPr>
            <w:r>
              <w:rPr>
                <w:kern w:val="2"/>
                <w:lang w:val="zh-CN"/>
              </w:rPr>
              <w:t>集中答疑</w:t>
            </w:r>
          </w:p>
        </w:tc>
        <w:tc>
          <w:tcPr>
            <w:tcW w:w="7067" w:type="dxa"/>
            <w:vAlign w:val="center"/>
          </w:tcPr>
          <w:p>
            <w:pPr>
              <w:ind w:right="94" w:rightChars="45"/>
              <w:rPr>
                <w:rFonts w:ascii="宋体" w:hAnsi="宋体"/>
                <w:b/>
                <w:sz w:val="24"/>
              </w:rPr>
            </w:pPr>
            <w:r>
              <w:rPr>
                <w:rFonts w:ascii="宋体" w:hAnsi="宋体"/>
                <w:b/>
                <w:sz w:val="24"/>
              </w:rPr>
              <w:t>○组织，答疑地点为：</w:t>
            </w:r>
            <w:r>
              <w:rPr>
                <w:rFonts w:hint="eastAsia" w:ascii="宋体" w:hAnsi="宋体"/>
                <w:b/>
                <w:sz w:val="24"/>
              </w:rPr>
              <w:t>__________________</w:t>
            </w:r>
          </w:p>
          <w:p>
            <w:pPr>
              <w:ind w:right="94" w:rightChars="45"/>
              <w:rPr>
                <w:rFonts w:ascii="宋体" w:hAnsi="宋体"/>
                <w:b/>
                <w:sz w:val="24"/>
              </w:rPr>
            </w:pPr>
            <w:r>
              <w:rPr>
                <w:rFonts w:hint="eastAsia" w:ascii="宋体" w:hAnsi="宋体"/>
                <w:sz w:val="24"/>
              </w:rPr>
              <w:t>●</w:t>
            </w:r>
            <w:r>
              <w:rPr>
                <w:rFonts w:ascii="宋体" w:hAnsi="宋体"/>
                <w:b/>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8</w:t>
            </w:r>
          </w:p>
        </w:tc>
        <w:tc>
          <w:tcPr>
            <w:tcW w:w="1556" w:type="dxa"/>
            <w:vAlign w:val="center"/>
          </w:tcPr>
          <w:p>
            <w:pPr>
              <w:pStyle w:val="11"/>
              <w:ind w:left="96"/>
              <w:jc w:val="center"/>
              <w:rPr>
                <w:kern w:val="2"/>
                <w:lang w:val="zh-CN"/>
              </w:rPr>
            </w:pPr>
            <w:r>
              <w:rPr>
                <w:kern w:val="2"/>
                <w:lang w:val="zh-CN"/>
              </w:rPr>
              <w:t>价格分比重</w:t>
            </w:r>
          </w:p>
        </w:tc>
        <w:tc>
          <w:tcPr>
            <w:tcW w:w="7067" w:type="dxa"/>
            <w:vAlign w:val="center"/>
          </w:tcPr>
          <w:p>
            <w:pPr>
              <w:widowControl/>
              <w:rPr>
                <w:rFonts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lang w:val="zh-CN"/>
              </w:rPr>
              <w:t>_</w:t>
            </w:r>
            <w:r>
              <w:rPr>
                <w:rFonts w:hint="eastAsia" w:ascii="宋体" w:hAnsi="宋体" w:cs="宋体"/>
                <w:b/>
                <w:kern w:val="0"/>
                <w:sz w:val="24"/>
                <w:szCs w:val="24"/>
                <w:u w:val="single"/>
              </w:rPr>
              <w:t>10</w:t>
            </w:r>
            <w:r>
              <w:rPr>
                <w:rFonts w:hint="eastAsia" w:ascii="宋体" w:hAnsi="宋体" w:cs="宋体"/>
                <w:b/>
                <w:kern w:val="0"/>
                <w:sz w:val="24"/>
                <w:szCs w:val="24"/>
                <w:lang w:val="zh-CN"/>
              </w:rPr>
              <w:t>_%</w:t>
            </w:r>
          </w:p>
          <w:p>
            <w:pPr>
              <w:widowControl/>
              <w:rPr>
                <w:rFonts w:ascii="宋体" w:hAnsi="宋体" w:cs="宋体"/>
                <w:kern w:val="0"/>
                <w:szCs w:val="21"/>
                <w:lang w:val="zh-CN"/>
              </w:rPr>
            </w:pPr>
            <w:r>
              <w:rPr>
                <w:rFonts w:hint="eastAsia" w:ascii="宋体" w:hAnsi="宋体" w:cs="宋体"/>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hint="eastAsia" w:ascii="宋体" w:hAnsi="宋体" w:cs="宋体"/>
                <w:kern w:val="0"/>
                <w:szCs w:val="21"/>
                <w:lang w:val="zh-CN"/>
              </w:rPr>
              <w:t>项目的价格分值占总分值的比重不得低于</w:t>
            </w:r>
            <w:r>
              <w:rPr>
                <w:rFonts w:ascii="宋体" w:hAnsi="宋体" w:cs="宋体"/>
                <w:kern w:val="0"/>
                <w:szCs w:val="21"/>
                <w:lang w:val="zh-CN"/>
              </w:rPr>
              <w:t>1</w:t>
            </w:r>
            <w:r>
              <w:rPr>
                <w:rFonts w:hint="eastAsia" w:ascii="宋体" w:hAnsi="宋体" w:cs="宋体"/>
                <w:kern w:val="0"/>
                <w:szCs w:val="21"/>
                <w:lang w:val="zh-CN"/>
              </w:rPr>
              <w:t>0%。执行国家统一定价标准和采用固定价格采购的项目，其价格不列为评审因素。</w:t>
            </w:r>
          </w:p>
          <w:p>
            <w:pPr>
              <w:widowControl/>
              <w:rPr>
                <w:rFonts w:ascii="宋体" w:hAnsi="宋体" w:cs="宋体"/>
                <w:kern w:val="0"/>
                <w:szCs w:val="21"/>
                <w:lang w:val="zh-CN"/>
              </w:rPr>
            </w:pPr>
            <w:r>
              <w:rPr>
                <w:rFonts w:ascii="宋体" w:hAnsi="宋体" w:cs="宋体"/>
                <w:kern w:val="0"/>
                <w:szCs w:val="21"/>
                <w:lang w:val="zh-CN"/>
              </w:rPr>
              <w:t>[磋商</w:t>
            </w:r>
            <w:r>
              <w:rPr>
                <w:rFonts w:hint="eastAsia" w:ascii="宋体" w:hAnsi="宋体" w:cs="宋体"/>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hint="eastAsia" w:ascii="宋体" w:hAnsi="宋体" w:cs="宋体"/>
                <w:kern w:val="0"/>
                <w:szCs w:val="21"/>
                <w:lang w:val="zh-CN"/>
              </w:rPr>
              <w:t>0%-</w:t>
            </w:r>
            <w:r>
              <w:rPr>
                <w:rFonts w:ascii="宋体" w:hAnsi="宋体" w:cs="宋体"/>
                <w:kern w:val="0"/>
                <w:szCs w:val="21"/>
                <w:lang w:val="zh-CN"/>
              </w:rPr>
              <w:t>3</w:t>
            </w:r>
            <w:r>
              <w:rPr>
                <w:rFonts w:hint="eastAsia" w:ascii="宋体" w:hAnsi="宋体" w:cs="宋体"/>
                <w:kern w:val="0"/>
                <w:szCs w:val="21"/>
                <w:lang w:val="zh-CN"/>
              </w:rPr>
              <w:t>0%。</w:t>
            </w:r>
          </w:p>
          <w:p>
            <w:pPr>
              <w:widowControl/>
              <w:rPr>
                <w:rFonts w:ascii="宋体" w:hAnsi="宋体" w:cs="宋体"/>
                <w:kern w:val="0"/>
                <w:szCs w:val="21"/>
                <w:lang w:val="zh-CN"/>
              </w:rPr>
            </w:pPr>
            <w:r>
              <w:rPr>
                <w:rFonts w:hint="eastAsia" w:ascii="宋体" w:hAnsi="宋体" w:cs="宋体"/>
                <w:kern w:val="0"/>
                <w:szCs w:val="21"/>
                <w:lang w:val="zh-CN"/>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9</w:t>
            </w:r>
          </w:p>
        </w:tc>
        <w:tc>
          <w:tcPr>
            <w:tcW w:w="1556" w:type="dxa"/>
            <w:vAlign w:val="center"/>
          </w:tcPr>
          <w:p>
            <w:pPr>
              <w:pStyle w:val="11"/>
              <w:ind w:left="96"/>
              <w:jc w:val="center"/>
              <w:rPr>
                <w:kern w:val="2"/>
                <w:lang w:val="zh-CN"/>
              </w:rPr>
            </w:pPr>
            <w:r>
              <w:rPr>
                <w:kern w:val="2"/>
                <w:lang w:val="zh-CN"/>
              </w:rPr>
              <w:t>合同类型</w:t>
            </w:r>
          </w:p>
        </w:tc>
        <w:tc>
          <w:tcPr>
            <w:tcW w:w="7067" w:type="dxa"/>
            <w:vAlign w:val="center"/>
          </w:tcPr>
          <w:p>
            <w:pPr>
              <w:rPr>
                <w:rFonts w:ascii="宋体" w:hAnsi="宋体"/>
                <w:b/>
                <w:sz w:val="24"/>
                <w:lang w:val="zh-CN"/>
              </w:rPr>
            </w:pPr>
            <w:r>
              <w:rPr>
                <w:rFonts w:hint="eastAsia" w:ascii="宋体" w:hAnsi="宋体"/>
                <w:sz w:val="24"/>
              </w:rPr>
              <w:t>●</w:t>
            </w:r>
            <w:r>
              <w:rPr>
                <w:rFonts w:ascii="宋体" w:hAnsi="宋体"/>
                <w:b/>
                <w:sz w:val="24"/>
                <w:lang w:val="zh-CN"/>
              </w:rPr>
              <w:t>固定总价</w:t>
            </w:r>
          </w:p>
          <w:p>
            <w:pPr>
              <w:rPr>
                <w:rFonts w:ascii="宋体" w:hAnsi="宋体"/>
                <w:b/>
                <w:sz w:val="24"/>
                <w:lang w:val="zh-CN"/>
              </w:rPr>
            </w:pPr>
            <w:r>
              <w:rPr>
                <w:rFonts w:ascii="宋体" w:hAnsi="宋体"/>
                <w:b/>
                <w:sz w:val="24"/>
                <w:lang w:val="zh-CN"/>
              </w:rPr>
              <w:t>○固定单价（适用于采购数量不定的情形）</w:t>
            </w:r>
          </w:p>
          <w:p>
            <w:pPr>
              <w:rPr>
                <w:rFonts w:ascii="宋体" w:hAnsi="宋体"/>
                <w:sz w:val="24"/>
                <w:lang w:val="zh-CN"/>
              </w:rPr>
            </w:pPr>
            <w:r>
              <w:rPr>
                <w:rFonts w:ascii="宋体" w:hAnsi="宋体"/>
                <w:b/>
                <w:sz w:val="24"/>
                <w:lang w:val="zh-CN"/>
              </w:rPr>
              <w:t>○其他</w:t>
            </w:r>
            <w:r>
              <w:rPr>
                <w:rFonts w:hint="eastAsia" w:ascii="宋体" w:hAnsi="宋体"/>
                <w:b/>
                <w:sz w:val="24"/>
                <w:lang w:val="zh-CN"/>
              </w:rPr>
              <w:t>：_____________________________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10</w:t>
            </w:r>
          </w:p>
        </w:tc>
        <w:tc>
          <w:tcPr>
            <w:tcW w:w="1556" w:type="dxa"/>
            <w:vAlign w:val="center"/>
          </w:tcPr>
          <w:p>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pPr>
              <w:tabs>
                <w:tab w:val="left" w:pos="7665"/>
              </w:tabs>
              <w:snapToGrid w:val="0"/>
              <w:rPr>
                <w:rFonts w:ascii="宋体" w:hAnsi="宋体"/>
                <w:b/>
                <w:sz w:val="24"/>
              </w:rPr>
            </w:pPr>
            <w:r>
              <w:rPr>
                <w:rFonts w:ascii="宋体" w:hAnsi="宋体"/>
                <w:b/>
                <w:sz w:val="24"/>
              </w:rPr>
              <w:t>○向有管辖权的人民法院提起诉讼</w:t>
            </w:r>
          </w:p>
          <w:p>
            <w:pPr>
              <w:tabs>
                <w:tab w:val="left" w:pos="7665"/>
              </w:tabs>
              <w:snapToGrid w:val="0"/>
              <w:rPr>
                <w:rFonts w:ascii="宋体" w:hAnsi="宋体"/>
                <w:b/>
                <w:sz w:val="24"/>
              </w:rPr>
            </w:pPr>
            <w:r>
              <w:rPr>
                <w:rFonts w:hint="eastAsia" w:ascii="宋体" w:hAnsi="宋体"/>
                <w:sz w:val="24"/>
              </w:rPr>
              <w:t>●</w:t>
            </w:r>
            <w:r>
              <w:rPr>
                <w:rFonts w:ascii="宋体" w:hAnsi="宋体"/>
                <w:b/>
                <w:sz w:val="24"/>
              </w:rPr>
              <w:t>向西安仲裁委员会提请仲裁</w:t>
            </w:r>
          </w:p>
          <w:p>
            <w:pPr>
              <w:tabs>
                <w:tab w:val="left" w:pos="7665"/>
              </w:tabs>
              <w:snapToGrid w:val="0"/>
              <w:rPr>
                <w:rFonts w:ascii="宋体" w:hAnsi="宋体"/>
                <w:sz w:val="24"/>
              </w:rPr>
            </w:pPr>
            <w:r>
              <w:rPr>
                <w:rFonts w:ascii="宋体" w:hAnsi="宋体"/>
                <w:b/>
                <w:sz w:val="24"/>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11</w:t>
            </w:r>
          </w:p>
        </w:tc>
        <w:tc>
          <w:tcPr>
            <w:tcW w:w="1556" w:type="dxa"/>
            <w:vAlign w:val="center"/>
          </w:tcPr>
          <w:p>
            <w:pPr>
              <w:snapToGrid w:val="0"/>
              <w:jc w:val="center"/>
              <w:rPr>
                <w:rFonts w:ascii="宋体" w:hAnsi="宋体"/>
                <w:sz w:val="24"/>
              </w:rPr>
            </w:pPr>
            <w:r>
              <w:rPr>
                <w:rFonts w:hint="eastAsia" w:ascii="宋体" w:hAnsi="宋体"/>
                <w:sz w:val="24"/>
              </w:rPr>
              <w:t>联系方式</w:t>
            </w:r>
          </w:p>
        </w:tc>
        <w:tc>
          <w:tcPr>
            <w:tcW w:w="7067" w:type="dxa"/>
            <w:vAlign w:val="center"/>
          </w:tcPr>
          <w:p>
            <w:pPr>
              <w:tabs>
                <w:tab w:val="left" w:pos="7665"/>
              </w:tabs>
              <w:snapToGrid w:val="0"/>
              <w:rPr>
                <w:rFonts w:ascii="宋体" w:hAnsi="宋体"/>
                <w:b/>
                <w:bCs/>
                <w:sz w:val="24"/>
              </w:rPr>
            </w:pPr>
            <w:r>
              <w:rPr>
                <w:rFonts w:hint="eastAsia" w:ascii="宋体" w:hAnsi="宋体"/>
                <w:b/>
                <w:bCs/>
                <w:sz w:val="24"/>
              </w:rPr>
              <w:t>项目对接人：</w:t>
            </w:r>
            <w:r>
              <w:rPr>
                <w:rFonts w:hint="eastAsia" w:ascii="宋体" w:hAnsi="宋体"/>
                <w:b/>
                <w:bCs/>
                <w:sz w:val="24"/>
                <w:u w:val="single"/>
              </w:rPr>
              <w:t>_雁塔法院经办</w:t>
            </w:r>
          </w:p>
          <w:p>
            <w:pPr>
              <w:tabs>
                <w:tab w:val="left" w:pos="7665"/>
              </w:tabs>
              <w:snapToGrid w:val="0"/>
              <w:rPr>
                <w:rFonts w:ascii="宋体" w:hAnsi="宋体"/>
                <w:b/>
                <w:bCs/>
                <w:sz w:val="24"/>
                <w:u w:val="single"/>
              </w:rPr>
            </w:pPr>
            <w:r>
              <w:rPr>
                <w:rFonts w:ascii="宋体" w:hAnsi="宋体"/>
                <w:b/>
                <w:bCs/>
                <w:sz w:val="24"/>
              </w:rPr>
              <w:t>联系电话：</w:t>
            </w:r>
            <w:r>
              <w:rPr>
                <w:rFonts w:hint="eastAsia" w:ascii="宋体" w:hAnsi="宋体"/>
                <w:b/>
                <w:bCs/>
                <w:sz w:val="24"/>
                <w:u w:val="single"/>
              </w:rPr>
              <w:t>029-85431623</w:t>
            </w:r>
          </w:p>
          <w:p>
            <w:pPr>
              <w:tabs>
                <w:tab w:val="left" w:pos="7665"/>
              </w:tabs>
              <w:snapToGrid w:val="0"/>
              <w:rPr>
                <w:rFonts w:ascii="宋体" w:hAnsi="宋体"/>
                <w:sz w:val="24"/>
              </w:rPr>
            </w:pPr>
            <w:r>
              <w:rPr>
                <w:rFonts w:ascii="宋体" w:hAnsi="宋体"/>
                <w:b/>
                <w:bCs/>
                <w:sz w:val="24"/>
              </w:rPr>
              <w:t>电子邮箱：</w:t>
            </w:r>
            <w:r>
              <w:rPr>
                <w:rFonts w:hint="eastAsia" w:ascii="宋体" w:hAnsi="宋体"/>
                <w:b/>
                <w:bCs/>
                <w:sz w:val="24"/>
                <w:u w:val="single"/>
              </w:rPr>
              <w:t>_467765578@qq.com_</w:t>
            </w:r>
          </w:p>
        </w:tc>
      </w:tr>
    </w:tbl>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（服务类</w:t>
      </w:r>
      <w:r>
        <w:rPr>
          <w:rFonts w:ascii="仿宋" w:hAnsi="仿宋" w:eastAsia="仿宋"/>
          <w:b/>
          <w:sz w:val="32"/>
          <w:szCs w:val="32"/>
        </w:rPr>
        <w:t>）</w:t>
      </w:r>
    </w:p>
    <w:p>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w:t>
      </w:r>
      <w:r>
        <w:rPr>
          <w:rFonts w:hint="eastAsia" w:ascii="仿宋" w:hAnsi="仿宋" w:eastAsia="仿宋"/>
          <w:b/>
          <w:sz w:val="28"/>
          <w:szCs w:val="28"/>
        </w:rPr>
        <w:t>概况</w:t>
      </w:r>
    </w:p>
    <w:p>
      <w:pPr>
        <w:rPr>
          <w:rFonts w:hint="eastAsia"/>
          <w:lang w:val="en-US" w:eastAsia="zh-CN"/>
        </w:rPr>
      </w:pPr>
    </w:p>
    <w:p>
      <w:pPr>
        <w:pStyle w:val="7"/>
        <w:keepNext w:val="0"/>
        <w:keepLines w:val="0"/>
        <w:widowControl/>
        <w:suppressLineNumbers w:val="0"/>
        <w:ind w:firstLine="560" w:firstLineChars="200"/>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为确保我院历史档案安全规范存储，保障档案的完整性、可追溯性与调阅便捷性，现拟对我院原寄存库房所托管的</w:t>
      </w:r>
      <w:r>
        <w:rPr>
          <w:rFonts w:hint="eastAsia" w:ascii="仿宋" w:hAnsi="仿宋" w:eastAsia="仿宋" w:cs="Times New Roman"/>
          <w:b/>
          <w:bCs/>
          <w:kern w:val="2"/>
          <w:sz w:val="28"/>
          <w:szCs w:val="28"/>
          <w:highlight w:val="none"/>
          <w:lang w:val="en-US" w:eastAsia="zh-CN" w:bidi="ar-SA"/>
        </w:rPr>
        <w:t>约15,500箱</w:t>
      </w:r>
      <w:r>
        <w:rPr>
          <w:rFonts w:hint="eastAsia" w:ascii="仿宋" w:hAnsi="仿宋" w:eastAsia="仿宋" w:cs="Times New Roman"/>
          <w:kern w:val="2"/>
          <w:sz w:val="28"/>
          <w:szCs w:val="28"/>
          <w:highlight w:val="none"/>
          <w:lang w:val="en-US" w:eastAsia="zh-CN" w:bidi="ar-SA"/>
        </w:rPr>
        <w:t>历史档案重新进行集中托管。因原对外寄存服务合同已到期，需将上述档案迁移并托管至具备相关资质、条件完备的第三方专业档案库房中。</w:t>
      </w:r>
    </w:p>
    <w:p>
      <w:pPr>
        <w:ind w:firstLine="560" w:firstLineChars="200"/>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本采购包1（历史档案寄存）采购预算为人民币930,000元（大写：玖拾叁万元整），为固定总价合同，供应商报价不得高于该限价。采购人参考档案数量（预计约15,500箱），设定每箱托管单价上限为人民币60元。供应商应在单价限价范围内，结合项目实际需求，报出总价报价，报价应包含完成服务所涉及的全部费用及税费。合同签订后，按中标总价进行结算，实际结算金额不因数量调整而变动。</w:t>
      </w:r>
    </w:p>
    <w:p>
      <w:pPr>
        <w:rPr>
          <w:rFonts w:hint="default"/>
          <w:lang w:val="en-US" w:eastAsia="zh-CN"/>
        </w:rPr>
      </w:pPr>
    </w:p>
    <w:p>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二、服务内容</w:t>
      </w:r>
    </w:p>
    <w:p>
      <w:pPr>
        <w:rPr>
          <w:rFonts w:ascii="仿宋" w:hAnsi="仿宋" w:eastAsia="仿宋"/>
          <w:sz w:val="28"/>
          <w:szCs w:val="28"/>
        </w:rPr>
      </w:pPr>
      <w:r>
        <w:rPr>
          <w:rFonts w:hint="eastAsia" w:ascii="仿宋" w:hAnsi="仿宋" w:eastAsia="仿宋"/>
          <w:sz w:val="28"/>
          <w:szCs w:val="28"/>
        </w:rPr>
        <w:t>1.工作区域：西安市辖区内</w:t>
      </w:r>
    </w:p>
    <w:p>
      <w:pPr>
        <w:rPr>
          <w:rFonts w:ascii="仿宋" w:hAnsi="仿宋" w:eastAsia="仿宋"/>
          <w:sz w:val="28"/>
          <w:szCs w:val="28"/>
        </w:rPr>
      </w:pPr>
      <w:r>
        <w:rPr>
          <w:rFonts w:hint="eastAsia" w:ascii="仿宋" w:hAnsi="仿宋" w:eastAsia="仿宋"/>
          <w:sz w:val="28"/>
          <w:szCs w:val="28"/>
        </w:rPr>
        <w:t>2.工作内容：</w:t>
      </w:r>
    </w:p>
    <w:p>
      <w:pPr>
        <w:rPr>
          <w:rFonts w:hint="eastAsia" w:ascii="仿宋" w:hAnsi="仿宋" w:eastAsia="仿宋"/>
          <w:sz w:val="28"/>
          <w:szCs w:val="28"/>
          <w:highlight w:val="none"/>
        </w:rPr>
      </w:pPr>
      <w:r>
        <w:rPr>
          <w:rFonts w:hint="eastAsia" w:ascii="仿宋" w:hAnsi="仿宋" w:eastAsia="仿宋"/>
          <w:sz w:val="28"/>
          <w:szCs w:val="28"/>
          <w:highlight w:val="none"/>
          <w:lang w:val="en-US" w:eastAsia="zh-CN"/>
        </w:rPr>
        <w:t>2.1</w:t>
      </w:r>
      <w:r>
        <w:rPr>
          <w:rFonts w:hint="eastAsia" w:ascii="仿宋" w:hAnsi="仿宋" w:eastAsia="仿宋"/>
          <w:sz w:val="28"/>
          <w:szCs w:val="28"/>
          <w:highlight w:val="none"/>
        </w:rPr>
        <w:t>档案清理</w:t>
      </w:r>
    </w:p>
    <w:p>
      <w:pPr>
        <w:rPr>
          <w:rFonts w:hint="eastAsia" w:ascii="仿宋" w:hAnsi="仿宋" w:eastAsia="仿宋"/>
          <w:sz w:val="28"/>
          <w:szCs w:val="28"/>
          <w:highlight w:val="none"/>
        </w:rPr>
      </w:pPr>
      <w:r>
        <w:rPr>
          <w:rFonts w:hint="eastAsia" w:ascii="仿宋" w:hAnsi="仿宋" w:eastAsia="仿宋"/>
          <w:sz w:val="28"/>
          <w:szCs w:val="28"/>
          <w:highlight w:val="none"/>
        </w:rPr>
        <w:t>对原存放地点的大批量历史档案开展集中清点、整理、分类，对残损、混乱、重复的档案进行初步处理，确保档案内容齐全、条目清晰，符合统一保管标准。</w:t>
      </w:r>
    </w:p>
    <w:p>
      <w:pPr>
        <w:pStyle w:val="2"/>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2.2</w:t>
      </w:r>
      <w:r>
        <w:rPr>
          <w:rFonts w:hint="eastAsia" w:ascii="仿宋" w:hAnsi="仿宋" w:eastAsia="仿宋"/>
          <w:sz w:val="28"/>
          <w:szCs w:val="28"/>
          <w:highlight w:val="none"/>
        </w:rPr>
        <w:t>档案</w:t>
      </w:r>
      <w:r>
        <w:rPr>
          <w:rFonts w:hint="eastAsia" w:ascii="仿宋" w:hAnsi="仿宋" w:eastAsia="仿宋"/>
          <w:sz w:val="28"/>
          <w:szCs w:val="28"/>
          <w:highlight w:val="none"/>
          <w:lang w:val="en-US" w:eastAsia="zh-CN"/>
        </w:rPr>
        <w:t>装箱</w:t>
      </w:r>
    </w:p>
    <w:p>
      <w:pP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将整理完毕的历史档案按照分类编号规则装入专业档案箱，粘贴档案箱标签，并建立对应档案目录清单，确保装箱有序、可追溯。</w:t>
      </w:r>
    </w:p>
    <w:p>
      <w:pPr>
        <w:rPr>
          <w:rFonts w:hint="eastAsia"/>
          <w:lang w:val="en-US" w:eastAsia="zh-CN"/>
        </w:rPr>
      </w:pPr>
    </w:p>
    <w:p>
      <w:pPr>
        <w:numPr>
          <w:ilvl w:val="0"/>
          <w:numId w:val="1"/>
        </w:numPr>
        <w:rPr>
          <w:rFonts w:hint="eastAsia" w:ascii="仿宋" w:hAnsi="仿宋" w:eastAsia="仿宋"/>
          <w:sz w:val="28"/>
          <w:szCs w:val="28"/>
          <w:highlight w:val="none"/>
        </w:rPr>
      </w:pPr>
      <w:r>
        <w:rPr>
          <w:rFonts w:hint="eastAsia" w:ascii="仿宋" w:hAnsi="仿宋" w:eastAsia="仿宋"/>
          <w:sz w:val="28"/>
          <w:szCs w:val="28"/>
          <w:highlight w:val="none"/>
        </w:rPr>
        <w:t>档案存储</w:t>
      </w:r>
    </w:p>
    <w:p>
      <w:pPr>
        <w:pStyle w:val="2"/>
        <w:numPr>
          <w:numId w:val="0"/>
        </w:numPr>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使用标准专业档案箱存放至专用库房的密集架或货架中，完成集中批量上架管理。库房应满足“十防”要求，确保长期存放安全。</w:t>
      </w:r>
    </w:p>
    <w:p>
      <w:pPr>
        <w:numPr>
          <w:ilvl w:val="0"/>
          <w:numId w:val="1"/>
        </w:numPr>
        <w:ind w:left="0" w:leftChars="0" w:firstLine="0" w:firstLineChars="0"/>
        <w:rPr>
          <w:rFonts w:hint="eastAsia" w:ascii="仿宋" w:hAnsi="仿宋" w:eastAsia="仿宋"/>
          <w:sz w:val="28"/>
          <w:szCs w:val="28"/>
          <w:highlight w:val="none"/>
        </w:rPr>
      </w:pPr>
      <w:r>
        <w:rPr>
          <w:rFonts w:hint="eastAsia" w:ascii="仿宋" w:hAnsi="仿宋" w:eastAsia="仿宋"/>
          <w:sz w:val="28"/>
          <w:szCs w:val="28"/>
          <w:highlight w:val="none"/>
        </w:rPr>
        <w:t>档案调阅</w:t>
      </w:r>
    </w:p>
    <w:p>
      <w:pPr>
        <w:pStyle w:val="2"/>
        <w:numPr>
          <w:ilvl w:val="0"/>
          <w:numId w:val="0"/>
        </w:numPr>
      </w:pPr>
      <w:r>
        <w:rPr>
          <w:rFonts w:hint="eastAsia" w:ascii="仿宋" w:hAnsi="仿宋" w:eastAsia="仿宋" w:cs="Times New Roman"/>
          <w:kern w:val="2"/>
          <w:sz w:val="28"/>
          <w:szCs w:val="28"/>
          <w:highlight w:val="none"/>
          <w:lang w:val="en-US" w:eastAsia="zh-CN" w:bidi="ar-SA"/>
        </w:rPr>
        <w:t>为采购人提供集中入库档案的查阅服务，按照调阅申请提供调出、查阅、归还等全流程记录，保证调阅便捷、可控、留痕。</w:t>
      </w: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三、技术要求</w:t>
      </w:r>
    </w:p>
    <w:p>
      <w:pPr>
        <w:ind w:firstLine="560" w:firstLineChars="200"/>
        <w:rPr>
          <w:rFonts w:ascii="仿宋" w:hAnsi="仿宋" w:eastAsia="仿宋"/>
          <w:sz w:val="28"/>
          <w:szCs w:val="28"/>
        </w:rPr>
      </w:pPr>
      <w:r>
        <w:rPr>
          <w:rFonts w:hint="eastAsia" w:ascii="仿宋" w:hAnsi="仿宋" w:eastAsia="仿宋"/>
          <w:sz w:val="28"/>
          <w:szCs w:val="28"/>
        </w:rPr>
        <w:t>1、库房</w:t>
      </w:r>
      <w:r>
        <w:rPr>
          <w:rFonts w:hint="eastAsia" w:ascii="仿宋" w:hAnsi="仿宋" w:eastAsia="仿宋"/>
          <w:sz w:val="28"/>
          <w:szCs w:val="28"/>
          <w:lang w:eastAsia="zh-CN"/>
        </w:rPr>
        <w:t>符合国家相关法律法规</w:t>
      </w:r>
      <w:r>
        <w:rPr>
          <w:rFonts w:hint="eastAsia" w:ascii="仿宋" w:hAnsi="仿宋" w:eastAsia="仿宋"/>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《社会保管服务机构管理规范》</w:t>
      </w:r>
    </w:p>
    <w:p>
      <w:pPr>
        <w:ind w:firstLine="560" w:firstLineChars="200"/>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2.《档案服务外包工作规范》DA/T68-2017</w:t>
      </w:r>
    </w:p>
    <w:p>
      <w:pPr>
        <w:ind w:firstLine="560" w:firstLineChars="200"/>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3.《档案保管外包服务管理规范》</w:t>
      </w:r>
    </w:p>
    <w:p>
      <w:pPr>
        <w:ind w:firstLine="560" w:firstLineChars="200"/>
        <w:rPr>
          <w:rFonts w:ascii="仿宋" w:hAnsi="仿宋" w:eastAsia="仿宋"/>
          <w:sz w:val="28"/>
          <w:szCs w:val="28"/>
        </w:rPr>
      </w:pPr>
      <w:r>
        <w:rPr>
          <w:rFonts w:hint="eastAsia" w:ascii="仿宋" w:hAnsi="仿宋" w:eastAsia="仿宋"/>
          <w:sz w:val="28"/>
          <w:szCs w:val="28"/>
        </w:rPr>
        <w:t>2、库房存放标准要求</w:t>
      </w:r>
    </w:p>
    <w:p>
      <w:pPr>
        <w:ind w:firstLine="560" w:firstLineChars="200"/>
        <w:rPr>
          <w:rFonts w:ascii="仿宋" w:hAnsi="仿宋" w:eastAsia="仿宋"/>
          <w:sz w:val="28"/>
          <w:szCs w:val="28"/>
        </w:rPr>
      </w:pPr>
      <w:r>
        <w:rPr>
          <w:rFonts w:hint="eastAsia" w:ascii="仿宋" w:hAnsi="仿宋" w:eastAsia="仿宋"/>
          <w:sz w:val="28"/>
          <w:szCs w:val="28"/>
        </w:rPr>
        <w:t>①档案存放要求密集架或货架保存。</w:t>
      </w:r>
    </w:p>
    <w:p>
      <w:pPr>
        <w:ind w:firstLine="560" w:firstLineChars="200"/>
        <w:rPr>
          <w:rFonts w:ascii="仿宋" w:hAnsi="仿宋" w:eastAsia="仿宋"/>
          <w:sz w:val="28"/>
          <w:szCs w:val="28"/>
        </w:rPr>
      </w:pPr>
      <w:r>
        <w:rPr>
          <w:rFonts w:hint="eastAsia" w:ascii="仿宋" w:hAnsi="仿宋" w:eastAsia="仿宋"/>
          <w:sz w:val="28"/>
          <w:szCs w:val="28"/>
        </w:rPr>
        <w:t>②档案存放库房达到“十防”安全防护标准：防火、防潮、防高低温、防尘、防鼠、防盗、防光、防虫、防水、防污染。</w:t>
      </w:r>
    </w:p>
    <w:p>
      <w:pPr>
        <w:ind w:firstLine="560" w:firstLineChars="200"/>
        <w:rPr>
          <w:rFonts w:ascii="仿宋" w:hAnsi="仿宋" w:eastAsia="仿宋"/>
          <w:sz w:val="28"/>
          <w:szCs w:val="28"/>
        </w:rPr>
      </w:pPr>
      <w:r>
        <w:rPr>
          <w:rFonts w:hint="eastAsia" w:ascii="仿宋" w:hAnsi="仿宋" w:eastAsia="仿宋"/>
          <w:sz w:val="28"/>
          <w:szCs w:val="28"/>
        </w:rPr>
        <w:t>3、库房智能安全防护系统管理要求</w:t>
      </w:r>
    </w:p>
    <w:p>
      <w:pPr>
        <w:ind w:firstLine="560" w:firstLineChars="200"/>
        <w:rPr>
          <w:rFonts w:ascii="仿宋" w:hAnsi="仿宋" w:eastAsia="仿宋"/>
          <w:sz w:val="28"/>
          <w:szCs w:val="28"/>
        </w:rPr>
      </w:pPr>
      <w:r>
        <w:rPr>
          <w:rFonts w:hint="eastAsia" w:ascii="仿宋" w:hAnsi="仿宋" w:eastAsia="仿宋"/>
          <w:sz w:val="28"/>
          <w:szCs w:val="28"/>
        </w:rPr>
        <w:t>①自动防火报警系统</w:t>
      </w:r>
    </w:p>
    <w:p>
      <w:pPr>
        <w:ind w:firstLine="560" w:firstLineChars="200"/>
        <w:rPr>
          <w:rFonts w:ascii="仿宋" w:hAnsi="仿宋" w:eastAsia="仿宋"/>
          <w:sz w:val="28"/>
          <w:szCs w:val="28"/>
        </w:rPr>
      </w:pPr>
      <w:r>
        <w:rPr>
          <w:rFonts w:hint="eastAsia" w:ascii="仿宋" w:hAnsi="仿宋" w:eastAsia="仿宋"/>
          <w:sz w:val="28"/>
          <w:szCs w:val="28"/>
        </w:rPr>
        <w:t>②温湿度自动控制系统</w:t>
      </w:r>
    </w:p>
    <w:p>
      <w:pPr>
        <w:ind w:firstLine="560" w:firstLineChars="200"/>
        <w:rPr>
          <w:rFonts w:ascii="仿宋" w:hAnsi="仿宋" w:eastAsia="仿宋"/>
          <w:sz w:val="28"/>
          <w:szCs w:val="28"/>
        </w:rPr>
      </w:pPr>
      <w:r>
        <w:rPr>
          <w:rFonts w:hint="eastAsia" w:ascii="仿宋" w:hAnsi="仿宋" w:eastAsia="仿宋"/>
          <w:sz w:val="28"/>
          <w:szCs w:val="28"/>
        </w:rPr>
        <w:t>③自动防盗报警系统</w:t>
      </w:r>
    </w:p>
    <w:p>
      <w:pPr>
        <w:ind w:firstLine="560" w:firstLineChars="200"/>
        <w:rPr>
          <w:rFonts w:ascii="仿宋" w:hAnsi="仿宋" w:eastAsia="仿宋"/>
          <w:sz w:val="28"/>
          <w:szCs w:val="28"/>
        </w:rPr>
      </w:pPr>
      <w:r>
        <w:rPr>
          <w:rFonts w:hint="eastAsia" w:ascii="仿宋" w:hAnsi="仿宋" w:eastAsia="仿宋"/>
          <w:sz w:val="28"/>
          <w:szCs w:val="28"/>
        </w:rPr>
        <w:t>④门禁系统</w:t>
      </w: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四、服务要求</w:t>
      </w:r>
    </w:p>
    <w:p>
      <w:pPr>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人员配备</w:t>
      </w:r>
    </w:p>
    <w:p>
      <w:pPr>
        <w:ind w:firstLine="280" w:firstLineChars="100"/>
        <w:rPr>
          <w:rFonts w:hint="eastAsia" w:ascii="仿宋" w:hAnsi="仿宋" w:eastAsia="仿宋"/>
          <w:sz w:val="28"/>
          <w:szCs w:val="28"/>
        </w:rPr>
      </w:pPr>
      <w:r>
        <w:rPr>
          <w:rFonts w:hint="eastAsia" w:ascii="仿宋" w:hAnsi="仿宋" w:eastAsia="仿宋"/>
          <w:sz w:val="28"/>
          <w:szCs w:val="28"/>
        </w:rPr>
        <w:t>投标人应结合本项目历史档案数量大、整理工作量集中的特点，组建一支具备档案整理、数据编目、运输和库房管理等全流程经验的专业服务团队。</w:t>
      </w:r>
    </w:p>
    <w:p>
      <w:pPr>
        <w:rPr>
          <w:rFonts w:hint="eastAsia" w:ascii="仿宋" w:hAnsi="仿宋" w:eastAsia="仿宋"/>
          <w:sz w:val="28"/>
          <w:szCs w:val="28"/>
        </w:rPr>
      </w:pPr>
      <w:r>
        <w:rPr>
          <w:rFonts w:hint="eastAsia" w:ascii="仿宋" w:hAnsi="仿宋" w:eastAsia="仿宋"/>
          <w:sz w:val="28"/>
          <w:szCs w:val="28"/>
        </w:rPr>
        <w:t>1.1项目负责人应具备丰富的档案管理经验和协调能力，负责统筹项目整体推进。</w:t>
      </w:r>
    </w:p>
    <w:p>
      <w:pPr>
        <w:rPr>
          <w:rFonts w:hint="eastAsia" w:ascii="仿宋" w:hAnsi="仿宋" w:eastAsia="仿宋"/>
          <w:sz w:val="28"/>
          <w:szCs w:val="28"/>
        </w:rPr>
      </w:pPr>
      <w:r>
        <w:rPr>
          <w:rFonts w:hint="eastAsia" w:ascii="仿宋" w:hAnsi="仿宋" w:eastAsia="仿宋"/>
          <w:sz w:val="28"/>
          <w:szCs w:val="28"/>
        </w:rPr>
        <w:t>1.2配备充足的档案整理人员，确保在规定时间内完成档案清理、装箱和入库。</w:t>
      </w:r>
    </w:p>
    <w:p>
      <w:pPr>
        <w:rPr>
          <w:rFonts w:ascii="仿宋" w:hAnsi="仿宋" w:eastAsia="仿宋"/>
          <w:sz w:val="28"/>
          <w:szCs w:val="28"/>
        </w:rPr>
      </w:pPr>
      <w:r>
        <w:rPr>
          <w:rFonts w:hint="eastAsia" w:ascii="仿宋" w:hAnsi="仿宋" w:eastAsia="仿宋"/>
          <w:sz w:val="28"/>
          <w:szCs w:val="28"/>
        </w:rPr>
        <w:t>1.3所有人员应熟悉档案管理规范，具备良好的保密意识和职业素养。2.制度标准</w:t>
      </w:r>
    </w:p>
    <w:p>
      <w:pPr>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《社会保管服务机构管理规范》</w:t>
      </w:r>
    </w:p>
    <w:p>
      <w:pPr>
        <w:ind w:firstLine="560" w:firstLineChars="200"/>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2.《档案服务外包工作规范》DA/T68-2017</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3.《档案保管外包服务管理规范》</w:t>
      </w:r>
    </w:p>
    <w:p>
      <w:pPr>
        <w:pStyle w:val="2"/>
        <w:rPr>
          <w:rFonts w:hint="eastAsia"/>
        </w:rPr>
      </w:pPr>
      <w:r>
        <w:rPr>
          <w:rFonts w:hint="eastAsia" w:ascii="仿宋" w:hAnsi="仿宋" w:eastAsia="仿宋" w:cs="Times New Roman"/>
          <w:kern w:val="2"/>
          <w:sz w:val="28"/>
          <w:szCs w:val="28"/>
          <w:lang w:val="en-US" w:eastAsia="zh-CN" w:bidi="ar-SA"/>
        </w:rPr>
        <w:t>制定与本项目匹配的工作流程制度，包括档案清点验收制度、整理与装箱操作规程、库房管理制度、安全巡检制度、档案调阅登记制度等，确保服务全过程规范有序、质量可控。</w:t>
      </w: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五、商务要求</w:t>
      </w:r>
    </w:p>
    <w:p>
      <w:pPr>
        <w:spacing w:line="400" w:lineRule="exact"/>
        <w:rPr>
          <w:rFonts w:ascii="仿宋" w:hAnsi="仿宋" w:eastAsia="仿宋"/>
          <w:sz w:val="28"/>
          <w:szCs w:val="28"/>
          <w:highlight w:val="none"/>
        </w:rPr>
      </w:pPr>
      <w:r>
        <w:rPr>
          <w:rFonts w:hint="eastAsia" w:ascii="仿宋" w:hAnsi="仿宋" w:eastAsia="仿宋"/>
          <w:sz w:val="28"/>
          <w:szCs w:val="28"/>
        </w:rPr>
        <w:t>（一）服务期限：</w:t>
      </w:r>
      <w:r>
        <w:rPr>
          <w:rFonts w:hint="eastAsia" w:ascii="仿宋" w:hAnsi="仿宋" w:eastAsia="仿宋"/>
          <w:sz w:val="28"/>
          <w:szCs w:val="28"/>
          <w:highlight w:val="none"/>
        </w:rPr>
        <w:t>自合同签订之日起一年。</w:t>
      </w:r>
    </w:p>
    <w:p>
      <w:pPr>
        <w:rPr>
          <w:rFonts w:ascii="仿宋" w:hAnsi="仿宋" w:eastAsia="仿宋"/>
          <w:sz w:val="28"/>
          <w:szCs w:val="28"/>
          <w:highlight w:val="none"/>
        </w:rPr>
      </w:pPr>
      <w:r>
        <w:rPr>
          <w:rFonts w:hint="eastAsia" w:ascii="仿宋" w:hAnsi="仿宋" w:eastAsia="仿宋"/>
          <w:sz w:val="28"/>
          <w:szCs w:val="28"/>
          <w:highlight w:val="none"/>
        </w:rPr>
        <w:t>（二）款项结算：自合同签订生效起15日内，甲方向乙方支付合同金额的60%；</w:t>
      </w:r>
    </w:p>
    <w:p>
      <w:pPr>
        <w:rPr>
          <w:rFonts w:ascii="仿宋" w:hAnsi="仿宋" w:eastAsia="仿宋"/>
          <w:sz w:val="28"/>
          <w:szCs w:val="28"/>
          <w:highlight w:val="none"/>
        </w:rPr>
      </w:pPr>
      <w:r>
        <w:rPr>
          <w:rFonts w:hint="eastAsia" w:ascii="仿宋" w:hAnsi="仿宋" w:eastAsia="仿宋"/>
          <w:sz w:val="28"/>
          <w:szCs w:val="28"/>
          <w:highlight w:val="none"/>
        </w:rPr>
        <w:t>项目实施过程中，根据实施进度验收，验收由乙方提出书面申请报告，甲方确认签字后进行结算，达到付款条件起15日内，支付合同剩余结算金额。</w:t>
      </w:r>
    </w:p>
    <w:p>
      <w:pPr>
        <w:spacing w:line="400" w:lineRule="exact"/>
        <w:rPr>
          <w:rFonts w:ascii="仿宋" w:hAnsi="仿宋" w:eastAsia="仿宋"/>
          <w:sz w:val="28"/>
          <w:szCs w:val="28"/>
          <w:highlight w:val="yellow"/>
        </w:rPr>
      </w:pPr>
    </w:p>
    <w:p>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六、其他</w:t>
      </w:r>
    </w:p>
    <w:p>
      <w:pPr>
        <w:rPr>
          <w:rFonts w:ascii="仿宋" w:hAnsi="仿宋" w:eastAsia="仿宋"/>
          <w:sz w:val="28"/>
          <w:szCs w:val="28"/>
        </w:rPr>
      </w:pPr>
      <w:r>
        <w:rPr>
          <w:rFonts w:hint="eastAsia" w:ascii="仿宋" w:hAnsi="仿宋" w:eastAsia="仿宋"/>
          <w:sz w:val="28"/>
          <w:szCs w:val="28"/>
        </w:rPr>
        <w:t>（一）对服务商的业绩要求</w:t>
      </w:r>
    </w:p>
    <w:p>
      <w:pPr>
        <w:ind w:firstLine="560" w:firstLineChars="200"/>
        <w:rPr>
          <w:rFonts w:ascii="仿宋" w:hAnsi="仿宋" w:eastAsia="仿宋"/>
          <w:sz w:val="28"/>
          <w:szCs w:val="28"/>
        </w:rPr>
      </w:pPr>
      <w:r>
        <w:rPr>
          <w:rFonts w:hint="eastAsia" w:ascii="仿宋" w:hAnsi="仿宋" w:eastAsia="仿宋"/>
          <w:sz w:val="28"/>
          <w:szCs w:val="28"/>
        </w:rPr>
        <w:t>供应商需提供有关业绩情况。</w:t>
      </w:r>
    </w:p>
    <w:p>
      <w:pPr>
        <w:rPr>
          <w:rFonts w:ascii="仿宋" w:hAnsi="仿宋" w:eastAsia="仿宋"/>
          <w:sz w:val="28"/>
          <w:szCs w:val="28"/>
        </w:rPr>
      </w:pPr>
      <w:r>
        <w:rPr>
          <w:rFonts w:hint="eastAsia" w:ascii="仿宋" w:hAnsi="仿宋" w:eastAsia="仿宋"/>
          <w:sz w:val="28"/>
          <w:szCs w:val="28"/>
        </w:rPr>
        <w:t>（二）进度要求</w:t>
      </w:r>
    </w:p>
    <w:p>
      <w:pPr>
        <w:rPr>
          <w:rFonts w:ascii="仿宋" w:hAnsi="仿宋" w:eastAsia="仿宋"/>
          <w:sz w:val="28"/>
          <w:szCs w:val="28"/>
        </w:rPr>
      </w:pPr>
      <w:r>
        <w:rPr>
          <w:rFonts w:hint="eastAsia" w:ascii="仿宋" w:hAnsi="仿宋" w:eastAsia="仿宋"/>
          <w:sz w:val="28"/>
          <w:szCs w:val="28"/>
        </w:rPr>
        <w:t>1.合同签订后十五日内完成档案的清理装箱工作；</w:t>
      </w:r>
    </w:p>
    <w:p>
      <w:pPr>
        <w:rPr>
          <w:rFonts w:ascii="仿宋" w:hAnsi="仿宋" w:eastAsia="仿宋"/>
          <w:sz w:val="28"/>
          <w:szCs w:val="28"/>
        </w:rPr>
      </w:pPr>
      <w:r>
        <w:rPr>
          <w:rFonts w:hint="eastAsia" w:ascii="仿宋" w:hAnsi="仿宋" w:eastAsia="仿宋"/>
          <w:sz w:val="28"/>
          <w:szCs w:val="28"/>
        </w:rPr>
        <w:t>2.合同签订后一个月完成档案的入库保存。</w:t>
      </w:r>
    </w:p>
    <w:p>
      <w:pPr>
        <w:rPr>
          <w:rFonts w:ascii="仿宋" w:hAnsi="仿宋" w:eastAsia="仿宋"/>
          <w:sz w:val="28"/>
          <w:szCs w:val="28"/>
        </w:rPr>
      </w:pPr>
      <w:r>
        <w:rPr>
          <w:rFonts w:hint="eastAsia" w:ascii="仿宋" w:hAnsi="仿宋" w:eastAsia="仿宋"/>
          <w:sz w:val="28"/>
          <w:szCs w:val="28"/>
        </w:rPr>
        <w:t>（三）成果交付要求</w:t>
      </w:r>
    </w:p>
    <w:p>
      <w:pPr>
        <w:rPr>
          <w:rFonts w:ascii="仿宋" w:hAnsi="仿宋" w:eastAsia="仿宋"/>
          <w:sz w:val="28"/>
          <w:szCs w:val="28"/>
        </w:rPr>
      </w:pPr>
      <w:r>
        <w:rPr>
          <w:rFonts w:hint="eastAsia" w:ascii="仿宋" w:hAnsi="仿宋" w:eastAsia="仿宋"/>
          <w:sz w:val="28"/>
          <w:szCs w:val="28"/>
        </w:rPr>
        <w:t>1.原始材料</w:t>
      </w:r>
    </w:p>
    <w:p>
      <w:pPr>
        <w:rPr>
          <w:rFonts w:ascii="仿宋" w:hAnsi="仿宋" w:eastAsia="仿宋"/>
          <w:sz w:val="28"/>
          <w:szCs w:val="28"/>
        </w:rPr>
      </w:pPr>
      <w:r>
        <w:rPr>
          <w:rFonts w:hint="eastAsia" w:ascii="仿宋" w:hAnsi="仿宋" w:eastAsia="仿宋"/>
          <w:sz w:val="28"/>
          <w:szCs w:val="28"/>
        </w:rPr>
        <w:t>①装箱清单</w:t>
      </w:r>
    </w:p>
    <w:p>
      <w:pPr>
        <w:rPr>
          <w:rFonts w:ascii="仿宋" w:hAnsi="仿宋" w:eastAsia="仿宋"/>
          <w:sz w:val="28"/>
          <w:szCs w:val="28"/>
        </w:rPr>
      </w:pPr>
      <w:r>
        <w:rPr>
          <w:rFonts w:hint="eastAsia" w:ascii="仿宋" w:hAnsi="仿宋" w:eastAsia="仿宋"/>
          <w:sz w:val="28"/>
          <w:szCs w:val="28"/>
        </w:rPr>
        <w:t>②档案出库确认单</w:t>
      </w:r>
      <w:bookmarkStart w:id="0" w:name="_GoBack"/>
      <w:bookmarkEnd w:id="0"/>
    </w:p>
    <w:p>
      <w:pPr>
        <w:rPr>
          <w:rFonts w:ascii="仿宋" w:hAnsi="仿宋" w:eastAsia="仿宋"/>
          <w:sz w:val="28"/>
          <w:szCs w:val="28"/>
        </w:rPr>
      </w:pPr>
      <w:r>
        <w:rPr>
          <w:rFonts w:hint="eastAsia" w:ascii="仿宋" w:hAnsi="仿宋" w:eastAsia="仿宋"/>
          <w:sz w:val="28"/>
          <w:szCs w:val="28"/>
        </w:rPr>
        <w:t>③档案交接文据</w:t>
      </w:r>
    </w:p>
    <w:p>
      <w:pPr>
        <w:rPr>
          <w:rFonts w:ascii="仿宋" w:hAnsi="仿宋" w:eastAsia="仿宋"/>
          <w:sz w:val="28"/>
          <w:szCs w:val="28"/>
        </w:rPr>
      </w:pPr>
      <w:r>
        <w:rPr>
          <w:rFonts w:hint="eastAsia" w:ascii="仿宋" w:hAnsi="仿宋" w:eastAsia="仿宋"/>
          <w:sz w:val="28"/>
          <w:szCs w:val="28"/>
        </w:rPr>
        <w:t>④档案递送服务清单</w:t>
      </w:r>
    </w:p>
    <w:p>
      <w:pPr>
        <w:rPr>
          <w:rFonts w:ascii="仿宋" w:hAnsi="仿宋" w:eastAsia="仿宋"/>
          <w:sz w:val="28"/>
          <w:szCs w:val="28"/>
        </w:rPr>
      </w:pPr>
      <w:r>
        <w:rPr>
          <w:rFonts w:hint="eastAsia" w:ascii="仿宋" w:hAnsi="仿宋" w:eastAsia="仿宋"/>
          <w:sz w:val="28"/>
          <w:szCs w:val="28"/>
        </w:rPr>
        <w:t>2.项目验收报告</w:t>
      </w:r>
    </w:p>
    <w:p>
      <w:pPr>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w:t>
      </w:r>
      <w:r>
        <w:rPr>
          <w:rFonts w:hint="eastAsia" w:ascii="仿宋" w:hAnsi="仿宋" w:eastAsia="仿宋"/>
          <w:sz w:val="28"/>
          <w:szCs w:val="28"/>
        </w:rPr>
        <w:t>质量验收标准或规范</w:t>
      </w:r>
    </w:p>
    <w:p>
      <w:pPr>
        <w:rPr>
          <w:rFonts w:ascii="仿宋" w:hAnsi="仿宋" w:eastAsia="仿宋"/>
          <w:sz w:val="28"/>
          <w:szCs w:val="28"/>
        </w:rPr>
      </w:pPr>
      <w:r>
        <w:rPr>
          <w:rFonts w:hint="eastAsia" w:ascii="仿宋" w:hAnsi="仿宋" w:eastAsia="仿宋"/>
          <w:sz w:val="28"/>
          <w:szCs w:val="28"/>
        </w:rPr>
        <w:t>①《档案保管外包服务管理规范》</w:t>
      </w:r>
    </w:p>
    <w:p>
      <w:pPr>
        <w:rPr>
          <w:rFonts w:ascii="仿宋" w:hAnsi="仿宋" w:eastAsia="仿宋"/>
          <w:sz w:val="28"/>
          <w:szCs w:val="28"/>
        </w:rPr>
      </w:pPr>
      <w:r>
        <w:rPr>
          <w:rFonts w:hint="eastAsia" w:ascii="仿宋" w:hAnsi="仿宋" w:eastAsia="仿宋"/>
          <w:sz w:val="28"/>
          <w:szCs w:val="28"/>
        </w:rPr>
        <w:t>②《人民法院诉讼档案管理办法》</w:t>
      </w:r>
    </w:p>
    <w:p>
      <w:pPr>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）违约责任</w:t>
      </w:r>
    </w:p>
    <w:p>
      <w:pPr>
        <w:rPr>
          <w:rFonts w:ascii="仿宋" w:hAnsi="仿宋" w:eastAsia="仿宋"/>
          <w:sz w:val="28"/>
          <w:szCs w:val="28"/>
        </w:rPr>
      </w:pPr>
      <w:r>
        <w:rPr>
          <w:rFonts w:hint="eastAsia" w:ascii="仿宋" w:hAnsi="仿宋" w:eastAsia="仿宋"/>
          <w:sz w:val="28"/>
          <w:szCs w:val="28"/>
        </w:rPr>
        <w:t>按《中华人民共和国民法典》《中华人民共和国档案法》等相关法律条款执行。</w:t>
      </w: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36E10"/>
    <w:multiLevelType w:val="singleLevel"/>
    <w:tmpl w:val="65036E1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5D4D"/>
    <w:rsid w:val="002670C7"/>
    <w:rsid w:val="00495D4D"/>
    <w:rsid w:val="005956E9"/>
    <w:rsid w:val="00603E4D"/>
    <w:rsid w:val="00766BDA"/>
    <w:rsid w:val="00D05139"/>
    <w:rsid w:val="00FA660C"/>
    <w:rsid w:val="04796A8F"/>
    <w:rsid w:val="04A47832"/>
    <w:rsid w:val="06EB0E58"/>
    <w:rsid w:val="08826431"/>
    <w:rsid w:val="09065275"/>
    <w:rsid w:val="09892E1D"/>
    <w:rsid w:val="0DC55BC2"/>
    <w:rsid w:val="0FA5568D"/>
    <w:rsid w:val="10EB0B5E"/>
    <w:rsid w:val="113110D4"/>
    <w:rsid w:val="13055BC3"/>
    <w:rsid w:val="14DD31AA"/>
    <w:rsid w:val="17E8538B"/>
    <w:rsid w:val="19870ABD"/>
    <w:rsid w:val="1C340D36"/>
    <w:rsid w:val="1F12261A"/>
    <w:rsid w:val="250A2DC5"/>
    <w:rsid w:val="2A55759B"/>
    <w:rsid w:val="2E4F709D"/>
    <w:rsid w:val="31525DD9"/>
    <w:rsid w:val="339773B8"/>
    <w:rsid w:val="33D63A37"/>
    <w:rsid w:val="3417508A"/>
    <w:rsid w:val="36555865"/>
    <w:rsid w:val="37770418"/>
    <w:rsid w:val="392A5F39"/>
    <w:rsid w:val="45174528"/>
    <w:rsid w:val="4C0B6DCC"/>
    <w:rsid w:val="4D5E2A93"/>
    <w:rsid w:val="513D2E07"/>
    <w:rsid w:val="519D0532"/>
    <w:rsid w:val="5BDC54FA"/>
    <w:rsid w:val="5FCD31AF"/>
    <w:rsid w:val="637927C8"/>
    <w:rsid w:val="69A51514"/>
    <w:rsid w:val="6AA433AE"/>
    <w:rsid w:val="73154DF3"/>
    <w:rsid w:val="7445143F"/>
    <w:rsid w:val="7A576B48"/>
    <w:rsid w:val="7B572928"/>
    <w:rsid w:val="7F14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spacing w:before="260" w:after="260" w:line="416" w:lineRule="atLeast"/>
      <w:outlineLvl w:val="1"/>
    </w:pPr>
    <w:rPr>
      <w:rFonts w:ascii="Cambria" w:hAnsi="Cambria"/>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spacing w:line="360" w:lineRule="auto"/>
    </w:pPr>
    <w:rPr>
      <w:rFonts w:ascii="宋体" w:hAnsi="Courier New"/>
      <w:szCs w:val="21"/>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
    <w:name w:val="页眉 Char"/>
    <w:basedOn w:val="9"/>
    <w:link w:val="6"/>
    <w:qFormat/>
    <w:uiPriority w:val="0"/>
    <w:rPr>
      <w:rFonts w:ascii="Calibri" w:hAnsi="Calibri"/>
      <w:kern w:val="2"/>
      <w:sz w:val="18"/>
      <w:szCs w:val="18"/>
    </w:rPr>
  </w:style>
  <w:style w:type="character" w:customStyle="1" w:styleId="13">
    <w:name w:val="页脚 Char"/>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2017</Words>
  <Characters>2221</Characters>
  <Lines>14</Lines>
  <Paragraphs>4</Paragraphs>
  <TotalTime>5</TotalTime>
  <ScaleCrop>false</ScaleCrop>
  <LinksUpToDate>false</LinksUpToDate>
  <CharactersWithSpaces>2225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2025-06-04T10:10:00Z</dcterms:created>
  <dc:creator>Administrator</dc:creator>
  <cp:lastModifiedBy>Administrator</cp:lastModifiedBy>
  <dcterms:modified xsi:type="dcterms:W3CDTF">2025-06-09T02:34:57Z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eyJoZGlkIjoiNGQxNjI5MjhhMDg5MzFiNjBiYTk5MGZhYTU2MmE3OTciLCJ1c2VySWQiOiI3NjgzODkxOTEifQ==</vt:lpwstr>
  </property>
  <property fmtid="{D5CDD505-2E9C-101B-9397-08002B2CF9AE}" pid="4" name="ICV">
    <vt:lpwstr>68821918BD1F4B7F94813DB01AC1E1BA_12</vt:lpwstr>
  </property>
</Properties>
</file>