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DB303">
      <w:pPr>
        <w:widowControl/>
        <w:shd w:val="clear" w:color="auto" w:fill="FFFFFF"/>
        <w:spacing w:line="450" w:lineRule="atLeast"/>
        <w:jc w:val="center"/>
        <w:outlineLvl w:val="1"/>
        <w:rPr>
          <w:rFonts w:ascii="宋体" w:hAnsi="宋体" w:cs="宋体"/>
          <w:b/>
          <w:bCs/>
          <w:color w:val="000000" w:themeColor="text1"/>
          <w:kern w:val="0"/>
          <w:sz w:val="39"/>
          <w:szCs w:val="39"/>
          <w14:textFill>
            <w14:solidFill>
              <w14:schemeClr w14:val="tx1"/>
            </w14:solidFill>
          </w14:textFill>
        </w:rPr>
      </w:pPr>
      <w:r>
        <w:rPr>
          <w:rFonts w:hint="eastAsia" w:ascii="宋体" w:hAnsi="宋体" w:cs="宋体"/>
          <w:b/>
          <w:bCs/>
          <w:color w:val="000000" w:themeColor="text1"/>
          <w:kern w:val="0"/>
          <w:sz w:val="39"/>
          <w:szCs w:val="39"/>
          <w14:textFill>
            <w14:solidFill>
              <w14:schemeClr w14:val="tx1"/>
            </w14:solidFill>
          </w14:textFill>
        </w:rPr>
        <w:t>磋商项目技术、服务、商务及其他要求</w:t>
      </w:r>
    </w:p>
    <w:p w14:paraId="6A5758B5">
      <w:pPr>
        <w:spacing w:line="360" w:lineRule="auto"/>
        <w:ind w:left="369"/>
        <w:rPr>
          <w:rFonts w:ascii="宋体" w:hAnsi="宋体" w:cs="宋体"/>
          <w:color w:val="000000" w:themeColor="text1"/>
          <w:spacing w:val="-3"/>
          <w:position w:val="13"/>
          <w:szCs w:val="21"/>
          <w:highlight w:val="none"/>
          <w14:textFill>
            <w14:solidFill>
              <w14:schemeClr w14:val="tx1"/>
            </w14:solidFill>
          </w14:textFill>
        </w:rPr>
      </w:pPr>
      <w:r>
        <w:rPr>
          <w:rFonts w:ascii="宋体" w:hAnsi="宋体" w:cs="宋体"/>
          <w:color w:val="000000" w:themeColor="text1"/>
          <w:spacing w:val="-3"/>
          <w:position w:val="13"/>
          <w:szCs w:val="21"/>
          <w:highlight w:val="none"/>
          <w14:textFill>
            <w14:solidFill>
              <w14:schemeClr w14:val="tx1"/>
            </w14:solidFill>
          </w14:textFill>
        </w:rPr>
        <w:t>（注：带</w:t>
      </w:r>
      <w:r>
        <w:rPr>
          <w:rFonts w:hint="eastAsia" w:ascii="宋体" w:hAnsi="宋体" w:cs="宋体"/>
          <w:color w:val="000000" w:themeColor="text1"/>
          <w:spacing w:val="-3"/>
          <w:position w:val="13"/>
          <w:szCs w:val="21"/>
          <w:highlight w:val="none"/>
          <w14:textFill>
            <w14:solidFill>
              <w14:schemeClr w14:val="tx1"/>
            </w14:solidFill>
          </w14:textFill>
        </w:rPr>
        <w:t>“</w:t>
      </w:r>
      <w:r>
        <w:rPr>
          <w:rFonts w:ascii="宋体" w:hAnsi="宋体" w:cs="宋体"/>
          <w:color w:val="000000" w:themeColor="text1"/>
          <w:spacing w:val="-3"/>
          <w:position w:val="13"/>
          <w:szCs w:val="21"/>
          <w:highlight w:val="none"/>
          <w14:textFill>
            <w14:solidFill>
              <w14:schemeClr w14:val="tx1"/>
            </w14:solidFill>
          </w14:textFill>
        </w:rPr>
        <w:t>★</w:t>
      </w:r>
      <w:r>
        <w:rPr>
          <w:rFonts w:hint="eastAsia" w:ascii="宋体" w:hAnsi="宋体" w:cs="宋体"/>
          <w:color w:val="000000" w:themeColor="text1"/>
          <w:spacing w:val="-3"/>
          <w:position w:val="13"/>
          <w:szCs w:val="21"/>
          <w:highlight w:val="none"/>
          <w14:textFill>
            <w14:solidFill>
              <w14:schemeClr w14:val="tx1"/>
            </w14:solidFill>
          </w14:textFill>
        </w:rPr>
        <w:t>”</w:t>
      </w:r>
      <w:r>
        <w:rPr>
          <w:rFonts w:ascii="宋体" w:hAnsi="宋体" w:cs="宋体"/>
          <w:color w:val="000000" w:themeColor="text1"/>
          <w:spacing w:val="-3"/>
          <w:position w:val="13"/>
          <w:szCs w:val="21"/>
          <w:highlight w:val="none"/>
          <w14:textFill>
            <w14:solidFill>
              <w14:schemeClr w14:val="tx1"/>
            </w14:solidFill>
          </w14:textFill>
        </w:rPr>
        <w:t>的参数需求为实质性要求，供应商必须响应并满足的参数需求，采购人、采购代理机构应当根据项目实际需求合理设定，并明确具体要求。带</w:t>
      </w:r>
      <w:r>
        <w:rPr>
          <w:rFonts w:hint="eastAsia" w:ascii="宋体" w:hAnsi="宋体" w:cs="宋体"/>
          <w:color w:val="000000" w:themeColor="text1"/>
          <w:spacing w:val="-3"/>
          <w:position w:val="13"/>
          <w:szCs w:val="21"/>
          <w:highlight w:val="none"/>
          <w14:textFill>
            <w14:solidFill>
              <w14:schemeClr w14:val="tx1"/>
            </w14:solidFill>
          </w14:textFill>
        </w:rPr>
        <w:t>“</w:t>
      </w:r>
      <w:r>
        <w:rPr>
          <w:rFonts w:ascii="宋体" w:hAnsi="宋体" w:cs="宋体"/>
          <w:color w:val="000000" w:themeColor="text1"/>
          <w:spacing w:val="-3"/>
          <w:position w:val="13"/>
          <w:szCs w:val="21"/>
          <w:highlight w:val="none"/>
          <w14:textFill>
            <w14:solidFill>
              <w14:schemeClr w14:val="tx1"/>
            </w14:solidFill>
          </w14:textFill>
        </w:rPr>
        <w:t>▲</w:t>
      </w:r>
      <w:r>
        <w:rPr>
          <w:rFonts w:hint="eastAsia" w:ascii="宋体" w:hAnsi="宋体" w:cs="宋体"/>
          <w:color w:val="000000" w:themeColor="text1"/>
          <w:spacing w:val="-3"/>
          <w:position w:val="13"/>
          <w:szCs w:val="21"/>
          <w:highlight w:val="none"/>
          <w14:textFill>
            <w14:solidFill>
              <w14:schemeClr w14:val="tx1"/>
            </w14:solidFill>
          </w14:textFill>
        </w:rPr>
        <w:t>”</w:t>
      </w:r>
      <w:r>
        <w:rPr>
          <w:rFonts w:ascii="宋体" w:hAnsi="宋体" w:cs="宋体"/>
          <w:color w:val="000000" w:themeColor="text1"/>
          <w:spacing w:val="-3"/>
          <w:position w:val="13"/>
          <w:szCs w:val="21"/>
          <w:highlight w:val="none"/>
          <w14:textFill>
            <w14:solidFill>
              <w14:schemeClr w14:val="tx1"/>
            </w14:solidFill>
          </w14:textFill>
        </w:rPr>
        <w:t>号条款为允许负偏离的参数需求，若未响应或者不满足，将在综合评审中予以扣分处理。）</w:t>
      </w:r>
    </w:p>
    <w:p w14:paraId="7DD83568">
      <w:pPr>
        <w:spacing w:line="360" w:lineRule="auto"/>
        <w:ind w:left="15"/>
        <w:outlineLvl w:val="1"/>
        <w:rPr>
          <w:b/>
          <w:bCs/>
          <w:color w:val="000000" w:themeColor="text1"/>
          <w:spacing w:val="15"/>
          <w:sz w:val="28"/>
          <w:szCs w:val="28"/>
          <w:highlight w:val="none"/>
          <w14:textFill>
            <w14:solidFill>
              <w14:schemeClr w14:val="tx1"/>
            </w14:solidFill>
          </w14:textFill>
        </w:rPr>
      </w:pPr>
      <w:r>
        <w:rPr>
          <w:b/>
          <w:bCs/>
          <w:color w:val="000000" w:themeColor="text1"/>
          <w:spacing w:val="15"/>
          <w:sz w:val="28"/>
          <w:szCs w:val="28"/>
          <w:highlight w:val="none"/>
          <w14:textFill>
            <w14:solidFill>
              <w14:schemeClr w14:val="tx1"/>
            </w14:solidFill>
          </w14:textFill>
        </w:rPr>
        <w:t>3.1采购项目概况</w:t>
      </w:r>
    </w:p>
    <w:p w14:paraId="411FAA4E">
      <w:pPr>
        <w:spacing w:line="360" w:lineRule="auto"/>
        <w:ind w:left="15" w:firstLine="420" w:firstLineChars="200"/>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单位食材采买，保证食堂正常运转。</w:t>
      </w:r>
    </w:p>
    <w:p w14:paraId="1291A7DC">
      <w:pPr>
        <w:spacing w:line="360" w:lineRule="auto"/>
        <w:ind w:left="15"/>
        <w:outlineLvl w:val="1"/>
        <w:rPr>
          <w:b/>
          <w:bCs/>
          <w:color w:val="000000" w:themeColor="text1"/>
          <w:spacing w:val="15"/>
          <w:sz w:val="28"/>
          <w:szCs w:val="28"/>
          <w:highlight w:val="none"/>
          <w14:textFill>
            <w14:solidFill>
              <w14:schemeClr w14:val="tx1"/>
            </w14:solidFill>
          </w14:textFill>
        </w:rPr>
      </w:pPr>
      <w:r>
        <w:rPr>
          <w:rFonts w:hint="eastAsia"/>
          <w:b/>
          <w:bCs/>
          <w:color w:val="000000" w:themeColor="text1"/>
          <w:spacing w:val="15"/>
          <w:sz w:val="28"/>
          <w:szCs w:val="28"/>
          <w:highlight w:val="none"/>
          <w14:textFill>
            <w14:solidFill>
              <w14:schemeClr w14:val="tx1"/>
            </w14:solidFill>
          </w14:textFill>
        </w:rPr>
        <w:t>3.2服务内容及服务要求</w:t>
      </w:r>
    </w:p>
    <w:p w14:paraId="479B812B">
      <w:pPr>
        <w:spacing w:line="360" w:lineRule="auto"/>
        <w:ind w:left="15"/>
        <w:outlineLvl w:val="1"/>
        <w:rPr>
          <w:b/>
          <w:bCs/>
          <w:color w:val="000000" w:themeColor="text1"/>
          <w:spacing w:val="15"/>
          <w:sz w:val="24"/>
          <w:highlight w:val="none"/>
          <w14:textFill>
            <w14:solidFill>
              <w14:schemeClr w14:val="tx1"/>
            </w14:solidFill>
          </w14:textFill>
        </w:rPr>
      </w:pPr>
      <w:r>
        <w:rPr>
          <w:rFonts w:hint="eastAsia"/>
          <w:b/>
          <w:bCs/>
          <w:color w:val="000000" w:themeColor="text1"/>
          <w:spacing w:val="15"/>
          <w:sz w:val="24"/>
          <w:highlight w:val="none"/>
          <w14:textFill>
            <w14:solidFill>
              <w14:schemeClr w14:val="tx1"/>
            </w14:solidFill>
          </w14:textFill>
        </w:rPr>
        <w:t>3.2.1服务内容</w:t>
      </w:r>
    </w:p>
    <w:p w14:paraId="07645E8F">
      <w:pPr>
        <w:spacing w:line="360" w:lineRule="auto"/>
        <w:ind w:left="11" w:right="136"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p w14:paraId="44FA5783">
      <w:pPr>
        <w:spacing w:line="360" w:lineRule="auto"/>
        <w:ind w:left="11" w:right="136" w:firstLine="420" w:firstLineChars="200"/>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采购包预算金额（元）:</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483680.00</w:t>
      </w:r>
    </w:p>
    <w:p w14:paraId="7E6123A7">
      <w:pPr>
        <w:spacing w:line="360" w:lineRule="auto"/>
        <w:ind w:left="11" w:right="136"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采购包最高限价（元）:</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483680.00</w:t>
      </w:r>
    </w:p>
    <w:p w14:paraId="7C34834B">
      <w:pPr>
        <w:spacing w:line="360" w:lineRule="auto"/>
        <w:ind w:left="11" w:right="136"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供应商报价不允许超过标的金额</w:t>
      </w:r>
    </w:p>
    <w:p w14:paraId="6BC69563">
      <w:pPr>
        <w:spacing w:line="360" w:lineRule="auto"/>
        <w:ind w:left="11" w:right="136"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（招单价的）供应商报价不允许超过标的单价</w:t>
      </w:r>
    </w:p>
    <w:tbl>
      <w:tblPr>
        <w:tblStyle w:val="11"/>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27"/>
        <w:gridCol w:w="713"/>
        <w:gridCol w:w="1413"/>
        <w:gridCol w:w="709"/>
        <w:gridCol w:w="1417"/>
        <w:gridCol w:w="709"/>
        <w:gridCol w:w="850"/>
        <w:gridCol w:w="851"/>
        <w:gridCol w:w="992"/>
      </w:tblGrid>
      <w:tr w14:paraId="5203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562" w:type="dxa"/>
            <w:vAlign w:val="center"/>
          </w:tcPr>
          <w:p w14:paraId="3AC41F85">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序号</w:t>
            </w:r>
          </w:p>
        </w:tc>
        <w:tc>
          <w:tcPr>
            <w:tcW w:w="2127" w:type="dxa"/>
            <w:vAlign w:val="center"/>
          </w:tcPr>
          <w:p w14:paraId="4D548A6B">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标的名称</w:t>
            </w:r>
          </w:p>
        </w:tc>
        <w:tc>
          <w:tcPr>
            <w:tcW w:w="713" w:type="dxa"/>
            <w:vAlign w:val="center"/>
          </w:tcPr>
          <w:p w14:paraId="5A122FC9">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数量</w:t>
            </w:r>
          </w:p>
        </w:tc>
        <w:tc>
          <w:tcPr>
            <w:tcW w:w="1413" w:type="dxa"/>
            <w:vAlign w:val="center"/>
          </w:tcPr>
          <w:p w14:paraId="188D0C71">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标的金额</w:t>
            </w:r>
          </w:p>
          <w:p w14:paraId="1AAEF558">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（元）</w:t>
            </w:r>
          </w:p>
        </w:tc>
        <w:tc>
          <w:tcPr>
            <w:tcW w:w="709" w:type="dxa"/>
            <w:vAlign w:val="center"/>
          </w:tcPr>
          <w:p w14:paraId="26AAB57C">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计量单位</w:t>
            </w:r>
          </w:p>
        </w:tc>
        <w:tc>
          <w:tcPr>
            <w:tcW w:w="1417" w:type="dxa"/>
            <w:vAlign w:val="center"/>
          </w:tcPr>
          <w:p w14:paraId="1C9D1D05">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所属行业</w:t>
            </w:r>
          </w:p>
        </w:tc>
        <w:tc>
          <w:tcPr>
            <w:tcW w:w="709" w:type="dxa"/>
            <w:vAlign w:val="center"/>
          </w:tcPr>
          <w:p w14:paraId="4F1A1232">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是否</w:t>
            </w:r>
          </w:p>
          <w:p w14:paraId="11ECC923">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核心产品</w:t>
            </w:r>
          </w:p>
        </w:tc>
        <w:tc>
          <w:tcPr>
            <w:tcW w:w="850" w:type="dxa"/>
            <w:vAlign w:val="center"/>
          </w:tcPr>
          <w:p w14:paraId="3A5D74DC">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是否允许进口产品</w:t>
            </w:r>
          </w:p>
        </w:tc>
        <w:tc>
          <w:tcPr>
            <w:tcW w:w="851" w:type="dxa"/>
            <w:vAlign w:val="center"/>
          </w:tcPr>
          <w:p w14:paraId="29A04EC2">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是否属于节能产品</w:t>
            </w:r>
          </w:p>
        </w:tc>
        <w:tc>
          <w:tcPr>
            <w:tcW w:w="992" w:type="dxa"/>
            <w:vAlign w:val="center"/>
          </w:tcPr>
          <w:p w14:paraId="4FC15E2A">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是否属于环境标志产品</w:t>
            </w:r>
          </w:p>
        </w:tc>
      </w:tr>
      <w:tr w14:paraId="724E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62" w:type="dxa"/>
            <w:vAlign w:val="center"/>
          </w:tcPr>
          <w:p w14:paraId="0CA67924">
            <w:pPr>
              <w:widowControl/>
              <w:spacing w:line="360" w:lineRule="auto"/>
              <w:ind w:right="136"/>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olor w:val="000000" w:themeColor="text1"/>
                <w:kern w:val="0"/>
                <w:sz w:val="21"/>
                <w:szCs w:val="21"/>
                <w:highlight w:val="none"/>
                <w14:textFill>
                  <w14:solidFill>
                    <w14:schemeClr w14:val="tx1"/>
                  </w14:solidFill>
                </w14:textFill>
              </w:rPr>
              <w:t>1</w:t>
            </w:r>
          </w:p>
        </w:tc>
        <w:tc>
          <w:tcPr>
            <w:tcW w:w="2127" w:type="dxa"/>
            <w:vAlign w:val="center"/>
          </w:tcPr>
          <w:p w14:paraId="18317E56">
            <w:pPr>
              <w:widowControl/>
              <w:spacing w:line="360" w:lineRule="auto"/>
              <w:ind w:right="136"/>
              <w:jc w:val="center"/>
              <w:rPr>
                <w:rFonts w:hint="default" w:asciiTheme="minorEastAsia" w:hAnsiTheme="minorEastAsia" w:eastAsia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 w:val="21"/>
                <w:szCs w:val="21"/>
                <w:highlight w:val="none"/>
                <w:lang w:val="en-US" w:eastAsia="zh-CN"/>
                <w14:textFill>
                  <w14:solidFill>
                    <w14:schemeClr w14:val="tx1"/>
                  </w14:solidFill>
                </w14:textFill>
              </w:rPr>
              <w:t>单位廉政灶采买</w:t>
            </w:r>
          </w:p>
        </w:tc>
        <w:tc>
          <w:tcPr>
            <w:tcW w:w="713" w:type="dxa"/>
            <w:vAlign w:val="center"/>
          </w:tcPr>
          <w:p w14:paraId="255445F6">
            <w:pPr>
              <w:widowControl/>
              <w:spacing w:line="360" w:lineRule="auto"/>
              <w:ind w:right="136"/>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olor w:val="000000" w:themeColor="text1"/>
                <w:kern w:val="0"/>
                <w:sz w:val="21"/>
                <w:szCs w:val="21"/>
                <w:highlight w:val="none"/>
                <w14:textFill>
                  <w14:solidFill>
                    <w14:schemeClr w14:val="tx1"/>
                  </w14:solidFill>
                </w14:textFill>
              </w:rPr>
              <w:t>1.0</w:t>
            </w:r>
          </w:p>
        </w:tc>
        <w:tc>
          <w:tcPr>
            <w:tcW w:w="1413" w:type="dxa"/>
            <w:vAlign w:val="center"/>
          </w:tcPr>
          <w:p w14:paraId="2192C0D3">
            <w:pPr>
              <w:widowControl/>
              <w:spacing w:line="360" w:lineRule="auto"/>
              <w:ind w:right="136"/>
              <w:rPr>
                <w:rFonts w:hint="default" w:asciiTheme="minorEastAsia" w:hAnsiTheme="minorEastAsia" w:eastAsiaTheme="minorEastAsia"/>
                <w:color w:val="000000" w:themeColor="text1"/>
                <w:kern w:val="0"/>
                <w:sz w:val="21"/>
                <w:szCs w:val="21"/>
                <w:highlight w:val="none"/>
                <w:lang w:val="en-US" w:eastAsia="zh-CN"/>
                <w14:textFill>
                  <w14:solidFill>
                    <w14:schemeClr w14:val="tx1"/>
                  </w14:solidFill>
                </w14:textFill>
              </w:rPr>
            </w:pPr>
            <w:r>
              <w:rPr>
                <w:rFonts w:hint="eastAsia" w:eastAsiaTheme="minorEastAsia"/>
                <w:color w:val="000000" w:themeColor="text1"/>
                <w:kern w:val="2"/>
                <w:sz w:val="21"/>
                <w:highlight w:val="none"/>
                <w:lang w:val="en-US" w:eastAsia="zh-CN"/>
                <w14:textFill>
                  <w14:solidFill>
                    <w14:schemeClr w14:val="tx1"/>
                  </w14:solidFill>
                </w14:textFill>
              </w:rPr>
              <w:t>483680.00</w:t>
            </w:r>
          </w:p>
        </w:tc>
        <w:tc>
          <w:tcPr>
            <w:tcW w:w="709" w:type="dxa"/>
            <w:vAlign w:val="center"/>
          </w:tcPr>
          <w:p w14:paraId="24DD2ACE">
            <w:pPr>
              <w:widowControl/>
              <w:spacing w:line="360" w:lineRule="auto"/>
              <w:ind w:right="136"/>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olor w:val="000000" w:themeColor="text1"/>
                <w:kern w:val="0"/>
                <w:sz w:val="21"/>
                <w:szCs w:val="21"/>
                <w:highlight w:val="none"/>
                <w14:textFill>
                  <w14:solidFill>
                    <w14:schemeClr w14:val="tx1"/>
                  </w14:solidFill>
                </w14:textFill>
              </w:rPr>
              <w:t>项</w:t>
            </w:r>
          </w:p>
        </w:tc>
        <w:tc>
          <w:tcPr>
            <w:tcW w:w="1417" w:type="dxa"/>
            <w:vAlign w:val="center"/>
          </w:tcPr>
          <w:p w14:paraId="5A716694">
            <w:pPr>
              <w:widowControl/>
              <w:spacing w:line="360" w:lineRule="auto"/>
              <w:ind w:right="136"/>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批发</w:t>
            </w:r>
            <w:r>
              <w:rPr>
                <w:rFonts w:hint="eastAsia"/>
                <w:color w:val="000000" w:themeColor="text1"/>
                <w:kern w:val="0"/>
                <w:sz w:val="21"/>
                <w:szCs w:val="21"/>
                <w:highlight w:val="none"/>
                <w14:textFill>
                  <w14:solidFill>
                    <w14:schemeClr w14:val="tx1"/>
                  </w14:solidFill>
                </w14:textFill>
              </w:rPr>
              <w:t>业</w:t>
            </w:r>
          </w:p>
        </w:tc>
        <w:tc>
          <w:tcPr>
            <w:tcW w:w="709" w:type="dxa"/>
            <w:vAlign w:val="center"/>
          </w:tcPr>
          <w:p w14:paraId="1CE796D0">
            <w:pPr>
              <w:widowControl/>
              <w:spacing w:line="360" w:lineRule="auto"/>
              <w:ind w:right="136"/>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olor w:val="000000" w:themeColor="text1"/>
                <w:kern w:val="0"/>
                <w:sz w:val="21"/>
                <w:szCs w:val="21"/>
                <w:highlight w:val="none"/>
                <w14:textFill>
                  <w14:solidFill>
                    <w14:schemeClr w14:val="tx1"/>
                  </w14:solidFill>
                </w14:textFill>
              </w:rPr>
              <w:t>否</w:t>
            </w:r>
          </w:p>
        </w:tc>
        <w:tc>
          <w:tcPr>
            <w:tcW w:w="850" w:type="dxa"/>
            <w:vAlign w:val="center"/>
          </w:tcPr>
          <w:p w14:paraId="4842FA56">
            <w:pPr>
              <w:widowControl/>
              <w:spacing w:line="360" w:lineRule="auto"/>
              <w:ind w:right="136"/>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olor w:val="000000" w:themeColor="text1"/>
                <w:kern w:val="0"/>
                <w:sz w:val="21"/>
                <w:szCs w:val="21"/>
                <w:highlight w:val="none"/>
                <w14:textFill>
                  <w14:solidFill>
                    <w14:schemeClr w14:val="tx1"/>
                  </w14:solidFill>
                </w14:textFill>
              </w:rPr>
              <w:t>否</w:t>
            </w:r>
          </w:p>
        </w:tc>
        <w:tc>
          <w:tcPr>
            <w:tcW w:w="851" w:type="dxa"/>
            <w:vAlign w:val="center"/>
          </w:tcPr>
          <w:p w14:paraId="61351DED">
            <w:pPr>
              <w:widowControl/>
              <w:spacing w:line="360" w:lineRule="auto"/>
              <w:ind w:right="136"/>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olor w:val="000000" w:themeColor="text1"/>
                <w:kern w:val="0"/>
                <w:sz w:val="21"/>
                <w:szCs w:val="21"/>
                <w:highlight w:val="none"/>
                <w14:textFill>
                  <w14:solidFill>
                    <w14:schemeClr w14:val="tx1"/>
                  </w14:solidFill>
                </w14:textFill>
              </w:rPr>
              <w:t>否</w:t>
            </w:r>
          </w:p>
        </w:tc>
        <w:tc>
          <w:tcPr>
            <w:tcW w:w="992" w:type="dxa"/>
            <w:vAlign w:val="center"/>
          </w:tcPr>
          <w:p w14:paraId="48929672">
            <w:pPr>
              <w:widowControl/>
              <w:spacing w:line="360" w:lineRule="auto"/>
              <w:ind w:right="136"/>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olor w:val="000000" w:themeColor="text1"/>
                <w:kern w:val="0"/>
                <w:sz w:val="21"/>
                <w:szCs w:val="21"/>
                <w:highlight w:val="none"/>
                <w14:textFill>
                  <w14:solidFill>
                    <w14:schemeClr w14:val="tx1"/>
                  </w14:solidFill>
                </w14:textFill>
              </w:rPr>
              <w:t>否</w:t>
            </w:r>
          </w:p>
        </w:tc>
      </w:tr>
    </w:tbl>
    <w:p w14:paraId="0FE49496">
      <w:pPr>
        <w:spacing w:line="360" w:lineRule="auto"/>
        <w:outlineLvl w:val="1"/>
        <w:rPr>
          <w:b/>
          <w:bCs/>
          <w:color w:val="000000" w:themeColor="text1"/>
          <w:spacing w:val="15"/>
          <w:sz w:val="24"/>
          <w:highlight w:val="none"/>
          <w14:textFill>
            <w14:solidFill>
              <w14:schemeClr w14:val="tx1"/>
            </w14:solidFill>
          </w14:textFill>
        </w:rPr>
      </w:pPr>
      <w:r>
        <w:rPr>
          <w:rFonts w:hint="eastAsia"/>
          <w:b/>
          <w:bCs/>
          <w:color w:val="000000" w:themeColor="text1"/>
          <w:spacing w:val="15"/>
          <w:sz w:val="24"/>
          <w:highlight w:val="none"/>
          <w14:textFill>
            <w14:solidFill>
              <w14:schemeClr w14:val="tx1"/>
            </w14:solidFill>
          </w14:textFill>
        </w:rPr>
        <w:t>3.2.2服务要求</w:t>
      </w:r>
    </w:p>
    <w:p w14:paraId="0A9337ED">
      <w:pPr>
        <w:spacing w:line="360" w:lineRule="auto"/>
        <w:ind w:left="391"/>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采购包1：</w:t>
      </w:r>
    </w:p>
    <w:p w14:paraId="53BF195F">
      <w:pPr>
        <w:spacing w:line="360" w:lineRule="auto"/>
        <w:ind w:left="391"/>
        <w:rPr>
          <w:rFonts w:ascii="宋体" w:hAnsi="宋体" w:cs="宋体"/>
          <w:color w:val="000000" w:themeColor="text1"/>
          <w:spacing w:val="1"/>
          <w:szCs w:val="21"/>
          <w:highlight w:val="none"/>
          <w14:textFill>
            <w14:solidFill>
              <w14:schemeClr w14:val="tx1"/>
            </w14:solidFill>
          </w14:textFill>
        </w:rPr>
      </w:pPr>
      <w:r>
        <w:rPr>
          <w:rFonts w:ascii="宋体" w:hAnsi="宋体" w:cs="宋体"/>
          <w:color w:val="000000" w:themeColor="text1"/>
          <w:spacing w:val="1"/>
          <w:szCs w:val="21"/>
          <w:highlight w:val="none"/>
          <w14:textFill>
            <w14:solidFill>
              <w14:schemeClr w14:val="tx1"/>
            </w14:solidFill>
          </w14:textFill>
        </w:rPr>
        <w:t>供应商报价不允许超过标的金额</w:t>
      </w:r>
    </w:p>
    <w:p w14:paraId="22113C67">
      <w:pPr>
        <w:spacing w:line="360" w:lineRule="auto"/>
        <w:ind w:left="391"/>
        <w:rPr>
          <w:rFonts w:ascii="宋体" w:hAnsi="宋体" w:cs="宋体"/>
          <w:color w:val="000000" w:themeColor="text1"/>
          <w:spacing w:val="1"/>
          <w:szCs w:val="21"/>
          <w:highlight w:val="none"/>
          <w14:textFill>
            <w14:solidFill>
              <w14:schemeClr w14:val="tx1"/>
            </w14:solidFill>
          </w14:textFill>
        </w:rPr>
      </w:pPr>
      <w:r>
        <w:rPr>
          <w:rFonts w:ascii="宋体" w:hAnsi="宋体" w:cs="宋体"/>
          <w:color w:val="000000" w:themeColor="text1"/>
          <w:spacing w:val="1"/>
          <w:szCs w:val="21"/>
          <w:highlight w:val="none"/>
          <w14:textFill>
            <w14:solidFill>
              <w14:schemeClr w14:val="tx1"/>
            </w14:solidFill>
          </w14:textFill>
        </w:rPr>
        <w:t>（招单价的）供应商报价不允许超过标的单价</w:t>
      </w:r>
    </w:p>
    <w:p w14:paraId="3C082C5D">
      <w:pPr>
        <w:spacing w:line="360" w:lineRule="auto"/>
        <w:ind w:left="391"/>
        <w:rPr>
          <w:rFonts w:ascii="宋体" w:hAnsi="宋体" w:cs="宋体"/>
          <w:color w:val="000000" w:themeColor="text1"/>
          <w:spacing w:val="1"/>
          <w:szCs w:val="21"/>
          <w:highlight w:val="none"/>
          <w14:textFill>
            <w14:solidFill>
              <w14:schemeClr w14:val="tx1"/>
            </w14:solidFill>
          </w14:textFill>
        </w:rPr>
      </w:pPr>
      <w:r>
        <w:rPr>
          <w:rFonts w:ascii="宋体" w:hAnsi="宋体" w:cs="宋体"/>
          <w:b/>
          <w:color w:val="000000" w:themeColor="text1"/>
          <w:spacing w:val="1"/>
          <w:szCs w:val="21"/>
          <w:highlight w:val="none"/>
          <w14:textFill>
            <w14:solidFill>
              <w14:schemeClr w14:val="tx1"/>
            </w14:solidFill>
          </w14:textFill>
        </w:rPr>
        <w:t>标的名称：</w:t>
      </w:r>
      <w:r>
        <w:rPr>
          <w:rFonts w:hint="eastAsia"/>
          <w:color w:val="000000" w:themeColor="text1"/>
          <w:szCs w:val="21"/>
          <w:highlight w:val="none"/>
          <w14:textFill>
            <w14:solidFill>
              <w14:schemeClr w14:val="tx1"/>
            </w14:solidFill>
          </w14:textFill>
        </w:rPr>
        <w:t>单位廉政灶采买</w:t>
      </w:r>
      <w:r>
        <w:rPr>
          <w:rFonts w:ascii="宋体" w:hAnsi="宋体" w:cs="宋体"/>
          <w:color w:val="000000" w:themeColor="text1"/>
          <w:spacing w:val="1"/>
          <w:szCs w:val="21"/>
          <w:highlight w:val="none"/>
          <w14:textFill>
            <w14:solidFill>
              <w14:schemeClr w14:val="tx1"/>
            </w14:solidFill>
          </w14:textFill>
        </w:rPr>
        <w:t>。</w:t>
      </w:r>
    </w:p>
    <w:tbl>
      <w:tblPr>
        <w:tblStyle w:val="11"/>
        <w:tblW w:w="1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573"/>
        <w:gridCol w:w="9327"/>
      </w:tblGrid>
      <w:tr w14:paraId="1746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14" w:type="dxa"/>
            <w:vAlign w:val="center"/>
          </w:tcPr>
          <w:p w14:paraId="5F0D34B2">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参数性质</w:t>
            </w:r>
          </w:p>
        </w:tc>
        <w:tc>
          <w:tcPr>
            <w:tcW w:w="573" w:type="dxa"/>
            <w:vAlign w:val="center"/>
          </w:tcPr>
          <w:p w14:paraId="5F05469E">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序号</w:t>
            </w:r>
          </w:p>
        </w:tc>
        <w:tc>
          <w:tcPr>
            <w:tcW w:w="9327" w:type="dxa"/>
            <w:vAlign w:val="center"/>
          </w:tcPr>
          <w:p w14:paraId="47D75F6D">
            <w:pPr>
              <w:jc w:val="center"/>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asciiTheme="minorEastAsia" w:hAnsiTheme="minorEastAsia" w:eastAsiaTheme="minorEastAsia"/>
                <w:b/>
                <w:color w:val="000000" w:themeColor="text1"/>
                <w:kern w:val="0"/>
                <w:sz w:val="21"/>
                <w:szCs w:val="21"/>
                <w:highlight w:val="none"/>
                <w14:textFill>
                  <w14:solidFill>
                    <w14:schemeClr w14:val="tx1"/>
                  </w14:solidFill>
                </w14:textFill>
              </w:rPr>
              <w:t>技术参数与性能指标</w:t>
            </w:r>
          </w:p>
        </w:tc>
      </w:tr>
      <w:tr w14:paraId="757A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14:paraId="01875894">
            <w:pPr>
              <w:widowControl/>
              <w:spacing w:line="360" w:lineRule="auto"/>
              <w:rPr>
                <w:rFonts w:cs="宋体" w:asciiTheme="minorEastAsia" w:hAnsiTheme="minorEastAsia" w:eastAsiaTheme="minorEastAsia"/>
                <w:color w:val="000000" w:themeColor="text1"/>
                <w:spacing w:val="1"/>
                <w:kern w:val="0"/>
                <w:sz w:val="21"/>
                <w:szCs w:val="21"/>
                <w:highlight w:val="none"/>
                <w14:textFill>
                  <w14:solidFill>
                    <w14:schemeClr w14:val="tx1"/>
                  </w14:solidFill>
                </w14:textFill>
              </w:rPr>
            </w:pPr>
          </w:p>
        </w:tc>
        <w:tc>
          <w:tcPr>
            <w:tcW w:w="573" w:type="dxa"/>
          </w:tcPr>
          <w:p w14:paraId="37084DC1">
            <w:pPr>
              <w:widowControl/>
              <w:spacing w:line="360" w:lineRule="auto"/>
              <w:rPr>
                <w:rFonts w:cs="宋体" w:asciiTheme="minorEastAsia" w:hAnsiTheme="minorEastAsia" w:eastAsiaTheme="minorEastAsia"/>
                <w:color w:val="000000" w:themeColor="text1"/>
                <w:spacing w:val="1"/>
                <w:kern w:val="0"/>
                <w:sz w:val="21"/>
                <w:szCs w:val="21"/>
                <w:highlight w:val="none"/>
                <w14:textFill>
                  <w14:solidFill>
                    <w14:schemeClr w14:val="tx1"/>
                  </w14:solidFill>
                </w14:textFill>
              </w:rPr>
            </w:pPr>
          </w:p>
        </w:tc>
        <w:tc>
          <w:tcPr>
            <w:tcW w:w="9327" w:type="dxa"/>
          </w:tcPr>
          <w:p w14:paraId="54A6510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一、采购人基本情况</w:t>
            </w:r>
          </w:p>
          <w:p w14:paraId="4371C6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现在单位约</w:t>
            </w:r>
            <w:r>
              <w:rPr>
                <w:rFonts w:hint="eastAsia" w:ascii="宋体" w:hAnsi="宋体" w:eastAsia="宋体" w:cs="宋体"/>
                <w:color w:val="000000" w:themeColor="text1"/>
                <w:sz w:val="21"/>
                <w:szCs w:val="21"/>
                <w:highlight w:val="none"/>
                <w:lang w:val="en-US" w:eastAsia="zh-CN"/>
                <w14:textFill>
                  <w14:solidFill>
                    <w14:schemeClr w14:val="tx1"/>
                  </w14:solidFill>
                </w14:textFill>
              </w:rPr>
              <w:t>98</w:t>
            </w:r>
            <w:r>
              <w:rPr>
                <w:rFonts w:hint="eastAsia" w:ascii="宋体" w:hAnsi="宋体" w:eastAsia="宋体" w:cs="宋体"/>
                <w:color w:val="000000" w:themeColor="text1"/>
                <w:sz w:val="21"/>
                <w:szCs w:val="21"/>
                <w:highlight w:val="none"/>
                <w14:textFill>
                  <w14:solidFill>
                    <w14:schemeClr w14:val="tx1"/>
                  </w14:solidFill>
                </w14:textFill>
              </w:rPr>
              <w:t>人用餐，一天两餐自助餐形式开餐，每月22个工作日承包商负责日常餐厅原材料的采购和配送，保证职工餐厅正常开餐，保障本单位应对突发事件和应急备勤时期的原材料供给</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9D1FA1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二、采购基本要求</w:t>
            </w:r>
          </w:p>
          <w:p w14:paraId="425F87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食材必须符合新的《食品安全法》第三章“食品安全标准”中的规定。食品中污染物限量应符合GB2762-2017标准规定。不得采购转基因食品或利用转基因食品原料加工的成品。食品原料新鲜、清洁卫生，同时对每批次食品原料进行检测，具有质量检验报告（近期）。具体要求为：</w:t>
            </w:r>
          </w:p>
          <w:p w14:paraId="60FA49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所有食材均须符合《中华人民共和国食品安全法》，须具备所配送产品的检测报告或食品检验合格证；主要食材应选取</w:t>
            </w:r>
            <w:r>
              <w:rPr>
                <w:rFonts w:hint="eastAsia" w:ascii="宋体" w:hAnsi="宋体" w:eastAsia="宋体" w:cs="宋体"/>
                <w:color w:val="000000" w:themeColor="text1"/>
                <w:sz w:val="21"/>
                <w:szCs w:val="21"/>
                <w:highlight w:val="none"/>
                <w:lang w:val="en-US" w:eastAsia="zh-CN"/>
                <w14:textFill>
                  <w14:solidFill>
                    <w14:schemeClr w14:val="tx1"/>
                  </w14:solidFill>
                </w14:textFill>
              </w:rPr>
              <w:t>优质品牌</w:t>
            </w:r>
            <w:r>
              <w:rPr>
                <w:rFonts w:hint="eastAsia" w:ascii="宋体" w:hAnsi="宋体" w:eastAsia="宋体" w:cs="宋体"/>
                <w:color w:val="000000" w:themeColor="text1"/>
                <w:sz w:val="21"/>
                <w:szCs w:val="21"/>
                <w:highlight w:val="none"/>
                <w14:textFill>
                  <w14:solidFill>
                    <w14:schemeClr w14:val="tx1"/>
                  </w14:solidFill>
                </w14:textFill>
              </w:rPr>
              <w:t>。</w:t>
            </w:r>
          </w:p>
          <w:p w14:paraId="7AC944A7">
            <w:pPr>
              <w:spacing w:line="360" w:lineRule="auto"/>
              <w:ind w:firstLine="422"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2、</w:t>
            </w:r>
            <w:r>
              <w:rPr>
                <w:rFonts w:hint="eastAsia" w:ascii="宋体" w:hAnsi="宋体" w:cs="宋体"/>
                <w:b/>
                <w:color w:val="000000" w:themeColor="text1"/>
                <w:kern w:val="0"/>
                <w:sz w:val="21"/>
                <w:szCs w:val="21"/>
                <w:highlight w:val="none"/>
                <w14:textFill>
                  <w14:solidFill>
                    <w14:schemeClr w14:val="tx1"/>
                  </w14:solidFill>
                </w14:textFill>
              </w:rPr>
              <w:t>大米：</w:t>
            </w:r>
            <w:r>
              <w:rPr>
                <w:rFonts w:hint="eastAsia" w:ascii="宋体" w:hAnsi="宋体" w:cs="宋体"/>
                <w:color w:val="000000" w:themeColor="text1"/>
                <w:kern w:val="0"/>
                <w:sz w:val="21"/>
                <w:szCs w:val="21"/>
                <w:highlight w:val="none"/>
                <w14:textFill>
                  <w14:solidFill>
                    <w14:schemeClr w14:val="tx1"/>
                  </w14:solidFill>
                </w14:textFill>
              </w:rPr>
              <w:t>必须符合GB1354标准，拥有“SC”食品生产许可证，水分含量在12°以下，无掺杂、无沙石，碎米少，无黄粒米；</w:t>
            </w:r>
          </w:p>
          <w:p w14:paraId="755F76A8">
            <w:pPr>
              <w:spacing w:line="360" w:lineRule="auto"/>
              <w:ind w:firstLine="422"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3、</w:t>
            </w:r>
            <w:r>
              <w:rPr>
                <w:rFonts w:hint="eastAsia" w:ascii="宋体" w:hAnsi="宋体" w:cs="宋体"/>
                <w:b/>
                <w:color w:val="000000" w:themeColor="text1"/>
                <w:kern w:val="0"/>
                <w:sz w:val="21"/>
                <w:szCs w:val="21"/>
                <w:highlight w:val="none"/>
                <w14:textFill>
                  <w14:solidFill>
                    <w14:schemeClr w14:val="tx1"/>
                  </w14:solidFill>
                </w14:textFill>
              </w:rPr>
              <w:t>食用油：</w:t>
            </w:r>
            <w:r>
              <w:rPr>
                <w:rFonts w:hint="eastAsia" w:ascii="宋体" w:hAnsi="宋体" w:cs="宋体"/>
                <w:color w:val="000000" w:themeColor="text1"/>
                <w:kern w:val="0"/>
                <w:sz w:val="21"/>
                <w:szCs w:val="21"/>
                <w:highlight w:val="none"/>
                <w14:textFill>
                  <w14:solidFill>
                    <w14:schemeClr w14:val="tx1"/>
                  </w14:solidFill>
                </w14:textFill>
              </w:rPr>
              <w:t>必须符合GB1536标准，拥有“SC”食品生产许可证，质量等级一级:有合格检疫报告，外观的色泽、透明度、气味滋味等无异常;定型包装；</w:t>
            </w:r>
          </w:p>
          <w:p w14:paraId="5038F764">
            <w:pPr>
              <w:spacing w:line="360" w:lineRule="auto"/>
              <w:ind w:firstLine="422"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4、</w:t>
            </w:r>
            <w:r>
              <w:rPr>
                <w:rFonts w:ascii="宋体" w:hAnsi="宋体" w:cs="宋体"/>
                <w:b/>
                <w:color w:val="000000" w:themeColor="text1"/>
                <w:kern w:val="0"/>
                <w:sz w:val="21"/>
                <w:szCs w:val="21"/>
                <w:highlight w:val="none"/>
                <w14:textFill>
                  <w14:solidFill>
                    <w14:schemeClr w14:val="tx1"/>
                  </w14:solidFill>
                </w14:textFill>
              </w:rPr>
              <w:t>面粉：</w:t>
            </w:r>
            <w:r>
              <w:rPr>
                <w:rFonts w:hint="eastAsia" w:ascii="宋体" w:hAnsi="宋体" w:cs="宋体"/>
                <w:color w:val="000000" w:themeColor="text1"/>
                <w:kern w:val="0"/>
                <w:sz w:val="21"/>
                <w:szCs w:val="21"/>
                <w:highlight w:val="none"/>
                <w14:textFill>
                  <w14:solidFill>
                    <w14:schemeClr w14:val="tx1"/>
                  </w14:solidFill>
                </w14:textFill>
              </w:rPr>
              <w:t>高筋面粉达GBT86071988国家标准，质量等级一级；低筋面粉达GBT86081988标准，质量等级一级;色泽正常，干爽无异味;包装袋上有注册商标及QS标注，有检验合格证、生产日期和保质期；</w:t>
            </w:r>
          </w:p>
          <w:p w14:paraId="24487D16">
            <w:pPr>
              <w:spacing w:line="360" w:lineRule="auto"/>
              <w:ind w:firstLine="422"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5、</w:t>
            </w:r>
            <w:r>
              <w:rPr>
                <w:rFonts w:ascii="宋体" w:hAnsi="宋体" w:cs="宋体"/>
                <w:b/>
                <w:color w:val="000000" w:themeColor="text1"/>
                <w:kern w:val="0"/>
                <w:sz w:val="21"/>
                <w:szCs w:val="21"/>
                <w:highlight w:val="none"/>
                <w14:textFill>
                  <w14:solidFill>
                    <w14:schemeClr w14:val="tx1"/>
                  </w14:solidFill>
                </w14:textFill>
              </w:rPr>
              <w:t>蔬菜类：</w:t>
            </w:r>
            <w:r>
              <w:rPr>
                <w:rFonts w:hint="eastAsia" w:ascii="宋体" w:hAnsi="宋体" w:cs="宋体"/>
                <w:color w:val="000000" w:themeColor="text1"/>
                <w:kern w:val="0"/>
                <w:sz w:val="21"/>
                <w:szCs w:val="21"/>
                <w:highlight w:val="none"/>
                <w14:textFill>
                  <w14:solidFill>
                    <w14:schemeClr w14:val="tx1"/>
                  </w14:solidFill>
                </w14:textFill>
              </w:rPr>
              <w:t>必须符合GB2763食品中农药最大残留限量标准并具有农药残留检验记录，当季各类新鲜蔬菜以及大棚种植蔬菜，蔬菜类必须保证无黄叶、枯死叶、无虫、无杂质，须48小时内采摘供应，原菜须保证菜面干净、无明显泥土、码放整齐、无破损、大小基本统一、不得过熟或欠熟;净菜须保证菜面完全干净、无泥土、按统一标准加工、码放整齐、无须二次处理可以直接进行熟加工；</w:t>
            </w:r>
          </w:p>
          <w:p w14:paraId="6E9F0220">
            <w:pPr>
              <w:spacing w:line="360" w:lineRule="auto"/>
              <w:ind w:firstLine="422"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6、</w:t>
            </w:r>
            <w:r>
              <w:rPr>
                <w:rFonts w:hint="eastAsia" w:ascii="宋体" w:hAnsi="宋体" w:cs="宋体"/>
                <w:b/>
                <w:color w:val="000000" w:themeColor="text1"/>
                <w:kern w:val="0"/>
                <w:sz w:val="21"/>
                <w:szCs w:val="21"/>
                <w:highlight w:val="none"/>
                <w14:textFill>
                  <w14:solidFill>
                    <w14:schemeClr w14:val="tx1"/>
                  </w14:solidFill>
                </w14:textFill>
              </w:rPr>
              <w:t>肉类、冷冻产品：</w:t>
            </w:r>
            <w:r>
              <w:rPr>
                <w:rFonts w:hint="eastAsia" w:ascii="宋体" w:hAnsi="宋体" w:cs="宋体"/>
                <w:color w:val="000000" w:themeColor="text1"/>
                <w:kern w:val="0"/>
                <w:sz w:val="21"/>
                <w:szCs w:val="21"/>
                <w:highlight w:val="none"/>
                <w14:textFill>
                  <w14:solidFill>
                    <w14:schemeClr w14:val="tx1"/>
                  </w14:solidFill>
                </w14:textFill>
              </w:rPr>
              <w:t>应具有相关</w:t>
            </w:r>
            <w:r>
              <w:rPr>
                <w:rFonts w:hint="eastAsia" w:ascii="宋体" w:hAnsi="宋体" w:cs="宋体"/>
                <w:color w:val="000000" w:themeColor="text1"/>
                <w:kern w:val="0"/>
                <w:sz w:val="20"/>
                <w:szCs w:val="21"/>
                <w:highlight w:val="none"/>
                <w14:textFill>
                  <w14:solidFill>
                    <w14:schemeClr w14:val="tx1"/>
                  </w14:solidFill>
                </w14:textFill>
              </w:rPr>
              <w:t>的</w:t>
            </w:r>
            <w:r>
              <w:rPr>
                <w:rFonts w:hint="eastAsia" w:ascii="宋体" w:hAnsi="宋体" w:cs="宋体"/>
                <w:color w:val="000000" w:themeColor="text1"/>
                <w:kern w:val="0"/>
                <w:sz w:val="21"/>
                <w:szCs w:val="21"/>
                <w:highlight w:val="none"/>
                <w14:textFill>
                  <w14:solidFill>
                    <w14:schemeClr w14:val="tx1"/>
                  </w14:solidFill>
                </w14:textFill>
              </w:rPr>
              <w:t>动物</w:t>
            </w:r>
            <w:r>
              <w:rPr>
                <w:rFonts w:hint="eastAsia" w:ascii="宋体" w:hAnsi="宋体" w:cs="宋体"/>
                <w:color w:val="000000" w:themeColor="text1"/>
                <w:kern w:val="0"/>
                <w:sz w:val="20"/>
                <w:szCs w:val="21"/>
                <w:highlight w:val="none"/>
                <w14:textFill>
                  <w14:solidFill>
                    <w14:schemeClr w14:val="tx1"/>
                  </w14:solidFill>
                </w14:textFill>
              </w:rPr>
              <w:t>防疫条件合格证明</w:t>
            </w:r>
            <w:r>
              <w:rPr>
                <w:rFonts w:hint="eastAsia" w:ascii="宋体" w:hAnsi="宋体" w:cs="宋体"/>
                <w:color w:val="000000" w:themeColor="text1"/>
                <w:kern w:val="0"/>
                <w:sz w:val="21"/>
                <w:szCs w:val="21"/>
                <w:highlight w:val="none"/>
                <w14:textFill>
                  <w14:solidFill>
                    <w14:schemeClr w14:val="tx1"/>
                  </w14:solidFill>
                </w14:textFill>
              </w:rPr>
              <w:t>，供应商应设有固定的经营场所，并具有符合卫生防疫监督部门要求的肉类食材屠宰厂的经营授权书，含水(冰)率符合标准，肉品须表皮洁净、膘厚适中、色泽鲜亮、纹理清晰、肉质细腻、无异味、去骨、无毛、按压无水迹，冻品外包装需完整，无破损，无不封口现象，有生产日期。冻品在解冻后，发现质量问题需退货。符合国家绿色批发市场标准，应具备满足交易需要的冷冻贮藏设施；</w:t>
            </w:r>
          </w:p>
          <w:p w14:paraId="76B0119C">
            <w:pPr>
              <w:spacing w:line="360" w:lineRule="auto"/>
              <w:ind w:firstLine="422"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7、</w:t>
            </w:r>
            <w:r>
              <w:rPr>
                <w:rFonts w:hint="eastAsia" w:ascii="宋体" w:hAnsi="宋体" w:cs="宋体"/>
                <w:b/>
                <w:color w:val="000000" w:themeColor="text1"/>
                <w:kern w:val="0"/>
                <w:sz w:val="21"/>
                <w:szCs w:val="21"/>
                <w:highlight w:val="none"/>
                <w14:textFill>
                  <w14:solidFill>
                    <w14:schemeClr w14:val="tx1"/>
                  </w14:solidFill>
                </w14:textFill>
              </w:rPr>
              <w:t>蛋类：</w:t>
            </w:r>
            <w:r>
              <w:rPr>
                <w:rFonts w:hint="eastAsia" w:ascii="宋体" w:hAnsi="宋体" w:cs="宋体"/>
                <w:color w:val="000000" w:themeColor="text1"/>
                <w:kern w:val="0"/>
                <w:sz w:val="21"/>
                <w:szCs w:val="21"/>
                <w:highlight w:val="none"/>
                <w14:textFill>
                  <w14:solidFill>
                    <w14:schemeClr w14:val="tx1"/>
                  </w14:solidFill>
                </w14:textFill>
              </w:rPr>
              <w:t>鲜新、大小均匀、无破损、色泽光滑，须出具加盖地方政府监督所检疫章的动物检疫证明；</w:t>
            </w:r>
          </w:p>
          <w:p w14:paraId="43659604">
            <w:pPr>
              <w:spacing w:line="360" w:lineRule="auto"/>
              <w:ind w:firstLine="422"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8、</w:t>
            </w:r>
            <w:r>
              <w:rPr>
                <w:rFonts w:hint="eastAsia" w:ascii="宋体" w:hAnsi="宋体" w:cs="宋体"/>
                <w:b/>
                <w:color w:val="000000" w:themeColor="text1"/>
                <w:kern w:val="0"/>
                <w:sz w:val="21"/>
                <w:szCs w:val="21"/>
                <w:highlight w:val="none"/>
                <w14:textFill>
                  <w14:solidFill>
                    <w14:schemeClr w14:val="tx1"/>
                  </w14:solidFill>
                </w14:textFill>
              </w:rPr>
              <w:t>豆制品、乳制品及其他半成品：</w:t>
            </w:r>
            <w:r>
              <w:rPr>
                <w:rFonts w:hint="eastAsia" w:ascii="宋体" w:hAnsi="宋体" w:cs="宋体"/>
                <w:color w:val="000000" w:themeColor="text1"/>
                <w:kern w:val="0"/>
                <w:sz w:val="21"/>
                <w:szCs w:val="21"/>
                <w:highlight w:val="none"/>
                <w14:textFill>
                  <w14:solidFill>
                    <w14:schemeClr w14:val="tx1"/>
                  </w14:solidFill>
                </w14:textFill>
              </w:rPr>
              <w:t>豆制品须保证食材干净、不含非食品用化学</w:t>
            </w:r>
          </w:p>
          <w:p w14:paraId="118A35C7">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物质、按统一标准加工、码放整齐、无须二次处理可以直接进行熟加工，送货当日时间不得超过保质期的1/3时长；</w:t>
            </w:r>
          </w:p>
          <w:p w14:paraId="2DF5206B">
            <w:pPr>
              <w:spacing w:line="360" w:lineRule="auto"/>
              <w:ind w:firstLine="422"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9、</w:t>
            </w:r>
            <w:r>
              <w:rPr>
                <w:rFonts w:hint="eastAsia" w:ascii="宋体" w:hAnsi="宋体" w:cs="宋体"/>
                <w:b/>
                <w:color w:val="000000" w:themeColor="text1"/>
                <w:kern w:val="0"/>
                <w:sz w:val="21"/>
                <w:szCs w:val="21"/>
                <w:highlight w:val="none"/>
                <w14:textFill>
                  <w14:solidFill>
                    <w14:schemeClr w14:val="tx1"/>
                  </w14:solidFill>
                </w14:textFill>
              </w:rPr>
              <w:t>水产品：</w:t>
            </w:r>
            <w:r>
              <w:rPr>
                <w:rFonts w:hint="eastAsia" w:ascii="宋体" w:hAnsi="宋体" w:cs="宋体"/>
                <w:color w:val="000000" w:themeColor="text1"/>
                <w:kern w:val="0"/>
                <w:sz w:val="21"/>
                <w:szCs w:val="21"/>
                <w:highlight w:val="none"/>
                <w14:textFill>
                  <w14:solidFill>
                    <w14:schemeClr w14:val="tx1"/>
                  </w14:solidFill>
                </w14:textFill>
              </w:rPr>
              <w:t>鱼类要求体表光滑无病灶，有鲜鱼鳞片完整，无鳞鱼无浑浊粘液，肉质干燥，紧密，呈白色或淡黄色眼球外突饱满透明，鳃丝清晰鲜红或暗红，保持活体状态固有本色，无异味，鱼类肌肉紧密有弹性，内脏清晰可辨无腐烂；</w:t>
            </w:r>
          </w:p>
          <w:p w14:paraId="51B32816">
            <w:pPr>
              <w:spacing w:line="360" w:lineRule="auto"/>
              <w:ind w:firstLine="422"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10、</w:t>
            </w:r>
            <w:r>
              <w:rPr>
                <w:rFonts w:hint="eastAsia" w:ascii="宋体" w:hAnsi="宋体" w:cs="宋体"/>
                <w:b/>
                <w:color w:val="000000" w:themeColor="text1"/>
                <w:kern w:val="0"/>
                <w:sz w:val="21"/>
                <w:szCs w:val="21"/>
                <w:highlight w:val="none"/>
                <w14:textFill>
                  <w14:solidFill>
                    <w14:schemeClr w14:val="tx1"/>
                  </w14:solidFill>
                </w14:textFill>
              </w:rPr>
              <w:t>水果：</w:t>
            </w:r>
            <w:r>
              <w:rPr>
                <w:rFonts w:hint="eastAsia" w:ascii="宋体" w:hAnsi="宋体" w:cs="宋体"/>
                <w:color w:val="000000" w:themeColor="text1"/>
                <w:kern w:val="0"/>
                <w:sz w:val="21"/>
                <w:szCs w:val="21"/>
                <w:highlight w:val="none"/>
                <w14:textFill>
                  <w14:solidFill>
                    <w14:schemeClr w14:val="tx1"/>
                  </w14:solidFill>
                </w14:textFill>
              </w:rPr>
              <w:t>时令各类水果，无虫、无杂质，须48小时内采摘供应，原水果须保证果面干净、无明显泥土、码放整齐、无破损、大小基本统一、不得过熟或欠熟；</w:t>
            </w:r>
          </w:p>
          <w:p w14:paraId="2E2C949B">
            <w:pPr>
              <w:spacing w:line="360" w:lineRule="auto"/>
              <w:ind w:firstLine="422"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lang w:val="en-US" w:eastAsia="zh-CN"/>
                <w14:textFill>
                  <w14:solidFill>
                    <w14:schemeClr w14:val="tx1"/>
                  </w14:solidFill>
                </w14:textFill>
              </w:rPr>
              <w:t>11、</w:t>
            </w:r>
            <w:r>
              <w:rPr>
                <w:rFonts w:hint="eastAsia" w:ascii="宋体" w:hAnsi="宋体" w:cs="宋体"/>
                <w:b/>
                <w:color w:val="000000" w:themeColor="text1"/>
                <w:kern w:val="0"/>
                <w:sz w:val="21"/>
                <w:szCs w:val="21"/>
                <w:highlight w:val="none"/>
                <w14:textFill>
                  <w14:solidFill>
                    <w14:schemeClr w14:val="tx1"/>
                  </w14:solidFill>
                </w14:textFill>
              </w:rPr>
              <w:t>杂粮及调味品：</w:t>
            </w:r>
            <w:r>
              <w:rPr>
                <w:rFonts w:hint="eastAsia" w:ascii="宋体" w:hAnsi="宋体" w:cs="宋体"/>
                <w:color w:val="000000" w:themeColor="text1"/>
                <w:kern w:val="0"/>
                <w:sz w:val="21"/>
                <w:szCs w:val="21"/>
                <w:highlight w:val="none"/>
                <w14:textFill>
                  <w14:solidFill>
                    <w14:schemeClr w14:val="tx1"/>
                  </w14:solidFill>
                </w14:textFill>
              </w:rPr>
              <w:t>品质好，无霉变、无杂质，定型包装调味品必须具有“SC”食品生产许可证，色泽正常，具有该品种固有的香味，滋味无异味，油酱均匀的酱体或无结块的粉状固体，封口平整，外包装无污物、无泄漏，无胀袋或胖听或鼓盖现象，无变质发霉现象；</w:t>
            </w:r>
          </w:p>
          <w:p w14:paraId="3C46DA48">
            <w:pPr>
              <w:spacing w:line="360" w:lineRule="auto"/>
              <w:ind w:firstLine="422"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清洁及易耗用品：</w:t>
            </w:r>
            <w:r>
              <w:rPr>
                <w:rFonts w:hint="eastAsia" w:ascii="宋体" w:hAnsi="宋体" w:cs="宋体"/>
                <w:color w:val="000000" w:themeColor="text1"/>
                <w:kern w:val="0"/>
                <w:sz w:val="21"/>
                <w:szCs w:val="21"/>
                <w:highlight w:val="none"/>
                <w14:textFill>
                  <w14:solidFill>
                    <w14:schemeClr w14:val="tx1"/>
                  </w14:solidFill>
                </w14:textFill>
              </w:rPr>
              <w:t>餐纸、易耗品、洗洁精等达到使用规范。</w:t>
            </w:r>
          </w:p>
          <w:p w14:paraId="3C76FF1C">
            <w:pPr>
              <w:spacing w:line="360" w:lineRule="auto"/>
              <w:ind w:firstLine="422" w:firstLineChars="200"/>
              <w:rPr>
                <w:b/>
                <w:color w:val="000000" w:themeColor="text1"/>
                <w:kern w:val="0"/>
                <w:sz w:val="21"/>
                <w:szCs w:val="21"/>
                <w:highlight w:val="none"/>
                <w14:textFill>
                  <w14:solidFill>
                    <w14:schemeClr w14:val="tx1"/>
                  </w14:solidFill>
                </w14:textFill>
              </w:rPr>
            </w:pPr>
            <w:r>
              <w:rPr>
                <w:b/>
                <w:color w:val="000000" w:themeColor="text1"/>
                <w:kern w:val="0"/>
                <w:sz w:val="21"/>
                <w:szCs w:val="21"/>
                <w:highlight w:val="none"/>
                <w14:textFill>
                  <w14:solidFill>
                    <w14:schemeClr w14:val="tx1"/>
                  </w14:solidFill>
                </w14:textFill>
              </w:rPr>
              <w:t>注：</w:t>
            </w:r>
            <w:r>
              <w:rPr>
                <w:rFonts w:hint="eastAsia"/>
                <w:b/>
                <w:color w:val="000000" w:themeColor="text1"/>
                <w:kern w:val="0"/>
                <w:sz w:val="21"/>
                <w:szCs w:val="21"/>
                <w:highlight w:val="none"/>
                <w14:textFill>
                  <w14:solidFill>
                    <w14:schemeClr w14:val="tx1"/>
                  </w14:solidFill>
                </w14:textFill>
              </w:rPr>
              <w:t>凡涉及</w:t>
            </w:r>
            <w:r>
              <w:rPr>
                <w:rFonts w:hint="eastAsia"/>
                <w:b/>
                <w:color w:val="000000" w:themeColor="text1"/>
                <w:kern w:val="0"/>
                <w:sz w:val="20"/>
                <w:szCs w:val="21"/>
                <w:highlight w:val="none"/>
                <w14:textFill>
                  <w14:solidFill>
                    <w14:schemeClr w14:val="tx1"/>
                  </w14:solidFill>
                </w14:textFill>
              </w:rPr>
              <w:t>国家</w:t>
            </w:r>
            <w:r>
              <w:rPr>
                <w:rFonts w:hint="eastAsia"/>
                <w:b/>
                <w:color w:val="000000" w:themeColor="text1"/>
                <w:kern w:val="0"/>
                <w:sz w:val="21"/>
                <w:szCs w:val="21"/>
                <w:highlight w:val="none"/>
                <w14:textFill>
                  <w14:solidFill>
                    <w14:schemeClr w14:val="tx1"/>
                  </w14:solidFill>
                </w14:textFill>
              </w:rPr>
              <w:t>或行业相关标准的以最新标准为准，所有食材均须符合《中华人民共和国食品卫生法》、《动物检疫法》、《食品安全国家标准食品添加剂使用标准》（GB2760-2014）等相关规定。</w:t>
            </w:r>
          </w:p>
          <w:p w14:paraId="59D64C0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注：如国家制定新的食品安全标准，即按新标准执行。</w:t>
            </w:r>
          </w:p>
          <w:p w14:paraId="2A2BD314">
            <w:pPr>
              <w:widowControl/>
              <w:spacing w:line="360" w:lineRule="auto"/>
              <w:jc w:val="left"/>
              <w:rPr>
                <w:rFonts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b/>
                <w:color w:val="000000" w:themeColor="text1"/>
                <w:kern w:val="0"/>
                <w:sz w:val="21"/>
                <w:szCs w:val="21"/>
                <w:highlight w:val="none"/>
                <w14:textFill>
                  <w14:solidFill>
                    <w14:schemeClr w14:val="tx1"/>
                  </w14:solidFill>
                </w14:textFill>
              </w:rPr>
              <w:t>三、质量要求：</w:t>
            </w:r>
          </w:p>
          <w:p w14:paraId="10DAD364">
            <w:pPr>
              <w:widowControl/>
              <w:spacing w:line="360" w:lineRule="auto"/>
              <w:ind w:firstLine="400" w:firstLineChars="200"/>
              <w:jc w:val="left"/>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asciiTheme="minorEastAsia" w:hAnsiTheme="minorEastAsia" w:eastAsiaTheme="minorEastAsia"/>
                <w:color w:val="000000" w:themeColor="text1"/>
                <w:kern w:val="0"/>
                <w:sz w:val="20"/>
                <w:szCs w:val="21"/>
                <w:highlight w:val="none"/>
                <w14:textFill>
                  <w14:solidFill>
                    <w14:schemeClr w14:val="tx1"/>
                  </w14:solidFill>
                </w14:textFill>
              </w:rPr>
              <w:t>3.1</w:t>
            </w:r>
            <w:r>
              <w:rPr>
                <w:rFonts w:hint="eastAsia" w:cs="Times New Roman" w:asciiTheme="minorEastAsia" w:hAnsiTheme="minorEastAsia" w:eastAsiaTheme="minorEastAsia"/>
                <w:bCs/>
                <w:color w:val="000000" w:themeColor="text1"/>
                <w:kern w:val="0"/>
                <w:sz w:val="21"/>
                <w:szCs w:val="21"/>
                <w:highlight w:val="none"/>
                <w:lang w:val="en-US" w:eastAsia="zh-CN" w:bidi="ar-SA"/>
                <w14:textFill>
                  <w14:solidFill>
                    <w14:schemeClr w14:val="tx1"/>
                  </w14:solidFill>
                </w14:textFill>
              </w:rPr>
              <w:t>服务质量：合格（符合国家（行业）强制性标准及采购人要求）。</w:t>
            </w:r>
          </w:p>
          <w:p w14:paraId="21880A1D">
            <w:pPr>
              <w:pStyle w:val="5"/>
              <w:spacing w:line="360" w:lineRule="auto"/>
              <w:ind w:firstLine="400"/>
              <w:rPr>
                <w:rFonts w:asciiTheme="minorEastAsia" w:hAnsiTheme="minorEastAsia" w:eastAsiaTheme="minorEastAsia"/>
                <w:bCs/>
                <w:color w:val="000000" w:themeColor="text1"/>
                <w:kern w:val="0"/>
                <w:sz w:val="20"/>
                <w:szCs w:val="21"/>
                <w:highlight w:val="none"/>
                <w14:textFill>
                  <w14:solidFill>
                    <w14:schemeClr w14:val="tx1"/>
                  </w14:solidFill>
                </w14:textFill>
              </w:rPr>
            </w:pPr>
            <w:r>
              <w:rPr>
                <w:rFonts w:asciiTheme="minorEastAsia" w:hAnsiTheme="minorEastAsia" w:eastAsiaTheme="minorEastAsia"/>
                <w:bCs/>
                <w:color w:val="000000" w:themeColor="text1"/>
                <w:kern w:val="0"/>
                <w:sz w:val="20"/>
                <w:szCs w:val="21"/>
                <w:highlight w:val="none"/>
                <w14:textFill>
                  <w14:solidFill>
                    <w14:schemeClr w14:val="tx1"/>
                  </w14:solidFill>
                </w14:textFill>
              </w:rPr>
              <w:t>3.2</w:t>
            </w:r>
            <w:r>
              <w:rPr>
                <w:rFonts w:hint="eastAsia" w:asciiTheme="minorEastAsia" w:hAnsiTheme="minorEastAsia" w:eastAsiaTheme="minorEastAsia"/>
                <w:bCs/>
                <w:color w:val="000000" w:themeColor="text1"/>
                <w:kern w:val="0"/>
                <w:sz w:val="21"/>
                <w:szCs w:val="21"/>
                <w:highlight w:val="none"/>
                <w14:textFill>
                  <w14:solidFill>
                    <w14:schemeClr w14:val="tx1"/>
                  </w14:solidFill>
                </w14:textFill>
              </w:rPr>
              <w:t>服务、产品（如有）执行的标准、规范：</w:t>
            </w:r>
          </w:p>
          <w:p w14:paraId="46C1DF57">
            <w:pPr>
              <w:pStyle w:val="5"/>
              <w:spacing w:line="360" w:lineRule="auto"/>
              <w:rPr>
                <w:rFonts w:asciiTheme="minorEastAsia" w:hAnsiTheme="minorEastAsia" w:eastAsiaTheme="minorEastAsia"/>
                <w:bCs/>
                <w:color w:val="000000" w:themeColor="text1"/>
                <w:kern w:val="0"/>
                <w:sz w:val="20"/>
                <w:szCs w:val="21"/>
                <w:highlight w:val="none"/>
                <w14:textFill>
                  <w14:solidFill>
                    <w14:schemeClr w14:val="tx1"/>
                  </w14:solidFill>
                </w14:textFill>
              </w:rPr>
            </w:pPr>
            <w:r>
              <w:rPr>
                <w:rFonts w:hint="eastAsia" w:asciiTheme="minorEastAsia" w:hAnsiTheme="minorEastAsia" w:eastAsiaTheme="minorEastAsia"/>
                <w:bCs/>
                <w:color w:val="000000" w:themeColor="text1"/>
                <w:kern w:val="0"/>
                <w:sz w:val="21"/>
                <w:szCs w:val="21"/>
                <w:highlight w:val="none"/>
                <w14:textFill>
                  <w14:solidFill>
                    <w14:schemeClr w14:val="tx1"/>
                  </w14:solidFill>
                </w14:textFill>
              </w:rPr>
              <w:t>（1）国家标准、规范</w:t>
            </w:r>
            <w:r>
              <w:rPr>
                <w:rFonts w:hint="eastAsia" w:asciiTheme="minorEastAsia" w:hAnsiTheme="minorEastAsia" w:eastAsiaTheme="minorEastAsia"/>
                <w:bCs/>
                <w:color w:val="000000" w:themeColor="text1"/>
                <w:kern w:val="0"/>
                <w:sz w:val="21"/>
                <w:szCs w:val="21"/>
                <w:highlight w:val="none"/>
                <w:u w:val="single"/>
                <w14:textFill>
                  <w14:solidFill>
                    <w14:schemeClr w14:val="tx1"/>
                  </w14:solidFill>
                </w14:textFill>
              </w:rPr>
              <w:t>/</w:t>
            </w:r>
            <w:r>
              <w:rPr>
                <w:rFonts w:hint="eastAsia" w:asciiTheme="minorEastAsia" w:hAnsiTheme="minorEastAsia" w:eastAsiaTheme="minorEastAsia"/>
                <w:bCs/>
                <w:color w:val="000000" w:themeColor="text1"/>
                <w:kern w:val="0"/>
                <w:sz w:val="21"/>
                <w:szCs w:val="21"/>
                <w:highlight w:val="none"/>
                <w14:textFill>
                  <w14:solidFill>
                    <w14:schemeClr w14:val="tx1"/>
                  </w14:solidFill>
                </w14:textFill>
              </w:rPr>
              <w:t>；</w:t>
            </w:r>
          </w:p>
          <w:p w14:paraId="696DC5DA">
            <w:pPr>
              <w:pStyle w:val="5"/>
              <w:spacing w:line="360" w:lineRule="auto"/>
              <w:rPr>
                <w:rFonts w:asciiTheme="minorEastAsia" w:hAnsiTheme="minorEastAsia" w:eastAsiaTheme="minorEastAsia"/>
                <w:bCs/>
                <w:color w:val="000000" w:themeColor="text1"/>
                <w:kern w:val="0"/>
                <w:sz w:val="20"/>
                <w:szCs w:val="21"/>
                <w:highlight w:val="none"/>
                <w14:textFill>
                  <w14:solidFill>
                    <w14:schemeClr w14:val="tx1"/>
                  </w14:solidFill>
                </w14:textFill>
              </w:rPr>
            </w:pPr>
            <w:r>
              <w:rPr>
                <w:rFonts w:hint="eastAsia" w:asciiTheme="minorEastAsia" w:hAnsiTheme="minorEastAsia" w:eastAsiaTheme="minorEastAsia"/>
                <w:bCs/>
                <w:color w:val="000000" w:themeColor="text1"/>
                <w:kern w:val="0"/>
                <w:sz w:val="21"/>
                <w:szCs w:val="21"/>
                <w:highlight w:val="none"/>
                <w14:textFill>
                  <w14:solidFill>
                    <w14:schemeClr w14:val="tx1"/>
                  </w14:solidFill>
                </w14:textFill>
              </w:rPr>
              <w:t>（2）行业标准、规范</w:t>
            </w:r>
            <w:r>
              <w:rPr>
                <w:rFonts w:hint="eastAsia" w:asciiTheme="minorEastAsia" w:hAnsiTheme="minorEastAsia" w:eastAsiaTheme="minorEastAsia"/>
                <w:bCs/>
                <w:color w:val="000000" w:themeColor="text1"/>
                <w:kern w:val="0"/>
                <w:sz w:val="21"/>
                <w:szCs w:val="21"/>
                <w:highlight w:val="none"/>
                <w:u w:val="single"/>
                <w14:textFill>
                  <w14:solidFill>
                    <w14:schemeClr w14:val="tx1"/>
                  </w14:solidFill>
                </w14:textFill>
              </w:rPr>
              <w:t>/</w:t>
            </w:r>
            <w:r>
              <w:rPr>
                <w:rFonts w:hint="eastAsia" w:asciiTheme="minorEastAsia" w:hAnsiTheme="minorEastAsia" w:eastAsiaTheme="minorEastAsia"/>
                <w:bCs/>
                <w:color w:val="000000" w:themeColor="text1"/>
                <w:kern w:val="0"/>
                <w:sz w:val="21"/>
                <w:szCs w:val="21"/>
                <w:highlight w:val="none"/>
                <w14:textFill>
                  <w14:solidFill>
                    <w14:schemeClr w14:val="tx1"/>
                  </w14:solidFill>
                </w14:textFill>
              </w:rPr>
              <w:t>；</w:t>
            </w:r>
          </w:p>
          <w:p w14:paraId="775D588C">
            <w:pPr>
              <w:pStyle w:val="5"/>
              <w:spacing w:line="360" w:lineRule="auto"/>
              <w:rPr>
                <w:rFonts w:asciiTheme="minorEastAsia" w:hAnsiTheme="minorEastAsia" w:eastAsiaTheme="minorEastAsia"/>
                <w:bCs/>
                <w:color w:val="000000" w:themeColor="text1"/>
                <w:kern w:val="0"/>
                <w:sz w:val="20"/>
                <w:szCs w:val="21"/>
                <w:highlight w:val="none"/>
                <w14:textFill>
                  <w14:solidFill>
                    <w14:schemeClr w14:val="tx1"/>
                  </w14:solidFill>
                </w14:textFill>
              </w:rPr>
            </w:pPr>
            <w:r>
              <w:rPr>
                <w:rFonts w:hint="eastAsia" w:asciiTheme="minorEastAsia" w:hAnsiTheme="minorEastAsia" w:eastAsiaTheme="minorEastAsia"/>
                <w:bCs/>
                <w:color w:val="000000" w:themeColor="text1"/>
                <w:kern w:val="0"/>
                <w:sz w:val="21"/>
                <w:szCs w:val="21"/>
                <w:highlight w:val="none"/>
                <w14:textFill>
                  <w14:solidFill>
                    <w14:schemeClr w14:val="tx1"/>
                  </w14:solidFill>
                </w14:textFill>
              </w:rPr>
              <w:t>（3）地方标准、规范</w:t>
            </w:r>
            <w:r>
              <w:rPr>
                <w:rFonts w:hint="eastAsia" w:asciiTheme="minorEastAsia" w:hAnsiTheme="minorEastAsia" w:eastAsiaTheme="minorEastAsia"/>
                <w:bCs/>
                <w:color w:val="000000" w:themeColor="text1"/>
                <w:kern w:val="0"/>
                <w:sz w:val="21"/>
                <w:szCs w:val="21"/>
                <w:highlight w:val="none"/>
                <w:u w:val="single"/>
                <w14:textFill>
                  <w14:solidFill>
                    <w14:schemeClr w14:val="tx1"/>
                  </w14:solidFill>
                </w14:textFill>
              </w:rPr>
              <w:t>/</w:t>
            </w:r>
            <w:r>
              <w:rPr>
                <w:rFonts w:hint="eastAsia" w:asciiTheme="minorEastAsia" w:hAnsiTheme="minorEastAsia" w:eastAsiaTheme="minorEastAsia"/>
                <w:bCs/>
                <w:color w:val="000000" w:themeColor="text1"/>
                <w:kern w:val="0"/>
                <w:sz w:val="21"/>
                <w:szCs w:val="21"/>
                <w:highlight w:val="none"/>
                <w14:textFill>
                  <w14:solidFill>
                    <w14:schemeClr w14:val="tx1"/>
                  </w14:solidFill>
                </w14:textFill>
              </w:rPr>
              <w:t>；</w:t>
            </w:r>
          </w:p>
          <w:p w14:paraId="0C4C24FA">
            <w:pPr>
              <w:pStyle w:val="5"/>
              <w:spacing w:line="360" w:lineRule="auto"/>
              <w:rPr>
                <w:rFonts w:asciiTheme="minorEastAsia" w:hAnsiTheme="minorEastAsia" w:eastAsiaTheme="minorEastAsia"/>
                <w:bCs/>
                <w:color w:val="000000" w:themeColor="text1"/>
                <w:kern w:val="0"/>
                <w:sz w:val="20"/>
                <w:szCs w:val="21"/>
                <w:highlight w:val="none"/>
                <w14:textFill>
                  <w14:solidFill>
                    <w14:schemeClr w14:val="tx1"/>
                  </w14:solidFill>
                </w14:textFill>
              </w:rPr>
            </w:pPr>
            <w:r>
              <w:rPr>
                <w:rFonts w:hint="eastAsia" w:asciiTheme="minorEastAsia" w:hAnsiTheme="minorEastAsia" w:eastAsiaTheme="minorEastAsia"/>
                <w:bCs/>
                <w:color w:val="000000" w:themeColor="text1"/>
                <w:kern w:val="0"/>
                <w:sz w:val="21"/>
                <w:szCs w:val="21"/>
                <w:highlight w:val="none"/>
                <w14:textFill>
                  <w14:solidFill>
                    <w14:schemeClr w14:val="tx1"/>
                  </w14:solidFill>
                </w14:textFill>
              </w:rPr>
              <w:t>（4）团体标准、规范</w:t>
            </w:r>
            <w:r>
              <w:rPr>
                <w:rFonts w:hint="eastAsia" w:asciiTheme="minorEastAsia" w:hAnsiTheme="minorEastAsia" w:eastAsiaTheme="minorEastAsia"/>
                <w:bCs/>
                <w:color w:val="000000" w:themeColor="text1"/>
                <w:kern w:val="0"/>
                <w:sz w:val="21"/>
                <w:szCs w:val="21"/>
                <w:highlight w:val="none"/>
                <w:u w:val="single"/>
                <w14:textFill>
                  <w14:solidFill>
                    <w14:schemeClr w14:val="tx1"/>
                  </w14:solidFill>
                </w14:textFill>
              </w:rPr>
              <w:t>/</w:t>
            </w:r>
            <w:r>
              <w:rPr>
                <w:rFonts w:hint="eastAsia" w:asciiTheme="minorEastAsia" w:hAnsiTheme="minorEastAsia" w:eastAsiaTheme="minorEastAsia"/>
                <w:bCs/>
                <w:color w:val="000000" w:themeColor="text1"/>
                <w:kern w:val="0"/>
                <w:sz w:val="21"/>
                <w:szCs w:val="21"/>
                <w:highlight w:val="none"/>
                <w14:textFill>
                  <w14:solidFill>
                    <w14:schemeClr w14:val="tx1"/>
                  </w14:solidFill>
                </w14:textFill>
              </w:rPr>
              <w:t>；</w:t>
            </w:r>
          </w:p>
          <w:p w14:paraId="31ACF2C4">
            <w:pPr>
              <w:pStyle w:val="5"/>
              <w:spacing w:line="360" w:lineRule="auto"/>
              <w:rPr>
                <w:rFonts w:asciiTheme="minorEastAsia" w:hAnsiTheme="minorEastAsia" w:eastAsiaTheme="minorEastAsia"/>
                <w:bCs/>
                <w:color w:val="000000" w:themeColor="text1"/>
                <w:kern w:val="0"/>
                <w:sz w:val="20"/>
                <w:szCs w:val="21"/>
                <w:highlight w:val="none"/>
                <w14:textFill>
                  <w14:solidFill>
                    <w14:schemeClr w14:val="tx1"/>
                  </w14:solidFill>
                </w14:textFill>
              </w:rPr>
            </w:pPr>
            <w:r>
              <w:rPr>
                <w:rFonts w:hint="eastAsia" w:asciiTheme="minorEastAsia" w:hAnsiTheme="minorEastAsia" w:eastAsiaTheme="minorEastAsia"/>
                <w:bCs/>
                <w:color w:val="000000" w:themeColor="text1"/>
                <w:kern w:val="0"/>
                <w:sz w:val="21"/>
                <w:szCs w:val="21"/>
                <w:highlight w:val="none"/>
                <w14:textFill>
                  <w14:solidFill>
                    <w14:schemeClr w14:val="tx1"/>
                  </w14:solidFill>
                </w14:textFill>
              </w:rPr>
              <w:t>（5）企业标准、规范</w:t>
            </w:r>
            <w:r>
              <w:rPr>
                <w:rFonts w:hint="eastAsia" w:asciiTheme="minorEastAsia" w:hAnsiTheme="minorEastAsia" w:eastAsiaTheme="minorEastAsia"/>
                <w:bCs/>
                <w:color w:val="000000" w:themeColor="text1"/>
                <w:kern w:val="0"/>
                <w:sz w:val="21"/>
                <w:szCs w:val="21"/>
                <w:highlight w:val="none"/>
                <w:u w:val="single"/>
                <w14:textFill>
                  <w14:solidFill>
                    <w14:schemeClr w14:val="tx1"/>
                  </w14:solidFill>
                </w14:textFill>
              </w:rPr>
              <w:t>/</w:t>
            </w:r>
            <w:r>
              <w:rPr>
                <w:rFonts w:hint="eastAsia" w:asciiTheme="minorEastAsia" w:hAnsiTheme="minorEastAsia" w:eastAsiaTheme="minorEastAsia"/>
                <w:bCs/>
                <w:color w:val="000000" w:themeColor="text1"/>
                <w:kern w:val="0"/>
                <w:sz w:val="21"/>
                <w:szCs w:val="21"/>
                <w:highlight w:val="none"/>
                <w14:textFill>
                  <w14:solidFill>
                    <w14:schemeClr w14:val="tx1"/>
                  </w14:solidFill>
                </w14:textFill>
              </w:rPr>
              <w:t>。</w:t>
            </w:r>
          </w:p>
          <w:p w14:paraId="7E568094">
            <w:pPr>
              <w:pStyle w:val="5"/>
              <w:spacing w:line="360" w:lineRule="auto"/>
              <w:ind w:firstLine="400"/>
              <w:rPr>
                <w:rFonts w:asciiTheme="minorEastAsia" w:hAnsiTheme="minorEastAsia" w:eastAsiaTheme="minorEastAsia"/>
                <w:color w:val="000000" w:themeColor="text1"/>
                <w:kern w:val="0"/>
                <w:sz w:val="20"/>
                <w:szCs w:val="21"/>
                <w:highlight w:val="none"/>
                <w14:textFill>
                  <w14:solidFill>
                    <w14:schemeClr w14:val="tx1"/>
                  </w14:solidFill>
                </w14:textFill>
              </w:rPr>
            </w:pPr>
            <w:r>
              <w:rPr>
                <w:rFonts w:asciiTheme="minorEastAsia" w:hAnsiTheme="minorEastAsia" w:eastAsiaTheme="minorEastAsia"/>
                <w:color w:val="000000" w:themeColor="text1"/>
                <w:kern w:val="0"/>
                <w:sz w:val="20"/>
                <w:szCs w:val="21"/>
                <w:highlight w:val="none"/>
                <w14:textFill>
                  <w14:solidFill>
                    <w14:schemeClr w14:val="tx1"/>
                  </w14:solidFill>
                </w14:textFill>
              </w:rPr>
              <w:t>3.3</w:t>
            </w:r>
            <w:r>
              <w:rPr>
                <w:rFonts w:hint="eastAsia" w:asciiTheme="minorEastAsia" w:hAnsiTheme="minorEastAsia" w:eastAsiaTheme="minorEastAsia"/>
                <w:color w:val="000000" w:themeColor="text1"/>
                <w:kern w:val="0"/>
                <w:sz w:val="21"/>
                <w:szCs w:val="21"/>
                <w:highlight w:val="none"/>
                <w14:textFill>
                  <w14:solidFill>
                    <w14:schemeClr w14:val="tx1"/>
                  </w14:solidFill>
                </w14:textFill>
              </w:rPr>
              <w:t>本章</w:t>
            </w:r>
            <w:r>
              <w:rPr>
                <w:rFonts w:asciiTheme="minorEastAsia" w:hAnsiTheme="minorEastAsia" w:eastAsiaTheme="minorEastAsia"/>
                <w:color w:val="000000" w:themeColor="text1"/>
                <w:kern w:val="0"/>
                <w:sz w:val="20"/>
                <w:szCs w:val="21"/>
                <w:highlight w:val="none"/>
                <w14:textFill>
                  <w14:solidFill>
                    <w14:schemeClr w14:val="tx1"/>
                  </w14:solidFill>
                </w14:textFill>
              </w:rPr>
              <w:t>3.2</w:t>
            </w:r>
            <w:r>
              <w:rPr>
                <w:rFonts w:hint="eastAsia" w:asciiTheme="minorEastAsia" w:hAnsiTheme="minorEastAsia" w:eastAsiaTheme="minorEastAsia"/>
                <w:color w:val="000000" w:themeColor="text1"/>
                <w:kern w:val="0"/>
                <w:sz w:val="21"/>
                <w:szCs w:val="21"/>
                <w:highlight w:val="none"/>
                <w14:textFill>
                  <w14:solidFill>
                    <w14:schemeClr w14:val="tx1"/>
                  </w14:solidFill>
                </w14:textFill>
              </w:rPr>
              <w:t>款未明确服务（产品）执行标准、规范的，按下列方法进行选择：</w:t>
            </w:r>
          </w:p>
          <w:p w14:paraId="0C41BAAF">
            <w:pPr>
              <w:pStyle w:val="5"/>
              <w:spacing w:line="360" w:lineRule="auto"/>
              <w:rPr>
                <w:rFonts w:asciiTheme="minorEastAsia" w:hAnsiTheme="minorEastAsia" w:eastAsiaTheme="minorEastAsia"/>
                <w:color w:val="000000" w:themeColor="text1"/>
                <w:kern w:val="0"/>
                <w:sz w:val="20"/>
                <w:szCs w:val="21"/>
                <w:highlight w:val="none"/>
                <w14:textFill>
                  <w14:solidFill>
                    <w14:schemeClr w14:val="tx1"/>
                  </w14:solidFill>
                </w14:textFill>
              </w:rPr>
            </w:pPr>
            <w:r>
              <w:rPr>
                <w:rFonts w:hint="eastAsia" w:asciiTheme="minorEastAsia" w:hAnsiTheme="minorEastAsia" w:eastAsiaTheme="minorEastAsia"/>
                <w:color w:val="000000" w:themeColor="text1"/>
                <w:kern w:val="0"/>
                <w:sz w:val="21"/>
                <w:szCs w:val="21"/>
                <w:highlight w:val="none"/>
                <w14:textFill>
                  <w14:solidFill>
                    <w14:schemeClr w14:val="tx1"/>
                  </w14:solidFill>
                </w14:textFill>
              </w:rPr>
              <w:t>□顺序执行：国家标准→行业标准→地方标准→团体标准→企业标准（有国家标准按国家标准执行，没有国家标准按行业标准，以此类推）；</w:t>
            </w:r>
          </w:p>
          <w:p w14:paraId="208BDE2F">
            <w:pPr>
              <w:pStyle w:val="5"/>
              <w:spacing w:line="360" w:lineRule="auto"/>
              <w:rPr>
                <w:rFonts w:asciiTheme="minorEastAsia" w:hAnsiTheme="minorEastAsia" w:eastAsiaTheme="minorEastAsia"/>
                <w:color w:val="000000" w:themeColor="text1"/>
                <w:kern w:val="0"/>
                <w:sz w:val="20"/>
                <w:szCs w:val="21"/>
                <w:highlight w:val="none"/>
                <w14:textFill>
                  <w14:solidFill>
                    <w14:schemeClr w14:val="tx1"/>
                  </w14:solidFill>
                </w14:textFill>
              </w:rPr>
            </w:pPr>
            <w:r>
              <w:rPr>
                <w:rFonts w:hint="eastAsia" w:asciiTheme="minorEastAsia" w:hAnsiTheme="minorEastAsia" w:eastAsiaTheme="minorEastAsia"/>
                <w:color w:val="000000" w:themeColor="text1"/>
                <w:kern w:val="0"/>
                <w:sz w:val="21"/>
                <w:szCs w:val="21"/>
                <w:highlight w:val="none"/>
                <w14:textFill>
                  <w14:solidFill>
                    <w14:schemeClr w14:val="tx1"/>
                  </w14:solidFill>
                </w14:textFill>
              </w:rPr>
              <w:t>□最高标准执行：国家标准，行业标准，地方标准，团体标准，企业标准（那个标准高执行那个标准）；</w:t>
            </w:r>
          </w:p>
          <w:p w14:paraId="6211F8F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olor w:val="000000" w:themeColor="text1"/>
                <w:kern w:val="0"/>
                <w:sz w:val="21"/>
                <w:szCs w:val="21"/>
                <w:highlight w:val="none"/>
                <w14:textFill>
                  <w14:solidFill>
                    <w14:schemeClr w14:val="tx1"/>
                  </w14:solidFill>
                </w14:textFill>
              </w:rPr>
            </w:pPr>
            <w:r>
              <w:rPr>
                <w:rFonts w:ascii="Segoe UI Symbol" w:hAnsi="Segoe UI Symbol" w:cs="Segoe UI Symbol" w:eastAsiaTheme="minorEastAsia"/>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olor w:val="000000" w:themeColor="text1"/>
                <w:kern w:val="0"/>
                <w:sz w:val="21"/>
                <w:szCs w:val="21"/>
                <w:highlight w:val="none"/>
                <w14:textFill>
                  <w14:solidFill>
                    <w14:schemeClr w14:val="tx1"/>
                  </w14:solidFill>
                </w14:textFill>
              </w:rPr>
              <w:t>必须执行：国家（行业）强制性标准。</w:t>
            </w:r>
          </w:p>
          <w:p w14:paraId="6B8DDE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、食材配送</w:t>
            </w:r>
          </w:p>
          <w:p w14:paraId="4F6F10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蔬菜类每日配送，当日配送种类与数量以前一天采购人书面（传真或邮件）菜单为准，采购人根据需求开出每日菜单的品种及数量，供应方须在当日内做出响应，如有某些菜品出现市场断档，当日及时告知采购人，以便采购人做出必要调整，供应方保证当日</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点前将各类蔬菜配送至采购人指定地点。</w:t>
            </w:r>
          </w:p>
          <w:p w14:paraId="51CB35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肉禽蛋类由采购人根据菜谱需求，提前书面（传真或邮件）告知肉禽蛋类</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肉禽蛋类需求计划，</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须在当日做出响应，如有某些菜品出现市场断档，当日及时告知采购人，以便采购人做出必要调整，肉禽蛋类</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根据菜谱上的每日需求，当天配送。</w:t>
            </w:r>
          </w:p>
          <w:p w14:paraId="2F386D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水产类配送方式同肉禽蛋类配送方式。</w:t>
            </w:r>
          </w:p>
          <w:p w14:paraId="5B4DA3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干货、调味品类由采购人根据菜谱需求，提前书面（传真或邮件）告知</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须在2日内书面（传真或邮件）告知采购人准备情况，每周根据需要配送当周产品。</w:t>
            </w:r>
          </w:p>
          <w:p w14:paraId="3F4189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注：如遇采购人所属单位出现紧急任务或加班备勤等突发状况时，</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必须在第一时间内将食品原材料配送到位。</w:t>
            </w:r>
          </w:p>
          <w:p w14:paraId="561E2F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、供应责任</w:t>
            </w:r>
          </w:p>
          <w:p w14:paraId="391E9E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原材料</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须保证所供原材料均为符合国家卫生、质量检验标准的正规产品，保证配送品种完全满足采购人要求，所有原材料每日均留存样品一份，保存时间为36小时，确认期间无任何食品安全问题后丢弃。</w:t>
            </w:r>
          </w:p>
          <w:p w14:paraId="13C9AE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原材料没有按时按要求配送到位，影响采购人员工餐厅正常开餐的，以当日需求计划总量两倍价款赔付当日损失，</w:t>
            </w:r>
            <w:r>
              <w:rPr>
                <w:rFonts w:hint="eastAsia" w:ascii="宋体" w:hAnsi="宋体" w:eastAsia="宋体" w:cs="宋体"/>
                <w:color w:val="000000" w:themeColor="text1"/>
                <w:sz w:val="21"/>
                <w:szCs w:val="21"/>
                <w:highlight w:val="none"/>
                <w:lang w:val="en-US" w:eastAsia="zh-CN"/>
                <w14:textFill>
                  <w14:solidFill>
                    <w14:schemeClr w14:val="tx1"/>
                  </w14:solidFill>
                </w14:textFill>
              </w:rPr>
              <w:t>同时责任原材料供应商应支付当日需求计划总量30%价款作为违约金</w:t>
            </w:r>
            <w:r>
              <w:rPr>
                <w:rFonts w:hint="eastAsia" w:ascii="宋体" w:hAnsi="宋体" w:eastAsia="宋体" w:cs="宋体"/>
                <w:color w:val="000000" w:themeColor="text1"/>
                <w:sz w:val="21"/>
                <w:szCs w:val="21"/>
                <w:highlight w:val="none"/>
                <w14:textFill>
                  <w14:solidFill>
                    <w14:schemeClr w14:val="tx1"/>
                  </w14:solidFill>
                </w14:textFill>
              </w:rPr>
              <w:t>。</w:t>
            </w:r>
          </w:p>
          <w:p w14:paraId="6A1C53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原材料在验收时有不符合要求的，一律退回，</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无条件重新更换配送货物，更换后仍然不符合标准的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供应商应支付违约金；同时应明确违约金数额，可以约定以当日需求计划总量30%价款作为违约金</w:t>
            </w:r>
            <w:r>
              <w:rPr>
                <w:rFonts w:hint="eastAsia" w:ascii="宋体" w:hAnsi="宋体" w:eastAsia="宋体" w:cs="宋体"/>
                <w:color w:val="000000" w:themeColor="text1"/>
                <w:sz w:val="21"/>
                <w:szCs w:val="21"/>
                <w:highlight w:val="none"/>
                <w14:textFill>
                  <w14:solidFill>
                    <w14:schemeClr w14:val="tx1"/>
                  </w14:solidFill>
                </w14:textFill>
              </w:rPr>
              <w:t>。</w:t>
            </w:r>
          </w:p>
          <w:p w14:paraId="0F4A5A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任何因原材料质量问题导致的食品安全或食物中毒责任，在确认导致问题的原材料品种后，由该</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承担全部法律责任与经济损失，除对采购人进行赔付外，采购人有权单方终止合同。</w:t>
            </w:r>
          </w:p>
          <w:p w14:paraId="0BF8DD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原材料供应管理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5D0D0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根据采购人要求进行必要的货源组织，提供种类明细与价格。</w:t>
            </w:r>
          </w:p>
          <w:p w14:paraId="27F16C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为与采购人合作成立独立小组或团队、项目经理介绍与组织架构设计。</w:t>
            </w:r>
          </w:p>
          <w:p w14:paraId="6490EE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货源组织、配货、配送、验货、会计等专业对口人员的安排与职责划分。</w:t>
            </w:r>
          </w:p>
          <w:p w14:paraId="455456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确保原材料新鲜、安全、及时的各类措施或组织管理办法。</w:t>
            </w:r>
          </w:p>
          <w:p w14:paraId="776AE9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原材料</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对于自身原材料生产、外部原材料的采购、销售，其合格标准与检验标准。</w:t>
            </w:r>
          </w:p>
          <w:p w14:paraId="0AF041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原材料</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对于可能的违约责任或食品安全责任的责任承担说明。</w:t>
            </w:r>
          </w:p>
          <w:p w14:paraId="585CE6FA">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、服务要求</w:t>
            </w:r>
          </w:p>
          <w:p w14:paraId="1A5BD96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须有冷链配送服务，鲜活物品保证在送达指定地点后依旧新鲜。</w:t>
            </w:r>
          </w:p>
          <w:p w14:paraId="7252820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单位将货物按要求保质保量送到</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指定地点，并提供本批次货物的货物清单（含货物种类、数量、价格等）。</w:t>
            </w:r>
          </w:p>
          <w:p w14:paraId="1F4DCDD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单位提供的产品若出现不合格产品或在运输途中出现破损的，应在接到采购人通知后</w:t>
            </w:r>
            <w:r>
              <w:rPr>
                <w:rFonts w:hint="eastAsia" w:ascii="宋体" w:hAnsi="宋体" w:eastAsia="宋体" w:cs="宋体"/>
                <w:color w:val="000000" w:themeColor="text1"/>
                <w:sz w:val="21"/>
                <w:szCs w:val="21"/>
                <w:highlight w:val="none"/>
                <w:lang w:val="en-US" w:eastAsia="zh-CN"/>
                <w14:textFill>
                  <w14:solidFill>
                    <w14:schemeClr w14:val="tx1"/>
                  </w14:solidFill>
                </w14:textFill>
              </w:rPr>
              <w:t>及时</w:t>
            </w:r>
            <w:r>
              <w:rPr>
                <w:rFonts w:hint="eastAsia" w:ascii="宋体" w:hAnsi="宋体" w:eastAsia="宋体" w:cs="宋体"/>
                <w:color w:val="000000" w:themeColor="text1"/>
                <w:sz w:val="21"/>
                <w:szCs w:val="21"/>
                <w:highlight w:val="none"/>
                <w14:textFill>
                  <w14:solidFill>
                    <w14:schemeClr w14:val="tx1"/>
                  </w14:solidFill>
                </w14:textFill>
              </w:rPr>
              <w:t>响应并进行处理。</w:t>
            </w:r>
          </w:p>
          <w:p w14:paraId="2EE52A9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单位必须将所报项目的服务人员在采购人相关科室备案，保证采购人在有供货需求时能顺利联系到服务人员。</w:t>
            </w:r>
          </w:p>
          <w:p w14:paraId="7340C88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单位提供的产品必须是通过正规渠道采购，若发现</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单位提供的产品属于假货，采购人有权进行处罚并终止合同。</w:t>
            </w:r>
          </w:p>
        </w:tc>
      </w:tr>
    </w:tbl>
    <w:p w14:paraId="4FC1CF54">
      <w:pPr>
        <w:spacing w:line="360" w:lineRule="auto"/>
        <w:rPr>
          <w:b/>
          <w:bCs/>
          <w:color w:val="000000" w:themeColor="text1"/>
          <w:spacing w:val="15"/>
          <w:sz w:val="24"/>
          <w:highlight w:val="none"/>
          <w14:textFill>
            <w14:solidFill>
              <w14:schemeClr w14:val="tx1"/>
            </w14:solidFill>
          </w14:textFill>
        </w:rPr>
      </w:pPr>
    </w:p>
    <w:p w14:paraId="4FCF1780">
      <w:pPr>
        <w:spacing w:line="360" w:lineRule="auto"/>
        <w:rPr>
          <w:rFonts w:hint="eastAsia"/>
          <w:b/>
          <w:bCs/>
          <w:color w:val="000000" w:themeColor="text1"/>
          <w:spacing w:val="15"/>
          <w:sz w:val="24"/>
          <w:highlight w:val="none"/>
          <w14:textFill>
            <w14:solidFill>
              <w14:schemeClr w14:val="tx1"/>
            </w14:solidFill>
          </w14:textFill>
        </w:rPr>
      </w:pPr>
      <w:r>
        <w:rPr>
          <w:rFonts w:hint="eastAsia"/>
          <w:b/>
          <w:bCs/>
          <w:color w:val="000000" w:themeColor="text1"/>
          <w:spacing w:val="15"/>
          <w:sz w:val="24"/>
          <w:highlight w:val="none"/>
          <w14:textFill>
            <w14:solidFill>
              <w14:schemeClr w14:val="tx1"/>
            </w14:solidFill>
          </w14:textFill>
        </w:rPr>
        <w:t>3.2.3人员配置要求</w:t>
      </w:r>
    </w:p>
    <w:p w14:paraId="55B8B8A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采购包1：按项目服务要求，服务方自行组织项目实施与管理，建立以项目负责人为核心的服务团队，实行项目负责人责任制，相关人员经过严格培训，能够胜任项目工作，保证项目顺利实施。</w:t>
      </w:r>
    </w:p>
    <w:p w14:paraId="3859F787">
      <w:pPr>
        <w:pStyle w:val="6"/>
        <w:spacing w:line="360" w:lineRule="auto"/>
        <w:rPr>
          <w:b/>
          <w:bCs/>
          <w:color w:val="000000" w:themeColor="text1"/>
          <w:spacing w:val="15"/>
          <w:sz w:val="24"/>
          <w:highlight w:val="none"/>
          <w14:textFill>
            <w14:solidFill>
              <w14:schemeClr w14:val="tx1"/>
            </w14:solidFill>
          </w14:textFill>
        </w:rPr>
      </w:pPr>
      <w:r>
        <w:rPr>
          <w:rFonts w:hint="eastAsia"/>
          <w:b/>
          <w:bCs/>
          <w:color w:val="000000" w:themeColor="text1"/>
          <w:spacing w:val="15"/>
          <w:sz w:val="24"/>
          <w:highlight w:val="none"/>
          <w14:textFill>
            <w14:solidFill>
              <w14:schemeClr w14:val="tx1"/>
            </w14:solidFill>
          </w14:textFill>
        </w:rPr>
        <w:t>3.2.4设施设备要求</w:t>
      </w:r>
    </w:p>
    <w:p w14:paraId="33CB8080">
      <w:pPr>
        <w:pStyle w:val="6"/>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采购包1：根据项目特性，服务商自行投入有利于完成本项目服务各类设施设备（包含但不限于专业设备、辅助设备、工具、软件等）。</w:t>
      </w:r>
    </w:p>
    <w:p w14:paraId="4A1C6D5D">
      <w:pPr>
        <w:pStyle w:val="6"/>
        <w:spacing w:line="360" w:lineRule="auto"/>
        <w:rPr>
          <w:b/>
          <w:bCs/>
          <w:color w:val="000000" w:themeColor="text1"/>
          <w:spacing w:val="15"/>
          <w:sz w:val="24"/>
          <w:highlight w:val="none"/>
          <w14:textFill>
            <w14:solidFill>
              <w14:schemeClr w14:val="tx1"/>
            </w14:solidFill>
          </w14:textFill>
        </w:rPr>
      </w:pPr>
      <w:r>
        <w:rPr>
          <w:rFonts w:hint="eastAsia"/>
          <w:b/>
          <w:bCs/>
          <w:color w:val="000000" w:themeColor="text1"/>
          <w:spacing w:val="15"/>
          <w:sz w:val="24"/>
          <w:highlight w:val="none"/>
          <w14:textFill>
            <w14:solidFill>
              <w14:schemeClr w14:val="tx1"/>
            </w14:solidFill>
          </w14:textFill>
        </w:rPr>
        <w:t>3.2.5其他要求</w:t>
      </w:r>
    </w:p>
    <w:p w14:paraId="1FC98F38">
      <w:pPr>
        <w:pStyle w:val="6"/>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采购包1：</w:t>
      </w:r>
    </w:p>
    <w:p w14:paraId="7263A631">
      <w:pPr>
        <w:pStyle w:val="6"/>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3.2.5.1</w:t>
      </w:r>
      <w:r>
        <w:rPr>
          <w:rFonts w:hint="eastAsia" w:ascii="宋体" w:hAnsi="宋体"/>
          <w:color w:val="000000" w:themeColor="text1"/>
          <w:szCs w:val="21"/>
          <w:highlight w:val="none"/>
          <w14:textFill>
            <w14:solidFill>
              <w14:schemeClr w14:val="tx1"/>
            </w14:solidFill>
          </w14:textFill>
        </w:rPr>
        <w:t>采购人根据实际需求，据实结算服务费用，最终结算总服务费用不超过采购预算</w:t>
      </w:r>
      <w:r>
        <w:rPr>
          <w:rFonts w:hint="eastAsia"/>
          <w:color w:val="000000" w:themeColor="text1"/>
          <w:highlight w:val="none"/>
          <w14:textFill>
            <w14:solidFill>
              <w14:schemeClr w14:val="tx1"/>
            </w14:solidFill>
          </w14:textFill>
        </w:rPr>
        <w:t>。</w:t>
      </w:r>
    </w:p>
    <w:p w14:paraId="00F1C90E">
      <w:pPr>
        <w:pStyle w:val="6"/>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3.2.5.</w:t>
      </w:r>
      <w:r>
        <w:rPr>
          <w:rFonts w:hint="eastAsia"/>
          <w:color w:val="000000" w:themeColor="text1"/>
          <w:highlight w:val="none"/>
          <w:lang w:val="en-US" w:eastAsia="zh-CN"/>
          <w14:textFill>
            <w14:solidFill>
              <w14:schemeClr w14:val="tx1"/>
            </w14:solidFill>
          </w14:textFill>
        </w:rPr>
        <w:t>2供应商在项目成交后,供货前须向采购人提供所投肉类、蛋类产品的《动物防疫条件合格证》，供应商在响应文件中须对此承诺。</w:t>
      </w:r>
    </w:p>
    <w:p w14:paraId="031A416A">
      <w:pPr>
        <w:spacing w:line="360" w:lineRule="auto"/>
        <w:ind w:left="15"/>
        <w:outlineLvl w:val="1"/>
        <w:rPr>
          <w:b/>
          <w:bCs/>
          <w:color w:val="000000" w:themeColor="text1"/>
          <w:spacing w:val="15"/>
          <w:sz w:val="28"/>
          <w:szCs w:val="28"/>
          <w:highlight w:val="none"/>
          <w14:textFill>
            <w14:solidFill>
              <w14:schemeClr w14:val="tx1"/>
            </w14:solidFill>
          </w14:textFill>
        </w:rPr>
      </w:pPr>
      <w:r>
        <w:rPr>
          <w:b/>
          <w:bCs/>
          <w:color w:val="000000" w:themeColor="text1"/>
          <w:spacing w:val="15"/>
          <w:sz w:val="28"/>
          <w:szCs w:val="28"/>
          <w:highlight w:val="none"/>
          <w14:textFill>
            <w14:solidFill>
              <w14:schemeClr w14:val="tx1"/>
            </w14:solidFill>
          </w14:textFill>
        </w:rPr>
        <w:t>3.</w:t>
      </w:r>
      <w:r>
        <w:rPr>
          <w:rFonts w:hint="eastAsia"/>
          <w:b/>
          <w:bCs/>
          <w:color w:val="000000" w:themeColor="text1"/>
          <w:spacing w:val="15"/>
          <w:sz w:val="28"/>
          <w:szCs w:val="28"/>
          <w:highlight w:val="none"/>
          <w14:textFill>
            <w14:solidFill>
              <w14:schemeClr w14:val="tx1"/>
            </w14:solidFill>
          </w14:textFill>
        </w:rPr>
        <w:t>3</w:t>
      </w:r>
      <w:r>
        <w:rPr>
          <w:b/>
          <w:bCs/>
          <w:color w:val="000000" w:themeColor="text1"/>
          <w:spacing w:val="15"/>
          <w:sz w:val="28"/>
          <w:szCs w:val="28"/>
          <w:highlight w:val="none"/>
          <w14:textFill>
            <w14:solidFill>
              <w14:schemeClr w14:val="tx1"/>
            </w14:solidFill>
          </w14:textFill>
        </w:rPr>
        <w:t>商务要求（说明：由采购人依据项目具体需求制定）</w:t>
      </w:r>
    </w:p>
    <w:p w14:paraId="7688A58F">
      <w:pPr>
        <w:spacing w:line="360" w:lineRule="auto"/>
        <w:ind w:left="6"/>
        <w:rPr>
          <w:rFonts w:ascii="宋体" w:hAnsi="宋体" w:cs="宋体"/>
          <w:color w:val="000000" w:themeColor="text1"/>
          <w:szCs w:val="21"/>
          <w:highlight w:val="none"/>
          <w14:textFill>
            <w14:solidFill>
              <w14:schemeClr w14:val="tx1"/>
            </w14:solidFill>
          </w14:textFill>
        </w:rPr>
      </w:pPr>
      <w:r>
        <w:rPr>
          <w:rFonts w:ascii="Microsoft JhengHei" w:hAnsi="Microsoft JhengHei" w:eastAsia="Microsoft JhengHei" w:cs="Microsoft JhengHei"/>
          <w:b/>
          <w:bCs/>
          <w:color w:val="000000" w:themeColor="text1"/>
          <w:spacing w:val="14"/>
          <w:position w:val="14"/>
          <w:szCs w:val="21"/>
          <w:highlight w:val="none"/>
          <w14:textFill>
            <w14:solidFill>
              <w14:schemeClr w14:val="tx1"/>
            </w14:solidFill>
          </w14:textFill>
        </w:rPr>
        <w:t>3.3.1</w:t>
      </w:r>
      <w:r>
        <w:rPr>
          <w:rFonts w:ascii="宋体" w:hAnsi="宋体" w:cs="宋体"/>
          <w:color w:val="000000" w:themeColor="text1"/>
          <w:spacing w:val="14"/>
          <w:position w:val="14"/>
          <w:szCs w:val="21"/>
          <w:highlight w:val="none"/>
          <w14:textFill>
            <w14:solidFill>
              <w14:schemeClr w14:val="tx1"/>
            </w14:solidFill>
          </w14:textFill>
        </w:rPr>
        <w:t>服务期限</w:t>
      </w:r>
    </w:p>
    <w:p w14:paraId="7D1922B8">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采购包</w:t>
      </w:r>
      <w:r>
        <w:rPr>
          <w:rFonts w:ascii="Lucida Sans Unicode" w:hAnsi="Lucida Sans Unicode" w:eastAsia="Lucida Sans Unicode" w:cs="Lucida Sans Unicode"/>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自合同签订生效之日起1年</w:t>
      </w:r>
    </w:p>
    <w:p w14:paraId="23025FD4">
      <w:pPr>
        <w:spacing w:line="360" w:lineRule="auto"/>
        <w:ind w:firstLine="238" w:firstLineChars="100"/>
        <w:rPr>
          <w:rFonts w:ascii="宋体" w:hAnsi="宋体" w:cs="宋体"/>
          <w:color w:val="000000" w:themeColor="text1"/>
          <w:szCs w:val="21"/>
          <w:highlight w:val="none"/>
          <w14:textFill>
            <w14:solidFill>
              <w14:schemeClr w14:val="tx1"/>
            </w14:solidFill>
          </w14:textFill>
        </w:rPr>
      </w:pPr>
      <w:r>
        <w:rPr>
          <w:rFonts w:ascii="Microsoft JhengHei" w:hAnsi="Microsoft JhengHei" w:eastAsia="Microsoft JhengHei" w:cs="Microsoft JhengHei"/>
          <w:b/>
          <w:bCs/>
          <w:color w:val="000000" w:themeColor="text1"/>
          <w:spacing w:val="14"/>
          <w:szCs w:val="21"/>
          <w:highlight w:val="none"/>
          <w14:textFill>
            <w14:solidFill>
              <w14:schemeClr w14:val="tx1"/>
            </w14:solidFill>
          </w14:textFill>
        </w:rPr>
        <w:t>3.3.2</w:t>
      </w:r>
      <w:r>
        <w:rPr>
          <w:rFonts w:ascii="宋体" w:hAnsi="宋体" w:cs="宋体"/>
          <w:color w:val="000000" w:themeColor="text1"/>
          <w:spacing w:val="14"/>
          <w:szCs w:val="21"/>
          <w:highlight w:val="none"/>
          <w14:textFill>
            <w14:solidFill>
              <w14:schemeClr w14:val="tx1"/>
            </w14:solidFill>
          </w14:textFill>
        </w:rPr>
        <w:t>服务地点</w:t>
      </w:r>
    </w:p>
    <w:p w14:paraId="522D2A59">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采购包</w:t>
      </w:r>
      <w:r>
        <w:rPr>
          <w:rFonts w:ascii="Lucida Sans Unicode" w:hAnsi="Lucida Sans Unicode" w:eastAsia="Lucida Sans Unicode" w:cs="Lucida Sans Unicode"/>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：采购人指定地点</w:t>
      </w:r>
    </w:p>
    <w:p w14:paraId="4AF3CA74">
      <w:pPr>
        <w:spacing w:line="360" w:lineRule="auto"/>
        <w:ind w:left="6"/>
        <w:rPr>
          <w:rFonts w:ascii="宋体" w:hAnsi="宋体" w:cs="宋体"/>
          <w:color w:val="000000" w:themeColor="text1"/>
          <w:szCs w:val="21"/>
          <w:highlight w:val="none"/>
          <w14:textFill>
            <w14:solidFill>
              <w14:schemeClr w14:val="tx1"/>
            </w14:solidFill>
          </w14:textFill>
        </w:rPr>
      </w:pPr>
      <w:r>
        <w:rPr>
          <w:rFonts w:ascii="Microsoft JhengHei" w:hAnsi="Microsoft JhengHei" w:eastAsia="Microsoft JhengHei" w:cs="Microsoft JhengHei"/>
          <w:b/>
          <w:bCs/>
          <w:color w:val="000000" w:themeColor="text1"/>
          <w:spacing w:val="14"/>
          <w:position w:val="14"/>
          <w:szCs w:val="21"/>
          <w:highlight w:val="none"/>
          <w14:textFill>
            <w14:solidFill>
              <w14:schemeClr w14:val="tx1"/>
            </w14:solidFill>
          </w14:textFill>
        </w:rPr>
        <w:t>3.3.3</w:t>
      </w:r>
      <w:r>
        <w:rPr>
          <w:rFonts w:ascii="宋体" w:hAnsi="宋体" w:cs="宋体"/>
          <w:color w:val="000000" w:themeColor="text1"/>
          <w:spacing w:val="14"/>
          <w:position w:val="14"/>
          <w:szCs w:val="21"/>
          <w:highlight w:val="none"/>
          <w14:textFill>
            <w14:solidFill>
              <w14:schemeClr w14:val="tx1"/>
            </w14:solidFill>
          </w14:textFill>
        </w:rPr>
        <w:t>考核（验收）标准和方法</w:t>
      </w:r>
    </w:p>
    <w:p w14:paraId="0A3C2162">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采购包</w:t>
      </w:r>
      <w:r>
        <w:rPr>
          <w:rFonts w:ascii="Lucida Sans Unicode" w:hAnsi="Lucida Sans Unicode" w:eastAsia="Lucida Sans Unicode" w:cs="Lucida Sans Unicode"/>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w:t>
      </w:r>
    </w:p>
    <w:p w14:paraId="1B8DD29D">
      <w:pPr>
        <w:keepNext w:val="0"/>
        <w:keepLines w:val="0"/>
        <w:pageBreakBefore w:val="0"/>
        <w:widowControl w:val="0"/>
        <w:kinsoku/>
        <w:wordWrap/>
        <w:overflowPunct/>
        <w:topLinePunct w:val="0"/>
        <w:autoSpaceDE/>
        <w:autoSpaceDN/>
        <w:bidi w:val="0"/>
        <w:adjustRightInd/>
        <w:snapToGrid/>
        <w:spacing w:line="360" w:lineRule="auto"/>
        <w:ind w:left="6" w:firstLine="420" w:firstLineChars="200"/>
        <w:textAlignment w:val="auto"/>
        <w:outlineLvl w:val="3"/>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原材料验收由采购单位业务管理方、供应方、餐厅使用方，三方现场检验，对供应产品的质量无异议数量准确无误后，三方签字，各自留存。</w:t>
      </w:r>
    </w:p>
    <w:p w14:paraId="7EA9710F">
      <w:pPr>
        <w:keepNext w:val="0"/>
        <w:keepLines w:val="0"/>
        <w:pageBreakBefore w:val="0"/>
        <w:widowControl w:val="0"/>
        <w:kinsoku/>
        <w:wordWrap/>
        <w:overflowPunct/>
        <w:topLinePunct w:val="0"/>
        <w:autoSpaceDE/>
        <w:autoSpaceDN/>
        <w:bidi w:val="0"/>
        <w:adjustRightInd/>
        <w:snapToGrid/>
        <w:spacing w:line="360" w:lineRule="auto"/>
        <w:ind w:left="6" w:firstLine="420" w:firstLineChars="200"/>
        <w:textAlignment w:val="auto"/>
        <w:outlineLvl w:val="3"/>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肉类必须保证提供为当日生产产品，肉身必须盖有卫生检疫章，同时出具加盖政府机构动物卫生监督所鲜章的动物检疫合格证明，畜肉品须色泽鲜亮、无任何异味、无毛、按压无注水，纹理清晰，肉质细腻，品质好；</w:t>
      </w:r>
    </w:p>
    <w:p w14:paraId="5E72A9C9">
      <w:pPr>
        <w:keepNext w:val="0"/>
        <w:keepLines w:val="0"/>
        <w:pageBreakBefore w:val="0"/>
        <w:widowControl w:val="0"/>
        <w:kinsoku/>
        <w:wordWrap/>
        <w:overflowPunct/>
        <w:topLinePunct w:val="0"/>
        <w:autoSpaceDE/>
        <w:autoSpaceDN/>
        <w:bidi w:val="0"/>
        <w:adjustRightInd/>
        <w:snapToGrid/>
        <w:spacing w:line="360" w:lineRule="auto"/>
        <w:ind w:left="6" w:firstLine="420" w:firstLineChars="200"/>
        <w:textAlignment w:val="auto"/>
        <w:outlineLvl w:val="3"/>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（2）禽类制品须肉面干净、无任何异味、无注水、无羽毛、表皮无疤痕，大小匀称、肉质紧至，码放整齐；</w:t>
      </w:r>
    </w:p>
    <w:p w14:paraId="503350DD">
      <w:pPr>
        <w:keepNext w:val="0"/>
        <w:keepLines w:val="0"/>
        <w:pageBreakBefore w:val="0"/>
        <w:widowControl w:val="0"/>
        <w:kinsoku/>
        <w:wordWrap/>
        <w:overflowPunct/>
        <w:topLinePunct w:val="0"/>
        <w:autoSpaceDE/>
        <w:autoSpaceDN/>
        <w:bidi w:val="0"/>
        <w:adjustRightInd/>
        <w:snapToGrid/>
        <w:spacing w:line="360" w:lineRule="auto"/>
        <w:ind w:left="6" w:firstLine="420" w:firstLineChars="200"/>
        <w:textAlignment w:val="auto"/>
        <w:outlineLvl w:val="3"/>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蔬菜类必须保证无黄叶、枯死叶、无虫、无杂质，须当日采摘，当日供应，原菜须保证菜面干净、无明显泥土、码放整齐、无破损、大小基本统一、不得过熟或欠熟；净菜须保证菜面完全干净、无泥土、按统一标准加工、码放整齐、无须二次处理可以直接进行熟加工。</w:t>
      </w:r>
    </w:p>
    <w:p w14:paraId="0F1EAA21">
      <w:pPr>
        <w:keepNext w:val="0"/>
        <w:keepLines w:val="0"/>
        <w:pageBreakBefore w:val="0"/>
        <w:widowControl w:val="0"/>
        <w:kinsoku/>
        <w:wordWrap/>
        <w:overflowPunct/>
        <w:topLinePunct w:val="0"/>
        <w:autoSpaceDE/>
        <w:autoSpaceDN/>
        <w:bidi w:val="0"/>
        <w:adjustRightInd/>
        <w:snapToGrid/>
        <w:spacing w:line="360" w:lineRule="auto"/>
        <w:ind w:left="6" w:firstLine="420" w:firstLineChars="200"/>
        <w:textAlignment w:val="auto"/>
        <w:outlineLvl w:val="3"/>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（4）蛋类须新鲜，不超过三日以上产品，大小均匀，外壳无破裂，光洁饱满的产品，周转箱堆放 。</w:t>
      </w:r>
    </w:p>
    <w:p w14:paraId="39586096">
      <w:pPr>
        <w:keepNext w:val="0"/>
        <w:keepLines w:val="0"/>
        <w:pageBreakBefore w:val="0"/>
        <w:widowControl w:val="0"/>
        <w:kinsoku/>
        <w:wordWrap/>
        <w:overflowPunct/>
        <w:topLinePunct w:val="0"/>
        <w:autoSpaceDE/>
        <w:autoSpaceDN/>
        <w:bidi w:val="0"/>
        <w:adjustRightInd/>
        <w:snapToGrid/>
        <w:spacing w:line="360" w:lineRule="auto"/>
        <w:ind w:left="6" w:firstLine="420" w:firstLineChars="200"/>
        <w:textAlignment w:val="auto"/>
        <w:outlineLvl w:val="3"/>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（5）豆制类须保证食材干净、不含非食品用化学物质、按统一标准加工、码放整齐、无须二次处理可以直接进行熟加工。</w:t>
      </w:r>
    </w:p>
    <w:p w14:paraId="6A8A294A">
      <w:pPr>
        <w:keepNext w:val="0"/>
        <w:keepLines w:val="0"/>
        <w:pageBreakBefore w:val="0"/>
        <w:widowControl w:val="0"/>
        <w:kinsoku/>
        <w:wordWrap/>
        <w:overflowPunct/>
        <w:topLinePunct w:val="0"/>
        <w:autoSpaceDE/>
        <w:autoSpaceDN/>
        <w:bidi w:val="0"/>
        <w:adjustRightInd/>
        <w:snapToGrid/>
        <w:spacing w:line="360" w:lineRule="auto"/>
        <w:ind w:left="6" w:firstLine="420" w:firstLineChars="200"/>
        <w:textAlignment w:val="auto"/>
        <w:outlineLvl w:val="3"/>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（6）水果类须保证新鲜 ，无农药，无异味，无挤压、虫眼、过熟或欠熟，大小重量匀称等，表面无疤痕，果体光洁饱满。</w:t>
      </w:r>
    </w:p>
    <w:p w14:paraId="0A6FC042">
      <w:pPr>
        <w:keepNext w:val="0"/>
        <w:keepLines w:val="0"/>
        <w:pageBreakBefore w:val="0"/>
        <w:widowControl w:val="0"/>
        <w:kinsoku/>
        <w:wordWrap/>
        <w:overflowPunct/>
        <w:topLinePunct w:val="0"/>
        <w:autoSpaceDE/>
        <w:autoSpaceDN/>
        <w:bidi w:val="0"/>
        <w:adjustRightInd/>
        <w:snapToGrid/>
        <w:spacing w:line="360" w:lineRule="auto"/>
        <w:ind w:left="6" w:firstLine="420" w:firstLineChars="200"/>
        <w:textAlignment w:val="auto"/>
        <w:outlineLvl w:val="3"/>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（7）米、面、油类 大米须达国家1354—86特二级标准，水分含量在12°以下，无掺杂、无沙石，碎米少，无黄粒米；大米包装袋上印有大米品名、等级、数量、出厂名、厂家地址及其电话。高筋面粉达GBT86071988国家标准，质量等级一级；低筋面粉达GBT86081988标准，质量等级一级；色泽正常，干爽无异味；验收粮、油时必须要求供方提供经国家食品卫生检验检疫机构检验出具的该批次批粮、油产品检验报告或合格证。批量粮、油到货后，必须抽样打开包装仔细检查，要求供方产品不掺假、不过期、不变质、不变味、无杂质、无毒害，货物净重量须与外包装标明的重量一致，符合国家食品行业的标准产品。</w:t>
      </w:r>
    </w:p>
    <w:p w14:paraId="131937E8">
      <w:pPr>
        <w:keepNext w:val="0"/>
        <w:keepLines w:val="0"/>
        <w:pageBreakBefore w:val="0"/>
        <w:widowControl w:val="0"/>
        <w:kinsoku/>
        <w:wordWrap/>
        <w:overflowPunct/>
        <w:topLinePunct w:val="0"/>
        <w:autoSpaceDE/>
        <w:autoSpaceDN/>
        <w:bidi w:val="0"/>
        <w:adjustRightInd/>
        <w:snapToGrid/>
        <w:spacing w:line="360" w:lineRule="auto"/>
        <w:ind w:left="6" w:firstLine="420" w:firstLineChars="200"/>
        <w:textAlignment w:val="auto"/>
        <w:outlineLvl w:val="3"/>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（8）水产品类须保证鲜活、大小基本统一，水产类净菜须保证处理干净。</w:t>
      </w:r>
    </w:p>
    <w:p w14:paraId="0E3DF27D">
      <w:pPr>
        <w:keepNext w:val="0"/>
        <w:keepLines w:val="0"/>
        <w:pageBreakBefore w:val="0"/>
        <w:widowControl w:val="0"/>
        <w:kinsoku/>
        <w:wordWrap/>
        <w:overflowPunct/>
        <w:topLinePunct w:val="0"/>
        <w:autoSpaceDE/>
        <w:autoSpaceDN/>
        <w:bidi w:val="0"/>
        <w:adjustRightInd/>
        <w:snapToGrid/>
        <w:spacing w:line="360" w:lineRule="auto"/>
        <w:ind w:left="6" w:firstLine="420" w:firstLineChars="200"/>
        <w:textAlignment w:val="auto"/>
        <w:outlineLvl w:val="3"/>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9）冻品外包装需完整，无破损，无不封口现象，有生产日期。干货类须保证配送种类、品牌、规格，质量完全符合招标方要求，生产日期须在保质期二分之一天之内，包装完整、无任何破损、无挤压、无破碎、无异味、无任何表面附着物或衍生物。</w:t>
      </w:r>
    </w:p>
    <w:p w14:paraId="7E369B8F">
      <w:pPr>
        <w:keepNext w:val="0"/>
        <w:keepLines w:val="0"/>
        <w:pageBreakBefore w:val="0"/>
        <w:widowControl w:val="0"/>
        <w:kinsoku/>
        <w:wordWrap/>
        <w:overflowPunct/>
        <w:topLinePunct w:val="0"/>
        <w:autoSpaceDE/>
        <w:autoSpaceDN/>
        <w:bidi w:val="0"/>
        <w:adjustRightInd/>
        <w:snapToGrid/>
        <w:spacing w:line="360" w:lineRule="auto"/>
        <w:ind w:left="6" w:firstLine="420" w:firstLineChars="200"/>
        <w:textAlignment w:val="auto"/>
        <w:outlineLvl w:val="3"/>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（10）调料类须保证色泽正常，具有该品种固有的香味，滋味无异味，油酱均匀的酱体或无结块的粉状固体，封口平整，无破包，夹包，漏包，无污染</w:t>
      </w:r>
    </w:p>
    <w:p w14:paraId="6CEC6FBE">
      <w:pPr>
        <w:keepNext w:val="0"/>
        <w:keepLines w:val="0"/>
        <w:pageBreakBefore w:val="0"/>
        <w:widowControl w:val="0"/>
        <w:kinsoku/>
        <w:wordWrap/>
        <w:overflowPunct/>
        <w:topLinePunct w:val="0"/>
        <w:autoSpaceDE/>
        <w:autoSpaceDN/>
        <w:bidi w:val="0"/>
        <w:adjustRightInd/>
        <w:snapToGrid/>
        <w:spacing w:line="360" w:lineRule="auto"/>
        <w:ind w:left="6" w:firstLine="420" w:firstLineChars="200"/>
        <w:textAlignment w:val="auto"/>
        <w:outlineLvl w:val="3"/>
        <w:rPr>
          <w:rFonts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11）副食及其他须保证食材干净、不含非食品用化学物质、按统一标准加工、码放整齐、无须二次处理可以直接进行熟加工。牛奶，小食品，须保证规格品种完全符合采购人要求，大小包装规格齐全、生产日期须在保质期二分之一天之内，凭出厂合格证与检验员章确认质量。</w:t>
      </w:r>
      <w:r>
        <w:rPr>
          <w:rFonts w:ascii="Microsoft JhengHei" w:hAnsi="Microsoft JhengHei" w:eastAsia="Microsoft JhengHei" w:cs="Microsoft JhengHei"/>
          <w:b/>
          <w:bCs/>
          <w:color w:val="000000" w:themeColor="text1"/>
          <w:spacing w:val="14"/>
          <w:szCs w:val="21"/>
          <w:highlight w:val="none"/>
          <w14:textFill>
            <w14:solidFill>
              <w14:schemeClr w14:val="tx1"/>
            </w14:solidFill>
          </w14:textFill>
        </w:rPr>
        <w:t>3.3.4</w:t>
      </w:r>
      <w:r>
        <w:rPr>
          <w:rFonts w:ascii="宋体" w:hAnsi="宋体" w:cs="宋体"/>
          <w:color w:val="000000" w:themeColor="text1"/>
          <w:spacing w:val="14"/>
          <w:szCs w:val="21"/>
          <w:highlight w:val="none"/>
          <w14:textFill>
            <w14:solidFill>
              <w14:schemeClr w14:val="tx1"/>
            </w14:solidFill>
          </w14:textFill>
        </w:rPr>
        <w:t>支付方式</w:t>
      </w:r>
    </w:p>
    <w:p w14:paraId="7AC908DD">
      <w:pPr>
        <w:spacing w:line="360" w:lineRule="auto"/>
        <w:ind w:firstLine="210" w:firstLineChars="100"/>
        <w:rPr>
          <w:rFonts w:ascii="宋体" w:hAnsi="宋体" w:cs="宋体"/>
          <w:color w:val="000000" w:themeColor="text1"/>
          <w:position w:val="14"/>
          <w:szCs w:val="21"/>
          <w:highlight w:val="none"/>
          <w14:textFill>
            <w14:solidFill>
              <w14:schemeClr w14:val="tx1"/>
            </w14:solidFill>
          </w14:textFill>
        </w:rPr>
      </w:pPr>
      <w:r>
        <w:rPr>
          <w:rFonts w:ascii="宋体" w:hAnsi="宋体" w:cs="宋体"/>
          <w:color w:val="000000" w:themeColor="text1"/>
          <w:position w:val="14"/>
          <w:szCs w:val="21"/>
          <w:highlight w:val="none"/>
          <w14:textFill>
            <w14:solidFill>
              <w14:schemeClr w14:val="tx1"/>
            </w14:solidFill>
          </w14:textFill>
        </w:rPr>
        <w:t>采购包1：</w:t>
      </w:r>
      <w:r>
        <w:rPr>
          <w:rFonts w:hint="eastAsia" w:ascii="宋体" w:hAnsi="宋体" w:cs="宋体"/>
          <w:color w:val="000000" w:themeColor="text1"/>
          <w:position w:val="14"/>
          <w:szCs w:val="21"/>
          <w:highlight w:val="none"/>
          <w14:textFill>
            <w14:solidFill>
              <w14:schemeClr w14:val="tx1"/>
            </w14:solidFill>
          </w14:textFill>
        </w:rPr>
        <w:t>分期付款</w:t>
      </w:r>
    </w:p>
    <w:p w14:paraId="3D698932">
      <w:pPr>
        <w:spacing w:line="360" w:lineRule="auto"/>
        <w:ind w:left="6"/>
        <w:outlineLvl w:val="3"/>
        <w:rPr>
          <w:rFonts w:ascii="宋体" w:hAnsi="宋体" w:cs="宋体"/>
          <w:color w:val="000000" w:themeColor="text1"/>
          <w:szCs w:val="21"/>
          <w:highlight w:val="none"/>
          <w14:textFill>
            <w14:solidFill>
              <w14:schemeClr w14:val="tx1"/>
            </w14:solidFill>
          </w14:textFill>
        </w:rPr>
      </w:pPr>
      <w:r>
        <w:rPr>
          <w:rFonts w:ascii="Microsoft JhengHei" w:hAnsi="Microsoft JhengHei" w:eastAsia="Microsoft JhengHei" w:cs="Microsoft JhengHei"/>
          <w:b/>
          <w:bCs/>
          <w:color w:val="000000" w:themeColor="text1"/>
          <w:spacing w:val="14"/>
          <w:szCs w:val="21"/>
          <w:highlight w:val="none"/>
          <w14:textFill>
            <w14:solidFill>
              <w14:schemeClr w14:val="tx1"/>
            </w14:solidFill>
          </w14:textFill>
        </w:rPr>
        <w:t>3.3.5</w:t>
      </w:r>
      <w:r>
        <w:rPr>
          <w:rFonts w:ascii="宋体" w:hAnsi="宋体" w:cs="宋体"/>
          <w:color w:val="000000" w:themeColor="text1"/>
          <w:spacing w:val="14"/>
          <w:szCs w:val="21"/>
          <w:highlight w:val="none"/>
          <w14:textFill>
            <w14:solidFill>
              <w14:schemeClr w14:val="tx1"/>
            </w14:solidFill>
          </w14:textFill>
        </w:rPr>
        <w:t>支付约定</w:t>
      </w:r>
    </w:p>
    <w:p w14:paraId="4C885F37">
      <w:pPr>
        <w:spacing w:line="360" w:lineRule="auto"/>
        <w:ind w:firstLine="208" w:firstLineChars="100"/>
        <w:rPr>
          <w:rFonts w:hint="eastAsia" w:ascii="宋体" w:hAnsi="宋体"/>
          <w:color w:val="000000" w:themeColor="text1"/>
          <w:szCs w:val="21"/>
          <w:highlight w:val="none"/>
          <w14:textFill>
            <w14:solidFill>
              <w14:schemeClr w14:val="tx1"/>
            </w14:solidFill>
          </w14:textFill>
        </w:rPr>
      </w:pPr>
      <w:r>
        <w:rPr>
          <w:rFonts w:ascii="宋体" w:hAnsi="宋体" w:cs="宋体"/>
          <w:color w:val="000000" w:themeColor="text1"/>
          <w:spacing w:val="-1"/>
          <w:szCs w:val="21"/>
          <w:highlight w:val="none"/>
          <w14:textFill>
            <w14:solidFill>
              <w14:schemeClr w14:val="tx1"/>
            </w14:solidFill>
          </w14:textFill>
        </w:rPr>
        <w:t>采购包1：</w:t>
      </w:r>
      <w:r>
        <w:rPr>
          <w:rFonts w:hint="eastAsia" w:ascii="宋体" w:hAnsi="宋体"/>
          <w:color w:val="000000" w:themeColor="text1"/>
          <w:szCs w:val="21"/>
          <w:highlight w:val="none"/>
          <w14:textFill>
            <w14:solidFill>
              <w14:schemeClr w14:val="tx1"/>
            </w14:solidFill>
          </w14:textFill>
        </w:rPr>
        <w:t>1、付款前，供应商必须开具全额发票给采购人（附详细供货清单）。</w:t>
      </w:r>
    </w:p>
    <w:p w14:paraId="120D81AE">
      <w:pPr>
        <w:numPr>
          <w:ilvl w:val="0"/>
          <w:numId w:val="0"/>
        </w:numPr>
        <w:spacing w:line="360" w:lineRule="auto"/>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供应商应按照采购人要求，每天配送到配送至采购人指定地点，经采购人验收合格后，供应商提供所供货物清单，采购人对所供货物的价格进行核实（按各大菜场平均价格*</w:t>
      </w:r>
      <w:r>
        <w:rPr>
          <w:rFonts w:hint="eastAsia" w:ascii="宋体" w:hAnsi="宋体"/>
          <w:color w:val="000000" w:themeColor="text1"/>
          <w:szCs w:val="21"/>
          <w:highlight w:val="none"/>
          <w:lang w:val="en-US" w:eastAsia="zh-CN"/>
          <w14:textFill>
            <w14:solidFill>
              <w14:schemeClr w14:val="tx1"/>
            </w14:solidFill>
          </w14:textFill>
        </w:rPr>
        <w:t>折扣率</w:t>
      </w:r>
      <w:r>
        <w:rPr>
          <w:rFonts w:hint="eastAsia" w:ascii="宋体" w:hAnsi="宋体"/>
          <w:color w:val="000000" w:themeColor="text1"/>
          <w:szCs w:val="21"/>
          <w:highlight w:val="none"/>
          <w14:textFill>
            <w14:solidFill>
              <w14:schemeClr w14:val="tx1"/>
            </w14:solidFill>
          </w14:textFill>
        </w:rPr>
        <w:t>核定结算价格），经核实无误后在供货单上签字确认。结算时按采购人签字确认的供货单据实结算。</w:t>
      </w:r>
    </w:p>
    <w:p w14:paraId="0773667C">
      <w:pPr>
        <w:numPr>
          <w:ilvl w:val="0"/>
          <w:numId w:val="0"/>
        </w:numPr>
        <w:spacing w:line="360" w:lineRule="auto"/>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3、按月结算，次月15日前根据供货单据实结算上个月的费用，若遇年终预决算等特殊原因，延期结算。</w:t>
      </w:r>
    </w:p>
    <w:p w14:paraId="570DE22A">
      <w:pPr>
        <w:spacing w:line="360" w:lineRule="auto"/>
        <w:ind w:left="384"/>
        <w:rPr>
          <w:rFonts w:hint="eastAsia" w:ascii="宋体" w:hAnsi="宋体" w:cs="宋体"/>
          <w:color w:val="000000" w:themeColor="text1"/>
          <w:spacing w:val="-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4、结算方式：银行转账。</w:t>
      </w:r>
    </w:p>
    <w:p w14:paraId="2E920061">
      <w:pPr>
        <w:spacing w:line="360" w:lineRule="auto"/>
        <w:ind w:left="6"/>
        <w:outlineLvl w:val="3"/>
        <w:rPr>
          <w:rFonts w:ascii="宋体" w:hAnsi="宋体" w:cs="宋体"/>
          <w:color w:val="000000" w:themeColor="text1"/>
          <w:szCs w:val="21"/>
          <w:highlight w:val="none"/>
          <w14:textFill>
            <w14:solidFill>
              <w14:schemeClr w14:val="tx1"/>
            </w14:solidFill>
          </w14:textFill>
        </w:rPr>
      </w:pPr>
      <w:r>
        <w:rPr>
          <w:rFonts w:ascii="Microsoft JhengHei" w:hAnsi="Microsoft JhengHei" w:eastAsia="Microsoft JhengHei" w:cs="Microsoft JhengHei"/>
          <w:b/>
          <w:bCs/>
          <w:color w:val="000000" w:themeColor="text1"/>
          <w:spacing w:val="14"/>
          <w:szCs w:val="21"/>
          <w:highlight w:val="none"/>
          <w14:textFill>
            <w14:solidFill>
              <w14:schemeClr w14:val="tx1"/>
            </w14:solidFill>
          </w14:textFill>
        </w:rPr>
        <w:t>3.3.6</w:t>
      </w:r>
      <w:r>
        <w:rPr>
          <w:rFonts w:ascii="宋体" w:hAnsi="宋体" w:cs="宋体"/>
          <w:color w:val="000000" w:themeColor="text1"/>
          <w:spacing w:val="14"/>
          <w:szCs w:val="21"/>
          <w:highlight w:val="none"/>
          <w14:textFill>
            <w14:solidFill>
              <w14:schemeClr w14:val="tx1"/>
            </w14:solidFill>
          </w14:textFill>
        </w:rPr>
        <w:t>违约责任及解决争议的方法</w:t>
      </w:r>
    </w:p>
    <w:p w14:paraId="3E052FDD">
      <w:pPr>
        <w:spacing w:line="360" w:lineRule="auto"/>
        <w:ind w:left="384"/>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采购包1：详见合同</w:t>
      </w:r>
    </w:p>
    <w:p w14:paraId="5F725AAD">
      <w:pPr>
        <w:spacing w:line="360" w:lineRule="auto"/>
        <w:ind w:left="15"/>
        <w:outlineLvl w:val="1"/>
        <w:rPr>
          <w:b/>
          <w:bCs/>
          <w:color w:val="000000" w:themeColor="text1"/>
          <w:spacing w:val="15"/>
          <w:sz w:val="28"/>
          <w:szCs w:val="28"/>
          <w:highlight w:val="none"/>
          <w14:textFill>
            <w14:solidFill>
              <w14:schemeClr w14:val="tx1"/>
            </w14:solidFill>
          </w14:textFill>
        </w:rPr>
      </w:pPr>
      <w:r>
        <w:rPr>
          <w:b/>
          <w:bCs/>
          <w:color w:val="000000" w:themeColor="text1"/>
          <w:spacing w:val="15"/>
          <w:sz w:val="28"/>
          <w:szCs w:val="28"/>
          <w:highlight w:val="none"/>
          <w14:textFill>
            <w14:solidFill>
              <w14:schemeClr w14:val="tx1"/>
            </w14:solidFill>
          </w14:textFill>
        </w:rPr>
        <w:t>3.</w:t>
      </w:r>
      <w:r>
        <w:rPr>
          <w:rFonts w:hint="eastAsia"/>
          <w:b/>
          <w:bCs/>
          <w:color w:val="000000" w:themeColor="text1"/>
          <w:spacing w:val="15"/>
          <w:sz w:val="28"/>
          <w:szCs w:val="28"/>
          <w:highlight w:val="none"/>
          <w14:textFill>
            <w14:solidFill>
              <w14:schemeClr w14:val="tx1"/>
            </w14:solidFill>
          </w14:textFill>
        </w:rPr>
        <w:t>4</w:t>
      </w:r>
      <w:r>
        <w:rPr>
          <w:b/>
          <w:bCs/>
          <w:color w:val="000000" w:themeColor="text1"/>
          <w:spacing w:val="15"/>
          <w:sz w:val="28"/>
          <w:szCs w:val="28"/>
          <w:highlight w:val="none"/>
          <w14:textFill>
            <w14:solidFill>
              <w14:schemeClr w14:val="tx1"/>
            </w14:solidFill>
          </w14:textFill>
        </w:rPr>
        <w:t>其他要求</w:t>
      </w:r>
    </w:p>
    <w:p w14:paraId="2432E19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1" w:right="136"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eastAsia="en-US"/>
          <w14:textFill>
            <w14:solidFill>
              <w14:schemeClr w14:val="tx1"/>
            </w14:solidFill>
          </w14:textFill>
        </w:rPr>
        <w:t>为顺利推进政府采购电子化交易平台试点应用工作，供应商需要在线提交所有通过电子化交易平台实施的政府采购项目的响应文件，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单元2层10201室。</w:t>
      </w:r>
    </w:p>
    <w:p w14:paraId="555FBE1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供应商的磋商报价是供应商响应磋商项目要求的全部工作内容的价格体现，包括供应商完成本项目所需的直接费、间接费、利润、税金及其它相关的一切费用。包括但不限于：原材费、配送费、人工费、设备使用费、管理费、验收费、利润和税金等全部费用；在提供服务的过程中的任何遗漏，均由成交供应商免费提供，采购人将不再支付任何费用。</w:t>
      </w:r>
    </w:p>
    <w:p w14:paraId="2F64C56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、磋商有效期</w:t>
      </w:r>
    </w:p>
    <w:p w14:paraId="7DF21BE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w:t>
      </w:r>
    </w:p>
    <w:p w14:paraId="32AB2AF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2.在磋商有效期内，供应商撤销响应文件的，应承担磋商文件和法律规定的责任。</w:t>
      </w:r>
    </w:p>
    <w:p w14:paraId="3B1B96D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3.成交供应商的磋商有效期自动延长至合同终止为止。</w:t>
      </w:r>
    </w:p>
    <w:p w14:paraId="22B46F5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、合格供应商少于3家的处理</w:t>
      </w:r>
    </w:p>
    <w:p w14:paraId="0D7AD5C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评审过程中，若出现合格供应商只有2家时，符合《政府采购竞争性磋商采购方式管理暂行办法》第3条第4项情形的，或者本项目为政府购买服务指导性目录中的，可以继续进行；只有1家时，采购人应依法重新组织采购活动。</w:t>
      </w:r>
    </w:p>
    <w:p w14:paraId="085D254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2.评审过程中，除符合第1条条款规定情形外，若出现合格供应商少于3家时，采购人应依法重新组织采购活动。</w:t>
      </w:r>
    </w:p>
    <w:p w14:paraId="74277F0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五</w:t>
      </w:r>
      <w:r>
        <w:rPr>
          <w:rFonts w:hint="eastAsia" w:ascii="宋体" w:hAnsi="宋体" w:cs="宋体"/>
          <w:color w:val="000000" w:themeColor="text1"/>
          <w:szCs w:val="21"/>
          <w:highlight w:val="none"/>
          <w14:textFill>
            <w14:solidFill>
              <w14:schemeClr w14:val="tx1"/>
            </w14:solidFill>
          </w14:textFill>
        </w:rPr>
        <w:t>、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w:t>
      </w:r>
    </w:p>
    <w:p w14:paraId="153013D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六</w:t>
      </w:r>
      <w:r>
        <w:rPr>
          <w:rFonts w:hint="eastAsia" w:ascii="宋体" w:hAnsi="宋体" w:cs="宋体"/>
          <w:color w:val="000000" w:themeColor="text1"/>
          <w:szCs w:val="21"/>
          <w:highlight w:val="none"/>
          <w14:textFill>
            <w14:solidFill>
              <w14:schemeClr w14:val="tx1"/>
            </w14:solidFill>
          </w14:textFill>
        </w:rPr>
        <w:t>、恶意质疑、投诉的法律后果</w:t>
      </w:r>
    </w:p>
    <w:p w14:paraId="51CE166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1.对捏造事实、提供虚假材料进行质疑、投诉的行为将予以严肃处理：</w:t>
      </w:r>
    </w:p>
    <w:p w14:paraId="4BB57C2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5A48125">
      <w:pPr>
        <w:spacing w:line="360" w:lineRule="auto"/>
        <w:ind w:left="38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2.对捏造事实诬告陷害他人、诽谤他人的法律适用：</w:t>
      </w:r>
    </w:p>
    <w:p w14:paraId="49954B9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（1）《中华人民共和国刑法》第243条【诬告陷害罪】捏造事实诬告陷害他人，意图使他人受刑事追究，情节严重的，处三年以下有期徒刑、拘役或者管制；造成严重后果的，处三年以上十年以下有期徒刑。</w:t>
      </w:r>
    </w:p>
    <w:p w14:paraId="69AE367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（2）《中华人民共和国刑法》第246条【侮辱罪、诽谤罪】以暴力或者其他方法公然侮辱他人或者捏造事实诽谤他人，情节严重的，处三年以下有期徒刑、拘役、管制或者剥夺政治权利。</w:t>
      </w:r>
    </w:p>
    <w:p w14:paraId="13A9E02A">
      <w:pPr>
        <w:spacing w:line="360" w:lineRule="auto"/>
        <w:ind w:left="38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七</w:t>
      </w:r>
      <w:r>
        <w:rPr>
          <w:rFonts w:hint="eastAsia" w:ascii="宋体" w:hAnsi="宋体" w:cs="宋体"/>
          <w:color w:val="000000" w:themeColor="text1"/>
          <w:szCs w:val="21"/>
          <w:highlight w:val="none"/>
          <w14:textFill>
            <w14:solidFill>
              <w14:schemeClr w14:val="tx1"/>
            </w14:solidFill>
          </w14:textFill>
        </w:rPr>
        <w:t>、本项目需要落实的政府采购政策</w:t>
      </w:r>
    </w:p>
    <w:p w14:paraId="7287AFA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213A33A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（2）绿色发展政策：</w:t>
      </w:r>
      <w:r>
        <w:rPr>
          <w:rFonts w:hint="eastAsia" w:ascii="宋体" w:hAnsi="宋体" w:cs="宋体"/>
          <w:color w:val="000000" w:themeColor="text1"/>
          <w:szCs w:val="21"/>
          <w:highlight w:val="none"/>
          <w14:textFill>
            <w14:solidFill>
              <w14:schemeClr w14:val="tx1"/>
            </w14:solidFill>
          </w14:textFill>
        </w:rPr>
        <w:t>《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1AC4B14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（3）支持本国产业政策：《财政部关于印发&lt;进口产品管理办法&gt;的通知》（财库〔2007〕119号）；《财政部办公厅关于政府采购进口产品管理有关问题的通知》（财办库〔2008〕248号）。</w:t>
      </w:r>
    </w:p>
    <w:p w14:paraId="35D17135">
      <w:pPr>
        <w:spacing w:line="360" w:lineRule="auto"/>
        <w:ind w:left="38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（4）支持创新等政府采购政策。</w:t>
      </w:r>
      <w:bookmarkStart w:id="0" w:name="_GoBack"/>
      <w:bookmarkEnd w:id="0"/>
    </w:p>
    <w:p w14:paraId="6EC278FE">
      <w:pPr>
        <w:spacing w:line="360" w:lineRule="auto"/>
        <w:jc w:val="left"/>
        <w:rPr>
          <w:rFonts w:asciiTheme="minorEastAsia" w:hAnsiTheme="minorEastAsia" w:eastAsiaTheme="minorEastAsia"/>
          <w:b/>
          <w:color w:val="FF0000"/>
          <w:sz w:val="28"/>
          <w:szCs w:val="28"/>
        </w:rPr>
      </w:pPr>
      <w:r>
        <w:rPr>
          <w:rFonts w:asciiTheme="minorEastAsia" w:hAnsiTheme="minorEastAsia" w:eastAsiaTheme="minorEastAsia"/>
          <w:b/>
          <w:color w:val="FF0000"/>
          <w:sz w:val="28"/>
          <w:szCs w:val="28"/>
        </w:rPr>
        <w:t>注：此附件采购需求仅</w:t>
      </w:r>
      <w:r>
        <w:rPr>
          <w:rFonts w:hint="eastAsia" w:asciiTheme="minorEastAsia" w:hAnsiTheme="minorEastAsia" w:eastAsiaTheme="minorEastAsia"/>
          <w:b/>
          <w:color w:val="FF0000"/>
          <w:sz w:val="28"/>
          <w:szCs w:val="28"/>
        </w:rPr>
        <w:t>作为</w:t>
      </w:r>
      <w:r>
        <w:rPr>
          <w:rFonts w:asciiTheme="minorEastAsia" w:hAnsiTheme="minorEastAsia" w:eastAsiaTheme="minorEastAsia"/>
          <w:b/>
          <w:color w:val="FF0000"/>
          <w:sz w:val="28"/>
          <w:szCs w:val="28"/>
        </w:rPr>
        <w:t>潜在供应商</w:t>
      </w:r>
      <w:r>
        <w:rPr>
          <w:rFonts w:hint="eastAsia" w:asciiTheme="minorEastAsia" w:hAnsiTheme="minorEastAsia" w:eastAsiaTheme="minorEastAsia"/>
          <w:b/>
          <w:color w:val="FF0000"/>
          <w:sz w:val="28"/>
          <w:szCs w:val="28"/>
        </w:rPr>
        <w:t>知晓</w:t>
      </w:r>
      <w:r>
        <w:rPr>
          <w:rFonts w:asciiTheme="minorEastAsia" w:hAnsiTheme="minorEastAsia" w:eastAsiaTheme="minorEastAsia"/>
          <w:b/>
          <w:color w:val="FF0000"/>
          <w:sz w:val="28"/>
          <w:szCs w:val="28"/>
        </w:rPr>
        <w:t>项目基本情况，采购文件具体内容请</w:t>
      </w:r>
      <w:r>
        <w:rPr>
          <w:rFonts w:hint="eastAsia" w:asciiTheme="minorEastAsia" w:hAnsiTheme="minorEastAsia" w:eastAsiaTheme="minorEastAsia"/>
          <w:b/>
          <w:color w:val="FF0000"/>
          <w:sz w:val="28"/>
          <w:szCs w:val="28"/>
        </w:rPr>
        <w:t>供应商用户</w:t>
      </w:r>
      <w:r>
        <w:rPr>
          <w:rFonts w:asciiTheme="minorEastAsia" w:hAnsiTheme="minorEastAsia" w:eastAsiaTheme="minorEastAsia"/>
          <w:b/>
          <w:color w:val="FF0000"/>
          <w:sz w:val="28"/>
          <w:szCs w:val="28"/>
        </w:rPr>
        <w:t>登录“</w:t>
      </w:r>
      <w:r>
        <w:rPr>
          <w:rFonts w:hint="eastAsia" w:asciiTheme="minorEastAsia" w:hAnsiTheme="minorEastAsia" w:eastAsiaTheme="minorEastAsia"/>
          <w:b/>
          <w:color w:val="FF0000"/>
          <w:sz w:val="28"/>
          <w:szCs w:val="28"/>
        </w:rPr>
        <w:t>陕西省政府采购综合管理平台（以下简称“政府采购平台”），进入项目电子化交易系统</w:t>
      </w:r>
      <w:r>
        <w:rPr>
          <w:rFonts w:asciiTheme="minorEastAsia" w:hAnsiTheme="minorEastAsia" w:eastAsiaTheme="minorEastAsia"/>
          <w:b/>
          <w:color w:val="FF0000"/>
          <w:sz w:val="28"/>
          <w:szCs w:val="28"/>
        </w:rPr>
        <w:t>”</w:t>
      </w:r>
      <w:r>
        <w:rPr>
          <w:rFonts w:hint="eastAsia" w:asciiTheme="minorEastAsia" w:hAnsiTheme="minorEastAsia" w:eastAsiaTheme="minorEastAsia"/>
          <w:b/>
          <w:color w:val="FF0000"/>
          <w:sz w:val="28"/>
          <w:szCs w:val="28"/>
        </w:rPr>
        <w:t>内下载的电子采购文件</w:t>
      </w:r>
      <w:r>
        <w:rPr>
          <w:rFonts w:asciiTheme="minorEastAsia" w:hAnsiTheme="minorEastAsia" w:eastAsiaTheme="minorEastAsia"/>
          <w:b/>
          <w:color w:val="FF0000"/>
          <w:sz w:val="28"/>
          <w:szCs w:val="28"/>
        </w:rPr>
        <w:t>为准。</w:t>
      </w:r>
    </w:p>
    <w:p w14:paraId="10D5F98C">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Microsoft JhengHei">
    <w:panose1 w:val="020B0604030504040204"/>
    <w:charset w:val="88"/>
    <w:family w:val="swiss"/>
    <w:pitch w:val="default"/>
    <w:sig w:usb0="000002A7" w:usb1="28CF4400" w:usb2="00000016" w:usb3="00000000" w:csb0="00100009"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3466E">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C1FEF"/>
    <w:multiLevelType w:val="singleLevel"/>
    <w:tmpl w:val="6D4C1F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iZWY5M2FiNzU1ZTJkOWM2OThhZDA4YjM1YzE3NjIifQ=="/>
  </w:docVars>
  <w:rsids>
    <w:rsidRoot w:val="00F6122D"/>
    <w:rsid w:val="000438DA"/>
    <w:rsid w:val="000B1C46"/>
    <w:rsid w:val="001D0C46"/>
    <w:rsid w:val="00497594"/>
    <w:rsid w:val="007766C9"/>
    <w:rsid w:val="0077749A"/>
    <w:rsid w:val="009A26CC"/>
    <w:rsid w:val="00B65B92"/>
    <w:rsid w:val="00DD0486"/>
    <w:rsid w:val="00F6122D"/>
    <w:rsid w:val="355F1831"/>
    <w:rsid w:val="4241369B"/>
    <w:rsid w:val="571E6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link w:val="16"/>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1"/>
    <w:link w:val="18"/>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2"/>
    <w:autoRedefine/>
    <w:unhideWhenUsed/>
    <w:qFormat/>
    <w:uiPriority w:val="99"/>
    <w:pPr>
      <w:spacing w:before="156" w:beforeLines="50" w:line="480" w:lineRule="auto"/>
      <w:ind w:firstLine="419" w:firstLineChars="149"/>
      <w:jc w:val="left"/>
    </w:pPr>
  </w:style>
  <w:style w:type="paragraph" w:styleId="6">
    <w:name w:val="Body Text"/>
    <w:basedOn w:val="1"/>
    <w:link w:val="14"/>
    <w:unhideWhenUsed/>
    <w:qFormat/>
    <w:uiPriority w:val="99"/>
    <w:pPr>
      <w:spacing w:after="120"/>
    </w:p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6"/>
    <w:link w:val="15"/>
    <w:unhideWhenUsed/>
    <w:qFormat/>
    <w:uiPriority w:val="0"/>
    <w:pPr>
      <w:ind w:firstLine="420" w:firstLineChars="100"/>
    </w:pPr>
  </w:style>
  <w:style w:type="table" w:styleId="11">
    <w:name w:val="Table Grid"/>
    <w:basedOn w:val="10"/>
    <w:autoRedefine/>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正文文本 Char"/>
    <w:basedOn w:val="12"/>
    <w:link w:val="6"/>
    <w:qFormat/>
    <w:uiPriority w:val="99"/>
    <w:rPr>
      <w:rFonts w:ascii="Times New Roman" w:hAnsi="Times New Roman" w:eastAsia="宋体" w:cs="Times New Roman"/>
      <w:szCs w:val="24"/>
    </w:rPr>
  </w:style>
  <w:style w:type="character" w:customStyle="1" w:styleId="15">
    <w:name w:val="正文首行缩进 Char"/>
    <w:basedOn w:val="14"/>
    <w:link w:val="9"/>
    <w:qFormat/>
    <w:uiPriority w:val="0"/>
    <w:rPr>
      <w:rFonts w:ascii="Times New Roman" w:hAnsi="Times New Roman" w:eastAsia="宋体" w:cs="Times New Roman"/>
      <w:szCs w:val="24"/>
    </w:rPr>
  </w:style>
  <w:style w:type="character" w:customStyle="1" w:styleId="16">
    <w:name w:val="标题 2 Char"/>
    <w:basedOn w:val="12"/>
    <w:link w:val="3"/>
    <w:qFormat/>
    <w:uiPriority w:val="9"/>
    <w:rPr>
      <w:rFonts w:ascii="宋体" w:hAnsi="宋体" w:eastAsia="宋体" w:cs="宋体"/>
      <w:b/>
      <w:bCs/>
      <w:kern w:val="0"/>
      <w:sz w:val="36"/>
      <w:szCs w:val="36"/>
    </w:rPr>
  </w:style>
  <w:style w:type="character" w:customStyle="1" w:styleId="17">
    <w:name w:val="标题 3 Char"/>
    <w:basedOn w:val="12"/>
    <w:link w:val="2"/>
    <w:qFormat/>
    <w:uiPriority w:val="9"/>
    <w:rPr>
      <w:rFonts w:ascii="宋体" w:hAnsi="宋体" w:eastAsia="宋体" w:cs="宋体"/>
      <w:b/>
      <w:bCs/>
      <w:kern w:val="0"/>
      <w:sz w:val="27"/>
      <w:szCs w:val="27"/>
    </w:rPr>
  </w:style>
  <w:style w:type="character" w:customStyle="1" w:styleId="18">
    <w:name w:val="标题 4 Char"/>
    <w:basedOn w:val="12"/>
    <w:link w:val="4"/>
    <w:qFormat/>
    <w:uiPriority w:val="9"/>
    <w:rPr>
      <w:rFonts w:ascii="宋体" w:hAnsi="宋体" w:eastAsia="宋体" w:cs="宋体"/>
      <w:b/>
      <w:bCs/>
      <w:kern w:val="0"/>
      <w:sz w:val="24"/>
      <w:szCs w:val="24"/>
    </w:rPr>
  </w:style>
  <w:style w:type="character" w:customStyle="1" w:styleId="19">
    <w:name w:val="2"/>
    <w:basedOn w:val="12"/>
    <w:qFormat/>
    <w:uiPriority w:val="0"/>
  </w:style>
  <w:style w:type="paragraph" w:customStyle="1" w:styleId="20">
    <w:name w:val="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正文缩进 Char"/>
    <w:link w:val="5"/>
    <w:autoRedefine/>
    <w:qFormat/>
    <w:uiPriority w:val="99"/>
    <w:rPr>
      <w:rFonts w:ascii="Times New Roman" w:hAnsi="Times New Roman" w:eastAsia="宋体" w:cs="Times New Roman"/>
      <w:szCs w:val="24"/>
    </w:rPr>
  </w:style>
  <w:style w:type="paragraph" w:customStyle="1" w:styleId="23">
    <w:name w:val="样式 首行缩进:  2 字符"/>
    <w:basedOn w:val="1"/>
    <w:autoRedefine/>
    <w:qFormat/>
    <w:uiPriority w:val="0"/>
    <w:pPr>
      <w:spacing w:line="336" w:lineRule="auto"/>
      <w:ind w:firstLine="420" w:firstLineChars="200"/>
    </w:pPr>
    <w:rPr>
      <w:rFonts w:cs="宋体"/>
      <w:bCs/>
      <w:color w:val="FF000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9</Pages>
  <Words>6870</Words>
  <Characters>7117</Characters>
  <Lines>36</Lines>
  <Paragraphs>10</Paragraphs>
  <TotalTime>0</TotalTime>
  <ScaleCrop>false</ScaleCrop>
  <LinksUpToDate>false</LinksUpToDate>
  <CharactersWithSpaces>7122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2024-03-26T06:49:00Z</dcterms:created>
  <dc:creator>Administrator</dc:creator>
  <cp:lastModifiedBy>代理公司</cp:lastModifiedBy>
  <dcterms:modified xsi:type="dcterms:W3CDTF">2025-06-10T01:18:09Z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C8D68687C90E4F07835B1964DAC68627_12</vt:lpwstr>
  </property>
  <property fmtid="{D5CDD505-2E9C-101B-9397-08002B2CF9AE}" pid="4" name="KSOTemplateDocerSaveRecord">
    <vt:lpwstr>eyJoZGlkIjoiZjZiZWY5M2FiNzU1ZTJkOWM2OThhZDA4YjM1YzE3NjIiLCJ1c2VySWQiOiIyMjY0NTY0NzgifQ==</vt:lpwstr>
  </property>
</Properties>
</file>