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437"/>
        <w:gridCol w:w="7583"/>
      </w:tblGrid>
      <w:tr w14:paraId="67712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B706561">
            <w:pPr>
              <w:pStyle w:val="7"/>
              <w:rPr>
                <w:rFonts w:hint="eastAsia" w:asciiTheme="minorEastAsia" w:hAnsiTheme="minorEastAsia" w:eastAsiaTheme="minorEastAsia" w:cstheme="minorEastAsia"/>
                <w:color w:val="0000FF"/>
                <w:sz w:val="20"/>
                <w:szCs w:val="20"/>
                <w:highlight w:val="none"/>
              </w:rPr>
            </w:pPr>
            <w:r>
              <w:rPr>
                <w:rFonts w:hint="eastAsia" w:asciiTheme="minorEastAsia" w:hAnsiTheme="minorEastAsia" w:eastAsiaTheme="minorEastAsia" w:cstheme="minorEastAsia"/>
                <w:color w:val="0000FF"/>
                <w:sz w:val="20"/>
                <w:szCs w:val="20"/>
                <w:highlight w:val="none"/>
              </w:rPr>
              <w:t>参数性质</w:t>
            </w:r>
          </w:p>
        </w:tc>
        <w:tc>
          <w:tcPr>
            <w:tcW w:w="437" w:type="dxa"/>
          </w:tcPr>
          <w:p w14:paraId="39C7412A">
            <w:pPr>
              <w:pStyle w:val="7"/>
              <w:rPr>
                <w:rFonts w:hint="eastAsia" w:asciiTheme="minorEastAsia" w:hAnsiTheme="minorEastAsia" w:eastAsiaTheme="minorEastAsia" w:cstheme="minorEastAsia"/>
                <w:color w:val="0000FF"/>
                <w:sz w:val="20"/>
                <w:szCs w:val="20"/>
                <w:highlight w:val="none"/>
              </w:rPr>
            </w:pPr>
            <w:r>
              <w:rPr>
                <w:rFonts w:hint="eastAsia" w:asciiTheme="minorEastAsia" w:hAnsiTheme="minorEastAsia" w:eastAsiaTheme="minorEastAsia" w:cstheme="minorEastAsia"/>
                <w:color w:val="0000FF"/>
                <w:sz w:val="20"/>
                <w:szCs w:val="20"/>
                <w:highlight w:val="none"/>
              </w:rPr>
              <w:t>序号</w:t>
            </w:r>
          </w:p>
        </w:tc>
        <w:tc>
          <w:tcPr>
            <w:tcW w:w="7583" w:type="dxa"/>
          </w:tcPr>
          <w:p w14:paraId="53B29188">
            <w:pPr>
              <w:pStyle w:val="7"/>
              <w:rPr>
                <w:rFonts w:hint="eastAsia" w:asciiTheme="minorEastAsia" w:hAnsiTheme="minorEastAsia" w:eastAsiaTheme="minorEastAsia" w:cstheme="minorEastAsia"/>
                <w:color w:val="0000FF"/>
                <w:sz w:val="20"/>
                <w:szCs w:val="20"/>
                <w:highlight w:val="none"/>
              </w:rPr>
            </w:pPr>
            <w:r>
              <w:rPr>
                <w:rFonts w:hint="eastAsia" w:asciiTheme="minorEastAsia" w:hAnsiTheme="minorEastAsia" w:eastAsiaTheme="minorEastAsia" w:cstheme="minorEastAsia"/>
                <w:color w:val="0000FF"/>
                <w:sz w:val="20"/>
                <w:szCs w:val="20"/>
                <w:highlight w:val="none"/>
              </w:rPr>
              <w:t>技术参数与性能指标</w:t>
            </w:r>
          </w:p>
        </w:tc>
      </w:tr>
      <w:tr w14:paraId="6CA90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268B833">
            <w:pPr>
              <w:rPr>
                <w:rFonts w:hint="eastAsia" w:asciiTheme="minorEastAsia" w:hAnsiTheme="minorEastAsia" w:eastAsiaTheme="minorEastAsia" w:cstheme="minorEastAsia"/>
                <w:color w:val="0000FF"/>
                <w:sz w:val="20"/>
                <w:szCs w:val="20"/>
                <w:highlight w:val="yellow"/>
              </w:rPr>
            </w:pPr>
          </w:p>
        </w:tc>
        <w:tc>
          <w:tcPr>
            <w:tcW w:w="437" w:type="dxa"/>
          </w:tcPr>
          <w:p w14:paraId="5A62E2E3">
            <w:pPr>
              <w:pStyle w:val="7"/>
              <w:rPr>
                <w:rFonts w:hint="eastAsia" w:asciiTheme="minorEastAsia" w:hAnsiTheme="minorEastAsia" w:eastAsiaTheme="minorEastAsia" w:cstheme="minorEastAsia"/>
                <w:color w:val="0000FF"/>
                <w:sz w:val="20"/>
                <w:szCs w:val="20"/>
                <w:highlight w:val="yellow"/>
              </w:rPr>
            </w:pPr>
            <w:r>
              <w:rPr>
                <w:rFonts w:hint="eastAsia" w:asciiTheme="minorEastAsia" w:hAnsiTheme="minorEastAsia" w:eastAsiaTheme="minorEastAsia" w:cstheme="minorEastAsia"/>
                <w:color w:val="0000FF"/>
                <w:sz w:val="20"/>
                <w:szCs w:val="20"/>
                <w:highlight w:val="none"/>
              </w:rPr>
              <w:t>1</w:t>
            </w:r>
          </w:p>
        </w:tc>
        <w:tc>
          <w:tcPr>
            <w:tcW w:w="7583" w:type="dxa"/>
          </w:tcPr>
          <w:p w14:paraId="5EAC7106">
            <w:pPr>
              <w:spacing w:line="360" w:lineRule="auto"/>
              <w:ind w:firstLine="402" w:firstLineChars="200"/>
              <w:rPr>
                <w:rFonts w:ascii="宋体" w:hAnsi="宋体" w:eastAsia="宋体" w:cs="宋体"/>
                <w:b/>
                <w:bCs/>
                <w:color w:val="0000FF"/>
                <w:kern w:val="0"/>
                <w:sz w:val="20"/>
                <w:szCs w:val="20"/>
              </w:rPr>
            </w:pPr>
            <w:r>
              <w:rPr>
                <w:rFonts w:hint="eastAsia" w:ascii="宋体" w:hAnsi="宋体" w:eastAsia="宋体" w:cs="宋体"/>
                <w:b/>
                <w:bCs/>
                <w:color w:val="0000FF"/>
                <w:kern w:val="0"/>
                <w:sz w:val="20"/>
                <w:szCs w:val="20"/>
              </w:rPr>
              <w:t>一、项目概况</w:t>
            </w:r>
          </w:p>
          <w:p w14:paraId="7CEA6FBD">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rPr>
            </w:pPr>
            <w:r>
              <w:rPr>
                <w:rFonts w:hint="eastAsia" w:ascii="宋体" w:hAnsi="宋体" w:eastAsia="宋体" w:cs="宋体"/>
                <w:color w:val="0000FF"/>
                <w:kern w:val="0"/>
                <w:sz w:val="20"/>
                <w:szCs w:val="20"/>
              </w:rPr>
              <w:t>陕西干部网络学院和西安干部网络学院为进一步加强干部教育网络培训工作，确保干部网络培训顺利开展，保证干部网络学院平台稳定运行，需进一步加强网络环境的建设，对平台进行改版升级，并建立干部教育大数据分析平台，优化培训实施。</w:t>
            </w:r>
          </w:p>
          <w:p w14:paraId="642F5010">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lang w:val="en-US" w:eastAsia="zh-CN"/>
              </w:rPr>
            </w:pPr>
            <w:r>
              <w:rPr>
                <w:rFonts w:hint="eastAsia" w:ascii="宋体" w:hAnsi="宋体" w:eastAsia="宋体" w:cs="宋体"/>
                <w:color w:val="0000FF"/>
                <w:kern w:val="0"/>
                <w:sz w:val="20"/>
                <w:szCs w:val="20"/>
                <w:lang w:val="en-US" w:eastAsia="zh-CN"/>
              </w:rPr>
              <w:t>二、服务内容</w:t>
            </w:r>
          </w:p>
          <w:p w14:paraId="1646DB8C">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lang w:val="en-US" w:eastAsia="zh-CN"/>
              </w:rPr>
            </w:pPr>
            <w:r>
              <w:rPr>
                <w:rFonts w:hint="eastAsia" w:ascii="宋体" w:hAnsi="宋体" w:eastAsia="宋体" w:cs="宋体"/>
                <w:color w:val="0000FF"/>
                <w:kern w:val="0"/>
                <w:sz w:val="20"/>
                <w:szCs w:val="20"/>
                <w:lang w:val="en-US" w:eastAsia="zh-CN"/>
              </w:rPr>
              <w:t>(一)平台数据及功能日常维护：</w:t>
            </w:r>
          </w:p>
          <w:p w14:paraId="492D6C53">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lang w:val="en-US" w:eastAsia="zh-CN"/>
              </w:rPr>
            </w:pPr>
            <w:r>
              <w:rPr>
                <w:rFonts w:hint="eastAsia" w:ascii="宋体" w:hAnsi="宋体" w:eastAsia="宋体" w:cs="宋体"/>
                <w:color w:val="0000FF"/>
                <w:kern w:val="0"/>
                <w:sz w:val="20"/>
                <w:szCs w:val="20"/>
                <w:lang w:val="en-US" w:eastAsia="zh-CN"/>
              </w:rPr>
              <w:t>1.陕西干部教育数据安全服务平台线上运行服务支持，服务器运维监控，页面数据异常问题分析及修复，日常常规需求更新处理。</w:t>
            </w:r>
          </w:p>
          <w:p w14:paraId="14CF90D1">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lang w:val="en-US" w:eastAsia="zh-CN"/>
              </w:rPr>
            </w:pPr>
            <w:r>
              <w:rPr>
                <w:rFonts w:hint="eastAsia" w:ascii="宋体" w:hAnsi="宋体" w:eastAsia="宋体" w:cs="宋体"/>
                <w:color w:val="0000FF"/>
                <w:kern w:val="0"/>
                <w:sz w:val="20"/>
                <w:szCs w:val="20"/>
                <w:lang w:val="en-US" w:eastAsia="zh-CN"/>
              </w:rPr>
              <w:t>2.陕西干部教育培训管理系统线上运行服务支持，服务器运维监控，页面数据异常问题分析及修复，日常常规需求更新处理。</w:t>
            </w:r>
          </w:p>
          <w:p w14:paraId="42303220">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lang w:val="en-US" w:eastAsia="zh-CN"/>
              </w:rPr>
            </w:pPr>
            <w:r>
              <w:rPr>
                <w:rFonts w:hint="eastAsia" w:ascii="宋体" w:hAnsi="宋体" w:eastAsia="宋体" w:cs="宋体"/>
                <w:color w:val="0000FF"/>
                <w:kern w:val="0"/>
                <w:sz w:val="20"/>
                <w:szCs w:val="20"/>
                <w:lang w:val="en-US" w:eastAsia="zh-CN"/>
              </w:rPr>
              <w:t>3.陕西干部教育培训网线上运行服务支持，服务器运维监控，页面数据异常问题分析及修复，日常常规需求更新处理。</w:t>
            </w:r>
          </w:p>
          <w:p w14:paraId="280B98E0">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lang w:val="en-US" w:eastAsia="zh-CN"/>
              </w:rPr>
            </w:pPr>
            <w:r>
              <w:rPr>
                <w:rFonts w:hint="eastAsia" w:ascii="宋体" w:hAnsi="宋体" w:eastAsia="宋体" w:cs="宋体"/>
                <w:color w:val="0000FF"/>
                <w:kern w:val="0"/>
                <w:sz w:val="20"/>
                <w:szCs w:val="20"/>
                <w:lang w:val="en-US" w:eastAsia="zh-CN"/>
              </w:rPr>
              <w:t>4.陕西干部教育网络学院线上运行服务支持，服务器运维监控，页面数据异常问题分析及修复，日常常规需求更新处理。支持服务包括全省十个二级平台。</w:t>
            </w:r>
          </w:p>
          <w:p w14:paraId="05F0FB73">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lang w:val="en-US" w:eastAsia="zh-CN"/>
              </w:rPr>
            </w:pPr>
            <w:r>
              <w:rPr>
                <w:rFonts w:hint="eastAsia" w:ascii="宋体" w:hAnsi="宋体" w:eastAsia="宋体" w:cs="宋体"/>
                <w:color w:val="0000FF"/>
                <w:kern w:val="0"/>
                <w:sz w:val="20"/>
                <w:szCs w:val="20"/>
                <w:lang w:val="en-US" w:eastAsia="zh-CN"/>
              </w:rPr>
              <w:t>5.陕西干部教育大数据看板系统线上运行服务支持，服务器运维监控，页面数据异常问题分析及修复，日常常规需求更新处理。</w:t>
            </w:r>
          </w:p>
          <w:p w14:paraId="051E6245">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lang w:val="en-US" w:eastAsia="zh-CN"/>
              </w:rPr>
            </w:pPr>
            <w:r>
              <w:rPr>
                <w:rFonts w:hint="eastAsia" w:ascii="宋体" w:hAnsi="宋体" w:eastAsia="宋体" w:cs="宋体"/>
                <w:color w:val="0000FF"/>
                <w:kern w:val="0"/>
                <w:sz w:val="20"/>
                <w:szCs w:val="20"/>
                <w:lang w:val="en-US" w:eastAsia="zh-CN"/>
              </w:rPr>
              <w:t>（二）平台升级AI功能需求：</w:t>
            </w:r>
          </w:p>
          <w:p w14:paraId="0CB80ABB">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lang w:val="en-US" w:eastAsia="zh-CN"/>
              </w:rPr>
            </w:pPr>
            <w:r>
              <w:rPr>
                <w:rFonts w:hint="eastAsia" w:ascii="宋体" w:hAnsi="宋体" w:eastAsia="宋体" w:cs="宋体"/>
                <w:color w:val="0000FF"/>
                <w:kern w:val="0"/>
                <w:sz w:val="20"/>
                <w:szCs w:val="20"/>
                <w:lang w:val="en-US" w:eastAsia="zh-CN"/>
              </w:rPr>
              <w:t>（1）AI学习推荐:该功能将精准构建每位学员的个性化学习画像，并智能推荐与当前学习活动高度相关学习资源，确保学习内容既符合学员的个性化需求，又紧密贴合组织的发展要求。该功能建设将为员工提供个性化、智能化的学习路径，同时将有效提升平台智能化能力，并为组织构建更加灵活多样的学习新生态。</w:t>
            </w:r>
          </w:p>
          <w:p w14:paraId="018715DB">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lang w:val="en-US" w:eastAsia="zh-CN"/>
              </w:rPr>
            </w:pPr>
            <w:r>
              <w:rPr>
                <w:rFonts w:hint="eastAsia" w:ascii="宋体" w:hAnsi="宋体" w:eastAsia="宋体" w:cs="宋体"/>
                <w:color w:val="0000FF"/>
                <w:kern w:val="0"/>
                <w:sz w:val="20"/>
                <w:szCs w:val="20"/>
                <w:lang w:val="en-US" w:eastAsia="zh-CN"/>
              </w:rPr>
              <w:t>（2）AI互动学习：该功能通过自动提取音视频课程内容摘要、标注关键点，并基于AI技术生成配套试题，支撑高度互动的学习场景。在学习过程中，学员能在视频内容播放到对应知识点时，进行互动习题回答，加深理解并巩固知识。通过该功能建设，能够有效提高学员学习参与度，增强学习效果。同时，该功能建设能优化现有学习模式，提升整体学习成效，为组织的知识传承与人才培养提供有力支持。</w:t>
            </w:r>
          </w:p>
          <w:p w14:paraId="7F9CA925">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lang w:val="en-US" w:eastAsia="zh-CN"/>
              </w:rPr>
            </w:pPr>
            <w:r>
              <w:rPr>
                <w:rFonts w:hint="eastAsia" w:ascii="宋体" w:hAnsi="宋体" w:eastAsia="宋体" w:cs="宋体"/>
                <w:color w:val="0000FF"/>
                <w:kern w:val="0"/>
                <w:sz w:val="20"/>
                <w:szCs w:val="20"/>
                <w:lang w:val="en-US" w:eastAsia="zh-CN"/>
              </w:rPr>
              <w:t>（3）AI伴学：该功能通过将文本、音视频课件提取字幕生成导学，自动生成课件总结（全文概览）、提炼章节摘要等帮助学员再次理解，同时学员在进行知识问答时，可以将掌握度不高的知识直接跳转溯源到相应的页码快速学习，实现个性化学习辅导。另外，此功能还提供数据统计分析功能，学员可查看自己的知识点掌握情况。通过该功能建设，助力学员快速掌握课程内容， 帮助学员实现个性化学习，同时满足听觉型人才学习需求，随时随地学习课程。</w:t>
            </w:r>
          </w:p>
          <w:p w14:paraId="063A90E2">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lang w:val="en-US" w:eastAsia="zh-CN"/>
              </w:rPr>
            </w:pPr>
            <w:r>
              <w:rPr>
                <w:rFonts w:hint="eastAsia" w:ascii="宋体" w:hAnsi="宋体" w:eastAsia="宋体" w:cs="宋体"/>
                <w:color w:val="0000FF"/>
                <w:kern w:val="0"/>
                <w:sz w:val="20"/>
                <w:szCs w:val="20"/>
                <w:lang w:val="en-US" w:eastAsia="zh-CN"/>
              </w:rPr>
              <w:t>（4）AI教练：该功能与学院课程库、知识库进行深度结合，利用AI技术将视频课程转化为标准化、体系化的知识图谱，方便学员快速查询和调取应学、想学的知识点和训练题，以练促学、以练导学，提升问题解决效率与问题解答的质量，帮助学员重构知识学习方式，让学习更便捷。</w:t>
            </w:r>
          </w:p>
          <w:p w14:paraId="1F7C2E4B">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lang w:val="en-US" w:eastAsia="zh-CN"/>
              </w:rPr>
            </w:pPr>
            <w:r>
              <w:rPr>
                <w:rFonts w:hint="eastAsia" w:ascii="宋体" w:hAnsi="宋体" w:eastAsia="宋体" w:cs="宋体"/>
                <w:color w:val="0000FF"/>
                <w:kern w:val="0"/>
                <w:sz w:val="20"/>
                <w:szCs w:val="20"/>
                <w:lang w:val="en-US" w:eastAsia="zh-CN"/>
              </w:rPr>
              <w:t>（5）AI出题：该功能将通过简单上传相关文档（如课程大纲、知识点列表等），即可利用AI技术高效、便捷地梳理知识要点及输出不同考核难度的试题，试题类型包含单选题、多选题、判断题、问答题。该功能建设将提升出题效率与质量，支撑高效教学与评估，助力组织部干部教育培训工作智能化发展。</w:t>
            </w:r>
          </w:p>
          <w:p w14:paraId="64B56D16">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lang w:val="en-US" w:eastAsia="zh-CN"/>
              </w:rPr>
            </w:pPr>
            <w:r>
              <w:rPr>
                <w:rFonts w:hint="eastAsia" w:ascii="宋体" w:hAnsi="宋体" w:eastAsia="宋体" w:cs="宋体"/>
                <w:color w:val="0000FF"/>
                <w:kern w:val="0"/>
                <w:sz w:val="20"/>
                <w:szCs w:val="20"/>
                <w:lang w:val="en-US" w:eastAsia="zh-CN"/>
              </w:rPr>
              <w:t>（6）大模型适配：采用混合大模型模式，通过整合各模型优势，实现更强大、全面的人工智能能力，支持国内主流大模型厂商接入，讯飞星火、腾讯混元、文心一言、通义千问、智谱AI、Deepseek、豆包，Kimi等，在使用中不同的AI应用可灵活配置不同模型厂商，达到效果最优，采用的大模型必须在工信部备案。</w:t>
            </w:r>
          </w:p>
          <w:p w14:paraId="1AAF4C84">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lang w:val="en-US" w:eastAsia="zh-CN"/>
              </w:rPr>
            </w:pPr>
            <w:r>
              <w:rPr>
                <w:rFonts w:hint="eastAsia" w:ascii="宋体" w:hAnsi="宋体" w:eastAsia="宋体" w:cs="宋体"/>
                <w:color w:val="0000FF"/>
                <w:kern w:val="0"/>
                <w:sz w:val="20"/>
                <w:szCs w:val="20"/>
                <w:lang w:val="en-US" w:eastAsia="zh-CN"/>
              </w:rPr>
              <w:t>（三）陕西干部网络学院CDN流量服务、AI服务器、AI算力</w:t>
            </w:r>
          </w:p>
          <w:p w14:paraId="43986EB9">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lang w:val="en-US" w:eastAsia="zh-CN"/>
              </w:rPr>
            </w:pPr>
            <w:r>
              <w:rPr>
                <w:rFonts w:hint="eastAsia" w:ascii="宋体" w:hAnsi="宋体" w:eastAsia="宋体" w:cs="宋体"/>
                <w:color w:val="0000FF"/>
                <w:kern w:val="0"/>
                <w:sz w:val="20"/>
                <w:szCs w:val="20"/>
                <w:lang w:val="en-US" w:eastAsia="zh-CN"/>
              </w:rPr>
              <w:t>1.CDN流量:1PB ，提供CDN流量运维支持；</w:t>
            </w:r>
          </w:p>
          <w:p w14:paraId="7E5E9697">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lang w:val="en-US" w:eastAsia="zh-CN"/>
              </w:rPr>
            </w:pPr>
            <w:bookmarkStart w:id="0" w:name="_GoBack"/>
            <w:bookmarkEnd w:id="0"/>
            <w:r>
              <w:rPr>
                <w:rFonts w:hint="eastAsia" w:ascii="宋体" w:hAnsi="宋体" w:eastAsia="宋体" w:cs="宋体"/>
                <w:color w:val="0000FF"/>
                <w:kern w:val="0"/>
                <w:sz w:val="20"/>
                <w:szCs w:val="20"/>
                <w:lang w:val="en-US" w:eastAsia="zh-CN"/>
              </w:rPr>
              <w:t>（四）陕西干部网络学院读书吧小程序年度服务</w:t>
            </w:r>
          </w:p>
          <w:p w14:paraId="75E45F51">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lang w:val="en-US" w:eastAsia="zh-CN"/>
              </w:rPr>
            </w:pPr>
            <w:r>
              <w:rPr>
                <w:rFonts w:hint="eastAsia" w:ascii="宋体" w:hAnsi="宋体" w:eastAsia="宋体" w:cs="宋体"/>
                <w:color w:val="0000FF"/>
                <w:kern w:val="0"/>
                <w:sz w:val="20"/>
                <w:szCs w:val="20"/>
                <w:lang w:val="en-US" w:eastAsia="zh-CN"/>
              </w:rPr>
              <w:t>1.与陕西干部网络院学校微信小程序无缝对接，用户统一管理，统一身份认证。</w:t>
            </w:r>
          </w:p>
          <w:p w14:paraId="456F997D">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lang w:val="en-US" w:eastAsia="zh-CN"/>
              </w:rPr>
            </w:pPr>
            <w:r>
              <w:rPr>
                <w:rFonts w:hint="eastAsia" w:ascii="宋体" w:hAnsi="宋体" w:eastAsia="宋体" w:cs="宋体"/>
                <w:color w:val="0000FF"/>
                <w:kern w:val="0"/>
                <w:sz w:val="20"/>
                <w:szCs w:val="20"/>
                <w:lang w:val="en-US" w:eastAsia="zh-CN"/>
              </w:rPr>
              <w:t>2.提供活动发布运营管理、积分系统、统一检索、学习打卡、知识挑战、我的书房、主题专题管理、资源管理等功能，读书积分可支持网络学院学时互换。</w:t>
            </w:r>
          </w:p>
          <w:p w14:paraId="6020AFF7">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FF"/>
                <w:kern w:val="0"/>
                <w:sz w:val="20"/>
                <w:szCs w:val="20"/>
                <w:lang w:val="en-US" w:eastAsia="zh-CN"/>
              </w:rPr>
            </w:pPr>
            <w:r>
              <w:rPr>
                <w:rFonts w:hint="eastAsia" w:ascii="宋体" w:hAnsi="宋体" w:eastAsia="宋体" w:cs="宋体"/>
                <w:color w:val="0000FF"/>
                <w:kern w:val="0"/>
                <w:sz w:val="20"/>
                <w:szCs w:val="20"/>
                <w:lang w:val="en-US" w:eastAsia="zh-CN"/>
              </w:rPr>
              <w:t>3.读书吧资源内容包含电子图书至少3万册，要求每日更新，月更新量不少于150本；期刊3000种，每周更新（按照期刊更新周期实时更新）；微视频10000集，要求每日更新；少儿绘本1200套，可按季度更新；听书资源至少10000集，可按年度更新；专题资源至少100个，可按年度更新。</w:t>
            </w:r>
          </w:p>
        </w:tc>
      </w:tr>
    </w:tbl>
    <w:p w14:paraId="7D548B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B0019"/>
    <w:rsid w:val="0EC2207B"/>
    <w:rsid w:val="185B7540"/>
    <w:rsid w:val="1F0B0019"/>
    <w:rsid w:val="213E2F0F"/>
    <w:rsid w:val="26841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iPriority w:val="0"/>
    <w:pPr>
      <w:wordWrap w:val="0"/>
      <w:adjustRightInd w:val="0"/>
      <w:snapToGrid w:val="0"/>
      <w:spacing w:line="480" w:lineRule="auto"/>
    </w:pPr>
    <w:rPr>
      <w:rFonts w:ascii="宋体" w:hAnsi="宋体" w:eastAsia="宋体" w:cs="宋体"/>
      <w:b/>
      <w:sz w:val="28"/>
      <w:szCs w:val="2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表格-左对齐"/>
    <w:basedOn w:val="1"/>
    <w:qFormat/>
    <w:uiPriority w:val="0"/>
    <w:pPr>
      <w:wordWrap w:val="0"/>
      <w:adjustRightInd w:val="0"/>
      <w:snapToGrid w:val="0"/>
      <w:spacing w:line="360" w:lineRule="auto"/>
      <w:jc w:val="center"/>
    </w:pPr>
    <w:rPr>
      <w:rFonts w:hint="eastAsia" w:ascii="宋体" w:hAnsi="宋体" w:eastAsia="宋体" w:cs="宋体"/>
      <w:b/>
      <w:sz w:val="24"/>
      <w:szCs w:val="24"/>
    </w:rPr>
  </w:style>
  <w:style w:type="paragraph" w:customStyle="1" w:styleId="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2025-06-13T07:29:00Z</dcterms:created>
  <dc:creator>w..</dc:creator>
  <cp:lastModifiedBy>w..</cp:lastModifiedBy>
  <dcterms:modified xsi:type="dcterms:W3CDTF">2025-06-13T07:31:12Z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86B033A3D62749B987F60135410F9666_11</vt:lpwstr>
  </property>
  <property fmtid="{D5CDD505-2E9C-101B-9397-08002B2CF9AE}" pid="4" name="KSOTemplateDocerSaveRecord">
    <vt:lpwstr>eyJoZGlkIjoiMzM4ODMwNjNiZWE4OGJkYzJkNWI1MjZhMjg0MGY0NWEiLCJ1c2VySWQiOiIyOTcwOTk0MDcifQ==</vt:lpwstr>
  </property>
</Properties>
</file>