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17" w:name="_GoBack"/>
      <w:bookmarkEnd w:id="17"/>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63"/>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61"/>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64"/>
        <w:widowControl w:val="0"/>
        <w:topLinePunct/>
        <w:spacing w:line="360" w:lineRule="auto"/>
        <w:ind w:left="2640" w:right="1104" w:rightChars="460"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西安市第九医院交换机、服务器、PC外设、PC终端、智能电视采购</w:t>
      </w:r>
    </w:p>
    <w:p>
      <w:pPr>
        <w:pStyle w:val="64"/>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XCZX2024-0194-2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62"/>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2025年6月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2"/>
        <w:tabs>
          <w:tab w:val="right" w:leader="dot" w:pos="8890"/>
        </w:tabs>
        <w:spacing w:before="480" w:after="48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6"/>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22"/>
        <w:tabs>
          <w:tab w:val="right" w:leader="dot" w:pos="8890"/>
        </w:tabs>
        <w:spacing w:before="480" w:after="48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6"/>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2"/>
        <w:tabs>
          <w:tab w:val="right" w:leader="dot" w:pos="8890"/>
        </w:tabs>
        <w:spacing w:before="480" w:after="48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6"/>
          <w:rFonts w:hint="eastAsia"/>
        </w:rPr>
        <w:t>第三章　招标内容及要求</w:t>
      </w:r>
      <w:r>
        <w:tab/>
      </w:r>
      <w:r>
        <w:fldChar w:fldCharType="begin"/>
      </w:r>
      <w:r>
        <w:instrText xml:space="preserve"> PAGEREF _Toc100219614 \h </w:instrText>
      </w:r>
      <w:r>
        <w:fldChar w:fldCharType="separate"/>
      </w:r>
      <w:r>
        <w:t>29</w:t>
      </w:r>
      <w:r>
        <w:fldChar w:fldCharType="end"/>
      </w:r>
      <w:r>
        <w:fldChar w:fldCharType="end"/>
      </w:r>
    </w:p>
    <w:p>
      <w:pPr>
        <w:pStyle w:val="22"/>
        <w:tabs>
          <w:tab w:val="right" w:leader="dot" w:pos="8890"/>
        </w:tabs>
        <w:spacing w:before="480" w:after="48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6"/>
          <w:rFonts w:hint="eastAsia"/>
        </w:rPr>
        <w:t>第四章　合同文本</w:t>
      </w:r>
      <w:r>
        <w:tab/>
      </w:r>
      <w:r>
        <w:fldChar w:fldCharType="begin"/>
      </w:r>
      <w:r>
        <w:instrText xml:space="preserve"> PAGEREF _Toc100219615 \h </w:instrText>
      </w:r>
      <w:r>
        <w:fldChar w:fldCharType="separate"/>
      </w:r>
      <w:r>
        <w:t>41</w:t>
      </w:r>
      <w:r>
        <w:fldChar w:fldCharType="end"/>
      </w:r>
      <w:r>
        <w:fldChar w:fldCharType="end"/>
      </w:r>
    </w:p>
    <w:p>
      <w:pPr>
        <w:pStyle w:val="22"/>
        <w:tabs>
          <w:tab w:val="right" w:leader="dot" w:pos="8890"/>
        </w:tabs>
        <w:spacing w:before="480" w:after="480"/>
        <w:rPr>
          <w:rFonts w:cstheme="minorHAnsi"/>
          <w:sz w:val="36"/>
          <w:szCs w:val="36"/>
        </w:rPr>
      </w:pPr>
      <w:r>
        <w:fldChar w:fldCharType="begin"/>
      </w:r>
      <w:r>
        <w:instrText xml:space="preserve"> HYPERLINK \l "_Toc100219616" </w:instrText>
      </w:r>
      <w:r>
        <w:fldChar w:fldCharType="separate"/>
      </w:r>
      <w:r>
        <w:rPr>
          <w:rStyle w:val="36"/>
          <w:rFonts w:hint="eastAsia"/>
        </w:rPr>
        <w:t>第五章　投标文件构成及格式</w:t>
      </w:r>
      <w:r>
        <w:tab/>
      </w:r>
      <w:r>
        <w:fldChar w:fldCharType="begin"/>
      </w:r>
      <w:r>
        <w:instrText xml:space="preserve"> PAGEREF _Toc100219616 \h </w:instrText>
      </w:r>
      <w:r>
        <w:fldChar w:fldCharType="separate"/>
      </w:r>
      <w:r>
        <w:t>47</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304" w:bottom="1418" w:left="1701" w:header="851" w:footer="992" w:gutter="0"/>
          <w:pgNumType w:start="1"/>
          <w:cols w:space="425" w:num="1"/>
          <w:docGrid w:type="linesAndChars" w:linePitch="480" w:charSpace="0"/>
        </w:sectPr>
      </w:pPr>
    </w:p>
    <w:p>
      <w:pPr>
        <w:pStyle w:val="2"/>
        <w:spacing w:beforeLines="0" w:afterLines="0"/>
      </w:pPr>
      <w:bookmarkStart w:id="0" w:name="_Toc100219612"/>
      <w:r>
        <w:rPr>
          <w:rFonts w:hint="eastAsia"/>
        </w:rPr>
        <w:t>第一章　投标邀请函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西安市第九医院</w:t>
      </w:r>
      <w:r>
        <w:rPr>
          <w:rFonts w:hint="eastAsia"/>
        </w:rPr>
        <w:t>的委托，经政府采购监管部门批准，按照政府采购程序，对</w:t>
      </w:r>
      <w:r>
        <w:rPr>
          <w:rFonts w:hint="eastAsia"/>
          <w:color w:val="C00000"/>
        </w:rPr>
        <w:t>西安市第九医院交换机、服务器、PC外设、PC终端、智能电视采购</w:t>
      </w:r>
      <w:r>
        <w:rPr>
          <w:rFonts w:hint="eastAsia"/>
        </w:rPr>
        <w:t>进行公开招标，欢迎符合资格条件的、有能力提供本项目所需货物的供应商参加投标。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西安市第九医院交换机、服务器、PC外设、PC终端、智能电视采购</w:t>
      </w:r>
    </w:p>
    <w:p>
      <w:pPr>
        <w:widowControl w:val="0"/>
        <w:topLinePunct/>
        <w:ind w:firstLine="480" w:firstLineChars="200"/>
        <w:jc w:val="both"/>
      </w:pPr>
      <w:r>
        <w:rPr>
          <w:rFonts w:hint="eastAsia"/>
        </w:rPr>
        <w:t>项目编号：</w:t>
      </w:r>
      <w:r>
        <w:rPr>
          <w:rFonts w:hint="eastAsia"/>
          <w:color w:val="C00000"/>
        </w:rPr>
        <w:t>XCZX2024-0194-2</w:t>
      </w:r>
    </w:p>
    <w:p>
      <w:pPr>
        <w:widowControl w:val="0"/>
        <w:topLinePunct/>
        <w:ind w:firstLine="480" w:firstLineChars="200"/>
        <w:jc w:val="both"/>
      </w:pPr>
      <w:r>
        <w:t>核准编号：</w:t>
      </w:r>
      <w:r>
        <w:rPr>
          <w:rFonts w:hint="eastAsia"/>
          <w:color w:val="C00000"/>
        </w:rPr>
        <w:t>ZCSP-西安市-2024-01574</w:t>
      </w:r>
    </w:p>
    <w:p>
      <w:pPr>
        <w:widowControl w:val="0"/>
        <w:topLinePunct/>
        <w:ind w:firstLine="480" w:firstLineChars="200"/>
        <w:jc w:val="both"/>
      </w:pPr>
      <w:r>
        <w:rPr>
          <w:rFonts w:hint="eastAsia"/>
          <w:b/>
        </w:rPr>
        <w:t>二、项目性质：</w:t>
      </w:r>
      <w:r>
        <w:rPr>
          <w:color w:val="C00000"/>
        </w:rPr>
        <w:t>非专门面向中小企业的采购</w:t>
      </w:r>
    </w:p>
    <w:p>
      <w:pPr>
        <w:widowControl w:val="0"/>
        <w:topLinePunct/>
        <w:ind w:firstLine="480" w:firstLineChars="200"/>
        <w:jc w:val="both"/>
      </w:pPr>
      <w:r>
        <w:rPr>
          <w:rFonts w:hint="eastAsia"/>
          <w:b/>
        </w:rPr>
        <w:t>三、招标内容和要求：</w:t>
      </w:r>
      <w:r>
        <w:rPr>
          <w:rFonts w:hint="eastAsia"/>
        </w:rPr>
        <w:t>交换机、服务器、PC外设、PC终端、智能电视购置</w:t>
      </w:r>
    </w:p>
    <w:p>
      <w:pPr>
        <w:widowControl w:val="0"/>
        <w:topLinePunct/>
        <w:ind w:firstLine="480" w:firstLineChars="200"/>
        <w:jc w:val="both"/>
      </w:pPr>
      <w:r>
        <w:rPr>
          <w:rFonts w:hint="eastAsia"/>
        </w:rPr>
        <w:t>（详见招标文件第三章〈招标内容及要求〉）</w:t>
      </w:r>
    </w:p>
    <w:p>
      <w:pPr>
        <w:widowControl w:val="0"/>
        <w:topLinePunct/>
        <w:ind w:firstLine="480" w:firstLineChars="200"/>
        <w:jc w:val="both"/>
      </w:pPr>
      <w:r>
        <w:rPr>
          <w:rFonts w:hint="eastAsia"/>
          <w:b/>
        </w:rPr>
        <w:t>四、采购预算：</w:t>
      </w:r>
      <w:r>
        <w:rPr>
          <w:color w:val="C00000"/>
        </w:rPr>
        <w:t>1075000.00元</w:t>
      </w:r>
    </w:p>
    <w:p>
      <w:pPr>
        <w:widowControl w:val="0"/>
        <w:topLinePunct/>
        <w:ind w:firstLine="480" w:firstLineChars="200"/>
        <w:jc w:val="both"/>
        <w:rPr>
          <w:b/>
        </w:rPr>
      </w:pPr>
      <w:r>
        <w:rPr>
          <w:rFonts w:hint="eastAsia"/>
          <w:b/>
        </w:rPr>
        <w:t>五、供应商资格要求：</w:t>
      </w:r>
    </w:p>
    <w:p>
      <w:pPr>
        <w:widowControl w:val="0"/>
        <w:topLinePunct/>
        <w:ind w:firstLine="480" w:firstLineChars="200"/>
        <w:jc w:val="both"/>
      </w:pPr>
      <w:r>
        <w:t>见招标文件第二章〈资格性审查表〉。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2．《关于政府采购支持监狱企业发展有关问题的通知》（财库〔2014〕68号）以及《关于促进残疾人就业政府采购政策的通知》（财库〔2017〕141号）。</w:t>
      </w:r>
    </w:p>
    <w:p>
      <w:pPr>
        <w:widowControl w:val="0"/>
        <w:topLinePunct/>
        <w:ind w:firstLine="480" w:firstLineChars="200"/>
        <w:jc w:val="both"/>
      </w:pPr>
      <w:r>
        <w:t>3</w:t>
      </w:r>
      <w:r>
        <w:rPr>
          <w:rFonts w:hint="eastAsia"/>
        </w:rPr>
        <w:t>．国务院办公厅《关于建立政府强制采购节能产品制度的通知》（国办发〔2007〕51号）、</w:t>
      </w:r>
      <w:r>
        <w:t>《关于调整优化节能产品、环境标志产品政府采购执行机制的通知》（财库〔2019〕9号）、</w:t>
      </w:r>
      <w:r>
        <w:rPr>
          <w:rFonts w:hint="eastAsia"/>
        </w:rPr>
        <w:t>《关于印发环境标志产品政府采购品目清单的通知》（财库〔2019〕18号）、《关于印发节能产品政府采购品目清单的通知》（财库〔2019〕19号）。</w:t>
      </w:r>
    </w:p>
    <w:p>
      <w:pPr>
        <w:widowControl w:val="0"/>
        <w:topLinePunct/>
        <w:ind w:firstLine="480" w:firstLineChars="200"/>
        <w:jc w:val="both"/>
      </w:pPr>
      <w:r>
        <w:t>4</w:t>
      </w:r>
      <w:r>
        <w:rPr>
          <w:rFonts w:hint="eastAsia"/>
        </w:rPr>
        <w:t>．陕西省财政厅关于印发《陕西省中小企业政府采购信用融资办法》（陕财办采〔2018〕23号）。</w:t>
      </w:r>
    </w:p>
    <w:p>
      <w:pPr>
        <w:widowControl w:val="0"/>
        <w:topLinePunct/>
        <w:ind w:firstLine="480" w:firstLineChars="200"/>
        <w:jc w:val="both"/>
      </w:pPr>
      <w:r>
        <w:t>5</w:t>
      </w:r>
      <w:r>
        <w:rPr>
          <w:rFonts w:hint="eastAsia"/>
        </w:rPr>
        <w:t>．详见招标文件第二章相关事项。</w:t>
      </w:r>
    </w:p>
    <w:p>
      <w:pPr>
        <w:widowControl w:val="0"/>
        <w:topLinePunct/>
        <w:ind w:firstLine="480" w:firstLineChars="200"/>
        <w:jc w:val="both"/>
        <w:rPr>
          <w:b/>
        </w:rPr>
      </w:pPr>
      <w:r>
        <w:rPr>
          <w:rFonts w:hint="eastAsia"/>
          <w:b/>
        </w:rPr>
        <w:t>七、招标文件获取方式及公告期限：</w:t>
      </w:r>
    </w:p>
    <w:p>
      <w:pPr>
        <w:widowControl w:val="0"/>
        <w:topLinePunct/>
        <w:ind w:firstLine="480" w:firstLineChars="200"/>
        <w:jc w:val="both"/>
      </w:pPr>
      <w:r>
        <w:rPr>
          <w:rFonts w:hint="eastAsia"/>
        </w:rPr>
        <w:t>1．获取方式：打开【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6"/>
          <w:rFonts w:hint="eastAsia"/>
        </w:rPr>
        <w:t>http://sxggzyjy.xa.gov.cn/</w:t>
      </w:r>
      <w:r>
        <w:rPr>
          <w:rStyle w:val="36"/>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2．招标文件公告期：自招标公告发布之日起5个工作日。</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八、提交投标文件方式、截止时间及开标时间、形式：</w:t>
      </w:r>
    </w:p>
    <w:p>
      <w:pPr>
        <w:widowControl w:val="0"/>
        <w:topLinePunct/>
        <w:ind w:firstLine="480" w:firstLineChars="200"/>
        <w:jc w:val="both"/>
      </w:pPr>
      <w:r>
        <w:rPr>
          <w:rFonts w:hint="eastAsia"/>
        </w:rPr>
        <w:t>1．提交投标文件的方式：从西安市公共资源交易平台〖首页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rPr>
        <w:t>2．提交投标文件截止时间：</w:t>
      </w:r>
      <w:r>
        <w:rPr>
          <w:rFonts w:hint="eastAsia"/>
          <w:u w:val="single"/>
        </w:rPr>
        <w:t>2</w:t>
      </w:r>
      <w:r>
        <w:rPr>
          <w:u w:val="single"/>
        </w:rPr>
        <w:t>025</w:t>
      </w:r>
      <w:r>
        <w:t>年</w:t>
      </w:r>
      <w:r>
        <w:rPr>
          <w:u w:val="single"/>
        </w:rPr>
        <w:t>06</w:t>
      </w:r>
      <w:r>
        <w:rPr>
          <w:rFonts w:hint="eastAsia"/>
        </w:rPr>
        <w:t>月</w:t>
      </w:r>
      <w:r>
        <w:rPr>
          <w:u w:val="single"/>
        </w:rPr>
        <w:t>13</w:t>
      </w:r>
      <w:r>
        <w:rPr>
          <w:rFonts w:hint="eastAsia"/>
        </w:rPr>
        <w:t>日10:30，逾期提交的，系统将拒绝接收。</w:t>
      </w:r>
    </w:p>
    <w:p>
      <w:pPr>
        <w:widowControl w:val="0"/>
        <w:topLinePunct/>
        <w:ind w:firstLine="480" w:firstLineChars="200"/>
        <w:jc w:val="both"/>
      </w:pPr>
      <w:r>
        <w:rPr>
          <w:rFonts w:hint="eastAsia"/>
        </w:rPr>
        <w:t>3．开标时间及地点：</w:t>
      </w:r>
      <w:r>
        <w:rPr>
          <w:rFonts w:hint="eastAsia"/>
          <w:u w:val="single"/>
        </w:rPr>
        <w:t>2</w:t>
      </w:r>
      <w:r>
        <w:rPr>
          <w:u w:val="single"/>
        </w:rPr>
        <w:t>025</w:t>
      </w:r>
      <w:r>
        <w:t>年</w:t>
      </w:r>
      <w:r>
        <w:rPr>
          <w:u w:val="single"/>
        </w:rPr>
        <w:t>06</w:t>
      </w:r>
      <w:r>
        <w:rPr>
          <w:rFonts w:hint="eastAsia"/>
        </w:rPr>
        <w:t>月</w:t>
      </w:r>
      <w:r>
        <w:rPr>
          <w:u w:val="single"/>
        </w:rPr>
        <w:t>13</w:t>
      </w:r>
      <w:r>
        <w:rPr>
          <w:rFonts w:hint="eastAsia"/>
        </w:rPr>
        <w:t>日10:30</w:t>
      </w:r>
      <w:r>
        <w:t xml:space="preserve"> 本集采机构虚拟开标室</w:t>
      </w:r>
      <w:r>
        <w:rPr>
          <w:u w:val="single"/>
        </w:rPr>
        <w:t>4</w:t>
      </w:r>
      <w:r>
        <w:rPr>
          <w:rFonts w:hint="eastAsia"/>
        </w:rPr>
        <w:t>。</w:t>
      </w:r>
    </w:p>
    <w:p>
      <w:pPr>
        <w:widowControl w:val="0"/>
        <w:topLinePunct/>
        <w:ind w:firstLine="480" w:firstLineChars="20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b/>
        </w:rPr>
        <w:t>九、</w:t>
      </w:r>
      <w:r>
        <w:rPr>
          <w:rFonts w:hint="eastAsia"/>
          <w:b/>
        </w:rPr>
        <w:t>联系方式</w:t>
      </w:r>
    </w:p>
    <w:p>
      <w:pPr>
        <w:widowControl w:val="0"/>
        <w:topLinePunct/>
        <w:ind w:firstLine="480" w:firstLineChars="200"/>
        <w:jc w:val="both"/>
      </w:pPr>
      <w:r>
        <w:rPr>
          <w:rFonts w:hint="eastAsia"/>
        </w:rPr>
        <w:t>1．采购人：</w:t>
      </w:r>
      <w:r>
        <w:t>西安市第九医院</w:t>
      </w:r>
    </w:p>
    <w:p>
      <w:pPr>
        <w:widowControl w:val="0"/>
        <w:topLinePunct/>
        <w:ind w:firstLine="480" w:firstLineChars="200"/>
        <w:jc w:val="both"/>
        <w:rPr>
          <w:color w:val="FF0000"/>
        </w:rPr>
      </w:pPr>
      <w:r>
        <w:rPr>
          <w:rFonts w:hint="eastAsia"/>
        </w:rPr>
        <w:t>地址：</w:t>
      </w:r>
      <w:r>
        <w:rPr>
          <w:rFonts w:hint="eastAsia" w:cstheme="minorHAnsi"/>
        </w:rPr>
        <w:t>西安市碑林区南二环路东段151号</w:t>
      </w:r>
    </w:p>
    <w:p>
      <w:pPr>
        <w:widowControl w:val="0"/>
        <w:topLinePunct/>
        <w:ind w:firstLine="480" w:firstLineChars="200"/>
        <w:jc w:val="both"/>
      </w:pPr>
      <w:r>
        <w:rPr>
          <w:rFonts w:hint="eastAsia"/>
        </w:rPr>
        <w:t>联系人：伍老师</w:t>
      </w:r>
    </w:p>
    <w:p>
      <w:pPr>
        <w:widowControl w:val="0"/>
        <w:topLinePunct/>
        <w:ind w:firstLine="480" w:firstLineChars="200"/>
        <w:jc w:val="both"/>
      </w:pPr>
      <w:r>
        <w:rPr>
          <w:rFonts w:hint="eastAsia"/>
        </w:rPr>
        <w:t>联系电话：</w:t>
      </w:r>
      <w:r>
        <w:t>029-61165668</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标书联系人及分机号：王老师（80848）</w:t>
      </w:r>
    </w:p>
    <w:p>
      <w:pPr>
        <w:widowControl w:val="0"/>
        <w:topLinePunct/>
        <w:ind w:firstLine="480" w:firstLineChars="200"/>
        <w:jc w:val="both"/>
      </w:pPr>
      <w:r>
        <w:rPr>
          <w:rFonts w:hint="eastAsia"/>
        </w:rPr>
        <w:t>开标联系人及分机号：朱老师（80805）</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304" w:bottom="1418" w:left="1701" w:header="851" w:footer="851" w:gutter="0"/>
          <w:pgNumType w:start="1"/>
          <w:cols w:space="425" w:num="1"/>
          <w:docGrid w:type="linesAndChars" w:linePitch="460" w:charSpace="0"/>
        </w:sectPr>
      </w:pPr>
    </w:p>
    <w:p>
      <w:pPr>
        <w:pStyle w:val="2"/>
        <w:spacing w:before="210" w:after="210"/>
      </w:pPr>
      <w:bookmarkStart w:id="1" w:name="_Toc534656414"/>
      <w:bookmarkStart w:id="2" w:name="_Toc498349068"/>
      <w:bookmarkStart w:id="3" w:name="_Toc533363235"/>
      <w:bookmarkStart w:id="4" w:name="_Toc97563329"/>
      <w:bookmarkStart w:id="5" w:name="_Toc100219613"/>
      <w:bookmarkStart w:id="6" w:name="_Toc534656409"/>
      <w:bookmarkStart w:id="7" w:name="_Toc445407251"/>
      <w:bookmarkStart w:id="8" w:name="_Toc533363262"/>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西安市第九医院交换机、服务器、PC外设、PC终端、智能电视采购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XCZX2024-0194-2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核准编号</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ZCSP-西安市-2024-01574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u w:val="single"/>
              </w:rPr>
              <w:t>1075000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最高限价</w:t>
            </w:r>
          </w:p>
        </w:tc>
        <w:tc>
          <w:tcPr>
            <w:tcW w:w="5766" w:type="dxa"/>
            <w:shd w:val="clear" w:color="auto" w:fill="auto"/>
            <w:vAlign w:val="center"/>
          </w:tcPr>
          <w:p>
            <w:pPr>
              <w:spacing w:line="320" w:lineRule="exact"/>
              <w:jc w:val="both"/>
              <w:rPr>
                <w:rFonts w:ascii="Calibri" w:hAnsi="宋体" w:eastAsia="宋体" w:cstheme="minorHAnsi"/>
                <w:sz w:val="21"/>
                <w:u w:val="single"/>
              </w:rPr>
            </w:pPr>
            <w:r>
              <w:rPr>
                <w:rFonts w:hint="eastAsia" w:ascii="Calibri" w:hAnsi="宋体" w:eastAsia="宋体" w:cstheme="minorHAnsi"/>
                <w:sz w:val="21"/>
                <w:u w:val="single"/>
              </w:rPr>
              <w:t>1075000元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w:t>
            </w:r>
            <w:r>
              <w:rPr>
                <w:rFonts w:ascii="Calibri" w:hAnsi="宋体" w:eastAsia="宋体" w:cstheme="minorHAnsi"/>
                <w:sz w:val="21"/>
                <w:u w:val="single"/>
              </w:rPr>
              <w:t>5</w:t>
            </w:r>
            <w:r>
              <w:rPr>
                <w:rFonts w:hint="eastAsia" w:ascii="Calibri" w:hAnsi="宋体" w:eastAsia="宋体" w:cstheme="minorHAnsi"/>
                <w:sz w:val="21"/>
              </w:rPr>
              <w:t>%</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rPr>
                <w:rFonts w:ascii="Calibri" w:hAnsi="宋体" w:eastAsia="宋体" w:cstheme="minorHAnsi"/>
              </w:rPr>
            </w:pPr>
            <w:r>
              <w:rPr>
                <w:rFonts w:hint="eastAsia" w:ascii="Calibri" w:hAnsi="宋体" w:eastAsia="宋体" w:cstheme="minorHAnsi"/>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ind w:firstLine="315" w:firstLineChars="150"/>
              <w:jc w:val="both"/>
              <w:rPr>
                <w:rFonts w:ascii="Calibri" w:hAnsi="宋体" w:eastAsia="宋体" w:cstheme="minorHAnsi"/>
                <w:sz w:val="21"/>
              </w:rPr>
            </w:pPr>
            <w:r>
              <w:rPr>
                <w:rFonts w:hint="eastAsia" w:ascii="Calibri" w:hAnsi="宋体" w:eastAsia="宋体" w:cstheme="minorHAnsi"/>
                <w:sz w:val="21"/>
              </w:rPr>
              <w:t>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ind w:firstLine="315" w:firstLineChars="150"/>
              <w:jc w:val="both"/>
              <w:rPr>
                <w:rFonts w:ascii="Calibri" w:hAnsi="宋体" w:eastAsia="宋体" w:cstheme="minorHAnsi"/>
                <w:sz w:val="21"/>
              </w:rPr>
            </w:pPr>
            <w:r>
              <w:rPr>
                <w:rFonts w:hint="eastAsia" w:ascii="Calibri" w:hAnsi="宋体" w:eastAsia="宋体" w:cstheme="minorHAnsi"/>
                <w:sz w:val="21"/>
              </w:rPr>
              <w:t>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45772028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不组织</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94517252"/>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采购人组织</w:t>
            </w:r>
          </w:p>
          <w:p>
            <w:pPr>
              <w:spacing w:line="320" w:lineRule="exact"/>
              <w:jc w:val="both"/>
              <w:rPr>
                <w:rFonts w:ascii="Calibri" w:hAnsi="宋体" w:eastAsia="宋体" w:cstheme="minorHAnsi"/>
                <w:sz w:val="21"/>
              </w:rPr>
            </w:pPr>
            <w:r>
              <w:rPr>
                <w:rFonts w:ascii="Calibri" w:hAnsi="宋体" w:eastAsia="宋体" w:cstheme="minorHAnsi"/>
                <w:sz w:val="21"/>
              </w:rPr>
              <w:t>集合时间：</w:t>
            </w:r>
          </w:p>
          <w:p>
            <w:pPr>
              <w:spacing w:line="320" w:lineRule="exact"/>
              <w:jc w:val="both"/>
              <w:rPr>
                <w:rFonts w:ascii="Calibri" w:hAnsi="宋体" w:eastAsia="宋体" w:cstheme="minorHAnsi"/>
                <w:sz w:val="21"/>
              </w:rPr>
            </w:pPr>
            <w:r>
              <w:rPr>
                <w:rFonts w:ascii="Calibri" w:hAnsi="宋体" w:eastAsia="宋体" w:cstheme="minorHAnsi"/>
                <w:sz w:val="21"/>
              </w:rPr>
              <w:t>集合地点</w:t>
            </w:r>
          </w:p>
          <w:p>
            <w:pPr>
              <w:spacing w:line="320" w:lineRule="exact"/>
              <w:jc w:val="both"/>
              <w:rPr>
                <w:rFonts w:ascii="Calibri" w:hAnsi="宋体" w:eastAsia="宋体" w:cstheme="minorHAnsi"/>
                <w:sz w:val="21"/>
              </w:rPr>
            </w:pPr>
            <w:r>
              <w:rPr>
                <w:rFonts w:ascii="Calibri" w:hAnsi="宋体" w:eastAsia="宋体" w:cstheme="minorHAnsi"/>
                <w:sz w:val="21"/>
              </w:rPr>
              <w:t>联系人</w:t>
            </w:r>
            <w:r>
              <w:rPr>
                <w:rFonts w:hint="eastAsia" w:ascii="Calibri" w:hAnsi="宋体" w:eastAsia="宋体" w:cstheme="minorHAnsi"/>
                <w:sz w:val="21"/>
              </w:rPr>
              <w:t>：</w:t>
            </w:r>
          </w:p>
          <w:p>
            <w:pPr>
              <w:spacing w:line="320" w:lineRule="exact"/>
              <w:jc w:val="both"/>
              <w:rPr>
                <w:rFonts w:ascii="Calibri" w:hAnsi="宋体" w:eastAsia="宋体" w:cstheme="minorHAnsi"/>
                <w:sz w:val="21"/>
              </w:rPr>
            </w:pPr>
            <w:r>
              <w:rPr>
                <w:rFonts w:ascii="Calibri" w:hAnsi="宋体" w:eastAsia="宋体" w:cstheme="minorHAnsi"/>
                <w:sz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询问和质疑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投诉受理</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2．联系电话：029-89821846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077786224"/>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不见面开标  </w:t>
            </w:r>
            <w:sdt>
              <w:sdtPr>
                <w:rPr>
                  <w:rFonts w:hint="eastAsia" w:ascii="Calibri" w:hAnsi="宋体" w:eastAsia="宋体" w:cstheme="minorHAnsi"/>
                  <w:sz w:val="21"/>
                </w:rPr>
                <w:id w:val="155357503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见面开标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五、</w:t>
            </w:r>
            <w:r>
              <w:rPr>
                <w:rFonts w:ascii="Calibri" w:hAnsi="宋体" w:eastAsia="宋体" w:cstheme="minorHAnsi"/>
                <w:sz w:val="21"/>
              </w:rPr>
              <w:t>开标程序”第一项有关内容。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8212011"/>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暗标盲评 </w:t>
            </w:r>
            <w:r>
              <w:rPr>
                <w:rFonts w:ascii="Calibri" w:hAnsi="宋体" w:eastAsia="宋体" w:cstheme="minorHAnsi"/>
                <w:sz w:val="21"/>
              </w:rPr>
              <w:t xml:space="preserve">  </w:t>
            </w:r>
            <w:r>
              <w:rPr>
                <w:rFonts w:hint="eastAsia" w:ascii="Calibri" w:hAnsi="宋体" w:eastAsia="宋体" w:cstheme="minorHAnsi"/>
                <w:sz w:val="21"/>
              </w:rPr>
              <w:t xml:space="preserve"> </w:t>
            </w:r>
            <w:sdt>
              <w:sdtPr>
                <w:rPr>
                  <w:rFonts w:hint="eastAsia" w:ascii="Calibri" w:hAnsi="宋体" w:eastAsia="宋体" w:cstheme="minorHAnsi"/>
                  <w:sz w:val="21"/>
                </w:rPr>
                <w:id w:val="-1969506615"/>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详见本章“七</w:t>
            </w:r>
            <w:r>
              <w:rPr>
                <w:rFonts w:hint="eastAsia" w:ascii="Calibri" w:hAnsi="宋体" w:eastAsia="宋体" w:cstheme="minorHAnsi"/>
                <w:sz w:val="21"/>
              </w:rPr>
              <w:t>、评审方法和程序</w:t>
            </w:r>
            <w:r>
              <w:rPr>
                <w:rFonts w:ascii="Calibri" w:hAnsi="宋体" w:eastAsia="宋体" w:cstheme="minorHAnsi"/>
                <w:sz w:val="21"/>
              </w:rPr>
              <w:t>程序”第三项有关内容。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采购标的物行业划型</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工业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1．领取地点：本集采机构八层前台</w:t>
            </w:r>
          </w:p>
          <w:p>
            <w:pPr>
              <w:spacing w:line="320" w:lineRule="exact"/>
              <w:jc w:val="both"/>
              <w:rPr>
                <w:rFonts w:ascii="Calibri" w:hAnsi="Calibri" w:eastAsia="宋体" w:cstheme="minorHAnsi"/>
                <w:sz w:val="21"/>
              </w:rPr>
            </w:pPr>
            <w:r>
              <w:rPr>
                <w:rFonts w:ascii="Calibri" w:hAnsi="宋体" w:eastAsia="宋体" w:cstheme="minorHAnsi"/>
                <w:sz w:val="21"/>
              </w:rPr>
              <w:t>2</w:t>
            </w:r>
            <w:r>
              <w:rPr>
                <w:rFonts w:hint="eastAsia" w:ascii="Calibri" w:hAnsi="宋体" w:eastAsia="宋体" w:cstheme="minorHAnsi"/>
                <w:sz w:val="21"/>
              </w:rPr>
              <w:t>．联系电话：</w:t>
            </w:r>
            <w:r>
              <w:rPr>
                <w:rFonts w:ascii="Calibri" w:hAnsi="宋体" w:eastAsia="宋体" w:cstheme="minorHAnsi"/>
                <w:sz w:val="21"/>
              </w:rPr>
              <w:t>029-86510166/86510167转</w:t>
            </w:r>
            <w:r>
              <w:rPr>
                <w:rFonts w:hint="eastAsia" w:ascii="Calibri" w:hAnsi="宋体" w:eastAsia="宋体" w:cstheme="minorHAnsi"/>
                <w:sz w:val="21"/>
              </w:rPr>
              <w:t>80800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西安市公共资源交易中心电子化政府采购系统技术支持</w:t>
            </w:r>
            <w:r>
              <w:rPr>
                <w:rFonts w:ascii="Calibri" w:hAnsi="宋体" w:eastAsia="宋体" w:cstheme="minorHAnsi"/>
                <w:sz w:val="21"/>
              </w:rPr>
              <w:t>（软件开发商）</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国泰新点软件股份有限公司</w:t>
            </w:r>
          </w:p>
          <w:p>
            <w:pPr>
              <w:spacing w:line="320" w:lineRule="exact"/>
              <w:jc w:val="both"/>
              <w:rPr>
                <w:rFonts w:ascii="Calibri" w:hAnsi="宋体" w:eastAsia="宋体" w:cstheme="minorHAnsi"/>
                <w:sz w:val="21"/>
              </w:rPr>
            </w:pPr>
            <w:r>
              <w:rPr>
                <w:rFonts w:hint="eastAsia" w:ascii="Calibri" w:hAnsi="宋体" w:eastAsia="宋体" w:cstheme="minorHAnsi"/>
                <w:sz w:val="21"/>
              </w:rPr>
              <w:t>1．技术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ascii="Calibri" w:hAnsi="宋体" w:eastAsia="宋体" w:cstheme="minorHAnsi"/>
                <w:sz w:val="21"/>
              </w:rPr>
              <w:t>2</w:t>
            </w: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ascii="Calibri" w:hAnsi="宋体" w:eastAsia="宋体" w:cstheme="minorHAnsi"/>
                <w:sz w:val="21"/>
              </w:rPr>
              <w:t>3</w:t>
            </w: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2"/>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CA办理方式</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1．到陕西省公共资源交易中心大厅进行现场办理</w:t>
            </w:r>
          </w:p>
          <w:p>
            <w:pPr>
              <w:spacing w:line="320" w:lineRule="exact"/>
              <w:jc w:val="both"/>
              <w:rPr>
                <w:rFonts w:ascii="Calibri" w:hAnsi="宋体" w:eastAsia="宋体" w:cstheme="minorHAnsi"/>
                <w:sz w:val="21"/>
              </w:rPr>
            </w:pPr>
            <w:r>
              <w:rPr>
                <w:rFonts w:hint="eastAsia" w:ascii="Calibri" w:hAnsi="宋体" w:eastAsia="宋体" w:cstheme="minorHAnsi"/>
                <w:sz w:val="21"/>
              </w:rPr>
              <w:t>地址：陕西省西安市碑林区长安北路14号</w:t>
            </w:r>
          </w:p>
          <w:p>
            <w:pPr>
              <w:spacing w:line="320" w:lineRule="exact"/>
              <w:jc w:val="both"/>
              <w:rPr>
                <w:rFonts w:ascii="Calibri" w:hAnsi="宋体" w:eastAsia="宋体" w:cstheme="minorHAnsi"/>
                <w:sz w:val="21"/>
              </w:rPr>
            </w:pPr>
            <w:r>
              <w:rPr>
                <w:rFonts w:ascii="Calibri" w:hAnsi="宋体" w:eastAsia="宋体" w:cstheme="minorHAnsi"/>
                <w:sz w:val="21"/>
              </w:rPr>
              <w:t>2</w:t>
            </w:r>
            <w:r>
              <w:rPr>
                <w:rFonts w:hint="eastAsia" w:ascii="Calibri" w:hAnsi="宋体" w:eastAsia="宋体" w:cstheme="minorHAnsi"/>
                <w:sz w:val="21"/>
              </w:rPr>
              <w:t>．到西安市公共资源交易中心二楼大厅现场办理</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地址：西安市未央区文景北路16号白桦林国际B座</w:t>
            </w:r>
          </w:p>
          <w:p>
            <w:pPr>
              <w:spacing w:line="320" w:lineRule="exact"/>
              <w:jc w:val="both"/>
              <w:rPr>
                <w:rFonts w:ascii="Calibri" w:hAnsi="宋体" w:eastAsia="宋体" w:cstheme="minorHAnsi"/>
                <w:sz w:val="21"/>
              </w:rPr>
            </w:pPr>
            <w:r>
              <w:rPr>
                <w:rFonts w:ascii="Calibri" w:hAnsi="宋体" w:eastAsia="宋体" w:cstheme="minorHAnsi"/>
                <w:sz w:val="21"/>
              </w:rPr>
              <w:t>3</w:t>
            </w:r>
            <w:r>
              <w:rPr>
                <w:rFonts w:hint="eastAsia" w:ascii="Calibri" w:hAnsi="宋体" w:eastAsia="宋体" w:cstheme="minorHAnsi"/>
                <w:sz w:val="21"/>
              </w:rPr>
              <w:t>．下载“陕公共资源交易服务”APP，通过APP进行线上业务办理。</w:t>
            </w:r>
          </w:p>
          <w:p>
            <w:pPr>
              <w:spacing w:line="320" w:lineRule="exact"/>
              <w:jc w:val="both"/>
              <w:rPr>
                <w:rFonts w:ascii="Calibri" w:hAnsi="宋体" w:eastAsia="宋体" w:cstheme="minorHAnsi"/>
                <w:sz w:val="21"/>
              </w:rPr>
            </w:pPr>
            <w:r>
              <w:rPr>
                <w:rFonts w:ascii="Calibri" w:hAnsi="宋体" w:eastAsia="宋体" w:cstheme="minorHAnsi"/>
                <w:sz w:val="21"/>
              </w:rPr>
              <w:t>4</w:t>
            </w:r>
            <w:r>
              <w:rPr>
                <w:rFonts w:hint="eastAsia" w:ascii="Calibri" w:hAnsi="宋体" w:eastAsia="宋体" w:cstheme="minorHAnsi"/>
                <w:sz w:val="21"/>
              </w:rPr>
              <w:t>．各CA客服热线：</w:t>
            </w:r>
          </w:p>
          <w:p>
            <w:pPr>
              <w:spacing w:line="320" w:lineRule="exact"/>
              <w:jc w:val="both"/>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陕西CA客服热线：4006369888</w:t>
            </w:r>
          </w:p>
          <w:p>
            <w:pPr>
              <w:spacing w:line="320" w:lineRule="exact"/>
              <w:jc w:val="both"/>
              <w:rPr>
                <w:rFonts w:ascii="Calibri" w:hAnsi="宋体" w:eastAsia="宋体" w:cstheme="minorHAnsi"/>
                <w:sz w:val="21"/>
              </w:rPr>
            </w:pPr>
            <w:r>
              <w:rPr>
                <w:rFonts w:hint="eastAsia" w:ascii="Calibri" w:hAnsi="宋体" w:eastAsia="宋体" w:cstheme="minorHAnsi"/>
                <w:sz w:val="21"/>
              </w:rPr>
              <w:t>② 天威CA客服热线：</w:t>
            </w:r>
            <w:r>
              <w:rPr>
                <w:rFonts w:ascii="Calibri" w:hAnsi="宋体" w:eastAsia="宋体" w:cstheme="minorHAnsi"/>
                <w:sz w:val="21"/>
              </w:rPr>
              <w:t>15002930121、</w:t>
            </w:r>
            <w:r>
              <w:rPr>
                <w:rFonts w:hint="eastAsia" w:ascii="Calibri" w:hAnsi="宋体" w:eastAsia="宋体" w:cstheme="minorHAnsi"/>
                <w:sz w:val="21"/>
              </w:rPr>
              <w:t>029-86510029</w:t>
            </w:r>
          </w:p>
          <w:p>
            <w:pPr>
              <w:spacing w:line="320" w:lineRule="exact"/>
              <w:jc w:val="both"/>
              <w:rPr>
                <w:rFonts w:ascii="Calibri" w:hAnsi="宋体" w:eastAsia="宋体" w:cstheme="minorHAnsi"/>
                <w:sz w:val="21"/>
              </w:rPr>
            </w:pPr>
            <w:r>
              <w:rPr>
                <w:rFonts w:hint="eastAsia" w:ascii="Calibri" w:hAnsi="宋体" w:eastAsia="宋体" w:cstheme="minorHAnsi"/>
                <w:sz w:val="21"/>
              </w:rPr>
              <w:t>③ 西部CA客服热线：15389081371、15389081372</w:t>
            </w:r>
          </w:p>
          <w:p>
            <w:pPr>
              <w:spacing w:line="320" w:lineRule="exact"/>
              <w:jc w:val="both"/>
              <w:rPr>
                <w:rFonts w:ascii="Calibri" w:hAnsi="宋体" w:eastAsia="宋体" w:cstheme="minorHAnsi"/>
                <w:sz w:val="21"/>
              </w:rPr>
            </w:pPr>
            <w:r>
              <w:rPr>
                <w:rFonts w:hint="eastAsia" w:ascii="Calibri" w:hAnsi="宋体" w:eastAsia="宋体" w:cstheme="minorHAnsi"/>
                <w:sz w:val="21"/>
              </w:rPr>
              <w:t>④ 北京CA客服热线：4001390123、029-86510029</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2．供应商：指向采购人提供货物、工程或者服务的法人、其他组织或者自然人。</w:t>
      </w:r>
    </w:p>
    <w:p>
      <w:pPr>
        <w:ind w:firstLine="480" w:firstLineChars="200"/>
        <w:jc w:val="both"/>
        <w:rPr>
          <w:rFonts w:cstheme="minorHAnsi"/>
        </w:rPr>
      </w:pPr>
      <w:r>
        <w:rPr>
          <w:rFonts w:hint="eastAsia" w:cstheme="minorHAnsi"/>
        </w:rPr>
        <w:t>3．政府采购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4</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6"/>
          <w:rFonts w:hint="eastAsia" w:cstheme="minorHAnsi"/>
        </w:rPr>
        <w:t>http</w:t>
      </w:r>
      <w:r>
        <w:rPr>
          <w:rStyle w:val="36"/>
          <w:rFonts w:cstheme="minorHAnsi"/>
        </w:rPr>
        <w:t>://sxggzyjy.xa.gov.cn</w:t>
      </w:r>
      <w:r>
        <w:rPr>
          <w:rStyle w:val="36"/>
          <w:rFonts w:hint="eastAsia" w:cstheme="minorHAnsi"/>
        </w:rPr>
        <w:t>/</w:t>
      </w:r>
      <w:r>
        <w:rPr>
          <w:rStyle w:val="36"/>
          <w:rFonts w:cstheme="minorHAnsi"/>
        </w:rPr>
        <w:fldChar w:fldCharType="end"/>
      </w:r>
      <w:r>
        <w:rPr>
          <w:rFonts w:cstheme="minorHAnsi"/>
        </w:rPr>
        <w:t>。</w:t>
      </w:r>
    </w:p>
    <w:p>
      <w:pPr>
        <w:ind w:firstLine="480" w:firstLineChars="200"/>
        <w:jc w:val="both"/>
        <w:rPr>
          <w:rFonts w:cstheme="minorHAnsi"/>
        </w:rPr>
      </w:pPr>
      <w:r>
        <w:rPr>
          <w:rFonts w:cstheme="minorHAnsi"/>
        </w:rPr>
        <w:t>5</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6"/>
          <w:rFonts w:cstheme="minorHAnsi"/>
        </w:rPr>
        <w:t>http://www.sxggzyjy.cn:9002/TPBidder/memberLogin</w:t>
      </w:r>
      <w:r>
        <w:rPr>
          <w:rStyle w:val="36"/>
          <w:rFonts w:cstheme="minorHAnsi"/>
        </w:rPr>
        <w:fldChar w:fldCharType="end"/>
      </w:r>
      <w:r>
        <w:rPr>
          <w:rFonts w:hint="eastAsia" w:cstheme="minorHAnsi"/>
        </w:rPr>
        <w:t>。</w:t>
      </w:r>
    </w:p>
    <w:p>
      <w:pPr>
        <w:ind w:firstLine="480" w:firstLineChars="200"/>
        <w:jc w:val="both"/>
        <w:rPr>
          <w:rFonts w:cstheme="minorHAnsi"/>
        </w:rPr>
      </w:pPr>
      <w:r>
        <w:rPr>
          <w:rFonts w:hint="eastAsia" w:cstheme="minorHAnsi"/>
        </w:rPr>
        <w:t>6．中小企业：指在中华人民共和国境内依法设立，依据国务院批准的中小企业划分标准确定的中型企业、小型企业和微型企业，但与大企业的负责人为同一人，或者与大企业存在直接控股、管理关系的除外。</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ind w:firstLine="480" w:firstLineChars="200"/>
      </w:pPr>
      <w:r>
        <w:t>1</w:t>
      </w:r>
      <w:r>
        <w:rPr>
          <w:rFonts w:hint="eastAsia"/>
        </w:rPr>
        <w:t>．</w:t>
      </w:r>
      <w:r>
        <w:t>办理注册登记（针对初次使用电子交易系统的用户）：</w:t>
      </w:r>
    </w:p>
    <w:p>
      <w:pPr>
        <w:widowControl w:val="0"/>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color w:val="C00000"/>
        </w:rPr>
        <w:t>办理</w:t>
      </w:r>
      <w:r>
        <w:rPr>
          <w:rFonts w:cstheme="minorHAnsi"/>
          <w:color w:val="C00000"/>
        </w:rPr>
        <w:t>诚信</w:t>
      </w:r>
      <w:r>
        <w:rPr>
          <w:rFonts w:hint="eastAsia" w:cstheme="minorHAnsi"/>
          <w:color w:val="C00000"/>
        </w:rPr>
        <w:t>入库</w:t>
      </w:r>
      <w:r>
        <w:rPr>
          <w:rFonts w:cstheme="minorHAnsi"/>
          <w:color w:val="C00000"/>
        </w:rPr>
        <w:t>注册</w:t>
      </w:r>
      <w:r>
        <w:rPr>
          <w:rFonts w:cstheme="minorHAnsi"/>
        </w:rPr>
        <w:t>：在决定参加本项目</w:t>
      </w:r>
      <w:r>
        <w:rPr>
          <w:rFonts w:hint="eastAsia" w:cstheme="minorHAnsi"/>
        </w:rPr>
        <w:t>采购</w:t>
      </w:r>
      <w:r>
        <w:rPr>
          <w:rFonts w:cstheme="minorHAnsi"/>
        </w:rPr>
        <w:t>活动后，供应商应先在西安市公共资源交易平台上完成</w:t>
      </w:r>
      <w:r>
        <w:rPr>
          <w:rFonts w:hint="eastAsia" w:cstheme="minorHAnsi"/>
        </w:rPr>
        <w:t>“诚信入库登记”</w:t>
      </w:r>
      <w:r>
        <w:rPr>
          <w:rFonts w:cstheme="minorHAnsi"/>
        </w:rPr>
        <w:t>；</w:t>
      </w:r>
    </w:p>
    <w:p>
      <w:pPr>
        <w:widowControl w:val="0"/>
        <w:ind w:firstLine="480" w:firstLineChars="200"/>
        <w:jc w:val="both"/>
        <w:rPr>
          <w:rFonts w:cstheme="minorHAnsi"/>
        </w:rPr>
      </w:pPr>
      <w:r>
        <w:rPr>
          <w:rFonts w:cstheme="minorHAnsi"/>
        </w:rPr>
        <w:t>（2）</w:t>
      </w:r>
      <w:r>
        <w:rPr>
          <w:rFonts w:cstheme="minorHAnsi"/>
          <w:color w:val="C00000"/>
        </w:rPr>
        <w:t>办理数字认证（CA锁）</w:t>
      </w:r>
      <w:r>
        <w:rPr>
          <w:rFonts w:hint="eastAsia" w:cstheme="minorHAnsi"/>
        </w:rPr>
        <w:t>：一般分为法人锁（必选）、企业锁主锁（必选）及副锁（可选）。</w:t>
      </w:r>
      <w:r>
        <w:rPr>
          <w:rFonts w:cstheme="minorHAnsi"/>
        </w:rPr>
        <w:t>CA锁将用于对电子投标文件进行签章、加密、递交及开标时解密等相关操作。CA办理及售后服务</w:t>
      </w:r>
      <w:r>
        <w:rPr>
          <w:rFonts w:hint="eastAsia" w:cstheme="minorHAnsi"/>
        </w:rPr>
        <w:t>统一</w:t>
      </w:r>
      <w:r>
        <w:rPr>
          <w:rFonts w:cstheme="minorHAnsi"/>
        </w:rPr>
        <w:t>由第三方机构（见前附表）负责。</w:t>
      </w:r>
    </w:p>
    <w:p>
      <w:pPr>
        <w:widowControl w:val="0"/>
        <w:ind w:firstLine="480" w:firstLineChars="200"/>
        <w:jc w:val="both"/>
        <w:rPr>
          <w:rFonts w:cstheme="minorHAnsi"/>
        </w:rPr>
      </w:pPr>
      <w:r>
        <w:rPr>
          <w:rFonts w:cstheme="minorHAnsi"/>
        </w:rPr>
        <w:t>（3）</w:t>
      </w:r>
      <w:r>
        <w:rPr>
          <w:rFonts w:hint="eastAsia" w:cstheme="minorHAnsi"/>
          <w:color w:val="C00000"/>
        </w:rPr>
        <w:t>绑定</w:t>
      </w:r>
      <w:r>
        <w:rPr>
          <w:rFonts w:cstheme="minorHAnsi"/>
          <w:color w:val="C00000"/>
        </w:rPr>
        <w:t>和激活CA</w:t>
      </w:r>
      <w:r>
        <w:rPr>
          <w:rFonts w:cstheme="minorHAnsi"/>
        </w:rPr>
        <w:t>：将数字证书与诚信库中的供应商账户进行绑定。</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w:t>
      </w:r>
      <w:r>
        <w:rPr>
          <w:rFonts w:cstheme="minorHAnsi"/>
          <w:color w:val="C00000"/>
        </w:rPr>
        <w:t>招标文件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在〖招</w:t>
      </w:r>
      <w:r>
        <w:rPr>
          <w:rFonts w:hint="eastAsia" w:cstheme="minorHAnsi"/>
          <w:w w:val="1"/>
        </w:rPr>
        <w:t xml:space="preserve"> </w:t>
      </w:r>
      <w:r>
        <w:rPr>
          <w:rFonts w:hint="eastAsia" w:cstheme="minorHAnsi"/>
        </w:rPr>
        <w:t>标公告/出让公告〗模块中预览全部可供参与的项目，然后选择有意向的项目点击〖我要投标〗，成功后切换到〖我的项目〗模块，依次点选〖项目流程</w:t>
      </w:r>
      <w:r>
        <w:rPr>
          <w:rFonts w:cstheme="minorHAnsi"/>
        </w:rPr>
        <w:t>·</w:t>
      </w:r>
      <w:r>
        <w:rPr>
          <w:rFonts w:hint="eastAsia" w:cstheme="minorHAnsi"/>
        </w:rPr>
        <w:t>〉项目管理</w:t>
      </w:r>
      <w:r>
        <w:rPr>
          <w:rFonts w:cstheme="minorHAnsi"/>
        </w:rPr>
        <w:t>·</w:t>
      </w:r>
      <w:r>
        <w:rPr>
          <w:rFonts w:hint="eastAsia" w:cstheme="minorHAnsi"/>
        </w:rPr>
        <w:t>〉交易文件下载〗免费获取本项目电子招标文件（*.SXSZF）。</w:t>
      </w:r>
      <w:r>
        <w:rPr>
          <w:rFonts w:cstheme="minorHAnsi"/>
          <w:color w:val="C00000"/>
        </w:rPr>
        <w:t>请务必在采购文件获取期限内及时下载电子招标文件并做好备份，逾期无法再下载！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w:t>
      </w:r>
      <w:r>
        <w:rPr>
          <w:rFonts w:cstheme="minorHAnsi"/>
          <w:color w:val="C00000"/>
        </w:rPr>
        <w:t>文件</w:t>
      </w:r>
      <w:r>
        <w:rPr>
          <w:rFonts w:cstheme="minorHAnsi"/>
        </w:rPr>
        <w:t>：</w:t>
      </w:r>
      <w:r>
        <w:rPr>
          <w:rFonts w:hint="eastAsia" w:cstheme="minorHAnsi"/>
        </w:rPr>
        <w:t>需要使用专用制作软件“新点投</w:t>
      </w:r>
      <w:r>
        <w:rPr>
          <w:rFonts w:hint="eastAsia" w:cstheme="minorHAnsi"/>
          <w:w w:val="1"/>
        </w:rPr>
        <w:t xml:space="preserve"> </w:t>
      </w:r>
      <w:r>
        <w:rPr>
          <w:rFonts w:hint="eastAsia" w:cstheme="minorHAnsi"/>
        </w:rPr>
        <w:t>标文件制作软件（陕西公共资源）”进行编制</w:t>
      </w:r>
      <w:r>
        <w:rPr>
          <w:rFonts w:cstheme="minorHAnsi"/>
        </w:rPr>
        <w:t>，编制完成后使用CA锁对电子投标文件进行签章、加密。详见本章中的</w:t>
      </w:r>
      <w:r>
        <w:rPr>
          <w:rFonts w:hint="eastAsia" w:cstheme="minorHAnsi"/>
        </w:rPr>
        <w:t>“投标文件”</w:t>
      </w:r>
      <w:r>
        <w:rPr>
          <w:rFonts w:cstheme="minorHAnsi"/>
        </w:rPr>
        <w:t>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：开标当日，供应商法定代表人或其授权代表需提前登录</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收到主持人“开始解密”指令后，使用CA锁（</w:t>
      </w:r>
      <w:r>
        <w:rPr>
          <w:rFonts w:hint="eastAsia" w:cstheme="minorHAnsi"/>
          <w:color w:val="C00000"/>
        </w:rPr>
        <w:t>必须与加密文件时的CA锁为同一把锁</w:t>
      </w:r>
      <w:r>
        <w:rPr>
          <w:rFonts w:hint="eastAsia" w:cstheme="minorHAnsi"/>
        </w:rPr>
        <w:t>）在线对电子投标文件进行解密。</w:t>
      </w:r>
      <w:r>
        <w:rPr>
          <w:rFonts w:cstheme="minorHAnsi"/>
        </w:rPr>
        <w:t>采用</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后</w:t>
      </w:r>
      <w:r>
        <w:rPr>
          <w:rFonts w:cstheme="minorHAnsi"/>
        </w:rPr>
        <w:t>，供应商无需到达开标现场，即可在线参与整个开标过程。相关技术问题，请咨询软件开发商。</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：评审期间</w:t>
      </w:r>
      <w:r>
        <w:rPr>
          <w:rFonts w:cstheme="minorHAnsi"/>
        </w:rPr>
        <w:t>，可能需要对评审专家提出的问题进行澄清或答复。在主持人宣布评审结束前，供应商请勿擅自离席，否则由此造成的不利后果，由供应商自行承担。</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中标</w:t>
      </w:r>
      <w:r>
        <w:rPr>
          <w:rFonts w:cstheme="minorHAnsi"/>
          <w:color w:val="C00000"/>
        </w:rPr>
        <w:t>供应商注册</w:t>
      </w:r>
      <w:r>
        <w:rPr>
          <w:rFonts w:cstheme="minorHAnsi"/>
        </w:rPr>
        <w:t>：按照陕西省政府采购监管部门的要求，采购代理机构在发布中标公告前，应由中标供应商在陕西省政府采购网上完成注册。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采购文件、采购过程、成交结果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采购文件以公告方式发出，由潜在供应商自行下载的，质疑时效期间的起算日期为采购文件公告期限届满之日。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pPr>
        <w:wordWrap w:val="0"/>
        <w:ind w:firstLine="480" w:firstLineChars="200"/>
        <w:jc w:val="both"/>
      </w:pPr>
      <w:r>
        <w:rPr>
          <w:rFonts w:hint="eastAsia"/>
        </w:rPr>
        <w:t>质疑函范本地址：</w:t>
      </w:r>
      <w:r>
        <w:fldChar w:fldCharType="begin"/>
      </w:r>
      <w:r>
        <w:instrText xml:space="preserve"> HYPERLINK "http://download.ccgp.gov.cn/2018/zhiyihanfanben.zip" </w:instrText>
      </w:r>
      <w:r>
        <w:fldChar w:fldCharType="separate"/>
      </w:r>
      <w:r>
        <w:rPr>
          <w:rStyle w:val="36"/>
        </w:rPr>
        <w:t>http://download.ccgp.gov.cn/2018/zhiyihanfanben.zip</w:t>
      </w:r>
      <w:r>
        <w:rPr>
          <w:rStyle w:val="36"/>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对采购文件提出质疑的质疑人不是依法获取采购文件的潜在供应商；对采购过程、中标结果提出质疑的质疑人不是参与本次政府采购项目的供应商；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质疑函没有合法有效的签字、盖章或委托授权书的（代理人提出质疑和投诉，应当提交供应商签署的授权委托书）；</w:t>
      </w:r>
    </w:p>
    <w:p>
      <w:pPr>
        <w:ind w:firstLine="480" w:firstLineChars="200"/>
        <w:jc w:val="both"/>
        <w:rPr>
          <w:rFonts w:cstheme="minorHAnsi"/>
        </w:rPr>
      </w:pPr>
      <w:r>
        <w:rPr>
          <w:rFonts w:hint="eastAsia" w:cstheme="minorHAnsi"/>
        </w:rPr>
        <w:t>⑤</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⑥</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投诉书范本地址：</w:t>
      </w:r>
      <w:r>
        <w:fldChar w:fldCharType="begin"/>
      </w:r>
      <w:r>
        <w:instrText xml:space="preserve"> HYPERLINK "http://download.ccgp.gov.cn/2018/tousushufanben.zip" </w:instrText>
      </w:r>
      <w:r>
        <w:fldChar w:fldCharType="separate"/>
      </w:r>
      <w:r>
        <w:rPr>
          <w:rStyle w:val="36"/>
          <w:rFonts w:cstheme="minorHAnsi"/>
          <w:color w:val="0070C0"/>
        </w:rPr>
        <w:t>http://download.ccgp.gov.cn/2018/tousushufanben.zip</w:t>
      </w:r>
      <w:r>
        <w:rPr>
          <w:rStyle w:val="36"/>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rFonts w:cstheme="minorHAnsi"/>
          <w:b/>
        </w:rPr>
      </w:pPr>
      <w:r>
        <w:rPr>
          <w:rFonts w:cstheme="minorHAnsi"/>
          <w:b/>
        </w:rPr>
        <w:t>1</w:t>
      </w:r>
      <w:r>
        <w:rPr>
          <w:rFonts w:hint="eastAsia" w:cstheme="minorHAnsi"/>
          <w:b/>
        </w:rPr>
        <w:t>．陕西省中小企业政府采购信用融资办法</w:t>
      </w:r>
    </w:p>
    <w:p>
      <w:pPr>
        <w:wordWrap w:val="0"/>
        <w:ind w:firstLine="480" w:firstLineChars="200"/>
        <w:jc w:val="both"/>
        <w:rPr>
          <w:rFonts w:cstheme="minorBidi"/>
        </w:rPr>
      </w:pPr>
      <w:r>
        <w:rPr>
          <w:rFonts w:hint="eastAsia" w:cstheme="minorBidi"/>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wordWrap w:val="0"/>
        <w:ind w:firstLine="480" w:firstLineChars="200"/>
        <w:jc w:val="both"/>
        <w:rPr>
          <w:rFonts w:cstheme="minorHAnsi"/>
        </w:rPr>
      </w:pPr>
      <w:r>
        <w:rPr>
          <w:rFonts w:hint="eastAsia" w:cstheme="minorHAnsi"/>
        </w:rPr>
        <w:t>链接地址：</w:t>
      </w:r>
      <w:r>
        <w:fldChar w:fldCharType="begin"/>
      </w:r>
      <w:r>
        <w:instrText xml:space="preserve"> HYPERLINK "http://www.ccgp-shaanxi.gov.cn/zcdservice/zcd/shanxi/article/zcdt/1390497710741917696" </w:instrText>
      </w:r>
      <w:r>
        <w:fldChar w:fldCharType="separate"/>
      </w:r>
      <w:r>
        <w:rPr>
          <w:rStyle w:val="36"/>
          <w:rFonts w:cstheme="minorHAnsi"/>
          <w:color w:val="0070C0"/>
        </w:rPr>
        <w:t>http://www.ccgp-shaanxi.gov.cn/zcdservice/zcd/shanxi/article/zcdt/1390497710741917696</w:t>
      </w:r>
      <w:r>
        <w:rPr>
          <w:rStyle w:val="36"/>
          <w:rFonts w:cstheme="minorHAnsi"/>
          <w:color w:val="0070C0"/>
        </w:rPr>
        <w:fldChar w:fldCharType="end"/>
      </w:r>
    </w:p>
    <w:p>
      <w:pPr>
        <w:ind w:firstLine="480" w:firstLineChars="200"/>
        <w:jc w:val="both"/>
        <w:rPr>
          <w:b/>
        </w:rPr>
      </w:pPr>
      <w:r>
        <w:rPr>
          <w:rFonts w:cstheme="minorHAnsi"/>
          <w:b/>
        </w:rPr>
        <w:t>2</w:t>
      </w:r>
      <w:r>
        <w:rPr>
          <w:rFonts w:hint="eastAsia" w:cstheme="minorHAnsi"/>
        </w:rPr>
        <w:t>．</w:t>
      </w:r>
      <w:r>
        <w:rPr>
          <w:b/>
        </w:rPr>
        <w:t>西安市政府采购信用担保及信用融资政策</w:t>
      </w:r>
    </w:p>
    <w:p>
      <w:pPr>
        <w:ind w:firstLine="480" w:firstLineChars="200"/>
        <w:jc w:val="both"/>
      </w:pPr>
      <w: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，供应商违约，开具担保函单位承担连带责任。</w:t>
      </w:r>
    </w:p>
    <w:p>
      <w:pPr>
        <w:ind w:firstLine="480" w:firstLineChars="200"/>
        <w:jc w:val="both"/>
      </w:pPr>
      <w:r>
        <w:t>为发挥政府采购促进中小企业发展的政策功能，进一步做好政府采购信用担保及信用融资相关工作，</w:t>
      </w:r>
      <w:r>
        <w:rPr>
          <w:rFonts w:hint="eastAsia"/>
        </w:rPr>
        <w:t>2015年西安市财政局先后发布了《关于贯彻落实〈西安市政府采购信用担保及信用融资工作实施方案（试行）〉有关事宜的通知》和《关于进一步做好政府采购信用担保及信用融资工作有关事宜的通知》</w:t>
      </w:r>
      <w:r>
        <w:t>。2017年西安市财政局对合作机构名单进行了调整，详见《2017年西安市政府采购信用担保及信用融资合作机构联系名单》（以下简称合作机构名单）。</w:t>
      </w:r>
    </w:p>
    <w:p>
      <w:pPr>
        <w:ind w:firstLine="480" w:firstLineChars="200"/>
        <w:jc w:val="both"/>
      </w:pPr>
      <w:r>
        <w:t>《实施方案》链接地址：</w:t>
      </w:r>
    </w:p>
    <w:p>
      <w:pPr>
        <w:ind w:firstLine="480" w:firstLineChars="200"/>
        <w:jc w:val="both"/>
        <w:rPr>
          <w:color w:val="0070C0"/>
        </w:rPr>
      </w:pPr>
      <w:r>
        <w:fldChar w:fldCharType="begin"/>
      </w:r>
      <w:r>
        <w:instrText xml:space="preserve"> HYPERLINK "http://xaczj.xa.gov.cn/ztzl/zfcg/cgfg/5db90552fd850863a9e4594d.html" </w:instrText>
      </w:r>
      <w:r>
        <w:fldChar w:fldCharType="separate"/>
      </w:r>
      <w:r>
        <w:rPr>
          <w:rStyle w:val="36"/>
        </w:rPr>
        <w:t>http://xaczj.xa.gov.cn/ztzl/zfcg/cgfg/5db90552fd850863a9e4594d.html</w:t>
      </w:r>
      <w:r>
        <w:rPr>
          <w:rStyle w:val="36"/>
        </w:rPr>
        <w:fldChar w:fldCharType="end"/>
      </w:r>
    </w:p>
    <w:p>
      <w:pPr>
        <w:ind w:firstLine="480" w:firstLineChars="200"/>
        <w:jc w:val="both"/>
      </w:pPr>
      <w:r>
        <w:t>《合作机构名单》链接地址：</w:t>
      </w:r>
    </w:p>
    <w:p>
      <w:pPr>
        <w:ind w:firstLine="480" w:firstLineChars="200"/>
        <w:jc w:val="both"/>
        <w:rPr>
          <w:rFonts w:cstheme="minorHAnsi"/>
          <w:b/>
          <w:color w:val="0070C0"/>
        </w:rPr>
      </w:pPr>
      <w:r>
        <w:fldChar w:fldCharType="begin"/>
      </w:r>
      <w:r>
        <w:instrText xml:space="preserve"> HYPERLINK "http://xaczj.xa.gov.cn/ztzl/zfcg/cgfg/5db9054565cbd804f69e97e0.html" </w:instrText>
      </w:r>
      <w:r>
        <w:fldChar w:fldCharType="separate"/>
      </w:r>
      <w:r>
        <w:rPr>
          <w:rStyle w:val="36"/>
        </w:rPr>
        <w:t>http://xaczj.xa.gov.cn/ztzl/zfcg/cgfg/5db9054565cbd804f69e97e0.html</w:t>
      </w:r>
      <w:r>
        <w:rPr>
          <w:rStyle w:val="36"/>
        </w:rPr>
        <w:fldChar w:fldCharType="end"/>
      </w:r>
    </w:p>
    <w:p>
      <w:pPr>
        <w:ind w:firstLine="480" w:firstLineChars="200"/>
        <w:jc w:val="both"/>
        <w:rPr>
          <w:b/>
        </w:rPr>
      </w:pPr>
      <w:r>
        <w:rPr>
          <w:rFonts w:cstheme="minorHAnsi"/>
          <w:b/>
        </w:rPr>
        <w:t>3</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4</w:t>
      </w:r>
      <w:r>
        <w:rPr>
          <w:rFonts w:hint="eastAsia" w:cstheme="minorHAnsi"/>
        </w:rPr>
        <w:t>．</w:t>
      </w:r>
      <w:r>
        <w:rPr>
          <w:rFonts w:cstheme="minorHAnsi"/>
          <w:b/>
        </w:rPr>
        <w:t>履约保证金</w:t>
      </w:r>
    </w:p>
    <w:p>
      <w:pPr>
        <w:ind w:firstLine="480" w:firstLineChars="200"/>
      </w:pPr>
      <w:r>
        <w:rPr>
          <w:rFonts w:hint="eastAsia"/>
        </w:rPr>
        <w:t>服务商应在领取中标通知书后5个工作日内及时交纳履约保证金，其数额为合同金额的</w:t>
      </w:r>
      <w:r>
        <w:t>5</w:t>
      </w:r>
      <w:r>
        <w:rPr>
          <w:rFonts w:hint="eastAsia"/>
        </w:rPr>
        <w:t>%（四舍五入至百元），履约保证金由【西安市第九医院】统一代收和退还。服务商可通过支票、本票、汇票、网上银行支付或者履约担保函（包含纸质保函、电子保函）等非现金形式交纳。</w:t>
      </w:r>
    </w:p>
    <w:p>
      <w:pPr>
        <w:ind w:firstLine="480" w:firstLineChars="200"/>
      </w:pPr>
      <w:r>
        <w:rPr>
          <w:rFonts w:hint="eastAsia"/>
        </w:rPr>
        <w:t>（1）采用支票、汇票、本票、网上银行支付形式交纳时，应将履约保证金足额交纳至以下账户：</w:t>
      </w:r>
    </w:p>
    <w:p>
      <w:pPr>
        <w:ind w:firstLine="480" w:firstLineChars="200"/>
      </w:pPr>
      <w:r>
        <w:rPr>
          <w:rFonts w:hint="eastAsia"/>
        </w:rPr>
        <w:t>户　名：西安市第九医院</w:t>
      </w:r>
    </w:p>
    <w:p>
      <w:pPr>
        <w:ind w:firstLine="480" w:firstLineChars="200"/>
      </w:pPr>
      <w:r>
        <w:rPr>
          <w:rFonts w:hint="eastAsia"/>
        </w:rPr>
        <w:t>账　号：102006573256</w:t>
      </w:r>
    </w:p>
    <w:p>
      <w:pPr>
        <w:ind w:firstLine="480" w:firstLineChars="200"/>
      </w:pPr>
      <w:r>
        <w:rPr>
          <w:rFonts w:hint="eastAsia"/>
        </w:rPr>
        <w:t>开户行：中国银行南二环东段支行</w:t>
      </w:r>
    </w:p>
    <w:p>
      <w:pPr>
        <w:ind w:firstLine="480" w:firstLineChars="200"/>
      </w:pPr>
      <w:r>
        <w:rPr>
          <w:rFonts w:hint="eastAsia"/>
        </w:rPr>
        <w:t>（2）采用纸质保函的，应将履约保函原件递交至西安市第九医院信息科：</w:t>
      </w:r>
    </w:p>
    <w:p>
      <w:pPr>
        <w:ind w:firstLine="480" w:firstLineChars="200"/>
      </w:pPr>
      <w:r>
        <w:rPr>
          <w:rFonts w:hint="eastAsia"/>
        </w:rPr>
        <w:t>业务咨询电话：</w:t>
      </w:r>
      <w:r>
        <w:t>029-61165668</w:t>
      </w:r>
    </w:p>
    <w:p>
      <w:pPr>
        <w:ind w:firstLine="480" w:firstLineChars="200"/>
      </w:pPr>
      <w:r>
        <w:rPr>
          <w:rFonts w:hint="eastAsia"/>
        </w:rPr>
        <w:t>业务受理时间：（法定节假日除外）上午</w:t>
      </w:r>
      <w:r>
        <w:t>8:30-12:00</w:t>
      </w:r>
      <w:r>
        <w:rPr>
          <w:rFonts w:hint="eastAsia"/>
        </w:rPr>
        <w:t>、下午</w:t>
      </w:r>
      <w:r>
        <w:t>14:00-17:30</w:t>
      </w:r>
    </w:p>
    <w:p>
      <w:pPr>
        <w:ind w:firstLine="480" w:firstLineChars="200"/>
      </w:pPr>
      <w:r>
        <w:rPr>
          <w:rFonts w:hint="eastAsia"/>
        </w:rPr>
        <w:t>业务受理地点：西安市碑林区南二环路东段151号</w:t>
      </w:r>
    </w:p>
    <w:p>
      <w:pPr>
        <w:ind w:firstLine="480" w:firstLineChars="200"/>
      </w:pPr>
      <w:r>
        <w:rPr>
          <w:rFonts w:hint="eastAsia"/>
        </w:rPr>
        <w:t>（3）采用电子保函的，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pPr>
        <w:ind w:firstLine="480" w:firstLineChars="200"/>
      </w:pPr>
      <w:r>
        <w:rPr>
          <w:rFonts w:hint="eastAsia"/>
        </w:rPr>
        <w:t>（4）采用履约保函形式时应注意以下事项：</w:t>
      </w:r>
    </w:p>
    <w:p>
      <w:pPr>
        <w:ind w:firstLine="480" w:firstLineChars="200"/>
      </w:pPr>
      <w:r>
        <w:rPr>
          <w:rFonts w:hint="eastAsia"/>
        </w:rPr>
        <w:t>① 履约保函的受益人为采购人，服务商未能按合同规定履行其义务时，采购人有权从履约保证金中取得补偿。</w:t>
      </w:r>
    </w:p>
    <w:p>
      <w:pPr>
        <w:ind w:firstLine="480" w:firstLineChars="200"/>
      </w:pPr>
      <w:r>
        <w:rPr>
          <w:rFonts w:hint="eastAsia"/>
        </w:rPr>
        <w:t>② 履约保函的内容包括但不限于保函申请人、项目名称（如分标段，还应写明所投 标段）、担保金额、保函有效期（履约保函的有效期至少应覆盖至合同验收之日，履约保函有效期不足的，服务商应向履约保函签发机构办理担保续期手续）；</w:t>
      </w:r>
    </w:p>
    <w:p>
      <w:pPr>
        <w:ind w:firstLine="480" w:firstLineChars="200"/>
      </w:pPr>
      <w:r>
        <w:rPr>
          <w:rFonts w:hint="eastAsia"/>
        </w:rPr>
        <w:t>③ 担保金额不少于《投标邀请函》中规定的履约保证金交纳金额；</w:t>
      </w:r>
    </w:p>
    <w:p>
      <w:pPr>
        <w:ind w:firstLine="480" w:firstLineChars="200"/>
      </w:pPr>
      <w:r>
        <w:rPr>
          <w:rFonts w:hint="eastAsia"/>
        </w:rPr>
        <w:t>④ 保函申请人须与服务商名称一致。若服务商为联合体形式，原则上可由联合体任意一方或多方作为保函申请人，然而对于电子保函，目前只能由下载电子招标文件的一方作为保函申请人。</w:t>
      </w:r>
    </w:p>
    <w:p>
      <w:pPr>
        <w:ind w:firstLine="480" w:firstLineChars="200"/>
      </w:pPr>
      <w:r>
        <w:rPr>
          <w:rFonts w:hint="eastAsia"/>
        </w:rPr>
        <w:t>（5）退还履约保证金</w:t>
      </w:r>
    </w:p>
    <w:p>
      <w:pPr>
        <w:ind w:firstLine="480" w:firstLineChars="200"/>
      </w:pPr>
      <w:r>
        <w:rPr>
          <w:rFonts w:hint="eastAsia"/>
        </w:rPr>
        <w:t>在采购项目验收合格后，中标服务商持政府采购项目验收单，到履约保证金原收取人处办理退还手续，5个工作日内无息退还（针对支票、本票、汇票、网上银行等支付形式）\当场返还（针对纸质保函）\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财政部门审核同意购买进口产品的，投标邀请函将明确载明“允许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对中小企业（监狱企业、残疾人福利性单位）的扶持政策</w:t>
      </w:r>
    </w:p>
    <w:p>
      <w:pPr>
        <w:ind w:firstLine="480" w:firstLineChars="200"/>
        <w:jc w:val="both"/>
        <w:rPr>
          <w:rFonts w:cstheme="minorHAnsi"/>
        </w:rPr>
      </w:pPr>
      <w:r>
        <w:rPr>
          <w:rFonts w:hint="eastAsia" w:cstheme="minorHAnsi"/>
        </w:rPr>
        <w:t>（1）根据财政部《政府采购促进中小企业发展管理办法》（财库〔2020〕46号）第四条规定，在政府采购活动中，供应商提供的货物、工程或者服务符合下列情形的，享受本办法规定的中小企业扶持政策：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①</w:t>
      </w:r>
      <w:r>
        <w:rPr>
          <w:rFonts w:hint="eastAsia"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②</w:t>
      </w:r>
      <w:r>
        <w:rPr>
          <w:rFonts w:hint="eastAsia" w:cstheme="minorHAnsi"/>
        </w:rPr>
        <w:t>在工程采购项目中，工程由中小企业承建，即工程施工单位为中小企业；</w:t>
      </w:r>
    </w:p>
    <w:p>
      <w:pPr>
        <w:ind w:firstLine="480" w:firstLineChars="200"/>
        <w:jc w:val="both"/>
        <w:rPr>
          <w:rFonts w:cstheme="minorHAnsi"/>
        </w:rPr>
      </w:pPr>
      <w:r>
        <w:rPr>
          <w:rFonts w:hint="eastAsia" w:cstheme="minorHAnsi"/>
        </w:rPr>
        <w:t>③在服务采购项目中，服务由中小企业承接，即提供服务的人员为中小企业依照《中华人民共和国劳动合同法》订立劳动合同的从业人员。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hint="eastAsia" w:cstheme="minorHAnsi"/>
        </w:rPr>
        <w:t>（2）根据财政部、司法部联合下发的《关于政府采购支持监狱企业发展有关问题的通知》（财库〔2014〕68号）的规定，监狱企业视同小型、微型企业。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hint="eastAsia" w:cstheme="minorHAnsi"/>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（4）采购人在政府采购活动中应当通过加强采购需求管理，落实预留采购份额、价格评审优惠、优先采购等措施，提高中小企业在政府采购中的份额，支持中小企业发展。</w:t>
      </w:r>
    </w:p>
    <w:p>
      <w:pPr>
        <w:ind w:firstLine="480" w:firstLineChars="200"/>
        <w:jc w:val="both"/>
        <w:rPr>
          <w:rFonts w:cstheme="minorHAnsi"/>
        </w:rPr>
      </w:pPr>
      <w:r>
        <w:rPr>
          <w:rFonts w:asciiTheme="minorEastAsia" w:hAnsiTheme="minorEastAsia" w:cstheme="minorHAnsi"/>
        </w:rPr>
        <w:t>①</w:t>
      </w:r>
      <w:r>
        <w:rPr>
          <w:rFonts w:hint="eastAsia" w:cstheme="minorHAnsi"/>
        </w:rPr>
        <w:t>针对非专门面向中小企业的采购：根据《关于进一步加大政府采购支持中小企业力度的通知》（财库〔2022〕19号）的有关规定，货物服务采购项目给予小微企业的价格扣除优惠幅度为10%~</w:t>
      </w:r>
      <w:r>
        <w:rPr>
          <w:rFonts w:cstheme="minorHAnsi"/>
        </w:rPr>
        <w:t>20%（</w:t>
      </w:r>
      <w:r>
        <w:rPr>
          <w:rFonts w:cstheme="minorHAnsi"/>
          <w:color w:val="C00000"/>
        </w:rPr>
        <w:t>具体扣除比例见本章《评审要素及分值一览表》</w:t>
      </w:r>
      <w:r>
        <w:rPr>
          <w:rFonts w:cstheme="minorHAnsi"/>
        </w:rPr>
        <w:t>），</w:t>
      </w:r>
      <w:r>
        <w:rPr>
          <w:rFonts w:hint="eastAsia" w:cstheme="minorHAnsi"/>
        </w:rPr>
        <w:t>用扣除后的价格参加评审。</w:t>
      </w:r>
      <w:r>
        <w:rPr>
          <w:rFonts w:cstheme="minorHAnsi"/>
        </w:rPr>
        <w:t>未按要求提供《中小企业声明函》</w:t>
      </w:r>
      <w:r>
        <w:rPr>
          <w:rFonts w:hint="eastAsia" w:cstheme="minorHAnsi"/>
        </w:rPr>
        <w:t>\《监狱</w:t>
      </w:r>
      <w:r>
        <w:rPr>
          <w:rFonts w:cstheme="minorHAnsi"/>
        </w:rPr>
        <w:t>企业证明函</w:t>
      </w:r>
      <w:r>
        <w:rPr>
          <w:rFonts w:hint="eastAsia" w:cstheme="minorHAnsi"/>
        </w:rPr>
        <w:t>》\</w:t>
      </w:r>
      <w:r>
        <w:rPr>
          <w:rFonts w:cstheme="minorHAnsi"/>
        </w:rPr>
        <w:t>《残疾人福利性单位声明函》的，不能享受招标文件规定的价格扣除，但不影响投标文件的有效性。</w:t>
      </w:r>
    </w:p>
    <w:p>
      <w:pPr>
        <w:ind w:firstLine="480" w:firstLineChars="200"/>
        <w:jc w:val="both"/>
        <w:rPr>
          <w:rFonts w:cstheme="minorHAnsi"/>
        </w:rPr>
      </w:pPr>
      <w:r>
        <w:rPr>
          <w:rFonts w:hint="eastAsia" w:cstheme="minorHAnsi"/>
        </w:rPr>
        <w:t>②针对专门面向中小企业的采购：仅限符合中小企业划分标准确定的中型企业、小型企业和微型企业参与。</w:t>
      </w:r>
      <w:r>
        <w:rPr>
          <w:rFonts w:cstheme="minorHAnsi"/>
        </w:rPr>
        <w:t>未按要求提供《中小企业声明函》</w:t>
      </w:r>
      <w:r>
        <w:rPr>
          <w:rFonts w:hint="eastAsia" w:cstheme="minorHAnsi"/>
        </w:rPr>
        <w:t>\《监狱</w:t>
      </w:r>
      <w:r>
        <w:rPr>
          <w:rFonts w:cstheme="minorHAnsi"/>
        </w:rPr>
        <w:t>企业证明函</w:t>
      </w:r>
      <w:r>
        <w:rPr>
          <w:rFonts w:hint="eastAsia" w:cstheme="minorHAnsi"/>
        </w:rPr>
        <w:t>》\</w:t>
      </w:r>
      <w:r>
        <w:rPr>
          <w:rFonts w:cstheme="minorHAnsi"/>
        </w:rPr>
        <w:t>《残疾人福利性单位声明函》的，投标无效。</w:t>
      </w:r>
    </w:p>
    <w:p>
      <w:pPr>
        <w:ind w:firstLine="480" w:firstLineChars="200"/>
        <w:jc w:val="both"/>
        <w:rPr>
          <w:rFonts w:cstheme="minorHAnsi"/>
        </w:rPr>
      </w:pPr>
      <w:r>
        <w:rPr>
          <w:rFonts w:cstheme="minorHAnsi"/>
        </w:rPr>
        <w:t>（</w:t>
      </w:r>
      <w:r>
        <w:rPr>
          <w:rFonts w:hint="eastAsia" w:cstheme="minorHAnsi"/>
        </w:rPr>
        <w:t>5</w:t>
      </w:r>
      <w:r>
        <w:rPr>
          <w:rFonts w:cstheme="minorHAnsi"/>
        </w:rPr>
        <w:t>）</w:t>
      </w:r>
      <w:r>
        <w:rPr>
          <w:rFonts w:hint="eastAsia" w:cstheme="minorHAnsi"/>
        </w:rPr>
        <w:t>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由采购人向供应商提供的用户需求书、图纸、样品、模型、模件和所有资料，供应商获得后，应对其保密。除非采购人同意，供应商不得向第三方透露或将其用于本次投</w:t>
      </w:r>
      <w:r>
        <w:rPr>
          <w:rFonts w:hint="eastAsia" w:cstheme="minorBidi"/>
          <w:w w:val="1"/>
        </w:rPr>
        <w:t xml:space="preserve"> </w:t>
      </w:r>
      <w:r>
        <w:rPr>
          <w:rFonts w:cstheme="minorBidi"/>
        </w:rPr>
        <w:t>标以外的任何用途。开标后，若采购人有要求，供应商人须归还采购人认为需保密的文件和资料，并销毁所有相应的备份文件及资料。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6"/>
          <w:rFonts w:eastAsiaTheme="majorEastAsia" w:cstheme="minorHAnsi"/>
          <w:color w:val="0070C0"/>
        </w:rPr>
        <w:t>https://www.creditchina.gov.cn</w:t>
      </w:r>
      <w:r>
        <w:rPr>
          <w:rStyle w:val="36"/>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6"/>
          <w:rFonts w:eastAsiaTheme="majorEastAsia" w:cstheme="minorHAnsi"/>
          <w:color w:val="0070C0"/>
        </w:rPr>
        <w:t>http://www.ccgp.gov.cn/</w:t>
      </w:r>
      <w:r>
        <w:rPr>
          <w:rStyle w:val="36"/>
          <w:rFonts w:eastAsiaTheme="majorEastAsia" w:cstheme="minorHAnsi"/>
        </w:rPr>
        <w:t>）</w:t>
      </w:r>
      <w:r>
        <w:rPr>
          <w:rStyle w:val="36"/>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ind w:firstLine="482"/>
      </w:pPr>
      <w:r>
        <w:t>（九）</w:t>
      </w:r>
      <w:r>
        <w:rPr>
          <w:rFonts w:hint="eastAsia"/>
        </w:rPr>
        <w:t>关于现场踏勘和集中答疑</w:t>
      </w:r>
    </w:p>
    <w:p>
      <w:pPr>
        <w:ind w:firstLine="480" w:firstLineChars="200"/>
      </w:pPr>
      <w:r>
        <w:rPr>
          <w:rFonts w:hint="eastAsia"/>
        </w:rPr>
        <w:t>《前附表》中安排现场踏勘或标前集中答疑活动的，各供应商应在招标文件约定的时间，派技术、预算等相关人员进行现场踏勘、参加标前集中答疑，需答疑的问题各供应商可以口头或书面形式做出。采购人将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pPr>
        <w:pStyle w:val="4"/>
        <w:ind w:firstLine="482"/>
      </w:pPr>
      <w:r>
        <w:t>（十）</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供应商的投标费用自理</w:t>
      </w:r>
      <w:r>
        <w:rPr>
          <w:rFonts w:hint="eastAsia" w:cstheme="minorBidi"/>
        </w:rPr>
        <w:t>。</w:t>
      </w:r>
    </w:p>
    <w:p>
      <w:pPr>
        <w:pStyle w:val="3"/>
        <w:spacing w:before="210" w:beforeLines="50" w:line="400" w:lineRule="exact"/>
        <w:jc w:val="both"/>
        <w:rPr>
          <w:rFonts w:asciiTheme="minorHAnsi" w:hAnsiTheme="minorHAnsi" w:eastAsiaTheme="minorEastAsia" w:cstheme="minorHAnsi"/>
        </w:rPr>
      </w:pPr>
      <w:r>
        <w:rPr>
          <w:rFonts w:asciiTheme="minorHAnsi" w:hAnsiTheme="minorHAnsi" w:eastAsiaTheme="minorEastAsia" w:cstheme="minorHAnsi"/>
        </w:rP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项目废标后重新组织招标的，采购代理机构将重新编制、发布新版招标文件，供应商应按新版招标文件重新编制投标文件。原招标文件及投标文件失效。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修改的内容可能影响投标文件编制的，采购人或者采购人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6"/>
          <w:color w:val="0070C0"/>
        </w:rPr>
        <w:t>http://www.ccgp-shaanxi.gov.cn/</w:t>
      </w:r>
      <w:r>
        <w:rPr>
          <w:rStyle w:val="36"/>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6"/>
          <w:rFonts w:hint="eastAsia"/>
          <w:color w:val="0070C0"/>
        </w:rPr>
        <w:t>http://</w:t>
      </w:r>
      <w:r>
        <w:rPr>
          <w:rStyle w:val="36"/>
          <w:color w:val="0070C0"/>
        </w:rPr>
        <w:t>sxggzyjy.xa.gov.cn/</w:t>
      </w:r>
      <w:r>
        <w:rPr>
          <w:rStyle w:val="36"/>
          <w:color w:val="0070C0"/>
        </w:rPr>
        <w:fldChar w:fldCharType="end"/>
      </w:r>
      <w:r>
        <w:t>）中的〖首页·〉交易大厅·〉政府采购〗。</w:t>
      </w:r>
    </w:p>
    <w:p>
      <w:pPr>
        <w:pStyle w:val="3"/>
      </w:pPr>
      <w:r>
        <w:t>四、投标文件</w:t>
      </w:r>
    </w:p>
    <w:p>
      <w:pPr>
        <w:pStyle w:val="4"/>
        <w:ind w:firstLine="482"/>
      </w:pPr>
      <w:r>
        <w:rPr>
          <w:rFonts w:hint="eastAsia"/>
        </w:rPr>
        <w:t>（一）投标文件</w:t>
      </w:r>
      <w:r>
        <w:t>的式样</w:t>
      </w:r>
    </w:p>
    <w:p>
      <w:pPr>
        <w:pStyle w:val="94"/>
        <w:ind w:firstLine="480"/>
      </w:pPr>
      <w:r>
        <w:t>1</w:t>
      </w:r>
      <w:r>
        <w:rPr>
          <w:rFonts w:hint="eastAsia"/>
          <w:color w:val="auto"/>
        </w:rPr>
        <w:t>．</w:t>
      </w:r>
      <w:r>
        <w:rPr>
          <w:rFonts w:hint="eastAsia"/>
        </w:rPr>
        <w:t>组成</w:t>
      </w:r>
      <w:r>
        <w:t>及格式</w:t>
      </w:r>
    </w:p>
    <w:p>
      <w:pPr>
        <w:pStyle w:val="94"/>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pPr>
        <w:pStyle w:val="94"/>
        <w:ind w:firstLine="480"/>
      </w:pPr>
      <w:r>
        <w:rPr>
          <w:rFonts w:hint="eastAsia"/>
        </w:rPr>
        <w:t>2</w:t>
      </w:r>
      <w:r>
        <w:rPr>
          <w:rFonts w:hint="eastAsia"/>
          <w:color w:val="auto"/>
        </w:rPr>
        <w:t>．</w:t>
      </w:r>
      <w:r>
        <w:rPr>
          <w:rFonts w:hint="eastAsia"/>
        </w:rPr>
        <w:t>语言</w:t>
      </w:r>
    </w:p>
    <w:p>
      <w:pPr>
        <w:pStyle w:val="94"/>
        <w:ind w:firstLine="480"/>
      </w:pPr>
      <w:r>
        <w:rPr>
          <w:rFonts w:hint="eastAsia"/>
        </w:rPr>
        <w:t>招标活动的所有文件、资料、函电文字均使用简体中文，确需提交用其他语言形成的资料，必须翻译成简体中文，如有差异，以简体中文为准。</w:t>
      </w:r>
    </w:p>
    <w:p>
      <w:pPr>
        <w:pStyle w:val="94"/>
        <w:ind w:firstLine="480"/>
      </w:pPr>
      <w:r>
        <w:rPr>
          <w:rFonts w:hint="eastAsia"/>
        </w:rPr>
        <w:t>3</w:t>
      </w:r>
      <w:r>
        <w:rPr>
          <w:rFonts w:hint="eastAsia"/>
          <w:color w:val="auto"/>
        </w:rPr>
        <w:t>．</w:t>
      </w:r>
      <w:r>
        <w:t>计量单位</w:t>
      </w:r>
    </w:p>
    <w:p>
      <w:pPr>
        <w:pStyle w:val="94"/>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94"/>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94"/>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94"/>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94"/>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94"/>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94"/>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（四）投标文件</w:t>
      </w:r>
      <w:r>
        <w:t>的</w:t>
      </w:r>
      <w:r>
        <w:rPr>
          <w:rFonts w:hint="eastAsia"/>
        </w:rPr>
        <w:t>制作</w:t>
      </w:r>
      <w:r>
        <w:t>和签章</w:t>
      </w:r>
    </w:p>
    <w:p>
      <w:pPr>
        <w:pStyle w:val="94"/>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94"/>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6"/>
          <w:rFonts w:asciiTheme="minorHAnsi" w:hAnsiTheme="minorHAnsi" w:eastAsiaTheme="minorEastAsia"/>
          <w:color w:val="0070C0"/>
        </w:rPr>
        <w:t>http://sxggzyjy.xa.gov.cn/fwzn/004003/20181115/4d59c184-e8f6-4d5a-a416-c2f6b0601e66.html</w:t>
      </w:r>
      <w:r>
        <w:rPr>
          <w:rStyle w:val="36"/>
          <w:rFonts w:asciiTheme="minorHAnsi" w:hAnsiTheme="minorHAnsi" w:eastAsiaTheme="minorEastAsia"/>
          <w:color w:val="0070C0"/>
        </w:rPr>
        <w:fldChar w:fldCharType="end"/>
      </w:r>
    </w:p>
    <w:p>
      <w:pPr>
        <w:pStyle w:val="94"/>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94"/>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94"/>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94"/>
        <w:ind w:firstLine="480"/>
      </w:pPr>
      <w:r>
        <w:rPr>
          <w:rFonts w:hint="eastAsia"/>
        </w:rPr>
        <w:t>若导出的</w:t>
      </w:r>
      <w:r>
        <w:t>PDF文件里看不到签章，请尝试使用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4"/>
        <w:ind w:firstLine="482"/>
      </w:pPr>
      <w:r>
        <w:rPr>
          <w:rFonts w:hint="eastAsia"/>
        </w:rPr>
        <w:t>（五）投标文件</w:t>
      </w:r>
      <w:r>
        <w:t>的加密和提交</w:t>
      </w:r>
    </w:p>
    <w:p>
      <w:pPr>
        <w:pStyle w:val="94"/>
        <w:ind w:firstLine="480"/>
      </w:pPr>
      <w:r>
        <w:rPr>
          <w:rFonts w:hint="eastAsia"/>
        </w:rPr>
        <w:t>1</w:t>
      </w:r>
      <w:r>
        <w:rPr>
          <w:rFonts w:hint="eastAsia"/>
          <w:color w:val="auto"/>
        </w:rPr>
        <w:t>．</w:t>
      </w:r>
      <w:r>
        <w:rPr>
          <w:rFonts w:hint="eastAsia"/>
        </w:rPr>
        <w:t>在</w:t>
      </w:r>
      <w:r>
        <w:t>生成电子投标文件时，需要使用CA锁对</w:t>
      </w:r>
      <w:r>
        <w:rPr>
          <w:rFonts w:hint="eastAsia"/>
        </w:rPr>
        <w:t>投标文件</w:t>
      </w:r>
      <w:r>
        <w:t>进行加密。</w:t>
      </w:r>
    </w:p>
    <w:p>
      <w:pPr>
        <w:pStyle w:val="94"/>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CA，否则将会导致解密失败。</w:t>
      </w:r>
    </w:p>
    <w:p>
      <w:pPr>
        <w:pStyle w:val="94"/>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94"/>
        <w:ind w:firstLine="480"/>
      </w:pPr>
      <w:r>
        <w:rPr>
          <w:rFonts w:hint="eastAsia"/>
        </w:rPr>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pPr>
        <w:pStyle w:val="4"/>
        <w:ind w:firstLine="482"/>
      </w:pPr>
      <w:r>
        <w:t>（</w:t>
      </w:r>
      <w:r>
        <w:rPr>
          <w:rFonts w:hint="eastAsia"/>
        </w:rPr>
        <w:t>六</w:t>
      </w:r>
      <w:r>
        <w:t>）</w:t>
      </w:r>
      <w:r>
        <w:rPr>
          <w:rFonts w:hint="eastAsia"/>
        </w:rPr>
        <w:t>投标</w:t>
      </w:r>
      <w:r>
        <w:t>文件的补充、修改和撤回</w:t>
      </w:r>
    </w:p>
    <w:p>
      <w:pPr>
        <w:pStyle w:val="94"/>
        <w:ind w:firstLine="480"/>
      </w:pPr>
      <w:r>
        <w:rPr>
          <w:rFonts w:hint="eastAsia"/>
        </w:rPr>
        <w:t>1</w:t>
      </w:r>
      <w:r>
        <w:rPr>
          <w:rFonts w:hint="eastAsia"/>
          <w:color w:val="auto"/>
        </w:rPr>
        <w:t>．</w:t>
      </w:r>
      <w:r>
        <w:rPr>
          <w:rFonts w:hint="eastAsia"/>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94"/>
        <w:ind w:firstLine="480"/>
      </w:pPr>
      <w:r>
        <w:rPr>
          <w:rFonts w:hint="eastAsia"/>
        </w:rPr>
        <w:t>2</w:t>
      </w:r>
      <w:r>
        <w:rPr>
          <w:rFonts w:hint="eastAsia"/>
          <w:color w:val="auto"/>
        </w:rPr>
        <w:t>．</w:t>
      </w:r>
      <w:r>
        <w:t>供应商在提交投标文件截止时间后</w:t>
      </w:r>
      <w:r>
        <w:rPr>
          <w:rFonts w:hint="eastAsia"/>
        </w:rPr>
        <w:t>，</w:t>
      </w:r>
      <w:r>
        <w:t>撤回投标文件的，投</w:t>
      </w:r>
      <w:r>
        <w:rPr>
          <w:rFonts w:hint="eastAsia"/>
          <w:w w:val="1"/>
        </w:rPr>
        <w:t xml:space="preserve"> </w:t>
      </w:r>
      <w:r>
        <w:t>标保证金不予退还。</w:t>
      </w:r>
    </w:p>
    <w:p>
      <w:pPr>
        <w:pStyle w:val="94"/>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pPr>
        <w:pStyle w:val="4"/>
        <w:ind w:firstLine="482"/>
        <w:rPr>
          <w:color w:val="C00000"/>
        </w:rPr>
      </w:pPr>
      <w:r>
        <w:rPr>
          <w:rFonts w:hint="eastAsia"/>
          <w:color w:val="C00000"/>
        </w:rPr>
        <w:t>（七）关于投标文件的雷同性分析</w:t>
      </w:r>
    </w:p>
    <w:p>
      <w:pPr>
        <w:pStyle w:val="94"/>
        <w:ind w:firstLine="480"/>
      </w:pPr>
      <w:r>
        <w:rPr>
          <w:rFonts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94"/>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94"/>
        <w:ind w:firstLine="480"/>
      </w:pPr>
      <w:r>
        <w:rPr>
          <w:rFonts w:hint="eastAsia"/>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94"/>
        <w:ind w:firstLine="480"/>
      </w:pPr>
      <w:r>
        <w:rPr>
          <w:rFonts w:hint="eastAsia"/>
        </w:rPr>
        <w:t>若“文件创建标识码”一致，则表示不同投标供应商使用投标文件制作软件时，使用同一源工程文件，该情形建议由评标委员会结合项目情况综合判定。</w:t>
      </w:r>
    </w:p>
    <w:p>
      <w:pPr>
        <w:pStyle w:val="4"/>
        <w:ind w:firstLine="482"/>
      </w:pPr>
      <w:r>
        <w:t>（八）投标文件被拒绝接收的情形</w:t>
      </w:r>
    </w:p>
    <w:p>
      <w:pPr>
        <w:ind w:firstLine="480" w:firstLineChars="200"/>
        <w:rPr>
          <w:rFonts w:cstheme="minorHAnsi"/>
        </w:rPr>
      </w:pPr>
      <w:r>
        <w:rPr>
          <w:rFonts w:cstheme="minorHAnsi"/>
        </w:rPr>
        <w:t>1</w:t>
      </w:r>
      <w:r>
        <w:rPr>
          <w:rFonts w:hint="eastAsia" w:cstheme="minorHAnsi"/>
        </w:rPr>
        <w:t>．</w:t>
      </w:r>
      <w:r>
        <w:rPr>
          <w:rFonts w:cstheme="minorHAnsi"/>
        </w:rPr>
        <w:t>误投的或采用旧版电子招标文件制作的；</w:t>
      </w:r>
    </w:p>
    <w:p>
      <w:pPr>
        <w:ind w:firstLine="480" w:firstLineChars="200"/>
        <w:rPr>
          <w:rFonts w:cstheme="minorHAnsi"/>
        </w:rPr>
      </w:pPr>
      <w:r>
        <w:rPr>
          <w:rFonts w:hint="eastAsia" w:cstheme="minorHAnsi"/>
        </w:rPr>
        <w:t>2．</w:t>
      </w:r>
      <w:r>
        <w:rPr>
          <w:rFonts w:cstheme="minorHAnsi"/>
        </w:rPr>
        <w:t>逾期提交电子投标文件的</w:t>
      </w:r>
      <w:r>
        <w:rPr>
          <w:rFonts w:hint="eastAsia" w:eastAsiaTheme="majorEastAsia" w:cstheme="minorHAnsi"/>
        </w:rPr>
        <w:t>。</w:t>
      </w:r>
    </w:p>
    <w:p>
      <w:pPr>
        <w:pStyle w:val="3"/>
      </w:pPr>
      <w:r>
        <w:rPr>
          <w:rFonts w:hint="eastAsia"/>
        </w:rPr>
        <w:t>五</w:t>
      </w:r>
      <w:r>
        <w:t>、开标</w:t>
      </w:r>
      <w:r>
        <w:rPr>
          <w:rFonts w:hint="eastAsia"/>
        </w:rPr>
        <w:t>程序</w:t>
      </w:r>
    </w:p>
    <w:p>
      <w:pPr>
        <w:pStyle w:val="94"/>
        <w:ind w:firstLine="480"/>
      </w:pPr>
      <w:r>
        <w:rPr>
          <w:rFonts w:hint="eastAsia"/>
        </w:rPr>
        <w:t>开标工作由采购代理机构组织实施，整个过程受同级政府采购监管机构的监督、管理。</w:t>
      </w:r>
    </w:p>
    <w:p>
      <w:pPr>
        <w:pStyle w:val="4"/>
        <w:ind w:firstLine="482"/>
      </w:pPr>
      <w:r>
        <w:rPr>
          <w:rFonts w:hint="eastAsia"/>
        </w:rPr>
        <w:t>（一）“不见面开</w:t>
      </w:r>
      <w:r>
        <w:rPr>
          <w:rFonts w:hint="eastAsia"/>
          <w:w w:val="1"/>
        </w:rPr>
        <w:t xml:space="preserve"> </w:t>
      </w:r>
      <w:r>
        <w:rPr>
          <w:rFonts w:hint="eastAsia"/>
        </w:rPr>
        <w:t>标”基本流程</w:t>
      </w:r>
    </w:p>
    <w:p>
      <w:pPr>
        <w:pStyle w:val="94"/>
        <w:ind w:firstLine="480"/>
      </w:pPr>
      <w:r>
        <w:rPr>
          <w:rFonts w:hint="eastAsia"/>
        </w:rPr>
        <w:t>“不见面开标”是依托政府采购云平台实现的供应商在线参与开标的一种组织形式。供应商无需抵达开标现场，即可在线实现开标、解密、澄清等操作。</w:t>
      </w:r>
    </w:p>
    <w:p>
      <w:pPr>
        <w:pStyle w:val="94"/>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94"/>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94"/>
        <w:ind w:firstLine="480"/>
      </w:pPr>
      <w:r>
        <w:t>3</w:t>
      </w:r>
      <w:r>
        <w:rPr>
          <w:rFonts w:hint="eastAsia"/>
          <w:color w:val="auto"/>
        </w:rPr>
        <w:t>．</w:t>
      </w:r>
      <w:r>
        <w:t>解密投标文件：</w:t>
      </w:r>
      <w:r>
        <w:rPr>
          <w:rFonts w:hint="eastAsia"/>
        </w:rPr>
        <w:t>供应商在收到主持人“开始解密”指令后，应使用“加密该投标文件的CA锁（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94"/>
        <w:ind w:firstLine="480"/>
        <w:rPr>
          <w:color w:val="C00000"/>
        </w:rPr>
      </w:pPr>
      <w:r>
        <w:t>4</w:t>
      </w:r>
      <w:r>
        <w:rPr>
          <w:rFonts w:hint="eastAsia"/>
          <w:color w:val="auto"/>
        </w:rPr>
        <w:t>．</w:t>
      </w:r>
      <w:r>
        <w:rPr>
          <w:color w:val="C00000"/>
        </w:rPr>
        <w:t>唱标：</w:t>
      </w:r>
      <w:r>
        <w:rPr>
          <w:rFonts w:hint="eastAsia"/>
          <w:color w:val="C00000"/>
        </w:rPr>
        <w:t>对于</w:t>
      </w:r>
      <w:r>
        <w:rPr>
          <w:color w:val="C00000"/>
        </w:rPr>
        <w:t>公开招标项目，</w:t>
      </w:r>
      <w:r>
        <w:rPr>
          <w:rFonts w:hint="eastAsia"/>
          <w:color w:val="C00000"/>
        </w:rPr>
        <w:t>“</w:t>
      </w:r>
      <w:r>
        <w:rPr>
          <w:color w:val="C00000"/>
        </w:rPr>
        <w:t>不见面开标</w:t>
      </w:r>
      <w:r>
        <w:rPr>
          <w:rFonts w:hint="eastAsia"/>
          <w:color w:val="C00000"/>
        </w:rPr>
        <w:t>”</w:t>
      </w:r>
      <w:r>
        <w:rPr>
          <w:color w:val="C00000"/>
        </w:rPr>
        <w:t>系统将</w:t>
      </w:r>
      <w:r>
        <w:rPr>
          <w:rFonts w:hint="eastAsia"/>
          <w:color w:val="C00000"/>
        </w:rPr>
        <w:t>自动</w:t>
      </w:r>
      <w:r>
        <w:rPr>
          <w:color w:val="C00000"/>
        </w:rPr>
        <w:t>展示供应商名单及其</w:t>
      </w:r>
      <w:r>
        <w:rPr>
          <w:rFonts w:hint="eastAsia"/>
          <w:color w:val="C00000"/>
        </w:rPr>
        <w:t>投标</w:t>
      </w:r>
      <w:r>
        <w:rPr>
          <w:color w:val="C00000"/>
        </w:rPr>
        <w:t>报价</w:t>
      </w:r>
      <w:r>
        <w:rPr>
          <w:rFonts w:hint="eastAsia"/>
          <w:color w:val="C00000"/>
        </w:rPr>
        <w:t>。</w:t>
      </w:r>
    </w:p>
    <w:p>
      <w:pPr>
        <w:pStyle w:val="94"/>
        <w:ind w:firstLine="480"/>
      </w:pPr>
      <w:r>
        <w:t>5</w:t>
      </w:r>
      <w:r>
        <w:rPr>
          <w:rFonts w:hint="eastAsia"/>
          <w:color w:val="auto"/>
        </w:rPr>
        <w:t>．</w:t>
      </w:r>
      <w:r>
        <w:rPr>
          <w:rFonts w:hint="eastAsia"/>
        </w:rPr>
        <w:t>开标结束：进入评审环节。供应商请保持在线，评审期间评标委员会可能会要求供应商做相应的澄清。因供应商擅自离席造成的不利后果，由供应商自行承担。</w:t>
      </w:r>
    </w:p>
    <w:p>
      <w:pPr>
        <w:pStyle w:val="94"/>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94"/>
        <w:wordWrap w:val="0"/>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4"/>
          <w:rFonts w:hint="eastAsia"/>
          <w:color w:val="0070C0"/>
        </w:rPr>
        <w:t>http://sxggzyjy.xa.gov.cn/fwzn/004003/20200426/bc8b2c1e-abe2-4168-913c-68ff93345faf.html</w:t>
      </w:r>
      <w:r>
        <w:rPr>
          <w:rStyle w:val="34"/>
          <w:rFonts w:hint="eastAsia"/>
          <w:color w:val="0070C0"/>
        </w:rPr>
        <w:fldChar w:fldCharType="end"/>
      </w:r>
    </w:p>
    <w:p>
      <w:pPr>
        <w:pStyle w:val="4"/>
        <w:ind w:firstLine="480" w:firstLineChars="200"/>
        <w:rPr>
          <w:color w:val="C00000"/>
        </w:rPr>
      </w:pPr>
      <w:r>
        <w:rPr>
          <w:rFonts w:hint="eastAsia"/>
          <w:color w:val="C00000"/>
        </w:rPr>
        <w:t>（二）开标环节投标文件视为无效的情形</w:t>
      </w:r>
    </w:p>
    <w:p>
      <w:pPr>
        <w:pStyle w:val="94"/>
        <w:ind w:firstLine="480"/>
      </w:pPr>
      <w:r>
        <w:rPr>
          <w:rFonts w:hint="eastAsia"/>
        </w:rPr>
        <w:t>1</w:t>
      </w:r>
      <w:r>
        <w:rPr>
          <w:rFonts w:hint="eastAsia"/>
          <w:color w:val="auto"/>
        </w:rPr>
        <w:t>．</w:t>
      </w:r>
      <w:r>
        <w:t>供应商</w:t>
      </w:r>
      <w:r>
        <w:rPr>
          <w:rFonts w:hint="eastAsia"/>
        </w:rPr>
        <w:t>放弃</w:t>
      </w:r>
      <w:r>
        <w:t>或拒绝对电子投标文件进行解密的；</w:t>
      </w:r>
    </w:p>
    <w:p>
      <w:pPr>
        <w:pStyle w:val="94"/>
        <w:ind w:firstLine="480"/>
      </w:pPr>
      <w:r>
        <w:t>2</w:t>
      </w:r>
      <w:r>
        <w:rPr>
          <w:rFonts w:hint="eastAsia"/>
          <w:color w:val="auto"/>
        </w:rPr>
        <w:t>．</w:t>
      </w:r>
      <w:r>
        <w:t>因供应商自身原因，导致未在规定的解密时限内完整解密的，如</w:t>
      </w:r>
      <w:r>
        <w:rPr>
          <w:rFonts w:hint="eastAsia"/>
        </w:rPr>
        <w:t>忘</w:t>
      </w:r>
      <w:r>
        <w:t>带CA锁、</w:t>
      </w:r>
      <w:r>
        <w:rPr>
          <w:rFonts w:hint="eastAsia"/>
        </w:rPr>
        <w:t>或</w:t>
      </w:r>
      <w:r>
        <w:t>携带的CA锁与加密文件的CA锁</w:t>
      </w:r>
      <w:r>
        <w:rPr>
          <w:rFonts w:hint="eastAsia"/>
        </w:rPr>
        <w:t>不同、或使用旧版招标文件编制投标文件</w:t>
      </w:r>
      <w:r>
        <w:t>等情形；</w:t>
      </w:r>
    </w:p>
    <w:p>
      <w:pPr>
        <w:pStyle w:val="94"/>
        <w:ind w:firstLine="480"/>
      </w:pPr>
      <w:r>
        <w:rPr>
          <w:rFonts w:hint="eastAsia"/>
        </w:rPr>
        <w:t>3</w:t>
      </w:r>
      <w:r>
        <w:rPr>
          <w:rFonts w:hint="eastAsia"/>
          <w:color w:val="auto"/>
        </w:rPr>
        <w:t>．</w:t>
      </w:r>
      <w:r>
        <w:rPr>
          <w:rFonts w:hint="eastAsia"/>
        </w:rPr>
        <w:t>上传</w:t>
      </w:r>
      <w:r>
        <w:t>的电子投标文件无法正常打开的；</w:t>
      </w:r>
    </w:p>
    <w:p>
      <w:pPr>
        <w:pStyle w:val="94"/>
        <w:ind w:firstLine="480"/>
      </w:pPr>
      <w:r>
        <w:rPr>
          <w:rFonts w:hint="eastAsia"/>
        </w:rPr>
        <w:t>4</w:t>
      </w:r>
      <w:r>
        <w:rPr>
          <w:rFonts w:hint="eastAsia"/>
          <w:color w:val="auto"/>
        </w:rPr>
        <w:t>．</w:t>
      </w:r>
      <w:r>
        <w:t>政府采购法律法规规定的其他无效情形。</w:t>
      </w:r>
    </w:p>
    <w:p>
      <w:pPr>
        <w:pStyle w:val="4"/>
        <w:ind w:firstLine="482"/>
        <w:rPr>
          <w:color w:val="C00000"/>
        </w:rPr>
      </w:pPr>
      <w:r>
        <w:rPr>
          <w:rFonts w:hint="eastAsia"/>
          <w:color w:val="C00000"/>
        </w:rPr>
        <w:t>（</w:t>
      </w:r>
      <w:r>
        <w:rPr>
          <w:color w:val="C00000"/>
        </w:rPr>
        <w:t>三</w:t>
      </w:r>
      <w:r>
        <w:rPr>
          <w:rFonts w:hint="eastAsia"/>
          <w:color w:val="C00000"/>
        </w:rPr>
        <w:t>）突发状况的应急处置</w:t>
      </w:r>
    </w:p>
    <w:p>
      <w:pPr>
        <w:pStyle w:val="94"/>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pPr>
        <w:pStyle w:val="3"/>
      </w:pPr>
      <w:r>
        <w:t>六、资格审查</w:t>
      </w:r>
    </w:p>
    <w:p>
      <w:pPr>
        <w:pStyle w:val="94"/>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94"/>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pPr>
        <w:pStyle w:val="94"/>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94"/>
        <w:ind w:firstLine="480"/>
      </w:pPr>
      <w:r>
        <w:t>合格供应商不足3家的，不得评标。</w:t>
      </w:r>
    </w:p>
    <w:p>
      <w:pPr>
        <w:keepNext/>
        <w:spacing w:before="210" w:beforeLines="50" w:after="21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9"/>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3"/>
            <w:tcBorders>
              <w:top w:val="single" w:color="auto" w:sz="2" w:space="0"/>
            </w:tcBorders>
            <w:shd w:val="clear" w:color="auto" w:fill="auto"/>
            <w:vAlign w:val="center"/>
          </w:tcPr>
          <w:p>
            <w:pPr>
              <w:spacing w:line="32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有效的主体资格证明</w:t>
            </w:r>
          </w:p>
        </w:tc>
        <w:tc>
          <w:tcPr>
            <w:tcW w:w="5846" w:type="dxa"/>
            <w:gridSpan w:val="2"/>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在中华人民共和国境内注册，依法取得并有效存续的营业执照（含电子营业执照）\事业单位法人证书\民办非企业单位登记证书\非企业专业服务机构执业许可证等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gridSpan w:val="2"/>
            <w:vAlign w:val="center"/>
          </w:tcPr>
          <w:p>
            <w:pPr>
              <w:spacing w:line="320" w:lineRule="exact"/>
              <w:jc w:val="both"/>
              <w:rPr>
                <w:rFonts w:ascii="Calibri" w:hAnsi="宋体" w:eastAsia="宋体" w:cstheme="minorHAnsi"/>
                <w:bCs/>
                <w:sz w:val="21"/>
              </w:rPr>
            </w:pPr>
            <w:r>
              <w:rPr>
                <w:rFonts w:ascii="Calibri" w:hAnsi="宋体" w:eastAsia="宋体" w:cstheme="minorHAnsi"/>
                <w:bCs/>
                <w:sz w:val="21"/>
              </w:rPr>
              <w:t>1、提供</w:t>
            </w:r>
            <w:r>
              <w:rPr>
                <w:rFonts w:hint="eastAsia" w:ascii="Calibri" w:hAnsi="宋体" w:eastAsia="宋体" w:cstheme="minorHAnsi"/>
                <w:bCs/>
                <w:sz w:val="21"/>
              </w:rPr>
              <w:t>2023或2024年</w:t>
            </w:r>
            <w:r>
              <w:rPr>
                <w:rFonts w:ascii="Calibri" w:hAnsi="宋体" w:eastAsia="宋体" w:cstheme="minorHAnsi"/>
                <w:bCs/>
                <w:sz w:val="21"/>
              </w:rPr>
              <w:t>度</w:t>
            </w:r>
            <w:r>
              <w:rPr>
                <w:rFonts w:hint="eastAsia" w:ascii="Calibri" w:hAnsi="宋体" w:eastAsia="宋体" w:cstheme="minorHAnsi"/>
                <w:bCs/>
                <w:sz w:val="21"/>
              </w:rPr>
              <w:t>经审计的财务会计报告（成立时间至提交投标文件截止时间不足一年的可提供成立后任意时段的资产负债表）；</w:t>
            </w:r>
          </w:p>
          <w:p>
            <w:pPr>
              <w:spacing w:line="320" w:lineRule="exact"/>
              <w:jc w:val="both"/>
              <w:rPr>
                <w:rFonts w:ascii="Calibri" w:hAnsi="宋体" w:eastAsia="宋体" w:cstheme="minorHAnsi"/>
                <w:bCs/>
                <w:sz w:val="21"/>
              </w:rPr>
            </w:pPr>
            <w:r>
              <w:rPr>
                <w:rFonts w:hint="eastAsia" w:ascii="Calibri" w:hAnsi="宋体" w:eastAsia="宋体" w:cstheme="minorHAnsi"/>
                <w:bCs/>
                <w:sz w:val="21"/>
              </w:rPr>
              <w:t>2、</w:t>
            </w:r>
            <w:r>
              <w:rPr>
                <w:rFonts w:ascii="Calibri" w:hAnsi="宋体" w:eastAsia="宋体" w:cstheme="minorHAnsi"/>
                <w:bCs/>
                <w:sz w:val="21"/>
              </w:rPr>
              <w:t>或提供</w:t>
            </w:r>
            <w:r>
              <w:rPr>
                <w:rFonts w:hint="eastAsia" w:ascii="Calibri" w:hAnsi="宋体" w:eastAsia="宋体" w:cstheme="minorHAnsi"/>
                <w:bCs/>
                <w:sz w:val="21"/>
              </w:rPr>
              <w:t>服务商</w:t>
            </w:r>
            <w:r>
              <w:rPr>
                <w:rFonts w:ascii="Calibri" w:hAnsi="宋体" w:eastAsia="宋体" w:cstheme="minorHAnsi"/>
                <w:bCs/>
                <w:sz w:val="21"/>
              </w:rPr>
              <w:t>基本存款账户信息及</w:t>
            </w:r>
            <w:r>
              <w:rPr>
                <w:rFonts w:hint="eastAsia" w:ascii="Calibri" w:hAnsi="宋体" w:eastAsia="宋体" w:cstheme="minorHAnsi"/>
                <w:bCs/>
                <w:sz w:val="21"/>
              </w:rPr>
              <w:t>开标</w:t>
            </w:r>
            <w:r>
              <w:rPr>
                <w:rFonts w:ascii="Calibri" w:hAnsi="宋体" w:eastAsia="宋体" w:cstheme="minorHAnsi"/>
                <w:bCs/>
                <w:sz w:val="21"/>
              </w:rPr>
              <w:t>日期前三个月内其基本存款账户开户银行出具的资信证明</w:t>
            </w:r>
            <w:r>
              <w:rPr>
                <w:rFonts w:hint="eastAsia" w:ascii="Calibri" w:hAnsi="宋体" w:eastAsia="宋体" w:cstheme="minorHAnsi"/>
                <w:bCs/>
                <w:sz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gridSpan w:val="2"/>
            <w:vAlign w:val="center"/>
          </w:tcPr>
          <w:p>
            <w:pPr>
              <w:spacing w:line="320" w:lineRule="exact"/>
              <w:jc w:val="both"/>
              <w:rPr>
                <w:rFonts w:ascii="Calibri" w:hAnsi="宋体" w:eastAsia="宋体" w:cstheme="minorHAnsi"/>
                <w:bCs/>
                <w:sz w:val="21"/>
              </w:rPr>
            </w:pPr>
            <w:r>
              <w:rPr>
                <w:rFonts w:ascii="Calibri" w:hAnsi="宋体" w:eastAsia="宋体" w:cstheme="minorHAnsi"/>
                <w:bCs/>
                <w:sz w:val="21"/>
              </w:rPr>
              <w:t>自2024年7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gridSpan w:val="2"/>
            <w:vAlign w:val="center"/>
          </w:tcPr>
          <w:p>
            <w:pPr>
              <w:spacing w:line="320" w:lineRule="exact"/>
              <w:jc w:val="both"/>
              <w:rPr>
                <w:rFonts w:ascii="Calibri" w:hAnsi="宋体" w:eastAsia="宋体" w:cstheme="minorHAnsi"/>
                <w:b/>
                <w:bCs/>
                <w:sz w:val="21"/>
              </w:rPr>
            </w:pPr>
            <w:r>
              <w:rPr>
                <w:rFonts w:ascii="Calibri" w:hAnsi="宋体" w:eastAsia="宋体"/>
                <w:sz w:val="21"/>
              </w:rPr>
              <w:t>自2024年7月1日以来已缴纳的至少一个月的纳税证明或完税证明，税种为增值税或企业所得税。纳税证明或完税证明上应有代收机构或税务机关的公章或业务专用章。依法免税的服务商应提供相关文件证明。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gridSpan w:val="2"/>
            <w:vAlign w:val="center"/>
          </w:tcPr>
          <w:p>
            <w:pPr>
              <w:spacing w:line="320" w:lineRule="exact"/>
              <w:jc w:val="both"/>
              <w:rPr>
                <w:rFonts w:ascii="Calibri" w:hAnsi="宋体" w:eastAsia="宋体" w:cstheme="minorHAnsi"/>
                <w:b/>
                <w:bCs/>
                <w:sz w:val="21"/>
              </w:rPr>
            </w:pPr>
            <w:r>
              <w:rPr>
                <w:rFonts w:ascii="Calibri" w:hAnsi="宋体" w:eastAsia="宋体"/>
                <w:sz w:val="21"/>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gridSpan w:val="2"/>
            <w:vAlign w:val="center"/>
          </w:tcPr>
          <w:p>
            <w:pPr>
              <w:spacing w:line="320" w:lineRule="exact"/>
              <w:jc w:val="both"/>
              <w:rPr>
                <w:rFonts w:ascii="Calibri" w:hAnsi="宋体" w:eastAsia="宋体" w:cstheme="minorHAnsi"/>
                <w:bCs/>
                <w:sz w:val="21"/>
              </w:rPr>
            </w:pPr>
            <w:r>
              <w:rPr>
                <w:rFonts w:ascii="Calibri" w:hAnsi="宋体" w:eastAsia="宋体" w:cstheme="minorHAnsi"/>
                <w:bCs/>
                <w:sz w:val="21"/>
              </w:rPr>
              <w:t>（服务商为法人</w:t>
            </w:r>
            <w:r>
              <w:rPr>
                <w:rFonts w:hint="eastAsia" w:ascii="Calibri" w:hAnsi="宋体" w:eastAsia="宋体" w:cstheme="minorHAnsi"/>
                <w:bCs/>
                <w:sz w:val="21"/>
              </w:rPr>
              <w:t>单位的</w:t>
            </w:r>
            <w:r>
              <w:rPr>
                <w:rFonts w:ascii="Calibri" w:hAnsi="宋体" w:eastAsia="宋体" w:cstheme="minorHAnsi"/>
                <w:bCs/>
                <w:sz w:val="21"/>
              </w:rPr>
              <w:t>）法定代表人</w:t>
            </w:r>
            <w:r>
              <w:rPr>
                <w:rFonts w:hint="eastAsia" w:ascii="Calibri" w:hAnsi="宋体" w:eastAsia="宋体" w:cstheme="minorHAnsi"/>
                <w:bCs/>
                <w:sz w:val="21"/>
              </w:rPr>
              <w:t>亲自</w:t>
            </w:r>
            <w:r>
              <w:rPr>
                <w:rFonts w:ascii="Calibri" w:hAnsi="宋体" w:eastAsia="宋体" w:cstheme="minorHAnsi"/>
                <w:bCs/>
                <w:sz w:val="21"/>
              </w:rPr>
              <w:t>参加投标时，须提供本人身份证复印件；</w:t>
            </w:r>
            <w:r>
              <w:rPr>
                <w:rFonts w:hint="eastAsia" w:ascii="Calibri" w:hAnsi="宋体" w:eastAsia="宋体" w:cstheme="minorHAnsi"/>
                <w:bCs/>
                <w:sz w:val="21"/>
              </w:rPr>
              <w:t>法定代表人</w:t>
            </w:r>
            <w:r>
              <w:rPr>
                <w:rFonts w:ascii="Calibri" w:hAnsi="宋体" w:eastAsia="宋体" w:cstheme="minorHAnsi"/>
                <w:bCs/>
                <w:sz w:val="21"/>
              </w:rPr>
              <w:t>授权他人参加投标时，须提供法定代表人委托授权书。（服务商为非法人单位</w:t>
            </w:r>
            <w:r>
              <w:rPr>
                <w:rFonts w:hint="eastAsia" w:ascii="Calibri" w:hAnsi="宋体" w:eastAsia="宋体" w:cstheme="minorHAnsi"/>
                <w:bCs/>
                <w:sz w:val="21"/>
              </w:rPr>
              <w:t>的</w:t>
            </w:r>
            <w:r>
              <w:rPr>
                <w:rFonts w:ascii="Calibri" w:hAnsi="宋体" w:eastAsia="宋体" w:cstheme="minorHAnsi"/>
                <w:bCs/>
                <w:sz w:val="21"/>
              </w:rPr>
              <w:t>）</w:t>
            </w:r>
            <w:r>
              <w:rPr>
                <w:rFonts w:hint="eastAsia" w:ascii="Calibri" w:hAnsi="宋体" w:eastAsia="宋体" w:cstheme="minorHAnsi"/>
                <w:bCs/>
                <w:sz w:val="21"/>
              </w:rPr>
              <w:t>响应</w:t>
            </w:r>
            <w:r>
              <w:rPr>
                <w:rFonts w:ascii="Calibri" w:hAnsi="宋体" w:eastAsia="宋体" w:cstheme="minorHAnsi"/>
                <w:bCs/>
                <w:sz w:val="21"/>
              </w:rPr>
              <w:t>文件中凡是需要法定代表人签字或盖章之处，非法人单位的负责人均参照执行。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3"/>
            <w:vAlign w:val="center"/>
          </w:tcPr>
          <w:p>
            <w:pPr>
              <w:spacing w:line="320" w:lineRule="exact"/>
              <w:jc w:val="both"/>
              <w:rPr>
                <w:rFonts w:ascii="Calibri" w:hAnsi="宋体" w:eastAsia="宋体" w:cstheme="minorHAnsi"/>
                <w:b/>
                <w:bCs/>
                <w:sz w:val="21"/>
              </w:rPr>
            </w:pPr>
            <w:r>
              <w:rPr>
                <w:rFonts w:hint="eastAsia"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320" w:lineRule="exact"/>
              <w:jc w:val="both"/>
              <w:rPr>
                <w:rFonts w:ascii="Calibri" w:hAnsi="宋体" w:eastAsia="宋体" w:cstheme="minorHAnsi"/>
                <w:bCs/>
                <w:sz w:val="21"/>
              </w:rPr>
            </w:pPr>
            <w:r>
              <w:rPr>
                <w:rFonts w:hint="eastAsia" w:ascii="Calibri" w:hAnsi="宋体" w:eastAsia="宋体" w:cstheme="minorHAnsi"/>
                <w:bCs/>
                <w:sz w:val="21"/>
              </w:rPr>
              <w:t>无</w:t>
            </w:r>
          </w:p>
        </w:tc>
        <w:tc>
          <w:tcPr>
            <w:tcW w:w="5846" w:type="dxa"/>
            <w:gridSpan w:val="2"/>
            <w:vAlign w:val="center"/>
          </w:tcPr>
          <w:p>
            <w:pPr>
              <w:spacing w:line="320" w:lineRule="exact"/>
              <w:jc w:val="both"/>
              <w:rPr>
                <w:rFonts w:ascii="Calibri" w:hAnsi="宋体" w:eastAsia="宋体" w:cstheme="minorHAnsi"/>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320" w:lineRule="exact"/>
              <w:jc w:val="center"/>
              <w:rPr>
                <w:rFonts w:ascii="Calibri" w:hAnsi="宋体" w:eastAsia="宋体" w:cstheme="minorHAnsi"/>
                <w:b/>
                <w:bCs/>
                <w:sz w:val="21"/>
              </w:rPr>
            </w:pPr>
            <w:r>
              <w:rPr>
                <w:rFonts w:ascii="Calibri" w:hAnsi="宋体" w:eastAsia="宋体" w:cstheme="minorHAnsi"/>
                <w:b/>
                <w:bCs/>
                <w:sz w:val="21"/>
              </w:rPr>
              <w:t>三</w:t>
            </w:r>
          </w:p>
        </w:tc>
        <w:tc>
          <w:tcPr>
            <w:tcW w:w="8389" w:type="dxa"/>
            <w:gridSpan w:val="3"/>
            <w:vAlign w:val="center"/>
          </w:tcPr>
          <w:p>
            <w:pPr>
              <w:spacing w:line="320" w:lineRule="exact"/>
              <w:jc w:val="both"/>
              <w:rPr>
                <w:rFonts w:ascii="Calibri" w:hAnsi="宋体" w:eastAsia="宋体" w:cstheme="minorHAnsi"/>
                <w:b/>
                <w:bCs/>
                <w:sz w:val="21"/>
              </w:rPr>
            </w:pPr>
            <w:r>
              <w:rPr>
                <w:rFonts w:hint="eastAsia"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pStyle w:val="82"/>
              <w:spacing w:line="320" w:lineRule="exact"/>
              <w:ind w:left="210"/>
              <w:rPr>
                <w:rFonts w:ascii="Calibri" w:hAnsi="宋体" w:eastAsia="宋体" w:cstheme="minorHAnsi"/>
                <w:bCs/>
                <w:color w:val="C00000"/>
                <w:sz w:val="21"/>
              </w:rPr>
            </w:pPr>
            <w:r>
              <w:rPr>
                <w:rFonts w:hint="eastAsia" w:ascii="Calibri" w:hAnsi="宋体" w:eastAsia="宋体" w:cstheme="minorHAnsi"/>
                <w:bCs/>
                <w:color w:val="C00000"/>
                <w:sz w:val="21"/>
              </w:rPr>
              <w:t>1</w:t>
            </w:r>
          </w:p>
        </w:tc>
        <w:tc>
          <w:tcPr>
            <w:tcW w:w="2552" w:type="dxa"/>
            <w:gridSpan w:val="2"/>
            <w:vAlign w:val="center"/>
          </w:tcPr>
          <w:p>
            <w:pPr>
              <w:spacing w:line="32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37" w:type="dxa"/>
            <w:vAlign w:val="center"/>
          </w:tcPr>
          <w:p>
            <w:pPr>
              <w:spacing w:line="32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4"/>
            <w:vAlign w:val="center"/>
          </w:tcPr>
          <w:p>
            <w:pPr>
              <w:spacing w:line="32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．依法免税或不需要缴纳社会保障资金的供应商，应提供相应证明文件，证明其依法免税或不需要缴纳社会保障资金；自然人（仅限中国公民）参与投标时，只须提供身份证复印件。</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94"/>
        <w:ind w:firstLine="480"/>
      </w:pPr>
      <w:r>
        <w:t>本项目采用</w:t>
      </w:r>
      <w:r>
        <w:rPr>
          <w:color w:val="C00000"/>
        </w:rPr>
        <w:t>综合评分法</w:t>
      </w:r>
      <w:r>
        <w:t>，即投标文件满足招标文件全部实质性要求，且按照评审因素的量化指标评审得分最高的供应商为中标候选人。</w:t>
      </w:r>
    </w:p>
    <w:p>
      <w:pPr>
        <w:pStyle w:val="4"/>
        <w:ind w:firstLine="480"/>
      </w:pPr>
      <w:r>
        <w:t>（</w:t>
      </w:r>
      <w:r>
        <w:rPr>
          <w:rFonts w:hint="eastAsia"/>
        </w:rPr>
        <w:t>二</w:t>
      </w:r>
      <w:r>
        <w:t>）</w:t>
      </w:r>
      <w:r>
        <w:rPr>
          <w:rFonts w:hint="eastAsia"/>
        </w:rPr>
        <w:t>评标形式</w:t>
      </w:r>
    </w:p>
    <w:p>
      <w:pPr>
        <w:ind w:firstLine="480" w:firstLineChars="200"/>
        <w:jc w:val="both"/>
      </w:pPr>
      <w:r>
        <w:rPr>
          <w:rFonts w:hint="eastAsia"/>
        </w:rPr>
        <w:t>1．关于技术标“暗标盲评”</w:t>
      </w:r>
    </w:p>
    <w:p>
      <w:pPr>
        <w:ind w:firstLine="480" w:firstLineChars="200"/>
      </w:pPr>
      <w:r>
        <w:rPr>
          <w:rFonts w:hint="eastAsia"/>
        </w:rPr>
        <w:t>根据西安市发展和改革委员会《关于印发〈西安市深化公共资源交易平台整合共享行动方案〉的通知》（市发改发〔2021〕71号）要求，推动交易平台智慧化转型，西安市公共资源交易平台建设模块化、智能化评标系统，实现暗标评审功能，使得评审结果更公正、真实。</w:t>
      </w:r>
    </w:p>
    <w:p>
      <w:pPr>
        <w:ind w:firstLine="480" w:firstLineChars="200"/>
      </w:pPr>
      <w:r>
        <w:rPr>
          <w:rFonts w:hint="eastAsia"/>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pPr>
        <w:ind w:firstLine="480" w:firstLineChars="200"/>
        <w:jc w:val="both"/>
      </w:pPr>
      <w:r>
        <w:rPr>
          <w:rFonts w:hint="eastAsia"/>
        </w:rPr>
        <w:t>2．“暗标</w:t>
      </w:r>
      <w:r>
        <w:t>盲评部分</w:t>
      </w:r>
      <w:r>
        <w:rPr>
          <w:rFonts w:hint="eastAsia"/>
        </w:rPr>
        <w:t>”响应要求</w:t>
      </w:r>
    </w:p>
    <w:p>
      <w:pPr>
        <w:ind w:firstLine="480" w:firstLineChars="200"/>
      </w:pPr>
      <w:r>
        <w:rPr>
          <w:rFonts w:hint="eastAsia"/>
        </w:rPr>
        <w:t>暗标盲评部分应按如下要求编制，否则，根据财政部第87号令《政府采购货物和服务招标投标管理办法》第六十三条第六款的规定，其投标视为无效。</w:t>
      </w:r>
    </w:p>
    <w:p>
      <w:pPr>
        <w:ind w:firstLine="480" w:firstLineChars="200"/>
        <w:jc w:val="both"/>
      </w:pPr>
      <w:r>
        <w:rPr>
          <w:rFonts w:hint="eastAsia"/>
        </w:rPr>
        <w:t>（</w:t>
      </w:r>
      <w:r>
        <w:t>1</w:t>
      </w:r>
      <w:r>
        <w:rPr>
          <w:rFonts w:hint="eastAsia"/>
        </w:rPr>
        <w:t>）标志标识要求：</w:t>
      </w:r>
    </w:p>
    <w:p>
      <w:pPr>
        <w:ind w:firstLine="480" w:firstLineChars="200"/>
        <w:jc w:val="both"/>
      </w:pPr>
      <w:r>
        <w:rPr>
          <w:rFonts w:hint="eastAsia"/>
        </w:rPr>
        <w:t>不得出现可识别投标供应商身份的任何字符和徽标，包括文字、符号、图案、标志、标识、人员姓名、投标供应商独有的企业标准名称或编号等。</w:t>
      </w:r>
    </w:p>
    <w:p>
      <w:pPr>
        <w:ind w:firstLine="480" w:firstLineChars="200"/>
        <w:jc w:val="both"/>
      </w:pPr>
      <w:r>
        <w:rPr>
          <w:rFonts w:hint="eastAsia"/>
        </w:rPr>
        <w:t>（2）签章要求：</w:t>
      </w:r>
    </w:p>
    <w:p>
      <w:pPr>
        <w:ind w:firstLine="480" w:firstLineChars="200"/>
        <w:jc w:val="both"/>
      </w:pPr>
      <w:r>
        <w:rPr>
          <w:rFonts w:hint="eastAsia"/>
        </w:rPr>
        <w:t>不得进行签章。</w:t>
      </w:r>
    </w:p>
    <w:p>
      <w:pPr>
        <w:ind w:firstLine="480" w:firstLineChars="200"/>
        <w:jc w:val="both"/>
      </w:pPr>
      <w:r>
        <w:rPr>
          <w:rFonts w:hint="eastAsia"/>
        </w:rPr>
        <w:t>暗标部分评审时出现争议的，评标委员会按照少数服从多数的原则做出结论。持不同意见的评审委员会成员应当在评审报告上签署不同意见并说明理由，否则视为同意。</w:t>
      </w:r>
    </w:p>
    <w:p>
      <w:pPr>
        <w:pStyle w:val="4"/>
        <w:ind w:firstLine="482"/>
      </w:pPr>
      <w:r>
        <w:t>（</w:t>
      </w:r>
      <w:r>
        <w:rPr>
          <w:rFonts w:hint="eastAsia"/>
        </w:rPr>
        <w:t>三</w:t>
      </w:r>
      <w:r>
        <w:t>）评标程序</w:t>
      </w:r>
    </w:p>
    <w:p>
      <w:pPr>
        <w:pStyle w:val="94"/>
        <w:ind w:firstLine="482"/>
        <w:rPr>
          <w:b/>
        </w:rPr>
      </w:pPr>
      <w:r>
        <w:rPr>
          <w:rFonts w:hint="eastAsia"/>
          <w:b/>
        </w:rPr>
        <w:t>1</w:t>
      </w:r>
      <w:r>
        <w:rPr>
          <w:rFonts w:hint="eastAsia"/>
          <w:b/>
          <w:color w:val="auto"/>
        </w:rPr>
        <w:t>．</w:t>
      </w:r>
      <w:r>
        <w:rPr>
          <w:rFonts w:hint="eastAsia"/>
          <w:b/>
        </w:rPr>
        <w:t>组建评标委员会</w:t>
      </w:r>
    </w:p>
    <w:p>
      <w:pPr>
        <w:pStyle w:val="94"/>
        <w:ind w:firstLine="480"/>
      </w:pPr>
      <w: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94"/>
        <w:ind w:firstLine="480"/>
      </w:pPr>
      <w:r>
        <w:rPr>
          <w:rFonts w:hint="eastAsia"/>
        </w:rPr>
        <w:t>由采购代理机构组织评标委员会推选评标组长，采购人代表不得担任组长。</w:t>
      </w:r>
    </w:p>
    <w:p>
      <w:pPr>
        <w:pStyle w:val="94"/>
        <w:ind w:firstLine="482"/>
        <w:rPr>
          <w:b/>
        </w:rPr>
      </w:pPr>
      <w:r>
        <w:rPr>
          <w:rFonts w:hint="eastAsia"/>
          <w:b/>
        </w:rPr>
        <w:t>2</w:t>
      </w:r>
      <w:r>
        <w:rPr>
          <w:rFonts w:hint="eastAsia"/>
          <w:b/>
          <w:color w:val="auto"/>
        </w:rPr>
        <w:t>．</w:t>
      </w:r>
      <w:r>
        <w:rPr>
          <w:b/>
        </w:rPr>
        <w:t>投标文件的符合性审查</w:t>
      </w:r>
    </w:p>
    <w:p>
      <w:pPr>
        <w:pStyle w:val="94"/>
        <w:ind w:firstLine="480"/>
        <w:rPr>
          <w:bCs/>
        </w:rPr>
      </w:pPr>
      <w:r>
        <w:t>供应商资格性审查通过后，</w:t>
      </w:r>
      <w:r>
        <w:rPr>
          <w:rFonts w:hint="eastAsia"/>
          <w:bCs/>
        </w:rPr>
        <w:t>评标委员会对符合资格的投标供应商的投标文件进行符合性审查，以确定其是否满足招标文件的实质性要求。</w:t>
      </w:r>
    </w:p>
    <w:p>
      <w:pPr>
        <w:pStyle w:val="94"/>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的内容，评标委员会应当以书面形式要求投标供应商作出必要的澄清、说明或者补正。</w:t>
      </w:r>
    </w:p>
    <w:p>
      <w:pPr>
        <w:pStyle w:val="94"/>
        <w:ind w:firstLine="480"/>
      </w:pPr>
      <w:r>
        <w:rPr>
          <w:rFonts w:hint="eastAsia"/>
        </w:rPr>
        <w:t>投标供应商的澄清、说明或者补正应当采用书面形式，并加盖公章，或者由法定代表人或其授权的代表签字。投标供应商的澄清、说明或者补正不得超出投标文件的范围或者改变投标文件的实质性内容。</w:t>
      </w:r>
    </w:p>
    <w:p>
      <w:pPr>
        <w:keepNext/>
        <w:spacing w:before="210" w:beforeLines="50" w:after="21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9"/>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268" w:type="dxa"/>
            <w:tcBorders>
              <w:top w:val="single" w:color="auto" w:sz="2" w:space="0"/>
            </w:tcBorders>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与项目的一致性</w:t>
            </w:r>
          </w:p>
        </w:tc>
        <w:tc>
          <w:tcPr>
            <w:tcW w:w="5944" w:type="dxa"/>
            <w:tcBorders>
              <w:top w:val="single" w:color="auto" w:sz="2" w:space="0"/>
            </w:tcBorders>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至少以下三处的项目名称、项目编号、标段（</w:t>
            </w:r>
            <w:r>
              <w:rPr>
                <w:rFonts w:ascii="Calibri" w:hAnsi="宋体" w:eastAsia="宋体" w:cstheme="minorHAnsi"/>
                <w:bCs/>
                <w:color w:val="C00000"/>
                <w:sz w:val="21"/>
                <w:szCs w:val="21"/>
              </w:rPr>
              <w:t>未分标段的除外</w:t>
            </w:r>
            <w:r>
              <w:rPr>
                <w:rFonts w:ascii="Calibri" w:hAnsi="宋体" w:eastAsia="宋体" w:cstheme="minorHAnsi"/>
                <w:bCs/>
                <w:sz w:val="21"/>
                <w:szCs w:val="21"/>
              </w:rPr>
              <w:t>）与本项目完全一致：</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320" w:lineRule="exact"/>
              <w:jc w:val="both"/>
              <w:rPr>
                <w:rFonts w:ascii="Calibri" w:hAnsi="宋体" w:eastAsia="宋体" w:cstheme="minorHAnsi"/>
                <w:bCs/>
                <w:sz w:val="21"/>
                <w:szCs w:val="21"/>
              </w:rPr>
            </w:pPr>
            <w:r>
              <w:rPr>
                <w:rFonts w:ascii="Calibri" w:hAnsi="宋体" w:eastAsia="宋体" w:cstheme="minorHAnsi"/>
                <w:bCs/>
                <w:color w:val="C00000"/>
                <w:sz w:val="21"/>
                <w:szCs w:val="21"/>
              </w:rPr>
              <w:t>以投标邀请函中的项目名称、项目编号、标段为准。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p>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268" w:type="dxa"/>
            <w:vAlign w:val="center"/>
          </w:tcPr>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5944" w:type="dxa"/>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320" w:lineRule="exact"/>
              <w:jc w:val="both"/>
              <w:rPr>
                <w:rFonts w:ascii="Calibri" w:hAnsi="宋体" w:eastAsia="宋体" w:cstheme="minorHAnsi"/>
                <w:bCs/>
                <w:sz w:val="21"/>
                <w:szCs w:val="21"/>
              </w:rPr>
            </w:pPr>
            <w:r>
              <w:rPr>
                <w:rFonts w:ascii="Calibri" w:hAnsi="宋体" w:eastAsia="宋体" w:cstheme="minorHAnsi"/>
                <w:b/>
                <w:color w:val="C00000"/>
                <w:sz w:val="21"/>
                <w:szCs w:val="21"/>
              </w:rPr>
              <w:t>注意：暗标评审部分不得进行签章</w:t>
            </w:r>
            <w:r>
              <w:rPr>
                <w:rFonts w:ascii="Calibri" w:hAnsi="宋体" w:eastAsia="宋体" w:cstheme="minorHAnsi"/>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5944" w:type="dxa"/>
            <w:vAlign w:val="center"/>
          </w:tcPr>
          <w:p>
            <w:pPr>
              <w:spacing w:line="32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5944"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32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32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应招标文件要求的各项实质性条款。</w:t>
            </w:r>
          </w:p>
          <w:p>
            <w:pPr>
              <w:spacing w:line="320" w:lineRule="exact"/>
              <w:jc w:val="both"/>
              <w:rPr>
                <w:rFonts w:ascii="Calibri" w:hAnsi="宋体" w:eastAsia="宋体" w:cstheme="minorHAnsi"/>
                <w:sz w:val="21"/>
                <w:szCs w:val="21"/>
              </w:rPr>
            </w:pPr>
            <w:r>
              <w:rPr>
                <w:rFonts w:ascii="Calibri" w:hAnsi="宋体" w:eastAsia="宋体" w:cstheme="minorHAnsi"/>
                <w:bCs/>
                <w:sz w:val="21"/>
                <w:szCs w:val="21"/>
              </w:rPr>
              <w:t>（</w:t>
            </w:r>
            <w:r>
              <w:rPr>
                <w:rFonts w:hint="eastAsia" w:ascii="Calibri" w:hAnsi="宋体" w:eastAsia="宋体" w:cstheme="minorHAnsi"/>
                <w:bCs/>
                <w:color w:val="C00000"/>
                <w:sz w:val="21"/>
                <w:szCs w:val="21"/>
              </w:rPr>
              <w:t>见</w:t>
            </w:r>
            <w:r>
              <w:rPr>
                <w:rFonts w:ascii="Calibri" w:hAnsi="宋体" w:eastAsia="宋体" w:cstheme="minorHAnsi"/>
                <w:bCs/>
                <w:color w:val="C00000"/>
                <w:sz w:val="21"/>
                <w:szCs w:val="21"/>
              </w:rPr>
              <w:t>第三章标注★</w:t>
            </w:r>
            <w:r>
              <w:rPr>
                <w:rFonts w:ascii="Calibri" w:hAnsi="宋体" w:eastAsia="宋体" w:cs="Segoe UI Symbol"/>
                <w:bCs/>
                <w:color w:val="C00000"/>
                <w:sz w:val="21"/>
                <w:szCs w:val="21"/>
              </w:rPr>
              <w:t>的条款，未设置时请忽略此项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268" w:type="dxa"/>
            <w:vAlign w:val="center"/>
          </w:tcPr>
          <w:p>
            <w:pPr>
              <w:spacing w:line="32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5944" w:type="dxa"/>
            <w:vAlign w:val="center"/>
          </w:tcPr>
          <w:p>
            <w:pPr>
              <w:spacing w:line="32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268" w:type="dxa"/>
            <w:vAlign w:val="center"/>
          </w:tcPr>
          <w:p>
            <w:pPr>
              <w:spacing w:line="32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5944" w:type="dxa"/>
            <w:vAlign w:val="center"/>
          </w:tcPr>
          <w:p>
            <w:pPr>
              <w:spacing w:line="32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94"/>
        <w:ind w:firstLine="482"/>
        <w:rPr>
          <w:b/>
        </w:rPr>
      </w:pPr>
      <w:r>
        <w:rPr>
          <w:b/>
        </w:rPr>
        <w:t>3</w:t>
      </w:r>
      <w:r>
        <w:rPr>
          <w:rFonts w:hint="eastAsia"/>
          <w:b/>
          <w:color w:val="auto"/>
        </w:rPr>
        <w:t>．</w:t>
      </w:r>
      <w:r>
        <w:rPr>
          <w:b/>
        </w:rPr>
        <w:t>综合比较与评价</w:t>
      </w:r>
    </w:p>
    <w:p>
      <w:pPr>
        <w:pStyle w:val="94"/>
        <w:ind w:firstLine="480"/>
      </w:pPr>
      <w:r>
        <w:t>评标委员会按《评审要素及分值一览表》中规定的评标方法和标准，对通过符合性审查的投标文件进行商务和技术评估，综合比较与评价。</w:t>
      </w:r>
    </w:p>
    <w:p>
      <w:pPr>
        <w:pStyle w:val="94"/>
        <w:ind w:firstLine="480"/>
        <w:rPr>
          <w:color w:val="C00000"/>
        </w:rPr>
      </w:pPr>
      <w:r>
        <w:rPr>
          <w:color w:val="C00000"/>
        </w:rPr>
        <w:t>出现下列情形的，供应商投标无效：</w:t>
      </w:r>
    </w:p>
    <w:p>
      <w:pPr>
        <w:pStyle w:val="94"/>
        <w:ind w:firstLine="480"/>
      </w:pPr>
      <w:r>
        <w:t>（1）投标文件报价出现本章第五小节</w:t>
      </w:r>
      <w:r>
        <w:rPr>
          <w:rFonts w:hint="eastAsia"/>
        </w:rPr>
        <w:t>“</w:t>
      </w:r>
      <w:r>
        <w:t>投标报价</w:t>
      </w:r>
      <w:r>
        <w:rPr>
          <w:rFonts w:hint="eastAsia"/>
        </w:rPr>
        <w:t>”</w:t>
      </w:r>
      <w:r>
        <w:t>所列需要修正情形，但供应商对修正后的报价不予确认的；</w:t>
      </w:r>
    </w:p>
    <w:p>
      <w:pPr>
        <w:pStyle w:val="94"/>
        <w:widowControl w:val="0"/>
        <w:ind w:firstLine="480"/>
      </w:pPr>
      <w: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pStyle w:val="94"/>
        <w:widowControl w:val="0"/>
        <w:ind w:firstLine="0" w:firstLineChars="0"/>
        <w:rPr>
          <w:rFonts w:ascii="黑体" w:hAnsi="黑体" w:eastAsia="黑体"/>
          <w:color w:val="1F4E79"/>
          <w:sz w:val="32"/>
          <w:szCs w:val="32"/>
        </w:rPr>
      </w:pPr>
      <w:r>
        <w:rPr>
          <w:rFonts w:ascii="黑体" w:hAnsi="黑体" w:eastAsia="黑体"/>
          <w:color w:val="1F4E79"/>
          <w:sz w:val="32"/>
          <w:szCs w:val="32"/>
        </w:rPr>
        <w:br w:type="page"/>
      </w:r>
    </w:p>
    <w:p>
      <w:pPr>
        <w:keepNext/>
        <w:spacing w:before="210" w:beforeLines="50" w:after="21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9"/>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809"/>
        <w:gridCol w:w="14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总分值</w:t>
            </w:r>
          </w:p>
        </w:tc>
        <w:tc>
          <w:tcPr>
            <w:tcW w:w="5809"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ind w:firstLine="422"/>
              <w:jc w:val="center"/>
              <w:rPr>
                <w:rFonts w:cstheme="minorHAnsi"/>
                <w:b/>
                <w:bCs/>
                <w:sz w:val="21"/>
                <w:szCs w:val="21"/>
              </w:rPr>
            </w:pPr>
            <w:r>
              <w:rPr>
                <w:rFonts w:cstheme="minorHAnsi"/>
                <w:b/>
                <w:bCs/>
                <w:sz w:val="21"/>
                <w:szCs w:val="21"/>
              </w:rPr>
              <w:t>评审要素</w:t>
            </w:r>
          </w:p>
        </w:tc>
        <w:tc>
          <w:tcPr>
            <w:tcW w:w="1418"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cstheme="minorHAnsi"/>
                <w:b/>
                <w:bCs/>
                <w:sz w:val="21"/>
                <w:szCs w:val="21"/>
              </w:rPr>
            </w:pPr>
            <w:r>
              <w:rPr>
                <w:rFonts w:cstheme="minorHAnsi"/>
                <w:b/>
                <w:bCs/>
                <w:sz w:val="21"/>
                <w:szCs w:val="21"/>
              </w:rPr>
              <w:t>分项最高分值</w:t>
            </w:r>
          </w:p>
        </w:tc>
        <w:tc>
          <w:tcPr>
            <w:tcW w:w="5809"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ind w:firstLine="420"/>
              <w:jc w:val="center"/>
              <w:rPr>
                <w:rFonts w:cstheme="minorHAnsi"/>
                <w:bCs/>
                <w:sz w:val="21"/>
                <w:szCs w:val="21"/>
              </w:rPr>
            </w:pPr>
          </w:p>
        </w:tc>
        <w:tc>
          <w:tcPr>
            <w:tcW w:w="1418"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tcBorders>
              <w:top w:val="single" w:color="auto" w:sz="2" w:space="0"/>
            </w:tcBorders>
            <w:shd w:val="clear" w:color="auto" w:fill="auto"/>
            <w:vAlign w:val="center"/>
          </w:tcPr>
          <w:p>
            <w:pPr>
              <w:spacing w:line="320" w:lineRule="exact"/>
              <w:jc w:val="center"/>
              <w:rPr>
                <w:rFonts w:cs="宋体"/>
                <w:bCs/>
                <w:sz w:val="21"/>
                <w:szCs w:val="21"/>
              </w:rPr>
            </w:pPr>
            <w:r>
              <w:rPr>
                <w:rFonts w:cs="宋体"/>
                <w:b/>
                <w:sz w:val="21"/>
                <w:szCs w:val="21"/>
              </w:rPr>
              <w:t>价格</w:t>
            </w:r>
          </w:p>
        </w:tc>
        <w:tc>
          <w:tcPr>
            <w:tcW w:w="640" w:type="dxa"/>
            <w:tcBorders>
              <w:top w:val="single" w:color="auto" w:sz="2" w:space="0"/>
            </w:tcBorders>
            <w:shd w:val="clear" w:color="auto" w:fill="auto"/>
            <w:vAlign w:val="center"/>
          </w:tcPr>
          <w:p>
            <w:pPr>
              <w:spacing w:line="320" w:lineRule="exact"/>
              <w:jc w:val="center"/>
              <w:rPr>
                <w:rFonts w:cs="宋体"/>
                <w:bCs/>
                <w:sz w:val="21"/>
                <w:szCs w:val="21"/>
              </w:rPr>
            </w:pPr>
            <w:r>
              <w:rPr>
                <w:rFonts w:cs="宋体"/>
                <w:bCs/>
                <w:sz w:val="21"/>
                <w:szCs w:val="21"/>
              </w:rPr>
              <w:t>30</w:t>
            </w: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30</w:t>
            </w:r>
          </w:p>
        </w:tc>
        <w:tc>
          <w:tcPr>
            <w:tcW w:w="5809" w:type="dxa"/>
            <w:tcBorders>
              <w:top w:val="single" w:color="auto" w:sz="2" w:space="0"/>
            </w:tcBorders>
            <w:shd w:val="clear" w:color="auto" w:fill="auto"/>
            <w:vAlign w:val="center"/>
          </w:tcPr>
          <w:p>
            <w:pPr>
              <w:tabs>
                <w:tab w:val="left" w:pos="547"/>
              </w:tabs>
              <w:spacing w:line="320" w:lineRule="exact"/>
              <w:ind w:firstLine="420"/>
              <w:jc w:val="both"/>
              <w:rPr>
                <w:rFonts w:cs="宋体"/>
                <w:sz w:val="21"/>
                <w:szCs w:val="21"/>
              </w:rPr>
            </w:pPr>
            <w:r>
              <w:rPr>
                <w:rFonts w:cs="宋体"/>
                <w:sz w:val="21"/>
                <w:szCs w:val="21"/>
              </w:rPr>
              <w:t>有效供应商最低报价为基准价得30分，各供应商的报价得分按下列公式计算：（基准价/投标报价）×30%×100分</w:t>
            </w:r>
          </w:p>
        </w:tc>
        <w:tc>
          <w:tcPr>
            <w:tcW w:w="1418" w:type="dxa"/>
            <w:tcBorders>
              <w:top w:val="single" w:color="auto" w:sz="2" w:space="0"/>
            </w:tcBorders>
            <w:shd w:val="clear" w:color="auto" w:fill="auto"/>
            <w:vAlign w:val="center"/>
          </w:tcPr>
          <w:p>
            <w:pPr>
              <w:spacing w:line="320" w:lineRule="exact"/>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pPr>
              <w:spacing w:line="320" w:lineRule="exact"/>
              <w:jc w:val="center"/>
              <w:rPr>
                <w:rFonts w:cs="宋体"/>
                <w:bCs/>
                <w:sz w:val="21"/>
                <w:szCs w:val="21"/>
              </w:rPr>
            </w:pPr>
            <w:r>
              <w:rPr>
                <w:rFonts w:cs="宋体"/>
                <w:bCs/>
                <w:sz w:val="21"/>
                <w:szCs w:val="21"/>
              </w:rPr>
              <w:t>技术</w:t>
            </w:r>
          </w:p>
          <w:p>
            <w:pPr>
              <w:spacing w:line="320" w:lineRule="exact"/>
              <w:jc w:val="center"/>
              <w:rPr>
                <w:rFonts w:cs="宋体"/>
                <w:b/>
                <w:sz w:val="21"/>
                <w:szCs w:val="21"/>
              </w:rPr>
            </w:pPr>
            <w:r>
              <w:rPr>
                <w:rFonts w:cs="宋体"/>
                <w:bCs/>
                <w:sz w:val="21"/>
                <w:szCs w:val="21"/>
              </w:rPr>
              <w:t>部分（暗标盲评）</w:t>
            </w:r>
          </w:p>
        </w:tc>
        <w:tc>
          <w:tcPr>
            <w:tcW w:w="640" w:type="dxa"/>
            <w:vMerge w:val="restart"/>
            <w:shd w:val="clear" w:color="auto" w:fill="auto"/>
            <w:vAlign w:val="center"/>
          </w:tcPr>
          <w:p>
            <w:pPr>
              <w:spacing w:line="320" w:lineRule="exact"/>
              <w:jc w:val="center"/>
              <w:rPr>
                <w:rFonts w:cs="宋体"/>
                <w:bCs/>
                <w:sz w:val="21"/>
                <w:szCs w:val="21"/>
              </w:rPr>
            </w:pPr>
            <w:r>
              <w:rPr>
                <w:rFonts w:cs="宋体"/>
                <w:bCs/>
                <w:sz w:val="21"/>
                <w:szCs w:val="21"/>
              </w:rPr>
              <w:t>18</w:t>
            </w: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9</w:t>
            </w:r>
          </w:p>
        </w:tc>
        <w:tc>
          <w:tcPr>
            <w:tcW w:w="5809" w:type="dxa"/>
            <w:tcBorders>
              <w:top w:val="single" w:color="auto" w:sz="2" w:space="0"/>
            </w:tcBorders>
            <w:shd w:val="clear" w:color="auto" w:fill="auto"/>
            <w:vAlign w:val="center"/>
          </w:tcPr>
          <w:p>
            <w:pPr>
              <w:spacing w:line="320" w:lineRule="exact"/>
              <w:ind w:firstLine="420" w:firstLineChars="200"/>
              <w:rPr>
                <w:rFonts w:cs="Calibri"/>
                <w:b/>
                <w:color w:val="C00000"/>
                <w:kern w:val="2"/>
                <w:sz w:val="21"/>
                <w:szCs w:val="21"/>
              </w:rPr>
            </w:pPr>
            <w:r>
              <w:rPr>
                <w:rFonts w:cs="Calibri"/>
                <w:b/>
                <w:color w:val="C00000"/>
                <w:kern w:val="2"/>
                <w:sz w:val="21"/>
                <w:szCs w:val="21"/>
              </w:rPr>
              <w:t>实施方案：</w:t>
            </w:r>
          </w:p>
          <w:p>
            <w:pPr>
              <w:tabs>
                <w:tab w:val="left" w:pos="547"/>
              </w:tabs>
              <w:autoSpaceDE w:val="0"/>
              <w:autoSpaceDN w:val="0"/>
              <w:adjustRightInd w:val="0"/>
              <w:spacing w:line="380" w:lineRule="exact"/>
              <w:rPr>
                <w:rFonts w:ascii="仿宋" w:hAnsi="仿宋" w:eastAsia="仿宋" w:cs="仿宋"/>
                <w:b/>
              </w:rPr>
            </w:pPr>
            <w:r>
              <w:rPr>
                <w:rFonts w:ascii="仿宋" w:hAnsi="仿宋" w:eastAsia="仿宋" w:cs="仿宋"/>
                <w:b/>
              </w:rPr>
              <w:t>一、</w:t>
            </w:r>
            <w:r>
              <w:rPr>
                <w:rFonts w:hint="eastAsia" w:ascii="仿宋" w:hAnsi="仿宋" w:eastAsia="仿宋" w:cs="仿宋"/>
                <w:b/>
              </w:rPr>
              <w:t>评审内容</w:t>
            </w:r>
          </w:p>
          <w:p>
            <w:pPr>
              <w:tabs>
                <w:tab w:val="left" w:pos="547"/>
              </w:tabs>
              <w:autoSpaceDE w:val="0"/>
              <w:autoSpaceDN w:val="0"/>
              <w:adjustRightInd w:val="0"/>
              <w:spacing w:line="380" w:lineRule="exact"/>
              <w:rPr>
                <w:rFonts w:cs="宋体"/>
                <w:sz w:val="21"/>
                <w:szCs w:val="21"/>
              </w:rPr>
            </w:pPr>
            <w:r>
              <w:rPr>
                <w:rFonts w:hint="eastAsia" w:cs="宋体"/>
                <w:sz w:val="21"/>
                <w:szCs w:val="21"/>
              </w:rPr>
              <w:t>投标人针对本项目提供完整、合理、详细的实施方案，从而实现保质保量按期供货、完工，方案包含：①供货及物流运输②安装及调试③验收计划。</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二、评审标准</w:t>
            </w:r>
          </w:p>
          <w:p>
            <w:pPr>
              <w:tabs>
                <w:tab w:val="left" w:pos="547"/>
              </w:tabs>
              <w:autoSpaceDE w:val="0"/>
              <w:autoSpaceDN w:val="0"/>
              <w:adjustRightInd w:val="0"/>
              <w:spacing w:line="380" w:lineRule="exact"/>
              <w:rPr>
                <w:rFonts w:cs="宋体"/>
                <w:sz w:val="21"/>
                <w:szCs w:val="21"/>
              </w:rPr>
            </w:pPr>
            <w:r>
              <w:rPr>
                <w:rFonts w:hint="eastAsia" w:cs="宋体"/>
                <w:sz w:val="21"/>
                <w:szCs w:val="21"/>
              </w:rPr>
              <w:t>1、完整性：方案须全面，对评审内容中的要求有详细描述及说明；</w:t>
            </w:r>
          </w:p>
          <w:p>
            <w:pPr>
              <w:tabs>
                <w:tab w:val="left" w:pos="547"/>
              </w:tabs>
              <w:autoSpaceDE w:val="0"/>
              <w:autoSpaceDN w:val="0"/>
              <w:adjustRightInd w:val="0"/>
              <w:spacing w:line="380" w:lineRule="exact"/>
              <w:rPr>
                <w:rFonts w:cs="宋体"/>
                <w:sz w:val="21"/>
                <w:szCs w:val="21"/>
              </w:rPr>
            </w:pPr>
            <w:r>
              <w:rPr>
                <w:rFonts w:hint="eastAsia" w:cs="宋体"/>
                <w:sz w:val="21"/>
                <w:szCs w:val="21"/>
              </w:rPr>
              <w:t>2、可实施性：切合本项目实际情况，实施步骤清晰、合理；</w:t>
            </w:r>
          </w:p>
          <w:p>
            <w:pPr>
              <w:tabs>
                <w:tab w:val="left" w:pos="547"/>
              </w:tabs>
              <w:autoSpaceDE w:val="0"/>
              <w:autoSpaceDN w:val="0"/>
              <w:adjustRightInd w:val="0"/>
              <w:spacing w:line="380" w:lineRule="exact"/>
              <w:rPr>
                <w:rFonts w:cs="宋体"/>
                <w:sz w:val="21"/>
                <w:szCs w:val="21"/>
              </w:rPr>
            </w:pPr>
            <w:r>
              <w:rPr>
                <w:rFonts w:hint="eastAsia" w:cs="宋体"/>
                <w:sz w:val="21"/>
                <w:szCs w:val="21"/>
              </w:rPr>
              <w:t>3、针对性：方案能够紧扣项目实际情况，内容科学合理。</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三、赋分标准（满分</w:t>
            </w:r>
            <w:r>
              <w:rPr>
                <w:rFonts w:ascii="仿宋" w:hAnsi="仿宋" w:eastAsia="仿宋" w:cs="仿宋"/>
                <w:b/>
              </w:rPr>
              <w:t>9</w:t>
            </w:r>
            <w:r>
              <w:rPr>
                <w:rFonts w:hint="eastAsia" w:ascii="仿宋" w:hAnsi="仿宋" w:eastAsia="仿宋" w:cs="仿宋"/>
                <w:b/>
              </w:rPr>
              <w:t>分）</w:t>
            </w:r>
          </w:p>
          <w:p>
            <w:pPr>
              <w:tabs>
                <w:tab w:val="left" w:pos="547"/>
              </w:tabs>
              <w:autoSpaceDE w:val="0"/>
              <w:autoSpaceDN w:val="0"/>
              <w:adjustRightInd w:val="0"/>
              <w:spacing w:line="380" w:lineRule="exact"/>
              <w:rPr>
                <w:rFonts w:cs="宋体"/>
                <w:sz w:val="21"/>
                <w:szCs w:val="21"/>
              </w:rPr>
            </w:pPr>
            <w:r>
              <w:rPr>
                <w:rFonts w:hint="eastAsia" w:cs="宋体"/>
                <w:sz w:val="21"/>
                <w:szCs w:val="21"/>
              </w:rPr>
              <w:t>①供货及物流运输：每完全满足一项评审标准得1分，满分3分。</w:t>
            </w:r>
          </w:p>
          <w:p>
            <w:pPr>
              <w:tabs>
                <w:tab w:val="left" w:pos="547"/>
              </w:tabs>
              <w:autoSpaceDE w:val="0"/>
              <w:autoSpaceDN w:val="0"/>
              <w:adjustRightInd w:val="0"/>
              <w:spacing w:line="380" w:lineRule="exact"/>
              <w:rPr>
                <w:rFonts w:cs="宋体"/>
                <w:sz w:val="21"/>
                <w:szCs w:val="21"/>
              </w:rPr>
            </w:pPr>
            <w:r>
              <w:rPr>
                <w:rFonts w:hint="eastAsia" w:cs="宋体"/>
                <w:sz w:val="21"/>
                <w:szCs w:val="21"/>
              </w:rPr>
              <w:t>②安装及调试: 每完全满足一项评审标准得1分，满分3分。</w:t>
            </w:r>
          </w:p>
          <w:p>
            <w:pPr>
              <w:tabs>
                <w:tab w:val="left" w:pos="547"/>
              </w:tabs>
              <w:autoSpaceDE w:val="0"/>
              <w:autoSpaceDN w:val="0"/>
              <w:adjustRightInd w:val="0"/>
              <w:spacing w:line="380" w:lineRule="exact"/>
              <w:rPr>
                <w:rFonts w:cs="宋体"/>
                <w:sz w:val="21"/>
                <w:szCs w:val="21"/>
              </w:rPr>
            </w:pPr>
            <w:r>
              <w:rPr>
                <w:rFonts w:hint="eastAsia" w:cs="宋体"/>
                <w:sz w:val="21"/>
                <w:szCs w:val="21"/>
              </w:rPr>
              <w:t>③验收计划:每完全满足一项评审标准得1分，满分3分。</w:t>
            </w:r>
          </w:p>
        </w:tc>
        <w:tc>
          <w:tcPr>
            <w:tcW w:w="1418" w:type="dxa"/>
            <w:vMerge w:val="restart"/>
            <w:shd w:val="clear" w:color="auto" w:fill="auto"/>
            <w:vAlign w:val="center"/>
          </w:tcPr>
          <w:p>
            <w:pPr>
              <w:spacing w:line="320" w:lineRule="exact"/>
              <w:rPr>
                <w:rFonts w:cs="宋体"/>
                <w:bCs/>
                <w:color w:val="FF0000"/>
                <w:sz w:val="21"/>
                <w:szCs w:val="21"/>
              </w:rPr>
            </w:pPr>
            <w:r>
              <w:rPr>
                <w:rFonts w:cs="宋体"/>
                <w:bCs/>
                <w:color w:val="C00000"/>
                <w:sz w:val="21"/>
                <w:szCs w:val="21"/>
              </w:rPr>
              <w:t>按照本章“七、评审方法和程序”的“（二）评标形式”中的暗标盲评部分的响应要求进行编制，否则，其投标视为无效。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center"/>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9</w:t>
            </w:r>
          </w:p>
        </w:tc>
        <w:tc>
          <w:tcPr>
            <w:tcW w:w="5809" w:type="dxa"/>
            <w:tcBorders>
              <w:top w:val="single" w:color="auto" w:sz="2" w:space="0"/>
            </w:tcBorders>
            <w:shd w:val="clear" w:color="auto" w:fill="auto"/>
            <w:vAlign w:val="center"/>
          </w:tcPr>
          <w:p>
            <w:pPr>
              <w:spacing w:line="320" w:lineRule="exact"/>
              <w:ind w:firstLine="420" w:firstLineChars="200"/>
              <w:rPr>
                <w:rFonts w:cs="Calibri"/>
                <w:b/>
                <w:color w:val="C00000"/>
                <w:kern w:val="2"/>
                <w:sz w:val="21"/>
                <w:szCs w:val="21"/>
              </w:rPr>
            </w:pPr>
            <w:r>
              <w:rPr>
                <w:rFonts w:hint="eastAsia" w:cs="Calibri"/>
                <w:b/>
                <w:color w:val="C00000"/>
                <w:kern w:val="2"/>
                <w:sz w:val="21"/>
                <w:szCs w:val="21"/>
              </w:rPr>
              <w:t>售后方案：</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一、评审内容</w:t>
            </w:r>
          </w:p>
          <w:p>
            <w:pPr>
              <w:spacing w:line="320" w:lineRule="exact"/>
              <w:ind w:firstLine="420" w:firstLineChars="200"/>
              <w:rPr>
                <w:rFonts w:cs="宋体"/>
                <w:sz w:val="21"/>
                <w:szCs w:val="21"/>
              </w:rPr>
            </w:pPr>
            <w:r>
              <w:rPr>
                <w:rFonts w:hint="eastAsia" w:cs="宋体"/>
                <w:sz w:val="21"/>
                <w:szCs w:val="21"/>
              </w:rPr>
              <w:t>根据项目实际需求，提供针对本项目的售后服务方案，内容包含：①售后服务人员配置情况、日常维护、应急预案、本地化服务②故障响应时间和响应方式③故障处理及补救措施。</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二、评审标准</w:t>
            </w:r>
          </w:p>
          <w:p>
            <w:pPr>
              <w:spacing w:line="320" w:lineRule="exact"/>
              <w:ind w:firstLine="420" w:firstLineChars="200"/>
              <w:rPr>
                <w:rFonts w:cs="宋体"/>
                <w:sz w:val="21"/>
                <w:szCs w:val="21"/>
              </w:rPr>
            </w:pPr>
            <w:r>
              <w:rPr>
                <w:rFonts w:hint="eastAsia" w:cs="宋体"/>
                <w:sz w:val="21"/>
                <w:szCs w:val="21"/>
              </w:rPr>
              <w:t>1.完整性：方案须全面，对评审内容中的各项要求有详细描述及说明；</w:t>
            </w:r>
          </w:p>
          <w:p>
            <w:pPr>
              <w:spacing w:line="320" w:lineRule="exact"/>
              <w:ind w:firstLine="420" w:firstLineChars="200"/>
              <w:rPr>
                <w:rFonts w:cs="宋体"/>
                <w:sz w:val="21"/>
                <w:szCs w:val="21"/>
              </w:rPr>
            </w:pPr>
            <w:r>
              <w:rPr>
                <w:rFonts w:hint="eastAsia" w:cs="宋体"/>
                <w:sz w:val="21"/>
                <w:szCs w:val="21"/>
              </w:rPr>
              <w:t>2.可实施性：切合本项目实际情况，实施步骤清晰、合理；</w:t>
            </w:r>
          </w:p>
          <w:p>
            <w:pPr>
              <w:spacing w:line="320" w:lineRule="exact"/>
              <w:ind w:firstLine="420" w:firstLineChars="200"/>
              <w:rPr>
                <w:rFonts w:ascii="宋体" w:hAnsi="宋体" w:cs="仿宋_GB2312"/>
                <w:color w:val="000000"/>
                <w:sz w:val="18"/>
                <w:szCs w:val="18"/>
              </w:rPr>
            </w:pPr>
            <w:r>
              <w:rPr>
                <w:rFonts w:hint="eastAsia" w:cs="宋体"/>
                <w:sz w:val="21"/>
                <w:szCs w:val="21"/>
              </w:rPr>
              <w:t>3.针对性：方案能够紧扣项目实际情况，内容科学合理。</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三、赋分标准（满分</w:t>
            </w:r>
            <w:r>
              <w:rPr>
                <w:rFonts w:ascii="仿宋" w:hAnsi="仿宋" w:eastAsia="仿宋" w:cs="仿宋"/>
                <w:b/>
              </w:rPr>
              <w:t>9</w:t>
            </w:r>
            <w:r>
              <w:rPr>
                <w:rFonts w:hint="eastAsia" w:ascii="仿宋" w:hAnsi="仿宋" w:eastAsia="仿宋" w:cs="仿宋"/>
                <w:b/>
              </w:rPr>
              <w:t>分）</w:t>
            </w:r>
          </w:p>
          <w:p>
            <w:pPr>
              <w:spacing w:line="320" w:lineRule="exact"/>
              <w:ind w:firstLine="420" w:firstLineChars="200"/>
              <w:rPr>
                <w:rFonts w:cs="宋体"/>
                <w:sz w:val="21"/>
                <w:szCs w:val="21"/>
              </w:rPr>
            </w:pPr>
            <w:r>
              <w:rPr>
                <w:rFonts w:hint="eastAsia" w:cs="宋体"/>
                <w:sz w:val="21"/>
                <w:szCs w:val="21"/>
              </w:rPr>
              <w:t>①售后服务人员配置情况、日常维护、应急预案、本地化服务：每完全满足一项评审标准得1分，满分3分；</w:t>
            </w:r>
          </w:p>
          <w:p>
            <w:pPr>
              <w:spacing w:line="320" w:lineRule="exact"/>
              <w:ind w:firstLine="420" w:firstLineChars="200"/>
              <w:rPr>
                <w:rFonts w:cs="宋体"/>
                <w:sz w:val="21"/>
                <w:szCs w:val="21"/>
              </w:rPr>
            </w:pPr>
            <w:r>
              <w:rPr>
                <w:rFonts w:hint="eastAsia" w:cs="宋体"/>
                <w:sz w:val="21"/>
                <w:szCs w:val="21"/>
              </w:rPr>
              <w:t>②故障响应时间和响应方式：每完全满足一项评审标准得1分，满分3分；</w:t>
            </w:r>
          </w:p>
          <w:p>
            <w:pPr>
              <w:tabs>
                <w:tab w:val="left" w:pos="547"/>
              </w:tabs>
              <w:autoSpaceDE w:val="0"/>
              <w:autoSpaceDN w:val="0"/>
              <w:adjustRightInd w:val="0"/>
              <w:spacing w:line="380" w:lineRule="exact"/>
              <w:rPr>
                <w:rFonts w:cs="宋体"/>
                <w:sz w:val="21"/>
                <w:szCs w:val="21"/>
              </w:rPr>
            </w:pPr>
            <w:r>
              <w:rPr>
                <w:rFonts w:hint="eastAsia" w:cs="宋体"/>
                <w:sz w:val="21"/>
                <w:szCs w:val="21"/>
              </w:rPr>
              <w:t>③故障处理及补救措施：每完全满足一项评审标准得1分，满分3分</w:t>
            </w:r>
            <w:r>
              <w:rPr>
                <w:rFonts w:cs="宋体"/>
                <w:sz w:val="21"/>
                <w:szCs w:val="21"/>
              </w:rPr>
              <w:t>。</w:t>
            </w:r>
          </w:p>
        </w:tc>
        <w:tc>
          <w:tcPr>
            <w:tcW w:w="1418" w:type="dxa"/>
            <w:vMerge w:val="continue"/>
            <w:shd w:val="clear" w:color="auto" w:fill="auto"/>
            <w:vAlign w:val="center"/>
          </w:tcPr>
          <w:p>
            <w:pPr>
              <w:spacing w:line="320" w:lineRule="exact"/>
              <w:rPr>
                <w:rFonts w:cs="宋体"/>
                <w:bCs/>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pPr>
              <w:spacing w:line="320" w:lineRule="exact"/>
              <w:jc w:val="center"/>
              <w:rPr>
                <w:rFonts w:cs="宋体"/>
                <w:bCs/>
                <w:sz w:val="21"/>
                <w:szCs w:val="21"/>
              </w:rPr>
            </w:pPr>
            <w:r>
              <w:rPr>
                <w:rFonts w:cs="宋体"/>
                <w:bCs/>
                <w:sz w:val="21"/>
                <w:szCs w:val="21"/>
              </w:rPr>
              <w:t>商务</w:t>
            </w:r>
          </w:p>
          <w:p>
            <w:pPr>
              <w:spacing w:line="320" w:lineRule="exact"/>
              <w:jc w:val="center"/>
              <w:rPr>
                <w:rFonts w:cs="宋体"/>
                <w:bCs/>
                <w:sz w:val="21"/>
                <w:szCs w:val="21"/>
              </w:rPr>
            </w:pPr>
            <w:r>
              <w:rPr>
                <w:rFonts w:cs="宋体"/>
                <w:bCs/>
                <w:sz w:val="21"/>
                <w:szCs w:val="21"/>
              </w:rPr>
              <w:t>部分</w:t>
            </w:r>
          </w:p>
        </w:tc>
        <w:tc>
          <w:tcPr>
            <w:tcW w:w="640" w:type="dxa"/>
            <w:vMerge w:val="restart"/>
            <w:shd w:val="clear" w:color="auto" w:fill="auto"/>
            <w:vAlign w:val="center"/>
          </w:tcPr>
          <w:p>
            <w:pPr>
              <w:spacing w:line="320" w:lineRule="exact"/>
              <w:jc w:val="center"/>
              <w:rPr>
                <w:rFonts w:cs="宋体"/>
                <w:bCs/>
                <w:sz w:val="21"/>
                <w:szCs w:val="21"/>
              </w:rPr>
            </w:pPr>
            <w:r>
              <w:rPr>
                <w:rFonts w:cs="宋体"/>
                <w:bCs/>
                <w:sz w:val="21"/>
                <w:szCs w:val="21"/>
              </w:rPr>
              <w:t>52</w:t>
            </w: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20</w:t>
            </w:r>
          </w:p>
        </w:tc>
        <w:tc>
          <w:tcPr>
            <w:tcW w:w="5809" w:type="dxa"/>
            <w:tcBorders>
              <w:top w:val="single" w:color="auto" w:sz="2" w:space="0"/>
            </w:tcBorders>
            <w:shd w:val="clear" w:color="auto" w:fill="auto"/>
            <w:vAlign w:val="center"/>
          </w:tcPr>
          <w:p>
            <w:pPr>
              <w:spacing w:line="320" w:lineRule="exact"/>
              <w:ind w:firstLine="420" w:firstLineChars="200"/>
              <w:rPr>
                <w:rFonts w:cs="Calibri"/>
                <w:b/>
                <w:color w:val="C00000"/>
                <w:kern w:val="2"/>
                <w:sz w:val="21"/>
                <w:szCs w:val="21"/>
              </w:rPr>
            </w:pPr>
            <w:r>
              <w:rPr>
                <w:rFonts w:hint="eastAsia" w:cs="Calibri"/>
                <w:b/>
                <w:color w:val="C00000"/>
                <w:kern w:val="2"/>
                <w:sz w:val="21"/>
                <w:szCs w:val="21"/>
              </w:rPr>
              <w:t>技术参数：</w:t>
            </w:r>
          </w:p>
          <w:p>
            <w:pPr>
              <w:tabs>
                <w:tab w:val="left" w:pos="547"/>
              </w:tabs>
              <w:autoSpaceDE w:val="0"/>
              <w:autoSpaceDN w:val="0"/>
              <w:adjustRightInd w:val="0"/>
              <w:spacing w:line="380" w:lineRule="exact"/>
              <w:ind w:firstLine="420" w:firstLineChars="200"/>
              <w:rPr>
                <w:rFonts w:cs="宋体"/>
                <w:sz w:val="21"/>
                <w:szCs w:val="21"/>
              </w:rPr>
            </w:pPr>
            <w:r>
              <w:rPr>
                <w:rFonts w:hint="eastAsia" w:cs="宋体"/>
                <w:sz w:val="21"/>
                <w:szCs w:val="21"/>
              </w:rPr>
              <w:t>所投产品技术参数清楚、明确并能逐条响应招标文件《技术参数表》中所有参数要求，得20分。其中：</w:t>
            </w:r>
          </w:p>
          <w:p>
            <w:pPr>
              <w:tabs>
                <w:tab w:val="left" w:pos="547"/>
              </w:tabs>
              <w:autoSpaceDE w:val="0"/>
              <w:autoSpaceDN w:val="0"/>
              <w:adjustRightInd w:val="0"/>
              <w:spacing w:line="380" w:lineRule="exact"/>
              <w:ind w:firstLine="420" w:firstLineChars="200"/>
              <w:rPr>
                <w:rFonts w:cs="宋体"/>
                <w:sz w:val="21"/>
                <w:szCs w:val="21"/>
              </w:rPr>
            </w:pPr>
            <w:r>
              <w:rPr>
                <w:rFonts w:hint="eastAsia" w:cs="宋体"/>
                <w:sz w:val="21"/>
                <w:szCs w:val="21"/>
              </w:rPr>
              <w:t>（1）核心产品：</w:t>
            </w:r>
            <w:r>
              <w:rPr>
                <w:rFonts w:hint="eastAsia" w:ascii="Calibri" w:hAnsi="微软雅黑" w:eastAsia="微软雅黑" w:cs="宋体"/>
                <w:color w:val="000000"/>
                <w:sz w:val="21"/>
                <w:szCs w:val="18"/>
              </w:rPr>
              <w:t>▲</w:t>
            </w:r>
            <w:r>
              <w:rPr>
                <w:rFonts w:hint="eastAsia" w:cs="宋体"/>
                <w:sz w:val="21"/>
                <w:szCs w:val="21"/>
              </w:rPr>
              <w:t>为产品技术必备项，每项负偏离扣</w:t>
            </w:r>
            <w:r>
              <w:rPr>
                <w:rFonts w:cs="宋体"/>
                <w:sz w:val="21"/>
                <w:szCs w:val="21"/>
              </w:rPr>
              <w:t>3</w:t>
            </w:r>
            <w:r>
              <w:rPr>
                <w:rFonts w:hint="eastAsia" w:cs="宋体"/>
                <w:sz w:val="21"/>
                <w:szCs w:val="21"/>
              </w:rPr>
              <w:t>分，其他项负偏离扣0.5分，扣完为止。</w:t>
            </w:r>
          </w:p>
          <w:p>
            <w:pPr>
              <w:tabs>
                <w:tab w:val="left" w:pos="547"/>
              </w:tabs>
              <w:autoSpaceDE w:val="0"/>
              <w:autoSpaceDN w:val="0"/>
              <w:adjustRightInd w:val="0"/>
              <w:spacing w:line="380" w:lineRule="exact"/>
              <w:ind w:firstLine="420" w:firstLineChars="200"/>
              <w:rPr>
                <w:rFonts w:cs="Calibri"/>
                <w:b/>
                <w:color w:val="C00000"/>
                <w:kern w:val="2"/>
                <w:sz w:val="21"/>
                <w:szCs w:val="21"/>
              </w:rPr>
            </w:pPr>
            <w:r>
              <w:rPr>
                <w:rFonts w:hint="eastAsia" w:cs="宋体"/>
                <w:sz w:val="21"/>
                <w:szCs w:val="21"/>
              </w:rPr>
              <w:t>（2）非核心产品：</w:t>
            </w:r>
            <w:r>
              <w:rPr>
                <w:rFonts w:hint="eastAsia" w:ascii="Calibri" w:hAnsi="微软雅黑" w:eastAsia="微软雅黑" w:cs="宋体"/>
                <w:color w:val="000000"/>
                <w:sz w:val="21"/>
                <w:szCs w:val="18"/>
              </w:rPr>
              <w:t>▲</w:t>
            </w:r>
            <w:r>
              <w:rPr>
                <w:rFonts w:hint="eastAsia" w:cs="宋体"/>
                <w:sz w:val="21"/>
                <w:szCs w:val="21"/>
              </w:rPr>
              <w:t>为产品技术必备项，每项负偏离扣</w:t>
            </w:r>
            <w:r>
              <w:rPr>
                <w:rFonts w:cs="宋体"/>
                <w:sz w:val="21"/>
                <w:szCs w:val="21"/>
              </w:rPr>
              <w:t>1</w:t>
            </w:r>
            <w:r>
              <w:rPr>
                <w:rFonts w:hint="eastAsia" w:cs="宋体"/>
                <w:sz w:val="21"/>
                <w:szCs w:val="21"/>
              </w:rPr>
              <w:t>分，其他项负偏离扣0.5分，扣完为止。</w:t>
            </w:r>
          </w:p>
        </w:tc>
        <w:tc>
          <w:tcPr>
            <w:tcW w:w="1418" w:type="dxa"/>
            <w:vMerge w:val="restart"/>
            <w:shd w:val="clear" w:color="auto" w:fill="auto"/>
            <w:vAlign w:val="center"/>
          </w:tcPr>
          <w:p>
            <w:pPr>
              <w:spacing w:line="320" w:lineRule="exact"/>
              <w:rPr>
                <w:rFonts w:cs="宋体"/>
                <w:bCs/>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center"/>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6</w:t>
            </w:r>
          </w:p>
        </w:tc>
        <w:tc>
          <w:tcPr>
            <w:tcW w:w="5809" w:type="dxa"/>
            <w:tcBorders>
              <w:top w:val="single" w:color="auto" w:sz="2" w:space="0"/>
            </w:tcBorders>
            <w:shd w:val="clear" w:color="auto" w:fill="auto"/>
            <w:vAlign w:val="center"/>
          </w:tcPr>
          <w:p>
            <w:pPr>
              <w:spacing w:line="320" w:lineRule="exact"/>
              <w:ind w:firstLine="420" w:firstLineChars="200"/>
              <w:rPr>
                <w:rFonts w:cs="Calibri"/>
                <w:b/>
                <w:color w:val="C00000"/>
                <w:kern w:val="2"/>
                <w:sz w:val="21"/>
                <w:szCs w:val="21"/>
              </w:rPr>
            </w:pPr>
            <w:r>
              <w:rPr>
                <w:rFonts w:hint="eastAsia" w:cs="Calibri"/>
                <w:b/>
                <w:color w:val="C00000"/>
                <w:kern w:val="2"/>
                <w:sz w:val="21"/>
                <w:szCs w:val="21"/>
              </w:rPr>
              <w:t>质量保证方案：</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一、评审内容</w:t>
            </w:r>
          </w:p>
          <w:p>
            <w:pPr>
              <w:tabs>
                <w:tab w:val="left" w:pos="547"/>
              </w:tabs>
              <w:spacing w:line="320" w:lineRule="exact"/>
              <w:ind w:firstLine="420"/>
              <w:rPr>
                <w:rFonts w:cs="宋体"/>
                <w:sz w:val="21"/>
                <w:szCs w:val="21"/>
              </w:rPr>
            </w:pPr>
            <w:r>
              <w:rPr>
                <w:rFonts w:hint="eastAsia" w:cs="宋体"/>
                <w:sz w:val="21"/>
                <w:szCs w:val="21"/>
              </w:rPr>
              <w:t>根据项目实际需求，提供质量保证方案。内容包含：①产品性能②产品配套资料。</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二、评审标准</w:t>
            </w:r>
          </w:p>
          <w:p>
            <w:pPr>
              <w:tabs>
                <w:tab w:val="left" w:pos="547"/>
              </w:tabs>
              <w:spacing w:line="320" w:lineRule="exact"/>
              <w:ind w:firstLine="420"/>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ind w:firstLine="420"/>
              <w:rPr>
                <w:rFonts w:cs="宋体"/>
                <w:sz w:val="21"/>
                <w:szCs w:val="21"/>
              </w:rPr>
            </w:pPr>
            <w:r>
              <w:rPr>
                <w:rFonts w:hint="eastAsia" w:cs="宋体"/>
                <w:sz w:val="21"/>
                <w:szCs w:val="21"/>
              </w:rPr>
              <w:t>2.可实施性：切合本项目实际情况，实施步骤清晰、合理；</w:t>
            </w:r>
          </w:p>
          <w:p>
            <w:pPr>
              <w:tabs>
                <w:tab w:val="left" w:pos="547"/>
              </w:tabs>
              <w:spacing w:line="320" w:lineRule="exact"/>
              <w:ind w:firstLine="420"/>
              <w:rPr>
                <w:rFonts w:cs="宋体"/>
                <w:sz w:val="21"/>
                <w:szCs w:val="21"/>
              </w:rPr>
            </w:pPr>
            <w:r>
              <w:rPr>
                <w:rFonts w:hint="eastAsia" w:cs="宋体"/>
                <w:sz w:val="21"/>
                <w:szCs w:val="21"/>
              </w:rPr>
              <w:t>3.针对性：方案能够紧扣项目实际情况，内容科学合理；</w:t>
            </w:r>
          </w:p>
          <w:p>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三、赋分标准（满分</w:t>
            </w:r>
            <w:r>
              <w:rPr>
                <w:rFonts w:ascii="仿宋" w:hAnsi="仿宋" w:eastAsia="仿宋" w:cs="仿宋"/>
                <w:b/>
              </w:rPr>
              <w:t>6</w:t>
            </w:r>
            <w:r>
              <w:rPr>
                <w:rFonts w:hint="eastAsia" w:ascii="仿宋" w:hAnsi="仿宋" w:eastAsia="仿宋" w:cs="仿宋"/>
                <w:b/>
              </w:rPr>
              <w:t>分）</w:t>
            </w:r>
          </w:p>
          <w:p>
            <w:pPr>
              <w:tabs>
                <w:tab w:val="left" w:pos="547"/>
              </w:tabs>
              <w:autoSpaceDE w:val="0"/>
              <w:autoSpaceDN w:val="0"/>
              <w:adjustRightInd w:val="0"/>
              <w:spacing w:line="380" w:lineRule="exact"/>
              <w:ind w:firstLine="420" w:firstLineChars="200"/>
              <w:rPr>
                <w:rFonts w:cs="宋体"/>
                <w:sz w:val="21"/>
                <w:szCs w:val="21"/>
              </w:rPr>
            </w:pPr>
            <w:r>
              <w:rPr>
                <w:rFonts w:hint="eastAsia" w:cs="宋体"/>
                <w:sz w:val="21"/>
                <w:szCs w:val="21"/>
              </w:rPr>
              <w:t>①产品性能：每完全满足一项评审标准得1分，满分3分；</w:t>
            </w:r>
          </w:p>
          <w:p>
            <w:pPr>
              <w:spacing w:line="320" w:lineRule="exact"/>
              <w:ind w:firstLine="420" w:firstLineChars="200"/>
              <w:rPr>
                <w:rFonts w:cs="宋体"/>
                <w:sz w:val="21"/>
                <w:szCs w:val="21"/>
              </w:rPr>
            </w:pPr>
            <w:r>
              <w:rPr>
                <w:rFonts w:hint="eastAsia" w:cs="宋体"/>
                <w:sz w:val="21"/>
                <w:szCs w:val="21"/>
              </w:rPr>
              <w:t>②产品配套资料：每完全满足一项评审标准得1分，满分3分。</w:t>
            </w:r>
          </w:p>
        </w:tc>
        <w:tc>
          <w:tcPr>
            <w:tcW w:w="1418" w:type="dxa"/>
            <w:vMerge w:val="continue"/>
            <w:shd w:val="clear" w:color="auto" w:fill="auto"/>
            <w:vAlign w:val="center"/>
          </w:tcPr>
          <w:p>
            <w:pPr>
              <w:spacing w:line="320" w:lineRule="exact"/>
              <w:rPr>
                <w:rFonts w:cs="宋体"/>
                <w:bCs/>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
                <w:sz w:val="21"/>
                <w:szCs w:val="21"/>
              </w:rPr>
            </w:pPr>
          </w:p>
        </w:tc>
        <w:tc>
          <w:tcPr>
            <w:tcW w:w="640" w:type="dxa"/>
            <w:vMerge w:val="continue"/>
            <w:shd w:val="clear" w:color="auto" w:fill="auto"/>
            <w:vAlign w:val="center"/>
          </w:tcPr>
          <w:p>
            <w:pPr>
              <w:spacing w:line="320" w:lineRule="exact"/>
              <w:jc w:val="center"/>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16</w:t>
            </w:r>
          </w:p>
        </w:tc>
        <w:tc>
          <w:tcPr>
            <w:tcW w:w="5809" w:type="dxa"/>
            <w:tcBorders>
              <w:top w:val="single" w:color="auto" w:sz="2" w:space="0"/>
            </w:tcBorders>
            <w:shd w:val="clear" w:color="auto" w:fill="auto"/>
            <w:vAlign w:val="center"/>
          </w:tcPr>
          <w:p>
            <w:pPr>
              <w:spacing w:line="320" w:lineRule="exact"/>
              <w:ind w:firstLine="420" w:firstLineChars="200"/>
              <w:jc w:val="both"/>
              <w:rPr>
                <w:rFonts w:cs="宋体"/>
                <w:b/>
                <w:color w:val="FF0000"/>
                <w:sz w:val="21"/>
                <w:szCs w:val="21"/>
              </w:rPr>
            </w:pPr>
            <w:r>
              <w:rPr>
                <w:rFonts w:cs="宋体"/>
                <w:b/>
                <w:color w:val="C00000"/>
                <w:sz w:val="21"/>
                <w:szCs w:val="21"/>
              </w:rPr>
              <w:t>体系认证：</w:t>
            </w:r>
          </w:p>
          <w:p>
            <w:pPr>
              <w:spacing w:line="320" w:lineRule="exact"/>
              <w:ind w:firstLine="420" w:firstLineChars="200"/>
              <w:rPr>
                <w:rFonts w:cs="宋体"/>
                <w:sz w:val="21"/>
                <w:szCs w:val="21"/>
              </w:rPr>
            </w:pPr>
            <w:r>
              <w:rPr>
                <w:rFonts w:hint="eastAsia" w:cs="宋体"/>
                <w:sz w:val="21"/>
                <w:szCs w:val="21"/>
              </w:rPr>
              <w:t>所投产品厂商产品通过</w:t>
            </w:r>
            <w:r>
              <w:rPr>
                <w:rFonts w:cs="宋体"/>
                <w:sz w:val="21"/>
                <w:szCs w:val="21"/>
              </w:rPr>
              <w:t>质量管理体系认证、环境管理体系认证、职业健康安全管理体系认证</w:t>
            </w:r>
            <w:r>
              <w:rPr>
                <w:rFonts w:hint="eastAsia" w:cs="宋体"/>
                <w:sz w:val="21"/>
                <w:szCs w:val="21"/>
              </w:rPr>
              <w:t>。以上认证每提供一项的</w:t>
            </w:r>
            <w:r>
              <w:rPr>
                <w:rFonts w:cs="宋体"/>
                <w:sz w:val="21"/>
                <w:szCs w:val="21"/>
              </w:rPr>
              <w:t>4</w:t>
            </w:r>
            <w:r>
              <w:rPr>
                <w:rFonts w:hint="eastAsia" w:cs="宋体"/>
                <w:sz w:val="21"/>
                <w:szCs w:val="21"/>
              </w:rPr>
              <w:t>分，满分12分；</w:t>
            </w:r>
          </w:p>
          <w:p>
            <w:pPr>
              <w:spacing w:line="320" w:lineRule="exact"/>
              <w:ind w:firstLine="420" w:firstLineChars="200"/>
              <w:jc w:val="both"/>
              <w:rPr>
                <w:rFonts w:cs="宋体"/>
                <w:sz w:val="21"/>
                <w:szCs w:val="21"/>
              </w:rPr>
            </w:pPr>
            <w:r>
              <w:rPr>
                <w:rFonts w:hint="eastAsia" w:cs="宋体"/>
                <w:sz w:val="21"/>
                <w:szCs w:val="21"/>
              </w:rPr>
              <w:t>厂商的IT基础架构服务通过</w:t>
            </w:r>
            <w:r>
              <w:rPr>
                <w:rFonts w:cs="宋体"/>
                <w:sz w:val="21"/>
                <w:szCs w:val="21"/>
              </w:rPr>
              <w:t>IT服务管理体系认证、信息安全管理体系认证</w:t>
            </w:r>
            <w:r>
              <w:rPr>
                <w:rFonts w:hint="eastAsia" w:cs="宋体"/>
                <w:sz w:val="21"/>
                <w:szCs w:val="21"/>
              </w:rPr>
              <w:t>。以上认证每提供一项的2分，满分4分。</w:t>
            </w:r>
          </w:p>
          <w:p>
            <w:pPr>
              <w:spacing w:line="320" w:lineRule="exact"/>
              <w:ind w:firstLine="420" w:firstLineChars="200"/>
              <w:jc w:val="both"/>
              <w:rPr>
                <w:rFonts w:cs="宋体"/>
                <w:sz w:val="21"/>
                <w:szCs w:val="21"/>
              </w:rPr>
            </w:pPr>
            <w:r>
              <w:rPr>
                <w:rFonts w:cs="宋体"/>
                <w:sz w:val="21"/>
                <w:szCs w:val="21"/>
              </w:rPr>
              <w:t>注：</w:t>
            </w:r>
            <w:r>
              <w:rPr>
                <w:rFonts w:hint="eastAsia" w:cs="宋体"/>
                <w:sz w:val="21"/>
                <w:szCs w:val="21"/>
              </w:rPr>
              <w:t>以加盖投标人公章的证书扫描件为计分依据。</w:t>
            </w:r>
          </w:p>
        </w:tc>
        <w:tc>
          <w:tcPr>
            <w:tcW w:w="1418" w:type="dxa"/>
            <w:vMerge w:val="continue"/>
            <w:shd w:val="clear" w:color="auto" w:fill="auto"/>
            <w:vAlign w:val="center"/>
          </w:tcPr>
          <w:p>
            <w:pPr>
              <w:spacing w:line="320" w:lineRule="exact"/>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center"/>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4</w:t>
            </w:r>
          </w:p>
        </w:tc>
        <w:tc>
          <w:tcPr>
            <w:tcW w:w="5809" w:type="dxa"/>
            <w:shd w:val="clear" w:color="auto" w:fill="auto"/>
            <w:vAlign w:val="center"/>
          </w:tcPr>
          <w:p>
            <w:pPr>
              <w:spacing w:line="320" w:lineRule="exact"/>
              <w:ind w:firstLine="420" w:firstLineChars="200"/>
              <w:jc w:val="both"/>
              <w:rPr>
                <w:rFonts w:cs="宋体"/>
                <w:b/>
                <w:color w:val="C00000"/>
                <w:sz w:val="21"/>
                <w:szCs w:val="21"/>
              </w:rPr>
            </w:pPr>
            <w:r>
              <w:rPr>
                <w:rFonts w:cs="宋体"/>
                <w:b/>
                <w:color w:val="C00000"/>
                <w:sz w:val="21"/>
                <w:szCs w:val="21"/>
              </w:rPr>
              <w:t>环保节能产品：</w:t>
            </w:r>
          </w:p>
          <w:p>
            <w:pPr>
              <w:ind w:firstLine="420"/>
              <w:rPr>
                <w:rFonts w:cs="宋体"/>
                <w:sz w:val="21"/>
                <w:szCs w:val="21"/>
              </w:rPr>
            </w:pPr>
            <w:r>
              <w:rPr>
                <w:rFonts w:hint="eastAsia" w:cs="宋体"/>
                <w:sz w:val="21"/>
                <w:szCs w:val="21"/>
              </w:rPr>
              <w:t>投标人所投产品为“环境标志产品政府采购品目清单”内的，每提供一个产品的中国环境标志产品认证证书，得</w:t>
            </w:r>
            <w:r>
              <w:rPr>
                <w:rFonts w:cs="宋体"/>
                <w:sz w:val="21"/>
                <w:szCs w:val="21"/>
              </w:rPr>
              <w:t>0.5</w:t>
            </w:r>
            <w:r>
              <w:rPr>
                <w:rFonts w:hint="eastAsia" w:cs="宋体"/>
                <w:sz w:val="21"/>
                <w:szCs w:val="21"/>
              </w:rPr>
              <w:t>分，满分</w:t>
            </w:r>
            <w:r>
              <w:rPr>
                <w:rFonts w:cs="宋体"/>
                <w:sz w:val="21"/>
                <w:szCs w:val="21"/>
              </w:rPr>
              <w:t>2</w:t>
            </w:r>
            <w:r>
              <w:rPr>
                <w:rFonts w:hint="eastAsia" w:cs="宋体"/>
                <w:sz w:val="21"/>
                <w:szCs w:val="21"/>
              </w:rPr>
              <w:t>分。提供中国环境标志产品认证证书需由国家确定的认证机构出具且处于有效期内。</w:t>
            </w:r>
          </w:p>
          <w:p>
            <w:pPr>
              <w:ind w:firstLine="420"/>
              <w:rPr>
                <w:rFonts w:cs="宋体"/>
                <w:sz w:val="21"/>
                <w:szCs w:val="21"/>
              </w:rPr>
            </w:pPr>
            <w:r>
              <w:rPr>
                <w:rFonts w:hint="eastAsia" w:cs="宋体"/>
                <w:sz w:val="21"/>
                <w:szCs w:val="21"/>
              </w:rPr>
              <w:t>投标人所投产品</w:t>
            </w:r>
            <w:r>
              <w:rPr>
                <w:rFonts w:hint="eastAsia" w:cs="宋体"/>
                <w:bCs/>
                <w:sz w:val="21"/>
                <w:szCs w:val="21"/>
              </w:rPr>
              <w:t>每有</w:t>
            </w:r>
            <w:r>
              <w:rPr>
                <w:rFonts w:cs="宋体"/>
                <w:bCs/>
                <w:sz w:val="21"/>
                <w:szCs w:val="21"/>
              </w:rPr>
              <w:t>一件</w:t>
            </w:r>
            <w:r>
              <w:rPr>
                <w:rFonts w:hint="eastAsia" w:cs="宋体"/>
                <w:bCs/>
                <w:sz w:val="21"/>
                <w:szCs w:val="21"/>
              </w:rPr>
              <w:t>产品为节能产品（（</w:t>
            </w:r>
            <w:r>
              <w:rPr>
                <w:rFonts w:cs="宋体"/>
                <w:sz w:val="21"/>
                <w:szCs w:val="21"/>
              </w:rPr>
              <w:t>以处于有效期内的节能产品认证证书为准</w:t>
            </w:r>
            <w:r>
              <w:rPr>
                <w:rFonts w:hint="eastAsia" w:cs="宋体"/>
                <w:bCs/>
                <w:sz w:val="21"/>
                <w:szCs w:val="21"/>
              </w:rPr>
              <w:t>）得0.5分，满分2分。</w:t>
            </w:r>
          </w:p>
          <w:p>
            <w:pPr>
              <w:ind w:firstLine="420"/>
              <w:rPr>
                <w:rFonts w:cs="宋体"/>
                <w:sz w:val="21"/>
                <w:szCs w:val="21"/>
              </w:rPr>
            </w:pPr>
            <w:r>
              <w:rPr>
                <w:rFonts w:hint="eastAsia" w:cs="宋体"/>
                <w:sz w:val="21"/>
                <w:szCs w:val="21"/>
              </w:rPr>
              <w:t>注：1、以加盖投标人公章的认证证书扫描件为计分依据。</w:t>
            </w:r>
          </w:p>
          <w:p>
            <w:pPr>
              <w:ind w:firstLine="420"/>
            </w:pPr>
            <w:r>
              <w:rPr>
                <w:rFonts w:cs="宋体"/>
                <w:sz w:val="21"/>
                <w:szCs w:val="21"/>
              </w:rPr>
              <w:t>2、</w:t>
            </w:r>
            <w:r>
              <w:rPr>
                <w:rFonts w:hint="eastAsia" w:cs="宋体"/>
                <w:bCs/>
                <w:sz w:val="21"/>
                <w:szCs w:val="21"/>
              </w:rPr>
              <w:t>《节能产品政府采购品目清单》内强制采购的品目除外。</w:t>
            </w:r>
          </w:p>
        </w:tc>
        <w:tc>
          <w:tcPr>
            <w:tcW w:w="1418" w:type="dxa"/>
            <w:vMerge w:val="continue"/>
            <w:shd w:val="clear" w:color="auto" w:fill="auto"/>
            <w:vAlign w:val="center"/>
          </w:tcPr>
          <w:p>
            <w:pPr>
              <w:spacing w:line="320" w:lineRule="exact"/>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center"/>
              <w:rPr>
                <w:rFonts w:cs="宋体"/>
                <w:bCs/>
                <w:sz w:val="21"/>
                <w:szCs w:val="21"/>
              </w:rPr>
            </w:pPr>
          </w:p>
        </w:tc>
        <w:tc>
          <w:tcPr>
            <w:tcW w:w="640" w:type="dxa"/>
            <w:vMerge w:val="continue"/>
            <w:shd w:val="clear" w:color="auto" w:fill="auto"/>
            <w:vAlign w:val="center"/>
          </w:tcPr>
          <w:p>
            <w:pPr>
              <w:spacing w:line="320" w:lineRule="exact"/>
              <w:jc w:val="center"/>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6</w:t>
            </w:r>
          </w:p>
        </w:tc>
        <w:tc>
          <w:tcPr>
            <w:tcW w:w="5809" w:type="dxa"/>
            <w:shd w:val="clear" w:color="auto" w:fill="auto"/>
            <w:vAlign w:val="center"/>
          </w:tcPr>
          <w:p>
            <w:pPr>
              <w:spacing w:line="320" w:lineRule="exact"/>
              <w:ind w:firstLine="420" w:firstLineChars="200"/>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pPr>
              <w:spacing w:line="320" w:lineRule="exact"/>
              <w:ind w:firstLine="420" w:firstLineChars="200"/>
              <w:jc w:val="both"/>
              <w:rPr>
                <w:rFonts w:cs="宋体"/>
                <w:sz w:val="21"/>
                <w:szCs w:val="21"/>
              </w:rPr>
            </w:pPr>
            <w:r>
              <w:rPr>
                <w:rFonts w:cs="宋体"/>
                <w:sz w:val="21"/>
                <w:szCs w:val="21"/>
              </w:rPr>
              <w:t>提供20</w:t>
            </w:r>
            <w:r>
              <w:rPr>
                <w:rFonts w:hint="eastAsia" w:cs="宋体"/>
                <w:sz w:val="21"/>
                <w:szCs w:val="21"/>
              </w:rPr>
              <w:t>22</w:t>
            </w:r>
            <w:r>
              <w:rPr>
                <w:rFonts w:cs="宋体"/>
                <w:sz w:val="21"/>
                <w:szCs w:val="21"/>
              </w:rPr>
              <w:t>年1月1日以来</w:t>
            </w:r>
            <w:r>
              <w:rPr>
                <w:rFonts w:hint="eastAsia" w:cs="宋体"/>
                <w:sz w:val="21"/>
                <w:szCs w:val="21"/>
              </w:rPr>
              <w:t>类似</w:t>
            </w:r>
            <w:r>
              <w:rPr>
                <w:rFonts w:cs="宋体"/>
                <w:sz w:val="21"/>
                <w:szCs w:val="21"/>
              </w:rPr>
              <w:t>项目业绩</w:t>
            </w:r>
            <w:r>
              <w:rPr>
                <w:rFonts w:hint="eastAsia" w:cs="宋体"/>
                <w:sz w:val="21"/>
                <w:szCs w:val="21"/>
              </w:rPr>
              <w:t>（</w:t>
            </w:r>
            <w:r>
              <w:rPr>
                <w:rFonts w:cs="宋体"/>
                <w:sz w:val="21"/>
                <w:szCs w:val="21"/>
              </w:rPr>
              <w:t>以合同签订日期为准</w:t>
            </w:r>
            <w:r>
              <w:rPr>
                <w:rFonts w:hint="eastAsia" w:cs="宋体"/>
                <w:sz w:val="21"/>
                <w:szCs w:val="21"/>
              </w:rPr>
              <w:t>）</w:t>
            </w:r>
            <w:r>
              <w:rPr>
                <w:rFonts w:cs="宋体"/>
                <w:sz w:val="21"/>
                <w:szCs w:val="21"/>
              </w:rPr>
              <w:t>，每份合格业绩合同计2分</w:t>
            </w:r>
            <w:r>
              <w:rPr>
                <w:rFonts w:hint="eastAsia" w:cs="宋体"/>
                <w:sz w:val="21"/>
                <w:szCs w:val="21"/>
              </w:rPr>
              <w:t>，满分</w:t>
            </w:r>
            <w:r>
              <w:rPr>
                <w:rFonts w:cs="宋体"/>
                <w:sz w:val="21"/>
                <w:szCs w:val="21"/>
              </w:rPr>
              <w:t>6</w:t>
            </w:r>
            <w:r>
              <w:rPr>
                <w:rFonts w:hint="eastAsia" w:cs="宋体"/>
                <w:sz w:val="21"/>
                <w:szCs w:val="21"/>
              </w:rPr>
              <w:t>分；</w:t>
            </w:r>
          </w:p>
          <w:p>
            <w:pPr>
              <w:spacing w:line="320" w:lineRule="exact"/>
              <w:ind w:firstLine="420" w:firstLineChars="200"/>
              <w:jc w:val="both"/>
              <w:rPr>
                <w:rFonts w:cs="宋体"/>
                <w:sz w:val="21"/>
                <w:szCs w:val="21"/>
              </w:rPr>
            </w:pPr>
            <w:r>
              <w:rPr>
                <w:rFonts w:hint="eastAsia" w:cs="宋体"/>
                <w:sz w:val="21"/>
                <w:szCs w:val="21"/>
              </w:rPr>
              <w:t>备注：需提供业绩完整合同及对应货款发票复印件（任意一张），并加盖投标人公章，以上两种证明材料同时提供方可得分，否则不得分。</w:t>
            </w:r>
          </w:p>
        </w:tc>
        <w:tc>
          <w:tcPr>
            <w:tcW w:w="1418" w:type="dxa"/>
            <w:vMerge w:val="continue"/>
            <w:shd w:val="clear" w:color="auto" w:fill="auto"/>
            <w:vAlign w:val="center"/>
          </w:tcPr>
          <w:p>
            <w:pPr>
              <w:spacing w:line="320" w:lineRule="exact"/>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shd w:val="clear" w:color="auto" w:fill="auto"/>
            <w:vAlign w:val="center"/>
          </w:tcPr>
          <w:p>
            <w:pPr>
              <w:spacing w:line="320" w:lineRule="exact"/>
              <w:jc w:val="center"/>
              <w:rPr>
                <w:rFonts w:cs="宋体"/>
                <w:bCs/>
                <w:sz w:val="21"/>
                <w:szCs w:val="21"/>
              </w:rPr>
            </w:pPr>
            <w:r>
              <w:rPr>
                <w:rFonts w:cs="宋体"/>
                <w:bCs/>
                <w:sz w:val="21"/>
                <w:szCs w:val="21"/>
              </w:rPr>
              <w:t>说明</w:t>
            </w:r>
          </w:p>
        </w:tc>
        <w:tc>
          <w:tcPr>
            <w:tcW w:w="8727" w:type="dxa"/>
            <w:gridSpan w:val="4"/>
            <w:shd w:val="clear" w:color="auto" w:fill="auto"/>
            <w:vAlign w:val="center"/>
          </w:tcPr>
          <w:p>
            <w:pPr>
              <w:spacing w:line="320" w:lineRule="exact"/>
              <w:ind w:firstLine="420" w:firstLineChars="200"/>
              <w:rPr>
                <w:rFonts w:cs="宋体"/>
                <w:bCs/>
                <w:sz w:val="21"/>
                <w:szCs w:val="21"/>
              </w:rPr>
            </w:pPr>
            <w:r>
              <w:rPr>
                <w:rFonts w:cs="宋体"/>
                <w:bCs/>
                <w:sz w:val="21"/>
                <w:szCs w:val="21"/>
              </w:rPr>
              <w:t>1、评标委员会成员必须按照本评审要素据实打分，各类数字计算均按“四舍五入”保留小数点后两位；</w:t>
            </w:r>
          </w:p>
          <w:p>
            <w:pPr>
              <w:spacing w:line="280" w:lineRule="exact"/>
              <w:ind w:firstLine="420" w:firstLineChars="200"/>
              <w:rPr>
                <w:sz w:val="21"/>
                <w:szCs w:val="21"/>
              </w:rPr>
            </w:pPr>
            <w:r>
              <w:rPr>
                <w:sz w:val="21"/>
                <w:szCs w:val="21"/>
              </w:rPr>
              <w:t>2、</w:t>
            </w:r>
            <w:r>
              <w:rPr>
                <w:rFonts w:hint="eastAsia" w:ascii="Calibri" w:hAnsi="宋体" w:eastAsia="宋体"/>
                <w:kern w:val="2"/>
                <w:sz w:val="21"/>
              </w:rPr>
              <w:t>对小型和微型企业产品的报价给予10%的扣除，用扣除后的价格参加评审。未提供中小企业声明函的不享受价格扣除优惠政策；供应商所供货物并非全部由小型或微型企业生产的，不享受价格扣除优惠政策；</w:t>
            </w:r>
          </w:p>
        </w:tc>
      </w:tr>
    </w:tbl>
    <w:p>
      <w:pPr>
        <w:pStyle w:val="94"/>
        <w:ind w:firstLine="482"/>
        <w:rPr>
          <w:b/>
        </w:rPr>
      </w:pPr>
      <w:r>
        <w:rPr>
          <w:b/>
        </w:rPr>
        <w:t>4</w:t>
      </w:r>
      <w:r>
        <w:rPr>
          <w:rFonts w:hint="eastAsia"/>
          <w:b/>
          <w:color w:val="auto"/>
        </w:rPr>
        <w:t>．</w:t>
      </w:r>
      <w:r>
        <w:rPr>
          <w:b/>
        </w:rPr>
        <w:t>推荐中标候选人</w:t>
      </w:r>
    </w:p>
    <w:p>
      <w:pPr>
        <w:pStyle w:val="94"/>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94"/>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4"/>
        <w:ind w:firstLine="482"/>
        <w:rPr>
          <w:b/>
        </w:rPr>
      </w:pPr>
      <w:r>
        <w:rPr>
          <w:b/>
        </w:rPr>
        <w:t>5</w:t>
      </w:r>
      <w:r>
        <w:rPr>
          <w:rFonts w:hint="eastAsia"/>
          <w:b/>
          <w:color w:val="auto"/>
        </w:rPr>
        <w:t>．</w:t>
      </w:r>
      <w:r>
        <w:rPr>
          <w:b/>
        </w:rPr>
        <w:t>编写评审报告</w:t>
      </w:r>
    </w:p>
    <w:p>
      <w:pPr>
        <w:pStyle w:val="94"/>
        <w:ind w:firstLine="480"/>
        <w:rPr>
          <w:rFonts w:hAnsi="华文仿宋"/>
        </w:rPr>
      </w:pPr>
      <w:r>
        <w:rPr>
          <w:rFonts w:hint="eastAsia" w:hAnsi="华文仿宋"/>
        </w:rPr>
        <w:t>评审报告是评标委员会根据全体评标成员签字的原始评标记录和评标结果编写的报告，其主要内容包括：</w:t>
      </w:r>
    </w:p>
    <w:p>
      <w:pPr>
        <w:pStyle w:val="94"/>
        <w:ind w:firstLine="480"/>
        <w:rPr>
          <w:rFonts w:hAnsi="华文仿宋"/>
        </w:rPr>
      </w:pPr>
      <w:r>
        <w:rPr>
          <w:rFonts w:hint="eastAsia" w:hAnsi="华文仿宋"/>
        </w:rPr>
        <w:t>（1）招标公告刊登的媒体名称、开标日期和地点；</w:t>
      </w:r>
    </w:p>
    <w:p>
      <w:pPr>
        <w:pStyle w:val="94"/>
        <w:ind w:firstLine="480"/>
        <w:rPr>
          <w:rFonts w:hAnsi="华文仿宋"/>
        </w:rPr>
      </w:pPr>
      <w:r>
        <w:rPr>
          <w:rFonts w:hint="eastAsia" w:hAnsi="华文仿宋"/>
        </w:rPr>
        <w:t>（2）投标供应商名单和评标委员会成员名单；</w:t>
      </w:r>
    </w:p>
    <w:p>
      <w:pPr>
        <w:pStyle w:val="94"/>
        <w:ind w:firstLine="480"/>
        <w:rPr>
          <w:rFonts w:hAnsi="华文仿宋"/>
        </w:rPr>
      </w:pPr>
      <w:r>
        <w:rPr>
          <w:rFonts w:hint="eastAsia" w:hAnsi="华文仿宋"/>
        </w:rPr>
        <w:t>（3）评标方法；</w:t>
      </w:r>
    </w:p>
    <w:p>
      <w:pPr>
        <w:pStyle w:val="94"/>
        <w:ind w:firstLine="480"/>
        <w:rPr>
          <w:rFonts w:hAnsi="华文仿宋"/>
        </w:rPr>
      </w:pPr>
      <w:r>
        <w:rPr>
          <w:rFonts w:hint="eastAsia" w:hAnsi="华文仿宋"/>
        </w:rPr>
        <w:t>（4）开标记录和评标情况及说明，包括投标无效供应商名单及原因；</w:t>
      </w:r>
    </w:p>
    <w:p>
      <w:pPr>
        <w:pStyle w:val="94"/>
        <w:ind w:firstLine="480"/>
        <w:rPr>
          <w:rFonts w:hAnsi="华文仿宋"/>
        </w:rPr>
      </w:pPr>
      <w:r>
        <w:rPr>
          <w:rFonts w:hint="eastAsia" w:hAnsi="华文仿宋"/>
        </w:rPr>
        <w:t>（5）评标结果，确定的中标候选人名单或者经采购人委托直接确定的中标供应商；</w:t>
      </w:r>
    </w:p>
    <w:p>
      <w:pPr>
        <w:pStyle w:val="94"/>
        <w:ind w:firstLine="480"/>
        <w:rPr>
          <w:rFonts w:hAnsi="华文仿宋"/>
        </w:rPr>
      </w:pPr>
      <w:r>
        <w:rPr>
          <w:rFonts w:hint="eastAsia" w:hAnsi="华文仿宋"/>
        </w:rPr>
        <w:t>（6）其他需要说明的情况，包括评标过程中投标供应商根据评标委员会要求进行的澄清、说明或者补正，评标委员会成员的更换等。</w:t>
      </w:r>
    </w:p>
    <w:p>
      <w:pPr>
        <w:pStyle w:val="94"/>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94"/>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94"/>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（六）视同供应商串通投标的情形</w:t>
      </w:r>
    </w:p>
    <w:p>
      <w:pPr>
        <w:ind w:firstLine="480" w:firstLineChars="200"/>
      </w:pPr>
      <w:r>
        <w:t>出现下列情形时，投标无效：</w:t>
      </w:r>
    </w:p>
    <w:p>
      <w:pPr>
        <w:pStyle w:val="94"/>
        <w:ind w:firstLine="480"/>
      </w:pPr>
      <w:r>
        <w:t>1</w:t>
      </w:r>
      <w:r>
        <w:rPr>
          <w:rFonts w:hint="eastAsia"/>
          <w:color w:val="auto"/>
        </w:rPr>
        <w:t>．</w:t>
      </w:r>
      <w:r>
        <w:t>不同供应商的投标文件由同一单位或者个人编制；</w:t>
      </w:r>
    </w:p>
    <w:p>
      <w:pPr>
        <w:pStyle w:val="94"/>
        <w:ind w:firstLine="480"/>
      </w:pPr>
      <w:r>
        <w:t>2</w:t>
      </w:r>
      <w:r>
        <w:rPr>
          <w:rFonts w:hint="eastAsia"/>
          <w:color w:val="auto"/>
        </w:rPr>
        <w:t>．</w:t>
      </w:r>
      <w:r>
        <w:t>不同供应商委托同一单位或者个人办理投标事宜；</w:t>
      </w:r>
    </w:p>
    <w:p>
      <w:pPr>
        <w:pStyle w:val="94"/>
        <w:ind w:firstLine="480"/>
      </w:pPr>
      <w:r>
        <w:t>3</w:t>
      </w:r>
      <w:r>
        <w:rPr>
          <w:rFonts w:hint="eastAsia"/>
          <w:color w:val="auto"/>
        </w:rPr>
        <w:t>．</w:t>
      </w:r>
      <w:r>
        <w:t>不同供应商的投标文件载明的项目管理成员或者联系人员为同一人；</w:t>
      </w:r>
    </w:p>
    <w:p>
      <w:pPr>
        <w:pStyle w:val="94"/>
        <w:ind w:firstLine="480"/>
        <w:rPr>
          <w:strike/>
        </w:rPr>
      </w:pPr>
      <w:r>
        <w:t>4</w:t>
      </w:r>
      <w:r>
        <w:rPr>
          <w:rFonts w:hint="eastAsia"/>
          <w:color w:val="auto"/>
        </w:rPr>
        <w:t>．</w:t>
      </w:r>
      <w:r>
        <w:t>不同供应商的投标文件异常一致或者投标报价呈规律性差异。</w:t>
      </w:r>
    </w:p>
    <w:p>
      <w:pPr>
        <w:pStyle w:val="3"/>
      </w:pPr>
      <w:r>
        <w:t>八、中标</w:t>
      </w:r>
    </w:p>
    <w:p>
      <w:pPr>
        <w:pStyle w:val="94"/>
        <w:ind w:firstLine="480"/>
      </w:pPr>
      <w:r>
        <w:rPr>
          <w:rFonts w:hint="eastAsia"/>
        </w:rPr>
        <w:t>1</w:t>
      </w:r>
      <w:r>
        <w:rPr>
          <w:rFonts w:hint="eastAsia"/>
          <w:color w:val="auto"/>
        </w:rPr>
        <w:t>．</w:t>
      </w:r>
      <w:r>
        <w:t>采购代理机构在评标工作结束后2个工作日内将评审报告送采购人。</w:t>
      </w:r>
    </w:p>
    <w:p>
      <w:pPr>
        <w:pStyle w:val="94"/>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94"/>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6"/>
          <w:color w:val="auto"/>
        </w:rPr>
        <w:t>】</w:t>
      </w:r>
      <w:r>
        <w:t>（</w:t>
      </w:r>
      <w:r>
        <w:fldChar w:fldCharType="begin"/>
      </w:r>
      <w:r>
        <w:instrText xml:space="preserve"> HYPERLINK "http://www.ccgp-shaanxi.gov.cn/" </w:instrText>
      </w:r>
      <w:r>
        <w:fldChar w:fldCharType="separate"/>
      </w:r>
      <w:r>
        <w:rPr>
          <w:rStyle w:val="36"/>
          <w:color w:val="0070C0"/>
        </w:rPr>
        <w:t>http://www.ccgp-shaanxi.gov.cn</w:t>
      </w:r>
      <w:r>
        <w:rPr>
          <w:rStyle w:val="36"/>
          <w:rFonts w:hint="eastAsia"/>
          <w:color w:val="0070C0"/>
        </w:rPr>
        <w:t>/</w:t>
      </w:r>
      <w:r>
        <w:rPr>
          <w:rStyle w:val="36"/>
          <w:rFonts w:hint="eastAsia"/>
          <w:color w:val="0070C0"/>
        </w:rPr>
        <w:fldChar w:fldCharType="end"/>
      </w:r>
      <w:r>
        <w:t>）上公布中标结果。中标公告期限为1个工作日。</w:t>
      </w:r>
    </w:p>
    <w:p>
      <w:pPr>
        <w:pStyle w:val="94"/>
        <w:ind w:firstLine="480"/>
      </w:pPr>
      <w:r>
        <w:rPr>
          <w:rFonts w:hint="eastAsia"/>
        </w:rPr>
        <w:t>4</w:t>
      </w:r>
      <w:r>
        <w:rPr>
          <w:rFonts w:hint="eastAsia"/>
          <w:color w:val="auto"/>
        </w:rPr>
        <w:t>．</w:t>
      </w:r>
      <w:r>
        <w:rPr>
          <w:rFonts w:hint="eastAsia"/>
        </w:rPr>
        <w:t>在公告中标结果的同时，采购代理机构将向中标供应商发出中标通知书，中标供应商在领取中标通知书时</w:t>
      </w:r>
      <w:r>
        <w:rPr>
          <w:rFonts w:hint="eastAsia"/>
          <w:color w:val="C00000"/>
        </w:rPr>
        <w:t>提供一正两副纸质投标文件用于备案</w:t>
      </w:r>
      <w:r>
        <w:rPr>
          <w:rFonts w:hint="eastAsia"/>
        </w:rPr>
        <w:t>。</w:t>
      </w:r>
    </w:p>
    <w:p>
      <w:pPr>
        <w:pStyle w:val="94"/>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94"/>
        <w:ind w:firstLine="480"/>
      </w:pPr>
      <w:r>
        <w:rPr>
          <w:rFonts w:hint="eastAsia"/>
        </w:rPr>
        <w:t>6</w:t>
      </w:r>
      <w:r>
        <w:rPr>
          <w:rFonts w:hint="eastAsia"/>
          <w:color w:val="auto"/>
        </w:rPr>
        <w:t>．</w:t>
      </w:r>
      <w:r>
        <w:rPr>
          <w:rFonts w:hint="eastAsia"/>
        </w:rPr>
        <w:t>采购代理机构按照相关规定将评审报告送监管机构备案。</w:t>
      </w:r>
    </w:p>
    <w:p>
      <w:pPr>
        <w:pStyle w:val="3"/>
      </w:pPr>
      <w:r>
        <w:t>九、合同签订、履行及验收</w:t>
      </w:r>
    </w:p>
    <w:p>
      <w:pPr>
        <w:pStyle w:val="94"/>
        <w:ind w:firstLine="480"/>
      </w:pPr>
      <w:r>
        <w:t>招标文件、投标文件、澄清、补充合同等为政府采购合同的组成部分，具有同等法律效力。</w:t>
      </w:r>
    </w:p>
    <w:p>
      <w:pPr>
        <w:pStyle w:val="4"/>
        <w:ind w:firstLine="482"/>
      </w:pPr>
      <w:r>
        <w:t>（一）签订政府采购合同</w:t>
      </w:r>
    </w:p>
    <w:p>
      <w:pPr>
        <w:pStyle w:val="94"/>
        <w:ind w:firstLine="480"/>
      </w:pPr>
      <w:r>
        <w:rPr>
          <w:rFonts w:hint="eastAsia"/>
        </w:rPr>
        <w:t>1</w:t>
      </w:r>
      <w:r>
        <w:rPr>
          <w:rFonts w:hint="eastAsia"/>
          <w:color w:val="auto"/>
        </w:rPr>
        <w:t>．</w:t>
      </w:r>
      <w:r>
        <w:t>自中标通知书发出之日起30日内，采购人与中标供应商应按招标文件和中标供应商投标文件的约定，签订书面合同。</w:t>
      </w:r>
    </w:p>
    <w:p>
      <w:pPr>
        <w:pStyle w:val="94"/>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94"/>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94"/>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pPr>
        <w:pStyle w:val="4"/>
        <w:ind w:firstLine="482"/>
      </w:pPr>
      <w:r>
        <w:t>（二）合同公告及备案</w:t>
      </w:r>
    </w:p>
    <w:p>
      <w:pPr>
        <w:pStyle w:val="94"/>
        <w:ind w:firstLine="480"/>
      </w:pPr>
      <w:r>
        <w:rPr>
          <w:rFonts w:hint="eastAsia"/>
        </w:rPr>
        <w:t>1</w:t>
      </w:r>
      <w:r>
        <w:rPr>
          <w:rFonts w:hint="eastAsia"/>
          <w:color w:val="auto"/>
        </w:rPr>
        <w:t>．</w:t>
      </w:r>
      <w:r>
        <w:rPr>
          <w:rFonts w:hint="eastAsia"/>
        </w:rPr>
        <w:t>采购人应当自政府采购合同签订之日起2个工作日内，在陕西省政府采购网对合同进行公示，但政府采购合同中涉及国家秘密、商业秘密的内容除外。</w:t>
      </w:r>
    </w:p>
    <w:p>
      <w:pPr>
        <w:pStyle w:val="94"/>
        <w:ind w:firstLine="480"/>
      </w:pPr>
      <w:r>
        <w:t>2</w:t>
      </w:r>
      <w:r>
        <w:rPr>
          <w:rFonts w:hint="eastAsia"/>
          <w:color w:val="auto"/>
        </w:rPr>
        <w:t>．</w:t>
      </w:r>
      <w:r>
        <w:rPr>
          <w:rFonts w:hint="eastAsia"/>
        </w:rPr>
        <w:t>采购人应自合同签订之日起7个工作日内</w:t>
      </w:r>
      <w:r>
        <w:t>将政府采购合同报送监管机构备案</w:t>
      </w:r>
      <w:r>
        <w:rPr>
          <w:rFonts w:hint="eastAsia"/>
        </w:rPr>
        <w:t>。</w:t>
      </w:r>
    </w:p>
    <w:p>
      <w:pPr>
        <w:pStyle w:val="4"/>
        <w:ind w:firstLine="482"/>
      </w:pPr>
      <w:r>
        <w:t>（三）履行合同</w:t>
      </w:r>
    </w:p>
    <w:p>
      <w:pPr>
        <w:pStyle w:val="94"/>
        <w:ind w:firstLine="480"/>
      </w:pPr>
      <w:r>
        <w:rPr>
          <w:rFonts w:hint="eastAsia"/>
        </w:rPr>
        <w:t>1</w:t>
      </w:r>
      <w:r>
        <w:rPr>
          <w:rFonts w:hint="eastAsia"/>
          <w:color w:val="auto"/>
        </w:rPr>
        <w:t>．</w:t>
      </w:r>
      <w:r>
        <w:rPr>
          <w:rFonts w:hint="eastAsia"/>
        </w:rPr>
        <w:t>合同一经签订，双方应严格履行合同规定的义务。</w:t>
      </w:r>
    </w:p>
    <w:p>
      <w:pPr>
        <w:pStyle w:val="94"/>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94"/>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94"/>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采购人按《关于促进政府采购公平竞争优化营商环境的通知》（财库〔2019〕38号）、《保障中小企业款项支付条例》（国务院令第728号）等规定及采购合同的约定进行支付合同款项。</w:t>
      </w:r>
    </w:p>
    <w:p>
      <w:pPr>
        <w:pStyle w:val="3"/>
      </w:pPr>
      <w:r>
        <w:t>十、废标及重新招标</w:t>
      </w:r>
    </w:p>
    <w:p>
      <w:pPr>
        <w:pStyle w:val="94"/>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94"/>
        <w:ind w:firstLine="480"/>
      </w:pPr>
      <w:r>
        <w:rPr>
          <w:rFonts w:hint="eastAsia"/>
        </w:rPr>
        <w:t>2</w:t>
      </w:r>
      <w:r>
        <w:rPr>
          <w:rFonts w:hint="eastAsia"/>
          <w:color w:val="auto"/>
        </w:rPr>
        <w:t>．</w:t>
      </w:r>
      <w:r>
        <w:t>根据《政府采购法》第三十六条规定，在招标采购中，出现下列情形之一的，本项目按废标处理：</w:t>
      </w:r>
    </w:p>
    <w:p>
      <w:pPr>
        <w:pStyle w:val="94"/>
        <w:ind w:firstLine="480"/>
      </w:pPr>
      <w:r>
        <w:t>（</w:t>
      </w:r>
      <w:r>
        <w:rPr>
          <w:rFonts w:hint="eastAsia"/>
        </w:rPr>
        <w:t>1</w:t>
      </w:r>
      <w:r>
        <w:t>）出现影响采购公正的违法、违规行为的；</w:t>
      </w:r>
    </w:p>
    <w:p>
      <w:pPr>
        <w:pStyle w:val="94"/>
        <w:ind w:firstLine="480"/>
      </w:pPr>
      <w:r>
        <w:t>（</w:t>
      </w:r>
      <w:r>
        <w:rPr>
          <w:rFonts w:hint="eastAsia"/>
        </w:rPr>
        <w:t>2</w:t>
      </w:r>
      <w:r>
        <w:t>）供应商的报价均超过了采购预算，采购人不能支付的；</w:t>
      </w:r>
    </w:p>
    <w:p>
      <w:pPr>
        <w:pStyle w:val="94"/>
        <w:ind w:firstLine="480"/>
      </w:pPr>
      <w:r>
        <w:t>（</w:t>
      </w:r>
      <w:r>
        <w:rPr>
          <w:rFonts w:hint="eastAsia"/>
        </w:rPr>
        <w:t>3</w:t>
      </w:r>
      <w:r>
        <w:t>）因重大变故，采购任务取消的。</w:t>
      </w:r>
    </w:p>
    <w:p>
      <w:pPr>
        <w:pStyle w:val="94"/>
        <w:ind w:firstLine="480"/>
      </w:pPr>
      <w:r>
        <w:t>废标后，除采购任务取消外，本项目将重新组织招标。</w:t>
      </w:r>
    </w:p>
    <w:p>
      <w:pPr>
        <w:pStyle w:val="94"/>
        <w:ind w:firstLine="480"/>
      </w:pPr>
      <w:r>
        <w:rPr>
          <w:rFonts w:hint="eastAsia"/>
        </w:rPr>
        <w:t>3</w:t>
      </w:r>
      <w:r>
        <w:rPr>
          <w:rFonts w:hint="eastAsia"/>
          <w:color w:val="auto"/>
        </w:rPr>
        <w:t>．</w:t>
      </w:r>
      <w: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pStyle w:val="94"/>
        <w:ind w:firstLine="480"/>
      </w:pPr>
      <w:r>
        <w:rPr>
          <w:rFonts w:hint="eastAsia"/>
        </w:rPr>
        <w:t>4</w:t>
      </w:r>
      <w:r>
        <w:rPr>
          <w:rFonts w:hint="eastAsia"/>
          <w:color w:val="auto"/>
        </w:rPr>
        <w:t>．</w:t>
      </w:r>
      <w:r>
        <w:t>招标文件未明确的其他事项，按《政府采购法》及其相关法律法规执行。</w:t>
      </w:r>
    </w:p>
    <w:p>
      <w:pPr>
        <w:pStyle w:val="94"/>
        <w:ind w:firstLine="0" w:firstLineChars="0"/>
      </w:pPr>
    </w:p>
    <w:p>
      <w:pPr>
        <w:widowControl w:val="0"/>
        <w:topLinePunct/>
        <w:jc w:val="both"/>
        <w:sectPr>
          <w:footerReference r:id="rId11" w:type="default"/>
          <w:footerReference r:id="rId12" w:type="even"/>
          <w:pgSz w:w="11906" w:h="16838"/>
          <w:pgMar w:top="1418" w:right="1304" w:bottom="1418" w:left="1701" w:header="851" w:footer="992" w:gutter="0"/>
          <w:cols w:space="425" w:num="1"/>
          <w:docGrid w:type="linesAndChars" w:linePitch="420" w:charSpace="0"/>
        </w:sectPr>
      </w:pPr>
    </w:p>
    <w:p>
      <w:pPr>
        <w:pStyle w:val="2"/>
        <w:spacing w:before="210" w:after="210"/>
      </w:pPr>
      <w:bookmarkStart w:id="9" w:name="_Toc100219614"/>
      <w:r>
        <w:rPr>
          <w:rFonts w:hint="eastAsia"/>
        </w:rPr>
        <w:t>第三章　招标内容及要求</w:t>
      </w:r>
      <w:bookmarkEnd w:id="9"/>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rPr>
          <w:rFonts w:asciiTheme="majorEastAsia" w:hAnsiTheme="majorEastAsia" w:eastAsiaTheme="majorEastAsia"/>
          <w:b/>
        </w:rPr>
      </w:pPr>
      <w:r>
        <w:rPr>
          <w:rFonts w:hint="eastAsia"/>
        </w:rPr>
        <w:t>一、</w:t>
      </w:r>
      <w:r>
        <w:rPr>
          <w:rFonts w:hint="eastAsia" w:asciiTheme="majorEastAsia" w:hAnsiTheme="majorEastAsia" w:eastAsiaTheme="majorEastAsia"/>
          <w:b/>
        </w:rPr>
        <w:t>项目概况</w:t>
      </w:r>
    </w:p>
    <w:p>
      <w:pPr>
        <w:pStyle w:val="16"/>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交换机、服务器、</w:t>
      </w:r>
      <w:r>
        <w:rPr>
          <w:rFonts w:ascii="Calibri" w:hAnsi="Calibri" w:eastAsia="宋体" w:cstheme="minorHAnsi"/>
          <w:color w:val="000000"/>
          <w:kern w:val="24"/>
        </w:rPr>
        <w:t>PC</w:t>
      </w:r>
      <w:r>
        <w:rPr>
          <w:rFonts w:hint="eastAsia" w:ascii="Calibri" w:hAnsi="Calibri" w:eastAsia="宋体" w:cstheme="minorHAnsi"/>
          <w:color w:val="000000"/>
          <w:kern w:val="24"/>
        </w:rPr>
        <w:t>外设、</w:t>
      </w:r>
      <w:r>
        <w:rPr>
          <w:rFonts w:ascii="Calibri" w:hAnsi="Calibri" w:eastAsia="宋体" w:cstheme="minorHAnsi"/>
          <w:color w:val="000000"/>
          <w:kern w:val="24"/>
        </w:rPr>
        <w:t>PC</w:t>
      </w:r>
      <w:r>
        <w:rPr>
          <w:rFonts w:hint="eastAsia" w:ascii="Calibri" w:hAnsi="Calibri" w:eastAsia="宋体" w:cstheme="minorHAnsi"/>
          <w:color w:val="000000"/>
          <w:kern w:val="24"/>
        </w:rPr>
        <w:t>终端、智能电视采购。</w:t>
      </w:r>
    </w:p>
    <w:p>
      <w:pPr>
        <w:pStyle w:val="3"/>
        <w:numPr>
          <w:ilvl w:val="0"/>
          <w:numId w:val="0"/>
        </w:numPr>
        <w:rPr>
          <w:rFonts w:asciiTheme="majorEastAsia" w:hAnsiTheme="majorEastAsia" w:eastAsiaTheme="majorEastAsia"/>
          <w:b/>
        </w:rPr>
      </w:pPr>
      <w:r>
        <w:rPr>
          <w:rFonts w:hint="eastAsia"/>
        </w:rPr>
        <w:t>二、</w:t>
      </w:r>
      <w:r>
        <w:rPr>
          <w:rFonts w:hint="eastAsia" w:asciiTheme="majorEastAsia" w:hAnsiTheme="majorEastAsia" w:eastAsiaTheme="majorEastAsia"/>
          <w:b/>
        </w:rPr>
        <w:t>招标内容及参数要求</w:t>
      </w:r>
    </w:p>
    <w:p>
      <w:r>
        <w:t>（一）采购内容</w:t>
      </w:r>
    </w:p>
    <w:tbl>
      <w:tblPr>
        <w:tblStyle w:val="29"/>
        <w:tblW w:w="85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59"/>
        <w:gridCol w:w="522"/>
        <w:gridCol w:w="3651"/>
        <w:gridCol w:w="27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类别</w:t>
            </w:r>
          </w:p>
        </w:tc>
        <w:tc>
          <w:tcPr>
            <w:tcW w:w="52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序号</w:t>
            </w:r>
          </w:p>
        </w:tc>
        <w:tc>
          <w:tcPr>
            <w:tcW w:w="3651" w:type="dxa"/>
            <w:tcBorders>
              <w:top w:val="single" w:color="auto" w:sz="12" w:space="0"/>
              <w:bottom w:val="single" w:color="auto" w:sz="2" w:space="0"/>
            </w:tcBorders>
            <w:shd w:val="clear" w:color="auto" w:fill="F1F1F1" w:themeFill="background1" w:themeFillShade="F2"/>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名称</w:t>
            </w:r>
          </w:p>
        </w:tc>
        <w:tc>
          <w:tcPr>
            <w:tcW w:w="2787" w:type="dxa"/>
            <w:tcBorders>
              <w:top w:val="single" w:color="auto" w:sz="12" w:space="0"/>
              <w:bottom w:val="single" w:color="auto" w:sz="2" w:space="0"/>
            </w:tcBorders>
            <w:shd w:val="clear" w:color="auto" w:fill="F1F1F1" w:themeFill="background1" w:themeFillShade="F2"/>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restart"/>
            <w:tcBorders>
              <w:top w:val="single" w:color="auto" w:sz="2" w:space="0"/>
            </w:tcBorders>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计算机设备类</w:t>
            </w:r>
          </w:p>
        </w:tc>
        <w:tc>
          <w:tcPr>
            <w:tcW w:w="522" w:type="dxa"/>
            <w:vMerge w:val="restart"/>
            <w:tcBorders>
              <w:top w:val="single" w:color="auto" w:sz="2" w:space="0"/>
            </w:tcBorders>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3651" w:type="dxa"/>
            <w:tcBorders>
              <w:top w:val="single" w:color="auto" w:sz="2" w:space="0"/>
            </w:tcBorders>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2U机架服务器</w:t>
            </w:r>
          </w:p>
        </w:tc>
        <w:tc>
          <w:tcPr>
            <w:tcW w:w="2787" w:type="dxa"/>
            <w:tcBorders>
              <w:top w:val="single" w:color="auto" w:sz="2" w:space="0"/>
            </w:tcBorders>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50500.00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3651" w:type="dxa"/>
            <w:tcBorders>
              <w:top w:val="single" w:color="auto" w:sz="4" w:space="0"/>
            </w:tcBorders>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4U机架服务器</w:t>
            </w:r>
          </w:p>
        </w:tc>
        <w:tc>
          <w:tcPr>
            <w:tcW w:w="2787" w:type="dxa"/>
            <w:tcBorders>
              <w:top w:val="single" w:color="auto" w:sz="4" w:space="0"/>
            </w:tcBorders>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80,000.00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台式计算机（核心设备）</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图形工作站（核心设备）</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20,000.00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便携式计算机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塔式服务器</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12,000.00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7</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服务器（核心设备）</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35,000.00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平板式计算机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2999.00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网络设备类</w:t>
            </w: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路由器</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汇聚交换机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35000.00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汇聚交换机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38000.00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接入交换机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接入交换机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交换机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终端设备</w:t>
            </w: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终端机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8600.00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触摸式终端设备</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8600.00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信息化零部件设备</w:t>
            </w: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无线扫描枪</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1200.00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有线扫描枪</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扫码墩</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扫描仪</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显示器</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对讲机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7</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监控摄像头</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365.00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硬盘录像机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1650.00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9</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手持无线麦克风</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无线鹅颈话筒</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11</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音响</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12</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功放</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13</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机柜</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14</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考勤机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15</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无绳电话</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280.00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16</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刻录机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17</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读卡器</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2950.00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18</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密码键盘</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办公设备</w:t>
            </w: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电子白板</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28500.00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会议大屏（核心设备）</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52000.00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触控一体机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复印机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29900.00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A3黑白打印机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29900.00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A3彩色打印机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3000.00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7</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复印机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62500.00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8</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A4黑白打印机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9</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A4彩色打印机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票据打印机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1750.00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11</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条码打印机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1035.00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noWrap/>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13</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桌面发票打印机机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2850.00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559"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2" w:type="dxa"/>
            <w:shd w:val="clear" w:color="auto" w:fill="auto"/>
            <w:noWrap/>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14</w:t>
            </w:r>
          </w:p>
        </w:tc>
        <w:tc>
          <w:tcPr>
            <w:tcW w:w="3651"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门诊缴费小票打印机</w:t>
            </w:r>
          </w:p>
        </w:tc>
        <w:tc>
          <w:tcPr>
            <w:tcW w:w="2787" w:type="dxa"/>
            <w:shd w:val="clear" w:color="auto" w:fill="auto"/>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700.00</w:t>
            </w:r>
          </w:p>
        </w:tc>
      </w:tr>
    </w:tbl>
    <w:p>
      <w:r>
        <w:t>（二）参数要求</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42"/>
        <w:gridCol w:w="523"/>
        <w:gridCol w:w="818"/>
        <w:gridCol w:w="5472"/>
        <w:gridCol w:w="10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类别</w:t>
            </w:r>
          </w:p>
        </w:tc>
        <w:tc>
          <w:tcPr>
            <w:tcW w:w="52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序号</w:t>
            </w:r>
          </w:p>
        </w:tc>
        <w:tc>
          <w:tcPr>
            <w:tcW w:w="81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名称</w:t>
            </w:r>
          </w:p>
        </w:tc>
        <w:tc>
          <w:tcPr>
            <w:tcW w:w="547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配置要求</w:t>
            </w:r>
          </w:p>
        </w:tc>
        <w:tc>
          <w:tcPr>
            <w:tcW w:w="106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最高限价（元）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2" w:type="dxa"/>
            <w:vMerge w:val="restart"/>
            <w:tcBorders>
              <w:top w:val="single" w:color="auto" w:sz="2" w:space="0"/>
            </w:tcBorders>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计算机设备类</w:t>
            </w:r>
          </w:p>
        </w:tc>
        <w:tc>
          <w:tcPr>
            <w:tcW w:w="523" w:type="dxa"/>
            <w:vMerge w:val="restart"/>
            <w:tcBorders>
              <w:top w:val="single" w:color="auto" w:sz="2" w:space="0"/>
            </w:tcBorders>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818" w:type="dxa"/>
            <w:vMerge w:val="restart"/>
            <w:tcBorders>
              <w:top w:val="single" w:color="auto" w:sz="2" w:space="0"/>
            </w:tcBorders>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2U机架服务器</w:t>
            </w:r>
          </w:p>
        </w:tc>
        <w:tc>
          <w:tcPr>
            <w:tcW w:w="5472" w:type="dxa"/>
            <w:tcBorders>
              <w:top w:val="single" w:color="auto" w:sz="2" w:space="0"/>
            </w:tcBorders>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▲本次配置≥2颗处理器，单颗≥2.4G，≥24M缓存"</w:t>
            </w:r>
          </w:p>
        </w:tc>
        <w:tc>
          <w:tcPr>
            <w:tcW w:w="1067" w:type="dxa"/>
            <w:vMerge w:val="restart"/>
            <w:tcBorders>
              <w:top w:val="single" w:color="auto" w:sz="2" w:space="0"/>
            </w:tcBorders>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50</w:t>
            </w:r>
            <w:bookmarkStart w:id="10" w:name="OLE_LINK1"/>
            <w:r>
              <w:rPr>
                <w:rFonts w:hint="eastAsia" w:ascii="Calibri" w:hAnsi="微软雅黑" w:eastAsia="微软雅黑" w:cs="宋体"/>
                <w:color w:val="000000"/>
                <w:sz w:val="21"/>
                <w:szCs w:val="18"/>
              </w:rPr>
              <w:t>,</w:t>
            </w:r>
            <w:bookmarkEnd w:id="10"/>
            <w:r>
              <w:rPr>
                <w:rFonts w:hint="eastAsia" w:ascii="Calibri" w:hAnsi="微软雅黑" w:eastAsia="微软雅黑" w:cs="宋体"/>
                <w:color w:val="000000"/>
                <w:sz w:val="21"/>
                <w:szCs w:val="18"/>
              </w:rPr>
              <w:t>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▲内存要求≥128GDDR4，3200MT/s，≥4T内存。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▲本次配置≥2块480GBSSD热插拔硬盘，≥3块4TBSATA热插拔硬盘"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标准接口"前置≥1个USB3.0接口，≥1个USB2.0接口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后置≥2个USB3.0接口，≥1个VGA接口，≥1个UART串口，≥1个管理口"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本次配置：SASraid卡，缓存≥2G，可支持raid0/1/5/6/10/50/60"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网络接口"支持≥4个以太网或光纤网络接口；支持板载双口万兆网口10Gb/s</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I/O扩展槽以及扩展模块配置</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支持≥10个PCIE插槽</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本次配置：≥800W1+1冗余电源"</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其余参数均应符合财政部关于通用服务器</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restart"/>
            <w:tcBorders>
              <w:top w:val="single" w:color="auto" w:sz="4" w:space="0"/>
            </w:tcBorders>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4U机架服务器</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机箱标准4U服务器</w:t>
            </w:r>
          </w:p>
        </w:tc>
        <w:tc>
          <w:tcPr>
            <w:tcW w:w="1067" w:type="dxa"/>
            <w:vMerge w:val="restart"/>
            <w:tcBorders>
              <w:top w:val="single" w:color="auto" w:sz="4" w:space="0"/>
            </w:tcBorders>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80,000.00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本次配置：≥4颗CPU.单颗2.4G，≥24M缓存"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本次配置：≥256GDDR4，3200MT/s</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支持≥48个内存插槽</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▲本次配置：≥2块480GBSSD热插拔硬盘，≥3块4TBSATA热插拔硬盘"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 xml:space="preserve">标准接口"前置: ≥1个USB3.0接口, ≥1个USB2.0接口, </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后置: ≥2个USB3.0接口, ≥1个VGA接口, ≥1个专业管理网口，≥1个BMC诊断串口，≥1个系统串口"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配置SASraid卡，缓存≥2G，可支持raid0/1/5/6/10/50/60"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0"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网络接口"支持1Gb/10Gb/25Gb/100Gb速率，支持≥4个以太网或光纤网络接口</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支持标准1Gb/10Gb/25Gb/40G/100Gb以太网络,支持≥4个以太网接口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支持≥4个双宽GPU或8个单宽GPU</w:t>
            </w:r>
            <w:r>
              <w:rPr>
                <w:rFonts w:ascii="Calibri" w:hAnsi="微软雅黑" w:eastAsia="微软雅黑" w:cs="宋体"/>
                <w:color w:val="000000"/>
                <w:sz w:val="21"/>
                <w:szCs w:val="18"/>
              </w:rPr>
              <w:t xml:space="preserve"> </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本次配置：≥4*800W冗余电源"</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其余参数均应符合财政部关于通用服务器</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台式计算机（</w:t>
            </w:r>
            <w:r>
              <w:rPr>
                <w:rFonts w:hint="eastAsia" w:cs="宋体"/>
                <w:sz w:val="21"/>
                <w:szCs w:val="21"/>
              </w:rPr>
              <w:t>核心产品</w:t>
            </w:r>
            <w:r>
              <w:rPr>
                <w:rFonts w:hint="eastAsia" w:ascii="Calibri" w:hAnsi="微软雅黑" w:eastAsia="微软雅黑" w:cs="宋体"/>
                <w:color w:val="000000"/>
                <w:sz w:val="21"/>
                <w:szCs w:val="18"/>
              </w:rPr>
              <w:t>）</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▲1.处理器：≥6核心，≥3.0Ghz主频，≥18M三级缓存</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w:t>
            </w:r>
            <w:r>
              <w:rPr>
                <w:rFonts w:ascii="Calibri" w:hAnsi="微软雅黑" w:eastAsia="微软雅黑" w:cs="宋体"/>
                <w:color w:val="000000"/>
                <w:sz w:val="21"/>
                <w:szCs w:val="18"/>
              </w:rPr>
              <w:t>2</w:t>
            </w:r>
            <w:r>
              <w:rPr>
                <w:rFonts w:hint="eastAsia" w:ascii="Calibri" w:hAnsi="微软雅黑" w:eastAsia="微软雅黑" w:cs="宋体"/>
                <w:color w:val="000000"/>
                <w:sz w:val="21"/>
                <w:szCs w:val="18"/>
              </w:rPr>
              <w:t>.内存：≥16G内存DDR4，3200MT/s；</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ascii="Calibri" w:hAnsi="微软雅黑" w:eastAsia="微软雅黑" w:cs="宋体"/>
                <w:color w:val="000000"/>
                <w:sz w:val="21"/>
                <w:szCs w:val="18"/>
              </w:rPr>
              <w:t>3</w:t>
            </w:r>
            <w:r>
              <w:rPr>
                <w:rFonts w:hint="eastAsia" w:ascii="Calibri" w:hAnsi="微软雅黑" w:eastAsia="微软雅黑" w:cs="宋体"/>
                <w:color w:val="000000"/>
                <w:sz w:val="21"/>
                <w:szCs w:val="18"/>
              </w:rPr>
              <w:t>.硬盘：≥256GB固态硬盘，≥1T7200转机械硬盘；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ascii="Calibri" w:hAnsi="微软雅黑" w:eastAsia="微软雅黑" w:cs="宋体"/>
                <w:color w:val="000000"/>
                <w:sz w:val="21"/>
                <w:szCs w:val="18"/>
              </w:rPr>
              <w:t>4</w:t>
            </w:r>
            <w:r>
              <w:rPr>
                <w:rFonts w:hint="eastAsia" w:ascii="Calibri" w:hAnsi="微软雅黑" w:eastAsia="微软雅黑" w:cs="宋体"/>
                <w:color w:val="000000"/>
                <w:sz w:val="21"/>
                <w:szCs w:val="18"/>
              </w:rPr>
              <w:t>.显卡：独立显卡；</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5.网卡：≥1000M以太网卡；</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w:t>
            </w:r>
            <w:r>
              <w:rPr>
                <w:rFonts w:ascii="Calibri" w:hAnsi="微软雅黑" w:eastAsia="微软雅黑" w:cs="宋体"/>
                <w:color w:val="000000"/>
                <w:sz w:val="21"/>
                <w:szCs w:val="18"/>
              </w:rPr>
              <w:t>6</w:t>
            </w:r>
            <w:r>
              <w:rPr>
                <w:rFonts w:hint="eastAsia" w:ascii="Calibri" w:hAnsi="微软雅黑" w:eastAsia="微软雅黑" w:cs="宋体"/>
                <w:color w:val="000000"/>
                <w:sz w:val="21"/>
                <w:szCs w:val="18"/>
              </w:rPr>
              <w:t>.端口：≥2个PCIe，≥8个USB接口，至少包含1个USBType-C；≥1个DP，≥1个HDMI接口，≥1个串口；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ascii="Calibri" w:hAnsi="微软雅黑" w:eastAsia="微软雅黑" w:cs="宋体"/>
                <w:color w:val="000000"/>
                <w:sz w:val="21"/>
                <w:szCs w:val="18"/>
              </w:rPr>
              <w:t>7</w:t>
            </w:r>
            <w:r>
              <w:rPr>
                <w:rFonts w:hint="eastAsia" w:ascii="Calibri" w:hAnsi="微软雅黑" w:eastAsia="微软雅黑" w:cs="宋体"/>
                <w:color w:val="000000"/>
                <w:sz w:val="21"/>
                <w:szCs w:val="18"/>
              </w:rPr>
              <w:t>.键鼠：USB接口键盘鼠标</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ascii="Calibri" w:hAnsi="微软雅黑" w:eastAsia="微软雅黑" w:cs="宋体"/>
                <w:color w:val="000000"/>
                <w:sz w:val="21"/>
                <w:szCs w:val="18"/>
              </w:rPr>
              <w:t>8</w:t>
            </w:r>
            <w:r>
              <w:rPr>
                <w:rFonts w:hint="eastAsia" w:ascii="Calibri" w:hAnsi="微软雅黑" w:eastAsia="微软雅黑" w:cs="宋体"/>
                <w:color w:val="000000"/>
                <w:sz w:val="21"/>
                <w:szCs w:val="18"/>
              </w:rPr>
              <w:t>.电源：≥260W能效电源；</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9.机箱：塔式机箱；</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r>
              <w:rPr>
                <w:rFonts w:ascii="Calibri" w:hAnsi="微软雅黑" w:eastAsia="微软雅黑" w:cs="宋体"/>
                <w:color w:val="000000"/>
                <w:sz w:val="21"/>
                <w:szCs w:val="18"/>
              </w:rPr>
              <w:t>0</w:t>
            </w:r>
            <w:r>
              <w:rPr>
                <w:rFonts w:hint="eastAsia" w:ascii="Calibri" w:hAnsi="微软雅黑" w:eastAsia="微软雅黑" w:cs="宋体"/>
                <w:color w:val="000000"/>
                <w:sz w:val="21"/>
                <w:szCs w:val="18"/>
              </w:rPr>
              <w:t>.显示器：≥23寸，分辨率≥1920*1080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r>
              <w:rPr>
                <w:rFonts w:ascii="Calibri" w:hAnsi="微软雅黑" w:eastAsia="微软雅黑" w:cs="宋体"/>
                <w:color w:val="000000"/>
                <w:sz w:val="21"/>
                <w:szCs w:val="18"/>
              </w:rPr>
              <w:t>1</w:t>
            </w:r>
            <w:r>
              <w:rPr>
                <w:rFonts w:hint="eastAsia" w:ascii="Calibri" w:hAnsi="微软雅黑" w:eastAsia="微软雅黑" w:cs="宋体"/>
                <w:color w:val="000000"/>
                <w:sz w:val="21"/>
                <w:szCs w:val="18"/>
              </w:rPr>
              <w:t>.软件：常规正版操作系统；</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其余参数均应符合财政部关于台式计算机</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图形工作站（</w:t>
            </w:r>
            <w:r>
              <w:rPr>
                <w:rFonts w:hint="eastAsia" w:cs="宋体"/>
                <w:sz w:val="21"/>
                <w:szCs w:val="21"/>
              </w:rPr>
              <w:t>核心产品</w:t>
            </w:r>
            <w:r>
              <w:rPr>
                <w:rFonts w:hint="eastAsia" w:ascii="Calibri" w:hAnsi="微软雅黑" w:eastAsia="微软雅黑" w:cs="宋体"/>
                <w:color w:val="000000"/>
                <w:sz w:val="21"/>
                <w:szCs w:val="18"/>
              </w:rPr>
              <w:t>）</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处理器：≥3.8GHz，≥14核</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20,000.00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内存：≥64GBDDR5-5600</w:t>
            </w:r>
            <w:r>
              <w:rPr>
                <w:rFonts w:ascii="Calibri" w:hAnsi="微软雅黑" w:eastAsia="微软雅黑" w:cs="宋体"/>
                <w:color w:val="000000"/>
                <w:sz w:val="21"/>
                <w:szCs w:val="18"/>
              </w:rPr>
              <w:t xml:space="preserve"> </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硬盘：≥1TB固态硬盘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独立显卡：≥32G内存≥16GBDDR6显存，DDR6X,频率≥2.2GHZ</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输入设备：标配小键盘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音频：双立体声扬声器、双阵列数字麦克风、麦克风/耳机组合插孔</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网络设备：≥1个千兆有线网口，≥1个无线网卡，蓝牙5.3，</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屏幕：≥16.0寸，≥2560x1600分辨率</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端口：≥2个USB-A3.2；≥1个通用音频接口；≥2个雷电4接口,1个RJ45接口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操作系统：出厂预装常规正版操作系统.</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其他：≥500万摄像头</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其余参数均应符合财政部关于工作站</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便携式计算机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▲处理器：≥2.2GHz基础频率，≥12个内核；</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▲内存：≥16GB内存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▲硬盘：≥1TGB固态硬盘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显卡：独立显卡 8G显存。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网络设备：≥1个千兆有线网口，≥1个无线网卡，蓝牙5.2</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屏幕：≥14.0寸屏，≥1920*1080高清屏</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▲端口：≥3个USB3.2（支持关机充电），≥1个USBType-C；≥1个RJ-45，≥1个HDMI；</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操作系统：常规正版</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其他：摄像头</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其余参数均应符合财政部关于便携式计算机</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4"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塔式服务器</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配置≥1颗2.9GHz,≥16M缓存,</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12,000.00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配置≥128GB</w:t>
            </w:r>
            <w:r>
              <w:rPr>
                <w:rFonts w:ascii="Calibri" w:hAnsi="微软雅黑" w:eastAsia="微软雅黑" w:cs="宋体"/>
                <w:color w:val="000000"/>
                <w:sz w:val="21"/>
                <w:szCs w:val="18"/>
              </w:rPr>
              <w:t>DDR4。</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配置≥1块960GBSSD，≥4块4T企业级SATA硬盘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RAID卡，支持RAID0,1,5,10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▲最高可配4个PCIe插槽，支持PCIe第四代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主板≥2端口千兆网络卡</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配置高效能≥400W电源</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其余参数均应符合财政部关于通用服务器</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4"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服务器（</w:t>
            </w:r>
            <w:r>
              <w:rPr>
                <w:rFonts w:hint="eastAsia" w:cs="宋体"/>
                <w:sz w:val="21"/>
                <w:szCs w:val="21"/>
              </w:rPr>
              <w:t>核心产品</w:t>
            </w:r>
            <w:r>
              <w:rPr>
                <w:rFonts w:hint="eastAsia" w:ascii="Calibri" w:hAnsi="微软雅黑" w:eastAsia="微软雅黑" w:cs="宋体"/>
                <w:color w:val="000000"/>
                <w:sz w:val="21"/>
                <w:szCs w:val="18"/>
              </w:rPr>
              <w:t>）</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支持机架安装，原厂导轨套件</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35,000.00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配置≥2颗CPU, 主频≥2.9GHz    缓存≥16M</w:t>
            </w:r>
            <w:r>
              <w:rPr>
                <w:rStyle w:val="37"/>
                <w:rFonts w:ascii="Calibri Light" w:hAnsi="Calibri Light" w:eastAsia="华文仿宋" w:cs="Calibri Light"/>
                <w:kern w:val="2"/>
              </w:rPr>
              <w:t xml:space="preserve"> </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≥128GB</w:t>
            </w:r>
            <w:r>
              <w:rPr>
                <w:rFonts w:ascii="Calibri" w:hAnsi="微软雅黑" w:eastAsia="微软雅黑" w:cs="宋体"/>
                <w:color w:val="000000"/>
                <w:sz w:val="21"/>
                <w:szCs w:val="18"/>
              </w:rPr>
              <w:t>DDR4，</w:t>
            </w:r>
            <w:r>
              <w:rPr>
                <w:rFonts w:hint="eastAsia" w:ascii="Calibri" w:hAnsi="微软雅黑" w:eastAsia="微软雅黑" w:cs="宋体"/>
                <w:color w:val="000000"/>
                <w:sz w:val="21"/>
                <w:szCs w:val="18"/>
              </w:rPr>
              <w:t>支持最大内存≥1TB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配置≥8块2.4TBSAS10K热插拔硬盘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支持RAID0,1,5,6,10,50,60，带有2GB缓存RAID卡</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支持GPU数量≥1  显存≥24G ,PCL-E4.0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主板≥2端口千兆网络卡，可按需添加选10Gb网络卡</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▲支持冗余≥750W电源1+1、冗余电源风扇，支持热插拔，</w:t>
            </w:r>
            <w:r>
              <w:rPr>
                <w:rFonts w:ascii="Calibri" w:hAnsi="微软雅黑" w:eastAsia="微软雅黑" w:cs="宋体"/>
                <w:color w:val="000000"/>
                <w:sz w:val="21"/>
                <w:szCs w:val="18"/>
              </w:rPr>
              <w:t xml:space="preserve"> </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 w:val="21"/>
                <w:szCs w:val="18"/>
              </w:rPr>
            </w:pPr>
            <w:r>
              <w:rPr>
                <w:rFonts w:hint="eastAsia" w:ascii="Calibri" w:hAnsi="微软雅黑" w:eastAsia="微软雅黑" w:cs="宋体"/>
                <w:color w:val="000000"/>
                <w:sz w:val="21"/>
                <w:szCs w:val="18"/>
              </w:rPr>
              <w:t>其余参数均应符合财政部关于通用服务器</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平板式计算机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FF0000"/>
                <w:sz w:val="21"/>
                <w:szCs w:val="18"/>
              </w:rPr>
              <w:t>≥</w:t>
            </w:r>
            <w:r>
              <w:rPr>
                <w:rFonts w:hint="eastAsia" w:ascii="Calibri" w:hAnsi="微软雅黑" w:eastAsia="微软雅黑" w:cs="宋体"/>
                <w:color w:val="000000"/>
                <w:sz w:val="21"/>
                <w:szCs w:val="18"/>
              </w:rPr>
              <w:t>11.5英寸；</w:t>
            </w:r>
            <w:r>
              <w:rPr>
                <w:rFonts w:hint="eastAsia" w:ascii="Calibri" w:hAnsi="微软雅黑" w:eastAsia="微软雅黑" w:cs="宋体"/>
                <w:color w:val="FF0000"/>
                <w:sz w:val="21"/>
                <w:szCs w:val="18"/>
              </w:rPr>
              <w:t>≥</w:t>
            </w:r>
            <w:r>
              <w:rPr>
                <w:rFonts w:hint="eastAsia" w:ascii="Calibri" w:hAnsi="微软雅黑" w:eastAsia="微软雅黑" w:cs="宋体"/>
                <w:color w:val="000000"/>
                <w:sz w:val="21"/>
                <w:szCs w:val="18"/>
              </w:rPr>
              <w:t>8核；</w:t>
            </w:r>
            <w:r>
              <w:rPr>
                <w:rFonts w:hint="eastAsia" w:ascii="Calibri" w:hAnsi="微软雅黑" w:eastAsia="微软雅黑" w:cs="宋体"/>
                <w:color w:val="FF0000"/>
                <w:sz w:val="21"/>
                <w:szCs w:val="18"/>
              </w:rPr>
              <w:t>≥</w:t>
            </w:r>
            <w:r>
              <w:rPr>
                <w:rFonts w:hint="eastAsia" w:ascii="Calibri" w:hAnsi="微软雅黑" w:eastAsia="微软雅黑" w:cs="宋体"/>
                <w:color w:val="000000"/>
                <w:sz w:val="21"/>
                <w:szCs w:val="18"/>
              </w:rPr>
              <w:t>8GB+128GB</w:t>
            </w:r>
            <w:r>
              <w:rPr>
                <w:rFonts w:ascii="Calibri" w:hAnsi="微软雅黑" w:eastAsia="微软雅黑" w:cs="宋体"/>
                <w:color w:val="000000"/>
                <w:sz w:val="21"/>
                <w:szCs w:val="18"/>
              </w:rPr>
              <w:t xml:space="preserve"> </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2,999.00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网络设备类</w:t>
            </w: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路由器</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类型企业级路由器WAN口数量≥1，LAN口数量≥4</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传输速率≥1750Mbps内置防火墙</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功能参数支持VPN支持IPV6最大支持用户数≥3</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汇聚交换机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▲性能要求交换容量≥2.5Tbps，转发性能≥700Mpps</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35,000.00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接口要求≥40GE光接口≥2个，≥10GE光接口≥24个；</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为保证设备可扩展性，要求预留扩展插槽≥2个；</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二层功能支持基于端口、基于协议、基于MAC的VLAN；</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三层功能支持RIP、OSPF、ISIS、BGP等IPv4动态路由协议；</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支持RIPng、OSPFv3、ISISv6、BGP4+等IPv6动态路由协议；</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配置要求配置双电源，双风扇；≥24个万兆单模光模块,≥1条40G专用堆叠线缆。</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汇聚交换机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性能要求交换容量≥2.5Tbps，转发性能≥1260Mpps；</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38,000.00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接口要求40/100GEQSFP28端口≥2个，≥10GE光接口≥24个；</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为保证设备可扩展性，要求预留扩展插槽≥2个；</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二层功能支持基于端口、基于协议、基于MAC的VLAN，支持QinQ；</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三层功能支持RIP、OSPF、ISIS、BGP等IPv4动态路由协议；</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支持RIPng、OSPFv3、ISISv6、BGP4+等IPv6动态路由协议；</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配置要求配置双电源，双风扇；≥24个万兆单模光模块,≥1条40G专用堆叠线缆。</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接入交换机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产品性能交换容量≥430Gbps，包转发率≥160Mpps</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端口要求≥48个10/100/1000Base-T以太网端口，≥4个SFP+端口；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路由协议支持静态路由、RIP、OSPF；</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组播协议支持IGMP-Snooping、MLD-Snooping；</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堆叠支持最大堆叠台数&gt;=9台</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支持通过标准以太端口进行堆叠（万兆或千兆均支持）；</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VLAN特性支持基于端口的VLAN，支持基于协议的VLAN；</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支持基于MAC的VLAN；</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设备管理内置智能管理平台，支持实现对网络的统一运维及管理；</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支持802.1x认证、支持SNMPV1/V2/V3协议；支持SSH2.0；支持端口环回测试</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配置要求≥4个万兆单模光模块。</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接入交换机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产品性能交换容量≥672Gbps，包转发率≥207Mpps</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▲端口要求≥48个10/100/1000Base-T以太网端口，≥6个1/10GESFP+口；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路由协议支持RIP/RIPng，OSPFv2/v3</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组播协议支持IGMP-Snooping、MLD-Snooping；支持基于端口的组播流量统计支持MBGP，MBGPforIPv6</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堆叠支持最大堆叠台数&gt;=9台</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支持通过标准以太端口进行堆叠（万兆或千兆均支持）；</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VLAN特性支持基于端口的VLAN，支持基于协议的VLAN；</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支持基于MAC的VLAN；</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设备管理内置智能管理平台，支持实现对网络的统一运维及管理；</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支持802.1x认证、支持SNMPV1/V2/V3协议；支持SSH2.0；支持端口环回测试</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管理支持命令行接口（CLI）配置,支持Telnet远程配置,支持通过Console口配置等</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配置要求≥4个万兆单模光模块。</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交换机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性能：交换容量：≥336Gbps，转发性能≥96Mpps</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接口类型：≥24个千兆电口+4个千兆SFP光</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支持STP/RSTP/MSTP、TCsnooping、BPDU</w:t>
            </w:r>
            <w:r>
              <w:rPr>
                <w:rFonts w:ascii="Calibri" w:hAnsi="微软雅黑" w:eastAsia="微软雅黑" w:cs="宋体"/>
                <w:color w:val="000000"/>
                <w:sz w:val="21"/>
                <w:szCs w:val="18"/>
              </w:rPr>
              <w:t xml:space="preserve"> </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支持ARP、DHCPClient</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支持DoS攻击检测功能，ARP防攻击、TCP攻击防御、端口安全功能</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支持WEB页面配置、支持SNMPV1/V2c/V3</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支持端口防雷≥6KV</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终端设备</w:t>
            </w: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终端机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双屏台式一体终端，标配主副屏均配备有≥15.6寸高清触摸屏，并集成了各类电子证卡、二维码和人脸识别，</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8,600.00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操作系统常规</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硬盘容量≥1TB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分辨率≥1920×1080</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对比度≥1200：1</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亮度≥320</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响应时间(s)≤6.5</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触控点数≥10</w:t>
            </w:r>
            <w:r>
              <w:rPr>
                <w:rFonts w:ascii="Calibri" w:hAnsi="微软雅黑" w:eastAsia="微软雅黑" w:cs="宋体"/>
                <w:color w:val="000000"/>
                <w:sz w:val="21"/>
                <w:szCs w:val="18"/>
              </w:rPr>
              <w:t>.</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触摸式终端设备</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立式触摸叫号机</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屏幕类型液晶显示屏</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8,600.00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接口类型：支持以太网,USB,VGA,HDMI；操作系统常规</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硬盘容量≥128GB分辨率≥1920*1080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对比度≥3000:1亮度≥300响应时间(s)≤5</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触控点数≥5</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642"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信息化零部件设备</w:t>
            </w: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无线扫描枪</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无线传输距离：支持0-100M无线传输类型：蓝牙传输方式；影像扫描精度≥3mil.含通讯座</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1,200.00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2"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有线扫描枪</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扫描介质：支持纸质，屏幕，薄膜，解码类型；</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影像扫描精度≥3mil</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接口类型：支持USB，COM口。含支架，支持自动识别扫描。</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扫码墩</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扫描介质：支持纸质，屏幕，薄膜</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抗震能力≥1-1.5M，</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扫描精度≥3mil</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扫描仪</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A4彩色馈纸式文档扫描仪支持全线国产系统及CPU</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支持类型馈纸式幅面A4自动双面扫描连接方式USB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光学密度≥600dpi</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输出格式支持GIF,JPEG,JPG,PNG,TIFF,BMP,PDF</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显示器</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≥23.8英寸液晶显示器</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对讲机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制式：模拟电池容量≥1100毫安时以上</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最大通信距离≥3</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公里频道数量≥16个</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颜色分类黑色</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监控摄像头</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 xml:space="preserve">▲≥600万像素人员警戒网络摄像机，支持POE, </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≥5米拾音，自动侦测</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365.00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硬盘录像机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≥16路4盘位硬盘录像机≥2*4T</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1,650.00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9</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手持无线麦克风</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配置≥4路独立卡侬音频输出，Type-C接口输出，方便设备连接</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级联输出/输入，可实现多台设备级联输出，灵活配置</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监听输出，可自由调整输出音量大小，满足不同使用需求</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支持无线充电/Type-C有线充电形式</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▲具有增益功能调节，可根据现场环境灵活设置</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含主机和4个及以上手持无线麦克风。</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无线鹅颈话筒</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无线会议麦克风系统会议长杆麦指向：心形类型：电容麦克风2.0声道供电方式：内置电池传输方式：支持无线扬声方式：外放使用方式：支持桌面式</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▲含主机和4个无线鹅颈话筒。</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1"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11</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音响</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喇叭单元≥5英寸</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12</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功放</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内置蓝牙模块，支持手机蓝牙推送功能</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内置MP3解码播放器，支持播放模式自由切换</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支持U盘及SD卡存储歌曲</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支持高效功率放大电路</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设有≥1路话筒输入，≥2路线路输入</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支持高低音音量调节，输入音量可独立控制</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AUX灵敏度：≥-12dB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话筒灵敏度：≥-40dB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6"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谐波失真：THD≤0.1%</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13</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机柜</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 xml:space="preserve">服务器机柜尺寸：不小于600*1000*2055 </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14</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考勤机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考勤机≥4.3寸触摸屏≥500张人脸，≥5000枚指纹，≥20万条记录。</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15</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无绳电话</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无绳电话机子母机一拖一</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280.00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产品功能：支持三方通话</w:t>
            </w:r>
            <w:r>
              <w:rPr>
                <w:rFonts w:ascii="Calibri" w:hAnsi="微软雅黑" w:eastAsia="微软雅黑" w:cs="宋体"/>
                <w:color w:val="000000"/>
                <w:sz w:val="21"/>
                <w:szCs w:val="18"/>
              </w:rPr>
              <w:t>,支持</w:t>
            </w:r>
            <w:r>
              <w:rPr>
                <w:rFonts w:hint="eastAsia" w:ascii="Calibri" w:hAnsi="微软雅黑" w:eastAsia="微软雅黑" w:cs="宋体"/>
                <w:color w:val="000000"/>
                <w:sz w:val="21"/>
                <w:szCs w:val="18"/>
              </w:rPr>
              <w:t>停电使用</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免提功能</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支持</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屏幕:有</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放置方式</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座式</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时间显示</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支持</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类型</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无线</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16</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刻录机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外置DVD刻录机</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接口USB</w:t>
            </w:r>
            <w:r>
              <w:rPr>
                <w:rFonts w:ascii="Calibri" w:hAnsi="微软雅黑" w:eastAsia="微软雅黑" w:cs="宋体"/>
                <w:color w:val="000000"/>
                <w:sz w:val="21"/>
                <w:szCs w:val="18"/>
              </w:rPr>
              <w:t>,</w:t>
            </w:r>
            <w:r>
              <w:rPr>
                <w:rFonts w:hint="eastAsia" w:ascii="Calibri" w:hAnsi="微软雅黑" w:eastAsia="微软雅黑" w:cs="宋体"/>
                <w:color w:val="000000"/>
                <w:sz w:val="21"/>
                <w:szCs w:val="18"/>
              </w:rPr>
              <w:t>写入速度CD-RW24X</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读取速度(点/秒)CD-RW24X</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17</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读卡器</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支持陕西省社会保障卡、陕西省居民健康卡、医院就诊卡、二代居民身份证信息读取，兼容其他接触式IC卡和非接触式IC卡，同时提供陕西社会保障卡、陕西省居民健康卡、医院就诊卡、二代居民身份证判断动态链接库文件；</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2,950.00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2．非接触式支持符合ISO14443TypeA标准的IC卡，射频感应距离为0-5cm，无盲区，读写防冲突；</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3.接触式支持符合ISO7816标准的IC卡，卡座插拔卡寿命≥20万次；</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4.支持扫码读取（一维码、二维码）功能;支持医保电子凭证、电子健康卡读取。</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5.支持配备电源适配器。</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6.≥4个符合GSM11.11标准的SAM卡座；</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7．PC通信接口支持RS232或者USB，其中USB采用免驱动技术，支持带电热插拔；</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18</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密码键盘</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USB即插即用型密码键盘，支持键盘数据加密功能。支持语音提示及液晶显示功能</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办公设备</w:t>
            </w: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电子白板</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整机屏幕采用≥86英寸超高清液晶屏，屏幕显示分辨率≥3840*2160，刷新频率≥60Hz，≥256级灰阶显示，可视角度≥178°，动态对比度≥5000：1，亮度≥280cd/m2，显示响应时间≤8ms，全高清4K图标显示</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28,500.00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▲整机内置单颗≥4800W像素高清摄像头，可拍摄不低于4K30fps高清视频画面，摄像头对角线场视角≥100°，水平视场角≥90°，垂直视场角≥60°，畸变≤11.6%</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▲可根据与会人数自动调整焦距，聚焦会议全员</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内置≥8阵列麦克风，支持前向≥180°拾音，有效拾音距离≥12米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采用2.0声道，内置≥2*10W缝隙发声扬声器</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采用内嵌电脑方案，非模块化方案，CPU≥Intel酷睿系列i511代或以上配置；内存≥8GB；硬盘采用固态硬盘，≥128GB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搭配正版操作系统</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采用红外触控技术，支持采用被动红外笔及手指进行触摸书写，触控分辨率≥32768（W）*32768（D）</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窗口化文件插入，文件格式包含但不限于word、pdf、PPT、xdw、mp3、wav、wma、aac、wmv、avi、mp4、3gp、mov、mkv，插入的内容支持裁剪、移动至其他页面、拷贝、删除等操作（提供带CMA或CNAS标识的第三方认证机构测试报告）</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整机内置接收模块，除无线传屏器外不需要连接任何附加设备，可实现外部电脑音视频信号实时传输到触摸一体机上，且支持触摸回传，支持免安装驱动，即插即用</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提供带原厂盖章的CMA和CNAS标识的第三方认证机构测试报告</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会议大屏（</w:t>
            </w:r>
            <w:r>
              <w:rPr>
                <w:rFonts w:hint="eastAsia" w:cs="宋体"/>
                <w:sz w:val="21"/>
                <w:szCs w:val="21"/>
              </w:rPr>
              <w:t>核心产品</w:t>
            </w:r>
            <w:r>
              <w:rPr>
                <w:rFonts w:hint="eastAsia" w:ascii="Calibri" w:hAnsi="微软雅黑" w:eastAsia="微软雅黑" w:cs="宋体"/>
                <w:color w:val="000000"/>
                <w:sz w:val="21"/>
                <w:szCs w:val="18"/>
              </w:rPr>
              <w:t>）</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屏幕86英寸UHD超高清LCD液晶屏，显示比例16:9，屏幕显示分辨率≥3840*2160，刷新频率≥60Hz，≥256级灰阶显示，色彩度1.07B（10bit），可视角度178°，动态对比度：5000：1，亮度≥350cd/m2，显示响应时间≤8ms，全高清4K图标显示</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52,000.00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2.钢化玻璃和液晶屏间隙≤0.86mm，整机屏占比≥86%，整机最薄处≤32mm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3.支持硬件低蓝光</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4.红外触控技术，支持采用被动红外笔及手指进行触摸书写，触控分辨率：32768（W）*32768（D），触摸精度±1mm，最小识别物2mm，响应时间≤2.5ms，书写高度≤1mm。支持20点书写，40点触摸</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5.独立物理按键，可实现开机、熄屏（待机）、唤醒、关机功能</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内置千兆路由模块，支持2T2RAP，最多支持40个端接入，标配WI-FI6无线STA模块，模块支持热插拔，支持802.11a/b/g/n/ac/ax协议，工作距离≥20米，支持AP与STA两种工作模式同时工作，在接入无线网络的同时，也可以作为热点允许其他设备连接</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7.内置单颗≥5000W像素高清摄像头，清晰度≥2000线，可拍摄不低于4K30fps高清视频画面</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支持手动取景模式，在此模式下支持设置摄像头预设位，最多支持预设不少于9个机位；支持智能全景模式，无需机械转动，可根据与会人数自动调整焦距，聚焦会议全员，支持≥5倍变焦；支持发言人追踪，自动切换发言人特写画面，无需手动调整，声源定位精度≤1度，跟踪定位后可支持最大4.5倍的画面放大</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9.内置8阵列麦克风，支持前向≥180°拾音，有效拾音距离≥15米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10.整机除OPS模块外，前置面板接口：1*Type-C，2*USB3.0Type-A，侧置具备如下接口：2*HDMIIN；1*USB2.0；1*TOUCH；1*AUDIO OUT；1*RS232；1*AUDIO IN；1*RJ45</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11.支持统信UOS及麒麟OS的电脑。</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提供带CMA或CNAS标识的第三方认证机构测试报告</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触控一体机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1.最大分辨率(垂直)1080色深16bit类型室内型触摸屏亮度500</w:t>
            </w:r>
          </w:p>
        </w:tc>
        <w:tc>
          <w:tcPr>
            <w:tcW w:w="1067"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2.最大分辨率(水平)≥1920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3.屏幕尺寸(英寸)≥21.5</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面板类型IPS屏幕比例≥16:9</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对比度≥2000：1设备类型落地式</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4.可视角度178刷新率≥60Hz</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灰阶响应时间≤5ms操作系统Windows10及以上</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支持网卡以太网</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▲5.内置音箱有USB3.0接口数量≥2</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触摸点数≥10</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触控类型电容HDMI接口数量≥1</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内置PC模块内存容量≥16G</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内置PC操作系统Windows10及以上</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固态硬盘容量≥128G</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75"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复印机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基本功能：具备文字文档打印、图片打印、份数设置、范围设置、页边距设置、缩放打印设置、打印队列管理等基本功能，支持自动双面打印、网络打印，支持PC端打印状态监视。支持彩色扫描，支持稿台（FB）、自动进稿器（ADF），支持同步双面扫描，自带扫描应用软件。</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主要参数：国产处理器 ≥800MHz主频，内存≥2GB</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接口类型：USB 3.0 / RJ-11/ RJ-45；</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显示屏：≥8英寸触控屏</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 xml:space="preserve">打印系统：打印幅面：A3；连续打印速度≥40页/分钟（A4），首页输出时间≤2.8秒；标配两个纸盒，标准纸盘纸张输入容量≥1100页； </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扫描系统：支持平板+双面同步ADF扫描；彩色CIS扫描元件，光学分辨率≥600dpi</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复印系统：复印分辨率≥600×600dpi；缩放比例 25%-400%</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打印安全管理：自带硒鼓、粉盒清零</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自带涉密芯片符合内网安全要求</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随机耗材：随机墨粉容量≥10000页；随机硒鼓寿命≥150000页</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服务承诺：提供3年保修服务，7×24小时电话响应支持。根据CPU芯片和系统升级，以及安可替代工程产品目录更新，提供3年内免费适配服务</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29,900.00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A3黑白打印机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1.CPU≥1.2GHz</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29,900.00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2.打印速度≥40页/分钟</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3.内存标配≥1GB(上限3GB)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供纸能力≥1100张</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控制面板7英寸彩色触摸LCD面板</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▲4.墨粉组件≥60,000页(5%覆盖率)</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5.保养组件≥600,000页"</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A3彩色打印机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1.类型喷墨A3幅面</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2.黑白文本15页/分钟彩色文本≥8页/分钟</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3.墨水打印量黑色4300页彩色≥7000页</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支持无线网络</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支持有线连接USB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4.打印机类型墨仓式</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72"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复印机</w:t>
            </w:r>
          </w:p>
        </w:tc>
        <w:tc>
          <w:tcPr>
            <w:tcW w:w="5472"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处理器：四核≥1.2GHz+双核≥1GHz+双核≥1GHz</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纸盒：双纸盒</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打印速度：≥65ppm</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内存：≥2GB+1GB+1GB</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打印速度：≥65ppm</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支持A3幅面</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支持彩色激光</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62,500.00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w:t>
            </w:r>
          </w:p>
        </w:tc>
        <w:tc>
          <w:tcPr>
            <w:tcW w:w="818" w:type="dxa"/>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A4黑白打印机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1.打印速度</w:t>
            </w:r>
            <w:r>
              <w:rPr>
                <w:rFonts w:hint="eastAsia" w:ascii="MS Gothic" w:hAnsi="MS Gothic" w:eastAsia="MS Gothic" w:cs="MS Gothic"/>
                <w:color w:val="000000"/>
                <w:sz w:val="21"/>
                <w:szCs w:val="18"/>
              </w:rPr>
              <w:t>‌</w:t>
            </w:r>
            <w:r>
              <w:rPr>
                <w:rFonts w:hint="eastAsia" w:ascii="微软雅黑" w:hAnsi="微软雅黑" w:eastAsia="微软雅黑" w:cs="微软雅黑"/>
                <w:color w:val="000000"/>
                <w:sz w:val="21"/>
                <w:szCs w:val="18"/>
              </w:rPr>
              <w:t>：≥</w:t>
            </w:r>
            <w:r>
              <w:rPr>
                <w:rFonts w:hint="eastAsia" w:ascii="Calibri" w:hAnsi="微软雅黑" w:eastAsia="微软雅黑" w:cs="宋体"/>
                <w:color w:val="000000"/>
                <w:sz w:val="21"/>
                <w:szCs w:val="18"/>
              </w:rPr>
              <w:t>18页/分钟</w:t>
            </w:r>
          </w:p>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2.耐用性</w:t>
            </w:r>
            <w:r>
              <w:rPr>
                <w:rFonts w:hint="eastAsia" w:ascii="MS Gothic" w:hAnsi="MS Gothic" w:eastAsia="MS Gothic" w:cs="MS Gothic"/>
                <w:color w:val="000000"/>
                <w:sz w:val="21"/>
                <w:szCs w:val="18"/>
              </w:rPr>
              <w:t>‌</w:t>
            </w:r>
            <w:r>
              <w:rPr>
                <w:rFonts w:hint="eastAsia" w:ascii="微软雅黑" w:hAnsi="微软雅黑" w:eastAsia="微软雅黑" w:cs="微软雅黑"/>
                <w:color w:val="000000"/>
                <w:sz w:val="21"/>
                <w:szCs w:val="18"/>
              </w:rPr>
              <w:t>：支持使用</w:t>
            </w:r>
            <w:r>
              <w:rPr>
                <w:rFonts w:hint="eastAsia" w:ascii="Calibri" w:hAnsi="微软雅黑" w:eastAsia="微软雅黑" w:cs="宋体"/>
                <w:color w:val="000000"/>
                <w:sz w:val="21"/>
                <w:szCs w:val="18"/>
              </w:rPr>
              <w:t>88A硒鼓</w:t>
            </w:r>
          </w:p>
        </w:tc>
        <w:tc>
          <w:tcPr>
            <w:tcW w:w="1067" w:type="dxa"/>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1,500.00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9</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A4彩色打印机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1.打印分辨率≥5760*1440dpi</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2.支持672系列墨水单页</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票据打印机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1.支持82列经典型平推票据打印机</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1,750.00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▲2.复写能力≥7份（1份原件+6份拷贝）</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打印厚度0.052-0.53mm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整机保修4年（含打印头）</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11</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条码打印机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1.主机要求白色分辨率≥203dpi/8点/毫米</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1,035.00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2.内存≥256MB闪存≥128MBSDRAM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最大打印宽度4.09英寸/104毫米(203dpi)</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最高打印速度6英寸/152毫米/秒</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介质传感器.可移动黑标传感器，从中心到左侧的有限范围</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3.偏离中心的固定间隙传感器</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固件ZPLII;EPL2;XML</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介质和碳带特性</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最大标签长度39.0英寸/991毫米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介质宽度1.00英寸/25.4毫米至4.4英寸/112毫米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碳带外径1.34英寸/34毫米(74米)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4.介质碳带为11(74米)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碳带宽度1.33英寸/338毫米至4.3英寸/109.2毫米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碳带卷芯内径74米碳带:0.5英寸/12.7毫米</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13</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桌面发票打印机机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1.打印方式热转印及热敏</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2,850.00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打印头寿命≥150km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3.分辨率≥300dpi</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打印宽度106mm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打印速度≥150mm/s</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4.内存SDRAM：8MB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5.FLASH：8MB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纸张规格纸厚：0.06~0.254mm纸宽：19~120mm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外径：203mm（8英寸）内径：38~76mm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标配传感器纸张检测、黑标检测、标签检测、机构检测、碳带检测</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标配接口网口</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6.碳带规格内径：25.4mm、外径：68mm、宽度33~110mm、长度：300m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7.标配件切刀</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管理软件支持dascomprind管理软件</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产品认证通过国家强制CCC认证</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▲8.功能可打印挂号小票，预交金小票，电子发票，清单，医保收费单。</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14</w:t>
            </w:r>
          </w:p>
        </w:tc>
        <w:tc>
          <w:tcPr>
            <w:tcW w:w="818" w:type="dxa"/>
            <w:vMerge w:val="restart"/>
            <w:shd w:val="clear" w:color="auto" w:fill="auto"/>
            <w:vAlign w:val="center"/>
          </w:tcPr>
          <w:p>
            <w:pPr>
              <w:spacing w:line="320" w:lineRule="exact"/>
              <w:jc w:val="center"/>
              <w:rPr>
                <w:rFonts w:ascii="Calibri" w:hAnsi="微软雅黑" w:eastAsia="微软雅黑" w:cs="宋体"/>
                <w:color w:val="000000"/>
                <w:szCs w:val="18"/>
              </w:rPr>
            </w:pPr>
            <w:r>
              <w:rPr>
                <w:rFonts w:hint="eastAsia" w:ascii="Calibri" w:hAnsi="微软雅黑" w:eastAsia="微软雅黑" w:cs="宋体"/>
                <w:color w:val="000000"/>
                <w:sz w:val="21"/>
                <w:szCs w:val="18"/>
              </w:rPr>
              <w:t>门诊缴费小票打印机</w:t>
            </w: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1.打印方式热敏</w:t>
            </w:r>
          </w:p>
        </w:tc>
        <w:tc>
          <w:tcPr>
            <w:tcW w:w="1067" w:type="dxa"/>
            <w:vMerge w:val="restart"/>
            <w:shd w:val="clear" w:color="auto" w:fill="auto"/>
            <w:noWrap/>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700.00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2.打印速度最大250mm/s</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纸张类型普通热敏纸:79.5xф80mm(MAX)</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厚度:0.06-0.08mm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打印纸宽80mm</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3.标配接口网口、USB</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上纸方式简易装纸</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切纸方式半切、全切</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电源要求DC241.5A</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产品认证通过国家强制CCC认证</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2"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23" w:type="dxa"/>
            <w:vMerge w:val="continue"/>
            <w:shd w:val="clear" w:color="auto" w:fill="auto"/>
            <w:vAlign w:val="center"/>
          </w:tcPr>
          <w:p>
            <w:pPr>
              <w:spacing w:line="320" w:lineRule="exact"/>
              <w:rPr>
                <w:rFonts w:ascii="Calibri" w:hAnsi="微软雅黑" w:eastAsia="微软雅黑" w:cs="宋体"/>
                <w:color w:val="000000"/>
                <w:szCs w:val="18"/>
              </w:rPr>
            </w:pPr>
          </w:p>
        </w:tc>
        <w:tc>
          <w:tcPr>
            <w:tcW w:w="818" w:type="dxa"/>
            <w:vMerge w:val="continue"/>
            <w:shd w:val="clear" w:color="auto" w:fill="auto"/>
            <w:vAlign w:val="center"/>
          </w:tcPr>
          <w:p>
            <w:pPr>
              <w:spacing w:line="320" w:lineRule="exact"/>
              <w:jc w:val="center"/>
              <w:rPr>
                <w:rFonts w:ascii="Calibri" w:hAnsi="微软雅黑" w:eastAsia="微软雅黑" w:cs="宋体"/>
                <w:color w:val="000000"/>
                <w:szCs w:val="18"/>
              </w:rPr>
            </w:pPr>
          </w:p>
        </w:tc>
        <w:tc>
          <w:tcPr>
            <w:tcW w:w="5472" w:type="dxa"/>
            <w:shd w:val="clear" w:color="auto" w:fill="auto"/>
            <w:vAlign w:val="center"/>
          </w:tcPr>
          <w:p>
            <w:pPr>
              <w:spacing w:line="320" w:lineRule="exact"/>
              <w:rPr>
                <w:rFonts w:ascii="Calibri" w:hAnsi="微软雅黑" w:eastAsia="微软雅黑" w:cs="宋体"/>
                <w:color w:val="000000"/>
                <w:szCs w:val="18"/>
              </w:rPr>
            </w:pPr>
            <w:r>
              <w:rPr>
                <w:rFonts w:hint="eastAsia" w:ascii="Calibri" w:hAnsi="微软雅黑" w:eastAsia="微软雅黑" w:cs="宋体"/>
                <w:color w:val="000000"/>
                <w:sz w:val="21"/>
                <w:szCs w:val="18"/>
              </w:rPr>
              <w:t>4.功能打印门诊缴费小票，结算小票预交小票</w:t>
            </w:r>
          </w:p>
        </w:tc>
        <w:tc>
          <w:tcPr>
            <w:tcW w:w="1067" w:type="dxa"/>
            <w:vMerge w:val="continue"/>
            <w:shd w:val="clear" w:color="auto" w:fill="auto"/>
            <w:vAlign w:val="center"/>
          </w:tcPr>
          <w:p>
            <w:pPr>
              <w:spacing w:line="320" w:lineRule="exact"/>
              <w:rPr>
                <w:rFonts w:ascii="Calibri" w:hAnsi="微软雅黑" w:eastAsia="微软雅黑" w:cs="宋体"/>
                <w:color w:val="000000"/>
                <w:szCs w:val="18"/>
              </w:rPr>
            </w:pPr>
          </w:p>
        </w:tc>
      </w:tr>
    </w:tbl>
    <w:p>
      <w:pPr>
        <w:spacing w:line="360" w:lineRule="auto"/>
      </w:pPr>
      <w:r>
        <w:rPr>
          <w:rFonts w:hint="eastAsia"/>
        </w:rPr>
        <w:t>注：1.核心产品中带▲的为重要参数。需提供证明材料（包括但不限于国家认可的第三方检测机构检测报告、技术白皮书、官网截图、使用说明书等）</w:t>
      </w:r>
    </w:p>
    <w:p>
      <w:pPr>
        <w:spacing w:line="360" w:lineRule="auto"/>
        <w:ind w:firstLine="420" w:firstLineChars="200"/>
      </w:pPr>
      <w:r>
        <w:rPr>
          <w:rFonts w:ascii="Calibri" w:hAnsi="宋体" w:eastAsia="宋体" w:cstheme="minorHAnsi"/>
          <w:bCs/>
          <w:sz w:val="21"/>
          <w:szCs w:val="21"/>
        </w:rPr>
        <w:t>★</w:t>
      </w:r>
      <w:r>
        <w:rPr>
          <w:rFonts w:hint="eastAsia"/>
        </w:rPr>
        <w:t>2.本次投标所提供2U机架式服务器、台式计算机和图形工作站需提供厂商售后服务承诺函</w:t>
      </w:r>
      <w:r>
        <w:t>。</w:t>
      </w:r>
    </w:p>
    <w:p>
      <w:pPr>
        <w:pStyle w:val="3"/>
      </w:pPr>
      <w:bookmarkStart w:id="11" w:name="_Toc100219615"/>
      <w:r>
        <w:t>三、商务要求</w:t>
      </w:r>
    </w:p>
    <w:p>
      <w:pPr>
        <w:ind w:firstLine="480" w:firstLineChars="200"/>
      </w:pPr>
      <w:r>
        <w:rPr>
          <w:rFonts w:hint="eastAsia"/>
        </w:rPr>
        <w:t>（一）服务期:自合同签订之日起一年或一年内完成项目预算金额合同自动终止，按需采购。</w:t>
      </w:r>
    </w:p>
    <w:p>
      <w:pPr>
        <w:ind w:firstLine="480" w:firstLineChars="200"/>
      </w:pPr>
      <w:r>
        <w:rPr>
          <w:rFonts w:hint="eastAsia"/>
        </w:rPr>
        <w:t>（二）交货期：自本合同签订之日起，乙方接到甲方的供货通知后</w:t>
      </w:r>
      <w:r>
        <w:t>7</w:t>
      </w:r>
      <w:r>
        <w:rPr>
          <w:rFonts w:hint="eastAsia"/>
        </w:rPr>
        <w:t>个日历日内交货。</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（三）质保期：国家有明确规定的按照国家规定执行；无明确规定的自甲方签发</w:t>
      </w:r>
      <w:r>
        <w:rPr>
          <w:rFonts w:hint="eastAsia" w:ascii="Calibri" w:hAnsi="Calibri" w:eastAsia="宋体" w:cstheme="minorHAnsi"/>
          <w:bCs/>
          <w:color w:val="000000"/>
          <w:kern w:val="24"/>
        </w:rPr>
        <w:t>项</w:t>
      </w:r>
      <w:r>
        <w:rPr>
          <w:rFonts w:hint="eastAsia" w:ascii="Calibri" w:hAnsi="Calibri" w:eastAsia="宋体" w:cstheme="minorHAnsi"/>
          <w:color w:val="000000"/>
          <w:kern w:val="24"/>
        </w:rPr>
        <w:t>目验收单之日起计算，质保一年。</w:t>
      </w:r>
    </w:p>
    <w:p>
      <w:pPr>
        <w:ind w:firstLine="420" w:firstLineChars="200"/>
        <w:jc w:val="both"/>
        <w:rPr>
          <w:rFonts w:ascii="Calibri" w:hAnsi="Calibri" w:eastAsia="宋体" w:cstheme="minorHAnsi"/>
          <w:color w:val="000000"/>
          <w:kern w:val="24"/>
        </w:rPr>
      </w:pPr>
      <w:r>
        <w:rPr>
          <w:rFonts w:ascii="Calibri" w:hAnsi="宋体" w:eastAsia="宋体" w:cstheme="minorHAnsi"/>
          <w:bCs/>
          <w:sz w:val="21"/>
          <w:szCs w:val="21"/>
        </w:rPr>
        <w:t>★</w:t>
      </w:r>
      <w:r>
        <w:rPr>
          <w:rFonts w:ascii="Calibri" w:hAnsi="Calibri" w:eastAsia="宋体" w:cstheme="minorHAnsi"/>
          <w:color w:val="000000"/>
          <w:kern w:val="24"/>
        </w:rPr>
        <w:t>（四）</w:t>
      </w:r>
      <w:r>
        <w:rPr>
          <w:rFonts w:hint="eastAsia" w:ascii="Calibri" w:hAnsi="Calibri" w:eastAsia="宋体" w:cstheme="minorHAnsi"/>
          <w:color w:val="000000"/>
          <w:kern w:val="24"/>
        </w:rPr>
        <w:t>采购清单内台式计算机、便携式计算机、平板式计算机、显示器、A4黑白打印机都属于《节能产品政府采购品目清单》内强制采购的品目，供应商须提供上述所投产品的有效期内的节能产品认证证书。</w:t>
      </w:r>
    </w:p>
    <w:p>
      <w:pPr>
        <w:rPr>
          <w:rFonts w:ascii="Calibri" w:hAnsi="Calibri" w:eastAsia="黑体"/>
          <w:bCs/>
          <w:kern w:val="36"/>
          <w:sz w:val="32"/>
          <w:szCs w:val="32"/>
        </w:rPr>
      </w:pPr>
      <w:r>
        <w:br w:type="page"/>
      </w:r>
    </w:p>
    <w:p>
      <w:pPr>
        <w:pStyle w:val="2"/>
        <w:spacing w:before="210" w:after="210"/>
      </w:pPr>
      <w:r>
        <w:rPr>
          <w:rFonts w:hint="eastAsia"/>
        </w:rPr>
        <w:t>第四章　合同文本</w:t>
      </w:r>
      <w:bookmarkEnd w:id="11"/>
    </w:p>
    <w:p>
      <w:pPr>
        <w:spacing w:before="210" w:beforeLines="50"/>
        <w:ind w:firstLine="480" w:firstLineChars="200"/>
        <w:rPr>
          <w:b/>
        </w:rPr>
      </w:pPr>
      <w:r>
        <w:rPr>
          <w:b/>
        </w:rPr>
        <w:t>甲方（采购人）：</w:t>
      </w:r>
      <w:r>
        <w:rPr>
          <w:rFonts w:hint="eastAsia"/>
          <w:b/>
          <w:u w:val="single"/>
        </w:rPr>
        <w:t>西安市第九医院</w:t>
      </w:r>
    </w:p>
    <w:p>
      <w:pPr>
        <w:ind w:firstLine="480" w:firstLineChars="200"/>
        <w:rPr>
          <w:b/>
        </w:rPr>
      </w:pPr>
      <w:r>
        <w:rPr>
          <w:b/>
        </w:rPr>
        <w:t>乙方（中标</w:t>
      </w:r>
      <w:r>
        <w:rPr>
          <w:rFonts w:hint="eastAsia"/>
          <w:b/>
        </w:rPr>
        <w:t>供应商</w:t>
      </w:r>
      <w:r>
        <w:rPr>
          <w:b/>
        </w:rPr>
        <w:t>）：</w:t>
      </w:r>
      <w:r>
        <w:rPr>
          <w:rFonts w:hint="eastAsia"/>
        </w:rPr>
        <w:t>_________________</w:t>
      </w:r>
    </w:p>
    <w:p>
      <w:pPr>
        <w:spacing w:before="210" w:beforeLines="50" w:after="210" w:afterLines="50"/>
        <w:jc w:val="both"/>
        <w:rPr>
          <w:rFonts w:cs="Calibri Light" w:asciiTheme="majorHAnsi" w:hAnsiTheme="majorHAnsi"/>
          <w:b/>
        </w:rPr>
      </w:pPr>
      <w:r>
        <w:rPr>
          <w:rFonts w:cs="Calibri Light" w:asciiTheme="majorHAnsi" w:hAnsiTheme="majorHAnsi"/>
          <w:b/>
        </w:rPr>
        <w:t>一、服务条件：</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（一）供货地点：甲方指定地点。</w:t>
      </w:r>
    </w:p>
    <w:p>
      <w:pPr>
        <w:ind w:firstLine="480" w:firstLineChars="200"/>
      </w:pPr>
      <w:r>
        <w:rPr>
          <w:rFonts w:asciiTheme="majorHAnsi" w:hAnsiTheme="majorHAnsi"/>
        </w:rPr>
        <w:t>（二）交货期：</w:t>
      </w:r>
      <w:r>
        <w:rPr>
          <w:rFonts w:hint="eastAsia"/>
          <w:color w:val="FF0000"/>
        </w:rPr>
        <w:t>自本合同签订之日起，乙方接到甲方的供货通知后</w:t>
      </w:r>
      <w:r>
        <w:rPr>
          <w:color w:val="FF0000"/>
        </w:rPr>
        <w:t>7</w:t>
      </w:r>
      <w:r>
        <w:rPr>
          <w:rFonts w:hint="eastAsia"/>
          <w:color w:val="FF0000"/>
        </w:rPr>
        <w:t>个日历日内交货。</w:t>
      </w:r>
    </w:p>
    <w:p>
      <w:pPr>
        <w:ind w:firstLine="480" w:firstLineChars="200"/>
      </w:pPr>
      <w:r>
        <w:t>（三）质保期</w:t>
      </w:r>
      <w:r>
        <w:rPr>
          <w:rFonts w:hint="eastAsia"/>
        </w:rPr>
        <w:t>：</w:t>
      </w:r>
      <w:r>
        <w:rPr>
          <w:rFonts w:hint="eastAsia" w:ascii="Calibri" w:hAnsi="Calibri" w:eastAsia="宋体" w:cstheme="minorHAnsi"/>
          <w:color w:val="000000"/>
          <w:kern w:val="24"/>
        </w:rPr>
        <w:t>一年，自甲方签发</w:t>
      </w:r>
      <w:r>
        <w:rPr>
          <w:rFonts w:hint="eastAsia" w:ascii="Calibri" w:hAnsi="Calibri" w:eastAsia="宋体" w:cstheme="minorHAnsi"/>
          <w:bCs/>
          <w:color w:val="000000"/>
          <w:kern w:val="24"/>
        </w:rPr>
        <w:t>项</w:t>
      </w:r>
      <w:r>
        <w:rPr>
          <w:rFonts w:hint="eastAsia" w:ascii="Calibri" w:hAnsi="Calibri" w:eastAsia="宋体" w:cstheme="minorHAnsi"/>
          <w:color w:val="000000"/>
          <w:kern w:val="24"/>
        </w:rPr>
        <w:t>目验收单之日起计算。</w:t>
      </w:r>
    </w:p>
    <w:p>
      <w:pPr>
        <w:spacing w:before="210" w:beforeLines="50" w:after="210" w:afterLines="50"/>
        <w:jc w:val="both"/>
        <w:rPr>
          <w:rFonts w:cs="Calibri Light" w:asciiTheme="majorHAnsi" w:hAnsiTheme="majorHAnsi"/>
          <w:b/>
        </w:rPr>
      </w:pPr>
      <w:r>
        <w:rPr>
          <w:rFonts w:cs="Calibri Light" w:asciiTheme="majorHAnsi" w:hAnsiTheme="majorHAnsi"/>
          <w:b/>
        </w:rPr>
        <w:t>二、合同价款</w:t>
      </w:r>
    </w:p>
    <w:p>
      <w:pPr>
        <w:pStyle w:val="94"/>
        <w:ind w:firstLine="480"/>
      </w:pPr>
      <w:r>
        <w:rPr>
          <w:rFonts w:hint="eastAsia"/>
        </w:rPr>
        <w:t>合同履行期间，合同单价固定不变，合同单价包括：甲方采购货物所需支付的全部费用，即货物价格、税金、包装、运输、装卸等所有费用，除此之外甲方不再向乙方另行支付任何费用。</w:t>
      </w:r>
      <w:r>
        <w:rPr>
          <w:rFonts w:hint="eastAsia"/>
          <w:bCs/>
        </w:rPr>
        <w:t>按照甲方要求送货，据实结算，总结算金额不能超过预算价格，</w:t>
      </w:r>
      <w:r>
        <w:rPr>
          <w:rFonts w:hint="eastAsia"/>
        </w:rPr>
        <w:t>不受市场价格变化因素的影响。</w:t>
      </w:r>
    </w:p>
    <w:p>
      <w:pPr>
        <w:spacing w:before="210" w:beforeLines="50" w:after="210" w:afterLines="50"/>
        <w:jc w:val="both"/>
        <w:rPr>
          <w:rFonts w:cs="Calibri Light" w:asciiTheme="majorHAnsi" w:hAnsiTheme="majorHAnsi"/>
          <w:b/>
        </w:rPr>
      </w:pPr>
      <w:r>
        <w:rPr>
          <w:rFonts w:cs="Calibri Light" w:asciiTheme="majorHAnsi" w:hAnsiTheme="majorHAnsi"/>
          <w:b/>
        </w:rPr>
        <w:t>三、款项结算</w:t>
      </w:r>
    </w:p>
    <w:p>
      <w:pPr>
        <w:pStyle w:val="68"/>
        <w:ind w:firstLine="480" w:firstLineChars="200"/>
        <w:jc w:val="both"/>
        <w:rPr>
          <w:rFonts w:asciiTheme="majorHAnsi" w:hAnsiTheme="majorHAnsi" w:eastAsiaTheme="minorEastAsia"/>
          <w:b/>
          <w:color w:val="FF0000"/>
          <w:sz w:val="24"/>
          <w:szCs w:val="24"/>
        </w:rPr>
      </w:pPr>
      <w:r>
        <w:rPr>
          <w:rFonts w:hint="eastAsia" w:asciiTheme="majorHAnsi" w:hAnsiTheme="majorHAnsi" w:eastAsiaTheme="minorEastAsia"/>
          <w:color w:val="C00000"/>
          <w:sz w:val="24"/>
          <w:szCs w:val="24"/>
        </w:rPr>
        <w:t>（一）甲方于收到乙方的发票后90日后一次性按发票金额付款。若因乙方原因延迟提供发票或提供的发票不合格，甲方有权延期付款且不承担任何违约责任。</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（二）支付方式：银行转账。</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（三）结算方式：</w:t>
      </w:r>
      <w:r>
        <w:rPr>
          <w:rFonts w:hint="eastAsia" w:asciiTheme="majorHAnsi" w:hAnsiTheme="majorHAnsi" w:eastAsiaTheme="minorEastAsia"/>
          <w:sz w:val="24"/>
          <w:szCs w:val="24"/>
        </w:rPr>
        <w:t>货物送到指定地点，经甲方验收合格后，出具验收单，固资单。乙方持</w:t>
      </w:r>
      <w:r>
        <w:rPr>
          <w:rFonts w:asciiTheme="majorHAnsi" w:hAnsiTheme="majorHAnsi" w:eastAsiaTheme="minorEastAsia"/>
          <w:sz w:val="24"/>
          <w:szCs w:val="24"/>
        </w:rPr>
        <w:t>中标通知书、货物合同、发票、</w:t>
      </w:r>
      <w:r>
        <w:rPr>
          <w:rFonts w:hint="eastAsia" w:asciiTheme="majorHAnsi" w:hAnsiTheme="majorHAnsi" w:eastAsiaTheme="minorEastAsia"/>
          <w:sz w:val="24"/>
          <w:szCs w:val="24"/>
        </w:rPr>
        <w:t>固资单，季度供货明细单，</w:t>
      </w:r>
      <w:r>
        <w:rPr>
          <w:rFonts w:asciiTheme="majorHAnsi" w:hAnsiTheme="majorHAnsi" w:eastAsiaTheme="minorEastAsia"/>
          <w:sz w:val="24"/>
          <w:szCs w:val="24"/>
        </w:rPr>
        <w:t>政府采购项目验收单，与甲方结算。</w:t>
      </w:r>
    </w:p>
    <w:p>
      <w:pPr>
        <w:ind w:firstLine="480" w:firstLineChars="200"/>
      </w:pPr>
      <w:r>
        <w:t>注：</w:t>
      </w:r>
      <w:r>
        <w:rPr>
          <w:rFonts w:hint="eastAsia"/>
        </w:rPr>
        <w:t>若因乙方开具发票引起的任何争议，均由乙方承担责任，包括但不限于税款、滞纳金、罚款等责任。由此造成甲方损失的，乙方应当承担全部的赔偿责任，包括但不限于甲方全部的经济损失、发生诉讼所产生的诉讼费、律师费等一切费用。</w:t>
      </w:r>
    </w:p>
    <w:p>
      <w:pPr>
        <w:rPr>
          <w:rFonts w:cstheme="minorHAnsi"/>
          <w:b/>
        </w:rPr>
      </w:pPr>
      <w:r>
        <w:rPr>
          <w:rFonts w:cstheme="minorHAnsi"/>
          <w:b/>
        </w:rPr>
        <w:t>四、</w:t>
      </w:r>
      <w:r>
        <w:rPr>
          <w:rFonts w:hint="eastAsia" w:cstheme="minorHAnsi"/>
          <w:b/>
        </w:rPr>
        <w:t>质量保证</w:t>
      </w:r>
    </w:p>
    <w:p>
      <w:pPr>
        <w:ind w:firstLine="480" w:firstLineChars="200"/>
      </w:pPr>
      <w:r>
        <w:rPr>
          <w:rFonts w:hint="eastAsia"/>
        </w:rPr>
        <w:t>（一）保证所供货物技术指标先进、质量性能可靠、配置合理、进货渠道正规，全面满足招标文件要求，无假货、水货或翻新货，并能按期交付。</w:t>
      </w:r>
    </w:p>
    <w:p>
      <w:pPr>
        <w:ind w:firstLine="480" w:firstLineChars="200"/>
      </w:pPr>
      <w:r>
        <w:rPr>
          <w:rFonts w:hint="eastAsia"/>
        </w:rPr>
        <w:t>（二）保证所供货物在装卸、运输和仓储过程中有足够的包装保护，防止货物受潮、锈蚀、遭受冲撞及其他不可预见的损坏。</w:t>
      </w:r>
    </w:p>
    <w:p>
      <w:pPr>
        <w:ind w:firstLine="480" w:firstLineChars="200"/>
      </w:pPr>
      <w:r>
        <w:rPr>
          <w:rFonts w:hint="eastAsia"/>
        </w:rPr>
        <w:t>（三）保证所供货物具有良好的外观，适合各种安装场所的使用要求，确保达到最佳运行状态。</w:t>
      </w:r>
    </w:p>
    <w:p>
      <w:pPr>
        <w:ind w:firstLine="480" w:firstLineChars="200"/>
      </w:pPr>
      <w:r>
        <w:rPr>
          <w:rFonts w:hint="eastAsia"/>
        </w:rPr>
        <w:t xml:space="preserve">（四）因货物质量或设计等缺陷引发的纠纷，由乙方承担全部责任，包括但不限于对甲方造成的全部损失、对第三人造成人身损害和财产损失等；上述赔偿，甲方可从履约保证金中扣减。 </w:t>
      </w:r>
    </w:p>
    <w:p>
      <w:pPr>
        <w:ind w:firstLine="480" w:firstLineChars="200"/>
      </w:pPr>
      <w:r>
        <w:rPr>
          <w:rFonts w:hint="eastAsia"/>
        </w:rPr>
        <w:t>（五）商品符合国家有关规范要求，提供产品厂家标准服务与保修，如发生质量问题的，在供货期内无条件退换货。</w:t>
      </w:r>
    </w:p>
    <w:p>
      <w:pPr>
        <w:rPr>
          <w:rFonts w:cstheme="minorHAnsi"/>
          <w:b/>
        </w:rPr>
      </w:pPr>
      <w:r>
        <w:rPr>
          <w:rFonts w:hint="eastAsia" w:cstheme="minorHAnsi"/>
          <w:b/>
        </w:rPr>
        <w:t>五</w:t>
      </w:r>
      <w:r>
        <w:rPr>
          <w:rFonts w:cstheme="minorHAnsi"/>
          <w:b/>
        </w:rPr>
        <w:t>、</w:t>
      </w:r>
      <w:r>
        <w:rPr>
          <w:rFonts w:hint="eastAsia" w:cstheme="minorHAnsi"/>
          <w:b/>
        </w:rPr>
        <w:t>双方权利</w:t>
      </w:r>
      <w:r>
        <w:rPr>
          <w:rFonts w:cstheme="minorHAnsi"/>
          <w:b/>
        </w:rPr>
        <w:t>与义务</w:t>
      </w:r>
    </w:p>
    <w:p>
      <w:pPr>
        <w:ind w:firstLine="480" w:firstLineChars="200"/>
        <w:rPr>
          <w:b/>
          <w:bCs/>
          <w:lang w:bidi="zh-CN"/>
        </w:rPr>
      </w:pPr>
      <w:r>
        <w:rPr>
          <w:rFonts w:hint="eastAsia"/>
          <w:b/>
          <w:bCs/>
          <w:lang w:bidi="zh-CN"/>
        </w:rPr>
        <w:t>（一）甲方的权利和义务</w:t>
      </w:r>
    </w:p>
    <w:p>
      <w:pPr>
        <w:ind w:firstLine="480" w:firstLineChars="200"/>
        <w:rPr>
          <w:lang w:bidi="zh-CN"/>
        </w:rPr>
      </w:pPr>
      <w:r>
        <w:rPr>
          <w:rFonts w:hint="eastAsia"/>
          <w:lang w:bidi="zh-CN"/>
        </w:rPr>
        <w:t>1、甲方有权依据招投标文件、国家标准或行业标准、技术指标等对该货物进行验收。</w:t>
      </w:r>
    </w:p>
    <w:p>
      <w:pPr>
        <w:ind w:firstLine="480" w:firstLineChars="200"/>
        <w:rPr>
          <w:lang w:bidi="zh-CN"/>
        </w:rPr>
      </w:pPr>
      <w:r>
        <w:rPr>
          <w:rFonts w:hint="eastAsia"/>
          <w:lang w:bidi="zh-CN"/>
        </w:rPr>
        <w:t>2、质保期限届满后,甲方有权继续享用乙方提供的优惠条件。</w:t>
      </w:r>
    </w:p>
    <w:p>
      <w:pPr>
        <w:ind w:firstLine="480" w:firstLineChars="200"/>
        <w:rPr>
          <w:lang w:bidi="zh-CN"/>
        </w:rPr>
      </w:pPr>
      <w:r>
        <w:rPr>
          <w:rFonts w:hint="eastAsia"/>
          <w:lang w:bidi="zh-CN"/>
        </w:rPr>
        <w:t>3、质保期限届满后,甲方享有乙方设备维修只收取材料费,工时费全免的权利。</w:t>
      </w:r>
    </w:p>
    <w:p>
      <w:pPr>
        <w:ind w:firstLine="480" w:firstLineChars="200"/>
        <w:rPr>
          <w:lang w:bidi="zh-CN"/>
        </w:rPr>
      </w:pPr>
      <w:r>
        <w:rPr>
          <w:rFonts w:hint="eastAsia"/>
          <w:lang w:bidi="zh-CN"/>
        </w:rPr>
        <w:t xml:space="preserve">4、质保期限届满后,甲方享有乙方消耗品只收取成本费,其他费用全免的权利。 </w:t>
      </w:r>
    </w:p>
    <w:p>
      <w:pPr>
        <w:ind w:firstLine="480" w:firstLineChars="200"/>
        <w:rPr>
          <w:lang w:bidi="zh-CN"/>
        </w:rPr>
      </w:pPr>
      <w:r>
        <w:rPr>
          <w:rFonts w:hint="eastAsia"/>
          <w:lang w:bidi="zh-CN"/>
        </w:rPr>
        <w:t>5、甲方应按本合同的约定付款。</w:t>
      </w:r>
    </w:p>
    <w:p>
      <w:pPr>
        <w:ind w:firstLine="480" w:firstLineChars="200"/>
        <w:rPr>
          <w:lang w:bidi="zh-CN"/>
        </w:rPr>
      </w:pPr>
      <w:r>
        <w:rPr>
          <w:rFonts w:hint="eastAsia"/>
          <w:b/>
          <w:bCs/>
          <w:lang w:bidi="zh-CN"/>
        </w:rPr>
        <w:t>（二）乙方的权利和义务</w:t>
      </w:r>
    </w:p>
    <w:p>
      <w:pPr>
        <w:ind w:firstLine="480" w:firstLineChars="200"/>
        <w:rPr>
          <w:lang w:bidi="zh-CN"/>
        </w:rPr>
      </w:pPr>
      <w:r>
        <w:rPr>
          <w:rFonts w:hint="eastAsia"/>
          <w:lang w:bidi="zh-CN"/>
        </w:rPr>
        <w:t>1、乙方提供的货物必须设计科学、技术成熟、工艺精良，必须是生产厂商原厂生产的、全新未开封的，必须符合国家标准（包括强制性标准及推荐标准）、行业标准、企业标准及相应的技术规范中要求最高的标准。</w:t>
      </w:r>
    </w:p>
    <w:p>
      <w:pPr>
        <w:ind w:firstLine="480" w:firstLineChars="200"/>
        <w:rPr>
          <w:lang w:bidi="zh-CN"/>
        </w:rPr>
      </w:pPr>
      <w:r>
        <w:rPr>
          <w:rFonts w:hint="eastAsia"/>
          <w:lang w:bidi="zh-CN"/>
        </w:rPr>
        <w:t>2、乙方提供的货物设计、技术、外型等均应符合我国的有关法律、知识产权及行业标准。凡因以上问题与第三方发生任何纠纷，均由乙方承担责任，与甲方无关。由此给甲方造成损失的，乙方应当承担全部的赔偿责任，包括但不限于甲方的全部经济损失、发生诉讼所产生的诉讼费、律师费等一切费用。</w:t>
      </w:r>
    </w:p>
    <w:p>
      <w:pPr>
        <w:ind w:firstLine="480" w:firstLineChars="200"/>
        <w:rPr>
          <w:lang w:bidi="zh-CN"/>
        </w:rPr>
      </w:pPr>
      <w:r>
        <w:rPr>
          <w:rFonts w:hint="eastAsia"/>
          <w:lang w:bidi="zh-CN"/>
        </w:rPr>
        <w:t>3、乙方提供的货物应通过生产厂检验，并应提供质量合格证书；在正常使用下不应对操作者等任何人造成伤害。如因货物质量瑕疵或标示不明确等原因造成人身损害、财产损失的，乙方应当承担所有责任，并赔偿甲方全部损失。包括但不限于甲方的全部经济损失、发生诉讼所产生的诉讼费、律师费等一切费用。</w:t>
      </w:r>
    </w:p>
    <w:p>
      <w:pPr>
        <w:ind w:firstLine="480" w:firstLineChars="200"/>
        <w:rPr>
          <w:lang w:bidi="zh-CN"/>
        </w:rPr>
      </w:pPr>
      <w:r>
        <w:rPr>
          <w:rFonts w:hint="eastAsia"/>
          <w:lang w:bidi="zh-CN"/>
        </w:rPr>
        <w:t>4、乙方有义务就本合同所购货物对甲方提供免费咨询服务，并免费培训甲方人员的操作使用。</w:t>
      </w:r>
    </w:p>
    <w:p>
      <w:pPr>
        <w:ind w:firstLine="480" w:firstLineChars="200"/>
        <w:rPr>
          <w:lang w:bidi="zh-CN"/>
        </w:rPr>
      </w:pPr>
      <w:r>
        <w:rPr>
          <w:rFonts w:hint="eastAsia"/>
          <w:lang w:bidi="zh-CN"/>
        </w:rPr>
        <w:t>5、乙方交付的货物质量不符合本合同约定的，应在甲方要求的时间内予以更换。</w:t>
      </w:r>
    </w:p>
    <w:p>
      <w:pPr>
        <w:ind w:firstLine="480" w:firstLineChars="200"/>
        <w:rPr>
          <w:lang w:bidi="zh-CN"/>
        </w:rPr>
      </w:pPr>
      <w:r>
        <w:rPr>
          <w:rFonts w:hint="eastAsia"/>
          <w:lang w:bidi="zh-CN"/>
        </w:rPr>
        <w:t>6、</w:t>
      </w:r>
      <w:r>
        <w:rPr>
          <w:lang w:bidi="zh-CN"/>
        </w:rPr>
        <w:t>免费提供每周</w:t>
      </w:r>
      <w:r>
        <w:rPr>
          <w:u w:val="single"/>
          <w:lang w:bidi="zh-CN"/>
        </w:rPr>
        <w:t>7×24</w:t>
      </w:r>
      <w:r>
        <w:rPr>
          <w:lang w:bidi="zh-CN"/>
        </w:rPr>
        <w:t>小时不间断的电话支持服务，解答</w:t>
      </w:r>
      <w:r>
        <w:rPr>
          <w:rFonts w:hint="eastAsia"/>
          <w:lang w:bidi="zh-CN"/>
        </w:rPr>
        <w:t>甲方</w:t>
      </w:r>
      <w:r>
        <w:rPr>
          <w:lang w:bidi="zh-CN"/>
        </w:rPr>
        <w:t>在使用过程中遇到的问题，及时提出解决问题的建议和对策。</w:t>
      </w:r>
      <w:r>
        <w:rPr>
          <w:rFonts w:hint="eastAsia"/>
          <w:lang w:bidi="zh-CN"/>
        </w:rPr>
        <w:t>故障</w:t>
      </w:r>
      <w:r>
        <w:rPr>
          <w:lang w:bidi="zh-CN"/>
        </w:rPr>
        <w:t>维修响应时间</w:t>
      </w:r>
      <w:r>
        <w:rPr>
          <w:rFonts w:hint="eastAsia"/>
          <w:lang w:bidi="zh-CN"/>
        </w:rPr>
        <w:t>不得超过2</w:t>
      </w:r>
      <w:r>
        <w:rPr>
          <w:lang w:bidi="zh-CN"/>
        </w:rPr>
        <w:t>小时</w:t>
      </w:r>
      <w:r>
        <w:rPr>
          <w:rFonts w:hint="eastAsia"/>
          <w:lang w:bidi="zh-CN"/>
        </w:rPr>
        <w:t>；2小时内乙方</w:t>
      </w:r>
      <w:r>
        <w:rPr>
          <w:lang w:bidi="zh-CN"/>
        </w:rPr>
        <w:t>维修工程师</w:t>
      </w:r>
      <w:r>
        <w:rPr>
          <w:rFonts w:hint="eastAsia"/>
          <w:lang w:bidi="zh-CN"/>
        </w:rPr>
        <w:t>必须</w:t>
      </w:r>
      <w:r>
        <w:rPr>
          <w:lang w:bidi="zh-CN"/>
        </w:rPr>
        <w:t>到达现场</w:t>
      </w:r>
      <w:r>
        <w:rPr>
          <w:rFonts w:hint="eastAsia"/>
          <w:lang w:bidi="zh-CN"/>
        </w:rPr>
        <w:t>；</w:t>
      </w:r>
      <w:r>
        <w:rPr>
          <w:lang w:bidi="zh-CN"/>
        </w:rPr>
        <w:t>排除故障不得超过</w:t>
      </w:r>
      <w:r>
        <w:rPr>
          <w:rFonts w:hint="eastAsia"/>
          <w:lang w:bidi="zh-CN"/>
        </w:rPr>
        <w:t>8小时；逾期未排除故障的，甲方有权指定第三方维修，维修费用由乙方承担或从履约保证金中扣除，且乙方应承担违约责任。</w:t>
      </w:r>
    </w:p>
    <w:p>
      <w:pPr>
        <w:spacing w:before="210" w:beforeLines="50"/>
        <w:rPr>
          <w:rFonts w:cstheme="minorHAnsi"/>
          <w:b/>
        </w:rPr>
      </w:pPr>
      <w:r>
        <w:rPr>
          <w:rFonts w:hint="eastAsia" w:cstheme="minorHAnsi"/>
          <w:b/>
        </w:rPr>
        <w:t>六</w:t>
      </w:r>
      <w:r>
        <w:rPr>
          <w:rFonts w:cstheme="minorHAnsi"/>
          <w:b/>
        </w:rPr>
        <w:t>、</w:t>
      </w:r>
      <w:r>
        <w:rPr>
          <w:rFonts w:hint="eastAsia" w:cstheme="minorHAnsi"/>
          <w:b/>
        </w:rPr>
        <w:t>运输</w:t>
      </w:r>
    </w:p>
    <w:p>
      <w:pPr>
        <w:pStyle w:val="94"/>
        <w:ind w:firstLine="480"/>
        <w:rPr>
          <w:lang w:bidi="zh-CN"/>
        </w:rPr>
      </w:pPr>
      <w:r>
        <w:rPr>
          <w:rFonts w:hint="eastAsia"/>
          <w:lang w:bidi="zh-CN"/>
        </w:rPr>
        <w:t>（一）运输由乙方负责，运输费已包含在合同总价内，包括从货物供应地点到达甲方指定的交货地点的所有费用，包括但不限于运输费、装卸费、仓储费、保险费等全部费用。</w:t>
      </w:r>
    </w:p>
    <w:p>
      <w:pPr>
        <w:pStyle w:val="94"/>
        <w:ind w:firstLine="480"/>
        <w:rPr>
          <w:lang w:bidi="zh-CN"/>
        </w:rPr>
      </w:pPr>
      <w:r>
        <w:rPr>
          <w:rFonts w:hint="eastAsia"/>
          <w:lang w:bidi="zh-CN"/>
        </w:rPr>
        <w:t>（二）运输方式由乙方自行选择。</w:t>
      </w:r>
    </w:p>
    <w:p>
      <w:pPr>
        <w:spacing w:before="210" w:beforeLines="50"/>
        <w:rPr>
          <w:rFonts w:cstheme="minorHAnsi"/>
          <w:b/>
        </w:rPr>
      </w:pPr>
      <w:r>
        <w:rPr>
          <w:rFonts w:hint="eastAsia" w:cstheme="minorHAnsi"/>
          <w:b/>
        </w:rPr>
        <w:t>七</w:t>
      </w:r>
      <w:r>
        <w:rPr>
          <w:rFonts w:cstheme="minorHAnsi"/>
          <w:b/>
        </w:rPr>
        <w:t>、售后服务</w:t>
      </w:r>
    </w:p>
    <w:p>
      <w:pPr>
        <w:pStyle w:val="94"/>
        <w:ind w:firstLine="480"/>
        <w:rPr>
          <w:lang w:bidi="zh-CN"/>
        </w:rPr>
      </w:pPr>
      <w:r>
        <w:rPr>
          <w:rFonts w:hint="eastAsia"/>
          <w:lang w:bidi="zh-CN"/>
        </w:rPr>
        <w:t>（一）质保期内</w:t>
      </w:r>
    </w:p>
    <w:p>
      <w:pPr>
        <w:pStyle w:val="94"/>
        <w:ind w:firstLine="480"/>
        <w:rPr>
          <w:lang w:bidi="zh-CN"/>
        </w:rPr>
      </w:pPr>
      <w:r>
        <w:rPr>
          <w:rFonts w:hint="eastAsia"/>
          <w:lang w:bidi="zh-CN"/>
        </w:rPr>
        <w:t>1.同一主要部件出现质量问题经过两次维修后仍无法正常使用，乙方应</w:t>
      </w:r>
      <w:r>
        <w:rPr>
          <w:rFonts w:hint="eastAsia"/>
          <w:u w:val="single"/>
          <w:lang w:bidi="zh-CN"/>
        </w:rPr>
        <w:t>2</w:t>
      </w:r>
      <w:r>
        <w:rPr>
          <w:rFonts w:hint="eastAsia"/>
          <w:lang w:bidi="zh-CN"/>
        </w:rPr>
        <w:t>日内更换同型号、同规格的货物，若乙方违反本约定，应承担违约责任，赔偿甲方的损失，且甲方有权解除本合同。</w:t>
      </w:r>
    </w:p>
    <w:p>
      <w:pPr>
        <w:pStyle w:val="94"/>
        <w:ind w:firstLine="480"/>
        <w:rPr>
          <w:lang w:bidi="zh-CN"/>
        </w:rPr>
      </w:pPr>
      <w:r>
        <w:rPr>
          <w:rFonts w:hint="eastAsia"/>
          <w:lang w:bidi="zh-CN"/>
        </w:rPr>
        <w:t>2.凡正常使用中出现的故障，均由乙方负责免费检测维修、免费更换不合格的零部件甚至整机（更换的零部件或整机应保证自更换之日起提供相同的质量保证期）；若需返厂处理，乙方应免费提供替代货物，并承担返厂维修的所有费用，包括但不限于往返运输费用等；且乙方应同时记录检修情况，并向甲方提供检修报告。</w:t>
      </w:r>
    </w:p>
    <w:p>
      <w:pPr>
        <w:pStyle w:val="94"/>
        <w:ind w:firstLine="480"/>
        <w:rPr>
          <w:lang w:bidi="zh-CN"/>
        </w:rPr>
      </w:pPr>
      <w:r>
        <w:rPr>
          <w:lang w:bidi="zh-CN"/>
        </w:rPr>
        <w:t>3</w:t>
      </w:r>
      <w:r>
        <w:rPr>
          <w:rFonts w:hint="eastAsia"/>
          <w:lang w:bidi="zh-CN"/>
        </w:rPr>
        <w:t>.</w:t>
      </w:r>
      <w:r>
        <w:rPr>
          <w:lang w:bidi="zh-CN"/>
        </w:rPr>
        <w:t>免费提供每周</w:t>
      </w:r>
      <w:r>
        <w:rPr>
          <w:u w:val="single"/>
          <w:lang w:bidi="zh-CN"/>
        </w:rPr>
        <w:t>7×24</w:t>
      </w:r>
      <w:r>
        <w:rPr>
          <w:lang w:bidi="zh-CN"/>
        </w:rPr>
        <w:t>小时不间断的电话支持服务，解答</w:t>
      </w:r>
      <w:r>
        <w:rPr>
          <w:rFonts w:hint="eastAsia"/>
          <w:lang w:bidi="zh-CN"/>
        </w:rPr>
        <w:t>甲方</w:t>
      </w:r>
      <w:r>
        <w:rPr>
          <w:lang w:bidi="zh-CN"/>
        </w:rPr>
        <w:t>在使用过程中遇到的问题，及时提出解决问题的建议和对策。</w:t>
      </w:r>
      <w:r>
        <w:rPr>
          <w:rFonts w:hint="eastAsia"/>
          <w:lang w:bidi="zh-CN"/>
        </w:rPr>
        <w:t>故障</w:t>
      </w:r>
      <w:r>
        <w:rPr>
          <w:lang w:bidi="zh-CN"/>
        </w:rPr>
        <w:t>维修响应时间</w:t>
      </w:r>
      <w:r>
        <w:rPr>
          <w:rFonts w:hint="eastAsia"/>
          <w:lang w:bidi="zh-CN"/>
        </w:rPr>
        <w:t>不得超过</w:t>
      </w:r>
      <w:r>
        <w:rPr>
          <w:u w:val="single"/>
          <w:lang w:bidi="zh-CN"/>
        </w:rPr>
        <w:t xml:space="preserve">  </w:t>
      </w:r>
      <w:r>
        <w:rPr>
          <w:lang w:bidi="zh-CN"/>
        </w:rPr>
        <w:t>小时</w:t>
      </w:r>
      <w:r>
        <w:rPr>
          <w:rFonts w:hint="eastAsia"/>
          <w:lang w:bidi="zh-CN"/>
        </w:rPr>
        <w:t>；</w:t>
      </w:r>
      <w:r>
        <w:rPr>
          <w:u w:val="single"/>
          <w:lang w:bidi="zh-CN"/>
        </w:rPr>
        <w:t xml:space="preserve">  </w:t>
      </w:r>
      <w:r>
        <w:rPr>
          <w:rFonts w:hint="eastAsia"/>
          <w:lang w:bidi="zh-CN"/>
        </w:rPr>
        <w:t>小时内乙方</w:t>
      </w:r>
      <w:r>
        <w:rPr>
          <w:lang w:bidi="zh-CN"/>
        </w:rPr>
        <w:t>维修工程师</w:t>
      </w:r>
      <w:r>
        <w:rPr>
          <w:rFonts w:hint="eastAsia"/>
          <w:lang w:bidi="zh-CN"/>
        </w:rPr>
        <w:t>必须</w:t>
      </w:r>
      <w:r>
        <w:rPr>
          <w:lang w:bidi="zh-CN"/>
        </w:rPr>
        <w:t>到达现场</w:t>
      </w:r>
      <w:r>
        <w:rPr>
          <w:rFonts w:hint="eastAsia"/>
          <w:lang w:bidi="zh-CN"/>
        </w:rPr>
        <w:t>；</w:t>
      </w:r>
      <w:r>
        <w:rPr>
          <w:lang w:bidi="zh-CN"/>
        </w:rPr>
        <w:t>排除故障不得超过</w:t>
      </w:r>
      <w:r>
        <w:rPr>
          <w:u w:val="single"/>
          <w:lang w:bidi="zh-CN"/>
        </w:rPr>
        <w:t xml:space="preserve">  </w:t>
      </w:r>
      <w:r>
        <w:rPr>
          <w:rFonts w:hint="eastAsia"/>
          <w:lang w:bidi="zh-CN"/>
        </w:rPr>
        <w:t>小时；逾期未排除故障的，甲方有权指定第三方维修，维修费用由乙方承担或从履约保证金中扣除，且乙方应承担违约责任。</w:t>
      </w:r>
    </w:p>
    <w:p>
      <w:pPr>
        <w:pStyle w:val="94"/>
        <w:ind w:firstLine="480"/>
        <w:rPr>
          <w:lang w:bidi="zh-CN"/>
        </w:rPr>
      </w:pPr>
      <w:r>
        <w:rPr>
          <w:lang w:bidi="zh-CN"/>
        </w:rPr>
        <w:t>4</w:t>
      </w:r>
      <w:r>
        <w:rPr>
          <w:rFonts w:hint="eastAsia"/>
          <w:lang w:bidi="zh-CN"/>
        </w:rPr>
        <w:t>.如出现质量问题，甲方有权选择换货或退货；如退货的，乙方应退还全部货款、支付违约金，且应赔偿甲方的损失；如换货的，乙方应支付违约金、赔偿甲方的损失，且承担换货的所有费用。</w:t>
      </w:r>
    </w:p>
    <w:p>
      <w:pPr>
        <w:pStyle w:val="94"/>
        <w:ind w:firstLine="480"/>
        <w:rPr>
          <w:lang w:bidi="zh-CN"/>
        </w:rPr>
      </w:pPr>
      <w:r>
        <w:rPr>
          <w:rFonts w:hint="eastAsia"/>
          <w:lang w:bidi="zh-CN"/>
        </w:rPr>
        <w:t>5.乙方专业维修人员应每季度到现场走访，检查维护，并向甲方提供巡检报告，内容包含但不限于巡检时间、巡检内容、巡检结果。</w:t>
      </w:r>
    </w:p>
    <w:p>
      <w:pPr>
        <w:pStyle w:val="94"/>
        <w:ind w:firstLine="480"/>
        <w:rPr>
          <w:lang w:bidi="zh-CN"/>
        </w:rPr>
      </w:pPr>
      <w:r>
        <w:rPr>
          <w:rFonts w:hint="eastAsia"/>
          <w:lang w:bidi="zh-CN"/>
        </w:rPr>
        <w:t>6.质保期届满前</w:t>
      </w:r>
      <w:r>
        <w:rPr>
          <w:rFonts w:hint="eastAsia"/>
          <w:u w:val="single"/>
          <w:lang w:bidi="zh-CN"/>
        </w:rPr>
        <w:t>3</w:t>
      </w:r>
      <w:r>
        <w:rPr>
          <w:u w:val="single"/>
          <w:lang w:bidi="zh-CN"/>
        </w:rPr>
        <w:t>0</w:t>
      </w:r>
      <w:r>
        <w:rPr>
          <w:rFonts w:hint="eastAsia"/>
          <w:lang w:bidi="zh-CN"/>
        </w:rPr>
        <w:t>日内，乙方应对所有货物进行全面检测、保养、维护。维保内容包括但不限于：检查所有货物各连接件，设备内清洁和机械滑动上油，进行系统测试等确保所有设备的正常使用。</w:t>
      </w:r>
    </w:p>
    <w:p>
      <w:pPr>
        <w:pStyle w:val="94"/>
        <w:ind w:firstLine="480"/>
        <w:rPr>
          <w:lang w:bidi="zh-CN"/>
        </w:rPr>
      </w:pPr>
      <w:r>
        <w:rPr>
          <w:lang w:bidi="zh-CN"/>
        </w:rPr>
        <w:t>（二）质保期满后</w:t>
      </w:r>
    </w:p>
    <w:p>
      <w:pPr>
        <w:pStyle w:val="94"/>
        <w:ind w:firstLine="480"/>
        <w:rPr>
          <w:lang w:bidi="zh-CN"/>
        </w:rPr>
      </w:pPr>
      <w:r>
        <w:rPr>
          <w:rFonts w:hint="eastAsia"/>
          <w:lang w:bidi="zh-CN"/>
        </w:rPr>
        <w:t>1</w:t>
      </w:r>
      <w:r>
        <w:rPr>
          <w:lang w:bidi="zh-CN"/>
        </w:rPr>
        <w:t>.</w:t>
      </w:r>
      <w:r>
        <w:rPr>
          <w:rFonts w:hint="eastAsia"/>
          <w:lang w:bidi="zh-CN"/>
        </w:rPr>
        <w:t>当发生故障时，乙方应按质保期内相同的服务标准进行维护维修。</w:t>
      </w:r>
    </w:p>
    <w:p>
      <w:pPr>
        <w:pStyle w:val="94"/>
        <w:ind w:firstLine="480"/>
        <w:rPr>
          <w:lang w:bidi="zh-CN"/>
        </w:rPr>
      </w:pPr>
      <w:r>
        <w:rPr>
          <w:lang w:bidi="zh-CN"/>
        </w:rPr>
        <w:t>2.</w:t>
      </w:r>
      <w:r>
        <w:rPr>
          <w:rFonts w:hint="eastAsia"/>
          <w:lang w:bidi="zh-CN"/>
        </w:rPr>
        <w:t>甲方有权继续享用乙方提供的优惠条件。</w:t>
      </w:r>
    </w:p>
    <w:p>
      <w:pPr>
        <w:pStyle w:val="94"/>
        <w:ind w:firstLine="480"/>
        <w:rPr>
          <w:lang w:bidi="zh-CN"/>
        </w:rPr>
      </w:pPr>
      <w:r>
        <w:rPr>
          <w:lang w:bidi="zh-CN"/>
        </w:rPr>
        <w:t>3.</w:t>
      </w:r>
      <w:r>
        <w:rPr>
          <w:rFonts w:hint="eastAsia"/>
          <w:lang w:bidi="zh-CN"/>
        </w:rPr>
        <w:t>甲方享有乙方设备维修只收取材料费,工时费全免的权利。</w:t>
      </w:r>
    </w:p>
    <w:p>
      <w:pPr>
        <w:pStyle w:val="94"/>
        <w:ind w:firstLine="480"/>
        <w:rPr>
          <w:lang w:bidi="zh-CN"/>
        </w:rPr>
      </w:pPr>
      <w:r>
        <w:rPr>
          <w:lang w:bidi="zh-CN"/>
        </w:rPr>
        <w:t>4.</w:t>
      </w:r>
      <w:r>
        <w:rPr>
          <w:rFonts w:hint="eastAsia"/>
          <w:lang w:bidi="zh-CN"/>
        </w:rPr>
        <w:t>甲方享有乙方消耗品只收取成本费,其他费用全免的权利。</w:t>
      </w:r>
    </w:p>
    <w:p>
      <w:pPr>
        <w:spacing w:before="210" w:beforeLines="50"/>
        <w:rPr>
          <w:rFonts w:cstheme="minorHAnsi"/>
          <w:b/>
        </w:rPr>
      </w:pPr>
      <w:r>
        <w:rPr>
          <w:rFonts w:hint="eastAsia" w:cstheme="minorHAnsi"/>
          <w:b/>
        </w:rPr>
        <w:t>八</w:t>
      </w:r>
      <w:r>
        <w:rPr>
          <w:rFonts w:cstheme="minorHAnsi"/>
          <w:b/>
        </w:rPr>
        <w:t>、验收</w:t>
      </w:r>
    </w:p>
    <w:p>
      <w:pPr>
        <w:ind w:firstLine="480" w:firstLineChars="200"/>
        <w:jc w:val="both"/>
        <w:rPr>
          <w:rFonts w:ascii="宋体" w:hAnsi="宋体" w:eastAsia="宋体" w:cs="宋体"/>
          <w:szCs w:val="21"/>
        </w:rPr>
      </w:pPr>
      <w:r>
        <w:rPr>
          <w:rFonts w:hint="eastAsia" w:ascii="宋体" w:hAnsi="宋体" w:eastAsia="宋体" w:cs="宋体"/>
          <w:szCs w:val="21"/>
        </w:rPr>
        <w:t>（一）货物达到甲方指定地点后，甲方按照合同约定对货物的规格、型号、数量和质量等进行验收。若货物不符合验收条件，按照本合同第十一条违约责任条款执行。</w:t>
      </w:r>
    </w:p>
    <w:p>
      <w:pPr>
        <w:ind w:firstLine="480" w:firstLineChars="200"/>
        <w:jc w:val="both"/>
        <w:rPr>
          <w:rFonts w:ascii="宋体" w:hAnsi="宋体" w:eastAsia="宋体" w:cs="宋体"/>
          <w:szCs w:val="21"/>
        </w:rPr>
      </w:pPr>
      <w:r>
        <w:rPr>
          <w:rFonts w:hint="eastAsia" w:ascii="宋体" w:hAnsi="宋体" w:eastAsia="宋体" w:cs="宋体"/>
          <w:szCs w:val="21"/>
        </w:rPr>
        <w:t>（二）验收依据</w:t>
      </w:r>
    </w:p>
    <w:p>
      <w:pPr>
        <w:ind w:firstLine="480" w:firstLineChars="200"/>
        <w:jc w:val="both"/>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、招标文件、投标文件、澄清表(函);</w:t>
      </w:r>
    </w:p>
    <w:p>
      <w:pPr>
        <w:ind w:firstLine="480" w:firstLineChars="200"/>
        <w:jc w:val="both"/>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、本合同及附件文本;</w:t>
      </w:r>
    </w:p>
    <w:p>
      <w:pPr>
        <w:ind w:firstLine="480" w:firstLineChars="200"/>
        <w:jc w:val="both"/>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、合同签订时国家及行业现行的标准和技术规范。</w:t>
      </w:r>
    </w:p>
    <w:p>
      <w:pPr>
        <w:ind w:firstLine="480" w:firstLineChars="200"/>
        <w:jc w:val="both"/>
        <w:rPr>
          <w:rFonts w:ascii="宋体" w:hAnsi="宋体" w:eastAsia="宋体" w:cs="宋体"/>
          <w:szCs w:val="21"/>
        </w:rPr>
      </w:pPr>
      <w:r>
        <w:rPr>
          <w:rFonts w:hint="eastAsia" w:ascii="宋体" w:hAnsi="宋体" w:eastAsia="宋体" w:cs="宋体"/>
          <w:szCs w:val="21"/>
        </w:rPr>
        <w:t>（三）乙方应向甲方提交项目实施过程中的所有资料，以便甲方日后管理和维护。</w:t>
      </w:r>
    </w:p>
    <w:p>
      <w:pPr>
        <w:spacing w:before="210" w:beforeLines="50" w:after="210" w:afterLines="50"/>
        <w:jc w:val="both"/>
        <w:rPr>
          <w:rFonts w:cs="Calibri Light" w:asciiTheme="majorHAnsi" w:hAnsiTheme="majorHAnsi"/>
          <w:b/>
        </w:rPr>
      </w:pPr>
      <w:r>
        <w:rPr>
          <w:rFonts w:hint="eastAsia" w:cs="Calibri Light" w:asciiTheme="majorHAnsi" w:hAnsiTheme="majorHAnsi"/>
          <w:b/>
        </w:rPr>
        <w:t>九</w:t>
      </w:r>
      <w:r>
        <w:rPr>
          <w:rFonts w:cs="Calibri Light" w:asciiTheme="majorHAnsi" w:hAnsiTheme="majorHAnsi"/>
          <w:b/>
        </w:rPr>
        <w:t>、违约责任</w:t>
      </w:r>
    </w:p>
    <w:p>
      <w:pPr>
        <w:ind w:firstLine="480" w:firstLineChars="200"/>
        <w:jc w:val="both"/>
        <w:rPr>
          <w:rFonts w:asciiTheme="majorHAnsi" w:hAnsiTheme="majorHAnsi"/>
        </w:rPr>
      </w:pPr>
      <w:r>
        <w:rPr>
          <w:rFonts w:hint="eastAsia" w:asciiTheme="majorHAnsi" w:hAnsiTheme="majorHAnsi"/>
        </w:rPr>
        <w:t>（一）乙方未按本合同的约定提供货物或提供的货物质量不能满足本合同约定的，乙方必须在</w:t>
      </w:r>
      <w:r>
        <w:rPr>
          <w:rFonts w:hint="eastAsia" w:asciiTheme="majorHAnsi" w:hAnsiTheme="majorHAnsi"/>
          <w:u w:val="single"/>
        </w:rPr>
        <w:t>3</w:t>
      </w:r>
      <w:r>
        <w:rPr>
          <w:rFonts w:hint="eastAsia" w:asciiTheme="majorHAnsi" w:hAnsiTheme="majorHAnsi"/>
        </w:rPr>
        <w:t>日内无条件更换，换货的所有费用由乙方承担；乙方未在</w:t>
      </w:r>
      <w:r>
        <w:rPr>
          <w:rFonts w:hint="eastAsia" w:asciiTheme="majorHAnsi" w:hAnsiTheme="majorHAnsi"/>
          <w:u w:val="single"/>
        </w:rPr>
        <w:t>3</w:t>
      </w:r>
      <w:r>
        <w:rPr>
          <w:rFonts w:hint="eastAsia" w:asciiTheme="majorHAnsi" w:hAnsiTheme="majorHAnsi"/>
        </w:rPr>
        <w:t>日内更换的，甲方有权解除本合同，乙方应承担违约责任、赔偿甲方的损失。</w:t>
      </w:r>
    </w:p>
    <w:p>
      <w:pPr>
        <w:ind w:firstLine="480" w:firstLineChars="200"/>
        <w:jc w:val="both"/>
        <w:rPr>
          <w:rFonts w:asciiTheme="majorHAnsi" w:hAnsiTheme="majorHAnsi"/>
        </w:rPr>
      </w:pPr>
      <w:r>
        <w:rPr>
          <w:rFonts w:hint="eastAsia" w:asciiTheme="majorHAnsi" w:hAnsiTheme="majorHAnsi"/>
        </w:rPr>
        <w:t>（二）乙方交货每逾期一天，应支付本合同总价款的</w:t>
      </w:r>
      <w:r>
        <w:rPr>
          <w:rFonts w:asciiTheme="majorHAnsi" w:hAnsiTheme="majorHAnsi"/>
          <w:u w:val="single"/>
        </w:rPr>
        <w:t>1</w:t>
      </w:r>
      <w:r>
        <w:rPr>
          <w:rFonts w:hint="eastAsia" w:asciiTheme="majorHAnsi" w:hAnsiTheme="majorHAnsi"/>
        </w:rPr>
        <w:t>%的违约金，违约金按天累计。</w:t>
      </w:r>
    </w:p>
    <w:p>
      <w:pPr>
        <w:ind w:firstLine="480" w:firstLineChars="200"/>
        <w:jc w:val="both"/>
        <w:rPr>
          <w:rFonts w:asciiTheme="majorHAnsi" w:hAnsiTheme="majorHAnsi"/>
        </w:rPr>
      </w:pPr>
      <w:r>
        <w:rPr>
          <w:rFonts w:hint="eastAsia" w:asciiTheme="majorHAnsi" w:hAnsiTheme="majorHAnsi"/>
        </w:rPr>
        <w:t>（三）乙方逾期交货</w:t>
      </w:r>
      <w:r>
        <w:rPr>
          <w:rFonts w:hint="eastAsia" w:asciiTheme="majorHAnsi" w:hAnsiTheme="majorHAnsi"/>
          <w:u w:val="single"/>
        </w:rPr>
        <w:t>30</w:t>
      </w:r>
      <w:r>
        <w:rPr>
          <w:rFonts w:hint="eastAsia" w:asciiTheme="majorHAnsi" w:hAnsiTheme="majorHAnsi"/>
        </w:rPr>
        <w:t>天以上的，甲方有权解除本合同，乙方应支付本合同总价款的</w:t>
      </w:r>
      <w:r>
        <w:rPr>
          <w:rFonts w:hint="eastAsia" w:asciiTheme="majorHAnsi" w:hAnsiTheme="majorHAnsi"/>
          <w:u w:val="single"/>
        </w:rPr>
        <w:t>30</w:t>
      </w:r>
      <w:r>
        <w:rPr>
          <w:rFonts w:hint="eastAsia" w:asciiTheme="majorHAnsi" w:hAnsiTheme="majorHAnsi"/>
        </w:rPr>
        <w:t>%的违约金并赔偿甲方的损失。</w:t>
      </w:r>
    </w:p>
    <w:p>
      <w:pPr>
        <w:ind w:firstLine="480" w:firstLineChars="200"/>
        <w:jc w:val="both"/>
        <w:rPr>
          <w:rFonts w:asciiTheme="majorHAnsi" w:hAnsiTheme="majorHAnsi"/>
        </w:rPr>
      </w:pPr>
      <w:r>
        <w:rPr>
          <w:rFonts w:hint="eastAsia" w:asciiTheme="majorHAnsi" w:hAnsiTheme="majorHAnsi"/>
        </w:rPr>
        <w:t>（四）甲方未按照本合同约定支付价款的，甲方应承担违约责任。</w:t>
      </w:r>
    </w:p>
    <w:p>
      <w:pPr>
        <w:ind w:firstLine="480" w:firstLineChars="200"/>
        <w:jc w:val="both"/>
        <w:rPr>
          <w:rFonts w:asciiTheme="majorHAnsi" w:hAnsiTheme="majorHAnsi"/>
        </w:rPr>
      </w:pPr>
      <w:r>
        <w:rPr>
          <w:rFonts w:hint="eastAsia" w:asciiTheme="majorHAnsi" w:hAnsiTheme="majorHAnsi"/>
        </w:rPr>
        <w:t>（五）本合同所涉“违约责任”为支付本合同总价款</w:t>
      </w:r>
      <w:r>
        <w:rPr>
          <w:rFonts w:asciiTheme="majorHAnsi" w:hAnsiTheme="majorHAnsi"/>
          <w:u w:val="single"/>
        </w:rPr>
        <w:t>1</w:t>
      </w:r>
      <w:r>
        <w:rPr>
          <w:rFonts w:hint="eastAsia" w:asciiTheme="majorHAnsi" w:hAnsiTheme="majorHAnsi"/>
        </w:rPr>
        <w:t>%的违约金，违约金可累计计算，但不应超过本合同总价款的</w:t>
      </w:r>
      <w:r>
        <w:rPr>
          <w:rFonts w:hint="eastAsia" w:asciiTheme="majorHAnsi" w:hAnsiTheme="majorHAnsi"/>
          <w:u w:val="single"/>
        </w:rPr>
        <w:t>30</w:t>
      </w:r>
      <w:r>
        <w:rPr>
          <w:rFonts w:hint="eastAsia" w:asciiTheme="majorHAnsi" w:hAnsiTheme="majorHAnsi"/>
        </w:rPr>
        <w:t>%；本合同所涉“赔偿甲方的损失”包括但不限于甲方重新采购产生的所有费用、经营损失、甲方维权费用等直接损失和间接损失，且甲方的损失至少为本合同总价款的</w:t>
      </w:r>
      <w:r>
        <w:rPr>
          <w:rFonts w:hint="eastAsia" w:asciiTheme="majorHAnsi" w:hAnsiTheme="majorHAnsi"/>
          <w:u w:val="single"/>
        </w:rPr>
        <w:t>30</w:t>
      </w:r>
      <w:r>
        <w:rPr>
          <w:rFonts w:hint="eastAsia" w:asciiTheme="majorHAnsi" w:hAnsiTheme="majorHAnsi"/>
        </w:rPr>
        <w:t>%。</w:t>
      </w:r>
    </w:p>
    <w:p>
      <w:pPr>
        <w:ind w:firstLine="480" w:firstLineChars="200"/>
        <w:jc w:val="both"/>
        <w:rPr>
          <w:rFonts w:asciiTheme="majorHAnsi" w:hAnsiTheme="majorHAnsi"/>
        </w:rPr>
      </w:pPr>
      <w:r>
        <w:rPr>
          <w:rFonts w:hint="eastAsia" w:asciiTheme="majorHAnsi" w:hAnsiTheme="majorHAnsi"/>
        </w:rPr>
        <w:t>（六）本合同所涉违约金及赔偿甲方的损失，甲方均可直接从履约保证金中扣减。</w:t>
      </w:r>
    </w:p>
    <w:p>
      <w:pPr>
        <w:ind w:firstLine="480" w:firstLineChars="200"/>
        <w:jc w:val="both"/>
        <w:rPr>
          <w:rFonts w:asciiTheme="majorHAnsi" w:hAnsiTheme="majorHAnsi"/>
        </w:rPr>
      </w:pPr>
      <w:r>
        <w:rPr>
          <w:rFonts w:hint="eastAsia" w:asciiTheme="majorHAnsi" w:hAnsiTheme="majorHAnsi"/>
        </w:rPr>
        <w:t>（七）解除合同的，自解除通知到达对方时本合同即解除。</w:t>
      </w:r>
    </w:p>
    <w:p>
      <w:pPr>
        <w:ind w:firstLine="480" w:firstLineChars="200"/>
        <w:jc w:val="both"/>
        <w:rPr>
          <w:rFonts w:asciiTheme="majorHAnsi" w:hAnsiTheme="majorHAnsi"/>
        </w:rPr>
      </w:pPr>
      <w:r>
        <w:rPr>
          <w:rFonts w:asciiTheme="majorHAnsi" w:hAnsiTheme="majorHAnsi"/>
        </w:rPr>
        <w:t>（八）</w:t>
      </w:r>
      <w:r>
        <w:rPr>
          <w:rFonts w:hint="eastAsia" w:asciiTheme="majorHAnsi" w:hAnsiTheme="majorHAnsi"/>
        </w:rPr>
        <w:t>由双方按《民法典》中的相关原则经平等协商后补充。</w:t>
      </w:r>
    </w:p>
    <w:p>
      <w:pPr>
        <w:spacing w:before="210" w:beforeLines="50" w:after="210" w:afterLines="50"/>
        <w:jc w:val="both"/>
        <w:rPr>
          <w:rFonts w:cs="Calibri Light" w:asciiTheme="majorHAnsi" w:hAnsiTheme="majorHAnsi"/>
          <w:b/>
        </w:rPr>
      </w:pPr>
      <w:r>
        <w:rPr>
          <w:rFonts w:hint="eastAsia" w:cs="Calibri Light" w:asciiTheme="majorHAnsi" w:hAnsiTheme="majorHAnsi"/>
          <w:b/>
        </w:rPr>
        <w:t>十</w:t>
      </w:r>
      <w:r>
        <w:rPr>
          <w:rFonts w:cs="Calibri Light" w:asciiTheme="majorHAnsi" w:hAnsiTheme="majorHAnsi"/>
          <w:b/>
        </w:rPr>
        <w:t>、保密条款</w:t>
      </w:r>
    </w:p>
    <w:p>
      <w:pPr>
        <w:ind w:firstLine="480" w:firstLineChars="200"/>
        <w:jc w:val="both"/>
        <w:rPr>
          <w:rFonts w:asciiTheme="majorHAnsi" w:hAnsiTheme="majorHAnsi"/>
          <w:lang w:bidi="zh-CN"/>
        </w:rPr>
      </w:pPr>
      <w:r>
        <w:rPr>
          <w:rFonts w:hint="eastAsia" w:asciiTheme="majorHAnsi" w:hAnsiTheme="majorHAnsi"/>
          <w:lang w:bidi="zh-CN"/>
        </w:rPr>
        <w:t>（一）乙方应遵守国家有关保密的法律法规和行业规定，并对甲方提供的资料负有永久保密义务。未经甲方同意，不得将承接政府服务项目获得的政府、公民个人等各种信息和资料提供给其他单位和个人。如发生以上情况，甲方依法追究乙方违约责任、直接负责的主管人员和其他直接责任人员的责任。若因乙方违反本条款造成甲方损失的，乙方应当按照本合同第十一条第（六）项赔偿甲方的全部损失。</w:t>
      </w:r>
    </w:p>
    <w:p>
      <w:pPr>
        <w:ind w:firstLine="480" w:firstLineChars="200"/>
        <w:jc w:val="both"/>
        <w:rPr>
          <w:rFonts w:asciiTheme="majorHAnsi" w:hAnsiTheme="majorHAnsi"/>
          <w:lang w:bidi="zh-CN"/>
        </w:rPr>
      </w:pPr>
      <w:r>
        <w:rPr>
          <w:rFonts w:hint="eastAsia" w:asciiTheme="majorHAnsi" w:hAnsiTheme="majorHAnsi"/>
          <w:lang w:bidi="zh-CN"/>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ind w:firstLine="480" w:firstLineChars="200"/>
        <w:jc w:val="both"/>
        <w:rPr>
          <w:rFonts w:asciiTheme="majorHAnsi" w:hAnsiTheme="majorHAnsi"/>
          <w:lang w:bidi="zh-CN"/>
        </w:rPr>
      </w:pPr>
      <w:r>
        <w:rPr>
          <w:rFonts w:hint="eastAsia" w:asciiTheme="majorHAnsi" w:hAnsiTheme="majorHAnsi"/>
          <w:lang w:bidi="zh-CN"/>
        </w:rPr>
        <w:t>（三）本条款为独立条款，本合同的无效、变更、解除和终止均不影响本条款的效力。</w:t>
      </w:r>
    </w:p>
    <w:p>
      <w:pPr>
        <w:spacing w:before="210" w:beforeLines="50" w:after="210" w:afterLines="50"/>
        <w:jc w:val="both"/>
        <w:rPr>
          <w:rFonts w:cs="Calibri Light" w:asciiTheme="majorHAnsi" w:hAnsiTheme="majorHAnsi"/>
          <w:b/>
        </w:rPr>
      </w:pPr>
      <w:r>
        <w:rPr>
          <w:rFonts w:hint="eastAsia" w:cs="Calibri Light" w:asciiTheme="majorHAnsi" w:hAnsiTheme="majorHAnsi"/>
          <w:b/>
        </w:rPr>
        <w:t>十一</w:t>
      </w:r>
      <w:r>
        <w:rPr>
          <w:rFonts w:cs="Calibri Light" w:asciiTheme="majorHAnsi" w:hAnsiTheme="majorHAnsi"/>
          <w:b/>
        </w:rPr>
        <w:t>、争议解决</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（一）本合同适用法律为中华人民共和国法律。</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（二）凡与本合同有关的一切争议，双方应通过友好协商解决。如经协商后仍不能达成协议时，任何一方都有权向甲方所在地有管辖权的人民法院起诉。</w:t>
      </w:r>
    </w:p>
    <w:p>
      <w:pPr>
        <w:spacing w:before="210" w:beforeLines="50" w:after="210" w:afterLines="50"/>
        <w:jc w:val="both"/>
        <w:rPr>
          <w:rFonts w:cs="Calibri Light" w:asciiTheme="majorHAnsi" w:hAnsiTheme="majorHAnsi"/>
          <w:b/>
        </w:rPr>
      </w:pPr>
      <w:r>
        <w:rPr>
          <w:rFonts w:hint="eastAsia" w:cs="Calibri Light" w:asciiTheme="majorHAnsi" w:hAnsiTheme="majorHAnsi"/>
          <w:b/>
        </w:rPr>
        <w:t>十二</w:t>
      </w:r>
      <w:r>
        <w:rPr>
          <w:rFonts w:cs="Calibri Light" w:asciiTheme="majorHAnsi" w:hAnsiTheme="majorHAnsi"/>
          <w:b/>
          <w:color w:val="C00000"/>
        </w:rPr>
        <w:t>、</w:t>
      </w:r>
      <w:r>
        <w:rPr>
          <w:rFonts w:cs="Calibri Light" w:asciiTheme="majorHAnsi" w:hAnsiTheme="majorHAnsi"/>
          <w:b/>
        </w:rPr>
        <w:t>合同生效及其他</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（一）本合同自签订之日起生效。</w:t>
      </w:r>
    </w:p>
    <w:p>
      <w:pPr>
        <w:pStyle w:val="6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（二）合同一式6份，甲方执5份</w:t>
      </w:r>
      <w:r>
        <w:rPr>
          <w:rFonts w:hint="eastAsia" w:asciiTheme="majorHAnsi" w:hAnsiTheme="majorHAnsi" w:eastAsiaTheme="minorEastAsia"/>
          <w:sz w:val="24"/>
          <w:szCs w:val="24"/>
        </w:rPr>
        <w:t>，</w:t>
      </w:r>
      <w:r>
        <w:rPr>
          <w:rFonts w:asciiTheme="majorHAnsi" w:hAnsiTheme="majorHAnsi" w:eastAsiaTheme="minorEastAsia"/>
          <w:sz w:val="24"/>
          <w:szCs w:val="24"/>
        </w:rPr>
        <w:t>乙方执1份。</w:t>
      </w:r>
    </w:p>
    <w:p>
      <w:pPr>
        <w:ind w:firstLine="480" w:firstLineChars="200"/>
      </w:pPr>
      <w:r>
        <w:t>（三）</w:t>
      </w:r>
      <w:r>
        <w:rPr>
          <w:rFonts w:hint="eastAsia"/>
        </w:rPr>
        <w:t>本合同生效后，双方均不得擅自变更；确需变更的，双方应协商一致后签订书面变更协议，变更协议与本合同具有同等效力；但若双方就变更事项未达成一致意见的，仍应继续履行本合同，否则视为违约，应承担相应的违约责任。</w:t>
      </w:r>
    </w:p>
    <w:p>
      <w:pPr>
        <w:pStyle w:val="68"/>
        <w:spacing w:line="240" w:lineRule="auto"/>
        <w:ind w:firstLine="480" w:firstLineChars="200"/>
        <w:jc w:val="both"/>
        <w:rPr>
          <w:rFonts w:asciiTheme="majorHAnsi" w:hAnsiTheme="majorHAnsi" w:eastAsiaTheme="minorEastAsia"/>
          <w:sz w:val="24"/>
          <w:szCs w:val="24"/>
        </w:rPr>
        <w:sectPr>
          <w:footerReference r:id="rId13" w:type="default"/>
          <w:footerReference r:id="rId14" w:type="even"/>
          <w:pgSz w:w="11906" w:h="16838"/>
          <w:pgMar w:top="1418" w:right="1304" w:bottom="1418" w:left="1701" w:header="851" w:footer="992" w:gutter="0"/>
          <w:cols w:space="425" w:num="1"/>
          <w:docGrid w:type="linesAndChars" w:linePitch="420" w:charSpace="0"/>
        </w:sectPr>
      </w:pPr>
      <w:r>
        <w:rPr>
          <w:rFonts w:asciiTheme="majorHAnsi" w:hAnsiTheme="majorHAnsi" w:eastAsiaTheme="minorEastAsia"/>
          <w:sz w:val="24"/>
          <w:szCs w:val="24"/>
        </w:rPr>
        <w:t>（三）未尽事宜由双方在签订合同时具体明确或签订补充合同。</w:t>
      </w:r>
    </w:p>
    <w:p>
      <w:pPr>
        <w:pStyle w:val="2"/>
        <w:spacing w:before="210" w:after="210"/>
      </w:pPr>
      <w:bookmarkStart w:id="12" w:name="_Toc100219616"/>
      <w:r>
        <w:rPr>
          <w:rFonts w:hint="eastAsia"/>
        </w:rPr>
        <w:t xml:space="preserve"> </w:t>
      </w:r>
      <w:r>
        <w:t xml:space="preserve">    </w:t>
      </w:r>
      <w:r>
        <w:rPr>
          <w:rFonts w:hint="eastAsia"/>
        </w:rPr>
        <w:t>第五章　投标文件构成及格式</w:t>
      </w:r>
      <w:bookmarkEnd w:id="12"/>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ind w:left="991" w:leftChars="413" w:right="1387" w:rightChars="578"/>
        <w:jc w:val="center"/>
        <w:rPr>
          <w:rFonts w:cstheme="minorHAnsi"/>
          <w:b/>
          <w:color w:val="C00000"/>
          <w:sz w:val="44"/>
          <w:szCs w:val="44"/>
        </w:rPr>
      </w:pPr>
      <w:r>
        <w:rPr>
          <w:rFonts w:cstheme="minorHAnsi"/>
          <w:b/>
          <w:color w:val="C00000"/>
          <w:sz w:val="44"/>
          <w:szCs w:val="44"/>
        </w:rPr>
        <w:t>西安市第九医院交换机、服务器、PC外设、PC终端、智能电视采购</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（项目编号：XCZX2024-0194-2）</w:t>
      </w:r>
    </w:p>
    <w:p>
      <w:pPr>
        <w:jc w:val="center"/>
        <w:rPr>
          <w:rFonts w:cstheme="minorHAnsi"/>
          <w:sz w:val="36"/>
          <w:szCs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rPr>
          <w:rFonts w:cstheme="minorHAnsi"/>
          <w:sz w:val="36"/>
        </w:rPr>
      </w:pPr>
      <w:r>
        <w:rPr>
          <w:rFonts w:cstheme="minorHAnsi"/>
          <w:sz w:val="36"/>
        </w:rPr>
        <w:t>注：本章中</w:t>
      </w:r>
      <w:r>
        <w:rPr>
          <w:rFonts w:hint="eastAsia" w:cstheme="minorHAnsi"/>
          <w:sz w:val="36"/>
        </w:rPr>
        <w:t>［项目名称］、［项目编号］等留白处，供应商均应按照「投标邀请函」中所列信息自行填写。</w:t>
      </w:r>
    </w:p>
    <w:p>
      <w:pPr>
        <w:rPr>
          <w:rFonts w:cstheme="minorHAnsi"/>
          <w:sz w:val="36"/>
        </w:rPr>
      </w:pP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304" w:bottom="1418" w:left="1701" w:header="851" w:footer="992" w:gutter="0"/>
          <w:cols w:space="425" w:num="1"/>
          <w:docGrid w:type="linesAndChars" w:linePitch="420" w:charSpace="0"/>
        </w:sectPr>
      </w:pPr>
    </w:p>
    <w:p>
      <w:pPr>
        <w:keepNext/>
        <w:spacing w:before="210" w:beforeLines="50" w:after="21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bookmarkStart w:id="13" w:name="OLE_LINK3"/>
      <w:bookmarkStart w:id="14" w:name="OLE_LINK2"/>
      <w:r>
        <w:rPr>
          <w:rFonts w:cstheme="minorHAnsi"/>
          <w:color w:val="C00000"/>
        </w:rPr>
        <w:t>［</w:t>
      </w:r>
      <w:r>
        <w:rPr>
          <w:rFonts w:cstheme="minorHAnsi"/>
          <w:color w:val="C00000"/>
          <w:u w:val="single"/>
        </w:rPr>
        <w:t>项目名称</w:t>
      </w:r>
      <w:r>
        <w:rPr>
          <w:rFonts w:cstheme="minorHAnsi"/>
          <w:color w:val="C00000"/>
        </w:rPr>
        <w:t>］</w:t>
      </w:r>
      <w:bookmarkEnd w:id="13"/>
      <w:bookmarkEnd w:id="14"/>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7" w:type="default"/>
          <w:footerReference r:id="rId18"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bookmarkStart w:id="15" w:name="OLE_LINK5"/>
      <w:bookmarkStart w:id="16" w:name="OLE_LINK4"/>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pPr>
        <w:pStyle w:val="68"/>
        <w:jc w:val="center"/>
        <w:rPr>
          <w:rFonts w:hAnsi="华文仿宋"/>
          <w:b/>
          <w:color w:val="C00000"/>
        </w:rPr>
      </w:pPr>
    </w:p>
    <w:tbl>
      <w:tblPr>
        <w:tblStyle w:val="29"/>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3246" w:type="dxa"/>
            <w:vMerge w:val="restart"/>
            <w:tcBorders>
              <w:top w:val="single" w:color="auto" w:sz="12" w:space="0"/>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pPr>
              <w:rPr>
                <w:rFonts w:asciiTheme="majorHAnsi" w:hAnsiTheme="majorHAnsi" w:cstheme="minorHAnsi"/>
                <w:color w:val="000000"/>
              </w:rPr>
            </w:pPr>
          </w:p>
          <w:p>
            <w:pPr>
              <w:spacing w:line="440" w:lineRule="exact"/>
              <w:ind w:right="1540" w:firstLine="120" w:firstLineChars="50"/>
              <w:rPr>
                <w:rFonts w:asciiTheme="majorHAnsi" w:hAnsiTheme="majorHAnsi" w:cstheme="minorHAnsi"/>
                <w:b/>
                <w:color w:val="000000"/>
              </w:rPr>
            </w:pPr>
            <w:r>
              <w:rPr>
                <w:rFonts w:hint="eastAsia" w:asciiTheme="majorHAnsi" w:hAnsiTheme="majorHAnsi" w:cstheme="minorHAnsi"/>
                <w:b/>
                <w:color w:val="000000"/>
              </w:rPr>
              <w:t>项目名称</w:t>
            </w:r>
          </w:p>
        </w:tc>
        <w:tc>
          <w:tcPr>
            <w:tcW w:w="2693" w:type="dxa"/>
            <w:tcBorders>
              <w:top w:val="single" w:color="auto" w:sz="12" w:space="0"/>
            </w:tcBorders>
            <w:vAlign w:val="center"/>
          </w:tcPr>
          <w:p>
            <w:pPr>
              <w:jc w:val="center"/>
              <w:rPr>
                <w:rFonts w:asciiTheme="majorHAnsi" w:hAnsiTheme="majorHAnsi" w:cstheme="minorHAnsi"/>
                <w:b/>
                <w:color w:val="C00000"/>
              </w:rPr>
            </w:pPr>
            <w:r>
              <w:rPr>
                <w:rFonts w:hint="eastAsia" w:asciiTheme="majorHAnsi" w:hAnsiTheme="majorHAnsi" w:cstheme="minorHAnsi"/>
                <w:b/>
                <w:color w:val="C00000"/>
              </w:rPr>
              <w:t>A</w:t>
            </w:r>
          </w:p>
        </w:tc>
        <w:tc>
          <w:tcPr>
            <w:tcW w:w="2410" w:type="dxa"/>
            <w:tcBorders>
              <w:top w:val="single" w:color="auto" w:sz="12" w:space="0"/>
            </w:tcBorders>
            <w:vAlign w:val="center"/>
          </w:tcPr>
          <w:p>
            <w:pPr>
              <w:jc w:val="center"/>
              <w:rPr>
                <w:rFonts w:asciiTheme="majorHAnsi" w:hAnsiTheme="majorHAnsi" w:cstheme="minorHAnsi"/>
                <w:b/>
                <w:color w:val="C00000"/>
              </w:rPr>
            </w:pPr>
            <w:r>
              <w:rPr>
                <w:rFonts w:asciiTheme="majorHAnsi" w:hAnsiTheme="majorHAnsi" w:cstheme="minorHAnsi"/>
                <w:b/>
                <w:color w:val="C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p>
        </w:tc>
        <w:tc>
          <w:tcPr>
            <w:tcW w:w="2693" w:type="dxa"/>
            <w:vAlign w:val="center"/>
          </w:tcPr>
          <w:p>
            <w:pPr>
              <w:spacing w:line="440" w:lineRule="exact"/>
              <w:jc w:val="center"/>
              <w:rPr>
                <w:rFonts w:asciiTheme="majorHAnsi" w:hAnsiTheme="majorHAnsi"/>
                <w:b/>
                <w:color w:val="C00000"/>
              </w:rPr>
            </w:pPr>
            <w:r>
              <w:rPr>
                <w:rFonts w:asciiTheme="majorHAnsi" w:hAnsiTheme="majorHAnsi"/>
                <w:b/>
                <w:color w:val="C00000"/>
              </w:rPr>
              <w:t>单价合计（元）</w:t>
            </w:r>
          </w:p>
        </w:tc>
        <w:tc>
          <w:tcPr>
            <w:tcW w:w="2410" w:type="dxa"/>
            <w:vAlign w:val="center"/>
          </w:tcPr>
          <w:p>
            <w:pPr>
              <w:jc w:val="center"/>
              <w:rPr>
                <w:rFonts w:asciiTheme="majorHAnsi" w:hAnsiTheme="majorHAnsi"/>
                <w:b/>
                <w:color w:val="C00000"/>
              </w:rPr>
            </w:pPr>
            <w:r>
              <w:rPr>
                <w:rFonts w:asciiTheme="majorHAnsi" w:hAnsiTheme="majorHAnsi"/>
                <w:b/>
                <w:color w:val="C00000"/>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12" w:space="0"/>
            </w:tcBorders>
            <w:vAlign w:val="center"/>
          </w:tcPr>
          <w:p>
            <w:pPr>
              <w:spacing w:line="440" w:lineRule="exact"/>
              <w:jc w:val="center"/>
              <w:rPr>
                <w:rFonts w:asciiTheme="majorHAnsi" w:hAnsiTheme="majorHAnsi" w:cstheme="minorHAnsi"/>
                <w:b/>
                <w:color w:val="000000"/>
              </w:rPr>
            </w:pPr>
            <w:r>
              <w:rPr>
                <w:rFonts w:cstheme="minorHAnsi"/>
                <w:color w:val="C00000"/>
              </w:rPr>
              <w:t>［</w:t>
            </w:r>
            <w:r>
              <w:rPr>
                <w:rFonts w:cstheme="minorHAnsi"/>
                <w:color w:val="C00000"/>
                <w:u w:val="single"/>
              </w:rPr>
              <w:t>项目名称</w:t>
            </w:r>
            <w:r>
              <w:rPr>
                <w:rFonts w:cstheme="minorHAnsi"/>
                <w:color w:val="C00000"/>
              </w:rPr>
              <w:t>］</w:t>
            </w:r>
          </w:p>
        </w:tc>
        <w:tc>
          <w:tcPr>
            <w:tcW w:w="2693" w:type="dxa"/>
            <w:vAlign w:val="center"/>
          </w:tcPr>
          <w:p>
            <w:pPr>
              <w:spacing w:line="440" w:lineRule="exact"/>
              <w:jc w:val="center"/>
              <w:rPr>
                <w:rFonts w:asciiTheme="majorHAnsi" w:hAnsiTheme="majorHAnsi" w:cstheme="minorHAnsi"/>
                <w:color w:val="000000"/>
              </w:rPr>
            </w:pPr>
          </w:p>
        </w:tc>
        <w:tc>
          <w:tcPr>
            <w:tcW w:w="2410" w:type="dxa"/>
          </w:tcPr>
          <w:p>
            <w:pPr>
              <w:spacing w:line="440" w:lineRule="exact"/>
              <w:jc w:val="center"/>
              <w:rPr>
                <w:rFonts w:asciiTheme="majorHAnsi" w:hAnsiTheme="majorHAnsi"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12" w:space="0"/>
            </w:tcBorders>
            <w:vAlign w:val="center"/>
          </w:tcPr>
          <w:p>
            <w:pPr>
              <w:spacing w:line="440" w:lineRule="exact"/>
              <w:jc w:val="center"/>
              <w:rPr>
                <w:rFonts w:asciiTheme="majorHAnsi" w:hAnsiTheme="majorHAnsi" w:cstheme="minorHAnsi"/>
                <w:b/>
                <w:color w:val="C00000"/>
              </w:rPr>
            </w:pPr>
            <w:r>
              <w:rPr>
                <w:rFonts w:asciiTheme="majorHAnsi" w:hAnsiTheme="majorHAnsi" w:cstheme="minorHAnsi"/>
                <w:b/>
                <w:color w:val="000000"/>
              </w:rPr>
              <w:t>单价合计（大写）</w:t>
            </w:r>
          </w:p>
        </w:tc>
        <w:tc>
          <w:tcPr>
            <w:tcW w:w="5103" w:type="dxa"/>
            <w:gridSpan w:val="2"/>
            <w:vAlign w:val="center"/>
          </w:tcPr>
          <w:p>
            <w:pPr>
              <w:spacing w:line="440" w:lineRule="exact"/>
              <w:jc w:val="center"/>
              <w:rPr>
                <w:rFonts w:asciiTheme="majorHAnsi" w:hAnsiTheme="majorHAnsi" w:cstheme="minorHAnsi"/>
                <w:color w:val="000000"/>
              </w:rPr>
            </w:pPr>
          </w:p>
        </w:tc>
      </w:tr>
    </w:tbl>
    <w:p>
      <w:pPr>
        <w:spacing w:before="210" w:beforeLines="50" w:line="480" w:lineRule="exact"/>
        <w:rPr>
          <w:rFonts w:ascii="Calibri Light" w:hAnsi="Calibri Light" w:eastAsia="华文仿宋"/>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pPr>
        <w:spacing w:before="210" w:beforeLines="50"/>
        <w:rPr>
          <w:rFonts w:ascii="Calibri" w:hAnsi="Calibri" w:eastAsia="宋体"/>
          <w:kern w:val="24"/>
        </w:rPr>
      </w:pPr>
    </w:p>
    <w:p>
      <w:pPr>
        <w:jc w:val="both"/>
        <w:rPr>
          <w:rFonts w:ascii="Calibri" w:hAnsi="Calibri" w:eastAsia="宋体"/>
          <w:kern w:val="24"/>
        </w:rPr>
      </w:pPr>
      <w:r>
        <w:rPr>
          <w:rFonts w:ascii="Calibri" w:hAnsi="Calibri" w:eastAsia="宋体"/>
          <w:kern w:val="24"/>
        </w:rPr>
        <w:t>注：</w:t>
      </w:r>
      <w:r>
        <w:rPr>
          <w:rFonts w:hint="eastAsia" w:ascii="Calibri" w:hAnsi="Calibri" w:eastAsia="宋体"/>
          <w:kern w:val="24"/>
        </w:rPr>
        <w:t>（一）以下情况按无效投标处理：</w:t>
      </w:r>
    </w:p>
    <w:p>
      <w:pPr>
        <w:ind w:firstLine="480" w:firstLineChars="200"/>
        <w:jc w:val="both"/>
        <w:rPr>
          <w:rFonts w:ascii="Calibri" w:hAnsi="Calibri" w:eastAsia="宋体"/>
          <w:kern w:val="24"/>
        </w:rPr>
      </w:pPr>
      <w:r>
        <w:rPr>
          <w:rFonts w:hint="eastAsia" w:ascii="Calibri" w:hAnsi="Calibri" w:eastAsia="宋体"/>
          <w:kern w:val="24"/>
        </w:rPr>
        <w:t>1．</w:t>
      </w:r>
      <w:r>
        <w:rPr>
          <w:kern w:val="24"/>
        </w:rPr>
        <w:t>A栏未按银行小写金额样式填写，B栏未填写交货期。</w:t>
      </w:r>
    </w:p>
    <w:p>
      <w:pPr>
        <w:ind w:firstLine="480" w:firstLineChars="200"/>
        <w:jc w:val="both"/>
        <w:rPr>
          <w:rFonts w:ascii="Calibri" w:hAnsi="Calibri" w:eastAsia="宋体"/>
          <w:kern w:val="24"/>
        </w:rPr>
      </w:pPr>
      <w:r>
        <w:rPr>
          <w:rFonts w:hint="eastAsia" w:ascii="Calibri" w:hAnsi="Calibri" w:eastAsia="宋体"/>
          <w:kern w:val="24"/>
        </w:rPr>
        <w:t>2．“单价合计（大写）”栏未按银行大写金额样式进行填写，样式参考：壹、贰、叁、肆、伍、陆、柒、捌、玖、拾、佰、仟、万、亿、元（圆）、角、分、零、整（正）等。</w:t>
      </w:r>
    </w:p>
    <w:p>
      <w:pPr>
        <w:ind w:firstLine="480" w:firstLineChars="200"/>
        <w:jc w:val="both"/>
        <w:rPr>
          <w:rFonts w:ascii="Calibri" w:hAnsi="Calibri" w:eastAsia="宋体"/>
          <w:kern w:val="24"/>
        </w:rPr>
      </w:pPr>
      <w:r>
        <w:rPr>
          <w:rFonts w:hint="eastAsia" w:ascii="Calibri" w:hAnsi="Calibri" w:eastAsia="宋体"/>
          <w:kern w:val="24"/>
        </w:rPr>
        <w:t>3．本表A栏值、“单价合计（大写）”值与分项报价表“单价合计”值三处不一致的。</w:t>
      </w:r>
    </w:p>
    <w:p>
      <w:pPr>
        <w:ind w:firstLine="480" w:firstLineChars="200"/>
        <w:rPr>
          <w:rFonts w:ascii="Calibri" w:hAnsi="Calibri" w:eastAsia="宋体"/>
          <w:kern w:val="24"/>
        </w:rPr>
      </w:pPr>
      <w:r>
        <w:rPr>
          <w:rFonts w:ascii="Calibri" w:hAnsi="Calibri" w:eastAsia="宋体"/>
          <w:kern w:val="24"/>
        </w:rPr>
        <w:t>（二）单价</w:t>
      </w:r>
      <w:r>
        <w:rPr>
          <w:rFonts w:hint="eastAsia" w:ascii="Calibri" w:hAnsi="Calibri" w:eastAsia="宋体"/>
          <w:kern w:val="24"/>
        </w:rPr>
        <w:t>合计仅作为计算价格分的依据，结算时以实际产品数量及中标单价据实结算。</w:t>
      </w:r>
    </w:p>
    <w:p>
      <w:pPr>
        <w:ind w:firstLine="480" w:firstLineChars="200"/>
        <w:sectPr>
          <w:footerReference r:id="rId19" w:type="default"/>
          <w:footerReference r:id="rId20" w:type="even"/>
          <w:pgSz w:w="11906" w:h="16838"/>
          <w:pgMar w:top="1418" w:right="1418" w:bottom="1418" w:left="1588" w:header="851" w:footer="992" w:gutter="0"/>
          <w:cols w:space="425" w:num="1"/>
          <w:docGrid w:type="linesAndChars" w:linePitch="420" w:charSpace="0"/>
        </w:sectPr>
      </w:pPr>
      <w:r>
        <w:rPr>
          <w:rFonts w:ascii="Calibri" w:hAnsi="Calibri" w:eastAsia="宋体"/>
          <w:kern w:val="24"/>
        </w:rPr>
        <w:t>特别提醒：</w:t>
      </w:r>
      <w:r>
        <w:rPr>
          <w:rFonts w:hint="eastAsia" w:ascii="Calibri" w:hAnsi="Calibri" w:eastAsia="宋体"/>
          <w:kern w:val="24"/>
        </w:rPr>
        <w:t>电子化开标一览表填写时，“投标报价”值须按A栏所填写值填写（仅填写数字，不填写单位），若不按照本规则填写，可能导致电子化系统无法识别报价，后果自负。</w:t>
      </w:r>
    </w:p>
    <w:p>
      <w:pPr>
        <w:pStyle w:val="77"/>
      </w:pPr>
      <w:r>
        <w:rPr>
          <w:rFonts w:hint="eastAsia"/>
        </w:rPr>
        <w:t>分项报价</w:t>
      </w:r>
      <w:r>
        <w:t>表</w:t>
      </w:r>
    </w:p>
    <w:p>
      <w:pPr>
        <w:pStyle w:val="77"/>
        <w:ind w:firstLine="1120"/>
        <w:jc w:val="right"/>
        <w:outlineLvl w:val="9"/>
        <w:rPr>
          <w:rFonts w:asciiTheme="minorHAnsi" w:hAnsiTheme="minorHAnsi" w:eastAsiaTheme="minorEastAsia" w:cstheme="minorHAnsi"/>
          <w:b/>
          <w:color w:val="000000" w:themeColor="text1"/>
          <w:sz w:val="24"/>
          <w:szCs w:val="24"/>
          <w14:textFill>
            <w14:solidFill>
              <w14:schemeClr w14:val="tx1"/>
            </w14:solidFill>
          </w14:textFill>
        </w:rPr>
      </w:pPr>
      <w:r>
        <w:rPr>
          <w:rFonts w:asciiTheme="minorHAnsi" w:hAnsiTheme="minorHAnsi" w:eastAsiaTheme="minorEastAsia" w:cstheme="minorHAnsi"/>
          <w:b/>
          <w:color w:val="000000" w:themeColor="text1"/>
          <w:sz w:val="24"/>
          <w:szCs w:val="24"/>
          <w14:textFill>
            <w14:solidFill>
              <w14:schemeClr w14:val="tx1"/>
            </w14:solidFill>
          </w14:textFill>
        </w:rPr>
        <w:tab/>
      </w:r>
      <w:r>
        <w:rPr>
          <w:rFonts w:asciiTheme="minorHAnsi" w:hAnsiTheme="minorHAnsi" w:eastAsiaTheme="minorEastAsia" w:cstheme="minorHAnsi"/>
          <w:b/>
          <w:color w:val="000000" w:themeColor="text1"/>
          <w:sz w:val="24"/>
          <w:szCs w:val="24"/>
          <w14:textFill>
            <w14:solidFill>
              <w14:schemeClr w14:val="tx1"/>
            </w14:solidFill>
          </w14:textFill>
        </w:rPr>
        <w:t>单位：元</w:t>
      </w:r>
    </w:p>
    <w:tbl>
      <w:tblPr>
        <w:tblStyle w:val="29"/>
        <w:tblW w:w="141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9"/>
        <w:gridCol w:w="2821"/>
        <w:gridCol w:w="1528"/>
        <w:gridCol w:w="1275"/>
        <w:gridCol w:w="2289"/>
        <w:gridCol w:w="1276"/>
        <w:gridCol w:w="1134"/>
        <w:gridCol w:w="31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2821"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产品名称</w:t>
            </w:r>
          </w:p>
        </w:tc>
        <w:tc>
          <w:tcPr>
            <w:tcW w:w="152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品牌</w:t>
            </w:r>
          </w:p>
        </w:tc>
        <w:tc>
          <w:tcPr>
            <w:tcW w:w="127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规格型号</w:t>
            </w:r>
          </w:p>
        </w:tc>
        <w:tc>
          <w:tcPr>
            <w:tcW w:w="228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制造商</w:t>
            </w:r>
          </w:p>
        </w:tc>
        <w:tc>
          <w:tcPr>
            <w:tcW w:w="127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备注</w:t>
            </w:r>
          </w:p>
        </w:tc>
        <w:tc>
          <w:tcPr>
            <w:tcW w:w="113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单价限价</w:t>
            </w:r>
          </w:p>
        </w:tc>
        <w:tc>
          <w:tcPr>
            <w:tcW w:w="31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单价（元）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tcBorders>
              <w:top w:val="single" w:color="auto" w:sz="2" w:space="0"/>
            </w:tcBorders>
            <w:shd w:val="clear" w:color="auto" w:fill="auto"/>
            <w:vAlign w:val="center"/>
          </w:tcPr>
          <w:p>
            <w:pPr>
              <w:spacing w:line="320" w:lineRule="exact"/>
              <w:jc w:val="center"/>
              <w:rPr>
                <w:rFonts w:ascii="Calibri" w:hAnsi="宋体" w:eastAsia="宋体" w:cs="华文仿宋"/>
                <w:sz w:val="21"/>
                <w:szCs w:val="28"/>
                <w:lang w:val="zh-CN" w:bidi="zh-CN"/>
              </w:rPr>
            </w:pPr>
            <w:r>
              <w:rPr>
                <w:rFonts w:hint="eastAsia" w:ascii="Calibri" w:hAnsi="宋体" w:eastAsia="宋体" w:cs="华文仿宋"/>
                <w:sz w:val="21"/>
                <w:szCs w:val="28"/>
                <w:lang w:val="zh-CN" w:bidi="zh-CN"/>
              </w:rPr>
              <w:t>1</w:t>
            </w:r>
          </w:p>
        </w:tc>
        <w:tc>
          <w:tcPr>
            <w:tcW w:w="2821" w:type="dxa"/>
            <w:tcBorders>
              <w:top w:val="single" w:color="auto" w:sz="2" w:space="0"/>
            </w:tcBorders>
            <w:shd w:val="clear" w:color="auto" w:fill="auto"/>
            <w:vAlign w:val="center"/>
          </w:tcPr>
          <w:p>
            <w:pPr>
              <w:spacing w:line="320" w:lineRule="exact"/>
              <w:jc w:val="both"/>
              <w:rPr>
                <w:rFonts w:ascii="Calibri" w:hAnsi="宋体" w:eastAsia="宋体" w:cs="华文仿宋"/>
                <w:b/>
                <w:sz w:val="21"/>
                <w:szCs w:val="28"/>
                <w:lang w:val="zh-CN" w:bidi="zh-CN"/>
              </w:rPr>
            </w:pPr>
          </w:p>
        </w:tc>
        <w:tc>
          <w:tcPr>
            <w:tcW w:w="1528" w:type="dxa"/>
            <w:tcBorders>
              <w:top w:val="single" w:color="auto" w:sz="2" w:space="0"/>
            </w:tcBorders>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1275" w:type="dxa"/>
            <w:tcBorders>
              <w:top w:val="single" w:color="auto" w:sz="2" w:space="0"/>
            </w:tcBorders>
            <w:vAlign w:val="center"/>
          </w:tcPr>
          <w:p>
            <w:pPr>
              <w:spacing w:line="320" w:lineRule="exact"/>
              <w:jc w:val="both"/>
              <w:rPr>
                <w:rFonts w:ascii="Calibri" w:hAnsi="宋体" w:eastAsia="宋体" w:cs="华文仿宋"/>
                <w:b/>
                <w:sz w:val="21"/>
                <w:szCs w:val="28"/>
                <w:lang w:val="zh-CN" w:eastAsia="en-US" w:bidi="zh-CN"/>
              </w:rPr>
            </w:pPr>
          </w:p>
        </w:tc>
        <w:tc>
          <w:tcPr>
            <w:tcW w:w="2289" w:type="dxa"/>
            <w:tcBorders>
              <w:top w:val="single" w:color="auto" w:sz="2" w:space="0"/>
            </w:tcBorders>
            <w:vAlign w:val="center"/>
          </w:tcPr>
          <w:p>
            <w:pPr>
              <w:spacing w:line="320" w:lineRule="exact"/>
              <w:jc w:val="both"/>
              <w:rPr>
                <w:rFonts w:ascii="Calibri" w:hAnsi="宋体" w:eastAsia="宋体" w:cs="华文仿宋"/>
                <w:b/>
                <w:sz w:val="21"/>
                <w:szCs w:val="28"/>
                <w:lang w:val="zh-CN" w:eastAsia="en-US" w:bidi="zh-CN"/>
              </w:rPr>
            </w:pPr>
          </w:p>
        </w:tc>
        <w:tc>
          <w:tcPr>
            <w:tcW w:w="1276" w:type="dxa"/>
            <w:tcBorders>
              <w:top w:val="single" w:color="auto" w:sz="2" w:space="0"/>
            </w:tcBorders>
            <w:vAlign w:val="center"/>
          </w:tcPr>
          <w:p>
            <w:pPr>
              <w:spacing w:line="320" w:lineRule="exact"/>
              <w:jc w:val="both"/>
              <w:rPr>
                <w:rFonts w:ascii="Calibri" w:hAnsi="宋体" w:eastAsia="宋体" w:cs="华文仿宋"/>
                <w:b/>
                <w:sz w:val="21"/>
                <w:szCs w:val="28"/>
                <w:lang w:val="zh-CN" w:eastAsia="en-US" w:bidi="zh-CN"/>
              </w:rPr>
            </w:pPr>
          </w:p>
        </w:tc>
        <w:tc>
          <w:tcPr>
            <w:tcW w:w="1134" w:type="dxa"/>
            <w:tcBorders>
              <w:top w:val="single" w:color="auto" w:sz="2" w:space="0"/>
            </w:tcBorders>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3143" w:type="dxa"/>
            <w:tcBorders>
              <w:top w:val="single" w:color="auto" w:sz="2" w:space="0"/>
            </w:tcBorders>
            <w:vAlign w:val="center"/>
          </w:tcPr>
          <w:p>
            <w:pPr>
              <w:spacing w:line="320" w:lineRule="exact"/>
              <w:jc w:val="both"/>
              <w:rPr>
                <w:rFonts w:ascii="Calibri" w:hAnsi="宋体" w:eastAsia="宋体" w:cs="华文仿宋"/>
                <w:b/>
                <w:sz w:val="21"/>
                <w:szCs w:val="28"/>
                <w:lang w:val="zh-CN" w:eastAsia="en-US"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shd w:val="clear" w:color="auto" w:fill="auto"/>
            <w:vAlign w:val="center"/>
          </w:tcPr>
          <w:p>
            <w:pPr>
              <w:spacing w:line="320" w:lineRule="exact"/>
              <w:jc w:val="center"/>
              <w:rPr>
                <w:rFonts w:ascii="Calibri" w:hAnsi="宋体" w:eastAsia="宋体" w:cs="华文仿宋"/>
                <w:sz w:val="21"/>
                <w:szCs w:val="28"/>
                <w:lang w:val="zh-CN" w:bidi="zh-CN"/>
              </w:rPr>
            </w:pPr>
            <w:r>
              <w:rPr>
                <w:rFonts w:hint="eastAsia" w:ascii="Calibri" w:hAnsi="宋体" w:eastAsia="宋体" w:cs="华文仿宋"/>
                <w:sz w:val="21"/>
                <w:szCs w:val="28"/>
                <w:lang w:val="zh-CN" w:bidi="zh-CN"/>
              </w:rPr>
              <w:t>2</w:t>
            </w:r>
          </w:p>
        </w:tc>
        <w:tc>
          <w:tcPr>
            <w:tcW w:w="2821" w:type="dxa"/>
            <w:shd w:val="clear" w:color="auto" w:fill="auto"/>
            <w:vAlign w:val="center"/>
          </w:tcPr>
          <w:p>
            <w:pPr>
              <w:spacing w:line="320" w:lineRule="exact"/>
              <w:jc w:val="both"/>
              <w:rPr>
                <w:rFonts w:ascii="Calibri" w:hAnsi="宋体" w:eastAsia="宋体" w:cs="华文仿宋"/>
                <w:b/>
                <w:sz w:val="21"/>
                <w:szCs w:val="28"/>
                <w:lang w:val="zh-CN" w:bidi="zh-CN"/>
              </w:rPr>
            </w:pPr>
          </w:p>
        </w:tc>
        <w:tc>
          <w:tcPr>
            <w:tcW w:w="1528" w:type="dxa"/>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1275" w:type="dxa"/>
            <w:vAlign w:val="center"/>
          </w:tcPr>
          <w:p>
            <w:pPr>
              <w:spacing w:line="320" w:lineRule="exact"/>
              <w:jc w:val="both"/>
              <w:rPr>
                <w:rFonts w:ascii="Calibri" w:hAnsi="宋体" w:eastAsia="宋体" w:cs="华文仿宋"/>
                <w:b/>
                <w:sz w:val="21"/>
                <w:szCs w:val="28"/>
                <w:lang w:val="zh-CN" w:eastAsia="en-US" w:bidi="zh-CN"/>
              </w:rPr>
            </w:pPr>
          </w:p>
        </w:tc>
        <w:tc>
          <w:tcPr>
            <w:tcW w:w="2289" w:type="dxa"/>
            <w:vAlign w:val="center"/>
          </w:tcPr>
          <w:p>
            <w:pPr>
              <w:spacing w:line="320" w:lineRule="exact"/>
              <w:jc w:val="both"/>
              <w:rPr>
                <w:rFonts w:ascii="Calibri" w:hAnsi="宋体" w:eastAsia="宋体" w:cs="华文仿宋"/>
                <w:b/>
                <w:sz w:val="21"/>
                <w:szCs w:val="28"/>
                <w:lang w:val="zh-CN" w:eastAsia="en-US" w:bidi="zh-CN"/>
              </w:rPr>
            </w:pPr>
          </w:p>
        </w:tc>
        <w:tc>
          <w:tcPr>
            <w:tcW w:w="1276" w:type="dxa"/>
            <w:vAlign w:val="center"/>
          </w:tcPr>
          <w:p>
            <w:pPr>
              <w:spacing w:line="320" w:lineRule="exact"/>
              <w:jc w:val="both"/>
              <w:rPr>
                <w:rFonts w:ascii="Calibri" w:hAnsi="宋体" w:eastAsia="宋体" w:cs="华文仿宋"/>
                <w:b/>
                <w:sz w:val="21"/>
                <w:szCs w:val="28"/>
                <w:lang w:val="zh-CN" w:eastAsia="en-US" w:bidi="zh-CN"/>
              </w:rPr>
            </w:pPr>
          </w:p>
        </w:tc>
        <w:tc>
          <w:tcPr>
            <w:tcW w:w="1134" w:type="dxa"/>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3143" w:type="dxa"/>
            <w:vAlign w:val="center"/>
          </w:tcPr>
          <w:p>
            <w:pPr>
              <w:spacing w:line="320" w:lineRule="exact"/>
              <w:jc w:val="both"/>
              <w:rPr>
                <w:rFonts w:ascii="Calibri" w:hAnsi="宋体" w:eastAsia="宋体" w:cs="华文仿宋"/>
                <w:b/>
                <w:sz w:val="21"/>
                <w:szCs w:val="28"/>
                <w:lang w:val="zh-CN" w:eastAsia="en-US"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shd w:val="clear" w:color="auto" w:fill="auto"/>
            <w:vAlign w:val="center"/>
          </w:tcPr>
          <w:p>
            <w:pPr>
              <w:spacing w:line="320" w:lineRule="exact"/>
              <w:jc w:val="center"/>
              <w:rPr>
                <w:rFonts w:ascii="Calibri" w:hAnsi="宋体" w:eastAsia="宋体" w:cs="华文仿宋"/>
                <w:sz w:val="21"/>
                <w:szCs w:val="28"/>
                <w:lang w:val="zh-CN" w:bidi="zh-CN"/>
              </w:rPr>
            </w:pPr>
            <w:r>
              <w:rPr>
                <w:rFonts w:hint="eastAsia" w:ascii="Calibri" w:hAnsi="宋体" w:eastAsia="宋体" w:cs="华文仿宋"/>
                <w:sz w:val="21"/>
                <w:szCs w:val="28"/>
                <w:lang w:val="zh-CN" w:bidi="zh-CN"/>
              </w:rPr>
              <w:t>3</w:t>
            </w:r>
          </w:p>
        </w:tc>
        <w:tc>
          <w:tcPr>
            <w:tcW w:w="2821" w:type="dxa"/>
            <w:shd w:val="clear" w:color="auto" w:fill="auto"/>
            <w:vAlign w:val="center"/>
          </w:tcPr>
          <w:p>
            <w:pPr>
              <w:spacing w:line="320" w:lineRule="exact"/>
              <w:jc w:val="both"/>
              <w:rPr>
                <w:rFonts w:ascii="Calibri" w:hAnsi="宋体" w:eastAsia="宋体" w:cs="华文仿宋"/>
                <w:b/>
                <w:sz w:val="21"/>
                <w:szCs w:val="28"/>
                <w:lang w:val="zh-CN" w:bidi="zh-CN"/>
              </w:rPr>
            </w:pPr>
          </w:p>
        </w:tc>
        <w:tc>
          <w:tcPr>
            <w:tcW w:w="1528" w:type="dxa"/>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1275" w:type="dxa"/>
            <w:vAlign w:val="center"/>
          </w:tcPr>
          <w:p>
            <w:pPr>
              <w:spacing w:line="320" w:lineRule="exact"/>
              <w:jc w:val="both"/>
              <w:rPr>
                <w:rFonts w:ascii="Calibri" w:hAnsi="宋体" w:eastAsia="宋体" w:cs="华文仿宋"/>
                <w:b/>
                <w:sz w:val="21"/>
                <w:szCs w:val="28"/>
                <w:lang w:val="zh-CN" w:eastAsia="en-US" w:bidi="zh-CN"/>
              </w:rPr>
            </w:pPr>
          </w:p>
        </w:tc>
        <w:tc>
          <w:tcPr>
            <w:tcW w:w="2289" w:type="dxa"/>
            <w:vAlign w:val="center"/>
          </w:tcPr>
          <w:p>
            <w:pPr>
              <w:spacing w:line="320" w:lineRule="exact"/>
              <w:jc w:val="both"/>
              <w:rPr>
                <w:rFonts w:ascii="Calibri" w:hAnsi="宋体" w:eastAsia="宋体" w:cs="华文仿宋"/>
                <w:b/>
                <w:sz w:val="21"/>
                <w:szCs w:val="28"/>
                <w:lang w:val="zh-CN" w:eastAsia="en-US" w:bidi="zh-CN"/>
              </w:rPr>
            </w:pPr>
          </w:p>
        </w:tc>
        <w:tc>
          <w:tcPr>
            <w:tcW w:w="1276" w:type="dxa"/>
            <w:vAlign w:val="center"/>
          </w:tcPr>
          <w:p>
            <w:pPr>
              <w:spacing w:line="320" w:lineRule="exact"/>
              <w:jc w:val="both"/>
              <w:rPr>
                <w:rFonts w:ascii="Calibri" w:hAnsi="宋体" w:eastAsia="宋体" w:cs="华文仿宋"/>
                <w:b/>
                <w:sz w:val="21"/>
                <w:szCs w:val="28"/>
                <w:lang w:val="zh-CN" w:eastAsia="en-US" w:bidi="zh-CN"/>
              </w:rPr>
            </w:pPr>
          </w:p>
        </w:tc>
        <w:tc>
          <w:tcPr>
            <w:tcW w:w="1134" w:type="dxa"/>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3143" w:type="dxa"/>
            <w:vAlign w:val="center"/>
          </w:tcPr>
          <w:p>
            <w:pPr>
              <w:spacing w:line="320" w:lineRule="exact"/>
              <w:jc w:val="both"/>
              <w:rPr>
                <w:rFonts w:ascii="Calibri" w:hAnsi="宋体" w:eastAsia="宋体" w:cs="华文仿宋"/>
                <w:b/>
                <w:sz w:val="21"/>
                <w:szCs w:val="28"/>
                <w:lang w:val="zh-CN" w:eastAsia="en-US"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19" w:type="dxa"/>
            <w:shd w:val="clear" w:color="auto" w:fill="auto"/>
            <w:vAlign w:val="center"/>
          </w:tcPr>
          <w:p>
            <w:pPr>
              <w:spacing w:line="320" w:lineRule="exact"/>
              <w:jc w:val="center"/>
              <w:rPr>
                <w:rFonts w:ascii="Calibri" w:hAnsi="宋体" w:eastAsia="宋体" w:cs="华文仿宋"/>
                <w:b/>
                <w:sz w:val="21"/>
                <w:szCs w:val="28"/>
                <w:lang w:val="zh-CN" w:bidi="zh-CN"/>
              </w:rPr>
            </w:pPr>
            <w:r>
              <w:rPr>
                <w:rFonts w:ascii="Calibri" w:hAnsi="宋体" w:eastAsia="宋体" w:cs="华文仿宋"/>
                <w:b/>
                <w:sz w:val="21"/>
                <w:szCs w:val="28"/>
                <w:lang w:val="zh-CN" w:bidi="zh-CN"/>
              </w:rPr>
              <w:t>…</w:t>
            </w:r>
          </w:p>
        </w:tc>
        <w:tc>
          <w:tcPr>
            <w:tcW w:w="2821" w:type="dxa"/>
            <w:shd w:val="clear" w:color="auto" w:fill="auto"/>
            <w:vAlign w:val="center"/>
          </w:tcPr>
          <w:p>
            <w:pPr>
              <w:spacing w:line="320" w:lineRule="exact"/>
              <w:jc w:val="both"/>
              <w:rPr>
                <w:rFonts w:ascii="Calibri" w:hAnsi="宋体" w:eastAsia="宋体" w:cs="华文仿宋"/>
                <w:b/>
                <w:sz w:val="21"/>
                <w:szCs w:val="28"/>
                <w:lang w:val="zh-CN" w:bidi="zh-CN"/>
              </w:rPr>
            </w:pPr>
          </w:p>
        </w:tc>
        <w:tc>
          <w:tcPr>
            <w:tcW w:w="1528" w:type="dxa"/>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1275" w:type="dxa"/>
            <w:vAlign w:val="center"/>
          </w:tcPr>
          <w:p>
            <w:pPr>
              <w:spacing w:line="320" w:lineRule="exact"/>
              <w:jc w:val="both"/>
              <w:rPr>
                <w:rFonts w:ascii="Calibri" w:hAnsi="宋体" w:eastAsia="宋体" w:cs="华文仿宋"/>
                <w:b/>
                <w:sz w:val="21"/>
                <w:szCs w:val="28"/>
                <w:lang w:val="zh-CN" w:eastAsia="en-US" w:bidi="zh-CN"/>
              </w:rPr>
            </w:pPr>
          </w:p>
        </w:tc>
        <w:tc>
          <w:tcPr>
            <w:tcW w:w="2289" w:type="dxa"/>
            <w:vAlign w:val="center"/>
          </w:tcPr>
          <w:p>
            <w:pPr>
              <w:spacing w:line="320" w:lineRule="exact"/>
              <w:jc w:val="both"/>
              <w:rPr>
                <w:rFonts w:ascii="Calibri" w:hAnsi="宋体" w:eastAsia="宋体" w:cs="华文仿宋"/>
                <w:b/>
                <w:sz w:val="21"/>
                <w:szCs w:val="28"/>
                <w:lang w:val="zh-CN" w:eastAsia="en-US" w:bidi="zh-CN"/>
              </w:rPr>
            </w:pPr>
          </w:p>
        </w:tc>
        <w:tc>
          <w:tcPr>
            <w:tcW w:w="1276" w:type="dxa"/>
            <w:vAlign w:val="center"/>
          </w:tcPr>
          <w:p>
            <w:pPr>
              <w:spacing w:line="320" w:lineRule="exact"/>
              <w:jc w:val="both"/>
              <w:rPr>
                <w:rFonts w:ascii="Calibri" w:hAnsi="宋体" w:eastAsia="宋体" w:cs="华文仿宋"/>
                <w:b/>
                <w:sz w:val="21"/>
                <w:szCs w:val="28"/>
                <w:lang w:val="zh-CN" w:eastAsia="en-US" w:bidi="zh-CN"/>
              </w:rPr>
            </w:pPr>
          </w:p>
        </w:tc>
        <w:tc>
          <w:tcPr>
            <w:tcW w:w="1134" w:type="dxa"/>
            <w:shd w:val="clear" w:color="auto" w:fill="auto"/>
            <w:vAlign w:val="center"/>
          </w:tcPr>
          <w:p>
            <w:pPr>
              <w:spacing w:line="320" w:lineRule="exact"/>
              <w:jc w:val="both"/>
              <w:rPr>
                <w:rFonts w:ascii="Calibri" w:hAnsi="宋体" w:eastAsia="宋体" w:cs="华文仿宋"/>
                <w:b/>
                <w:sz w:val="21"/>
                <w:szCs w:val="28"/>
                <w:lang w:val="zh-CN" w:eastAsia="en-US" w:bidi="zh-CN"/>
              </w:rPr>
            </w:pPr>
          </w:p>
        </w:tc>
        <w:tc>
          <w:tcPr>
            <w:tcW w:w="3143" w:type="dxa"/>
            <w:vAlign w:val="center"/>
          </w:tcPr>
          <w:p>
            <w:pPr>
              <w:spacing w:line="320" w:lineRule="exact"/>
              <w:jc w:val="both"/>
              <w:rPr>
                <w:rFonts w:ascii="Calibri" w:hAnsi="宋体" w:eastAsia="宋体" w:cs="华文仿宋"/>
                <w:b/>
                <w:sz w:val="21"/>
                <w:szCs w:val="28"/>
                <w:lang w:val="zh-CN" w:eastAsia="en-US" w:bidi="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042" w:type="dxa"/>
            <w:gridSpan w:val="7"/>
            <w:shd w:val="clear" w:color="auto" w:fill="auto"/>
            <w:vAlign w:val="center"/>
          </w:tcPr>
          <w:p>
            <w:pPr>
              <w:spacing w:line="320" w:lineRule="exact"/>
              <w:jc w:val="center"/>
              <w:rPr>
                <w:rFonts w:ascii="Calibri" w:hAnsi="宋体" w:eastAsia="宋体" w:cs="华文仿宋"/>
                <w:b/>
                <w:sz w:val="21"/>
                <w:szCs w:val="28"/>
                <w:lang w:val="zh-CN" w:eastAsia="en-US" w:bidi="zh-CN"/>
              </w:rPr>
            </w:pPr>
            <w:r>
              <w:rPr>
                <w:rFonts w:ascii="Calibri" w:hAnsi="宋体" w:eastAsia="宋体" w:cs="华文仿宋"/>
                <w:b/>
                <w:sz w:val="21"/>
                <w:szCs w:val="28"/>
                <w:lang w:val="zh-CN" w:eastAsia="en-US" w:bidi="zh-CN"/>
              </w:rPr>
              <w:t>单价合计</w:t>
            </w:r>
          </w:p>
        </w:tc>
        <w:tc>
          <w:tcPr>
            <w:tcW w:w="3143" w:type="dxa"/>
            <w:vAlign w:val="center"/>
          </w:tcPr>
          <w:p>
            <w:pPr>
              <w:spacing w:line="320" w:lineRule="exact"/>
              <w:jc w:val="both"/>
              <w:rPr>
                <w:rFonts w:ascii="Calibri" w:hAnsi="宋体" w:eastAsia="宋体" w:cs="华文仿宋"/>
                <w:b/>
                <w:sz w:val="21"/>
                <w:szCs w:val="28"/>
                <w:lang w:val="zh-CN" w:eastAsia="en-US" w:bidi="zh-CN"/>
              </w:rPr>
            </w:pPr>
          </w:p>
        </w:tc>
      </w:tr>
    </w:tbl>
    <w:p>
      <w:pPr>
        <w:jc w:val="both"/>
        <w:rPr>
          <w:rFonts w:ascii="Calibri" w:hAnsi="Calibri" w:eastAsia="宋体"/>
          <w:kern w:val="24"/>
        </w:rPr>
      </w:pPr>
      <w:r>
        <w:rPr>
          <w:rFonts w:hint="eastAsia" w:ascii="Calibri" w:hAnsi="Calibri" w:eastAsia="宋体"/>
          <w:kern w:val="24"/>
        </w:rPr>
        <w:t>供应商：（</w:t>
      </w:r>
      <w:r>
        <w:rPr>
          <w:rFonts w:hint="eastAsia" w:ascii="Calibri" w:hAnsi="Calibri" w:eastAsia="宋体"/>
          <w:color w:val="C00000"/>
          <w:kern w:val="24"/>
        </w:rPr>
        <w:t>供应商全称并加盖公章</w:t>
      </w:r>
      <w:r>
        <w:rPr>
          <w:rFonts w:hint="eastAsia" w:ascii="Calibri" w:hAnsi="Calibri" w:eastAsia="宋体"/>
          <w:kern w:val="24"/>
        </w:rPr>
        <w:t>）</w:t>
      </w:r>
    </w:p>
    <w:p>
      <w:pPr>
        <w:jc w:val="both"/>
        <w:rPr>
          <w:rFonts w:ascii="Calibri" w:hAnsi="Calibri" w:eastAsia="宋体"/>
          <w:kern w:val="24"/>
        </w:rPr>
      </w:pPr>
    </w:p>
    <w:p>
      <w:pPr>
        <w:jc w:val="both"/>
        <w:rPr>
          <w:rFonts w:ascii="Calibri" w:hAnsi="Calibri" w:eastAsia="宋体"/>
          <w:kern w:val="24"/>
        </w:rPr>
      </w:pPr>
      <w:r>
        <w:rPr>
          <w:rFonts w:hint="eastAsia" w:ascii="Calibri" w:hAnsi="Calibri" w:eastAsia="宋体"/>
          <w:kern w:val="24"/>
        </w:rPr>
        <w:t>说明</w:t>
      </w:r>
      <w:r>
        <w:rPr>
          <w:rFonts w:ascii="Calibri" w:hAnsi="Calibri" w:eastAsia="宋体"/>
          <w:kern w:val="24"/>
        </w:rPr>
        <w:t>：</w:t>
      </w:r>
    </w:p>
    <w:p>
      <w:pPr>
        <w:ind w:firstLine="480" w:firstLineChars="200"/>
        <w:jc w:val="both"/>
        <w:rPr>
          <w:rFonts w:ascii="Calibri" w:hAnsi="Calibri" w:eastAsia="宋体"/>
          <w:kern w:val="24"/>
        </w:rPr>
      </w:pPr>
      <w:r>
        <w:rPr>
          <w:rFonts w:ascii="Calibri" w:hAnsi="Calibri" w:eastAsia="宋体"/>
          <w:kern w:val="24"/>
        </w:rPr>
        <w:t>1、</w:t>
      </w:r>
      <w:r>
        <w:rPr>
          <w:rFonts w:hint="eastAsia" w:ascii="Calibri" w:hAnsi="Calibri" w:eastAsia="宋体"/>
          <w:kern w:val="24"/>
        </w:rPr>
        <w:t>本表产品名称参照第三章采购内容所列产品列举，“单价”列</w:t>
      </w:r>
      <w:r>
        <w:rPr>
          <w:rFonts w:ascii="Calibri" w:hAnsi="Calibri" w:eastAsia="宋体"/>
          <w:kern w:val="24"/>
        </w:rPr>
        <w:t>有缺漏项的，按无效响应处理</w:t>
      </w:r>
      <w:r>
        <w:rPr>
          <w:rFonts w:hint="eastAsia" w:ascii="Calibri" w:hAnsi="Calibri" w:eastAsia="宋体"/>
          <w:kern w:val="24"/>
        </w:rPr>
        <w:t>。</w:t>
      </w:r>
    </w:p>
    <w:p>
      <w:pPr>
        <w:ind w:firstLine="480" w:firstLineChars="200"/>
        <w:jc w:val="both"/>
        <w:rPr>
          <w:rFonts w:ascii="Calibri" w:hAnsi="Calibri" w:eastAsia="宋体"/>
          <w:kern w:val="24"/>
        </w:rPr>
      </w:pPr>
      <w:r>
        <w:rPr>
          <w:rFonts w:ascii="Calibri" w:hAnsi="Calibri" w:eastAsia="宋体"/>
          <w:kern w:val="24"/>
        </w:rPr>
        <w:t>2、</w:t>
      </w:r>
      <w:r>
        <w:rPr>
          <w:rFonts w:hint="eastAsia" w:ascii="Calibri" w:hAnsi="Calibri" w:eastAsia="宋体"/>
          <w:kern w:val="24"/>
        </w:rPr>
        <w:t>以下各</w:t>
      </w:r>
      <w:r>
        <w:rPr>
          <w:rFonts w:ascii="Calibri" w:hAnsi="Calibri" w:eastAsia="宋体"/>
          <w:kern w:val="24"/>
        </w:rPr>
        <w:t>项</w:t>
      </w:r>
      <w:r>
        <w:rPr>
          <w:rFonts w:hint="eastAsia" w:ascii="Calibri" w:hAnsi="Calibri" w:eastAsia="宋体"/>
          <w:kern w:val="24"/>
        </w:rPr>
        <w:t>产品单价超过最高</w:t>
      </w:r>
      <w:r>
        <w:rPr>
          <w:rFonts w:ascii="Calibri" w:hAnsi="Calibri" w:eastAsia="宋体"/>
          <w:kern w:val="24"/>
        </w:rPr>
        <w:t>限价</w:t>
      </w:r>
      <w:r>
        <w:rPr>
          <w:rFonts w:hint="eastAsia" w:ascii="Calibri" w:hAnsi="Calibri" w:eastAsia="宋体"/>
          <w:kern w:val="24"/>
        </w:rPr>
        <w:t>的</w:t>
      </w:r>
      <w:r>
        <w:rPr>
          <w:rFonts w:ascii="Calibri" w:hAnsi="Calibri" w:eastAsia="宋体"/>
          <w:kern w:val="24"/>
        </w:rPr>
        <w:t>，按无效投标处理。</w:t>
      </w:r>
    </w:p>
    <w:p>
      <w:pPr>
        <w:ind w:firstLine="480" w:firstLineChars="200"/>
        <w:jc w:val="both"/>
        <w:rPr>
          <w:rFonts w:ascii="Calibri" w:hAnsi="Calibri" w:eastAsia="宋体"/>
          <w:kern w:val="24"/>
        </w:rPr>
      </w:pPr>
      <w:r>
        <w:rPr>
          <w:rFonts w:hint="eastAsia" w:ascii="Calibri" w:hAnsi="Calibri" w:eastAsia="宋体"/>
          <w:kern w:val="24"/>
        </w:rPr>
        <w:t>3、单价合计=各项单价的算术和。</w:t>
      </w:r>
    </w:p>
    <w:p>
      <w:pPr>
        <w:ind w:firstLine="480" w:firstLineChars="200"/>
        <w:jc w:val="both"/>
        <w:rPr>
          <w:rFonts w:ascii="Calibri" w:hAnsi="Calibri" w:eastAsia="宋体"/>
          <w:kern w:val="24"/>
        </w:rPr>
      </w:pPr>
      <w:r>
        <w:rPr>
          <w:rFonts w:ascii="Calibri" w:hAnsi="Calibri" w:eastAsia="宋体"/>
          <w:kern w:val="24"/>
        </w:rPr>
        <w:t>4、</w:t>
      </w:r>
      <w:r>
        <w:rPr>
          <w:rFonts w:hint="eastAsia" w:ascii="Calibri" w:hAnsi="Calibri" w:eastAsia="宋体"/>
          <w:kern w:val="24"/>
        </w:rPr>
        <w:t>本表“单价合计”值应与</w:t>
      </w:r>
      <w:r>
        <w:rPr>
          <w:rFonts w:ascii="Calibri" w:hAnsi="Calibri" w:eastAsia="宋体"/>
          <w:kern w:val="24"/>
        </w:rPr>
        <w:t>第一次磋商报价表</w:t>
      </w:r>
      <w:r>
        <w:rPr>
          <w:rFonts w:hint="eastAsia" w:ascii="Calibri" w:hAnsi="Calibri" w:eastAsia="宋体"/>
          <w:kern w:val="24"/>
        </w:rPr>
        <w:t>表中的“合计”值一致。</w:t>
      </w:r>
    </w:p>
    <w:p>
      <w:pPr>
        <w:ind w:firstLine="480" w:firstLineChars="200"/>
        <w:jc w:val="both"/>
        <w:rPr>
          <w:rFonts w:ascii="Calibri" w:hAnsi="Calibri" w:eastAsia="宋体"/>
          <w:kern w:val="24"/>
        </w:rPr>
      </w:pPr>
      <w:r>
        <w:rPr>
          <w:rFonts w:ascii="Calibri" w:hAnsi="Calibri" w:eastAsia="宋体"/>
          <w:kern w:val="24"/>
        </w:rPr>
        <w:t>5、空间不足时，可自行扩展。</w:t>
      </w:r>
    </w:p>
    <w:bookmarkEnd w:id="15"/>
    <w:bookmarkEnd w:id="16"/>
    <w:p>
      <w:pPr>
        <w:rPr>
          <w:rFonts w:ascii="Calibri" w:hAnsi="Calibri" w:eastAsia="宋体"/>
          <w:kern w:val="24"/>
        </w:rPr>
      </w:pPr>
      <w:r>
        <w:rPr>
          <w:rFonts w:ascii="Calibri" w:hAnsi="Calibri" w:eastAsia="宋体"/>
          <w:kern w:val="24"/>
        </w:rPr>
        <w:br w:type="page"/>
      </w:r>
    </w:p>
    <w:p>
      <w:pPr>
        <w:keepNext/>
        <w:spacing w:before="210" w:beforeLines="50" w:after="210" w:afterLines="50"/>
        <w:jc w:val="center"/>
        <w:outlineLvl w:val="1"/>
        <w:rPr>
          <w:rFonts w:ascii="Calibri" w:hAnsi="Calibri" w:eastAsia="黑体"/>
          <w:kern w:val="32"/>
          <w:sz w:val="32"/>
        </w:rPr>
        <w:sectPr>
          <w:footerReference r:id="rId21" w:type="default"/>
          <w:footerReference r:id="rId22" w:type="even"/>
          <w:pgSz w:w="16838" w:h="11906" w:orient="landscape"/>
          <w:pgMar w:top="1588" w:right="1418" w:bottom="1418" w:left="141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rFonts w:ascii="Calibri" w:hAnsi="Calibri" w:eastAsia="黑体"/>
          <w:kern w:val="28"/>
          <w:sz w:val="28"/>
        </w:rPr>
      </w:pPr>
      <w:r>
        <w:rPr>
          <w:rFonts w:hint="eastAsia" w:ascii="Calibri" w:hAnsi="Calibri" w:eastAsia="黑体"/>
          <w:kern w:val="28"/>
          <w:sz w:val="28"/>
        </w:rPr>
        <w:t>1．</w:t>
      </w:r>
      <w:r>
        <w:rPr>
          <w:rFonts w:ascii="Calibri" w:hAnsi="Calibri" w:eastAsia="黑体"/>
          <w:kern w:val="28"/>
          <w:sz w:val="28"/>
        </w:rPr>
        <w:t>有效的登记注册证</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2</w:t>
      </w:r>
      <w:r>
        <w:rPr>
          <w:rFonts w:hint="eastAsia" w:ascii="Calibri" w:hAnsi="Calibri" w:eastAsia="黑体"/>
          <w:kern w:val="28"/>
          <w:sz w:val="28"/>
        </w:rPr>
        <w:t>．</w:t>
      </w:r>
      <w:r>
        <w:rPr>
          <w:rFonts w:ascii="Calibri" w:hAnsi="Calibri" w:eastAsia="黑体"/>
          <w:kern w:val="28"/>
          <w:sz w:val="28"/>
        </w:rPr>
        <w:t>财务状况报告</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说明：两种形式任选一种，其中采用第二种形式的供应商须按下方给定格式自行填写基本存款账户信息。</w:t>
      </w:r>
    </w:p>
    <w:p>
      <w:pPr>
        <w:spacing w:before="210" w:beforeLines="50"/>
        <w:jc w:val="center"/>
        <w:rPr>
          <w:rFonts w:ascii="黑体" w:hAnsi="黑体" w:eastAsia="黑体" w:cs="Calibri Light"/>
          <w:color w:val="1F4E79"/>
          <w:sz w:val="28"/>
          <w:szCs w:val="36"/>
        </w:rPr>
      </w:pPr>
      <w:r>
        <w:rPr>
          <w:rFonts w:hint="eastAsia" w:ascii="黑体" w:hAnsi="黑体" w:eastAsia="黑体" w:cs="Calibri Light"/>
          <w:color w:val="1F4E79"/>
          <w:sz w:val="28"/>
          <w:szCs w:val="36"/>
        </w:rPr>
        <w:t>『基本存款</w:t>
      </w:r>
      <w:r>
        <w:rPr>
          <w:rFonts w:ascii="黑体" w:hAnsi="黑体" w:eastAsia="黑体" w:cs="Calibri Light"/>
          <w:color w:val="1F4E79"/>
          <w:sz w:val="28"/>
          <w:szCs w:val="36"/>
        </w:rPr>
        <w:t>账户信息</w:t>
      </w:r>
      <w:r>
        <w:rPr>
          <w:rFonts w:hint="eastAsia" w:ascii="黑体" w:hAnsi="黑体" w:eastAsia="黑体" w:cs="Calibri Light"/>
          <w:color w:val="1F4E79"/>
          <w:sz w:val="28"/>
          <w:szCs w:val="36"/>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名称：</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号码：</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开户银行</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法定代表人（或单位负责人）：（</w:t>
      </w:r>
      <w:r>
        <w:rPr>
          <w:rFonts w:hint="eastAsia" w:ascii="Calibri" w:hAnsi="Calibri" w:eastAsia="宋体" w:cstheme="minorHAnsi"/>
          <w:color w:val="C00000"/>
          <w:kern w:val="24"/>
        </w:rPr>
        <w:t>签字或盖章</w:t>
      </w:r>
      <w:r>
        <w:rPr>
          <w:rFonts w:hint="eastAsia"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基本</w:t>
      </w:r>
      <w:r>
        <w:rPr>
          <w:rFonts w:ascii="Calibri" w:hAnsi="Calibri" w:eastAsia="宋体" w:cstheme="minorHAnsi"/>
          <w:color w:val="000000"/>
          <w:kern w:val="24"/>
        </w:rPr>
        <w:t>存款账户编号：</w:t>
      </w:r>
      <w:r>
        <w:rPr>
          <w:rFonts w:ascii="Calibri" w:hAnsi="Calibri" w:eastAsia="宋体" w:cstheme="minorHAnsi"/>
          <w:i/>
          <w:color w:val="7030A0"/>
          <w:kern w:val="24"/>
        </w:rPr>
        <w:t>向开户银行进行询问</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供应商：</w:t>
      </w:r>
      <w:r>
        <w:rPr>
          <w:rFonts w:ascii="Calibri" w:hAnsi="Calibri" w:eastAsia="宋体" w:cstheme="minorHAnsi"/>
          <w:color w:val="000000"/>
          <w:kern w:val="24"/>
        </w:rPr>
        <w:t>（</w:t>
      </w:r>
      <w:r>
        <w:rPr>
          <w:rFonts w:hint="eastAsia" w:ascii="Calibri" w:hAnsi="Calibri" w:eastAsia="宋体" w:cstheme="minorHAnsi"/>
          <w:color w:val="C00000"/>
          <w:kern w:val="24"/>
        </w:rPr>
        <w:t>供应商</w:t>
      </w:r>
      <w:r>
        <w:rPr>
          <w:rFonts w:ascii="Calibri" w:hAnsi="Calibri" w:eastAsia="宋体" w:cstheme="minorHAnsi"/>
          <w:color w:val="C00000"/>
          <w:kern w:val="24"/>
        </w:rPr>
        <w:t>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日期：　　年　月　日</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3</w:t>
      </w:r>
      <w:r>
        <w:rPr>
          <w:rFonts w:hint="eastAsia" w:ascii="Calibri" w:hAnsi="Calibri" w:eastAsia="黑体"/>
          <w:kern w:val="28"/>
          <w:sz w:val="28"/>
        </w:rPr>
        <w:t>．</w:t>
      </w:r>
      <w:r>
        <w:rPr>
          <w:rFonts w:ascii="Calibri" w:hAnsi="Calibri" w:eastAsia="黑体"/>
          <w:kern w:val="28"/>
          <w:sz w:val="28"/>
        </w:rPr>
        <w:t>社会保障资金缴纳证明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4</w:t>
      </w:r>
      <w:r>
        <w:rPr>
          <w:rFonts w:hint="eastAsia" w:ascii="Calibri" w:hAnsi="Calibri" w:eastAsia="黑体"/>
          <w:kern w:val="28"/>
          <w:sz w:val="28"/>
        </w:rPr>
        <w:t>．</w:t>
      </w:r>
      <w:r>
        <w:rPr>
          <w:rFonts w:ascii="Calibri" w:hAnsi="Calibri" w:eastAsia="黑体"/>
          <w:kern w:val="28"/>
          <w:sz w:val="28"/>
        </w:rPr>
        <w:t>税收缴纳证明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1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21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1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9"/>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1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1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1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）特定资格条件（如有）</w:t>
      </w:r>
    </w:p>
    <w:p>
      <w:pPr>
        <w:jc w:val="both"/>
        <w:rPr>
          <w:rFonts w:ascii="Calibri" w:hAnsi="Calibri" w:eastAsia="黑体"/>
          <w:kern w:val="28"/>
          <w:sz w:val="28"/>
        </w:rPr>
      </w:pPr>
    </w:p>
    <w:p>
      <w:pPr>
        <w:jc w:val="both"/>
        <w:rPr>
          <w:rFonts w:ascii="Calibri" w:hAnsi="Calibri" w:eastAsia="黑体"/>
          <w:kern w:val="28"/>
          <w:sz w:val="28"/>
        </w:rPr>
      </w:pPr>
    </w:p>
    <w:p>
      <w:pPr>
        <w:jc w:val="both"/>
        <w:rPr>
          <w:rFonts w:ascii="Calibri" w:hAnsi="Calibri" w:eastAsia="黑体"/>
          <w:kern w:val="28"/>
          <w:sz w:val="28"/>
        </w:rPr>
      </w:pPr>
    </w:p>
    <w:p>
      <w:pPr>
        <w:jc w:val="both"/>
        <w:rPr>
          <w:rFonts w:ascii="Calibri" w:hAnsi="Calibri" w:eastAsia="黑体"/>
          <w:kern w:val="28"/>
          <w:sz w:val="28"/>
        </w:rPr>
        <w:sectPr>
          <w:footerReference r:id="rId23" w:type="default"/>
          <w:footerReference r:id="rId24"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cs="Segoe UI Symbol"/>
          <w:color w:val="C00000"/>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的各项实质性要求</w:t>
      </w:r>
      <w:r>
        <w:rPr>
          <w:rFonts w:ascii="Calibri" w:hAnsi="Calibri" w:eastAsia="宋体" w:cstheme="minorHAnsi"/>
          <w:i/>
          <w:color w:val="7030A0"/>
          <w:kern w:val="24"/>
        </w:rPr>
        <w:t>作出响应，若招标文件未设置实质性条款，则请忽略此表。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示例：</w:t>
            </w:r>
          </w:p>
        </w:tc>
        <w:tc>
          <w:tcPr>
            <w:tcW w:w="3283" w:type="dxa"/>
            <w:tcBorders>
              <w:top w:val="single" w:color="auto" w:sz="2" w:space="0"/>
            </w:tcBorders>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某单位购买扫描设备</w:t>
            </w:r>
          </w:p>
        </w:tc>
        <w:tc>
          <w:tcPr>
            <w:tcW w:w="3276" w:type="dxa"/>
            <w:tcBorders>
              <w:top w:val="single" w:color="auto" w:sz="2" w:space="0"/>
            </w:tcBorders>
            <w:vAlign w:val="center"/>
          </w:tcPr>
          <w:p>
            <w:pPr>
              <w:spacing w:line="320" w:lineRule="exact"/>
              <w:rPr>
                <w:rFonts w:eastAsia="宋体" w:asciiTheme="majorHAnsi" w:hAnsiTheme="majorHAnsi" w:cstheme="minorHAnsi"/>
                <w:color w:val="7030A0"/>
                <w:sz w:val="21"/>
              </w:rPr>
            </w:pPr>
          </w:p>
        </w:tc>
        <w:tc>
          <w:tcPr>
            <w:tcW w:w="1458"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1</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平均无故障时间：≥500小时</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平均无故障时间：</w:t>
            </w:r>
            <w:r>
              <w:rPr>
                <w:rFonts w:hint="eastAsia" w:eastAsia="宋体" w:asciiTheme="majorHAnsi" w:hAnsiTheme="majorHAnsi" w:cstheme="minorHAnsi"/>
                <w:color w:val="7030A0"/>
                <w:sz w:val="21"/>
              </w:rPr>
              <w:t>600小时</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2</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25页以上</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3</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扫描方式：</w:t>
            </w:r>
            <w:r>
              <w:rPr>
                <w:rFonts w:hint="eastAsia" w:eastAsia="宋体" w:asciiTheme="majorHAnsi" w:hAnsiTheme="majorHAnsi" w:cstheme="minorHAnsi"/>
                <w:color w:val="7030A0"/>
                <w:sz w:val="21"/>
              </w:rPr>
              <w:t>双面高速扫描</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扫描方式：单面高速扫描</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rPr>
              <w:t>…</w:t>
            </w: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1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5" w:type="default"/>
          <w:footerReference r:id="rId26"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（一）技术（服务）条款响应（暗标盲评部分）</w:t>
      </w:r>
    </w:p>
    <w:p>
      <w:pPr>
        <w:ind w:firstLine="480" w:firstLineChars="200"/>
        <w:rPr>
          <w:rFonts w:asciiTheme="minorEastAsia" w:hAnsiTheme="minorEastAsia"/>
        </w:rPr>
      </w:pPr>
      <w:r>
        <w:rPr>
          <w:rFonts w:asciiTheme="minorEastAsia" w:hAnsiTheme="minorEastAsia"/>
        </w:rPr>
        <w:t>特别提醒：</w:t>
      </w:r>
    </w:p>
    <w:p>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pPr>
        <w:tabs>
          <w:tab w:val="center" w:pos="4395"/>
        </w:tabs>
        <w:rPr>
          <w:i/>
          <w:color w:val="C00000"/>
        </w:rPr>
      </w:pPr>
      <w:r>
        <w:rPr>
          <w:rFonts w:hint="eastAsia"/>
          <w:i/>
          <w:color w:val="C00000"/>
        </w:rPr>
        <w:t>供应商结合第三章《招标内容及要求》相关要求及第二章《评审要素及分值一览表》暗标部分中各评审要素逐项编写方案。</w:t>
      </w:r>
    </w:p>
    <w:p>
      <w:pPr>
        <w:rPr>
          <w:b/>
        </w:rPr>
      </w:pPr>
      <w:r>
        <w:rPr>
          <w:b/>
        </w:rPr>
        <w:t>1</w:t>
      </w:r>
      <w:r>
        <w:rPr>
          <w:rFonts w:hint="eastAsia"/>
          <w:b/>
        </w:rPr>
        <w:t>、实施方案</w:t>
      </w:r>
    </w:p>
    <w:p>
      <w:pPr>
        <w:rPr>
          <w:b/>
        </w:rPr>
      </w:pPr>
    </w:p>
    <w:p>
      <w:pPr>
        <w:rPr>
          <w:b/>
        </w:rPr>
      </w:pPr>
    </w:p>
    <w:p>
      <w:pPr>
        <w:rPr>
          <w:b/>
        </w:rPr>
      </w:pPr>
      <w:r>
        <w:rPr>
          <w:rFonts w:hint="eastAsia"/>
          <w:b/>
        </w:rPr>
        <w:t>2、售后方案</w:t>
      </w:r>
    </w:p>
    <w:p>
      <w:pPr>
        <w:rPr>
          <w:rFonts w:cstheme="minorHAnsi"/>
          <w:b/>
          <w:color w:val="C00000"/>
        </w:rPr>
      </w:pPr>
      <w:r>
        <w:rPr>
          <w:rFonts w:cstheme="minorHAnsi"/>
          <w:b/>
          <w:color w:val="C00000"/>
        </w:rPr>
        <w:br w:type="page"/>
      </w:r>
    </w:p>
    <w:p>
      <w:pPr>
        <w:keepNext/>
        <w:spacing w:before="120" w:after="60"/>
        <w:outlineLvl w:val="2"/>
        <w:rPr>
          <w:rFonts w:ascii="Calibri" w:hAnsi="Calibri" w:eastAsia="黑体"/>
          <w:kern w:val="28"/>
          <w:sz w:val="28"/>
        </w:rPr>
      </w:pPr>
      <w:r>
        <w:rPr>
          <w:rFonts w:ascii="Calibri" w:hAnsi="Calibri" w:eastAsia="黑体"/>
          <w:kern w:val="28"/>
          <w:sz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商务要求（非实质性）条款偏差表</w:t>
      </w:r>
    </w:p>
    <w:tbl>
      <w:tblPr>
        <w:tblStyle w:val="2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.商务评审部分方案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tabs>
          <w:tab w:val="center" w:pos="4395"/>
        </w:tabs>
        <w:rPr>
          <w:i/>
          <w:color w:val="C00000"/>
        </w:rPr>
      </w:pPr>
    </w:p>
    <w:p>
      <w:pPr>
        <w:rPr>
          <w:rFonts w:ascii="Calibri" w:hAnsi="Calibri" w:eastAsia="宋体" w:cstheme="minorHAnsi"/>
          <w:b/>
          <w:color w:val="000000"/>
          <w:kern w:val="24"/>
        </w:rPr>
      </w:pPr>
      <w:r>
        <w:rPr>
          <w:rFonts w:hint="eastAsia" w:ascii="Calibri" w:hAnsi="Calibri" w:eastAsia="宋体" w:cstheme="minorHAnsi"/>
          <w:b/>
          <w:color w:val="000000"/>
          <w:kern w:val="24"/>
        </w:rPr>
        <w:t>（1）技术参数</w:t>
      </w:r>
    </w:p>
    <w:p>
      <w:pPr>
        <w:jc w:val="center"/>
        <w:rPr>
          <w:rFonts w:asciiTheme="minorEastAsia" w:hAnsiTheme="minorEastAsia"/>
          <w:b/>
        </w:rPr>
      </w:pPr>
      <w:r>
        <w:rPr>
          <w:rFonts w:asciiTheme="minorEastAsia" w:hAnsiTheme="minorEastAsia"/>
          <w:b/>
        </w:rPr>
        <w:t>技术（服务）要求（非实质性）条款偏差表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pPr>
              <w:jc w:val="center"/>
              <w:rPr>
                <w:rFonts w:asciiTheme="minorEastAsia" w:hAnsiTheme="minorEastAsia"/>
              </w:rPr>
            </w:pPr>
            <w:r>
              <w:rPr>
                <w:rFonts w:asciiTheme="minorEastAsia" w:hAnsiTheme="minorEastAsia"/>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rPr>
            </w:pPr>
          </w:p>
        </w:tc>
        <w:tc>
          <w:tcPr>
            <w:tcW w:w="3207" w:type="dxa"/>
            <w:shd w:val="clear" w:color="auto" w:fill="auto"/>
            <w:vAlign w:val="center"/>
          </w:tcPr>
          <w:p>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pPr>
              <w:jc w:val="center"/>
              <w:rPr>
                <w:rFonts w:asciiTheme="minorEastAsia" w:hAnsiTheme="minorEastAsia"/>
              </w:rPr>
            </w:pPr>
            <w:r>
              <w:rPr>
                <w:rFonts w:asciiTheme="minorEastAsia" w:hAnsiTheme="minorEastAsia"/>
              </w:rPr>
              <w:t>技术要求响应内容或索引</w:t>
            </w:r>
          </w:p>
        </w:tc>
        <w:tc>
          <w:tcPr>
            <w:tcW w:w="1798" w:type="dxa"/>
            <w:vMerge w:val="continue"/>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pPr>
              <w:rPr>
                <w:rFonts w:asciiTheme="minorEastAsia" w:hAnsiTheme="minorEastAsia"/>
              </w:rPr>
            </w:pPr>
            <w:r>
              <w:rPr>
                <w:rFonts w:asciiTheme="minorEastAsia" w:hAnsiTheme="minorEastAsia"/>
              </w:rPr>
              <w:t>1、黑色，打印量1500页……</w:t>
            </w:r>
          </w:p>
          <w:p>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pPr>
              <w:jc w:val="center"/>
              <w:rPr>
                <w:rFonts w:asciiTheme="minorEastAsia" w:hAnsiTheme="minorEastAsia"/>
              </w:rPr>
            </w:pPr>
            <w:r>
              <w:rPr>
                <w:rFonts w:asciiTheme="minorEastAsia" w:hAnsiTheme="minor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pPr>
              <w:jc w:val="both"/>
              <w:rPr>
                <w:rFonts w:asciiTheme="minorEastAsia" w:hAnsiTheme="minorEastAsia"/>
              </w:rPr>
            </w:pPr>
            <w:r>
              <w:rPr>
                <w:rFonts w:asciiTheme="minorEastAsia" w:hAnsiTheme="minorEastAsia"/>
              </w:rPr>
              <w:t>① 只需对技术（服务）要求中的非实质性条款（未标注</w:t>
            </w:r>
            <w:r>
              <w:rPr>
                <w:rFonts w:cs="Segoe UI Symbol" w:asciiTheme="minorEastAsia" w:hAnsiTheme="minorEastAsia"/>
              </w:rPr>
              <w:t>★</w:t>
            </w:r>
            <w:r>
              <w:rPr>
                <w:rFonts w:asciiTheme="minorEastAsia" w:hAnsiTheme="minorEastAsia"/>
              </w:rPr>
              <w:t>的）作出响应。表格行数不够时，请自行扩展。</w:t>
            </w:r>
          </w:p>
          <w:p>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rPr>
            </w:pPr>
            <w:r>
              <w:rPr>
                <w:rFonts w:asciiTheme="minorEastAsia" w:hAnsiTheme="minorEastAsia"/>
              </w:rPr>
              <w:t>③ “响应说明”应根据实际响应程度填写“优于”、“符合”、“负偏离”。</w:t>
            </w:r>
          </w:p>
          <w:p>
            <w:pPr>
              <w:jc w:val="both"/>
              <w:rPr>
                <w:rFonts w:asciiTheme="minorEastAsia" w:hAnsiTheme="minorEastAsia"/>
              </w:rPr>
            </w:pPr>
            <w:r>
              <w:rPr>
                <w:rFonts w:asciiTheme="minorEastAsia" w:hAnsiTheme="minorEastAsia"/>
              </w:rPr>
              <w:t>④ 表格中“示例”部分仅供参考，供应商在响应时请自行清除。</w:t>
            </w:r>
          </w:p>
        </w:tc>
      </w:tr>
    </w:tbl>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r>
        <w:rPr>
          <w:rFonts w:hint="eastAsia" w:ascii="Calibri" w:hAnsi="Calibri" w:eastAsia="宋体" w:cstheme="minorHAnsi"/>
          <w:b/>
          <w:color w:val="000000"/>
          <w:kern w:val="24"/>
        </w:rPr>
        <w:t>（2）质量保证方案</w:t>
      </w: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r>
        <w:rPr>
          <w:rFonts w:hint="eastAsia" w:ascii="Calibri" w:hAnsi="Calibri" w:eastAsia="宋体" w:cstheme="minorHAnsi"/>
          <w:b/>
          <w:color w:val="000000"/>
          <w:kern w:val="24"/>
        </w:rPr>
        <w:t>（3）体系认证</w:t>
      </w: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cstheme="minorHAnsi"/>
          <w:b/>
        </w:rPr>
      </w:pPr>
      <w:r>
        <w:rPr>
          <w:rFonts w:hint="eastAsia" w:cstheme="minorHAnsi"/>
          <w:b/>
        </w:rPr>
        <w:t>（4）环保节能产品</w:t>
      </w:r>
    </w:p>
    <w:p>
      <w:pPr>
        <w:rPr>
          <w:rFonts w:cstheme="minorHAnsi"/>
          <w:b/>
        </w:rPr>
      </w:pPr>
    </w:p>
    <w:p>
      <w:pPr>
        <w:rPr>
          <w:rFonts w:cstheme="minorHAnsi"/>
          <w:b/>
        </w:rPr>
      </w:pPr>
    </w:p>
    <w:p>
      <w:pPr>
        <w:rPr>
          <w:rFonts w:cstheme="minorHAnsi"/>
          <w:b/>
        </w:rPr>
      </w:pPr>
    </w:p>
    <w:p>
      <w:pPr>
        <w:rPr>
          <w:rFonts w:cstheme="minorHAnsi"/>
          <w:b/>
        </w:rPr>
      </w:pPr>
      <w:r>
        <w:rPr>
          <w:rFonts w:cstheme="minorHAnsi"/>
          <w:b/>
        </w:rPr>
        <w:t>（5）业绩</w:t>
      </w:r>
    </w:p>
    <w:p>
      <w:pPr>
        <w:rPr>
          <w:rFonts w:cstheme="minorHAnsi"/>
          <w:b/>
        </w:rPr>
      </w:pPr>
    </w:p>
    <w:p>
      <w:pPr>
        <w:rPr>
          <w:rFonts w:cstheme="minorHAnsi"/>
          <w:b/>
        </w:rPr>
      </w:pPr>
    </w:p>
    <w:p>
      <w:pPr>
        <w:rPr>
          <w:rFonts w:cstheme="minorHAnsi"/>
          <w:b/>
        </w:rPr>
      </w:pPr>
      <w:r>
        <w:rPr>
          <w:rFonts w:cstheme="minorHAnsi"/>
          <w:b/>
        </w:rPr>
        <w:br w:type="page"/>
      </w:r>
    </w:p>
    <w:p>
      <w:pPr>
        <w:keepNext/>
        <w:spacing w:before="120" w:after="60"/>
        <w:outlineLvl w:val="2"/>
        <w:rPr>
          <w:rFonts w:ascii="Calibri" w:hAnsi="Calibri" w:eastAsia="黑体"/>
          <w:kern w:val="28"/>
          <w:sz w:val="28"/>
        </w:rPr>
      </w:pPr>
      <w:r>
        <w:rPr>
          <w:rFonts w:ascii="Calibri" w:hAnsi="Calibri" w:eastAsia="黑体"/>
          <w:kern w:val="28"/>
          <w:sz w:val="28"/>
        </w:rPr>
        <w:t>（三）合同条款响应</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1361"/>
        <w:gridCol w:w="1758"/>
        <w:gridCol w:w="2070"/>
        <w:gridCol w:w="1701"/>
        <w:gridCol w:w="11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gridSpan w:val="6"/>
            <w:tcBorders>
              <w:top w:val="single" w:color="auto" w:sz="12" w:space="0"/>
              <w:bottom w:val="single" w:color="auto" w:sz="2" w:space="0"/>
            </w:tcBorders>
            <w:shd w:val="clear" w:color="auto" w:fill="F1F1F1" w:themeFill="background1" w:themeFillShade="F2"/>
            <w:vAlign w:val="center"/>
          </w:tcPr>
          <w:p>
            <w:pPr>
              <w:spacing w:line="320" w:lineRule="exact"/>
              <w:jc w:val="both"/>
              <w:rPr>
                <w:rFonts w:ascii="Segoe UI Symbol" w:hAnsi="Segoe UI Symbol" w:eastAsia="宋体"/>
                <w:b/>
                <w:color w:val="000000"/>
                <w:sz w:val="21"/>
              </w:rPr>
            </w:pPr>
            <w:r>
              <w:rPr>
                <w:rFonts w:ascii="Calibri" w:hAnsi="宋体" w:eastAsia="宋体"/>
                <w:b/>
                <w:color w:val="000000"/>
                <w:sz w:val="21"/>
              </w:rPr>
              <w:t>对本</w:t>
            </w:r>
            <w:r>
              <w:rPr>
                <w:rFonts w:hint="eastAsia" w:ascii="Calibri" w:hAnsi="宋体" w:eastAsia="宋体"/>
                <w:b/>
                <w:color w:val="000000"/>
                <w:sz w:val="21"/>
              </w:rPr>
              <w:t>项目</w:t>
            </w:r>
            <w:r>
              <w:rPr>
                <w:rFonts w:ascii="Calibri" w:hAnsi="宋体" w:eastAsia="宋体"/>
                <w:b/>
                <w:color w:val="000000"/>
                <w:sz w:val="21"/>
              </w:rPr>
              <w:t>合同条款的偏离情况（请进行勾选Alt+小键盘</w:t>
            </w:r>
            <w:r>
              <w:rPr>
                <w:rFonts w:hint="eastAsia" w:ascii="Calibri" w:hAnsi="宋体" w:eastAsia="宋体"/>
                <w:b/>
                <w:color w:val="000000"/>
                <w:sz w:val="21"/>
              </w:rPr>
              <w:t>9745</w:t>
            </w:r>
            <w:r>
              <w:rPr>
                <w:rFonts w:ascii="Calibri" w:hAnsi="宋体" w:eastAsia="宋体"/>
                <w:b/>
                <w:color w:val="000000"/>
                <w:sz w:val="21"/>
              </w:rPr>
              <w:t>）：</w:t>
            </w:r>
          </w:p>
          <w:p>
            <w:pPr>
              <w:spacing w:line="320" w:lineRule="exact"/>
              <w:jc w:val="both"/>
              <w:rPr>
                <w:rFonts w:ascii="Calibri" w:hAnsi="宋体" w:eastAsia="宋体"/>
                <w:b/>
                <w:color w:val="000000"/>
                <w:sz w:val="21"/>
              </w:rPr>
            </w:pPr>
            <w:r>
              <w:rPr>
                <w:rFonts w:ascii="Calibri" w:hAnsi="宋体" w:eastAsia="宋体"/>
                <w:b/>
                <w:color w:val="000000"/>
                <w:sz w:val="21"/>
              </w:rPr>
              <w:t>□无偏离</w:t>
            </w:r>
            <w:r>
              <w:rPr>
                <w:rFonts w:ascii="Calibri" w:hAnsi="宋体" w:eastAsia="宋体"/>
                <w:color w:val="000000"/>
                <w:sz w:val="21"/>
              </w:rPr>
              <w:t>（</w:t>
            </w:r>
            <w:r>
              <w:rPr>
                <w:rFonts w:ascii="Calibri" w:hAnsi="宋体" w:eastAsia="宋体"/>
                <w:color w:val="000000"/>
                <w:sz w:val="21"/>
                <w:szCs w:val="21"/>
              </w:rPr>
              <w:t>如无偏离，仅勾选无偏离即可</w:t>
            </w:r>
            <w:r>
              <w:rPr>
                <w:rFonts w:ascii="Calibri" w:hAnsi="宋体" w:eastAsia="宋体"/>
                <w:color w:val="000000"/>
                <w:sz w:val="21"/>
              </w:rPr>
              <w:t>）</w:t>
            </w:r>
          </w:p>
          <w:p>
            <w:pPr>
              <w:spacing w:line="320" w:lineRule="exact"/>
              <w:jc w:val="both"/>
              <w:rPr>
                <w:rFonts w:ascii="Calibri" w:hAnsi="宋体" w:eastAsia="宋体"/>
                <w:color w:val="000000"/>
                <w:sz w:val="21"/>
              </w:rPr>
            </w:pPr>
            <w:r>
              <w:rPr>
                <w:rFonts w:ascii="Calibri" w:hAnsi="宋体" w:eastAsia="宋体"/>
                <w:b/>
                <w:color w:val="000000"/>
                <w:sz w:val="21"/>
              </w:rPr>
              <w:t>□有偏离</w:t>
            </w:r>
            <w:r>
              <w:rPr>
                <w:rFonts w:ascii="Calibri" w:hAnsi="宋体" w:eastAsia="宋体"/>
                <w:color w:val="000000"/>
                <w:sz w:val="21"/>
              </w:rPr>
              <w:t>（</w:t>
            </w:r>
            <w:r>
              <w:rPr>
                <w:rFonts w:ascii="Calibri" w:hAnsi="宋体" w:eastAsia="宋体"/>
                <w:color w:val="000000"/>
                <w:sz w:val="21"/>
                <w:szCs w:val="21"/>
              </w:rPr>
              <w:t>如有偏离，</w:t>
            </w:r>
            <w:r>
              <w:rPr>
                <w:rFonts w:ascii="Calibri" w:hAnsi="宋体" w:eastAsia="宋体"/>
                <w:color w:val="000000"/>
                <w:sz w:val="21"/>
              </w:rPr>
              <w:t>则</w:t>
            </w:r>
            <w:r>
              <w:rPr>
                <w:rFonts w:hint="eastAsia" w:ascii="Calibri" w:hAnsi="宋体" w:eastAsia="宋体"/>
                <w:color w:val="000000"/>
                <w:sz w:val="21"/>
              </w:rPr>
              <w:t>应</w:t>
            </w:r>
            <w:r>
              <w:rPr>
                <w:rFonts w:ascii="Calibri" w:hAnsi="宋体" w:eastAsia="宋体"/>
                <w:color w:val="000000"/>
                <w:sz w:val="21"/>
              </w:rPr>
              <w:t>在本表中对偏离项逐一列明）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序号</w:t>
            </w:r>
          </w:p>
        </w:tc>
        <w:tc>
          <w:tcPr>
            <w:tcW w:w="1361"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合同主条款</w:t>
            </w:r>
          </w:p>
        </w:tc>
        <w:tc>
          <w:tcPr>
            <w:tcW w:w="1758"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合同条款明细</w:t>
            </w:r>
          </w:p>
        </w:tc>
        <w:tc>
          <w:tcPr>
            <w:tcW w:w="2070"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投标文件响应内容</w:t>
            </w:r>
          </w:p>
        </w:tc>
        <w:tc>
          <w:tcPr>
            <w:tcW w:w="1701"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偏离情况</w:t>
            </w:r>
          </w:p>
        </w:tc>
        <w:tc>
          <w:tcPr>
            <w:tcW w:w="1177"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Segoe UI Symbol" w:hAnsi="Segoe UI Symbol"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备注</w:t>
            </w:r>
          </w:p>
        </w:tc>
        <w:tc>
          <w:tcPr>
            <w:tcW w:w="8067" w:type="dxa"/>
            <w:gridSpan w:val="5"/>
            <w:shd w:val="clear" w:color="auto" w:fill="auto"/>
            <w:vAlign w:val="center"/>
          </w:tcPr>
          <w:p>
            <w:pPr>
              <w:spacing w:line="320" w:lineRule="exact"/>
              <w:ind w:left="315" w:hanging="315" w:hangingChars="150"/>
              <w:jc w:val="both"/>
              <w:rPr>
                <w:rFonts w:ascii="Calibri" w:hAnsi="宋体" w:eastAsia="宋体" w:cstheme="minorHAnsi"/>
                <w:sz w:val="21"/>
              </w:rPr>
            </w:pPr>
            <w:r>
              <w:rPr>
                <w:rFonts w:hint="eastAsia" w:ascii="Calibri" w:hAnsi="宋体" w:eastAsia="宋体"/>
                <w:color w:val="000000"/>
                <w:sz w:val="21"/>
              </w:rPr>
              <w:t xml:space="preserve">① </w:t>
            </w:r>
            <w:r>
              <w:rPr>
                <w:rFonts w:ascii="Calibri" w:hAnsi="宋体" w:eastAsia="宋体" w:cstheme="minorHAnsi"/>
                <w:sz w:val="21"/>
              </w:rPr>
              <w:t>表格行数不够时，请自行扩展。</w:t>
            </w:r>
          </w:p>
          <w:p>
            <w:pPr>
              <w:spacing w:line="320" w:lineRule="exact"/>
              <w:ind w:left="315" w:hanging="315" w:hangingChars="150"/>
              <w:jc w:val="both"/>
              <w:rPr>
                <w:rFonts w:ascii="Calibri" w:hAnsi="宋体" w:eastAsia="宋体"/>
                <w:color w:val="000000"/>
                <w:sz w:val="21"/>
              </w:rPr>
            </w:pPr>
            <w:r>
              <w:rPr>
                <w:rFonts w:ascii="Calibri" w:hAnsi="宋体" w:eastAsia="宋体" w:cstheme="minorHAnsi"/>
                <w:sz w:val="21"/>
              </w:rPr>
              <w:t xml:space="preserve">② </w:t>
            </w:r>
            <w:r>
              <w:rPr>
                <w:rFonts w:hint="eastAsia" w:ascii="Calibri" w:hAnsi="宋体" w:eastAsia="宋体"/>
                <w:color w:val="000000"/>
                <w:sz w:val="21"/>
              </w:rPr>
              <w:t>对合同条款中的所有要求，除本表所列明的所有偏离外，均视作供应商已对之理解和响应。</w:t>
            </w:r>
          </w:p>
          <w:p>
            <w:pPr>
              <w:spacing w:line="320" w:lineRule="exact"/>
              <w:ind w:left="315" w:hanging="315" w:hangingChars="150"/>
              <w:jc w:val="both"/>
              <w:rPr>
                <w:rFonts w:ascii="Calibri" w:hAnsi="宋体" w:eastAsia="宋体"/>
                <w:color w:val="000000"/>
                <w:sz w:val="21"/>
              </w:rPr>
            </w:pPr>
            <w:r>
              <w:rPr>
                <w:rFonts w:hint="eastAsia" w:ascii="Calibri" w:hAnsi="宋体" w:eastAsia="宋体"/>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Calibri" w:hAnsi="Calibri" w:eastAsia="黑体"/>
          <w:kern w:val="28"/>
          <w:sz w:val="28"/>
        </w:rPr>
      </w:pPr>
      <w:r>
        <w:rPr>
          <w:rFonts w:ascii="Calibri" w:hAnsi="Calibri" w:eastAsia="黑体"/>
          <w:kern w:val="28"/>
          <w:sz w:val="28"/>
        </w:rPr>
        <w:t>（四）其他需要提供的资料</w:t>
      </w:r>
    </w:p>
    <w:tbl>
      <w:tblPr>
        <w:tblStyle w:val="2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23"/>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rPr>
                <w:rFonts w:cstheme="minorHAnsi"/>
                <w:color w:val="000000"/>
                <w:sz w:val="21"/>
                <w:szCs w:val="21"/>
              </w:rPr>
            </w:pPr>
            <w:r>
              <w:rPr>
                <w:rFonts w:cstheme="minorHAnsi"/>
                <w:color w:val="000000"/>
                <w:sz w:val="21"/>
                <w:szCs w:val="21"/>
              </w:rPr>
              <w:t>一、项目经理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jc w:val="center"/>
              <w:rPr>
                <w:rFonts w:cstheme="minorHAnsi"/>
                <w:color w:val="000000"/>
                <w:sz w:val="21"/>
                <w:szCs w:val="21"/>
              </w:rPr>
            </w:pPr>
            <w:r>
              <w:rPr>
                <w:rFonts w:cstheme="minorHAnsi"/>
                <w:color w:val="000000"/>
                <w:sz w:val="21"/>
                <w:szCs w:val="21"/>
              </w:rPr>
              <w:t>年龄</w:t>
            </w:r>
          </w:p>
        </w:tc>
        <w:tc>
          <w:tcPr>
            <w:tcW w:w="1260" w:type="dxa"/>
            <w:vAlign w:val="center"/>
          </w:tcPr>
          <w:p>
            <w:pPr>
              <w:jc w:val="center"/>
              <w:rPr>
                <w:rFonts w:cstheme="minorHAnsi"/>
                <w:color w:val="000000"/>
                <w:sz w:val="21"/>
                <w:szCs w:val="21"/>
              </w:rPr>
            </w:pPr>
            <w:r>
              <w:rPr>
                <w:rFonts w:cstheme="minorHAnsi"/>
                <w:color w:val="000000"/>
                <w:sz w:val="21"/>
                <w:szCs w:val="21"/>
              </w:rPr>
              <w:t>学历</w:t>
            </w:r>
          </w:p>
        </w:tc>
        <w:tc>
          <w:tcPr>
            <w:tcW w:w="1387" w:type="dxa"/>
            <w:gridSpan w:val="2"/>
            <w:vAlign w:val="center"/>
          </w:tcPr>
          <w:p>
            <w:pPr>
              <w:jc w:val="center"/>
              <w:rPr>
                <w:rFonts w:cstheme="minorHAnsi"/>
                <w:color w:val="000000"/>
                <w:sz w:val="21"/>
                <w:szCs w:val="21"/>
              </w:rPr>
            </w:pPr>
            <w:r>
              <w:rPr>
                <w:rFonts w:cstheme="minorHAnsi"/>
                <w:color w:val="000000"/>
                <w:sz w:val="21"/>
                <w:szCs w:val="21"/>
              </w:rPr>
              <w:t>职称</w:t>
            </w:r>
          </w:p>
        </w:tc>
        <w:tc>
          <w:tcPr>
            <w:tcW w:w="1604" w:type="dxa"/>
            <w:gridSpan w:val="2"/>
            <w:vAlign w:val="center"/>
          </w:tcPr>
          <w:p>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color="auto" w:sz="2" w:space="0"/>
            </w:tcBorders>
            <w:vAlign w:val="center"/>
          </w:tcPr>
          <w:p>
            <w:pPr>
              <w:spacing w:line="240" w:lineRule="exact"/>
              <w:jc w:val="center"/>
              <w:rPr>
                <w:rFonts w:cstheme="minorHAnsi"/>
                <w:color w:val="000000"/>
                <w:sz w:val="21"/>
                <w:szCs w:val="21"/>
              </w:rPr>
            </w:pPr>
            <w:r>
              <w:rPr>
                <w:rFonts w:cstheme="minorHAnsi"/>
                <w:color w:val="000000"/>
                <w:sz w:val="21"/>
                <w:szCs w:val="21"/>
              </w:rPr>
              <w:t>主要工作</w:t>
            </w:r>
          </w:p>
          <w:p>
            <w:pPr>
              <w:spacing w:line="240" w:lineRule="exact"/>
              <w:jc w:val="center"/>
              <w:rPr>
                <w:rFonts w:cstheme="minorHAnsi"/>
                <w:color w:val="000000"/>
                <w:sz w:val="21"/>
                <w:szCs w:val="21"/>
              </w:rPr>
            </w:pPr>
            <w:r>
              <w:rPr>
                <w:rFonts w:cstheme="minorHAnsi"/>
                <w:color w:val="000000"/>
                <w:sz w:val="21"/>
                <w:szCs w:val="21"/>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cstheme="minorHAnsi"/>
                <w:color w:val="000000"/>
                <w:sz w:val="21"/>
                <w:szCs w:val="21"/>
              </w:rPr>
            </w:pPr>
            <w:r>
              <w:rPr>
                <w:rFonts w:cstheme="minorHAnsi"/>
                <w:color w:val="000000"/>
                <w:sz w:val="21"/>
                <w:szCs w:val="21"/>
              </w:rPr>
              <w:t>拟派</w:t>
            </w:r>
          </w:p>
          <w:p>
            <w:pPr>
              <w:spacing w:line="24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60" w:type="dxa"/>
            <w:vAlign w:val="center"/>
          </w:tcPr>
          <w:p>
            <w:pPr>
              <w:rPr>
                <w:rFonts w:cstheme="minorHAnsi"/>
                <w:color w:val="000000"/>
                <w:sz w:val="21"/>
                <w:szCs w:val="21"/>
              </w:rPr>
            </w:pPr>
          </w:p>
        </w:tc>
        <w:tc>
          <w:tcPr>
            <w:tcW w:w="1387" w:type="dxa"/>
            <w:gridSpan w:val="2"/>
            <w:vAlign w:val="center"/>
          </w:tcPr>
          <w:p>
            <w:pPr>
              <w:rPr>
                <w:rFonts w:cstheme="minorHAnsi"/>
                <w:color w:val="000000"/>
                <w:sz w:val="21"/>
                <w:szCs w:val="21"/>
              </w:rPr>
            </w:pPr>
          </w:p>
        </w:tc>
        <w:tc>
          <w:tcPr>
            <w:tcW w:w="1604" w:type="dxa"/>
            <w:gridSpan w:val="2"/>
            <w:vAlign w:val="center"/>
          </w:tcPr>
          <w:p>
            <w:pPr>
              <w:rPr>
                <w:rFonts w:cstheme="minorHAnsi"/>
                <w:color w:val="000000"/>
                <w:sz w:val="21"/>
                <w:szCs w:val="21"/>
              </w:rPr>
            </w:pPr>
          </w:p>
        </w:tc>
        <w:tc>
          <w:tcPr>
            <w:tcW w:w="1740" w:type="dxa"/>
            <w:tcBorders>
              <w:right w:val="single" w:color="auto" w:sz="2" w:space="0"/>
            </w:tcBorders>
            <w:vAlign w:val="center"/>
          </w:tcPr>
          <w:p>
            <w:pPr>
              <w:rPr>
                <w:rFonts w:cstheme="minorHAnsi"/>
                <w:color w:val="000000"/>
                <w:sz w:val="21"/>
                <w:szCs w:val="21"/>
              </w:rPr>
            </w:pPr>
          </w:p>
        </w:tc>
        <w:tc>
          <w:tcPr>
            <w:tcW w:w="1091" w:type="dxa"/>
            <w:gridSpan w:val="2"/>
            <w:tcBorders>
              <w:left w:val="single" w:color="auto" w:sz="2" w:space="0"/>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60" w:type="dxa"/>
            <w:vAlign w:val="center"/>
          </w:tcPr>
          <w:p>
            <w:pPr>
              <w:rPr>
                <w:rFonts w:cstheme="minorHAnsi"/>
                <w:color w:val="000000"/>
                <w:sz w:val="21"/>
                <w:szCs w:val="21"/>
              </w:rPr>
            </w:pPr>
          </w:p>
        </w:tc>
        <w:tc>
          <w:tcPr>
            <w:tcW w:w="1387" w:type="dxa"/>
            <w:gridSpan w:val="2"/>
            <w:vAlign w:val="center"/>
          </w:tcPr>
          <w:p>
            <w:pPr>
              <w:rPr>
                <w:rFonts w:cstheme="minorHAnsi"/>
                <w:color w:val="000000"/>
                <w:sz w:val="21"/>
                <w:szCs w:val="21"/>
              </w:rPr>
            </w:pPr>
          </w:p>
        </w:tc>
        <w:tc>
          <w:tcPr>
            <w:tcW w:w="1604" w:type="dxa"/>
            <w:gridSpan w:val="2"/>
            <w:vAlign w:val="center"/>
          </w:tcPr>
          <w:p>
            <w:pPr>
              <w:rPr>
                <w:rFonts w:cstheme="minorHAnsi"/>
                <w:color w:val="000000"/>
                <w:sz w:val="21"/>
                <w:szCs w:val="21"/>
              </w:rPr>
            </w:pPr>
          </w:p>
        </w:tc>
        <w:tc>
          <w:tcPr>
            <w:tcW w:w="1740" w:type="dxa"/>
            <w:tcBorders>
              <w:right w:val="single" w:color="auto" w:sz="2" w:space="0"/>
            </w:tcBorders>
            <w:vAlign w:val="center"/>
          </w:tcPr>
          <w:p>
            <w:pPr>
              <w:rPr>
                <w:rFonts w:cstheme="minorHAnsi"/>
                <w:color w:val="000000"/>
                <w:sz w:val="21"/>
                <w:szCs w:val="21"/>
              </w:rPr>
            </w:pPr>
          </w:p>
        </w:tc>
        <w:tc>
          <w:tcPr>
            <w:tcW w:w="1091" w:type="dxa"/>
            <w:gridSpan w:val="2"/>
            <w:tcBorders>
              <w:left w:val="single" w:color="auto" w:sz="2" w:space="0"/>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rPr>
                <w:rFonts w:cstheme="minorHAnsi"/>
                <w:color w:val="000000"/>
                <w:sz w:val="21"/>
                <w:szCs w:val="21"/>
              </w:rPr>
            </w:pPr>
            <w:r>
              <w:rPr>
                <w:rFonts w:cstheme="minorHAnsi"/>
                <w:color w:val="000000"/>
                <w:sz w:val="21"/>
                <w:szCs w:val="21"/>
              </w:rPr>
              <w:t>二、</w:t>
            </w:r>
            <w:r>
              <w:rPr>
                <w:rFonts w:hint="eastAsia" w:cstheme="minorHAnsi"/>
                <w:color w:val="000000"/>
                <w:sz w:val="21"/>
                <w:szCs w:val="21"/>
              </w:rPr>
              <w:t>实施技术/</w:t>
            </w:r>
            <w:r>
              <w:rPr>
                <w:rFonts w:cstheme="minorHAnsi"/>
                <w:color w:val="000000"/>
                <w:sz w:val="21"/>
                <w:szCs w:val="21"/>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pPr>
              <w:spacing w:line="280" w:lineRule="exact"/>
              <w:jc w:val="center"/>
              <w:rPr>
                <w:rFonts w:cstheme="minorHAnsi"/>
                <w:color w:val="000000"/>
                <w:sz w:val="21"/>
                <w:szCs w:val="21"/>
              </w:rPr>
            </w:pPr>
            <w:r>
              <w:rPr>
                <w:rFonts w:cstheme="minorHAnsi"/>
                <w:color w:val="000000"/>
                <w:sz w:val="21"/>
                <w:szCs w:val="21"/>
              </w:rPr>
              <w:t>从事类似项目工作年限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spacing w:line="28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vAlign w:val="center"/>
          </w:tcPr>
          <w:p>
            <w:pPr>
              <w:rPr>
                <w:rFonts w:cstheme="minorHAnsi"/>
                <w:color w:val="000000"/>
                <w:sz w:val="21"/>
                <w:szCs w:val="21"/>
              </w:rPr>
            </w:pPr>
            <w:r>
              <w:rPr>
                <w:rFonts w:cstheme="minorHAnsi"/>
                <w:color w:val="000000"/>
                <w:sz w:val="21"/>
                <w:szCs w:val="21"/>
              </w:rPr>
              <w:t>三、售后</w:t>
            </w:r>
            <w:r>
              <w:rPr>
                <w:rFonts w:hint="eastAsia" w:cstheme="minorHAnsi"/>
                <w:color w:val="000000"/>
                <w:sz w:val="21"/>
                <w:szCs w:val="21"/>
              </w:rPr>
              <w:t>技术/</w:t>
            </w:r>
            <w:r>
              <w:rPr>
                <w:rFonts w:cstheme="minorHAnsi"/>
                <w:color w:val="000000"/>
                <w:sz w:val="21"/>
                <w:szCs w:val="21"/>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spacing w:line="28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vAlign w:val="center"/>
          </w:tcPr>
          <w:p>
            <w:pPr>
              <w:rPr>
                <w:rFonts w:cstheme="minorHAnsi"/>
                <w:color w:val="000000"/>
                <w:sz w:val="21"/>
                <w:szCs w:val="21"/>
              </w:rPr>
            </w:pPr>
            <w:r>
              <w:rPr>
                <w:rFonts w:cstheme="minorHAnsi"/>
                <w:color w:val="000000"/>
                <w:sz w:val="21"/>
                <w:szCs w:val="21"/>
              </w:rPr>
              <w:t>四、其他人员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rPr>
                <w:rFonts w:cstheme="minorHAnsi"/>
                <w:color w:val="000000"/>
                <w:sz w:val="21"/>
                <w:szCs w:val="21"/>
              </w:rPr>
            </w:pPr>
            <w:r>
              <w:rPr>
                <w:rFonts w:cstheme="minorHAnsi"/>
                <w:color w:val="000000"/>
                <w:sz w:val="21"/>
                <w:szCs w:val="21"/>
              </w:rPr>
              <w:t>职称</w:t>
            </w:r>
          </w:p>
        </w:tc>
        <w:tc>
          <w:tcPr>
            <w:tcW w:w="1581" w:type="dxa"/>
            <w:vAlign w:val="center"/>
          </w:tcPr>
          <w:p>
            <w:pP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color="auto" w:sz="6" w:space="0"/>
              <w:bottom w:val="single" w:color="auto" w:sz="12" w:space="0"/>
              <w:right w:val="single" w:color="auto" w:sz="12" w:space="0"/>
            </w:tcBorders>
            <w:vAlign w:val="center"/>
          </w:tcPr>
          <w:p>
            <w:pPr>
              <w:spacing w:line="320" w:lineRule="exact"/>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pPr>
              <w:spacing w:line="320" w:lineRule="exact"/>
              <w:ind w:left="158" w:hanging="157" w:hangingChars="75"/>
              <w:rPr>
                <w:rFonts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pPr>
        <w:rPr>
          <w:rFonts w:cstheme="minorHAnsi"/>
          <w:b/>
        </w:rPr>
      </w:pPr>
    </w:p>
    <w:p>
      <w:pPr>
        <w:rPr>
          <w:rFonts w:ascii="Calibri" w:hAnsi="华文仿宋"/>
          <w:b/>
        </w:rPr>
      </w:pPr>
    </w:p>
    <w:p>
      <w:pPr>
        <w:rPr>
          <w:rFonts w:cstheme="minorHAnsi"/>
        </w:rPr>
      </w:pPr>
    </w:p>
    <w:p>
      <w:pPr>
        <w:rPr>
          <w:rFonts w:cstheme="minorHAnsi"/>
        </w:rPr>
        <w:sectPr>
          <w:footerReference r:id="rId27" w:type="default"/>
          <w:footerReference r:id="rId28"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9"/>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color="auto" w:sz="6" w:space="0"/>
            </w:tcBorders>
            <w:vAlign w:val="center"/>
          </w:tcPr>
          <w:p>
            <w:pPr>
              <w:autoSpaceDE w:val="0"/>
              <w:autoSpaceDN w:val="0"/>
              <w:adjustRightInd w:val="0"/>
              <w:spacing w:line="320" w:lineRule="exact"/>
              <w:jc w:val="center"/>
              <w:rPr>
                <w:rFonts w:cstheme="minorHAnsi"/>
                <w:sz w:val="21"/>
                <w:szCs w:val="21"/>
              </w:rPr>
            </w:pPr>
          </w:p>
        </w:tc>
        <w:tc>
          <w:tcPr>
            <w:tcW w:w="1701" w:type="dxa"/>
            <w:tcBorders>
              <w:top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p>
          <w:p>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p>
          <w:p>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p>
          <w:p>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w:t>
            </w:r>
          </w:p>
          <w:p>
            <w:pPr>
              <w:autoSpaceDE w:val="0"/>
              <w:autoSpaceDN w:val="0"/>
              <w:adjustRightInd w:val="0"/>
              <w:spacing w:line="320" w:lineRule="exact"/>
              <w:jc w:val="center"/>
              <w:rPr>
                <w:rFonts w:cstheme="minorHAnsi"/>
                <w:sz w:val="21"/>
                <w:szCs w:val="21"/>
              </w:rPr>
            </w:pPr>
            <w:r>
              <w:rPr>
                <w:rFonts w:cstheme="minorHAnsi"/>
                <w:sz w:val="21"/>
                <w:szCs w:val="21"/>
              </w:rPr>
              <w:t>营业收入*</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pPr>
              <w:autoSpaceDE w:val="0"/>
              <w:autoSpaceDN w:val="0"/>
              <w:adjustRightInd w:val="0"/>
              <w:spacing w:line="320" w:lineRule="exact"/>
              <w:jc w:val="center"/>
              <w:rPr>
                <w:rFonts w:cstheme="minorHAnsi"/>
                <w:sz w:val="21"/>
                <w:szCs w:val="21"/>
              </w:rPr>
            </w:pPr>
          </w:p>
        </w:tc>
        <w:tc>
          <w:tcPr>
            <w:tcW w:w="1159"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pPr>
              <w:autoSpaceDE w:val="0"/>
              <w:autoSpaceDN w:val="0"/>
              <w:adjustRightInd w:val="0"/>
              <w:spacing w:line="320" w:lineRule="exact"/>
              <w:jc w:val="center"/>
              <w:rPr>
                <w:rFonts w:cstheme="minorHAnsi"/>
                <w:sz w:val="21"/>
                <w:szCs w:val="21"/>
              </w:rPr>
            </w:pPr>
          </w:p>
        </w:tc>
        <w:tc>
          <w:tcPr>
            <w:tcW w:w="1275"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p>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559" w:type="dxa"/>
            <w:vMerge w:val="continue"/>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159"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275"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color="auto" w:sz="4" w:space="0"/>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color="auto" w:sz="12" w:space="0"/>
              <w:right w:val="single" w:color="auto" w:sz="12" w:space="0"/>
            </w:tcBorders>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③表格空间不足时，请自行扩展。</w:t>
            </w:r>
          </w:p>
        </w:tc>
      </w:tr>
    </w:tbl>
    <w:p>
      <w:pPr>
        <w:rPr>
          <w:rFonts w:ascii="Calibri Light" w:hAnsi="Calibri Light" w:eastAsia="华文仿宋" w:cs="Calibri Light"/>
          <w:color w:val="000000"/>
          <w:sz w:val="28"/>
          <w:szCs w:val="28"/>
        </w:rPr>
      </w:pPr>
    </w:p>
    <w:p>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588" w:header="851" w:footer="992" w:gutter="0"/>
          <w:cols w:space="425" w:num="1"/>
          <w:docGrid w:type="lines" w:linePitch="420" w:charSpace="0"/>
        </w:sectPr>
      </w:pP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94"/>
        <w:ind w:firstLine="480"/>
        <w:rPr>
          <w:i/>
          <w:color w:val="7030A0"/>
        </w:rPr>
      </w:pPr>
      <w:r>
        <w:rPr>
          <w:i/>
          <w:color w:val="7030A0"/>
        </w:rPr>
        <w:t>未签署下列承诺书的，将被视为无效投标，其责任由供应商自行承担。</w:t>
      </w:r>
    </w:p>
    <w:p>
      <w:pPr>
        <w:tabs>
          <w:tab w:val="left" w:pos="3060"/>
        </w:tabs>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r>
        <w:rPr>
          <w:rFonts w:ascii="黑体" w:hAnsi="黑体" w:cstheme="minorHAnsi"/>
          <w:b/>
        </w:rPr>
        <w:tab/>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hint="eastAsia" w:ascii="黑体" w:hAnsi="黑体" w:cstheme="minorHAnsi"/>
          <w:b/>
        </w:rPr>
        <w:t>3.西安市政府采购供应商拒绝政府采购领域商业贿赂承诺书</w:t>
      </w:r>
    </w:p>
    <w:p>
      <w:pPr>
        <w:ind w:firstLine="602" w:firstLineChars="200"/>
        <w:jc w:val="center"/>
        <w:rPr>
          <w:rFonts w:ascii="黑体" w:hAnsi="黑体" w:cstheme="minorHAnsi"/>
          <w:b/>
          <w:sz w:val="30"/>
          <w:szCs w:val="30"/>
        </w:rPr>
      </w:pPr>
    </w:p>
    <w:p>
      <w:pPr>
        <w:ind w:firstLine="602" w:firstLineChars="200"/>
        <w:jc w:val="center"/>
        <w:rPr>
          <w:rFonts w:ascii="黑体" w:hAnsi="黑体" w:cstheme="minorHAnsi"/>
          <w:b/>
          <w:sz w:val="30"/>
          <w:szCs w:val="30"/>
        </w:rPr>
      </w:pPr>
      <w:r>
        <w:rPr>
          <w:rFonts w:ascii="黑体" w:hAnsi="黑体" w:cstheme="minorHAnsi"/>
          <w:b/>
          <w:sz w:val="30"/>
          <w:szCs w:val="30"/>
        </w:rPr>
        <w:t>声明函</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为响应党中央、国务院关于治理政府采购领域商业贿赂行为的号召，我公司在此承诺：</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一、在参与政府采购活动中遵纪守法、诚信经营、公平竞标。</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二、不向政府采购人、采购代理机构和政府采购评审专家进行任何形式的商业贿赂以谋取交易机会。</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三、不向政府采购代理机构和采购人提供虚假资质文件或采用虚假应标方式参与政府采购市场竞争并谋取中标、成交。</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四、不采取“围标、陪标”等商业欺诈手段获取政府采购订单；</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五、不采取不正当手段诋毁、排挤其他供应商。</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六、不在提供商品和服务时“偷梁换柱、以次充好”损害采购人的合法权益。</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七、不与采购人、采购代理机构、政府采购评审专家或其他供应商恶意串通，进行质疑和投诉，维护政府采购市场秩序。</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八、尊重和接受政府采购监督管理部门的监督和政府采购代理机构招标采购要求，承担因违约行为给采购人造成的损失。</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color w:val="000000"/>
          <w:kern w:val="24"/>
        </w:rPr>
        <w:t>九、不发生其他有悖于政府采购公开、公平、公正和诚信原则的行为。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承诺单位：XX公司（盖章）</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法定代表人或被授权人：（签字或盖章）</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 xml:space="preserve">地址：XX       </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电话：XX</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邮编：7100</w:t>
      </w:r>
      <w:r>
        <w:rPr>
          <w:rFonts w:ascii="Calibri" w:hAnsi="Calibri" w:eastAsia="宋体" w:cstheme="minorHAnsi"/>
          <w:color w:val="000000"/>
          <w:kern w:val="24"/>
        </w:rPr>
        <w:t>00</w:t>
      </w:r>
    </w:p>
    <w:p>
      <w:pPr>
        <w:ind w:firstLine="6240" w:firstLineChars="2600"/>
        <w:jc w:val="both"/>
        <w:rPr>
          <w:rFonts w:ascii="Calibri" w:hAnsi="Calibri" w:eastAsia="宋体" w:cstheme="minorHAnsi"/>
          <w:color w:val="000000"/>
          <w:kern w:val="24"/>
        </w:rPr>
      </w:pPr>
      <w:r>
        <w:rPr>
          <w:rFonts w:hint="eastAsia" w:ascii="Calibri" w:hAnsi="Calibri" w:eastAsia="宋体" w:cstheme="minorHAnsi"/>
          <w:color w:val="000000"/>
          <w:kern w:val="24"/>
        </w:rPr>
        <w:tab/>
      </w:r>
      <w:r>
        <w:rPr>
          <w:rFonts w:hint="eastAsia" w:ascii="Calibri" w:hAnsi="Calibri" w:eastAsia="宋体" w:cstheme="minorHAnsi"/>
          <w:color w:val="000000"/>
          <w:kern w:val="24"/>
        </w:rPr>
        <w:t>年    月    日</w:t>
      </w:r>
    </w:p>
    <w:p>
      <w:pPr>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4、</w:t>
      </w:r>
      <w:r>
        <w:rPr>
          <w:rFonts w:hint="eastAsia" w:ascii="黑体" w:hAnsi="黑体" w:cstheme="minorHAnsi"/>
          <w:b/>
        </w:rPr>
        <w:t>声明</w:t>
      </w:r>
    </w:p>
    <w:p>
      <w:pPr>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致：</w:t>
      </w:r>
      <w:r>
        <w:rPr>
          <w:rFonts w:hint="eastAsia" w:ascii="Calibri" w:hAnsi="Calibri" w:eastAsia="宋体" w:cstheme="minorHAnsi"/>
          <w:color w:val="000000"/>
          <w:kern w:val="24"/>
          <w:u w:val="single"/>
        </w:rPr>
        <w:t>（采购人名称）</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我方</w:t>
      </w:r>
      <w:r>
        <w:rPr>
          <w:rFonts w:hint="eastAsia" w:ascii="Calibri" w:hAnsi="Calibri" w:eastAsia="宋体" w:cstheme="minorHAnsi"/>
          <w:color w:val="000000"/>
          <w:kern w:val="24"/>
          <w:u w:val="single"/>
        </w:rPr>
        <w:t>（供应商名称）</w:t>
      </w:r>
      <w:r>
        <w:rPr>
          <w:rFonts w:hint="eastAsia" w:ascii="Calibri" w:hAnsi="Calibri" w:eastAsia="宋体" w:cstheme="minorHAnsi"/>
          <w:color w:val="000000"/>
          <w:kern w:val="24"/>
        </w:rPr>
        <w:t>郑重声明，在参加本次政府采购活动中：</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 xml:space="preserve">(1) </w:t>
      </w:r>
      <w:r>
        <w:rPr>
          <w:rFonts w:hint="eastAsia" w:ascii="Calibri" w:hAnsi="Calibri" w:eastAsia="宋体" w:cstheme="minorHAnsi"/>
          <w:color w:val="000000"/>
          <w:kern w:val="24"/>
          <w:u w:val="single"/>
        </w:rPr>
        <w:t>(供应商名称)</w:t>
      </w:r>
      <w:r>
        <w:rPr>
          <w:rFonts w:hint="eastAsia" w:ascii="Calibri" w:hAnsi="Calibri" w:eastAsia="宋体" w:cstheme="minorHAnsi"/>
          <w:color w:val="000000"/>
          <w:kern w:val="24"/>
        </w:rPr>
        <w:t>不是西安市第九医院的职工投资开办或控股企业;</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(2)西安市第九医院的职工本人或其亲属未在</w:t>
      </w:r>
      <w:r>
        <w:rPr>
          <w:rFonts w:hint="eastAsia" w:ascii="Calibri" w:hAnsi="Calibri" w:eastAsia="宋体" w:cstheme="minorHAnsi"/>
          <w:color w:val="000000"/>
          <w:kern w:val="24"/>
          <w:u w:val="single"/>
        </w:rPr>
        <w:t>(供应商名称)</w:t>
      </w:r>
      <w:r>
        <w:rPr>
          <w:rFonts w:hint="eastAsia" w:ascii="Calibri" w:hAnsi="Calibri" w:eastAsia="宋体" w:cstheme="minorHAnsi"/>
          <w:color w:val="000000"/>
          <w:kern w:val="24"/>
        </w:rPr>
        <w:t>担任高管、独立董事等具有重大利益关系职务。</w:t>
      </w:r>
    </w:p>
    <w:p>
      <w:pPr>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特此声明。</w:t>
      </w:r>
    </w:p>
    <w:p>
      <w:pPr>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 xml:space="preserve">供应商（公章）：            </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 xml:space="preserve">法定代表人或授权代表（签字或盖章）：       </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 xml:space="preserve">日   期：           </w:t>
      </w:r>
    </w:p>
    <w:p>
      <w:pPr>
        <w:rPr>
          <w:rFonts w:ascii="Calibri" w:hAnsi="Calibri" w:eastAsia="黑体"/>
          <w:kern w:val="28"/>
          <w:sz w:val="28"/>
        </w:rPr>
      </w:pPr>
      <w:r>
        <w:rPr>
          <w:rFonts w:ascii="Calibri" w:hAnsi="Calibri" w:eastAsia="黑体"/>
          <w:kern w:val="28"/>
          <w:sz w:val="28"/>
        </w:rPr>
        <w:br w:type="page"/>
      </w:r>
    </w:p>
    <w:p>
      <w:pPr>
        <w:keepNext/>
        <w:spacing w:before="120" w:after="60"/>
        <w:outlineLvl w:val="2"/>
        <w:rPr>
          <w:rFonts w:ascii="Calibri" w:hAnsi="Calibri" w:eastAsia="黑体"/>
          <w:color w:val="FF0000"/>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pPr>
        <w:ind w:firstLine="480" w:firstLineChars="200"/>
        <w:jc w:val="both"/>
        <w:rPr>
          <w:color w:val="C00000"/>
        </w:rPr>
      </w:pPr>
      <w:r>
        <w:rPr>
          <w:rFonts w:hint="eastAsia"/>
          <w:color w:val="00B050"/>
        </w:rPr>
        <w:t>联合体各方均为中小企业的，联合体视同中小企业。其中，联合体各方均为小微企业的，联合体视同小微企业。</w:t>
      </w:r>
    </w:p>
    <w:p>
      <w:pPr>
        <w:ind w:firstLine="480" w:firstLineChars="200"/>
        <w:jc w:val="both"/>
      </w:pPr>
      <w:r>
        <w:rPr>
          <w:rFonts w:hint="eastAsia"/>
        </w:rPr>
        <w:t>中标供应商享受了政府采购优惠政策的，将随中标结果公开其声明函\证明函，接受社会监督。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68"/>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68"/>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68"/>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68"/>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spacing w:before="210" w:beforeLines="50"/>
        <w:jc w:val="center"/>
        <w:rPr>
          <w:rFonts w:cs="Calibri Light"/>
          <w:b/>
          <w:color w:val="1F4E79"/>
          <w:sz w:val="28"/>
          <w:szCs w:val="36"/>
        </w:rPr>
      </w:pPr>
      <w:r>
        <w:rPr>
          <w:rFonts w:cs="Calibri Light"/>
          <w:b/>
          <w:color w:val="1F4E79"/>
          <w:sz w:val="28"/>
          <w:szCs w:val="36"/>
        </w:rPr>
        <w:t>『中小企业声明函』（货物类格式）</w:t>
      </w:r>
    </w:p>
    <w:p>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color w:val="000000"/>
          <w:kern w:val="24"/>
        </w:rPr>
        <w:t>的采购活动，提供的货物全部由符合政策要求的中小企业制造。相关企业（含联合体中的中小企业、签订分包意向协议的中小企业）的具体情况如下：</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rPr>
      </w:pPr>
      <w:r>
        <w:rPr>
          <w:rFonts w:cstheme="minorHAnsi"/>
          <w:color w:val="000000"/>
          <w:kern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pPr>
        <w:ind w:firstLine="480" w:firstLineChars="200"/>
        <w:jc w:val="both"/>
        <w:rPr>
          <w:color w:val="000000"/>
        </w:rPr>
      </w:pPr>
      <w:r>
        <w:rPr>
          <w:color w:val="000000"/>
        </w:rPr>
        <w:t>日　期：　　年　月　日</w:t>
      </w:r>
    </w:p>
    <w:p>
      <w:pPr>
        <w:tabs>
          <w:tab w:val="left" w:pos="5670"/>
        </w:tabs>
        <w:ind w:firstLine="482" w:firstLineChars="200"/>
        <w:jc w:val="both"/>
        <w:rPr>
          <w:rFonts w:cstheme="minorHAnsi"/>
          <w:b/>
          <w:color w:val="C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sectPr>
      <w:footerReference r:id="rId31" w:type="default"/>
      <w:footerReference r:id="rId32" w:type="even"/>
      <w:pgSz w:w="11906" w:h="16838"/>
      <w:pgMar w:top="1418" w:right="1418" w:bottom="1418" w:left="1588" w:header="851" w:footer="992" w:gutter="0"/>
      <w:cols w:space="425" w:num="1"/>
      <w:docGrid w:type="line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公文黑体">
    <w:altName w:val="宋体"/>
    <w:panose1 w:val="00000000000000000000"/>
    <w:charset w:val="86"/>
    <w:family w:val="roman"/>
    <w:pitch w:val="default"/>
    <w:sig w:usb0="00000000" w:usb1="00000000" w:usb2="00000000" w:usb3="00000000" w:csb0="00000000" w:csb1="00000000"/>
  </w:font>
  <w:font w:name="汉仪旗黑-55">
    <w:altName w:val="黑体"/>
    <w:panose1 w:val="00000000000000000000"/>
    <w:charset w:val="86"/>
    <w:family w:val="auto"/>
    <w:pitch w:val="default"/>
    <w:sig w:usb0="00000000" w:usb1="00000000" w:usb2="00000016"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西安市第九医院交换机、服务器、</w:t>
    </w:r>
    <w:r>
      <w:rPr>
        <w:rFonts w:ascii="宋体" w:hAnsi="宋体" w:eastAsia="宋体"/>
      </w:rPr>
      <w:t>PC外设、PC终端、智能电视采购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西安市第九医院交换机、服务器、</w:t>
    </w:r>
    <w:r>
      <w:rPr>
        <w:rFonts w:ascii="宋体" w:hAnsi="宋体" w:eastAsia="宋体"/>
      </w:rPr>
      <w:t>PC外设、PC终端、智能电视采购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西安市第九医院交换机、服务器、</w:t>
    </w:r>
    <w:r>
      <w:rPr>
        <w:rFonts w:ascii="宋体" w:hAnsi="宋体" w:eastAsia="宋体"/>
      </w:rPr>
      <w:t>PC外设、PC终端、智能电视采购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16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WMzZjgyOTU1NDkwZjRhNTRhM2YzNWVjODE1MjQifQ=="/>
    <w:docVar w:name="KSO_WPS_MARK_KEY" w:val="2cd346f1-f820-439a-9b5e-e13514fc83c1"/>
  </w:docVars>
  <w:rsids>
    <w:rsidRoot w:val="0057772D"/>
    <w:rsid w:val="0000159C"/>
    <w:rsid w:val="000019FA"/>
    <w:rsid w:val="00002BB3"/>
    <w:rsid w:val="00003B6F"/>
    <w:rsid w:val="00003F53"/>
    <w:rsid w:val="000048AD"/>
    <w:rsid w:val="00004AB9"/>
    <w:rsid w:val="00004F9A"/>
    <w:rsid w:val="00005E26"/>
    <w:rsid w:val="00006A52"/>
    <w:rsid w:val="00006F39"/>
    <w:rsid w:val="0000732D"/>
    <w:rsid w:val="000078B0"/>
    <w:rsid w:val="00010FED"/>
    <w:rsid w:val="00011C77"/>
    <w:rsid w:val="00012137"/>
    <w:rsid w:val="00012844"/>
    <w:rsid w:val="00012F9B"/>
    <w:rsid w:val="00013929"/>
    <w:rsid w:val="00014DAF"/>
    <w:rsid w:val="00015802"/>
    <w:rsid w:val="00016042"/>
    <w:rsid w:val="000162A2"/>
    <w:rsid w:val="000167BA"/>
    <w:rsid w:val="00017463"/>
    <w:rsid w:val="00021AF9"/>
    <w:rsid w:val="0002264A"/>
    <w:rsid w:val="00022A4E"/>
    <w:rsid w:val="00022F41"/>
    <w:rsid w:val="00023261"/>
    <w:rsid w:val="000234CF"/>
    <w:rsid w:val="000235C8"/>
    <w:rsid w:val="000236F6"/>
    <w:rsid w:val="000251DF"/>
    <w:rsid w:val="0002669B"/>
    <w:rsid w:val="00027B08"/>
    <w:rsid w:val="00027E6B"/>
    <w:rsid w:val="0003251F"/>
    <w:rsid w:val="00032BB4"/>
    <w:rsid w:val="00032CC1"/>
    <w:rsid w:val="00033096"/>
    <w:rsid w:val="00033377"/>
    <w:rsid w:val="00033B5A"/>
    <w:rsid w:val="00037F2F"/>
    <w:rsid w:val="00037FD3"/>
    <w:rsid w:val="000403A2"/>
    <w:rsid w:val="00040799"/>
    <w:rsid w:val="00040973"/>
    <w:rsid w:val="00042D71"/>
    <w:rsid w:val="00043830"/>
    <w:rsid w:val="00043F3A"/>
    <w:rsid w:val="000440AF"/>
    <w:rsid w:val="00044F32"/>
    <w:rsid w:val="000462E5"/>
    <w:rsid w:val="00047455"/>
    <w:rsid w:val="00051740"/>
    <w:rsid w:val="00051EF3"/>
    <w:rsid w:val="00052825"/>
    <w:rsid w:val="000538AA"/>
    <w:rsid w:val="000543B4"/>
    <w:rsid w:val="00054879"/>
    <w:rsid w:val="00054AB5"/>
    <w:rsid w:val="000556F1"/>
    <w:rsid w:val="00055F81"/>
    <w:rsid w:val="0005692F"/>
    <w:rsid w:val="00061066"/>
    <w:rsid w:val="00061A13"/>
    <w:rsid w:val="0006226C"/>
    <w:rsid w:val="00062828"/>
    <w:rsid w:val="00062D84"/>
    <w:rsid w:val="00062DA2"/>
    <w:rsid w:val="00063EEF"/>
    <w:rsid w:val="00064071"/>
    <w:rsid w:val="00064386"/>
    <w:rsid w:val="00067A39"/>
    <w:rsid w:val="00067D44"/>
    <w:rsid w:val="0007053B"/>
    <w:rsid w:val="00070AA6"/>
    <w:rsid w:val="00072084"/>
    <w:rsid w:val="00073A16"/>
    <w:rsid w:val="0007534F"/>
    <w:rsid w:val="000770B7"/>
    <w:rsid w:val="00077B80"/>
    <w:rsid w:val="00084264"/>
    <w:rsid w:val="000857F2"/>
    <w:rsid w:val="00085999"/>
    <w:rsid w:val="00086D2C"/>
    <w:rsid w:val="000871C6"/>
    <w:rsid w:val="00090002"/>
    <w:rsid w:val="000906B5"/>
    <w:rsid w:val="000911CC"/>
    <w:rsid w:val="00092417"/>
    <w:rsid w:val="00092B9B"/>
    <w:rsid w:val="00093AD5"/>
    <w:rsid w:val="00094123"/>
    <w:rsid w:val="000951C6"/>
    <w:rsid w:val="000952F2"/>
    <w:rsid w:val="00095A8D"/>
    <w:rsid w:val="00096428"/>
    <w:rsid w:val="00096A52"/>
    <w:rsid w:val="00097CDB"/>
    <w:rsid w:val="000A0237"/>
    <w:rsid w:val="000A0EFD"/>
    <w:rsid w:val="000A1202"/>
    <w:rsid w:val="000A159C"/>
    <w:rsid w:val="000A1B38"/>
    <w:rsid w:val="000A2583"/>
    <w:rsid w:val="000A2B11"/>
    <w:rsid w:val="000A7A6A"/>
    <w:rsid w:val="000A7ACE"/>
    <w:rsid w:val="000B366D"/>
    <w:rsid w:val="000B4360"/>
    <w:rsid w:val="000B5741"/>
    <w:rsid w:val="000B5ACF"/>
    <w:rsid w:val="000B5DE5"/>
    <w:rsid w:val="000B6858"/>
    <w:rsid w:val="000B7806"/>
    <w:rsid w:val="000C048C"/>
    <w:rsid w:val="000C078B"/>
    <w:rsid w:val="000C21A4"/>
    <w:rsid w:val="000C3ADC"/>
    <w:rsid w:val="000C4AA9"/>
    <w:rsid w:val="000C4C29"/>
    <w:rsid w:val="000C4C58"/>
    <w:rsid w:val="000C538D"/>
    <w:rsid w:val="000C59A5"/>
    <w:rsid w:val="000C774E"/>
    <w:rsid w:val="000D0AF3"/>
    <w:rsid w:val="000D0DE1"/>
    <w:rsid w:val="000D1277"/>
    <w:rsid w:val="000D12BE"/>
    <w:rsid w:val="000D159C"/>
    <w:rsid w:val="000D4097"/>
    <w:rsid w:val="000D4570"/>
    <w:rsid w:val="000D7458"/>
    <w:rsid w:val="000D7EAE"/>
    <w:rsid w:val="000E1433"/>
    <w:rsid w:val="000E3C31"/>
    <w:rsid w:val="000E3FB5"/>
    <w:rsid w:val="000E4F6F"/>
    <w:rsid w:val="000E5C68"/>
    <w:rsid w:val="000E5DED"/>
    <w:rsid w:val="000E6AE7"/>
    <w:rsid w:val="000F0C8A"/>
    <w:rsid w:val="000F1A9A"/>
    <w:rsid w:val="000F1F6B"/>
    <w:rsid w:val="000F2036"/>
    <w:rsid w:val="000F27AD"/>
    <w:rsid w:val="000F2BEC"/>
    <w:rsid w:val="000F35AB"/>
    <w:rsid w:val="000F3645"/>
    <w:rsid w:val="000F476D"/>
    <w:rsid w:val="000F499A"/>
    <w:rsid w:val="000F4ECB"/>
    <w:rsid w:val="000F56A5"/>
    <w:rsid w:val="000F66FE"/>
    <w:rsid w:val="000F6831"/>
    <w:rsid w:val="000F6A10"/>
    <w:rsid w:val="000F71F1"/>
    <w:rsid w:val="000F735B"/>
    <w:rsid w:val="000F7808"/>
    <w:rsid w:val="000F7C85"/>
    <w:rsid w:val="000F7DA6"/>
    <w:rsid w:val="00100C1B"/>
    <w:rsid w:val="00101204"/>
    <w:rsid w:val="00102167"/>
    <w:rsid w:val="00103379"/>
    <w:rsid w:val="00103489"/>
    <w:rsid w:val="00103D6B"/>
    <w:rsid w:val="00104D98"/>
    <w:rsid w:val="001059A0"/>
    <w:rsid w:val="00106530"/>
    <w:rsid w:val="001067F9"/>
    <w:rsid w:val="00107B8A"/>
    <w:rsid w:val="00107BFB"/>
    <w:rsid w:val="001101BD"/>
    <w:rsid w:val="0011093D"/>
    <w:rsid w:val="00111F0F"/>
    <w:rsid w:val="001131D6"/>
    <w:rsid w:val="00113B9B"/>
    <w:rsid w:val="001212B7"/>
    <w:rsid w:val="00121FC0"/>
    <w:rsid w:val="001221AC"/>
    <w:rsid w:val="00122D76"/>
    <w:rsid w:val="001232DE"/>
    <w:rsid w:val="001232E1"/>
    <w:rsid w:val="001240BB"/>
    <w:rsid w:val="001250E4"/>
    <w:rsid w:val="001257D4"/>
    <w:rsid w:val="0013005B"/>
    <w:rsid w:val="0013015E"/>
    <w:rsid w:val="00131904"/>
    <w:rsid w:val="0013342E"/>
    <w:rsid w:val="001338D9"/>
    <w:rsid w:val="00133ADB"/>
    <w:rsid w:val="00134EE2"/>
    <w:rsid w:val="001351E3"/>
    <w:rsid w:val="00135AA2"/>
    <w:rsid w:val="00136D4A"/>
    <w:rsid w:val="0013712F"/>
    <w:rsid w:val="00137CD5"/>
    <w:rsid w:val="00137E7B"/>
    <w:rsid w:val="00140177"/>
    <w:rsid w:val="00142244"/>
    <w:rsid w:val="001448C5"/>
    <w:rsid w:val="001454AD"/>
    <w:rsid w:val="001455F6"/>
    <w:rsid w:val="001456C7"/>
    <w:rsid w:val="00145ADC"/>
    <w:rsid w:val="00151AAB"/>
    <w:rsid w:val="0015217B"/>
    <w:rsid w:val="00152476"/>
    <w:rsid w:val="00152812"/>
    <w:rsid w:val="001534EC"/>
    <w:rsid w:val="0015361E"/>
    <w:rsid w:val="00156ED5"/>
    <w:rsid w:val="00160A34"/>
    <w:rsid w:val="00162008"/>
    <w:rsid w:val="00162710"/>
    <w:rsid w:val="001630D0"/>
    <w:rsid w:val="00164101"/>
    <w:rsid w:val="00164EE1"/>
    <w:rsid w:val="00166118"/>
    <w:rsid w:val="001664B2"/>
    <w:rsid w:val="00166804"/>
    <w:rsid w:val="001668AF"/>
    <w:rsid w:val="00166FD9"/>
    <w:rsid w:val="00167B78"/>
    <w:rsid w:val="00167ECE"/>
    <w:rsid w:val="0017054A"/>
    <w:rsid w:val="001712E7"/>
    <w:rsid w:val="00171A61"/>
    <w:rsid w:val="001727BD"/>
    <w:rsid w:val="00173749"/>
    <w:rsid w:val="001739E1"/>
    <w:rsid w:val="00173A35"/>
    <w:rsid w:val="0017410F"/>
    <w:rsid w:val="00174285"/>
    <w:rsid w:val="00175756"/>
    <w:rsid w:val="00176CF3"/>
    <w:rsid w:val="00176F0E"/>
    <w:rsid w:val="001808ED"/>
    <w:rsid w:val="00182C33"/>
    <w:rsid w:val="0018316D"/>
    <w:rsid w:val="0018340F"/>
    <w:rsid w:val="00184A94"/>
    <w:rsid w:val="00184DE0"/>
    <w:rsid w:val="00184F72"/>
    <w:rsid w:val="00187440"/>
    <w:rsid w:val="00187846"/>
    <w:rsid w:val="00191693"/>
    <w:rsid w:val="00191834"/>
    <w:rsid w:val="00191A7E"/>
    <w:rsid w:val="00191DD9"/>
    <w:rsid w:val="001925F4"/>
    <w:rsid w:val="00193B5F"/>
    <w:rsid w:val="001947E8"/>
    <w:rsid w:val="00194890"/>
    <w:rsid w:val="001951C9"/>
    <w:rsid w:val="0019564E"/>
    <w:rsid w:val="00195832"/>
    <w:rsid w:val="00196A1C"/>
    <w:rsid w:val="00196DD9"/>
    <w:rsid w:val="00197C5C"/>
    <w:rsid w:val="001A01B6"/>
    <w:rsid w:val="001A0376"/>
    <w:rsid w:val="001A0C97"/>
    <w:rsid w:val="001A127F"/>
    <w:rsid w:val="001A2103"/>
    <w:rsid w:val="001A37E9"/>
    <w:rsid w:val="001A42EB"/>
    <w:rsid w:val="001A52B0"/>
    <w:rsid w:val="001A5309"/>
    <w:rsid w:val="001A5764"/>
    <w:rsid w:val="001A6140"/>
    <w:rsid w:val="001B0699"/>
    <w:rsid w:val="001B0C7B"/>
    <w:rsid w:val="001B2019"/>
    <w:rsid w:val="001B226D"/>
    <w:rsid w:val="001B3635"/>
    <w:rsid w:val="001B4804"/>
    <w:rsid w:val="001B49FD"/>
    <w:rsid w:val="001B4AFE"/>
    <w:rsid w:val="001B5302"/>
    <w:rsid w:val="001C0A0A"/>
    <w:rsid w:val="001C0BA3"/>
    <w:rsid w:val="001C0BBD"/>
    <w:rsid w:val="001C25ED"/>
    <w:rsid w:val="001C4AFC"/>
    <w:rsid w:val="001C5BE5"/>
    <w:rsid w:val="001C607B"/>
    <w:rsid w:val="001C6861"/>
    <w:rsid w:val="001C732E"/>
    <w:rsid w:val="001D1423"/>
    <w:rsid w:val="001D1BCB"/>
    <w:rsid w:val="001D22C0"/>
    <w:rsid w:val="001D2CE5"/>
    <w:rsid w:val="001D4171"/>
    <w:rsid w:val="001D4442"/>
    <w:rsid w:val="001D4FB6"/>
    <w:rsid w:val="001D576E"/>
    <w:rsid w:val="001D70BC"/>
    <w:rsid w:val="001E0376"/>
    <w:rsid w:val="001E0C4B"/>
    <w:rsid w:val="001E15D0"/>
    <w:rsid w:val="001E1DFE"/>
    <w:rsid w:val="001E216A"/>
    <w:rsid w:val="001E2BB9"/>
    <w:rsid w:val="001E568C"/>
    <w:rsid w:val="001E6A70"/>
    <w:rsid w:val="001E7761"/>
    <w:rsid w:val="001E790E"/>
    <w:rsid w:val="001E7D62"/>
    <w:rsid w:val="001F0A60"/>
    <w:rsid w:val="001F2059"/>
    <w:rsid w:val="001F23C9"/>
    <w:rsid w:val="001F2A6A"/>
    <w:rsid w:val="001F4827"/>
    <w:rsid w:val="001F49A1"/>
    <w:rsid w:val="001F4ACC"/>
    <w:rsid w:val="001F6633"/>
    <w:rsid w:val="001F7532"/>
    <w:rsid w:val="001F7B5A"/>
    <w:rsid w:val="002002EB"/>
    <w:rsid w:val="002016AA"/>
    <w:rsid w:val="00201795"/>
    <w:rsid w:val="002017D8"/>
    <w:rsid w:val="002022E1"/>
    <w:rsid w:val="002039B1"/>
    <w:rsid w:val="002045DF"/>
    <w:rsid w:val="0020498C"/>
    <w:rsid w:val="002051A7"/>
    <w:rsid w:val="00207790"/>
    <w:rsid w:val="00210476"/>
    <w:rsid w:val="00210CFC"/>
    <w:rsid w:val="00210FBE"/>
    <w:rsid w:val="002111A6"/>
    <w:rsid w:val="002116B0"/>
    <w:rsid w:val="00212328"/>
    <w:rsid w:val="002125C8"/>
    <w:rsid w:val="00213205"/>
    <w:rsid w:val="002137AF"/>
    <w:rsid w:val="002174B0"/>
    <w:rsid w:val="00220787"/>
    <w:rsid w:val="002209DE"/>
    <w:rsid w:val="00220C5A"/>
    <w:rsid w:val="00221149"/>
    <w:rsid w:val="002213F5"/>
    <w:rsid w:val="00221727"/>
    <w:rsid w:val="0022310C"/>
    <w:rsid w:val="00223AA8"/>
    <w:rsid w:val="00223E30"/>
    <w:rsid w:val="00223EFE"/>
    <w:rsid w:val="00224257"/>
    <w:rsid w:val="00224D12"/>
    <w:rsid w:val="00225C4C"/>
    <w:rsid w:val="00226069"/>
    <w:rsid w:val="0023021B"/>
    <w:rsid w:val="0023070C"/>
    <w:rsid w:val="00230C6A"/>
    <w:rsid w:val="00232797"/>
    <w:rsid w:val="00233D53"/>
    <w:rsid w:val="002345B9"/>
    <w:rsid w:val="00234E0D"/>
    <w:rsid w:val="00235ECB"/>
    <w:rsid w:val="002378CD"/>
    <w:rsid w:val="00237A3F"/>
    <w:rsid w:val="00237A4A"/>
    <w:rsid w:val="00237C8C"/>
    <w:rsid w:val="002415FA"/>
    <w:rsid w:val="0024210D"/>
    <w:rsid w:val="00242508"/>
    <w:rsid w:val="00244C29"/>
    <w:rsid w:val="00244DB8"/>
    <w:rsid w:val="0024534F"/>
    <w:rsid w:val="00247B11"/>
    <w:rsid w:val="00250468"/>
    <w:rsid w:val="00250A0D"/>
    <w:rsid w:val="00250B6E"/>
    <w:rsid w:val="002512DB"/>
    <w:rsid w:val="002519B6"/>
    <w:rsid w:val="00252050"/>
    <w:rsid w:val="00252F4B"/>
    <w:rsid w:val="00253B74"/>
    <w:rsid w:val="00254492"/>
    <w:rsid w:val="002547E0"/>
    <w:rsid w:val="00255DBC"/>
    <w:rsid w:val="00256AC1"/>
    <w:rsid w:val="0025777A"/>
    <w:rsid w:val="00257B25"/>
    <w:rsid w:val="00260306"/>
    <w:rsid w:val="00261898"/>
    <w:rsid w:val="002621C5"/>
    <w:rsid w:val="00264014"/>
    <w:rsid w:val="0026501F"/>
    <w:rsid w:val="00265320"/>
    <w:rsid w:val="00266611"/>
    <w:rsid w:val="00266A0F"/>
    <w:rsid w:val="00267AE5"/>
    <w:rsid w:val="00267C8A"/>
    <w:rsid w:val="00267FDD"/>
    <w:rsid w:val="00271136"/>
    <w:rsid w:val="00272146"/>
    <w:rsid w:val="00272337"/>
    <w:rsid w:val="002724F0"/>
    <w:rsid w:val="00272E7E"/>
    <w:rsid w:val="00273219"/>
    <w:rsid w:val="00273A93"/>
    <w:rsid w:val="00273B37"/>
    <w:rsid w:val="00273F51"/>
    <w:rsid w:val="002742EA"/>
    <w:rsid w:val="0027449B"/>
    <w:rsid w:val="00274AFC"/>
    <w:rsid w:val="002753C4"/>
    <w:rsid w:val="00275C8F"/>
    <w:rsid w:val="00276641"/>
    <w:rsid w:val="00276C8A"/>
    <w:rsid w:val="002771C6"/>
    <w:rsid w:val="0028033D"/>
    <w:rsid w:val="0028114A"/>
    <w:rsid w:val="00282837"/>
    <w:rsid w:val="00282CF7"/>
    <w:rsid w:val="00283DD5"/>
    <w:rsid w:val="002848E9"/>
    <w:rsid w:val="002863B1"/>
    <w:rsid w:val="0028752B"/>
    <w:rsid w:val="00291777"/>
    <w:rsid w:val="0029384E"/>
    <w:rsid w:val="00294428"/>
    <w:rsid w:val="002961E2"/>
    <w:rsid w:val="00296372"/>
    <w:rsid w:val="002966F8"/>
    <w:rsid w:val="00296BF8"/>
    <w:rsid w:val="00297703"/>
    <w:rsid w:val="00297866"/>
    <w:rsid w:val="002978D5"/>
    <w:rsid w:val="002A3B25"/>
    <w:rsid w:val="002A4387"/>
    <w:rsid w:val="002A62BF"/>
    <w:rsid w:val="002A6815"/>
    <w:rsid w:val="002A6BFB"/>
    <w:rsid w:val="002A703D"/>
    <w:rsid w:val="002A7B39"/>
    <w:rsid w:val="002A7BB1"/>
    <w:rsid w:val="002A7FF7"/>
    <w:rsid w:val="002B0F05"/>
    <w:rsid w:val="002B35C4"/>
    <w:rsid w:val="002B36C2"/>
    <w:rsid w:val="002B43A7"/>
    <w:rsid w:val="002B59BE"/>
    <w:rsid w:val="002B5B32"/>
    <w:rsid w:val="002B65AB"/>
    <w:rsid w:val="002B696D"/>
    <w:rsid w:val="002B69BA"/>
    <w:rsid w:val="002C03FE"/>
    <w:rsid w:val="002C05A3"/>
    <w:rsid w:val="002C0FA0"/>
    <w:rsid w:val="002C4511"/>
    <w:rsid w:val="002C45C3"/>
    <w:rsid w:val="002C4DAE"/>
    <w:rsid w:val="002D2B5F"/>
    <w:rsid w:val="002D327B"/>
    <w:rsid w:val="002D41DD"/>
    <w:rsid w:val="002D65D4"/>
    <w:rsid w:val="002D6F7B"/>
    <w:rsid w:val="002D7418"/>
    <w:rsid w:val="002D7A27"/>
    <w:rsid w:val="002D7EA5"/>
    <w:rsid w:val="002E0BB0"/>
    <w:rsid w:val="002E1283"/>
    <w:rsid w:val="002E1660"/>
    <w:rsid w:val="002E379C"/>
    <w:rsid w:val="002E3DF1"/>
    <w:rsid w:val="002E43F6"/>
    <w:rsid w:val="002E44F8"/>
    <w:rsid w:val="002E4813"/>
    <w:rsid w:val="002E538C"/>
    <w:rsid w:val="002E5B7A"/>
    <w:rsid w:val="002E7C3E"/>
    <w:rsid w:val="002F074B"/>
    <w:rsid w:val="002F1C19"/>
    <w:rsid w:val="002F1C7D"/>
    <w:rsid w:val="002F1EC9"/>
    <w:rsid w:val="002F25EC"/>
    <w:rsid w:val="002F2A10"/>
    <w:rsid w:val="002F2EAB"/>
    <w:rsid w:val="002F30DD"/>
    <w:rsid w:val="002F3224"/>
    <w:rsid w:val="002F3350"/>
    <w:rsid w:val="002F4854"/>
    <w:rsid w:val="002F4A12"/>
    <w:rsid w:val="002F7D7D"/>
    <w:rsid w:val="00300067"/>
    <w:rsid w:val="00300B27"/>
    <w:rsid w:val="00300C47"/>
    <w:rsid w:val="0030123B"/>
    <w:rsid w:val="00301E0D"/>
    <w:rsid w:val="00301FAE"/>
    <w:rsid w:val="0030207A"/>
    <w:rsid w:val="003024CF"/>
    <w:rsid w:val="00302C43"/>
    <w:rsid w:val="00302E0F"/>
    <w:rsid w:val="00304831"/>
    <w:rsid w:val="003060DC"/>
    <w:rsid w:val="003061B0"/>
    <w:rsid w:val="00306470"/>
    <w:rsid w:val="00306BD3"/>
    <w:rsid w:val="0030744C"/>
    <w:rsid w:val="00311862"/>
    <w:rsid w:val="0031590A"/>
    <w:rsid w:val="00316961"/>
    <w:rsid w:val="00316D60"/>
    <w:rsid w:val="003172BB"/>
    <w:rsid w:val="003172E2"/>
    <w:rsid w:val="003176ED"/>
    <w:rsid w:val="00317F17"/>
    <w:rsid w:val="0032080F"/>
    <w:rsid w:val="00320A15"/>
    <w:rsid w:val="0032203C"/>
    <w:rsid w:val="00322208"/>
    <w:rsid w:val="00322DAB"/>
    <w:rsid w:val="003231CF"/>
    <w:rsid w:val="00323283"/>
    <w:rsid w:val="0032440B"/>
    <w:rsid w:val="003245F8"/>
    <w:rsid w:val="00325D47"/>
    <w:rsid w:val="00325EF1"/>
    <w:rsid w:val="00326169"/>
    <w:rsid w:val="0032696A"/>
    <w:rsid w:val="00327142"/>
    <w:rsid w:val="00327A6B"/>
    <w:rsid w:val="003302D2"/>
    <w:rsid w:val="00330EA4"/>
    <w:rsid w:val="00331CA4"/>
    <w:rsid w:val="00332A7C"/>
    <w:rsid w:val="00335C58"/>
    <w:rsid w:val="00336D5C"/>
    <w:rsid w:val="00337CFC"/>
    <w:rsid w:val="0034052E"/>
    <w:rsid w:val="003406B1"/>
    <w:rsid w:val="00343305"/>
    <w:rsid w:val="003443D3"/>
    <w:rsid w:val="003450CD"/>
    <w:rsid w:val="00345F35"/>
    <w:rsid w:val="00346A88"/>
    <w:rsid w:val="00347385"/>
    <w:rsid w:val="0035004F"/>
    <w:rsid w:val="003509CA"/>
    <w:rsid w:val="00350E73"/>
    <w:rsid w:val="00351734"/>
    <w:rsid w:val="00353063"/>
    <w:rsid w:val="00354055"/>
    <w:rsid w:val="00354FCF"/>
    <w:rsid w:val="003551E0"/>
    <w:rsid w:val="00355276"/>
    <w:rsid w:val="0035572B"/>
    <w:rsid w:val="00357EC3"/>
    <w:rsid w:val="00360830"/>
    <w:rsid w:val="00362C29"/>
    <w:rsid w:val="00364896"/>
    <w:rsid w:val="00366A2C"/>
    <w:rsid w:val="003704E3"/>
    <w:rsid w:val="00371456"/>
    <w:rsid w:val="00373AE9"/>
    <w:rsid w:val="00374506"/>
    <w:rsid w:val="0037495D"/>
    <w:rsid w:val="0037531B"/>
    <w:rsid w:val="00375819"/>
    <w:rsid w:val="00375C89"/>
    <w:rsid w:val="00376DAF"/>
    <w:rsid w:val="003778C0"/>
    <w:rsid w:val="0038085C"/>
    <w:rsid w:val="0038204A"/>
    <w:rsid w:val="00382469"/>
    <w:rsid w:val="003833FB"/>
    <w:rsid w:val="00383F8F"/>
    <w:rsid w:val="00384CD5"/>
    <w:rsid w:val="0038651D"/>
    <w:rsid w:val="00386D26"/>
    <w:rsid w:val="003872CB"/>
    <w:rsid w:val="00387AFC"/>
    <w:rsid w:val="00390290"/>
    <w:rsid w:val="0039216D"/>
    <w:rsid w:val="00392EBD"/>
    <w:rsid w:val="00393459"/>
    <w:rsid w:val="003943D1"/>
    <w:rsid w:val="0039449C"/>
    <w:rsid w:val="00395695"/>
    <w:rsid w:val="003966C3"/>
    <w:rsid w:val="00397EEA"/>
    <w:rsid w:val="003A0002"/>
    <w:rsid w:val="003A0295"/>
    <w:rsid w:val="003A0D83"/>
    <w:rsid w:val="003A192D"/>
    <w:rsid w:val="003A2A14"/>
    <w:rsid w:val="003A66E0"/>
    <w:rsid w:val="003A7FEB"/>
    <w:rsid w:val="003B086A"/>
    <w:rsid w:val="003B0D75"/>
    <w:rsid w:val="003B1BA1"/>
    <w:rsid w:val="003B25DE"/>
    <w:rsid w:val="003B2AF6"/>
    <w:rsid w:val="003B3207"/>
    <w:rsid w:val="003B35A9"/>
    <w:rsid w:val="003C04D7"/>
    <w:rsid w:val="003C1C20"/>
    <w:rsid w:val="003C238A"/>
    <w:rsid w:val="003C3325"/>
    <w:rsid w:val="003C61F3"/>
    <w:rsid w:val="003C6AB2"/>
    <w:rsid w:val="003C6CC8"/>
    <w:rsid w:val="003C7C29"/>
    <w:rsid w:val="003D0D2A"/>
    <w:rsid w:val="003D2606"/>
    <w:rsid w:val="003D39C7"/>
    <w:rsid w:val="003D3A50"/>
    <w:rsid w:val="003D45F5"/>
    <w:rsid w:val="003D4976"/>
    <w:rsid w:val="003D5A2E"/>
    <w:rsid w:val="003D6B60"/>
    <w:rsid w:val="003E010E"/>
    <w:rsid w:val="003E0A2C"/>
    <w:rsid w:val="003E10CB"/>
    <w:rsid w:val="003E14B9"/>
    <w:rsid w:val="003E1503"/>
    <w:rsid w:val="003E1D81"/>
    <w:rsid w:val="003E2F34"/>
    <w:rsid w:val="003E34A3"/>
    <w:rsid w:val="003E4757"/>
    <w:rsid w:val="003E5A45"/>
    <w:rsid w:val="003E5BF5"/>
    <w:rsid w:val="003E5CDB"/>
    <w:rsid w:val="003E639E"/>
    <w:rsid w:val="003E6D86"/>
    <w:rsid w:val="003E7874"/>
    <w:rsid w:val="003F0E1D"/>
    <w:rsid w:val="003F1C2D"/>
    <w:rsid w:val="003F3882"/>
    <w:rsid w:val="003F3F0B"/>
    <w:rsid w:val="003F60A3"/>
    <w:rsid w:val="003F7C8E"/>
    <w:rsid w:val="004001BE"/>
    <w:rsid w:val="0040124D"/>
    <w:rsid w:val="0040158B"/>
    <w:rsid w:val="004017C8"/>
    <w:rsid w:val="0040181A"/>
    <w:rsid w:val="004024C2"/>
    <w:rsid w:val="00403071"/>
    <w:rsid w:val="00404A7B"/>
    <w:rsid w:val="00405285"/>
    <w:rsid w:val="004068A7"/>
    <w:rsid w:val="00406C11"/>
    <w:rsid w:val="00407BBB"/>
    <w:rsid w:val="004106B2"/>
    <w:rsid w:val="00410940"/>
    <w:rsid w:val="00411C65"/>
    <w:rsid w:val="00412CBC"/>
    <w:rsid w:val="0041309B"/>
    <w:rsid w:val="00413524"/>
    <w:rsid w:val="00414D38"/>
    <w:rsid w:val="004155E3"/>
    <w:rsid w:val="004155E5"/>
    <w:rsid w:val="004156E2"/>
    <w:rsid w:val="00415AB5"/>
    <w:rsid w:val="00416478"/>
    <w:rsid w:val="0041776D"/>
    <w:rsid w:val="0041787E"/>
    <w:rsid w:val="00417AAE"/>
    <w:rsid w:val="00420875"/>
    <w:rsid w:val="0042230B"/>
    <w:rsid w:val="00422571"/>
    <w:rsid w:val="0042388D"/>
    <w:rsid w:val="00423987"/>
    <w:rsid w:val="00423A23"/>
    <w:rsid w:val="00423E96"/>
    <w:rsid w:val="00425038"/>
    <w:rsid w:val="004257B7"/>
    <w:rsid w:val="00425FF2"/>
    <w:rsid w:val="0042688F"/>
    <w:rsid w:val="00427ABD"/>
    <w:rsid w:val="00430409"/>
    <w:rsid w:val="0043159B"/>
    <w:rsid w:val="004317AB"/>
    <w:rsid w:val="00431DBF"/>
    <w:rsid w:val="00431DD7"/>
    <w:rsid w:val="004332B6"/>
    <w:rsid w:val="00433512"/>
    <w:rsid w:val="0043432D"/>
    <w:rsid w:val="00436731"/>
    <w:rsid w:val="00437842"/>
    <w:rsid w:val="0044122A"/>
    <w:rsid w:val="00441669"/>
    <w:rsid w:val="00441977"/>
    <w:rsid w:val="00441D7B"/>
    <w:rsid w:val="00442D54"/>
    <w:rsid w:val="00443223"/>
    <w:rsid w:val="00444250"/>
    <w:rsid w:val="00444298"/>
    <w:rsid w:val="00444D04"/>
    <w:rsid w:val="004456C5"/>
    <w:rsid w:val="004468DE"/>
    <w:rsid w:val="004474B0"/>
    <w:rsid w:val="0045339E"/>
    <w:rsid w:val="00454666"/>
    <w:rsid w:val="004547F6"/>
    <w:rsid w:val="004550FE"/>
    <w:rsid w:val="004553E0"/>
    <w:rsid w:val="0045662E"/>
    <w:rsid w:val="004574A4"/>
    <w:rsid w:val="00460822"/>
    <w:rsid w:val="004623CD"/>
    <w:rsid w:val="00462840"/>
    <w:rsid w:val="00463236"/>
    <w:rsid w:val="00463834"/>
    <w:rsid w:val="00464609"/>
    <w:rsid w:val="004657D3"/>
    <w:rsid w:val="0046690A"/>
    <w:rsid w:val="0046782F"/>
    <w:rsid w:val="00470DC3"/>
    <w:rsid w:val="00471E1E"/>
    <w:rsid w:val="00471E76"/>
    <w:rsid w:val="0047278F"/>
    <w:rsid w:val="004730E4"/>
    <w:rsid w:val="00473CE1"/>
    <w:rsid w:val="004754EA"/>
    <w:rsid w:val="0047566E"/>
    <w:rsid w:val="0047590B"/>
    <w:rsid w:val="00477CE4"/>
    <w:rsid w:val="00481E3C"/>
    <w:rsid w:val="004846F1"/>
    <w:rsid w:val="0048597E"/>
    <w:rsid w:val="00486C3B"/>
    <w:rsid w:val="00487FE6"/>
    <w:rsid w:val="00490AD1"/>
    <w:rsid w:val="00490F98"/>
    <w:rsid w:val="00491349"/>
    <w:rsid w:val="004918C7"/>
    <w:rsid w:val="00493684"/>
    <w:rsid w:val="00493DFE"/>
    <w:rsid w:val="00493E48"/>
    <w:rsid w:val="004961E7"/>
    <w:rsid w:val="00496ACE"/>
    <w:rsid w:val="00497530"/>
    <w:rsid w:val="004A00FD"/>
    <w:rsid w:val="004A0307"/>
    <w:rsid w:val="004A570C"/>
    <w:rsid w:val="004A5A7A"/>
    <w:rsid w:val="004A5CFF"/>
    <w:rsid w:val="004A61D7"/>
    <w:rsid w:val="004A6B5A"/>
    <w:rsid w:val="004A7113"/>
    <w:rsid w:val="004B1026"/>
    <w:rsid w:val="004B13F6"/>
    <w:rsid w:val="004B4A16"/>
    <w:rsid w:val="004B532B"/>
    <w:rsid w:val="004B5992"/>
    <w:rsid w:val="004B6259"/>
    <w:rsid w:val="004B6DC3"/>
    <w:rsid w:val="004C093C"/>
    <w:rsid w:val="004C0B7A"/>
    <w:rsid w:val="004C0CA0"/>
    <w:rsid w:val="004C17D4"/>
    <w:rsid w:val="004C48B9"/>
    <w:rsid w:val="004C5B48"/>
    <w:rsid w:val="004C6493"/>
    <w:rsid w:val="004C7371"/>
    <w:rsid w:val="004D11A6"/>
    <w:rsid w:val="004D1489"/>
    <w:rsid w:val="004D2147"/>
    <w:rsid w:val="004D2BAF"/>
    <w:rsid w:val="004D2D8E"/>
    <w:rsid w:val="004D2F54"/>
    <w:rsid w:val="004D3590"/>
    <w:rsid w:val="004D46E8"/>
    <w:rsid w:val="004D4879"/>
    <w:rsid w:val="004D6A1A"/>
    <w:rsid w:val="004D7112"/>
    <w:rsid w:val="004D7397"/>
    <w:rsid w:val="004D7C23"/>
    <w:rsid w:val="004D7F2C"/>
    <w:rsid w:val="004E07B6"/>
    <w:rsid w:val="004E0B6D"/>
    <w:rsid w:val="004E3883"/>
    <w:rsid w:val="004E5196"/>
    <w:rsid w:val="004E5F22"/>
    <w:rsid w:val="004E63AF"/>
    <w:rsid w:val="004E6F61"/>
    <w:rsid w:val="004E7520"/>
    <w:rsid w:val="004F01A5"/>
    <w:rsid w:val="004F04DD"/>
    <w:rsid w:val="004F2CC5"/>
    <w:rsid w:val="004F3096"/>
    <w:rsid w:val="004F3159"/>
    <w:rsid w:val="004F32CF"/>
    <w:rsid w:val="004F411F"/>
    <w:rsid w:val="004F4565"/>
    <w:rsid w:val="004F60D3"/>
    <w:rsid w:val="004F6180"/>
    <w:rsid w:val="004F6E7E"/>
    <w:rsid w:val="004F7234"/>
    <w:rsid w:val="004F7D8F"/>
    <w:rsid w:val="00500A84"/>
    <w:rsid w:val="0050182A"/>
    <w:rsid w:val="00501CED"/>
    <w:rsid w:val="00501F56"/>
    <w:rsid w:val="0050264E"/>
    <w:rsid w:val="00502DB5"/>
    <w:rsid w:val="0050431E"/>
    <w:rsid w:val="005053C1"/>
    <w:rsid w:val="00506ECC"/>
    <w:rsid w:val="00507E4D"/>
    <w:rsid w:val="00510062"/>
    <w:rsid w:val="00510D3F"/>
    <w:rsid w:val="00511E18"/>
    <w:rsid w:val="00512B77"/>
    <w:rsid w:val="00512C56"/>
    <w:rsid w:val="00513FAD"/>
    <w:rsid w:val="0051457F"/>
    <w:rsid w:val="00515ADE"/>
    <w:rsid w:val="00515E63"/>
    <w:rsid w:val="005176F4"/>
    <w:rsid w:val="005203BA"/>
    <w:rsid w:val="00521222"/>
    <w:rsid w:val="005220F8"/>
    <w:rsid w:val="00522932"/>
    <w:rsid w:val="00524A84"/>
    <w:rsid w:val="0052539A"/>
    <w:rsid w:val="005309DD"/>
    <w:rsid w:val="00530FB6"/>
    <w:rsid w:val="005330CB"/>
    <w:rsid w:val="0053320F"/>
    <w:rsid w:val="00534033"/>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7AD0"/>
    <w:rsid w:val="005500AA"/>
    <w:rsid w:val="0055098B"/>
    <w:rsid w:val="005509F0"/>
    <w:rsid w:val="00551012"/>
    <w:rsid w:val="005510FB"/>
    <w:rsid w:val="00552E36"/>
    <w:rsid w:val="00553778"/>
    <w:rsid w:val="00553AC5"/>
    <w:rsid w:val="00554646"/>
    <w:rsid w:val="00554791"/>
    <w:rsid w:val="005555A0"/>
    <w:rsid w:val="00555F0D"/>
    <w:rsid w:val="00556659"/>
    <w:rsid w:val="005573C6"/>
    <w:rsid w:val="005576E1"/>
    <w:rsid w:val="00557D72"/>
    <w:rsid w:val="0056006F"/>
    <w:rsid w:val="0056050F"/>
    <w:rsid w:val="00560BBE"/>
    <w:rsid w:val="005616DD"/>
    <w:rsid w:val="0056216F"/>
    <w:rsid w:val="005627E9"/>
    <w:rsid w:val="0056358D"/>
    <w:rsid w:val="005642D3"/>
    <w:rsid w:val="0056547C"/>
    <w:rsid w:val="005668B8"/>
    <w:rsid w:val="00566FE3"/>
    <w:rsid w:val="005676F6"/>
    <w:rsid w:val="005715AF"/>
    <w:rsid w:val="005722F7"/>
    <w:rsid w:val="00572506"/>
    <w:rsid w:val="00573AC9"/>
    <w:rsid w:val="005744F5"/>
    <w:rsid w:val="00575980"/>
    <w:rsid w:val="0057772D"/>
    <w:rsid w:val="00577DC0"/>
    <w:rsid w:val="005801CF"/>
    <w:rsid w:val="005812BF"/>
    <w:rsid w:val="00581303"/>
    <w:rsid w:val="0058175E"/>
    <w:rsid w:val="00581DBA"/>
    <w:rsid w:val="00581F60"/>
    <w:rsid w:val="005829C2"/>
    <w:rsid w:val="00582A46"/>
    <w:rsid w:val="0058322B"/>
    <w:rsid w:val="00583A5C"/>
    <w:rsid w:val="0058471F"/>
    <w:rsid w:val="0058487A"/>
    <w:rsid w:val="00584CA1"/>
    <w:rsid w:val="00584FAC"/>
    <w:rsid w:val="0058509C"/>
    <w:rsid w:val="00585E3F"/>
    <w:rsid w:val="005866B9"/>
    <w:rsid w:val="00586C6D"/>
    <w:rsid w:val="00587960"/>
    <w:rsid w:val="0059167F"/>
    <w:rsid w:val="00592CFD"/>
    <w:rsid w:val="00593C8A"/>
    <w:rsid w:val="00594467"/>
    <w:rsid w:val="00594F66"/>
    <w:rsid w:val="005960B9"/>
    <w:rsid w:val="00596DDA"/>
    <w:rsid w:val="005A1806"/>
    <w:rsid w:val="005A20E0"/>
    <w:rsid w:val="005A32F2"/>
    <w:rsid w:val="005A3DFC"/>
    <w:rsid w:val="005A43AB"/>
    <w:rsid w:val="005A4657"/>
    <w:rsid w:val="005A500A"/>
    <w:rsid w:val="005A5A7B"/>
    <w:rsid w:val="005A5B0F"/>
    <w:rsid w:val="005A5C13"/>
    <w:rsid w:val="005A69F8"/>
    <w:rsid w:val="005A6B45"/>
    <w:rsid w:val="005A7B9D"/>
    <w:rsid w:val="005B0579"/>
    <w:rsid w:val="005B1890"/>
    <w:rsid w:val="005B1BD9"/>
    <w:rsid w:val="005B1C32"/>
    <w:rsid w:val="005B2863"/>
    <w:rsid w:val="005B314D"/>
    <w:rsid w:val="005B353B"/>
    <w:rsid w:val="005B3CE3"/>
    <w:rsid w:val="005B51A3"/>
    <w:rsid w:val="005B547C"/>
    <w:rsid w:val="005B556C"/>
    <w:rsid w:val="005B65A5"/>
    <w:rsid w:val="005B67BE"/>
    <w:rsid w:val="005B6F20"/>
    <w:rsid w:val="005B6F3F"/>
    <w:rsid w:val="005B7116"/>
    <w:rsid w:val="005C03AE"/>
    <w:rsid w:val="005C1784"/>
    <w:rsid w:val="005C3D94"/>
    <w:rsid w:val="005C50A4"/>
    <w:rsid w:val="005C50D1"/>
    <w:rsid w:val="005C5EE5"/>
    <w:rsid w:val="005C6C4F"/>
    <w:rsid w:val="005C71CC"/>
    <w:rsid w:val="005D000E"/>
    <w:rsid w:val="005D035F"/>
    <w:rsid w:val="005D2A79"/>
    <w:rsid w:val="005D3C04"/>
    <w:rsid w:val="005D62E5"/>
    <w:rsid w:val="005D6E2E"/>
    <w:rsid w:val="005D7216"/>
    <w:rsid w:val="005E032C"/>
    <w:rsid w:val="005E12F7"/>
    <w:rsid w:val="005E2AAE"/>
    <w:rsid w:val="005E2B0D"/>
    <w:rsid w:val="005E37E1"/>
    <w:rsid w:val="005E548A"/>
    <w:rsid w:val="005E5BCC"/>
    <w:rsid w:val="005E5CCE"/>
    <w:rsid w:val="005E6CCC"/>
    <w:rsid w:val="005E7CD6"/>
    <w:rsid w:val="005F08B4"/>
    <w:rsid w:val="005F1247"/>
    <w:rsid w:val="005F19BB"/>
    <w:rsid w:val="005F21FE"/>
    <w:rsid w:val="005F3B5B"/>
    <w:rsid w:val="005F6909"/>
    <w:rsid w:val="005F6B51"/>
    <w:rsid w:val="005F6C88"/>
    <w:rsid w:val="0060005D"/>
    <w:rsid w:val="006022C0"/>
    <w:rsid w:val="00602E42"/>
    <w:rsid w:val="00603657"/>
    <w:rsid w:val="00603BB4"/>
    <w:rsid w:val="00604448"/>
    <w:rsid w:val="0060479B"/>
    <w:rsid w:val="00606A55"/>
    <w:rsid w:val="00611427"/>
    <w:rsid w:val="00611AC2"/>
    <w:rsid w:val="00611FFE"/>
    <w:rsid w:val="00613265"/>
    <w:rsid w:val="00613BB6"/>
    <w:rsid w:val="00614277"/>
    <w:rsid w:val="0061572C"/>
    <w:rsid w:val="00615E79"/>
    <w:rsid w:val="00616D0D"/>
    <w:rsid w:val="0061777B"/>
    <w:rsid w:val="006230C4"/>
    <w:rsid w:val="00623AB9"/>
    <w:rsid w:val="00624066"/>
    <w:rsid w:val="0062454A"/>
    <w:rsid w:val="00624620"/>
    <w:rsid w:val="00624946"/>
    <w:rsid w:val="00625173"/>
    <w:rsid w:val="00626D5A"/>
    <w:rsid w:val="00630CCB"/>
    <w:rsid w:val="00631E71"/>
    <w:rsid w:val="00633481"/>
    <w:rsid w:val="0063350A"/>
    <w:rsid w:val="006340A0"/>
    <w:rsid w:val="00634FB6"/>
    <w:rsid w:val="0063581A"/>
    <w:rsid w:val="00636BF4"/>
    <w:rsid w:val="00637462"/>
    <w:rsid w:val="00637FE9"/>
    <w:rsid w:val="00640597"/>
    <w:rsid w:val="00642CB1"/>
    <w:rsid w:val="00642DD8"/>
    <w:rsid w:val="006431A9"/>
    <w:rsid w:val="0064508B"/>
    <w:rsid w:val="00645AD7"/>
    <w:rsid w:val="006460E3"/>
    <w:rsid w:val="006466DF"/>
    <w:rsid w:val="00647100"/>
    <w:rsid w:val="006518D0"/>
    <w:rsid w:val="00651A0E"/>
    <w:rsid w:val="00652156"/>
    <w:rsid w:val="00652393"/>
    <w:rsid w:val="00654202"/>
    <w:rsid w:val="00656003"/>
    <w:rsid w:val="00656BB0"/>
    <w:rsid w:val="00657150"/>
    <w:rsid w:val="006571DD"/>
    <w:rsid w:val="0065774D"/>
    <w:rsid w:val="0065792C"/>
    <w:rsid w:val="00661AA7"/>
    <w:rsid w:val="00662E32"/>
    <w:rsid w:val="00663326"/>
    <w:rsid w:val="00663389"/>
    <w:rsid w:val="00663D53"/>
    <w:rsid w:val="0066668A"/>
    <w:rsid w:val="006667F3"/>
    <w:rsid w:val="00667CAB"/>
    <w:rsid w:val="00667ECF"/>
    <w:rsid w:val="00670A4C"/>
    <w:rsid w:val="00670BE1"/>
    <w:rsid w:val="00671279"/>
    <w:rsid w:val="00671C4A"/>
    <w:rsid w:val="00674641"/>
    <w:rsid w:val="00675065"/>
    <w:rsid w:val="00675563"/>
    <w:rsid w:val="00675DAD"/>
    <w:rsid w:val="00677550"/>
    <w:rsid w:val="00680C32"/>
    <w:rsid w:val="00681953"/>
    <w:rsid w:val="00682389"/>
    <w:rsid w:val="0068245E"/>
    <w:rsid w:val="00682782"/>
    <w:rsid w:val="00682FD8"/>
    <w:rsid w:val="006834DA"/>
    <w:rsid w:val="00683A85"/>
    <w:rsid w:val="006851CF"/>
    <w:rsid w:val="00685346"/>
    <w:rsid w:val="00685B24"/>
    <w:rsid w:val="0068677F"/>
    <w:rsid w:val="006870E8"/>
    <w:rsid w:val="006879AE"/>
    <w:rsid w:val="00690BC5"/>
    <w:rsid w:val="00690C8E"/>
    <w:rsid w:val="00691341"/>
    <w:rsid w:val="00691D24"/>
    <w:rsid w:val="006933DD"/>
    <w:rsid w:val="0069471D"/>
    <w:rsid w:val="0069553A"/>
    <w:rsid w:val="00695670"/>
    <w:rsid w:val="0069576A"/>
    <w:rsid w:val="00695E20"/>
    <w:rsid w:val="00695F87"/>
    <w:rsid w:val="006962BE"/>
    <w:rsid w:val="006969FB"/>
    <w:rsid w:val="00697CAC"/>
    <w:rsid w:val="006A2D90"/>
    <w:rsid w:val="006A3BA0"/>
    <w:rsid w:val="006A4EC6"/>
    <w:rsid w:val="006A6B87"/>
    <w:rsid w:val="006A6DF3"/>
    <w:rsid w:val="006A7769"/>
    <w:rsid w:val="006B1C04"/>
    <w:rsid w:val="006B20D5"/>
    <w:rsid w:val="006B34F6"/>
    <w:rsid w:val="006B351D"/>
    <w:rsid w:val="006B4952"/>
    <w:rsid w:val="006B4B33"/>
    <w:rsid w:val="006B59AB"/>
    <w:rsid w:val="006B5EA1"/>
    <w:rsid w:val="006B62C2"/>
    <w:rsid w:val="006B6316"/>
    <w:rsid w:val="006B6C2F"/>
    <w:rsid w:val="006B7F10"/>
    <w:rsid w:val="006C042B"/>
    <w:rsid w:val="006C1771"/>
    <w:rsid w:val="006C2543"/>
    <w:rsid w:val="006C2A45"/>
    <w:rsid w:val="006C342D"/>
    <w:rsid w:val="006C36CA"/>
    <w:rsid w:val="006C4042"/>
    <w:rsid w:val="006C499D"/>
    <w:rsid w:val="006C53CF"/>
    <w:rsid w:val="006C56D9"/>
    <w:rsid w:val="006C5AB4"/>
    <w:rsid w:val="006C6430"/>
    <w:rsid w:val="006C6C85"/>
    <w:rsid w:val="006C700A"/>
    <w:rsid w:val="006C7C59"/>
    <w:rsid w:val="006D0312"/>
    <w:rsid w:val="006D06D5"/>
    <w:rsid w:val="006D214E"/>
    <w:rsid w:val="006D2DEA"/>
    <w:rsid w:val="006D2E9C"/>
    <w:rsid w:val="006D30BC"/>
    <w:rsid w:val="006D32F5"/>
    <w:rsid w:val="006D4F2A"/>
    <w:rsid w:val="006E1A0E"/>
    <w:rsid w:val="006E1ECB"/>
    <w:rsid w:val="006E2F77"/>
    <w:rsid w:val="006E4BD6"/>
    <w:rsid w:val="006E6241"/>
    <w:rsid w:val="006E6E8B"/>
    <w:rsid w:val="006E7C76"/>
    <w:rsid w:val="006F012C"/>
    <w:rsid w:val="006F024F"/>
    <w:rsid w:val="006F04CD"/>
    <w:rsid w:val="006F07C9"/>
    <w:rsid w:val="006F0A6B"/>
    <w:rsid w:val="006F0F75"/>
    <w:rsid w:val="006F23BF"/>
    <w:rsid w:val="006F3496"/>
    <w:rsid w:val="006F4633"/>
    <w:rsid w:val="006F5AC8"/>
    <w:rsid w:val="006F5F50"/>
    <w:rsid w:val="006F721C"/>
    <w:rsid w:val="006F7A75"/>
    <w:rsid w:val="00703132"/>
    <w:rsid w:val="00703A4A"/>
    <w:rsid w:val="00703F7A"/>
    <w:rsid w:val="00704218"/>
    <w:rsid w:val="0070472C"/>
    <w:rsid w:val="00706102"/>
    <w:rsid w:val="00706B38"/>
    <w:rsid w:val="00707599"/>
    <w:rsid w:val="00711356"/>
    <w:rsid w:val="00712840"/>
    <w:rsid w:val="00712F22"/>
    <w:rsid w:val="00713B6F"/>
    <w:rsid w:val="00713D33"/>
    <w:rsid w:val="00716375"/>
    <w:rsid w:val="007170E9"/>
    <w:rsid w:val="00717B21"/>
    <w:rsid w:val="00721876"/>
    <w:rsid w:val="007240F9"/>
    <w:rsid w:val="00724763"/>
    <w:rsid w:val="007303C2"/>
    <w:rsid w:val="0073139F"/>
    <w:rsid w:val="007324E2"/>
    <w:rsid w:val="007326D4"/>
    <w:rsid w:val="00733D26"/>
    <w:rsid w:val="00733E96"/>
    <w:rsid w:val="00733F1D"/>
    <w:rsid w:val="00734BE2"/>
    <w:rsid w:val="00734DBA"/>
    <w:rsid w:val="0073652C"/>
    <w:rsid w:val="007405AB"/>
    <w:rsid w:val="007407CA"/>
    <w:rsid w:val="00740862"/>
    <w:rsid w:val="00740ED2"/>
    <w:rsid w:val="0074169B"/>
    <w:rsid w:val="00742326"/>
    <w:rsid w:val="007426D7"/>
    <w:rsid w:val="007439E8"/>
    <w:rsid w:val="00743F8B"/>
    <w:rsid w:val="00744F02"/>
    <w:rsid w:val="00747EE2"/>
    <w:rsid w:val="007552A7"/>
    <w:rsid w:val="007566E2"/>
    <w:rsid w:val="00757FC1"/>
    <w:rsid w:val="00760265"/>
    <w:rsid w:val="007610A3"/>
    <w:rsid w:val="00762239"/>
    <w:rsid w:val="00763522"/>
    <w:rsid w:val="00763B46"/>
    <w:rsid w:val="00764A6D"/>
    <w:rsid w:val="00767121"/>
    <w:rsid w:val="00770983"/>
    <w:rsid w:val="00770A23"/>
    <w:rsid w:val="00770D89"/>
    <w:rsid w:val="00771FBD"/>
    <w:rsid w:val="00772751"/>
    <w:rsid w:val="00772BFA"/>
    <w:rsid w:val="007732E5"/>
    <w:rsid w:val="007735B7"/>
    <w:rsid w:val="00773A1F"/>
    <w:rsid w:val="007750D4"/>
    <w:rsid w:val="00775725"/>
    <w:rsid w:val="00775864"/>
    <w:rsid w:val="00775EAC"/>
    <w:rsid w:val="00776280"/>
    <w:rsid w:val="00776AE7"/>
    <w:rsid w:val="00780B78"/>
    <w:rsid w:val="0078129F"/>
    <w:rsid w:val="00781798"/>
    <w:rsid w:val="00781A2A"/>
    <w:rsid w:val="00785619"/>
    <w:rsid w:val="0079003B"/>
    <w:rsid w:val="00791F35"/>
    <w:rsid w:val="0079398D"/>
    <w:rsid w:val="00795CAA"/>
    <w:rsid w:val="00797959"/>
    <w:rsid w:val="007A0298"/>
    <w:rsid w:val="007A0EED"/>
    <w:rsid w:val="007A1F61"/>
    <w:rsid w:val="007A2D00"/>
    <w:rsid w:val="007A3092"/>
    <w:rsid w:val="007A3396"/>
    <w:rsid w:val="007A3433"/>
    <w:rsid w:val="007A4657"/>
    <w:rsid w:val="007A494D"/>
    <w:rsid w:val="007A5B38"/>
    <w:rsid w:val="007A5FCD"/>
    <w:rsid w:val="007A700D"/>
    <w:rsid w:val="007A7AC5"/>
    <w:rsid w:val="007A7ACC"/>
    <w:rsid w:val="007B0FCA"/>
    <w:rsid w:val="007B1707"/>
    <w:rsid w:val="007B1F48"/>
    <w:rsid w:val="007B2234"/>
    <w:rsid w:val="007B29C8"/>
    <w:rsid w:val="007B315E"/>
    <w:rsid w:val="007B3988"/>
    <w:rsid w:val="007B3AF9"/>
    <w:rsid w:val="007B4190"/>
    <w:rsid w:val="007B48DF"/>
    <w:rsid w:val="007B5A22"/>
    <w:rsid w:val="007B7795"/>
    <w:rsid w:val="007C1E2E"/>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4F1F"/>
    <w:rsid w:val="007D5763"/>
    <w:rsid w:val="007D596E"/>
    <w:rsid w:val="007D622E"/>
    <w:rsid w:val="007D6288"/>
    <w:rsid w:val="007D7193"/>
    <w:rsid w:val="007D7958"/>
    <w:rsid w:val="007D7D00"/>
    <w:rsid w:val="007E1576"/>
    <w:rsid w:val="007E1F6F"/>
    <w:rsid w:val="007E2BD2"/>
    <w:rsid w:val="007E5F41"/>
    <w:rsid w:val="007E6311"/>
    <w:rsid w:val="007E67E1"/>
    <w:rsid w:val="007E6CF2"/>
    <w:rsid w:val="007F0BE0"/>
    <w:rsid w:val="007F1EB4"/>
    <w:rsid w:val="007F2806"/>
    <w:rsid w:val="007F3E45"/>
    <w:rsid w:val="007F5493"/>
    <w:rsid w:val="007F575C"/>
    <w:rsid w:val="007F5B53"/>
    <w:rsid w:val="007F60D5"/>
    <w:rsid w:val="007F6DC7"/>
    <w:rsid w:val="0080075E"/>
    <w:rsid w:val="00801D61"/>
    <w:rsid w:val="00802948"/>
    <w:rsid w:val="00802AAC"/>
    <w:rsid w:val="00802C21"/>
    <w:rsid w:val="0080415A"/>
    <w:rsid w:val="0080458B"/>
    <w:rsid w:val="00804B88"/>
    <w:rsid w:val="0080565C"/>
    <w:rsid w:val="00806FED"/>
    <w:rsid w:val="008103CB"/>
    <w:rsid w:val="00811115"/>
    <w:rsid w:val="00812256"/>
    <w:rsid w:val="008122DE"/>
    <w:rsid w:val="0081317D"/>
    <w:rsid w:val="008134C7"/>
    <w:rsid w:val="008139EB"/>
    <w:rsid w:val="00813D5F"/>
    <w:rsid w:val="00813DB9"/>
    <w:rsid w:val="00814CAE"/>
    <w:rsid w:val="008150A6"/>
    <w:rsid w:val="008151E2"/>
    <w:rsid w:val="00816091"/>
    <w:rsid w:val="00816182"/>
    <w:rsid w:val="00816710"/>
    <w:rsid w:val="00817ADF"/>
    <w:rsid w:val="00817BD7"/>
    <w:rsid w:val="00820427"/>
    <w:rsid w:val="008216A5"/>
    <w:rsid w:val="00821BA2"/>
    <w:rsid w:val="00822824"/>
    <w:rsid w:val="008228B9"/>
    <w:rsid w:val="008235CB"/>
    <w:rsid w:val="00824639"/>
    <w:rsid w:val="00826479"/>
    <w:rsid w:val="0082672E"/>
    <w:rsid w:val="00826C95"/>
    <w:rsid w:val="00826CD6"/>
    <w:rsid w:val="0082787B"/>
    <w:rsid w:val="008300CC"/>
    <w:rsid w:val="00830864"/>
    <w:rsid w:val="00830C3A"/>
    <w:rsid w:val="00830FB7"/>
    <w:rsid w:val="00832019"/>
    <w:rsid w:val="00832985"/>
    <w:rsid w:val="008332CE"/>
    <w:rsid w:val="00834535"/>
    <w:rsid w:val="008345B9"/>
    <w:rsid w:val="008354ED"/>
    <w:rsid w:val="00835BD3"/>
    <w:rsid w:val="00835DAD"/>
    <w:rsid w:val="00836FBF"/>
    <w:rsid w:val="008376EF"/>
    <w:rsid w:val="00837760"/>
    <w:rsid w:val="00837F02"/>
    <w:rsid w:val="00840D8B"/>
    <w:rsid w:val="00840EF2"/>
    <w:rsid w:val="00841769"/>
    <w:rsid w:val="008425ED"/>
    <w:rsid w:val="00842D6E"/>
    <w:rsid w:val="00843A87"/>
    <w:rsid w:val="00843C41"/>
    <w:rsid w:val="0084500E"/>
    <w:rsid w:val="0084507E"/>
    <w:rsid w:val="00845138"/>
    <w:rsid w:val="008455FB"/>
    <w:rsid w:val="0084584F"/>
    <w:rsid w:val="008479F5"/>
    <w:rsid w:val="00847D2D"/>
    <w:rsid w:val="00847DB4"/>
    <w:rsid w:val="00850403"/>
    <w:rsid w:val="00850BC8"/>
    <w:rsid w:val="00850E33"/>
    <w:rsid w:val="0085172A"/>
    <w:rsid w:val="008563C4"/>
    <w:rsid w:val="00856715"/>
    <w:rsid w:val="00856DC0"/>
    <w:rsid w:val="008607CA"/>
    <w:rsid w:val="00861CE7"/>
    <w:rsid w:val="00862494"/>
    <w:rsid w:val="00862E46"/>
    <w:rsid w:val="00864476"/>
    <w:rsid w:val="00864D01"/>
    <w:rsid w:val="00865BFC"/>
    <w:rsid w:val="00870585"/>
    <w:rsid w:val="008710F5"/>
    <w:rsid w:val="00871223"/>
    <w:rsid w:val="00872FF4"/>
    <w:rsid w:val="0087394A"/>
    <w:rsid w:val="00873EAC"/>
    <w:rsid w:val="00874D32"/>
    <w:rsid w:val="00880D1C"/>
    <w:rsid w:val="00880EB6"/>
    <w:rsid w:val="00881B84"/>
    <w:rsid w:val="00882D57"/>
    <w:rsid w:val="00882EC8"/>
    <w:rsid w:val="00885CC3"/>
    <w:rsid w:val="00886362"/>
    <w:rsid w:val="008876A3"/>
    <w:rsid w:val="00887DFB"/>
    <w:rsid w:val="00890158"/>
    <w:rsid w:val="0089283A"/>
    <w:rsid w:val="00892ADC"/>
    <w:rsid w:val="008931DF"/>
    <w:rsid w:val="00893813"/>
    <w:rsid w:val="0089384C"/>
    <w:rsid w:val="0089564B"/>
    <w:rsid w:val="008957F7"/>
    <w:rsid w:val="0089658C"/>
    <w:rsid w:val="00897000"/>
    <w:rsid w:val="008A06A4"/>
    <w:rsid w:val="008A0739"/>
    <w:rsid w:val="008A2458"/>
    <w:rsid w:val="008A3682"/>
    <w:rsid w:val="008A4461"/>
    <w:rsid w:val="008A66B8"/>
    <w:rsid w:val="008A73F7"/>
    <w:rsid w:val="008A7EED"/>
    <w:rsid w:val="008B19B3"/>
    <w:rsid w:val="008B25E6"/>
    <w:rsid w:val="008B2B1D"/>
    <w:rsid w:val="008B3358"/>
    <w:rsid w:val="008B4DEE"/>
    <w:rsid w:val="008B5009"/>
    <w:rsid w:val="008B5D80"/>
    <w:rsid w:val="008B6049"/>
    <w:rsid w:val="008B6C0C"/>
    <w:rsid w:val="008B767F"/>
    <w:rsid w:val="008B77B1"/>
    <w:rsid w:val="008B7C8C"/>
    <w:rsid w:val="008B7E45"/>
    <w:rsid w:val="008C0552"/>
    <w:rsid w:val="008C1237"/>
    <w:rsid w:val="008C1D9E"/>
    <w:rsid w:val="008C64FB"/>
    <w:rsid w:val="008C65D8"/>
    <w:rsid w:val="008C771B"/>
    <w:rsid w:val="008C77A4"/>
    <w:rsid w:val="008D0DB7"/>
    <w:rsid w:val="008D2DAF"/>
    <w:rsid w:val="008D41F7"/>
    <w:rsid w:val="008D4EEC"/>
    <w:rsid w:val="008D5B0C"/>
    <w:rsid w:val="008D5BFC"/>
    <w:rsid w:val="008D5CF3"/>
    <w:rsid w:val="008E151C"/>
    <w:rsid w:val="008E1C91"/>
    <w:rsid w:val="008E2EFF"/>
    <w:rsid w:val="008E3B9E"/>
    <w:rsid w:val="008E4E0F"/>
    <w:rsid w:val="008E5935"/>
    <w:rsid w:val="008E5F58"/>
    <w:rsid w:val="008E725C"/>
    <w:rsid w:val="008E738E"/>
    <w:rsid w:val="008F0A84"/>
    <w:rsid w:val="008F0CC3"/>
    <w:rsid w:val="008F175B"/>
    <w:rsid w:val="008F30EA"/>
    <w:rsid w:val="008F3F50"/>
    <w:rsid w:val="008F44C7"/>
    <w:rsid w:val="008F46A2"/>
    <w:rsid w:val="008F5035"/>
    <w:rsid w:val="008F5056"/>
    <w:rsid w:val="008F63B3"/>
    <w:rsid w:val="008F6954"/>
    <w:rsid w:val="008F721D"/>
    <w:rsid w:val="008F7E0B"/>
    <w:rsid w:val="00900C2F"/>
    <w:rsid w:val="00901691"/>
    <w:rsid w:val="0090408F"/>
    <w:rsid w:val="009056F5"/>
    <w:rsid w:val="0090667E"/>
    <w:rsid w:val="009066DC"/>
    <w:rsid w:val="00906F8A"/>
    <w:rsid w:val="00907CF6"/>
    <w:rsid w:val="009104E4"/>
    <w:rsid w:val="00910A37"/>
    <w:rsid w:val="00911C4C"/>
    <w:rsid w:val="00913EA0"/>
    <w:rsid w:val="00915570"/>
    <w:rsid w:val="0091611D"/>
    <w:rsid w:val="00916267"/>
    <w:rsid w:val="00917373"/>
    <w:rsid w:val="009173A3"/>
    <w:rsid w:val="00917B62"/>
    <w:rsid w:val="00920165"/>
    <w:rsid w:val="0092016A"/>
    <w:rsid w:val="0092091C"/>
    <w:rsid w:val="00920CEB"/>
    <w:rsid w:val="00921082"/>
    <w:rsid w:val="00922A4F"/>
    <w:rsid w:val="00922DE7"/>
    <w:rsid w:val="00922EFB"/>
    <w:rsid w:val="00923A6C"/>
    <w:rsid w:val="00923B78"/>
    <w:rsid w:val="009249C8"/>
    <w:rsid w:val="009253C4"/>
    <w:rsid w:val="00925816"/>
    <w:rsid w:val="0093115A"/>
    <w:rsid w:val="00931671"/>
    <w:rsid w:val="00933F00"/>
    <w:rsid w:val="00935229"/>
    <w:rsid w:val="00935401"/>
    <w:rsid w:val="00935BE0"/>
    <w:rsid w:val="00936A9D"/>
    <w:rsid w:val="0094003A"/>
    <w:rsid w:val="0094004A"/>
    <w:rsid w:val="00940404"/>
    <w:rsid w:val="009414BA"/>
    <w:rsid w:val="00941868"/>
    <w:rsid w:val="00942FCD"/>
    <w:rsid w:val="0094338B"/>
    <w:rsid w:val="0094638E"/>
    <w:rsid w:val="00946A82"/>
    <w:rsid w:val="0095071A"/>
    <w:rsid w:val="00951071"/>
    <w:rsid w:val="0095158B"/>
    <w:rsid w:val="00952948"/>
    <w:rsid w:val="00952EF0"/>
    <w:rsid w:val="0095333C"/>
    <w:rsid w:val="00953610"/>
    <w:rsid w:val="009544D9"/>
    <w:rsid w:val="00955186"/>
    <w:rsid w:val="00955282"/>
    <w:rsid w:val="00956990"/>
    <w:rsid w:val="00956EE8"/>
    <w:rsid w:val="009570F6"/>
    <w:rsid w:val="0095741B"/>
    <w:rsid w:val="00961028"/>
    <w:rsid w:val="00961564"/>
    <w:rsid w:val="00961DDE"/>
    <w:rsid w:val="0096265E"/>
    <w:rsid w:val="00965248"/>
    <w:rsid w:val="00965C09"/>
    <w:rsid w:val="00966B6A"/>
    <w:rsid w:val="00967DB7"/>
    <w:rsid w:val="0097057C"/>
    <w:rsid w:val="00970C2C"/>
    <w:rsid w:val="00971419"/>
    <w:rsid w:val="009715C5"/>
    <w:rsid w:val="00971AF2"/>
    <w:rsid w:val="009723B8"/>
    <w:rsid w:val="00973264"/>
    <w:rsid w:val="00974CDA"/>
    <w:rsid w:val="0097508C"/>
    <w:rsid w:val="009817A0"/>
    <w:rsid w:val="009821CA"/>
    <w:rsid w:val="0098281C"/>
    <w:rsid w:val="009833A0"/>
    <w:rsid w:val="00983C0B"/>
    <w:rsid w:val="0098423D"/>
    <w:rsid w:val="00984871"/>
    <w:rsid w:val="009850E9"/>
    <w:rsid w:val="00985DFA"/>
    <w:rsid w:val="00986315"/>
    <w:rsid w:val="00986617"/>
    <w:rsid w:val="009911E3"/>
    <w:rsid w:val="00992201"/>
    <w:rsid w:val="009922CF"/>
    <w:rsid w:val="00993C0B"/>
    <w:rsid w:val="0099454D"/>
    <w:rsid w:val="00994B4C"/>
    <w:rsid w:val="00994E42"/>
    <w:rsid w:val="00995178"/>
    <w:rsid w:val="0099584F"/>
    <w:rsid w:val="00995A53"/>
    <w:rsid w:val="009960E6"/>
    <w:rsid w:val="00997850"/>
    <w:rsid w:val="009A1519"/>
    <w:rsid w:val="009A1C33"/>
    <w:rsid w:val="009A2439"/>
    <w:rsid w:val="009A2BFF"/>
    <w:rsid w:val="009A5BD6"/>
    <w:rsid w:val="009A5E6C"/>
    <w:rsid w:val="009A6D30"/>
    <w:rsid w:val="009B206F"/>
    <w:rsid w:val="009B32A8"/>
    <w:rsid w:val="009B39D0"/>
    <w:rsid w:val="009B4BC4"/>
    <w:rsid w:val="009B5F6F"/>
    <w:rsid w:val="009B6321"/>
    <w:rsid w:val="009B7A7F"/>
    <w:rsid w:val="009B7A90"/>
    <w:rsid w:val="009B7BA4"/>
    <w:rsid w:val="009B7F07"/>
    <w:rsid w:val="009C0B9F"/>
    <w:rsid w:val="009C1007"/>
    <w:rsid w:val="009C1F6E"/>
    <w:rsid w:val="009C2514"/>
    <w:rsid w:val="009C29E2"/>
    <w:rsid w:val="009C351C"/>
    <w:rsid w:val="009C3C03"/>
    <w:rsid w:val="009C3C6C"/>
    <w:rsid w:val="009C3EBA"/>
    <w:rsid w:val="009C4C61"/>
    <w:rsid w:val="009C5377"/>
    <w:rsid w:val="009C58A2"/>
    <w:rsid w:val="009C7BA0"/>
    <w:rsid w:val="009C7C48"/>
    <w:rsid w:val="009D1B51"/>
    <w:rsid w:val="009D3369"/>
    <w:rsid w:val="009D41EB"/>
    <w:rsid w:val="009D426B"/>
    <w:rsid w:val="009D4F4E"/>
    <w:rsid w:val="009D52BF"/>
    <w:rsid w:val="009D5349"/>
    <w:rsid w:val="009D551D"/>
    <w:rsid w:val="009D6255"/>
    <w:rsid w:val="009D6DD3"/>
    <w:rsid w:val="009D6E7D"/>
    <w:rsid w:val="009E0058"/>
    <w:rsid w:val="009E0070"/>
    <w:rsid w:val="009E0560"/>
    <w:rsid w:val="009E0630"/>
    <w:rsid w:val="009E3F57"/>
    <w:rsid w:val="009E4F8A"/>
    <w:rsid w:val="009E6338"/>
    <w:rsid w:val="009E6471"/>
    <w:rsid w:val="009E6771"/>
    <w:rsid w:val="009E67E4"/>
    <w:rsid w:val="009E754B"/>
    <w:rsid w:val="009E7F8F"/>
    <w:rsid w:val="009F0511"/>
    <w:rsid w:val="009F092A"/>
    <w:rsid w:val="009F09C1"/>
    <w:rsid w:val="009F1DBD"/>
    <w:rsid w:val="009F22FE"/>
    <w:rsid w:val="009F410E"/>
    <w:rsid w:val="009F68EB"/>
    <w:rsid w:val="009F750B"/>
    <w:rsid w:val="00A00435"/>
    <w:rsid w:val="00A01FCD"/>
    <w:rsid w:val="00A02207"/>
    <w:rsid w:val="00A025E8"/>
    <w:rsid w:val="00A03071"/>
    <w:rsid w:val="00A044F0"/>
    <w:rsid w:val="00A0582B"/>
    <w:rsid w:val="00A05B11"/>
    <w:rsid w:val="00A0600A"/>
    <w:rsid w:val="00A06642"/>
    <w:rsid w:val="00A06B7F"/>
    <w:rsid w:val="00A06FBD"/>
    <w:rsid w:val="00A07D9C"/>
    <w:rsid w:val="00A109CC"/>
    <w:rsid w:val="00A123C4"/>
    <w:rsid w:val="00A1284C"/>
    <w:rsid w:val="00A13EDB"/>
    <w:rsid w:val="00A14C4D"/>
    <w:rsid w:val="00A15845"/>
    <w:rsid w:val="00A16B48"/>
    <w:rsid w:val="00A17B52"/>
    <w:rsid w:val="00A2021A"/>
    <w:rsid w:val="00A21110"/>
    <w:rsid w:val="00A2141C"/>
    <w:rsid w:val="00A219F9"/>
    <w:rsid w:val="00A21B16"/>
    <w:rsid w:val="00A22D76"/>
    <w:rsid w:val="00A2438C"/>
    <w:rsid w:val="00A245B3"/>
    <w:rsid w:val="00A24D47"/>
    <w:rsid w:val="00A25EAE"/>
    <w:rsid w:val="00A279E1"/>
    <w:rsid w:val="00A30370"/>
    <w:rsid w:val="00A314E8"/>
    <w:rsid w:val="00A31B8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35F"/>
    <w:rsid w:val="00A47B0A"/>
    <w:rsid w:val="00A5014E"/>
    <w:rsid w:val="00A5104C"/>
    <w:rsid w:val="00A511BE"/>
    <w:rsid w:val="00A528A8"/>
    <w:rsid w:val="00A54BCE"/>
    <w:rsid w:val="00A5599E"/>
    <w:rsid w:val="00A55DD6"/>
    <w:rsid w:val="00A562E3"/>
    <w:rsid w:val="00A569D3"/>
    <w:rsid w:val="00A5706D"/>
    <w:rsid w:val="00A6062B"/>
    <w:rsid w:val="00A60A9E"/>
    <w:rsid w:val="00A60DAF"/>
    <w:rsid w:val="00A62089"/>
    <w:rsid w:val="00A627BD"/>
    <w:rsid w:val="00A63264"/>
    <w:rsid w:val="00A64500"/>
    <w:rsid w:val="00A64C2B"/>
    <w:rsid w:val="00A64D1B"/>
    <w:rsid w:val="00A654EF"/>
    <w:rsid w:val="00A658F2"/>
    <w:rsid w:val="00A65AFD"/>
    <w:rsid w:val="00A66B78"/>
    <w:rsid w:val="00A670DF"/>
    <w:rsid w:val="00A673A2"/>
    <w:rsid w:val="00A6769B"/>
    <w:rsid w:val="00A677C6"/>
    <w:rsid w:val="00A67B0E"/>
    <w:rsid w:val="00A67E25"/>
    <w:rsid w:val="00A7146A"/>
    <w:rsid w:val="00A72C38"/>
    <w:rsid w:val="00A72FD2"/>
    <w:rsid w:val="00A73F39"/>
    <w:rsid w:val="00A7420A"/>
    <w:rsid w:val="00A74D3C"/>
    <w:rsid w:val="00A75DB1"/>
    <w:rsid w:val="00A760CB"/>
    <w:rsid w:val="00A761C2"/>
    <w:rsid w:val="00A76BBD"/>
    <w:rsid w:val="00A76D29"/>
    <w:rsid w:val="00A81335"/>
    <w:rsid w:val="00A816A1"/>
    <w:rsid w:val="00A816E2"/>
    <w:rsid w:val="00A81ADF"/>
    <w:rsid w:val="00A82026"/>
    <w:rsid w:val="00A82952"/>
    <w:rsid w:val="00A82ABC"/>
    <w:rsid w:val="00A83B44"/>
    <w:rsid w:val="00A8446A"/>
    <w:rsid w:val="00A86383"/>
    <w:rsid w:val="00A86960"/>
    <w:rsid w:val="00A869B7"/>
    <w:rsid w:val="00A86B01"/>
    <w:rsid w:val="00A91267"/>
    <w:rsid w:val="00A91A54"/>
    <w:rsid w:val="00A91B7E"/>
    <w:rsid w:val="00A91D86"/>
    <w:rsid w:val="00A95FE9"/>
    <w:rsid w:val="00A966B7"/>
    <w:rsid w:val="00A96F13"/>
    <w:rsid w:val="00AA00E5"/>
    <w:rsid w:val="00AA1080"/>
    <w:rsid w:val="00AA16D3"/>
    <w:rsid w:val="00AA18CA"/>
    <w:rsid w:val="00AA193A"/>
    <w:rsid w:val="00AA1D98"/>
    <w:rsid w:val="00AA3063"/>
    <w:rsid w:val="00AA3BFA"/>
    <w:rsid w:val="00AA4483"/>
    <w:rsid w:val="00AA4BCE"/>
    <w:rsid w:val="00AA5A0A"/>
    <w:rsid w:val="00AA5E84"/>
    <w:rsid w:val="00AA725C"/>
    <w:rsid w:val="00AB02D5"/>
    <w:rsid w:val="00AB18DF"/>
    <w:rsid w:val="00AB22B4"/>
    <w:rsid w:val="00AB2940"/>
    <w:rsid w:val="00AB3274"/>
    <w:rsid w:val="00AB3E05"/>
    <w:rsid w:val="00AB5AE3"/>
    <w:rsid w:val="00AB6831"/>
    <w:rsid w:val="00AB7A0E"/>
    <w:rsid w:val="00AC0409"/>
    <w:rsid w:val="00AC0C60"/>
    <w:rsid w:val="00AC178D"/>
    <w:rsid w:val="00AC1897"/>
    <w:rsid w:val="00AC2E63"/>
    <w:rsid w:val="00AC2EA5"/>
    <w:rsid w:val="00AC3A70"/>
    <w:rsid w:val="00AC40B4"/>
    <w:rsid w:val="00AC63F8"/>
    <w:rsid w:val="00AC7144"/>
    <w:rsid w:val="00AC71D2"/>
    <w:rsid w:val="00AC75AF"/>
    <w:rsid w:val="00AC7AD3"/>
    <w:rsid w:val="00AD00DB"/>
    <w:rsid w:val="00AD340C"/>
    <w:rsid w:val="00AD3849"/>
    <w:rsid w:val="00AD3D18"/>
    <w:rsid w:val="00AD4D41"/>
    <w:rsid w:val="00AD4DD2"/>
    <w:rsid w:val="00AD6114"/>
    <w:rsid w:val="00AD7428"/>
    <w:rsid w:val="00AD74EC"/>
    <w:rsid w:val="00AE01B3"/>
    <w:rsid w:val="00AE0CFD"/>
    <w:rsid w:val="00AE16D0"/>
    <w:rsid w:val="00AE1978"/>
    <w:rsid w:val="00AE1DA8"/>
    <w:rsid w:val="00AE42BC"/>
    <w:rsid w:val="00AE4D94"/>
    <w:rsid w:val="00AE5612"/>
    <w:rsid w:val="00AE6664"/>
    <w:rsid w:val="00AE6A4B"/>
    <w:rsid w:val="00AE6EED"/>
    <w:rsid w:val="00AE74AC"/>
    <w:rsid w:val="00AE7F1F"/>
    <w:rsid w:val="00AF11E6"/>
    <w:rsid w:val="00AF2614"/>
    <w:rsid w:val="00B005A5"/>
    <w:rsid w:val="00B01853"/>
    <w:rsid w:val="00B0186D"/>
    <w:rsid w:val="00B02758"/>
    <w:rsid w:val="00B02B5A"/>
    <w:rsid w:val="00B0302F"/>
    <w:rsid w:val="00B0333C"/>
    <w:rsid w:val="00B036CF"/>
    <w:rsid w:val="00B03790"/>
    <w:rsid w:val="00B03C45"/>
    <w:rsid w:val="00B03CDC"/>
    <w:rsid w:val="00B04B8A"/>
    <w:rsid w:val="00B04BFB"/>
    <w:rsid w:val="00B07D57"/>
    <w:rsid w:val="00B104AA"/>
    <w:rsid w:val="00B11872"/>
    <w:rsid w:val="00B11A7F"/>
    <w:rsid w:val="00B13758"/>
    <w:rsid w:val="00B13979"/>
    <w:rsid w:val="00B15E4F"/>
    <w:rsid w:val="00B16148"/>
    <w:rsid w:val="00B2012B"/>
    <w:rsid w:val="00B204EF"/>
    <w:rsid w:val="00B20B29"/>
    <w:rsid w:val="00B20CB9"/>
    <w:rsid w:val="00B20D52"/>
    <w:rsid w:val="00B2167C"/>
    <w:rsid w:val="00B22598"/>
    <w:rsid w:val="00B24691"/>
    <w:rsid w:val="00B246D3"/>
    <w:rsid w:val="00B25171"/>
    <w:rsid w:val="00B25A50"/>
    <w:rsid w:val="00B262C9"/>
    <w:rsid w:val="00B26A2C"/>
    <w:rsid w:val="00B26BDA"/>
    <w:rsid w:val="00B30526"/>
    <w:rsid w:val="00B3125B"/>
    <w:rsid w:val="00B32681"/>
    <w:rsid w:val="00B32F9A"/>
    <w:rsid w:val="00B32FCD"/>
    <w:rsid w:val="00B34577"/>
    <w:rsid w:val="00B34E07"/>
    <w:rsid w:val="00B34ED0"/>
    <w:rsid w:val="00B35845"/>
    <w:rsid w:val="00B35897"/>
    <w:rsid w:val="00B41FF2"/>
    <w:rsid w:val="00B4289E"/>
    <w:rsid w:val="00B43464"/>
    <w:rsid w:val="00B45223"/>
    <w:rsid w:val="00B45751"/>
    <w:rsid w:val="00B45C7D"/>
    <w:rsid w:val="00B461F3"/>
    <w:rsid w:val="00B46548"/>
    <w:rsid w:val="00B47DA1"/>
    <w:rsid w:val="00B47EFD"/>
    <w:rsid w:val="00B50333"/>
    <w:rsid w:val="00B50C36"/>
    <w:rsid w:val="00B51C5E"/>
    <w:rsid w:val="00B52083"/>
    <w:rsid w:val="00B52525"/>
    <w:rsid w:val="00B52882"/>
    <w:rsid w:val="00B52A88"/>
    <w:rsid w:val="00B52B44"/>
    <w:rsid w:val="00B52D72"/>
    <w:rsid w:val="00B53D82"/>
    <w:rsid w:val="00B55F20"/>
    <w:rsid w:val="00B5645C"/>
    <w:rsid w:val="00B56BAC"/>
    <w:rsid w:val="00B56DC0"/>
    <w:rsid w:val="00B571F4"/>
    <w:rsid w:val="00B573B4"/>
    <w:rsid w:val="00B60117"/>
    <w:rsid w:val="00B61F86"/>
    <w:rsid w:val="00B63183"/>
    <w:rsid w:val="00B63341"/>
    <w:rsid w:val="00B63B06"/>
    <w:rsid w:val="00B63B3C"/>
    <w:rsid w:val="00B64780"/>
    <w:rsid w:val="00B6494B"/>
    <w:rsid w:val="00B64BD5"/>
    <w:rsid w:val="00B64D7D"/>
    <w:rsid w:val="00B658BB"/>
    <w:rsid w:val="00B65E8E"/>
    <w:rsid w:val="00B6622F"/>
    <w:rsid w:val="00B6752F"/>
    <w:rsid w:val="00B67926"/>
    <w:rsid w:val="00B679FA"/>
    <w:rsid w:val="00B71DDB"/>
    <w:rsid w:val="00B7249E"/>
    <w:rsid w:val="00B72B4C"/>
    <w:rsid w:val="00B73E25"/>
    <w:rsid w:val="00B74829"/>
    <w:rsid w:val="00B75DE1"/>
    <w:rsid w:val="00B76EAC"/>
    <w:rsid w:val="00B814F4"/>
    <w:rsid w:val="00B81B80"/>
    <w:rsid w:val="00B81D7F"/>
    <w:rsid w:val="00B81ECA"/>
    <w:rsid w:val="00B830E9"/>
    <w:rsid w:val="00B838D7"/>
    <w:rsid w:val="00B83DCC"/>
    <w:rsid w:val="00B83F53"/>
    <w:rsid w:val="00B85358"/>
    <w:rsid w:val="00B86A3E"/>
    <w:rsid w:val="00B87299"/>
    <w:rsid w:val="00B87B51"/>
    <w:rsid w:val="00B903B2"/>
    <w:rsid w:val="00B91040"/>
    <w:rsid w:val="00B9113C"/>
    <w:rsid w:val="00B91DE8"/>
    <w:rsid w:val="00B92CD2"/>
    <w:rsid w:val="00B93ECE"/>
    <w:rsid w:val="00B94367"/>
    <w:rsid w:val="00B94B9D"/>
    <w:rsid w:val="00B958F9"/>
    <w:rsid w:val="00B96111"/>
    <w:rsid w:val="00B975ED"/>
    <w:rsid w:val="00B979E2"/>
    <w:rsid w:val="00B97D1F"/>
    <w:rsid w:val="00B97E9D"/>
    <w:rsid w:val="00BA0A29"/>
    <w:rsid w:val="00BA25DB"/>
    <w:rsid w:val="00BA38E0"/>
    <w:rsid w:val="00BA4649"/>
    <w:rsid w:val="00BA51C2"/>
    <w:rsid w:val="00BA619F"/>
    <w:rsid w:val="00BA7665"/>
    <w:rsid w:val="00BA7D43"/>
    <w:rsid w:val="00BB02EB"/>
    <w:rsid w:val="00BB08FA"/>
    <w:rsid w:val="00BB0940"/>
    <w:rsid w:val="00BB0A6C"/>
    <w:rsid w:val="00BB0AFD"/>
    <w:rsid w:val="00BB17F3"/>
    <w:rsid w:val="00BB1ABF"/>
    <w:rsid w:val="00BB2750"/>
    <w:rsid w:val="00BB2DBC"/>
    <w:rsid w:val="00BB4AC7"/>
    <w:rsid w:val="00BB4CD0"/>
    <w:rsid w:val="00BB4F92"/>
    <w:rsid w:val="00BB5320"/>
    <w:rsid w:val="00BB61C1"/>
    <w:rsid w:val="00BB6B4A"/>
    <w:rsid w:val="00BB70CE"/>
    <w:rsid w:val="00BB7E90"/>
    <w:rsid w:val="00BC03CC"/>
    <w:rsid w:val="00BC0AB7"/>
    <w:rsid w:val="00BC0D92"/>
    <w:rsid w:val="00BC11D7"/>
    <w:rsid w:val="00BC1587"/>
    <w:rsid w:val="00BC1B9C"/>
    <w:rsid w:val="00BC2C14"/>
    <w:rsid w:val="00BC31EE"/>
    <w:rsid w:val="00BC3672"/>
    <w:rsid w:val="00BC3C19"/>
    <w:rsid w:val="00BC4501"/>
    <w:rsid w:val="00BC4B27"/>
    <w:rsid w:val="00BC4BC8"/>
    <w:rsid w:val="00BC5C23"/>
    <w:rsid w:val="00BD1162"/>
    <w:rsid w:val="00BD15BE"/>
    <w:rsid w:val="00BD2E19"/>
    <w:rsid w:val="00BD3BF3"/>
    <w:rsid w:val="00BD5316"/>
    <w:rsid w:val="00BD6613"/>
    <w:rsid w:val="00BD7A29"/>
    <w:rsid w:val="00BE1CA5"/>
    <w:rsid w:val="00BE2495"/>
    <w:rsid w:val="00BE41BE"/>
    <w:rsid w:val="00BE4BFC"/>
    <w:rsid w:val="00BE4EBB"/>
    <w:rsid w:val="00BE6F8C"/>
    <w:rsid w:val="00BE735F"/>
    <w:rsid w:val="00BE78CD"/>
    <w:rsid w:val="00BF0B0F"/>
    <w:rsid w:val="00BF150A"/>
    <w:rsid w:val="00BF1ADF"/>
    <w:rsid w:val="00BF30A5"/>
    <w:rsid w:val="00BF3210"/>
    <w:rsid w:val="00BF3B09"/>
    <w:rsid w:val="00BF449C"/>
    <w:rsid w:val="00BF4A06"/>
    <w:rsid w:val="00BF4AAE"/>
    <w:rsid w:val="00BF4B27"/>
    <w:rsid w:val="00BF6721"/>
    <w:rsid w:val="00C01D3D"/>
    <w:rsid w:val="00C02199"/>
    <w:rsid w:val="00C03270"/>
    <w:rsid w:val="00C03937"/>
    <w:rsid w:val="00C048FB"/>
    <w:rsid w:val="00C04CFA"/>
    <w:rsid w:val="00C053BF"/>
    <w:rsid w:val="00C074A8"/>
    <w:rsid w:val="00C076EF"/>
    <w:rsid w:val="00C113AE"/>
    <w:rsid w:val="00C1262A"/>
    <w:rsid w:val="00C1444A"/>
    <w:rsid w:val="00C15E59"/>
    <w:rsid w:val="00C15E84"/>
    <w:rsid w:val="00C16BFD"/>
    <w:rsid w:val="00C16C84"/>
    <w:rsid w:val="00C17537"/>
    <w:rsid w:val="00C177F7"/>
    <w:rsid w:val="00C204E7"/>
    <w:rsid w:val="00C21DB4"/>
    <w:rsid w:val="00C224CD"/>
    <w:rsid w:val="00C25539"/>
    <w:rsid w:val="00C25B4A"/>
    <w:rsid w:val="00C25C2B"/>
    <w:rsid w:val="00C25E3D"/>
    <w:rsid w:val="00C2744F"/>
    <w:rsid w:val="00C32BB3"/>
    <w:rsid w:val="00C32D47"/>
    <w:rsid w:val="00C33D5F"/>
    <w:rsid w:val="00C34648"/>
    <w:rsid w:val="00C34717"/>
    <w:rsid w:val="00C34D95"/>
    <w:rsid w:val="00C34F84"/>
    <w:rsid w:val="00C357EB"/>
    <w:rsid w:val="00C363FF"/>
    <w:rsid w:val="00C37015"/>
    <w:rsid w:val="00C40072"/>
    <w:rsid w:val="00C408BD"/>
    <w:rsid w:val="00C40CA2"/>
    <w:rsid w:val="00C4213E"/>
    <w:rsid w:val="00C434BB"/>
    <w:rsid w:val="00C438D5"/>
    <w:rsid w:val="00C44BB5"/>
    <w:rsid w:val="00C451C5"/>
    <w:rsid w:val="00C45741"/>
    <w:rsid w:val="00C4699F"/>
    <w:rsid w:val="00C4711A"/>
    <w:rsid w:val="00C472A3"/>
    <w:rsid w:val="00C50C4A"/>
    <w:rsid w:val="00C524B1"/>
    <w:rsid w:val="00C53D6E"/>
    <w:rsid w:val="00C544EF"/>
    <w:rsid w:val="00C55E32"/>
    <w:rsid w:val="00C56299"/>
    <w:rsid w:val="00C56B9D"/>
    <w:rsid w:val="00C56D79"/>
    <w:rsid w:val="00C60706"/>
    <w:rsid w:val="00C61A1B"/>
    <w:rsid w:val="00C6464D"/>
    <w:rsid w:val="00C64FE6"/>
    <w:rsid w:val="00C67BE9"/>
    <w:rsid w:val="00C71217"/>
    <w:rsid w:val="00C72672"/>
    <w:rsid w:val="00C72DBC"/>
    <w:rsid w:val="00C74041"/>
    <w:rsid w:val="00C75455"/>
    <w:rsid w:val="00C75F5C"/>
    <w:rsid w:val="00C76B39"/>
    <w:rsid w:val="00C76F57"/>
    <w:rsid w:val="00C77891"/>
    <w:rsid w:val="00C77FB2"/>
    <w:rsid w:val="00C8081E"/>
    <w:rsid w:val="00C8194B"/>
    <w:rsid w:val="00C83FF2"/>
    <w:rsid w:val="00C8426E"/>
    <w:rsid w:val="00C84ACF"/>
    <w:rsid w:val="00C8510F"/>
    <w:rsid w:val="00C856C4"/>
    <w:rsid w:val="00C8634C"/>
    <w:rsid w:val="00C86F92"/>
    <w:rsid w:val="00C87BE8"/>
    <w:rsid w:val="00C90072"/>
    <w:rsid w:val="00C91B57"/>
    <w:rsid w:val="00C9533B"/>
    <w:rsid w:val="00CA14A2"/>
    <w:rsid w:val="00CA316E"/>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6C"/>
    <w:rsid w:val="00CC237A"/>
    <w:rsid w:val="00CC4B51"/>
    <w:rsid w:val="00CC5D7B"/>
    <w:rsid w:val="00CC61FB"/>
    <w:rsid w:val="00CD2332"/>
    <w:rsid w:val="00CD2668"/>
    <w:rsid w:val="00CD2FAC"/>
    <w:rsid w:val="00CD361B"/>
    <w:rsid w:val="00CD3879"/>
    <w:rsid w:val="00CD495B"/>
    <w:rsid w:val="00CD5C64"/>
    <w:rsid w:val="00CD611F"/>
    <w:rsid w:val="00CD6818"/>
    <w:rsid w:val="00CD7B3C"/>
    <w:rsid w:val="00CD7C0B"/>
    <w:rsid w:val="00CD7C6C"/>
    <w:rsid w:val="00CE3BDB"/>
    <w:rsid w:val="00CE4305"/>
    <w:rsid w:val="00CE44AB"/>
    <w:rsid w:val="00CE4BC6"/>
    <w:rsid w:val="00CE4E81"/>
    <w:rsid w:val="00CE5207"/>
    <w:rsid w:val="00CE52BF"/>
    <w:rsid w:val="00CE58F4"/>
    <w:rsid w:val="00CE698A"/>
    <w:rsid w:val="00CE70DB"/>
    <w:rsid w:val="00CE7D62"/>
    <w:rsid w:val="00CF001E"/>
    <w:rsid w:val="00CF2A24"/>
    <w:rsid w:val="00CF363A"/>
    <w:rsid w:val="00CF50D5"/>
    <w:rsid w:val="00CF5483"/>
    <w:rsid w:val="00CF5C9B"/>
    <w:rsid w:val="00CF5CAA"/>
    <w:rsid w:val="00CF61C4"/>
    <w:rsid w:val="00CF6662"/>
    <w:rsid w:val="00CF7B5F"/>
    <w:rsid w:val="00D01058"/>
    <w:rsid w:val="00D01136"/>
    <w:rsid w:val="00D03474"/>
    <w:rsid w:val="00D03476"/>
    <w:rsid w:val="00D03C0F"/>
    <w:rsid w:val="00D04372"/>
    <w:rsid w:val="00D04C9A"/>
    <w:rsid w:val="00D04FD4"/>
    <w:rsid w:val="00D06998"/>
    <w:rsid w:val="00D06B71"/>
    <w:rsid w:val="00D06DC1"/>
    <w:rsid w:val="00D0722E"/>
    <w:rsid w:val="00D07E54"/>
    <w:rsid w:val="00D105D9"/>
    <w:rsid w:val="00D11197"/>
    <w:rsid w:val="00D11FB0"/>
    <w:rsid w:val="00D129B0"/>
    <w:rsid w:val="00D1422B"/>
    <w:rsid w:val="00D16377"/>
    <w:rsid w:val="00D1756F"/>
    <w:rsid w:val="00D1768B"/>
    <w:rsid w:val="00D20BC2"/>
    <w:rsid w:val="00D2100C"/>
    <w:rsid w:val="00D21778"/>
    <w:rsid w:val="00D21893"/>
    <w:rsid w:val="00D23183"/>
    <w:rsid w:val="00D23A71"/>
    <w:rsid w:val="00D23DB6"/>
    <w:rsid w:val="00D23E08"/>
    <w:rsid w:val="00D242FC"/>
    <w:rsid w:val="00D24F90"/>
    <w:rsid w:val="00D26400"/>
    <w:rsid w:val="00D264F9"/>
    <w:rsid w:val="00D270C3"/>
    <w:rsid w:val="00D300B1"/>
    <w:rsid w:val="00D31768"/>
    <w:rsid w:val="00D330DB"/>
    <w:rsid w:val="00D33C2D"/>
    <w:rsid w:val="00D344FD"/>
    <w:rsid w:val="00D34920"/>
    <w:rsid w:val="00D35950"/>
    <w:rsid w:val="00D35E6A"/>
    <w:rsid w:val="00D361F7"/>
    <w:rsid w:val="00D367A3"/>
    <w:rsid w:val="00D36F7E"/>
    <w:rsid w:val="00D379C7"/>
    <w:rsid w:val="00D37A4D"/>
    <w:rsid w:val="00D37BDA"/>
    <w:rsid w:val="00D41AB1"/>
    <w:rsid w:val="00D41D8D"/>
    <w:rsid w:val="00D42370"/>
    <w:rsid w:val="00D42755"/>
    <w:rsid w:val="00D45364"/>
    <w:rsid w:val="00D46FE0"/>
    <w:rsid w:val="00D477A3"/>
    <w:rsid w:val="00D51C08"/>
    <w:rsid w:val="00D51F3E"/>
    <w:rsid w:val="00D53C5A"/>
    <w:rsid w:val="00D55644"/>
    <w:rsid w:val="00D55D74"/>
    <w:rsid w:val="00D568D6"/>
    <w:rsid w:val="00D57988"/>
    <w:rsid w:val="00D6016F"/>
    <w:rsid w:val="00D613B2"/>
    <w:rsid w:val="00D61D4F"/>
    <w:rsid w:val="00D623D2"/>
    <w:rsid w:val="00D62526"/>
    <w:rsid w:val="00D65B3B"/>
    <w:rsid w:val="00D66284"/>
    <w:rsid w:val="00D662A6"/>
    <w:rsid w:val="00D6655A"/>
    <w:rsid w:val="00D66E7E"/>
    <w:rsid w:val="00D7386F"/>
    <w:rsid w:val="00D73BEF"/>
    <w:rsid w:val="00D75375"/>
    <w:rsid w:val="00D75DD7"/>
    <w:rsid w:val="00D75F4C"/>
    <w:rsid w:val="00D80DD2"/>
    <w:rsid w:val="00D824D0"/>
    <w:rsid w:val="00D8461E"/>
    <w:rsid w:val="00D848AF"/>
    <w:rsid w:val="00D84D41"/>
    <w:rsid w:val="00D85867"/>
    <w:rsid w:val="00D85E81"/>
    <w:rsid w:val="00D87DA8"/>
    <w:rsid w:val="00D90438"/>
    <w:rsid w:val="00D90CC3"/>
    <w:rsid w:val="00D90F7C"/>
    <w:rsid w:val="00D91BBB"/>
    <w:rsid w:val="00D92A5E"/>
    <w:rsid w:val="00D93BBB"/>
    <w:rsid w:val="00D9483F"/>
    <w:rsid w:val="00D957E5"/>
    <w:rsid w:val="00D95CBA"/>
    <w:rsid w:val="00D9612C"/>
    <w:rsid w:val="00D963A4"/>
    <w:rsid w:val="00D96B41"/>
    <w:rsid w:val="00DA02CE"/>
    <w:rsid w:val="00DA095C"/>
    <w:rsid w:val="00DA0DFD"/>
    <w:rsid w:val="00DA26D1"/>
    <w:rsid w:val="00DA3AB4"/>
    <w:rsid w:val="00DA4EA9"/>
    <w:rsid w:val="00DA7EC9"/>
    <w:rsid w:val="00DB18FC"/>
    <w:rsid w:val="00DB240D"/>
    <w:rsid w:val="00DB2769"/>
    <w:rsid w:val="00DB4482"/>
    <w:rsid w:val="00DB4762"/>
    <w:rsid w:val="00DB4C04"/>
    <w:rsid w:val="00DB51D0"/>
    <w:rsid w:val="00DB630A"/>
    <w:rsid w:val="00DB6473"/>
    <w:rsid w:val="00DB6987"/>
    <w:rsid w:val="00DB70D5"/>
    <w:rsid w:val="00DB736A"/>
    <w:rsid w:val="00DC1FC6"/>
    <w:rsid w:val="00DC2DE4"/>
    <w:rsid w:val="00DC3ED2"/>
    <w:rsid w:val="00DC4AE1"/>
    <w:rsid w:val="00DC5939"/>
    <w:rsid w:val="00DC620A"/>
    <w:rsid w:val="00DC6B38"/>
    <w:rsid w:val="00DC767D"/>
    <w:rsid w:val="00DC7A15"/>
    <w:rsid w:val="00DD0CDD"/>
    <w:rsid w:val="00DD26EA"/>
    <w:rsid w:val="00DD2FC8"/>
    <w:rsid w:val="00DD35BB"/>
    <w:rsid w:val="00DD5EDD"/>
    <w:rsid w:val="00DD6B34"/>
    <w:rsid w:val="00DD7198"/>
    <w:rsid w:val="00DD76A1"/>
    <w:rsid w:val="00DE1FFD"/>
    <w:rsid w:val="00DE2D83"/>
    <w:rsid w:val="00DE3B48"/>
    <w:rsid w:val="00DE4F1F"/>
    <w:rsid w:val="00DE766D"/>
    <w:rsid w:val="00DF06D5"/>
    <w:rsid w:val="00DF06E1"/>
    <w:rsid w:val="00DF0FF1"/>
    <w:rsid w:val="00DF1557"/>
    <w:rsid w:val="00DF253B"/>
    <w:rsid w:val="00DF2D17"/>
    <w:rsid w:val="00DF4505"/>
    <w:rsid w:val="00DF490E"/>
    <w:rsid w:val="00DF49C5"/>
    <w:rsid w:val="00DF51DB"/>
    <w:rsid w:val="00DF6B72"/>
    <w:rsid w:val="00DF7223"/>
    <w:rsid w:val="00DF749E"/>
    <w:rsid w:val="00DF7988"/>
    <w:rsid w:val="00E0112E"/>
    <w:rsid w:val="00E02056"/>
    <w:rsid w:val="00E036A6"/>
    <w:rsid w:val="00E037D5"/>
    <w:rsid w:val="00E03DE7"/>
    <w:rsid w:val="00E046DC"/>
    <w:rsid w:val="00E04C1F"/>
    <w:rsid w:val="00E05F80"/>
    <w:rsid w:val="00E0683E"/>
    <w:rsid w:val="00E07564"/>
    <w:rsid w:val="00E07EB9"/>
    <w:rsid w:val="00E10A87"/>
    <w:rsid w:val="00E114BC"/>
    <w:rsid w:val="00E1165C"/>
    <w:rsid w:val="00E11D50"/>
    <w:rsid w:val="00E124EE"/>
    <w:rsid w:val="00E13609"/>
    <w:rsid w:val="00E138AE"/>
    <w:rsid w:val="00E14B3C"/>
    <w:rsid w:val="00E16067"/>
    <w:rsid w:val="00E1632A"/>
    <w:rsid w:val="00E20BDA"/>
    <w:rsid w:val="00E212E3"/>
    <w:rsid w:val="00E21EB3"/>
    <w:rsid w:val="00E21EEA"/>
    <w:rsid w:val="00E22505"/>
    <w:rsid w:val="00E227F4"/>
    <w:rsid w:val="00E23903"/>
    <w:rsid w:val="00E2465F"/>
    <w:rsid w:val="00E2575E"/>
    <w:rsid w:val="00E2577B"/>
    <w:rsid w:val="00E25E0D"/>
    <w:rsid w:val="00E2723D"/>
    <w:rsid w:val="00E27DAA"/>
    <w:rsid w:val="00E27DE2"/>
    <w:rsid w:val="00E27FDC"/>
    <w:rsid w:val="00E303C9"/>
    <w:rsid w:val="00E30627"/>
    <w:rsid w:val="00E30E7D"/>
    <w:rsid w:val="00E31BA9"/>
    <w:rsid w:val="00E332F8"/>
    <w:rsid w:val="00E33659"/>
    <w:rsid w:val="00E37F4A"/>
    <w:rsid w:val="00E40872"/>
    <w:rsid w:val="00E41594"/>
    <w:rsid w:val="00E4296F"/>
    <w:rsid w:val="00E44B0E"/>
    <w:rsid w:val="00E44D88"/>
    <w:rsid w:val="00E4567E"/>
    <w:rsid w:val="00E46A08"/>
    <w:rsid w:val="00E47BE1"/>
    <w:rsid w:val="00E518FB"/>
    <w:rsid w:val="00E51911"/>
    <w:rsid w:val="00E56FE8"/>
    <w:rsid w:val="00E57C5E"/>
    <w:rsid w:val="00E57F53"/>
    <w:rsid w:val="00E57FE6"/>
    <w:rsid w:val="00E6057C"/>
    <w:rsid w:val="00E607A7"/>
    <w:rsid w:val="00E60C5E"/>
    <w:rsid w:val="00E637C3"/>
    <w:rsid w:val="00E63BD1"/>
    <w:rsid w:val="00E63F79"/>
    <w:rsid w:val="00E6435C"/>
    <w:rsid w:val="00E6467D"/>
    <w:rsid w:val="00E66BCF"/>
    <w:rsid w:val="00E71342"/>
    <w:rsid w:val="00E71C55"/>
    <w:rsid w:val="00E7277A"/>
    <w:rsid w:val="00E728E4"/>
    <w:rsid w:val="00E72A56"/>
    <w:rsid w:val="00E7538A"/>
    <w:rsid w:val="00E77471"/>
    <w:rsid w:val="00E777FC"/>
    <w:rsid w:val="00E838CB"/>
    <w:rsid w:val="00E83B54"/>
    <w:rsid w:val="00E83DB2"/>
    <w:rsid w:val="00E840FB"/>
    <w:rsid w:val="00E8555A"/>
    <w:rsid w:val="00E85DAF"/>
    <w:rsid w:val="00E86A39"/>
    <w:rsid w:val="00E8703F"/>
    <w:rsid w:val="00E877D8"/>
    <w:rsid w:val="00E87864"/>
    <w:rsid w:val="00E9066B"/>
    <w:rsid w:val="00E90EA8"/>
    <w:rsid w:val="00E9170D"/>
    <w:rsid w:val="00E9198A"/>
    <w:rsid w:val="00E92C29"/>
    <w:rsid w:val="00E931C1"/>
    <w:rsid w:val="00E93508"/>
    <w:rsid w:val="00E93B62"/>
    <w:rsid w:val="00E93D1C"/>
    <w:rsid w:val="00E93D73"/>
    <w:rsid w:val="00E93FC2"/>
    <w:rsid w:val="00E94BE1"/>
    <w:rsid w:val="00E94BFD"/>
    <w:rsid w:val="00E94E0E"/>
    <w:rsid w:val="00E97186"/>
    <w:rsid w:val="00E97F6C"/>
    <w:rsid w:val="00EA04D2"/>
    <w:rsid w:val="00EA61A7"/>
    <w:rsid w:val="00EA6401"/>
    <w:rsid w:val="00EA6479"/>
    <w:rsid w:val="00EA68DB"/>
    <w:rsid w:val="00EA7277"/>
    <w:rsid w:val="00EA7D26"/>
    <w:rsid w:val="00EA7FFB"/>
    <w:rsid w:val="00EB0764"/>
    <w:rsid w:val="00EB1322"/>
    <w:rsid w:val="00EB1A62"/>
    <w:rsid w:val="00EB4FC8"/>
    <w:rsid w:val="00EB538F"/>
    <w:rsid w:val="00EB7672"/>
    <w:rsid w:val="00EB78BE"/>
    <w:rsid w:val="00EB7A4C"/>
    <w:rsid w:val="00EC0852"/>
    <w:rsid w:val="00EC09B6"/>
    <w:rsid w:val="00EC0DD8"/>
    <w:rsid w:val="00EC2A66"/>
    <w:rsid w:val="00EC3672"/>
    <w:rsid w:val="00EC44FF"/>
    <w:rsid w:val="00EC7BF2"/>
    <w:rsid w:val="00ED0960"/>
    <w:rsid w:val="00ED3632"/>
    <w:rsid w:val="00ED3782"/>
    <w:rsid w:val="00ED3BFB"/>
    <w:rsid w:val="00ED545F"/>
    <w:rsid w:val="00ED56C1"/>
    <w:rsid w:val="00ED589C"/>
    <w:rsid w:val="00ED6961"/>
    <w:rsid w:val="00ED7D80"/>
    <w:rsid w:val="00EE08BA"/>
    <w:rsid w:val="00EE17E0"/>
    <w:rsid w:val="00EE1F49"/>
    <w:rsid w:val="00EE1F87"/>
    <w:rsid w:val="00EE2409"/>
    <w:rsid w:val="00EE2F17"/>
    <w:rsid w:val="00EE3720"/>
    <w:rsid w:val="00EE3F92"/>
    <w:rsid w:val="00EE68DF"/>
    <w:rsid w:val="00EE7634"/>
    <w:rsid w:val="00EE7F46"/>
    <w:rsid w:val="00EF08C2"/>
    <w:rsid w:val="00EF271D"/>
    <w:rsid w:val="00EF4228"/>
    <w:rsid w:val="00EF473E"/>
    <w:rsid w:val="00EF4DC8"/>
    <w:rsid w:val="00EF59D7"/>
    <w:rsid w:val="00EF5E01"/>
    <w:rsid w:val="00EF659E"/>
    <w:rsid w:val="00EF6A13"/>
    <w:rsid w:val="00F0099E"/>
    <w:rsid w:val="00F01751"/>
    <w:rsid w:val="00F02CF2"/>
    <w:rsid w:val="00F0385A"/>
    <w:rsid w:val="00F04ADF"/>
    <w:rsid w:val="00F101DF"/>
    <w:rsid w:val="00F1070F"/>
    <w:rsid w:val="00F11438"/>
    <w:rsid w:val="00F12386"/>
    <w:rsid w:val="00F12825"/>
    <w:rsid w:val="00F13BB5"/>
    <w:rsid w:val="00F14992"/>
    <w:rsid w:val="00F155A0"/>
    <w:rsid w:val="00F16A50"/>
    <w:rsid w:val="00F21456"/>
    <w:rsid w:val="00F21D20"/>
    <w:rsid w:val="00F22674"/>
    <w:rsid w:val="00F22B78"/>
    <w:rsid w:val="00F244F9"/>
    <w:rsid w:val="00F25220"/>
    <w:rsid w:val="00F25309"/>
    <w:rsid w:val="00F25320"/>
    <w:rsid w:val="00F26726"/>
    <w:rsid w:val="00F26FA6"/>
    <w:rsid w:val="00F27476"/>
    <w:rsid w:val="00F27FAB"/>
    <w:rsid w:val="00F3031D"/>
    <w:rsid w:val="00F306D7"/>
    <w:rsid w:val="00F308B7"/>
    <w:rsid w:val="00F31501"/>
    <w:rsid w:val="00F3188A"/>
    <w:rsid w:val="00F31BE1"/>
    <w:rsid w:val="00F31CAB"/>
    <w:rsid w:val="00F31ECE"/>
    <w:rsid w:val="00F31FF7"/>
    <w:rsid w:val="00F32A46"/>
    <w:rsid w:val="00F32CCE"/>
    <w:rsid w:val="00F37170"/>
    <w:rsid w:val="00F4027C"/>
    <w:rsid w:val="00F40B35"/>
    <w:rsid w:val="00F416A4"/>
    <w:rsid w:val="00F43040"/>
    <w:rsid w:val="00F436A2"/>
    <w:rsid w:val="00F44520"/>
    <w:rsid w:val="00F44E00"/>
    <w:rsid w:val="00F44EC3"/>
    <w:rsid w:val="00F459DC"/>
    <w:rsid w:val="00F460D4"/>
    <w:rsid w:val="00F46AFA"/>
    <w:rsid w:val="00F46B72"/>
    <w:rsid w:val="00F46DD6"/>
    <w:rsid w:val="00F46F63"/>
    <w:rsid w:val="00F473AB"/>
    <w:rsid w:val="00F474AB"/>
    <w:rsid w:val="00F476F6"/>
    <w:rsid w:val="00F47A28"/>
    <w:rsid w:val="00F5050C"/>
    <w:rsid w:val="00F5134E"/>
    <w:rsid w:val="00F525C0"/>
    <w:rsid w:val="00F528DD"/>
    <w:rsid w:val="00F52A18"/>
    <w:rsid w:val="00F52C68"/>
    <w:rsid w:val="00F53CC6"/>
    <w:rsid w:val="00F564CD"/>
    <w:rsid w:val="00F56B87"/>
    <w:rsid w:val="00F61702"/>
    <w:rsid w:val="00F62E71"/>
    <w:rsid w:val="00F6306C"/>
    <w:rsid w:val="00F630C8"/>
    <w:rsid w:val="00F64C12"/>
    <w:rsid w:val="00F6552D"/>
    <w:rsid w:val="00F6573B"/>
    <w:rsid w:val="00F667F5"/>
    <w:rsid w:val="00F67278"/>
    <w:rsid w:val="00F710E9"/>
    <w:rsid w:val="00F71F7C"/>
    <w:rsid w:val="00F721F1"/>
    <w:rsid w:val="00F733F0"/>
    <w:rsid w:val="00F75E36"/>
    <w:rsid w:val="00F75F28"/>
    <w:rsid w:val="00F76A72"/>
    <w:rsid w:val="00F77340"/>
    <w:rsid w:val="00F8042D"/>
    <w:rsid w:val="00F85256"/>
    <w:rsid w:val="00F86096"/>
    <w:rsid w:val="00F87572"/>
    <w:rsid w:val="00F87BB9"/>
    <w:rsid w:val="00F87CA2"/>
    <w:rsid w:val="00F87FF7"/>
    <w:rsid w:val="00F90241"/>
    <w:rsid w:val="00F911A7"/>
    <w:rsid w:val="00F91976"/>
    <w:rsid w:val="00F92C8D"/>
    <w:rsid w:val="00F92D86"/>
    <w:rsid w:val="00F931AD"/>
    <w:rsid w:val="00F9360C"/>
    <w:rsid w:val="00F95FE5"/>
    <w:rsid w:val="00F96E61"/>
    <w:rsid w:val="00F9741A"/>
    <w:rsid w:val="00FA1393"/>
    <w:rsid w:val="00FA18B4"/>
    <w:rsid w:val="00FA1F53"/>
    <w:rsid w:val="00FA2095"/>
    <w:rsid w:val="00FA2337"/>
    <w:rsid w:val="00FA244D"/>
    <w:rsid w:val="00FA31EB"/>
    <w:rsid w:val="00FA7224"/>
    <w:rsid w:val="00FB1215"/>
    <w:rsid w:val="00FB2935"/>
    <w:rsid w:val="00FB2F3B"/>
    <w:rsid w:val="00FB3D8E"/>
    <w:rsid w:val="00FB4CB0"/>
    <w:rsid w:val="00FB608E"/>
    <w:rsid w:val="00FB6392"/>
    <w:rsid w:val="00FB6B49"/>
    <w:rsid w:val="00FC39BA"/>
    <w:rsid w:val="00FC3DAC"/>
    <w:rsid w:val="00FC5864"/>
    <w:rsid w:val="00FD037F"/>
    <w:rsid w:val="00FD1428"/>
    <w:rsid w:val="00FD1FD5"/>
    <w:rsid w:val="00FD20C5"/>
    <w:rsid w:val="00FD2761"/>
    <w:rsid w:val="00FD2AA0"/>
    <w:rsid w:val="00FD37B5"/>
    <w:rsid w:val="00FD4568"/>
    <w:rsid w:val="00FD5B5E"/>
    <w:rsid w:val="00FD613E"/>
    <w:rsid w:val="00FD6F4D"/>
    <w:rsid w:val="00FD728F"/>
    <w:rsid w:val="00FD79ED"/>
    <w:rsid w:val="00FE0559"/>
    <w:rsid w:val="00FE05A0"/>
    <w:rsid w:val="00FE12FC"/>
    <w:rsid w:val="00FE35B7"/>
    <w:rsid w:val="00FE3884"/>
    <w:rsid w:val="00FE3FCF"/>
    <w:rsid w:val="00FE7260"/>
    <w:rsid w:val="00FF025A"/>
    <w:rsid w:val="00FF2C7E"/>
    <w:rsid w:val="00FF2E19"/>
    <w:rsid w:val="00FF3426"/>
    <w:rsid w:val="00FF756F"/>
    <w:rsid w:val="068871D3"/>
    <w:rsid w:val="13601444"/>
    <w:rsid w:val="18366BC7"/>
    <w:rsid w:val="1FBA0FE8"/>
    <w:rsid w:val="209E23A2"/>
    <w:rsid w:val="2931106D"/>
    <w:rsid w:val="2E3062E9"/>
    <w:rsid w:val="2F482480"/>
    <w:rsid w:val="32CA560A"/>
    <w:rsid w:val="35DB735F"/>
    <w:rsid w:val="3B6B57AE"/>
    <w:rsid w:val="47D112B6"/>
    <w:rsid w:val="488476A0"/>
    <w:rsid w:val="4B58423A"/>
    <w:rsid w:val="4C657BC2"/>
    <w:rsid w:val="4D3407EF"/>
    <w:rsid w:val="4D9F7AE3"/>
    <w:rsid w:val="50746AF7"/>
    <w:rsid w:val="509B4C3D"/>
    <w:rsid w:val="54F37E42"/>
    <w:rsid w:val="588A3951"/>
    <w:rsid w:val="5CAE21E0"/>
    <w:rsid w:val="5D552E23"/>
    <w:rsid w:val="62E45F33"/>
    <w:rsid w:val="636F215B"/>
    <w:rsid w:val="67D12EC4"/>
    <w:rsid w:val="790131F5"/>
    <w:rsid w:val="7D984A6F"/>
    <w:rsid w:val="7FFB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38"/>
    <w:qFormat/>
    <w:uiPriority w:val="0"/>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39"/>
    <w:unhideWhenUsed/>
    <w:qFormat/>
    <w:uiPriority w:val="0"/>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40"/>
    <w:unhideWhenUsed/>
    <w:qFormat/>
    <w:uiPriority w:val="0"/>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41"/>
    <w:semiHidden/>
    <w:unhideWhenUsed/>
    <w:qFormat/>
    <w:uiPriority w:val="0"/>
    <w:pPr>
      <w:keepNext/>
      <w:numPr>
        <w:ilvl w:val="3"/>
        <w:numId w:val="1"/>
      </w:numPr>
      <w:tabs>
        <w:tab w:val="left" w:pos="360"/>
      </w:tabs>
      <w:spacing w:before="240" w:after="60"/>
      <w:ind w:left="0" w:firstLine="0"/>
      <w:outlineLvl w:val="3"/>
    </w:pPr>
    <w:rPr>
      <w:rFonts w:cstheme="majorBidi"/>
      <w:b/>
      <w:bCs/>
      <w:sz w:val="28"/>
      <w:szCs w:val="28"/>
    </w:rPr>
  </w:style>
  <w:style w:type="paragraph" w:styleId="6">
    <w:name w:val="heading 5"/>
    <w:basedOn w:val="1"/>
    <w:next w:val="1"/>
    <w:link w:val="42"/>
    <w:semiHidden/>
    <w:unhideWhenUsed/>
    <w:qFormat/>
    <w:uiPriority w:val="0"/>
    <w:pPr>
      <w:numPr>
        <w:ilvl w:val="4"/>
        <w:numId w:val="1"/>
      </w:numPr>
      <w:tabs>
        <w:tab w:val="left" w:pos="360"/>
      </w:tabs>
      <w:spacing w:before="240" w:after="60"/>
      <w:ind w:left="0" w:firstLine="0"/>
      <w:outlineLvl w:val="4"/>
    </w:pPr>
    <w:rPr>
      <w:b/>
      <w:bCs/>
      <w:i/>
      <w:iCs/>
      <w:sz w:val="26"/>
      <w:szCs w:val="26"/>
    </w:rPr>
  </w:style>
  <w:style w:type="paragraph" w:styleId="7">
    <w:name w:val="heading 6"/>
    <w:basedOn w:val="1"/>
    <w:next w:val="1"/>
    <w:link w:val="43"/>
    <w:semiHidden/>
    <w:unhideWhenUsed/>
    <w:qFormat/>
    <w:uiPriority w:val="0"/>
    <w:pPr>
      <w:numPr>
        <w:ilvl w:val="5"/>
        <w:numId w:val="1"/>
      </w:numPr>
      <w:tabs>
        <w:tab w:val="left" w:pos="360"/>
      </w:tabs>
      <w:spacing w:before="240" w:after="60"/>
      <w:ind w:left="0" w:firstLine="0"/>
      <w:outlineLvl w:val="5"/>
    </w:pPr>
    <w:rPr>
      <w:rFonts w:cstheme="majorBidi"/>
      <w:b/>
      <w:bCs/>
      <w:sz w:val="22"/>
      <w:szCs w:val="22"/>
    </w:rPr>
  </w:style>
  <w:style w:type="paragraph" w:styleId="8">
    <w:name w:val="heading 7"/>
    <w:basedOn w:val="1"/>
    <w:next w:val="1"/>
    <w:link w:val="44"/>
    <w:semiHidden/>
    <w:unhideWhenUsed/>
    <w:qFormat/>
    <w:uiPriority w:val="0"/>
    <w:pPr>
      <w:numPr>
        <w:ilvl w:val="6"/>
        <w:numId w:val="1"/>
      </w:numPr>
      <w:tabs>
        <w:tab w:val="left" w:pos="360"/>
      </w:tabs>
      <w:spacing w:before="240" w:after="60"/>
      <w:ind w:left="0" w:firstLine="0"/>
      <w:outlineLvl w:val="6"/>
    </w:pPr>
  </w:style>
  <w:style w:type="paragraph" w:styleId="9">
    <w:name w:val="heading 8"/>
    <w:basedOn w:val="1"/>
    <w:next w:val="1"/>
    <w:link w:val="45"/>
    <w:semiHidden/>
    <w:unhideWhenUsed/>
    <w:qFormat/>
    <w:uiPriority w:val="0"/>
    <w:pPr>
      <w:numPr>
        <w:ilvl w:val="7"/>
        <w:numId w:val="1"/>
      </w:numPr>
      <w:tabs>
        <w:tab w:val="left" w:pos="360"/>
      </w:tabs>
      <w:spacing w:before="240" w:after="60"/>
      <w:ind w:left="0" w:firstLine="0"/>
      <w:outlineLvl w:val="7"/>
    </w:pPr>
    <w:rPr>
      <w:rFonts w:cstheme="majorBidi"/>
      <w:i/>
      <w:iCs/>
    </w:rPr>
  </w:style>
  <w:style w:type="paragraph" w:styleId="10">
    <w:name w:val="heading 9"/>
    <w:basedOn w:val="1"/>
    <w:next w:val="1"/>
    <w:link w:val="46"/>
    <w:semiHidden/>
    <w:unhideWhenUsed/>
    <w:qFormat/>
    <w:uiPriority w:val="0"/>
    <w:pPr>
      <w:numPr>
        <w:ilvl w:val="8"/>
        <w:numId w:val="1"/>
      </w:numPr>
      <w:tabs>
        <w:tab w:val="left" w:pos="360"/>
      </w:tabs>
      <w:spacing w:before="240" w:after="60"/>
      <w:ind w:left="0" w:firstLine="0"/>
      <w:outlineLvl w:val="8"/>
    </w:pPr>
    <w:rPr>
      <w:rFonts w:asciiTheme="majorHAnsi" w:hAnsiTheme="majorHAnsi" w:eastAsiaTheme="majorEastAsia" w:cstheme="majorBidi"/>
      <w:sz w:val="22"/>
      <w:szCs w:val="2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autoSpaceDE w:val="0"/>
      <w:autoSpaceDN w:val="0"/>
      <w:adjustRightInd w:val="0"/>
      <w:ind w:firstLine="420"/>
    </w:pPr>
    <w:rPr>
      <w:rFonts w:ascii="Copperplate Gothic Bold" w:hAnsi="Copperplate Gothic Bold"/>
      <w:sz w:val="28"/>
      <w:szCs w:val="28"/>
    </w:rPr>
  </w:style>
  <w:style w:type="paragraph" w:styleId="12">
    <w:name w:val="header"/>
    <w:basedOn w:val="1"/>
    <w:link w:val="4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48"/>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49"/>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link w:val="50"/>
    <w:unhideWhenUsed/>
    <w:qFormat/>
    <w:uiPriority w:val="0"/>
    <w:pPr>
      <w:spacing w:after="120"/>
    </w:pPr>
  </w:style>
  <w:style w:type="paragraph" w:styleId="17">
    <w:name w:val="Body Text Indent"/>
    <w:basedOn w:val="1"/>
    <w:link w:val="51"/>
    <w:semiHidden/>
    <w:unhideWhenUsed/>
    <w:qFormat/>
    <w:uiPriority w:val="99"/>
    <w:pPr>
      <w:spacing w:after="120"/>
      <w:ind w:left="420" w:leftChars="200"/>
    </w:pPr>
  </w:style>
  <w:style w:type="paragraph" w:styleId="18">
    <w:name w:val="Plain Text"/>
    <w:basedOn w:val="1"/>
    <w:link w:val="52"/>
    <w:unhideWhenUsed/>
    <w:qFormat/>
    <w:uiPriority w:val="99"/>
    <w:rPr>
      <w:rFonts w:ascii="宋体" w:hAnsi="Courier New" w:eastAsia="宋体" w:cs="Courier New"/>
      <w:sz w:val="21"/>
      <w:szCs w:val="21"/>
    </w:rPr>
  </w:style>
  <w:style w:type="paragraph" w:styleId="19">
    <w:name w:val="Date"/>
    <w:basedOn w:val="1"/>
    <w:next w:val="1"/>
    <w:link w:val="53"/>
    <w:semiHidden/>
    <w:unhideWhenUsed/>
    <w:qFormat/>
    <w:uiPriority w:val="99"/>
    <w:pPr>
      <w:ind w:left="100" w:leftChars="2500"/>
    </w:pPr>
  </w:style>
  <w:style w:type="paragraph" w:styleId="20">
    <w:name w:val="Balloon Text"/>
    <w:basedOn w:val="1"/>
    <w:link w:val="54"/>
    <w:semiHidden/>
    <w:unhideWhenUsed/>
    <w:qFormat/>
    <w:uiPriority w:val="99"/>
    <w:rPr>
      <w:sz w:val="18"/>
      <w:szCs w:val="18"/>
    </w:rPr>
  </w:style>
  <w:style w:type="paragraph" w:styleId="21">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2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3">
    <w:name w:val="Subtitle"/>
    <w:basedOn w:val="1"/>
    <w:next w:val="1"/>
    <w:link w:val="56"/>
    <w:qFormat/>
    <w:uiPriority w:val="11"/>
    <w:pPr>
      <w:keepNext/>
      <w:spacing w:before="50" w:beforeLines="50" w:after="50" w:afterLines="50"/>
      <w:jc w:val="center"/>
      <w:outlineLvl w:val="1"/>
    </w:pPr>
    <w:rPr>
      <w:rFonts w:ascii="Calibri" w:hAnsi="Calibri" w:eastAsia="黑体" w:cstheme="majorBidi"/>
      <w:sz w:val="32"/>
    </w:rPr>
  </w:style>
  <w:style w:type="paragraph" w:styleId="24">
    <w:name w:val="Normal (Web)"/>
    <w:basedOn w:val="1"/>
    <w:qFormat/>
    <w:uiPriority w:val="0"/>
  </w:style>
  <w:style w:type="paragraph" w:styleId="25">
    <w:name w:val="Title"/>
    <w:basedOn w:val="1"/>
    <w:next w:val="1"/>
    <w:link w:val="5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6">
    <w:name w:val="annotation subject"/>
    <w:basedOn w:val="15"/>
    <w:next w:val="15"/>
    <w:link w:val="58"/>
    <w:semiHidden/>
    <w:unhideWhenUsed/>
    <w:qFormat/>
    <w:uiPriority w:val="99"/>
    <w:rPr>
      <w:b/>
      <w:bCs/>
    </w:rPr>
  </w:style>
  <w:style w:type="paragraph" w:styleId="27">
    <w:name w:val="Body Text First Indent"/>
    <w:basedOn w:val="16"/>
    <w:link w:val="59"/>
    <w:qFormat/>
    <w:uiPriority w:val="0"/>
    <w:pPr>
      <w:widowControl w:val="0"/>
      <w:ind w:firstLine="420" w:firstLineChars="100"/>
      <w:jc w:val="both"/>
    </w:pPr>
    <w:rPr>
      <w:rFonts w:ascii="Times New Roman" w:hAnsi="Times New Roman" w:eastAsia="宋体"/>
      <w:kern w:val="2"/>
      <w:sz w:val="21"/>
    </w:rPr>
  </w:style>
  <w:style w:type="paragraph" w:styleId="28">
    <w:name w:val="Body Text First Indent 2"/>
    <w:basedOn w:val="17"/>
    <w:link w:val="60"/>
    <w:semiHidden/>
    <w:unhideWhenUsed/>
    <w:qFormat/>
    <w:uiPriority w:val="99"/>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qFormat/>
    <w:uiPriority w:val="0"/>
    <w:rPr>
      <w:rFonts w:ascii="Times New Roman" w:hAnsi="Times New Roman" w:eastAsia="宋体" w:cs="Times New Roman"/>
    </w:rPr>
  </w:style>
  <w:style w:type="character" w:styleId="34">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5">
    <w:name w:val="Emphasis"/>
    <w:basedOn w:val="31"/>
    <w:qFormat/>
    <w:uiPriority w:val="20"/>
    <w:rPr>
      <w:rFonts w:asciiTheme="minorHAnsi" w:hAnsiTheme="minorHAnsi"/>
      <w:b/>
      <w:i/>
      <w:iCs/>
    </w:rPr>
  </w:style>
  <w:style w:type="character" w:styleId="36">
    <w:name w:val="Hyperlink"/>
    <w:basedOn w:val="31"/>
    <w:unhideWhenUsed/>
    <w:qFormat/>
    <w:uiPriority w:val="99"/>
    <w:rPr>
      <w:color w:val="0563C1" w:themeColor="hyperlink"/>
      <w:u w:val="single"/>
      <w14:textFill>
        <w14:solidFill>
          <w14:schemeClr w14:val="hlink"/>
        </w14:solidFill>
      </w14:textFill>
    </w:rPr>
  </w:style>
  <w:style w:type="character" w:styleId="37">
    <w:name w:val="annotation reference"/>
    <w:basedOn w:val="31"/>
    <w:semiHidden/>
    <w:unhideWhenUsed/>
    <w:qFormat/>
    <w:uiPriority w:val="99"/>
    <w:rPr>
      <w:sz w:val="21"/>
      <w:szCs w:val="21"/>
    </w:rPr>
  </w:style>
  <w:style w:type="character" w:customStyle="1" w:styleId="38">
    <w:name w:val="标题 1 Char"/>
    <w:basedOn w:val="31"/>
    <w:link w:val="2"/>
    <w:qFormat/>
    <w:uiPriority w:val="0"/>
    <w:rPr>
      <w:rFonts w:ascii="Calibri" w:hAnsi="Calibri" w:eastAsia="黑体"/>
      <w:bCs/>
      <w:kern w:val="36"/>
      <w:sz w:val="32"/>
      <w:szCs w:val="32"/>
    </w:rPr>
  </w:style>
  <w:style w:type="character" w:customStyle="1" w:styleId="39">
    <w:name w:val="标题 2 Char"/>
    <w:basedOn w:val="31"/>
    <w:link w:val="3"/>
    <w:qFormat/>
    <w:uiPriority w:val="0"/>
    <w:rPr>
      <w:rFonts w:ascii="Calibri" w:hAnsi="Calibri" w:eastAsia="黑体" w:cstheme="majorBidi"/>
      <w:bCs/>
      <w:iCs/>
      <w:kern w:val="32"/>
      <w:sz w:val="28"/>
      <w:szCs w:val="28"/>
    </w:rPr>
  </w:style>
  <w:style w:type="character" w:customStyle="1" w:styleId="40">
    <w:name w:val="标题 3 Char"/>
    <w:basedOn w:val="31"/>
    <w:link w:val="4"/>
    <w:qFormat/>
    <w:uiPriority w:val="0"/>
    <w:rPr>
      <w:rFonts w:ascii="Calibri Light" w:hAnsi="Calibri Light" w:eastAsia="宋体"/>
      <w:b/>
      <w:bCs/>
      <w:kern w:val="30"/>
      <w:sz w:val="24"/>
      <w:szCs w:val="26"/>
    </w:rPr>
  </w:style>
  <w:style w:type="character" w:customStyle="1" w:styleId="41">
    <w:name w:val="标题 4 Char"/>
    <w:basedOn w:val="31"/>
    <w:link w:val="5"/>
    <w:qFormat/>
    <w:uiPriority w:val="0"/>
    <w:rPr>
      <w:rFonts w:cstheme="majorBidi"/>
      <w:b/>
      <w:bCs/>
      <w:sz w:val="28"/>
      <w:szCs w:val="28"/>
    </w:rPr>
  </w:style>
  <w:style w:type="character" w:customStyle="1" w:styleId="42">
    <w:name w:val="标题 5 Char"/>
    <w:basedOn w:val="31"/>
    <w:link w:val="6"/>
    <w:qFormat/>
    <w:uiPriority w:val="0"/>
    <w:rPr>
      <w:b/>
      <w:bCs/>
      <w:i/>
      <w:iCs/>
      <w:sz w:val="26"/>
      <w:szCs w:val="26"/>
    </w:rPr>
  </w:style>
  <w:style w:type="character" w:customStyle="1" w:styleId="43">
    <w:name w:val="标题 6 Char"/>
    <w:basedOn w:val="31"/>
    <w:link w:val="7"/>
    <w:qFormat/>
    <w:uiPriority w:val="9"/>
    <w:rPr>
      <w:rFonts w:cstheme="majorBidi"/>
      <w:b/>
      <w:bCs/>
    </w:rPr>
  </w:style>
  <w:style w:type="character" w:customStyle="1" w:styleId="44">
    <w:name w:val="标题 7 Char"/>
    <w:basedOn w:val="31"/>
    <w:link w:val="8"/>
    <w:semiHidden/>
    <w:qFormat/>
    <w:uiPriority w:val="9"/>
    <w:rPr>
      <w:sz w:val="24"/>
      <w:szCs w:val="24"/>
    </w:rPr>
  </w:style>
  <w:style w:type="character" w:customStyle="1" w:styleId="45">
    <w:name w:val="标题 8 Char"/>
    <w:basedOn w:val="31"/>
    <w:link w:val="9"/>
    <w:semiHidden/>
    <w:qFormat/>
    <w:uiPriority w:val="9"/>
    <w:rPr>
      <w:rFonts w:cstheme="majorBidi"/>
      <w:i/>
      <w:iCs/>
      <w:sz w:val="24"/>
      <w:szCs w:val="24"/>
    </w:rPr>
  </w:style>
  <w:style w:type="character" w:customStyle="1" w:styleId="46">
    <w:name w:val="标题 9 Char"/>
    <w:basedOn w:val="31"/>
    <w:link w:val="10"/>
    <w:semiHidden/>
    <w:qFormat/>
    <w:uiPriority w:val="9"/>
    <w:rPr>
      <w:rFonts w:asciiTheme="majorHAnsi" w:hAnsiTheme="majorHAnsi" w:eastAsiaTheme="majorEastAsia" w:cstheme="majorBidi"/>
    </w:rPr>
  </w:style>
  <w:style w:type="character" w:customStyle="1" w:styleId="47">
    <w:name w:val="页眉 Char"/>
    <w:basedOn w:val="31"/>
    <w:link w:val="12"/>
    <w:qFormat/>
    <w:uiPriority w:val="99"/>
    <w:rPr>
      <w:rFonts w:ascii="华文仿宋" w:hAnsi="华文仿宋" w:eastAsia="华文仿宋"/>
      <w:sz w:val="18"/>
      <w:szCs w:val="18"/>
    </w:rPr>
  </w:style>
  <w:style w:type="character" w:customStyle="1" w:styleId="48">
    <w:name w:val="文档结构图 Char"/>
    <w:basedOn w:val="31"/>
    <w:link w:val="14"/>
    <w:semiHidden/>
    <w:qFormat/>
    <w:uiPriority w:val="99"/>
    <w:rPr>
      <w:rFonts w:ascii="宋体" w:hAnsi="Calibri Light" w:eastAsia="宋体" w:cs="Calibri Light"/>
      <w:kern w:val="2"/>
      <w:sz w:val="18"/>
      <w:szCs w:val="18"/>
    </w:rPr>
  </w:style>
  <w:style w:type="character" w:customStyle="1" w:styleId="49">
    <w:name w:val="批注文字 Char"/>
    <w:basedOn w:val="31"/>
    <w:link w:val="15"/>
    <w:qFormat/>
    <w:uiPriority w:val="99"/>
    <w:rPr>
      <w:rFonts w:ascii="Calibri Light" w:hAnsi="Calibri Light" w:eastAsia="华文仿宋" w:cs="Calibri Light"/>
      <w:kern w:val="2"/>
      <w:sz w:val="28"/>
      <w:szCs w:val="28"/>
    </w:rPr>
  </w:style>
  <w:style w:type="character" w:customStyle="1" w:styleId="50">
    <w:name w:val="正文文本 Char"/>
    <w:basedOn w:val="31"/>
    <w:link w:val="16"/>
    <w:semiHidden/>
    <w:qFormat/>
    <w:uiPriority w:val="99"/>
    <w:rPr>
      <w:sz w:val="24"/>
      <w:szCs w:val="24"/>
    </w:rPr>
  </w:style>
  <w:style w:type="character" w:customStyle="1" w:styleId="51">
    <w:name w:val="正文文本缩进 Char"/>
    <w:basedOn w:val="31"/>
    <w:link w:val="17"/>
    <w:semiHidden/>
    <w:qFormat/>
    <w:uiPriority w:val="99"/>
    <w:rPr>
      <w:sz w:val="24"/>
      <w:szCs w:val="24"/>
    </w:rPr>
  </w:style>
  <w:style w:type="character" w:customStyle="1" w:styleId="52">
    <w:name w:val="纯文本 Char"/>
    <w:basedOn w:val="31"/>
    <w:link w:val="18"/>
    <w:qFormat/>
    <w:uiPriority w:val="0"/>
    <w:rPr>
      <w:rFonts w:ascii="宋体" w:hAnsi="Courier New" w:eastAsia="宋体" w:cs="Courier New"/>
      <w:sz w:val="21"/>
      <w:szCs w:val="21"/>
    </w:rPr>
  </w:style>
  <w:style w:type="character" w:customStyle="1" w:styleId="53">
    <w:name w:val="日期 Char"/>
    <w:basedOn w:val="31"/>
    <w:link w:val="19"/>
    <w:semiHidden/>
    <w:qFormat/>
    <w:uiPriority w:val="99"/>
    <w:rPr>
      <w:rFonts w:ascii="华文仿宋" w:hAnsi="华文仿宋" w:eastAsia="华文仿宋"/>
      <w:sz w:val="28"/>
      <w:szCs w:val="28"/>
    </w:rPr>
  </w:style>
  <w:style w:type="character" w:customStyle="1" w:styleId="54">
    <w:name w:val="批注框文本 Char"/>
    <w:basedOn w:val="31"/>
    <w:link w:val="20"/>
    <w:semiHidden/>
    <w:qFormat/>
    <w:uiPriority w:val="99"/>
    <w:rPr>
      <w:sz w:val="18"/>
      <w:szCs w:val="18"/>
    </w:rPr>
  </w:style>
  <w:style w:type="character" w:customStyle="1" w:styleId="55">
    <w:name w:val="页脚 Char"/>
    <w:basedOn w:val="31"/>
    <w:link w:val="21"/>
    <w:qFormat/>
    <w:uiPriority w:val="99"/>
    <w:rPr>
      <w:rFonts w:ascii="华文仿宋" w:hAnsi="华文仿宋" w:eastAsia="华文仿宋"/>
      <w:sz w:val="18"/>
      <w:szCs w:val="18"/>
    </w:rPr>
  </w:style>
  <w:style w:type="character" w:customStyle="1" w:styleId="56">
    <w:name w:val="副标题 Char"/>
    <w:basedOn w:val="31"/>
    <w:link w:val="23"/>
    <w:qFormat/>
    <w:uiPriority w:val="11"/>
    <w:rPr>
      <w:rFonts w:ascii="Calibri" w:hAnsi="Calibri" w:eastAsia="黑体" w:cstheme="majorBidi"/>
      <w:sz w:val="32"/>
      <w:szCs w:val="24"/>
    </w:rPr>
  </w:style>
  <w:style w:type="character" w:customStyle="1" w:styleId="57">
    <w:name w:val="标题 Char"/>
    <w:basedOn w:val="31"/>
    <w:link w:val="25"/>
    <w:qFormat/>
    <w:uiPriority w:val="10"/>
    <w:rPr>
      <w:rFonts w:asciiTheme="majorHAnsi" w:hAnsiTheme="majorHAnsi" w:eastAsiaTheme="majorEastAsia" w:cstheme="majorBidi"/>
      <w:b/>
      <w:bCs/>
      <w:kern w:val="28"/>
      <w:sz w:val="32"/>
      <w:szCs w:val="32"/>
    </w:rPr>
  </w:style>
  <w:style w:type="character" w:customStyle="1" w:styleId="58">
    <w:name w:val="批注主题 Char"/>
    <w:basedOn w:val="49"/>
    <w:link w:val="26"/>
    <w:semiHidden/>
    <w:qFormat/>
    <w:uiPriority w:val="99"/>
    <w:rPr>
      <w:rFonts w:ascii="Calibri Light" w:hAnsi="Calibri Light" w:eastAsia="华文仿宋" w:cs="Calibri Light"/>
      <w:b/>
      <w:bCs/>
      <w:kern w:val="2"/>
      <w:sz w:val="28"/>
      <w:szCs w:val="28"/>
    </w:rPr>
  </w:style>
  <w:style w:type="character" w:customStyle="1" w:styleId="59">
    <w:name w:val="正文首行缩进 Char"/>
    <w:basedOn w:val="50"/>
    <w:link w:val="27"/>
    <w:qFormat/>
    <w:uiPriority w:val="0"/>
    <w:rPr>
      <w:rFonts w:ascii="Times New Roman" w:hAnsi="Times New Roman" w:eastAsia="宋体"/>
      <w:kern w:val="2"/>
      <w:sz w:val="21"/>
      <w:szCs w:val="24"/>
    </w:rPr>
  </w:style>
  <w:style w:type="character" w:customStyle="1" w:styleId="60">
    <w:name w:val="正文首行缩进 2 Char"/>
    <w:basedOn w:val="51"/>
    <w:link w:val="28"/>
    <w:semiHidden/>
    <w:qFormat/>
    <w:uiPriority w:val="99"/>
    <w:rPr>
      <w:sz w:val="24"/>
      <w:szCs w:val="24"/>
    </w:rPr>
  </w:style>
  <w:style w:type="paragraph" w:customStyle="1" w:styleId="61">
    <w:name w:val="※封面大标题"/>
    <w:basedOn w:val="1"/>
    <w:next w:val="1"/>
    <w:qFormat/>
    <w:uiPriority w:val="0"/>
    <w:pPr>
      <w:jc w:val="center"/>
    </w:pPr>
    <w:rPr>
      <w:rFonts w:ascii="华文中宋" w:hAnsi="华文中宋" w:eastAsia="华文中宋"/>
      <w:sz w:val="96"/>
      <w:szCs w:val="96"/>
    </w:rPr>
  </w:style>
  <w:style w:type="paragraph" w:customStyle="1" w:styleId="62">
    <w:name w:val="※封面题颌"/>
    <w:basedOn w:val="1"/>
    <w:next w:val="1"/>
    <w:qFormat/>
    <w:uiPriority w:val="0"/>
    <w:pPr>
      <w:jc w:val="center"/>
    </w:pPr>
    <w:rPr>
      <w:rFonts w:ascii="Calibri Light" w:hAnsi="Calibri Light" w:eastAsia="华文仿宋"/>
      <w:sz w:val="36"/>
      <w:szCs w:val="36"/>
    </w:rPr>
  </w:style>
  <w:style w:type="paragraph" w:customStyle="1" w:styleId="63">
    <w:name w:val="※封面题眉"/>
    <w:basedOn w:val="1"/>
    <w:next w:val="61"/>
    <w:qFormat/>
    <w:uiPriority w:val="0"/>
    <w:pPr>
      <w:jc w:val="center"/>
    </w:pPr>
    <w:rPr>
      <w:rFonts w:ascii="华文仿宋" w:hAnsi="华文仿宋" w:eastAsia="华文仿宋"/>
      <w:sz w:val="52"/>
      <w:szCs w:val="28"/>
    </w:rPr>
  </w:style>
  <w:style w:type="paragraph" w:customStyle="1" w:styleId="64">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65">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6">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9">
    <w:name w:val="※小标题 一"/>
    <w:basedOn w:val="68"/>
    <w:next w:val="68"/>
    <w:qFormat/>
    <w:uiPriority w:val="0"/>
    <w:pPr>
      <w:spacing w:before="120" w:line="240" w:lineRule="auto"/>
      <w:outlineLvl w:val="2"/>
    </w:pPr>
    <w:rPr>
      <w:b/>
      <w:color w:val="203864" w:themeColor="accent5" w:themeShade="80"/>
      <w:sz w:val="32"/>
    </w:rPr>
  </w:style>
  <w:style w:type="paragraph" w:customStyle="1" w:styleId="70">
    <w:name w:val="※小标题（1）"/>
    <w:basedOn w:val="1"/>
    <w:next w:val="68"/>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71">
    <w:name w:val="※小标题（一）"/>
    <w:basedOn w:val="1"/>
    <w:next w:val="68"/>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72">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73">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74">
    <w:name w:val="※页眉"/>
    <w:basedOn w:val="68"/>
    <w:qFormat/>
    <w:uiPriority w:val="0"/>
    <w:pPr>
      <w:pBdr>
        <w:bottom w:val="single" w:color="auto" w:sz="4" w:space="1"/>
      </w:pBdr>
      <w:spacing w:line="240" w:lineRule="atLeast"/>
      <w:jc w:val="right"/>
    </w:pPr>
    <w:rPr>
      <w:rFonts w:ascii="宋体" w:hAnsi="宋体" w:eastAsia="宋体"/>
      <w:sz w:val="18"/>
    </w:rPr>
  </w:style>
  <w:style w:type="paragraph" w:customStyle="1" w:styleId="75">
    <w:name w:val="※章节标题（第X章）"/>
    <w:basedOn w:val="1"/>
    <w:qFormat/>
    <w:uiPriority w:val="0"/>
    <w:pPr>
      <w:jc w:val="center"/>
      <w:outlineLvl w:val="0"/>
    </w:pPr>
    <w:rPr>
      <w:rFonts w:ascii="Calibri Light" w:hAnsi="Calibri Light" w:eastAsia="黑体"/>
      <w:sz w:val="36"/>
      <w:szCs w:val="28"/>
    </w:rPr>
  </w:style>
  <w:style w:type="paragraph" w:customStyle="1" w:styleId="7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77">
    <w:name w:val="※章节标题（第Z部分分项）"/>
    <w:basedOn w:val="76"/>
    <w:qFormat/>
    <w:uiPriority w:val="0"/>
    <w:pPr>
      <w:outlineLvl w:val="2"/>
    </w:pPr>
  </w:style>
  <w:style w:type="paragraph" w:customStyle="1" w:styleId="78">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9">
    <w:name w:val="※正文（缩进2）"/>
    <w:basedOn w:val="68"/>
    <w:qFormat/>
    <w:uiPriority w:val="0"/>
    <w:pPr>
      <w:ind w:firstLine="200" w:firstLineChars="200"/>
    </w:pPr>
  </w:style>
  <w:style w:type="paragraph" w:customStyle="1" w:styleId="80">
    <w:name w:val="※正文（缩进4）"/>
    <w:basedOn w:val="68"/>
    <w:qFormat/>
    <w:uiPriority w:val="0"/>
    <w:pPr>
      <w:ind w:firstLine="400" w:firstLineChars="400"/>
    </w:pPr>
  </w:style>
  <w:style w:type="paragraph" w:styleId="81">
    <w:name w:val="No Spacing"/>
    <w:basedOn w:val="1"/>
    <w:qFormat/>
    <w:uiPriority w:val="1"/>
    <w:rPr>
      <w:szCs w:val="32"/>
    </w:rPr>
  </w:style>
  <w:style w:type="paragraph" w:styleId="82">
    <w:name w:val="List Paragraph"/>
    <w:basedOn w:val="1"/>
    <w:link w:val="83"/>
    <w:qFormat/>
    <w:uiPriority w:val="34"/>
    <w:pPr>
      <w:ind w:left="720"/>
      <w:contextualSpacing/>
    </w:pPr>
  </w:style>
  <w:style w:type="character" w:customStyle="1" w:styleId="83">
    <w:name w:val="列出段落 Char"/>
    <w:link w:val="82"/>
    <w:qFormat/>
    <w:uiPriority w:val="34"/>
    <w:rPr>
      <w:sz w:val="24"/>
      <w:szCs w:val="24"/>
    </w:rPr>
  </w:style>
  <w:style w:type="paragraph" w:styleId="84">
    <w:name w:val="Quote"/>
    <w:basedOn w:val="1"/>
    <w:next w:val="1"/>
    <w:link w:val="85"/>
    <w:qFormat/>
    <w:uiPriority w:val="29"/>
    <w:rPr>
      <w:i/>
    </w:rPr>
  </w:style>
  <w:style w:type="character" w:customStyle="1" w:styleId="85">
    <w:name w:val="引用 Char"/>
    <w:basedOn w:val="31"/>
    <w:link w:val="84"/>
    <w:qFormat/>
    <w:uiPriority w:val="29"/>
    <w:rPr>
      <w:i/>
      <w:sz w:val="24"/>
      <w:szCs w:val="24"/>
    </w:rPr>
  </w:style>
  <w:style w:type="paragraph" w:styleId="86">
    <w:name w:val="Intense Quote"/>
    <w:basedOn w:val="1"/>
    <w:next w:val="1"/>
    <w:link w:val="87"/>
    <w:qFormat/>
    <w:uiPriority w:val="30"/>
    <w:pPr>
      <w:ind w:left="720" w:right="720"/>
    </w:pPr>
    <w:rPr>
      <w:b/>
      <w:i/>
      <w:szCs w:val="22"/>
    </w:rPr>
  </w:style>
  <w:style w:type="character" w:customStyle="1" w:styleId="87">
    <w:name w:val="明显引用 Char"/>
    <w:basedOn w:val="31"/>
    <w:link w:val="86"/>
    <w:qFormat/>
    <w:uiPriority w:val="30"/>
    <w:rPr>
      <w:b/>
      <w:i/>
      <w:sz w:val="24"/>
    </w:rPr>
  </w:style>
  <w:style w:type="character" w:customStyle="1" w:styleId="8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9">
    <w:name w:val="明显强调1"/>
    <w:basedOn w:val="31"/>
    <w:qFormat/>
    <w:uiPriority w:val="21"/>
    <w:rPr>
      <w:b/>
      <w:i/>
      <w:sz w:val="24"/>
      <w:szCs w:val="24"/>
      <w:u w:val="single"/>
    </w:rPr>
  </w:style>
  <w:style w:type="character" w:customStyle="1" w:styleId="90">
    <w:name w:val="不明显参考1"/>
    <w:basedOn w:val="31"/>
    <w:qFormat/>
    <w:uiPriority w:val="31"/>
    <w:rPr>
      <w:sz w:val="24"/>
      <w:szCs w:val="24"/>
      <w:u w:val="single"/>
    </w:rPr>
  </w:style>
  <w:style w:type="character" w:customStyle="1" w:styleId="91">
    <w:name w:val="明显参考1"/>
    <w:basedOn w:val="31"/>
    <w:qFormat/>
    <w:uiPriority w:val="32"/>
    <w:rPr>
      <w:b/>
      <w:sz w:val="24"/>
      <w:u w:val="single"/>
    </w:rPr>
  </w:style>
  <w:style w:type="character" w:customStyle="1" w:styleId="92">
    <w:name w:val="书籍标题1"/>
    <w:basedOn w:val="31"/>
    <w:qFormat/>
    <w:uiPriority w:val="33"/>
    <w:rPr>
      <w:rFonts w:asciiTheme="majorHAnsi" w:hAnsiTheme="majorHAnsi" w:eastAsiaTheme="majorEastAsia"/>
      <w:b/>
      <w:i/>
      <w:sz w:val="24"/>
      <w:szCs w:val="24"/>
    </w:rPr>
  </w:style>
  <w:style w:type="paragraph" w:customStyle="1" w:styleId="93">
    <w:name w:val="TOC 标题1"/>
    <w:basedOn w:val="2"/>
    <w:next w:val="1"/>
    <w:semiHidden/>
    <w:unhideWhenUsed/>
    <w:qFormat/>
    <w:uiPriority w:val="39"/>
    <w:pPr>
      <w:outlineLvl w:val="9"/>
    </w:pPr>
  </w:style>
  <w:style w:type="paragraph" w:customStyle="1" w:styleId="94">
    <w:name w:val="@正文"/>
    <w:basedOn w:val="68"/>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5">
    <w:name w:val="@一级小标题"/>
    <w:basedOn w:val="1"/>
    <w:next w:val="94"/>
    <w:qFormat/>
    <w:uiPriority w:val="0"/>
    <w:pPr>
      <w:keepNext/>
      <w:spacing w:before="120" w:after="60"/>
      <w:outlineLvl w:val="2"/>
    </w:pPr>
    <w:rPr>
      <w:rFonts w:ascii="Calibri" w:hAnsi="Calibri" w:eastAsia="黑体"/>
      <w:kern w:val="28"/>
      <w:sz w:val="28"/>
    </w:rPr>
  </w:style>
  <w:style w:type="paragraph" w:customStyle="1" w:styleId="96">
    <w:name w:val="@标题"/>
    <w:basedOn w:val="1"/>
    <w:next w:val="94"/>
    <w:qFormat/>
    <w:uiPriority w:val="0"/>
    <w:pPr>
      <w:keepNext/>
      <w:spacing w:before="50" w:beforeLines="50" w:after="50" w:afterLines="50"/>
      <w:jc w:val="center"/>
      <w:outlineLvl w:val="1"/>
    </w:pPr>
    <w:rPr>
      <w:rFonts w:ascii="Calibri" w:hAnsi="Calibri" w:eastAsia="黑体"/>
      <w:kern w:val="32"/>
      <w:sz w:val="32"/>
    </w:rPr>
  </w:style>
  <w:style w:type="table" w:customStyle="1" w:styleId="97">
    <w:name w:val="网格型1"/>
    <w:basedOn w:val="29"/>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页眉 Char1"/>
    <w:basedOn w:val="31"/>
    <w:semiHidden/>
    <w:qFormat/>
    <w:uiPriority w:val="99"/>
    <w:rPr>
      <w:rFonts w:cs="Calibri Light"/>
      <w:sz w:val="18"/>
      <w:szCs w:val="18"/>
    </w:rPr>
  </w:style>
  <w:style w:type="character" w:customStyle="1" w:styleId="99">
    <w:name w:val="页脚 Char1"/>
    <w:basedOn w:val="31"/>
    <w:semiHidden/>
    <w:qFormat/>
    <w:uiPriority w:val="99"/>
    <w:rPr>
      <w:rFonts w:cs="Calibri Light"/>
      <w:sz w:val="18"/>
      <w:szCs w:val="18"/>
    </w:rPr>
  </w:style>
  <w:style w:type="character" w:styleId="100">
    <w:name w:val="Placeholder Text"/>
    <w:basedOn w:val="31"/>
    <w:semiHidden/>
    <w:qFormat/>
    <w:uiPriority w:val="99"/>
    <w:rPr>
      <w:color w:val="808080"/>
    </w:rPr>
  </w:style>
  <w:style w:type="table" w:customStyle="1" w:styleId="101">
    <w:name w:val="网格型11"/>
    <w:basedOn w:val="29"/>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网格型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Table Paragraph"/>
    <w:basedOn w:val="1"/>
    <w:qFormat/>
    <w:uiPriority w:val="1"/>
    <w:pPr>
      <w:widowControl w:val="0"/>
      <w:autoSpaceDE w:val="0"/>
      <w:autoSpaceDN w:val="0"/>
    </w:pPr>
    <w:rPr>
      <w:rFonts w:ascii="华文仿宋" w:hAnsi="华文仿宋" w:eastAsia="华文仿宋" w:cs="华文仿宋"/>
      <w:sz w:val="22"/>
      <w:szCs w:val="22"/>
      <w:lang w:val="zh-CN" w:bidi="zh-CN"/>
    </w:rPr>
  </w:style>
  <w:style w:type="character" w:customStyle="1" w:styleId="104">
    <w:name w:val="NormalCharacter"/>
    <w:qFormat/>
    <w:uiPriority w:val="0"/>
  </w:style>
  <w:style w:type="paragraph" w:customStyle="1" w:styleId="105">
    <w:name w:val="UserStyle_6"/>
    <w:basedOn w:val="1"/>
    <w:qFormat/>
    <w:uiPriority w:val="0"/>
    <w:pPr>
      <w:ind w:left="1736"/>
      <w:textAlignment w:val="baseline"/>
    </w:pPr>
    <w:rPr>
      <w:rFonts w:ascii="宋体" w:hAnsi="宋体" w:eastAsia="宋体" w:cstheme="minorBidi"/>
      <w:sz w:val="27"/>
      <w:szCs w:val="27"/>
      <w:lang w:eastAsia="en-US"/>
    </w:rPr>
  </w:style>
  <w:style w:type="paragraph" w:customStyle="1" w:styleId="106">
    <w:name w:val="font0"/>
    <w:basedOn w:val="1"/>
    <w:qFormat/>
    <w:uiPriority w:val="0"/>
    <w:pPr>
      <w:spacing w:before="100" w:beforeAutospacing="1" w:after="100" w:afterAutospacing="1"/>
    </w:pPr>
    <w:rPr>
      <w:rFonts w:ascii="宋体" w:hAnsi="宋体" w:eastAsia="宋体" w:cs="宋体"/>
      <w:color w:val="000000"/>
      <w:sz w:val="22"/>
      <w:szCs w:val="22"/>
    </w:rPr>
  </w:style>
  <w:style w:type="paragraph" w:customStyle="1" w:styleId="107">
    <w:name w:val="font5"/>
    <w:basedOn w:val="1"/>
    <w:qFormat/>
    <w:uiPriority w:val="0"/>
    <w:pPr>
      <w:spacing w:before="100" w:beforeAutospacing="1" w:after="100" w:afterAutospacing="1"/>
    </w:pPr>
    <w:rPr>
      <w:rFonts w:ascii="方正公文黑体" w:hAnsi="宋体" w:eastAsia="方正公文黑体" w:cs="宋体"/>
    </w:rPr>
  </w:style>
  <w:style w:type="paragraph" w:customStyle="1" w:styleId="108">
    <w:name w:val="font6"/>
    <w:basedOn w:val="1"/>
    <w:qFormat/>
    <w:uiPriority w:val="0"/>
    <w:pPr>
      <w:spacing w:before="100" w:beforeAutospacing="1" w:after="100" w:afterAutospacing="1"/>
    </w:pPr>
    <w:rPr>
      <w:rFonts w:ascii="方正公文黑体" w:hAnsi="宋体" w:eastAsia="方正公文黑体" w:cs="宋体"/>
      <w:sz w:val="20"/>
      <w:szCs w:val="20"/>
    </w:rPr>
  </w:style>
  <w:style w:type="paragraph" w:customStyle="1" w:styleId="109">
    <w:name w:val="font7"/>
    <w:basedOn w:val="1"/>
    <w:qFormat/>
    <w:uiPriority w:val="0"/>
    <w:pPr>
      <w:spacing w:before="100" w:beforeAutospacing="1" w:after="100" w:afterAutospacing="1"/>
    </w:pPr>
    <w:rPr>
      <w:rFonts w:ascii="方正公文黑体" w:hAnsi="宋体" w:eastAsia="方正公文黑体" w:cs="宋体"/>
      <w:sz w:val="22"/>
      <w:szCs w:val="22"/>
    </w:rPr>
  </w:style>
  <w:style w:type="paragraph" w:customStyle="1" w:styleId="110">
    <w:name w:val="font8"/>
    <w:basedOn w:val="1"/>
    <w:qFormat/>
    <w:uiPriority w:val="0"/>
    <w:pPr>
      <w:spacing w:before="100" w:beforeAutospacing="1" w:after="100" w:afterAutospacing="1"/>
    </w:pPr>
    <w:rPr>
      <w:rFonts w:ascii="方正公文黑体" w:hAnsi="宋体" w:eastAsia="方正公文黑体" w:cs="宋体"/>
      <w:b/>
      <w:bCs/>
      <w:color w:val="000000"/>
      <w:sz w:val="20"/>
      <w:szCs w:val="20"/>
    </w:rPr>
  </w:style>
  <w:style w:type="paragraph" w:customStyle="1" w:styleId="111">
    <w:name w:val="font9"/>
    <w:basedOn w:val="1"/>
    <w:qFormat/>
    <w:uiPriority w:val="0"/>
    <w:pPr>
      <w:spacing w:before="100" w:beforeAutospacing="1" w:after="100" w:afterAutospacing="1"/>
    </w:pPr>
    <w:rPr>
      <w:rFonts w:ascii="方正公文黑体" w:hAnsi="宋体" w:eastAsia="方正公文黑体" w:cs="宋体"/>
      <w:color w:val="000000"/>
      <w:sz w:val="20"/>
      <w:szCs w:val="20"/>
    </w:rPr>
  </w:style>
  <w:style w:type="paragraph" w:customStyle="1" w:styleId="112">
    <w:name w:val="font10"/>
    <w:basedOn w:val="1"/>
    <w:qFormat/>
    <w:uiPriority w:val="0"/>
    <w:pPr>
      <w:spacing w:before="100" w:beforeAutospacing="1" w:after="100" w:afterAutospacing="1"/>
    </w:pPr>
    <w:rPr>
      <w:rFonts w:ascii="宋体" w:hAnsi="宋体" w:eastAsia="宋体" w:cs="宋体"/>
      <w:b/>
      <w:bCs/>
      <w:color w:val="000000"/>
      <w:sz w:val="22"/>
      <w:szCs w:val="22"/>
    </w:rPr>
  </w:style>
  <w:style w:type="paragraph" w:customStyle="1" w:styleId="113">
    <w:name w:val="font11"/>
    <w:basedOn w:val="1"/>
    <w:qFormat/>
    <w:uiPriority w:val="0"/>
    <w:pPr>
      <w:spacing w:before="100" w:beforeAutospacing="1" w:after="100" w:afterAutospacing="1"/>
    </w:pPr>
    <w:rPr>
      <w:rFonts w:ascii="方正公文黑体" w:hAnsi="宋体" w:eastAsia="方正公文黑体" w:cs="宋体"/>
      <w:b/>
      <w:bCs/>
      <w:color w:val="000000"/>
    </w:rPr>
  </w:style>
  <w:style w:type="paragraph" w:customStyle="1" w:styleId="114">
    <w:name w:val="font12"/>
    <w:basedOn w:val="1"/>
    <w:qFormat/>
    <w:uiPriority w:val="0"/>
    <w:pPr>
      <w:spacing w:before="100" w:beforeAutospacing="1" w:after="100" w:afterAutospacing="1"/>
    </w:pPr>
    <w:rPr>
      <w:rFonts w:ascii="方正公文黑体" w:hAnsi="宋体" w:eastAsia="方正公文黑体" w:cs="宋体"/>
      <w:color w:val="000000"/>
    </w:rPr>
  </w:style>
  <w:style w:type="paragraph" w:customStyle="1" w:styleId="115">
    <w:name w:val="font13"/>
    <w:basedOn w:val="1"/>
    <w:qFormat/>
    <w:uiPriority w:val="0"/>
    <w:pPr>
      <w:spacing w:before="100" w:beforeAutospacing="1" w:after="100" w:afterAutospacing="1"/>
    </w:pPr>
    <w:rPr>
      <w:rFonts w:ascii="方正公文黑体" w:hAnsi="宋体" w:eastAsia="方正公文黑体" w:cs="宋体"/>
      <w:b/>
      <w:bCs/>
    </w:rPr>
  </w:style>
  <w:style w:type="paragraph" w:customStyle="1" w:styleId="116">
    <w:name w:val="font14"/>
    <w:basedOn w:val="1"/>
    <w:qFormat/>
    <w:uiPriority w:val="0"/>
    <w:pPr>
      <w:spacing w:before="100" w:beforeAutospacing="1" w:after="100" w:afterAutospacing="1"/>
    </w:pPr>
    <w:rPr>
      <w:rFonts w:ascii="方正公文黑体" w:hAnsi="宋体" w:eastAsia="方正公文黑体" w:cs="宋体"/>
      <w:b/>
      <w:bCs/>
      <w:sz w:val="20"/>
      <w:szCs w:val="20"/>
    </w:rPr>
  </w:style>
  <w:style w:type="paragraph" w:customStyle="1" w:styleId="117">
    <w:name w:val="font15"/>
    <w:basedOn w:val="1"/>
    <w:qFormat/>
    <w:uiPriority w:val="0"/>
    <w:pPr>
      <w:spacing w:before="100" w:beforeAutospacing="1" w:after="100" w:afterAutospacing="1"/>
    </w:pPr>
    <w:rPr>
      <w:rFonts w:ascii="方正公文黑体" w:hAnsi="宋体" w:eastAsia="方正公文黑体" w:cs="宋体"/>
      <w:b/>
      <w:bCs/>
      <w:sz w:val="22"/>
      <w:szCs w:val="22"/>
    </w:rPr>
  </w:style>
  <w:style w:type="paragraph" w:customStyle="1" w:styleId="118">
    <w:name w:val="xl66"/>
    <w:basedOn w:val="1"/>
    <w:qFormat/>
    <w:uiPriority w:val="0"/>
    <w:pPr>
      <w:spacing w:before="100" w:beforeAutospacing="1" w:after="100" w:afterAutospacing="1"/>
      <w:jc w:val="center"/>
    </w:pPr>
    <w:rPr>
      <w:rFonts w:ascii="方正公文黑体" w:hAnsi="宋体" w:eastAsia="方正公文黑体" w:cs="宋体"/>
    </w:rPr>
  </w:style>
  <w:style w:type="paragraph" w:customStyle="1" w:styleId="119">
    <w:name w:val="xl67"/>
    <w:basedOn w:val="1"/>
    <w:qFormat/>
    <w:uiPriority w:val="0"/>
    <w:pPr>
      <w:spacing w:before="100" w:beforeAutospacing="1" w:after="100" w:afterAutospacing="1"/>
    </w:pPr>
    <w:rPr>
      <w:rFonts w:ascii="方正公文黑体" w:hAnsi="宋体" w:eastAsia="方正公文黑体" w:cs="宋体"/>
    </w:rPr>
  </w:style>
  <w:style w:type="paragraph" w:customStyle="1" w:styleId="120">
    <w:name w:val="xl68"/>
    <w:basedOn w:val="1"/>
    <w:qFormat/>
    <w:uiPriority w:val="0"/>
    <w:pPr>
      <w:spacing w:before="100" w:beforeAutospacing="1" w:after="100" w:afterAutospacing="1"/>
      <w:jc w:val="center"/>
    </w:pPr>
    <w:rPr>
      <w:rFonts w:ascii="方正公文黑体" w:hAnsi="宋体" w:eastAsia="方正公文黑体" w:cs="宋体"/>
      <w:color w:val="FF0000"/>
    </w:rPr>
  </w:style>
  <w:style w:type="paragraph" w:customStyle="1" w:styleId="121">
    <w:name w:val="xl6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公文黑体" w:hAnsi="宋体" w:eastAsia="方正公文黑体" w:cs="宋体"/>
      <w:b/>
      <w:bCs/>
    </w:rPr>
  </w:style>
  <w:style w:type="paragraph" w:customStyle="1" w:styleId="12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29">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b/>
      <w:bCs/>
    </w:rPr>
  </w:style>
  <w:style w:type="paragraph" w:customStyle="1" w:styleId="13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1">
    <w:name w:val="xl79"/>
    <w:basedOn w:val="1"/>
    <w:qFormat/>
    <w:uiPriority w:val="0"/>
    <w:pPr>
      <w:spacing w:before="100" w:beforeAutospacing="1" w:after="100" w:afterAutospacing="1"/>
    </w:pPr>
    <w:rPr>
      <w:rFonts w:ascii="方正公文黑体" w:hAnsi="宋体" w:eastAsia="方正公文黑体" w:cs="宋体"/>
    </w:rPr>
  </w:style>
  <w:style w:type="paragraph" w:customStyle="1" w:styleId="132">
    <w:name w:val="xl80"/>
    <w:basedOn w:val="1"/>
    <w:qFormat/>
    <w:uiPriority w:val="0"/>
    <w:pPr>
      <w:spacing w:before="100" w:beforeAutospacing="1" w:after="100" w:afterAutospacing="1"/>
    </w:pPr>
    <w:rPr>
      <w:rFonts w:ascii="宋体" w:hAnsi="宋体" w:eastAsia="宋体" w:cs="宋体"/>
    </w:rPr>
  </w:style>
  <w:style w:type="paragraph" w:customStyle="1" w:styleId="13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3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7">
    <w:name w:val="xl8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rPr>
  </w:style>
  <w:style w:type="paragraph" w:customStyle="1" w:styleId="138">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9">
    <w:name w:val="xl87"/>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4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sz w:val="20"/>
      <w:szCs w:val="20"/>
    </w:rPr>
  </w:style>
  <w:style w:type="paragraph" w:customStyle="1" w:styleId="143">
    <w:name w:val="xl91"/>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44">
    <w:name w:val="xl9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5">
    <w:name w:val="xl93"/>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6">
    <w:name w:val="xl94"/>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7">
    <w:name w:val="xl95"/>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8">
    <w:name w:val="xl9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9">
    <w:name w:val="xl97"/>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0">
    <w:name w:val="xl98"/>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1">
    <w:name w:val="xl99"/>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2">
    <w:name w:val="xl100"/>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3">
    <w:name w:val="xl10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4">
    <w:name w:val="xl102"/>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5">
    <w:name w:val="xl103"/>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6">
    <w:name w:val="xl10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character" w:customStyle="1" w:styleId="157">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158">
    <w:name w:val="明显强调11"/>
    <w:basedOn w:val="31"/>
    <w:qFormat/>
    <w:uiPriority w:val="21"/>
    <w:rPr>
      <w:b/>
      <w:i/>
      <w:sz w:val="24"/>
      <w:szCs w:val="24"/>
      <w:u w:val="single"/>
    </w:rPr>
  </w:style>
  <w:style w:type="character" w:customStyle="1" w:styleId="159">
    <w:name w:val="不明显参考11"/>
    <w:basedOn w:val="31"/>
    <w:qFormat/>
    <w:uiPriority w:val="31"/>
    <w:rPr>
      <w:sz w:val="24"/>
      <w:szCs w:val="24"/>
      <w:u w:val="single"/>
    </w:rPr>
  </w:style>
  <w:style w:type="character" w:customStyle="1" w:styleId="160">
    <w:name w:val="明显参考11"/>
    <w:basedOn w:val="31"/>
    <w:qFormat/>
    <w:uiPriority w:val="32"/>
    <w:rPr>
      <w:b/>
      <w:sz w:val="24"/>
      <w:u w:val="single"/>
    </w:rPr>
  </w:style>
  <w:style w:type="character" w:customStyle="1" w:styleId="161">
    <w:name w:val="书籍标题11"/>
    <w:basedOn w:val="31"/>
    <w:qFormat/>
    <w:uiPriority w:val="33"/>
    <w:rPr>
      <w:rFonts w:asciiTheme="majorHAnsi" w:hAnsiTheme="majorHAnsi" w:eastAsiaTheme="majorEastAsia"/>
      <w:b/>
      <w:i/>
      <w:sz w:val="24"/>
      <w:szCs w:val="24"/>
    </w:rPr>
  </w:style>
  <w:style w:type="paragraph" w:customStyle="1" w:styleId="162">
    <w:name w:val="TOC 标题11"/>
    <w:basedOn w:val="2"/>
    <w:next w:val="1"/>
    <w:semiHidden/>
    <w:unhideWhenUsed/>
    <w:qFormat/>
    <w:uiPriority w:val="39"/>
    <w:pPr>
      <w:numPr>
        <w:numId w:val="2"/>
      </w:numPr>
      <w:outlineLvl w:val="9"/>
    </w:pPr>
  </w:style>
  <w:style w:type="character" w:customStyle="1" w:styleId="163">
    <w:name w:val="font01"/>
    <w:basedOn w:val="31"/>
    <w:qFormat/>
    <w:uiPriority w:val="0"/>
    <w:rPr>
      <w:rFonts w:hint="eastAsia" w:ascii="宋体" w:hAnsi="宋体" w:eastAsia="宋体" w:cs="宋体"/>
      <w:color w:val="000000"/>
      <w:sz w:val="20"/>
      <w:szCs w:val="20"/>
      <w:u w:val="none"/>
    </w:rPr>
  </w:style>
  <w:style w:type="character" w:customStyle="1" w:styleId="164">
    <w:name w:val="font111"/>
    <w:basedOn w:val="31"/>
    <w:qFormat/>
    <w:uiPriority w:val="0"/>
    <w:rPr>
      <w:rFonts w:ascii="Arial" w:hAnsi="Arial" w:cs="Arial"/>
      <w:color w:val="333300"/>
      <w:sz w:val="20"/>
      <w:szCs w:val="20"/>
      <w:u w:val="none"/>
    </w:rPr>
  </w:style>
  <w:style w:type="character" w:customStyle="1" w:styleId="165">
    <w:name w:val="font122"/>
    <w:basedOn w:val="31"/>
    <w:qFormat/>
    <w:uiPriority w:val="0"/>
    <w:rPr>
      <w:rFonts w:ascii="汉仪旗黑-55" w:hAnsi="汉仪旗黑-55" w:eastAsia="汉仪旗黑-55" w:cs="汉仪旗黑-55"/>
      <w:color w:val="333300"/>
      <w:sz w:val="20"/>
      <w:szCs w:val="20"/>
      <w:u w:val="none"/>
    </w:rPr>
  </w:style>
  <w:style w:type="character" w:customStyle="1" w:styleId="166">
    <w:name w:val="font131"/>
    <w:basedOn w:val="31"/>
    <w:qFormat/>
    <w:uiPriority w:val="0"/>
    <w:rPr>
      <w:rFonts w:hint="default" w:ascii="Times New Roman" w:hAnsi="Times New Roman" w:cs="Times New Roman"/>
      <w:color w:val="333300"/>
      <w:sz w:val="20"/>
      <w:szCs w:val="20"/>
      <w:u w:val="none"/>
    </w:rPr>
  </w:style>
  <w:style w:type="table" w:customStyle="1" w:styleId="167">
    <w:name w:val="网格型3"/>
    <w:basedOn w:val="29"/>
    <w:unhideWhenUsed/>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8">
    <w:name w:val="_Style 8"/>
    <w:qFormat/>
    <w:uiPriority w:val="0"/>
    <w:pPr>
      <w:spacing w:after="160" w:line="240" w:lineRule="exact"/>
    </w:pPr>
    <w:rPr>
      <w:rFonts w:ascii="Times New Roman" w:hAnsi="Times New Roman" w:eastAsia="宋体" w:cs="Times New Roman"/>
      <w:kern w:val="2"/>
      <w:sz w:val="21"/>
      <w:szCs w:val="24"/>
      <w:lang w:val="en-US" w:eastAsia="zh-CN" w:bidi="ar-SA"/>
    </w:rPr>
  </w:style>
  <w:style w:type="table" w:customStyle="1" w:styleId="169">
    <w:name w:val="网格型4"/>
    <w:basedOn w:val="29"/>
    <w:qFormat/>
    <w:uiPriority w:val="5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0">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paragraph" w:customStyle="1" w:styleId="171">
    <w:name w:val="Table Text"/>
    <w:basedOn w:val="1"/>
    <w:semiHidden/>
    <w:qFormat/>
    <w:uiPriority w:val="0"/>
    <w:pPr>
      <w:widowControl w:val="0"/>
      <w:jc w:val="both"/>
    </w:pPr>
    <w:rPr>
      <w:rFonts w:ascii="宋体" w:hAnsi="宋体" w:eastAsia="宋体" w:cs="宋体"/>
      <w:kern w:val="2"/>
      <w:sz w:val="20"/>
      <w:szCs w:val="20"/>
      <w:lang w:eastAsia="en-US"/>
    </w:rPr>
  </w:style>
  <w:style w:type="table" w:customStyle="1" w:styleId="172">
    <w:name w:val="Table Normal"/>
    <w:unhideWhenUsed/>
    <w:qFormat/>
    <w:uiPriority w:val="0"/>
    <w:rPr>
      <w:rFonts w:ascii="Calibri" w:hAnsi="Calibri" w:eastAsia="宋体"/>
    </w:rPr>
    <w:tblPr>
      <w:tblCellMar>
        <w:top w:w="0" w:type="dxa"/>
        <w:left w:w="0" w:type="dxa"/>
        <w:bottom w:w="0" w:type="dxa"/>
        <w:right w:w="0" w:type="dxa"/>
      </w:tblCellMar>
    </w:tblPr>
  </w:style>
  <w:style w:type="paragraph" w:customStyle="1" w:styleId="173">
    <w:name w:val="Revision"/>
    <w:hidden/>
    <w:semiHidden/>
    <w:qFormat/>
    <w:uiPriority w:val="99"/>
    <w:rPr>
      <w:rFonts w:cs="Times New Roman" w:asciiTheme="minorHAnsi" w:hAnsiTheme="minorHAnsi" w:eastAsiaTheme="minorEastAsia"/>
      <w:sz w:val="24"/>
      <w:szCs w:val="24"/>
      <w:lang w:val="en-US" w:eastAsia="zh-CN" w:bidi="ar-SA"/>
    </w:rPr>
  </w:style>
  <w:style w:type="character" w:customStyle="1" w:styleId="174">
    <w:name w:val="font21"/>
    <w:basedOn w:val="31"/>
    <w:qFormat/>
    <w:uiPriority w:val="0"/>
    <w:rPr>
      <w:rFonts w:hint="default" w:ascii="Calibri" w:hAnsi="Calibri" w:cs="Calibri"/>
      <w:color w:val="000000"/>
      <w:sz w:val="21"/>
      <w:szCs w:val="21"/>
      <w:u w:val="none"/>
    </w:rPr>
  </w:style>
  <w:style w:type="character" w:customStyle="1" w:styleId="175">
    <w:name w:val="font31"/>
    <w:basedOn w:val="31"/>
    <w:qFormat/>
    <w:uiPriority w:val="0"/>
    <w:rPr>
      <w:rFonts w:hint="eastAsia" w:ascii="微软雅黑" w:hAnsi="微软雅黑" w:eastAsia="微软雅黑" w:cs="微软雅黑"/>
      <w:color w:val="000000"/>
      <w:sz w:val="21"/>
      <w:szCs w:val="21"/>
      <w:u w:val="none"/>
    </w:rPr>
  </w:style>
  <w:style w:type="character" w:customStyle="1" w:styleId="176">
    <w:name w:val="Intense Emphasis"/>
    <w:basedOn w:val="31"/>
    <w:qFormat/>
    <w:uiPriority w:val="21"/>
    <w:rPr>
      <w:i/>
      <w:iCs/>
      <w:color w:val="2E75B6" w:themeColor="accent1" w:themeShade="BF"/>
    </w:rPr>
  </w:style>
  <w:style w:type="character" w:customStyle="1" w:styleId="177">
    <w:name w:val="Intense Reference"/>
    <w:basedOn w:val="31"/>
    <w:qFormat/>
    <w:uiPriority w:val="32"/>
    <w:rPr>
      <w:b/>
      <w:bCs/>
      <w:smallCaps/>
      <w:color w:val="2E75B6" w:themeColor="accent1" w:themeShade="BF"/>
      <w:spacing w:val="5"/>
    </w:rPr>
  </w:style>
  <w:style w:type="paragraph" w:customStyle="1" w:styleId="178">
    <w:name w:val="msonormal"/>
    <w:basedOn w:val="1"/>
    <w:uiPriority w:val="0"/>
    <w:pPr>
      <w:spacing w:before="100" w:beforeAutospacing="1" w:after="100" w:afterAutospacing="1"/>
    </w:pPr>
    <w:rPr>
      <w:rFonts w:ascii="宋体" w:hAnsi="宋体" w:eastAsia="宋体" w:cs="宋体"/>
      <w14:ligatures w14:val="standardContextual"/>
    </w:rPr>
  </w:style>
  <w:style w:type="paragraph" w:customStyle="1" w:styleId="179">
    <w:name w:val="xl65"/>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0">
    <w:name w:val="xl105"/>
    <w:basedOn w:val="1"/>
    <w:uiPriority w:val="0"/>
    <w:pPr>
      <w:pBdr>
        <w:left w:val="single" w:color="000000" w:sz="8" w:space="0"/>
        <w:bottom w:val="single" w:color="auto" w:sz="8" w:space="0"/>
        <w:righ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1">
    <w:name w:val="xl106"/>
    <w:basedOn w:val="1"/>
    <w:uiPriority w:val="0"/>
    <w:pPr>
      <w:pBdr>
        <w:top w:val="single" w:color="auto" w:sz="8" w:space="0"/>
        <w:lef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2">
    <w:name w:val="xl107"/>
    <w:basedOn w:val="1"/>
    <w:uiPriority w:val="0"/>
    <w:pPr>
      <w:pBdr>
        <w:lef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3">
    <w:name w:val="xl108"/>
    <w:basedOn w:val="1"/>
    <w:uiPriority w:val="0"/>
    <w:pPr>
      <w:pBdr>
        <w:left w:val="single" w:color="auto" w:sz="8" w:space="0"/>
        <w:bottom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4">
    <w:name w:val="xl109"/>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5">
    <w:name w:val="xl110"/>
    <w:basedOn w:val="1"/>
    <w:uiPriority w:val="0"/>
    <w:pPr>
      <w:pBdr>
        <w:left w:val="single" w:color="auto" w:sz="8" w:space="0"/>
        <w:righ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6">
    <w:name w:val="xl111"/>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87">
    <w:name w:val="xl112"/>
    <w:basedOn w:val="1"/>
    <w:qFormat/>
    <w:uiPriority w:val="0"/>
    <w:pPr>
      <w:spacing w:before="100" w:beforeAutospacing="1" w:after="100" w:afterAutospacing="1"/>
    </w:pPr>
    <w:rPr>
      <w:rFonts w:ascii="仿宋" w:hAnsi="仿宋" w:eastAsia="仿宋" w:cs="宋体"/>
      <w:sz w:val="28"/>
      <w:szCs w:val="28"/>
      <w14:ligatures w14:val="standardContextual"/>
    </w:rPr>
  </w:style>
  <w:style w:type="paragraph" w:customStyle="1" w:styleId="188">
    <w:name w:val="xl113"/>
    <w:basedOn w:val="1"/>
    <w:uiPriority w:val="0"/>
    <w:pPr>
      <w:pBdr>
        <w:top w:val="single" w:color="auto" w:sz="8" w:space="0"/>
        <w:left w:val="single" w:color="auto" w:sz="8" w:space="0"/>
        <w:right w:val="single" w:color="auto" w:sz="8" w:space="0"/>
      </w:pBdr>
      <w:spacing w:before="100" w:beforeAutospacing="1" w:after="100" w:afterAutospacing="1"/>
    </w:pPr>
    <w:rPr>
      <w:rFonts w:ascii="仿宋" w:hAnsi="仿宋" w:eastAsia="仿宋" w:cs="宋体"/>
      <w:color w:val="000000"/>
      <w:sz w:val="18"/>
      <w:szCs w:val="18"/>
      <w14:ligatures w14:val="standardContextual"/>
    </w:rPr>
  </w:style>
  <w:style w:type="paragraph" w:customStyle="1" w:styleId="189">
    <w:name w:val="xl114"/>
    <w:basedOn w:val="1"/>
    <w:uiPriority w:val="0"/>
    <w:pPr>
      <w:pBdr>
        <w:left w:val="single" w:color="auto" w:sz="8" w:space="0"/>
        <w:right w:val="single" w:color="auto" w:sz="8" w:space="0"/>
      </w:pBdr>
      <w:spacing w:before="100" w:beforeAutospacing="1" w:after="100" w:afterAutospacing="1"/>
    </w:pPr>
    <w:rPr>
      <w:rFonts w:ascii="仿宋" w:hAnsi="仿宋" w:eastAsia="仿宋" w:cs="宋体"/>
      <w:color w:val="000000"/>
      <w:sz w:val="18"/>
      <w:szCs w:val="18"/>
      <w14:ligatures w14:val="standardContextual"/>
    </w:rPr>
  </w:style>
  <w:style w:type="paragraph" w:customStyle="1" w:styleId="190">
    <w:name w:val="xl115"/>
    <w:basedOn w:val="1"/>
    <w:uiPriority w:val="0"/>
    <w:pPr>
      <w:pBdr>
        <w:left w:val="single" w:color="auto" w:sz="8" w:space="0"/>
        <w:bottom w:val="single" w:color="auto" w:sz="8" w:space="0"/>
        <w:right w:val="single" w:color="auto" w:sz="8" w:space="0"/>
      </w:pBdr>
      <w:spacing w:before="100" w:beforeAutospacing="1" w:after="100" w:afterAutospacing="1"/>
    </w:pPr>
    <w:rPr>
      <w:rFonts w:ascii="仿宋" w:hAnsi="仿宋" w:eastAsia="仿宋" w:cs="宋体"/>
      <w:color w:val="000000"/>
      <w:sz w:val="18"/>
      <w:szCs w:val="18"/>
      <w14:ligatures w14:val="standardContextual"/>
    </w:rPr>
  </w:style>
  <w:style w:type="paragraph" w:customStyle="1" w:styleId="191">
    <w:name w:val="xl116"/>
    <w:basedOn w:val="1"/>
    <w:uiPriority w:val="0"/>
    <w:pPr>
      <w:pBdr>
        <w:top w:val="single" w:color="000000" w:sz="8" w:space="0"/>
        <w:left w:val="single" w:color="auto" w:sz="8" w:space="0"/>
        <w:right w:val="single" w:color="auto" w:sz="8" w:space="0"/>
      </w:pBdr>
      <w:spacing w:before="100" w:beforeAutospacing="1" w:after="100" w:afterAutospacing="1"/>
      <w:jc w:val="center"/>
    </w:pPr>
    <w:rPr>
      <w:rFonts w:ascii="仿宋" w:hAnsi="仿宋" w:eastAsia="仿宋" w:cs="宋体"/>
      <w:color w:val="000000"/>
      <w:sz w:val="18"/>
      <w:szCs w:val="18"/>
      <w14:ligatures w14:val="standardContextual"/>
    </w:rPr>
  </w:style>
  <w:style w:type="paragraph" w:customStyle="1" w:styleId="192">
    <w:name w:val="xl117"/>
    <w:basedOn w:val="1"/>
    <w:uiPriority w:val="0"/>
    <w:pPr>
      <w:pBdr>
        <w:top w:val="single" w:color="000000" w:sz="8" w:space="0"/>
        <w:left w:val="single" w:color="auto" w:sz="8" w:space="0"/>
        <w:right w:val="single" w:color="auto" w:sz="8" w:space="0"/>
      </w:pBdr>
      <w:spacing w:before="100" w:beforeAutospacing="1" w:after="100" w:afterAutospacing="1"/>
    </w:pPr>
    <w:rPr>
      <w:rFonts w:ascii="仿宋" w:hAnsi="仿宋" w:eastAsia="仿宋" w:cs="宋体"/>
      <w:color w:val="000000"/>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4A2F-DD44-4ECC-9081-4F822FF60A45}">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70</Pages>
  <Words>21132</Words>
  <Characters>22622</Characters>
  <Lines>350</Lines>
  <Paragraphs>98</Paragraphs>
  <TotalTime>128</TotalTime>
  <ScaleCrop>false</ScaleCrop>
  <LinksUpToDate>false</LinksUpToDate>
  <CharactersWithSpaces>22703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2025-05-22T01:14:00Z</dcterms:created>
  <dc:creator>admin</dc:creator>
  <cp:lastModifiedBy>趋之若鹜</cp:lastModifiedBy>
  <cp:lastPrinted>2025-06-13T04:29:00Z</cp:lastPrinted>
  <dcterms:modified xsi:type="dcterms:W3CDTF">2025-06-19T03:32:32Z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0F0F76C956CC4930B85D1A93E054F6D3</vt:lpwstr>
  </property>
  <property fmtid="{D5CDD505-2E9C-101B-9397-08002B2CF9AE}" pid="4" name="KSOTemplateDocerSaveRecord">
    <vt:lpwstr>eyJoZGlkIjoiYTk0YzVlMzk2M2IzYjA5YjI0OThkYmMxMTI4M2IzMjIifQ==</vt:lpwstr>
  </property>
</Properties>
</file>