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879B4">
      <w:pPr>
        <w:rPr>
          <w:rFonts w:hint="eastAsia" w:hAnsi="宋体" w:cs="宋体"/>
          <w:b/>
          <w:bCs/>
          <w:color w:val="auto"/>
          <w:sz w:val="32"/>
          <w:szCs w:val="32"/>
          <w:highlight w:val="none"/>
        </w:rPr>
      </w:pPr>
    </w:p>
    <w:p w14:paraId="0C506894">
      <w:pPr>
        <w:rPr>
          <w:rFonts w:hAnsi="宋体" w:cs="宋体"/>
          <w:b/>
          <w:color w:val="auto"/>
          <w:sz w:val="36"/>
          <w:highlight w:val="none"/>
        </w:rPr>
      </w:pPr>
      <w:r>
        <w:rPr>
          <w:rFonts w:hint="eastAsia" w:hAnsi="宋体" w:cs="宋体"/>
          <w:b/>
          <w:bCs/>
          <w:color w:val="auto"/>
          <w:sz w:val="32"/>
          <w:szCs w:val="32"/>
          <w:highlight w:val="none"/>
        </w:rPr>
        <w:t>项目编号：THSN-2025-0604</w:t>
      </w:r>
      <w:r>
        <w:rPr>
          <w:rFonts w:hint="eastAsia" w:hAnsi="宋体" w:cs="宋体"/>
          <w:b/>
          <w:color w:val="auto"/>
          <w:sz w:val="36"/>
          <w:highlight w:val="none"/>
        </w:rPr>
        <w:t xml:space="preserve"> </w:t>
      </w:r>
    </w:p>
    <w:p w14:paraId="0593A99C"/>
    <w:p w14:paraId="6919DB51">
      <w:pPr>
        <w:rPr>
          <w:rFonts w:hAnsi="宋体" w:cs="宋体"/>
          <w:b/>
          <w:color w:val="auto"/>
          <w:sz w:val="36"/>
          <w:highlight w:val="none"/>
        </w:rPr>
      </w:pPr>
    </w:p>
    <w:p w14:paraId="2E440858">
      <w:pPr>
        <w:jc w:val="center"/>
        <w:rPr>
          <w:rFonts w:hint="eastAsia" w:hAnsi="宋体" w:cs="宋体"/>
          <w:b/>
          <w:color w:val="auto"/>
          <w:sz w:val="56"/>
          <w:szCs w:val="56"/>
          <w:highlight w:val="none"/>
          <w:lang w:eastAsia="zh-CN"/>
        </w:rPr>
      </w:pPr>
      <w:bookmarkStart w:id="90" w:name="_GoBack"/>
      <w:bookmarkEnd w:id="90"/>
    </w:p>
    <w:p w14:paraId="13472A80">
      <w:pPr>
        <w:jc w:val="center"/>
        <w:rPr>
          <w:rFonts w:hAnsi="宋体" w:cs="宋体"/>
          <w:b/>
          <w:color w:val="auto"/>
          <w:sz w:val="56"/>
          <w:szCs w:val="56"/>
          <w:highlight w:val="none"/>
        </w:rPr>
      </w:pPr>
      <w:r>
        <w:rPr>
          <w:rFonts w:hAnsi="宋体" w:cs="宋体"/>
          <w:b/>
          <w:color w:val="auto"/>
          <w:sz w:val="56"/>
          <w:szCs w:val="56"/>
          <w:highlight w:val="none"/>
        </w:rPr>
        <w:t>商南县2025年大气污染防治能力提升技术服务项目</w:t>
      </w:r>
    </w:p>
    <w:p w14:paraId="2023F30B">
      <w:pPr>
        <w:spacing w:line="780" w:lineRule="auto"/>
        <w:jc w:val="center"/>
        <w:rPr>
          <w:rFonts w:hAnsi="宋体" w:cs="宋体"/>
          <w:b/>
          <w:color w:val="auto"/>
          <w:sz w:val="72"/>
          <w:szCs w:val="72"/>
          <w:highlight w:val="none"/>
        </w:rPr>
      </w:pPr>
    </w:p>
    <w:p w14:paraId="7FD3CA14">
      <w:pPr>
        <w:spacing w:line="780" w:lineRule="auto"/>
        <w:jc w:val="center"/>
        <w:rPr>
          <w:rFonts w:hint="eastAsia" w:hAnsi="宋体" w:cs="宋体"/>
          <w:b/>
          <w:color w:val="auto"/>
          <w:sz w:val="56"/>
          <w:szCs w:val="56"/>
          <w:highlight w:val="none"/>
        </w:rPr>
      </w:pPr>
    </w:p>
    <w:p w14:paraId="7E46D81C">
      <w:pPr>
        <w:spacing w:line="780" w:lineRule="auto"/>
        <w:jc w:val="center"/>
        <w:rPr>
          <w:rFonts w:hAnsi="宋体" w:cs="宋体"/>
          <w:b/>
          <w:color w:val="auto"/>
          <w:sz w:val="72"/>
          <w:szCs w:val="72"/>
          <w:highlight w:val="none"/>
        </w:rPr>
      </w:pPr>
      <w:r>
        <w:rPr>
          <w:rFonts w:hint="eastAsia" w:hAnsi="宋体" w:cs="宋体"/>
          <w:b/>
          <w:color w:val="auto"/>
          <w:sz w:val="56"/>
          <w:szCs w:val="56"/>
          <w:highlight w:val="none"/>
        </w:rPr>
        <w:t>竞争性磋商文件</w:t>
      </w:r>
    </w:p>
    <w:p w14:paraId="59A281E6">
      <w:pPr>
        <w:rPr>
          <w:rFonts w:hAnsi="宋体" w:cs="宋体"/>
          <w:color w:val="auto"/>
          <w:highlight w:val="none"/>
        </w:rPr>
      </w:pPr>
      <w:bookmarkStart w:id="0" w:name="_Toc363463325"/>
    </w:p>
    <w:p w14:paraId="20CCFF9F">
      <w:pPr>
        <w:rPr>
          <w:rFonts w:hAnsi="宋体" w:cs="宋体"/>
          <w:color w:val="auto"/>
          <w:highlight w:val="none"/>
        </w:rPr>
      </w:pPr>
    </w:p>
    <w:p w14:paraId="4C886D85">
      <w:pPr>
        <w:rPr>
          <w:color w:val="auto"/>
          <w:highlight w:val="none"/>
        </w:rPr>
      </w:pPr>
    </w:p>
    <w:p w14:paraId="4D7463BF">
      <w:pPr>
        <w:rPr>
          <w:rFonts w:hAnsi="宋体" w:cs="宋体"/>
          <w:color w:val="auto"/>
          <w:highlight w:val="none"/>
        </w:rPr>
      </w:pPr>
    </w:p>
    <w:bookmarkEnd w:id="0"/>
    <w:p w14:paraId="4523A2C5">
      <w:pPr>
        <w:jc w:val="center"/>
        <w:rPr>
          <w:rFonts w:hAnsi="宋体" w:cs="宋体"/>
          <w:b/>
          <w:color w:val="auto"/>
          <w:sz w:val="36"/>
          <w:szCs w:val="36"/>
          <w:highlight w:val="none"/>
        </w:rPr>
      </w:pPr>
    </w:p>
    <w:p w14:paraId="226D8D9F">
      <w:pPr>
        <w:jc w:val="center"/>
        <w:rPr>
          <w:rFonts w:hAnsi="宋体" w:cs="宋体"/>
          <w:b/>
          <w:color w:val="auto"/>
          <w:sz w:val="36"/>
          <w:szCs w:val="36"/>
          <w:highlight w:val="none"/>
        </w:rPr>
      </w:pPr>
    </w:p>
    <w:p w14:paraId="7D4B328C">
      <w:pPr>
        <w:rPr>
          <w:rFonts w:hAnsi="宋体" w:cs="宋体"/>
          <w:color w:val="auto"/>
          <w:sz w:val="18"/>
          <w:szCs w:val="18"/>
          <w:highlight w:val="none"/>
        </w:rPr>
      </w:pPr>
    </w:p>
    <w:p w14:paraId="25229256">
      <w:pPr>
        <w:rPr>
          <w:rFonts w:hAnsi="宋体" w:cs="宋体"/>
          <w:color w:val="auto"/>
          <w:sz w:val="18"/>
          <w:szCs w:val="18"/>
          <w:highlight w:val="none"/>
        </w:rPr>
      </w:pPr>
    </w:p>
    <w:p w14:paraId="6BDB9D40">
      <w:pPr>
        <w:pStyle w:val="7"/>
      </w:pPr>
    </w:p>
    <w:p w14:paraId="217ABD9A">
      <w:pPr>
        <w:jc w:val="center"/>
        <w:rPr>
          <w:rFonts w:hAnsi="宋体" w:cs="宋体"/>
          <w:b/>
          <w:bCs/>
          <w:color w:val="auto"/>
          <w:sz w:val="32"/>
          <w:szCs w:val="32"/>
          <w:highlight w:val="none"/>
        </w:rPr>
      </w:pPr>
    </w:p>
    <w:p w14:paraId="50810D11">
      <w:pPr>
        <w:ind w:left="2400" w:leftChars="1000"/>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采 购 人：商洛市生态环境局商南县分局</w:t>
      </w:r>
    </w:p>
    <w:p w14:paraId="2C8EE637">
      <w:pPr>
        <w:ind w:left="2400" w:leftChars="1000"/>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代理机构：西安天合建设项目管理有限公司</w:t>
      </w:r>
    </w:p>
    <w:p w14:paraId="50231644">
      <w:pPr>
        <w:pStyle w:val="7"/>
        <w:ind w:left="2400" w:leftChars="1000"/>
        <w:rPr>
          <w:rFonts w:hint="eastAsia" w:hAnsi="宋体" w:cs="宋体"/>
          <w:b/>
          <w:bCs/>
          <w:color w:val="auto"/>
          <w:sz w:val="32"/>
          <w:szCs w:val="32"/>
          <w:highlight w:val="none"/>
        </w:rPr>
      </w:pPr>
      <w:r>
        <w:rPr>
          <w:rFonts w:hint="eastAsia" w:hAnsi="宋体" w:cs="宋体"/>
          <w:b/>
          <w:bCs/>
          <w:color w:val="auto"/>
          <w:sz w:val="32"/>
          <w:szCs w:val="32"/>
          <w:highlight w:val="none"/>
        </w:rPr>
        <w:t>日    期：二〇二</w:t>
      </w:r>
      <w:r>
        <w:rPr>
          <w:rFonts w:hint="eastAsia" w:hAnsi="宋体" w:cs="宋体"/>
          <w:b/>
          <w:bCs/>
          <w:color w:val="auto"/>
          <w:sz w:val="32"/>
          <w:szCs w:val="32"/>
          <w:highlight w:val="none"/>
          <w:lang w:eastAsia="zh-CN"/>
        </w:rPr>
        <w:t>五</w:t>
      </w:r>
      <w:r>
        <w:rPr>
          <w:rFonts w:hint="eastAsia" w:hAnsi="宋体" w:cs="宋体"/>
          <w:b/>
          <w:bCs/>
          <w:color w:val="auto"/>
          <w:sz w:val="32"/>
          <w:szCs w:val="32"/>
          <w:highlight w:val="none"/>
        </w:rPr>
        <w:t>年</w:t>
      </w:r>
      <w:r>
        <w:rPr>
          <w:rFonts w:hint="eastAsia" w:hAnsi="宋体" w:cs="宋体"/>
          <w:b/>
          <w:bCs/>
          <w:color w:val="auto"/>
          <w:sz w:val="32"/>
          <w:szCs w:val="32"/>
          <w:highlight w:val="none"/>
          <w:lang w:eastAsia="zh-CN"/>
        </w:rPr>
        <w:t>六</w:t>
      </w:r>
      <w:r>
        <w:rPr>
          <w:rFonts w:hint="eastAsia" w:hAnsi="宋体" w:cs="宋体"/>
          <w:b/>
          <w:bCs/>
          <w:color w:val="auto"/>
          <w:sz w:val="32"/>
          <w:szCs w:val="32"/>
          <w:highlight w:val="none"/>
        </w:rPr>
        <w:t>月</w:t>
      </w:r>
    </w:p>
    <w:p w14:paraId="7C719165">
      <w:pPr>
        <w:pStyle w:val="3"/>
        <w:ind w:left="0" w:leftChars="0" w:firstLine="0" w:firstLineChars="0"/>
        <w:rPr>
          <w:color w:val="auto"/>
          <w:highlight w:val="none"/>
        </w:rPr>
        <w:sectPr>
          <w:headerReference r:id="rId4" w:type="first"/>
          <w:headerReference r:id="rId3" w:type="default"/>
          <w:footerReference r:id="rId5" w:type="default"/>
          <w:pgSz w:w="11906" w:h="16838"/>
          <w:pgMar w:top="1304" w:right="1361" w:bottom="1304" w:left="1361" w:header="851" w:footer="992" w:gutter="0"/>
          <w:cols w:space="720" w:num="1"/>
          <w:titlePg/>
          <w:docGrid w:type="lines" w:linePitch="312" w:charSpace="0"/>
        </w:sectPr>
      </w:pPr>
    </w:p>
    <w:p w14:paraId="030C660B">
      <w:pPr>
        <w:rPr>
          <w:color w:val="auto"/>
          <w:highlight w:val="none"/>
        </w:rPr>
      </w:pPr>
    </w:p>
    <w:p w14:paraId="73997467">
      <w:pPr>
        <w:jc w:val="center"/>
        <w:rPr>
          <w:rFonts w:ascii="幼圆" w:eastAsia="幼圆"/>
          <w:b/>
          <w:color w:val="auto"/>
          <w:sz w:val="44"/>
          <w:szCs w:val="44"/>
          <w:highlight w:val="none"/>
        </w:rPr>
      </w:pPr>
      <w:r>
        <w:rPr>
          <w:rFonts w:hint="eastAsia" w:ascii="幼圆" w:eastAsia="幼圆"/>
          <w:b/>
          <w:color w:val="auto"/>
          <w:sz w:val="44"/>
          <w:szCs w:val="44"/>
          <w:highlight w:val="none"/>
        </w:rPr>
        <w:t>目 录</w:t>
      </w:r>
    </w:p>
    <w:p w14:paraId="0B4F87B8">
      <w:pPr>
        <w:jc w:val="center"/>
        <w:rPr>
          <w:rFonts w:ascii="幼圆" w:eastAsia="幼圆"/>
          <w:b/>
          <w:color w:val="auto"/>
          <w:sz w:val="44"/>
          <w:szCs w:val="44"/>
          <w:highlight w:val="none"/>
        </w:rPr>
      </w:pPr>
    </w:p>
    <w:p w14:paraId="0FFDC9FA">
      <w:pPr>
        <w:pStyle w:val="13"/>
        <w:tabs>
          <w:tab w:val="right" w:leader="dot" w:pos="9184"/>
        </w:tabs>
        <w:rPr>
          <w:sz w:val="28"/>
          <w:szCs w:val="28"/>
          <w:highlight w:val="none"/>
        </w:rPr>
      </w:pPr>
      <w:bookmarkStart w:id="1" w:name="_Toc389582033"/>
      <w:bookmarkStart w:id="2" w:name="_Toc20652"/>
      <w:bookmarkStart w:id="3" w:name="_Toc19886"/>
      <w:bookmarkStart w:id="4" w:name="_Toc5293"/>
      <w:bookmarkStart w:id="5" w:name="_Toc20858"/>
      <w:bookmarkStart w:id="6" w:name="_Toc16218"/>
      <w:bookmarkStart w:id="7" w:name="_Toc21518"/>
      <w:bookmarkStart w:id="8" w:name="_Toc27420"/>
      <w:bookmarkStart w:id="9" w:name="_Toc403077638"/>
      <w:bookmarkStart w:id="10" w:name="_Toc363474016"/>
      <w:bookmarkStart w:id="11" w:name="_Toc363473971"/>
      <w:r>
        <w:rPr>
          <w:rFonts w:hint="eastAsia"/>
          <w:bCs/>
          <w:color w:val="auto"/>
          <w:sz w:val="28"/>
          <w:szCs w:val="28"/>
          <w:highlight w:val="none"/>
        </w:rPr>
        <w:fldChar w:fldCharType="begin"/>
      </w:r>
      <w:r>
        <w:rPr>
          <w:rFonts w:hint="eastAsia"/>
          <w:bCs/>
          <w:color w:val="auto"/>
          <w:sz w:val="28"/>
          <w:szCs w:val="28"/>
          <w:highlight w:val="none"/>
        </w:rPr>
        <w:instrText xml:space="preserve">TOC \o "1-2" \h \u </w:instrText>
      </w:r>
      <w:r>
        <w:rPr>
          <w:rFonts w:hint="eastAsia"/>
          <w:bCs/>
          <w:color w:val="auto"/>
          <w:sz w:val="28"/>
          <w:szCs w:val="28"/>
          <w:highlight w:val="none"/>
        </w:rPr>
        <w:fldChar w:fldCharType="separate"/>
      </w:r>
      <w:r>
        <w:rPr>
          <w:rFonts w:hint="eastAsia"/>
          <w:bCs/>
          <w:color w:val="auto"/>
          <w:sz w:val="28"/>
          <w:szCs w:val="28"/>
          <w:highlight w:val="none"/>
        </w:rPr>
        <w:fldChar w:fldCharType="begin"/>
      </w:r>
      <w:r>
        <w:rPr>
          <w:rFonts w:hint="eastAsia"/>
          <w:bCs/>
          <w:sz w:val="28"/>
          <w:szCs w:val="28"/>
          <w:highlight w:val="none"/>
        </w:rPr>
        <w:instrText xml:space="preserve"> HYPERLINK \l _Toc10908 </w:instrText>
      </w:r>
      <w:r>
        <w:rPr>
          <w:rFonts w:hint="eastAsia"/>
          <w:bCs/>
          <w:sz w:val="28"/>
          <w:szCs w:val="28"/>
          <w:highlight w:val="none"/>
        </w:rPr>
        <w:fldChar w:fldCharType="separate"/>
      </w:r>
      <w:r>
        <w:rPr>
          <w:rFonts w:hint="eastAsia" w:ascii="宋体" w:eastAsia="宋体"/>
          <w:bCs/>
          <w:sz w:val="28"/>
          <w:szCs w:val="28"/>
          <w:highlight w:val="none"/>
        </w:rPr>
        <w:t>第一章  竞争性磋商公告</w:t>
      </w:r>
      <w:r>
        <w:rPr>
          <w:sz w:val="28"/>
          <w:szCs w:val="28"/>
          <w:highlight w:val="none"/>
        </w:rPr>
        <w:tab/>
      </w:r>
      <w:r>
        <w:rPr>
          <w:sz w:val="28"/>
          <w:szCs w:val="28"/>
          <w:highlight w:val="none"/>
        </w:rPr>
        <w:fldChar w:fldCharType="begin"/>
      </w:r>
      <w:r>
        <w:rPr>
          <w:sz w:val="28"/>
          <w:szCs w:val="28"/>
          <w:highlight w:val="none"/>
        </w:rPr>
        <w:instrText xml:space="preserve"> PAGEREF _Toc10908 \h </w:instrText>
      </w:r>
      <w:r>
        <w:rPr>
          <w:sz w:val="28"/>
          <w:szCs w:val="28"/>
          <w:highlight w:val="none"/>
        </w:rPr>
        <w:fldChar w:fldCharType="separate"/>
      </w:r>
      <w:r>
        <w:rPr>
          <w:sz w:val="28"/>
          <w:szCs w:val="28"/>
          <w:highlight w:val="none"/>
        </w:rPr>
        <w:t>2</w:t>
      </w:r>
      <w:r>
        <w:rPr>
          <w:sz w:val="28"/>
          <w:szCs w:val="28"/>
          <w:highlight w:val="none"/>
        </w:rPr>
        <w:fldChar w:fldCharType="end"/>
      </w:r>
      <w:r>
        <w:rPr>
          <w:rFonts w:hint="eastAsia"/>
          <w:bCs/>
          <w:color w:val="auto"/>
          <w:sz w:val="28"/>
          <w:szCs w:val="28"/>
          <w:highlight w:val="none"/>
        </w:rPr>
        <w:fldChar w:fldCharType="end"/>
      </w:r>
    </w:p>
    <w:p w14:paraId="2D1753F4">
      <w:pPr>
        <w:pStyle w:val="13"/>
        <w:tabs>
          <w:tab w:val="right" w:leader="dot" w:pos="9184"/>
        </w:tabs>
        <w:rPr>
          <w:sz w:val="28"/>
          <w:szCs w:val="28"/>
          <w:highlight w:val="none"/>
        </w:rPr>
      </w:pPr>
      <w:r>
        <w:rPr>
          <w:rFonts w:hint="eastAsia"/>
          <w:bCs/>
          <w:color w:val="auto"/>
          <w:sz w:val="28"/>
          <w:szCs w:val="28"/>
          <w:highlight w:val="none"/>
        </w:rPr>
        <w:fldChar w:fldCharType="begin"/>
      </w:r>
      <w:r>
        <w:rPr>
          <w:rFonts w:hint="eastAsia"/>
          <w:bCs/>
          <w:sz w:val="28"/>
          <w:szCs w:val="28"/>
          <w:highlight w:val="none"/>
        </w:rPr>
        <w:instrText xml:space="preserve"> HYPERLINK \l _Toc10217 </w:instrText>
      </w:r>
      <w:r>
        <w:rPr>
          <w:rFonts w:hint="eastAsia"/>
          <w:bCs/>
          <w:sz w:val="28"/>
          <w:szCs w:val="28"/>
          <w:highlight w:val="none"/>
        </w:rPr>
        <w:fldChar w:fldCharType="separate"/>
      </w:r>
      <w:r>
        <w:rPr>
          <w:rFonts w:hint="eastAsia" w:ascii="宋体" w:eastAsia="宋体"/>
          <w:bCs/>
          <w:sz w:val="28"/>
          <w:szCs w:val="28"/>
          <w:highlight w:val="none"/>
          <w:lang w:eastAsia="zh-CN"/>
        </w:rPr>
        <w:t>第二章</w:t>
      </w:r>
      <w:r>
        <w:rPr>
          <w:rFonts w:hint="eastAsia" w:ascii="宋体" w:eastAsia="宋体"/>
          <w:bCs/>
          <w:sz w:val="28"/>
          <w:szCs w:val="28"/>
          <w:highlight w:val="none"/>
          <w:lang w:val="en-US" w:eastAsia="zh-CN"/>
        </w:rPr>
        <w:t xml:space="preserve">  供应商须知</w:t>
      </w:r>
      <w:r>
        <w:rPr>
          <w:sz w:val="28"/>
          <w:szCs w:val="28"/>
          <w:highlight w:val="none"/>
        </w:rPr>
        <w:tab/>
      </w:r>
      <w:r>
        <w:rPr>
          <w:sz w:val="28"/>
          <w:szCs w:val="28"/>
          <w:highlight w:val="none"/>
        </w:rPr>
        <w:fldChar w:fldCharType="begin"/>
      </w:r>
      <w:r>
        <w:rPr>
          <w:sz w:val="28"/>
          <w:szCs w:val="28"/>
          <w:highlight w:val="none"/>
        </w:rPr>
        <w:instrText xml:space="preserve"> PAGEREF _Toc10217 \h </w:instrText>
      </w:r>
      <w:r>
        <w:rPr>
          <w:sz w:val="28"/>
          <w:szCs w:val="28"/>
          <w:highlight w:val="none"/>
        </w:rPr>
        <w:fldChar w:fldCharType="separate"/>
      </w:r>
      <w:r>
        <w:rPr>
          <w:sz w:val="28"/>
          <w:szCs w:val="28"/>
          <w:highlight w:val="none"/>
        </w:rPr>
        <w:t>6</w:t>
      </w:r>
      <w:r>
        <w:rPr>
          <w:sz w:val="28"/>
          <w:szCs w:val="28"/>
          <w:highlight w:val="none"/>
        </w:rPr>
        <w:fldChar w:fldCharType="end"/>
      </w:r>
      <w:r>
        <w:rPr>
          <w:rFonts w:hint="eastAsia"/>
          <w:bCs/>
          <w:color w:val="auto"/>
          <w:sz w:val="28"/>
          <w:szCs w:val="28"/>
          <w:highlight w:val="none"/>
        </w:rPr>
        <w:fldChar w:fldCharType="end"/>
      </w:r>
    </w:p>
    <w:p w14:paraId="5B8556DE">
      <w:pPr>
        <w:pStyle w:val="16"/>
        <w:tabs>
          <w:tab w:val="right" w:leader="dot" w:pos="9184"/>
        </w:tabs>
        <w:rPr>
          <w:sz w:val="28"/>
          <w:szCs w:val="28"/>
          <w:highlight w:val="none"/>
        </w:rPr>
      </w:pPr>
      <w:r>
        <w:rPr>
          <w:rFonts w:hint="eastAsia"/>
          <w:bCs/>
          <w:color w:val="auto"/>
          <w:sz w:val="28"/>
          <w:szCs w:val="28"/>
          <w:highlight w:val="none"/>
        </w:rPr>
        <w:fldChar w:fldCharType="begin"/>
      </w:r>
      <w:r>
        <w:rPr>
          <w:rFonts w:hint="eastAsia"/>
          <w:bCs/>
          <w:sz w:val="28"/>
          <w:szCs w:val="28"/>
          <w:highlight w:val="none"/>
        </w:rPr>
        <w:instrText xml:space="preserve"> HYPERLINK \l _Toc23524 </w:instrText>
      </w:r>
      <w:r>
        <w:rPr>
          <w:rFonts w:hint="eastAsia"/>
          <w:bCs/>
          <w:sz w:val="28"/>
          <w:szCs w:val="28"/>
          <w:highlight w:val="none"/>
        </w:rPr>
        <w:fldChar w:fldCharType="separate"/>
      </w:r>
      <w:r>
        <w:rPr>
          <w:rFonts w:hint="eastAsia" w:ascii="宋体" w:hAnsi="宋体"/>
          <w:sz w:val="28"/>
          <w:szCs w:val="28"/>
          <w:highlight w:val="none"/>
        </w:rPr>
        <w:t>供应商须知前附表</w:t>
      </w:r>
      <w:r>
        <w:rPr>
          <w:sz w:val="28"/>
          <w:szCs w:val="28"/>
          <w:highlight w:val="none"/>
        </w:rPr>
        <w:tab/>
      </w:r>
      <w:r>
        <w:rPr>
          <w:sz w:val="28"/>
          <w:szCs w:val="28"/>
          <w:highlight w:val="none"/>
        </w:rPr>
        <w:fldChar w:fldCharType="begin"/>
      </w:r>
      <w:r>
        <w:rPr>
          <w:sz w:val="28"/>
          <w:szCs w:val="28"/>
          <w:highlight w:val="none"/>
        </w:rPr>
        <w:instrText xml:space="preserve"> PAGEREF _Toc23524 \h </w:instrText>
      </w:r>
      <w:r>
        <w:rPr>
          <w:sz w:val="28"/>
          <w:szCs w:val="28"/>
          <w:highlight w:val="none"/>
        </w:rPr>
        <w:fldChar w:fldCharType="separate"/>
      </w:r>
      <w:r>
        <w:rPr>
          <w:sz w:val="28"/>
          <w:szCs w:val="28"/>
          <w:highlight w:val="none"/>
        </w:rPr>
        <w:t>6</w:t>
      </w:r>
      <w:r>
        <w:rPr>
          <w:sz w:val="28"/>
          <w:szCs w:val="28"/>
          <w:highlight w:val="none"/>
        </w:rPr>
        <w:fldChar w:fldCharType="end"/>
      </w:r>
      <w:r>
        <w:rPr>
          <w:rFonts w:hint="eastAsia"/>
          <w:bCs/>
          <w:color w:val="auto"/>
          <w:sz w:val="28"/>
          <w:szCs w:val="28"/>
          <w:highlight w:val="none"/>
        </w:rPr>
        <w:fldChar w:fldCharType="end"/>
      </w:r>
    </w:p>
    <w:p w14:paraId="0DCB7D7F">
      <w:pPr>
        <w:pStyle w:val="13"/>
        <w:tabs>
          <w:tab w:val="right" w:leader="dot" w:pos="9184"/>
        </w:tabs>
        <w:rPr>
          <w:sz w:val="28"/>
          <w:szCs w:val="28"/>
          <w:highlight w:val="none"/>
        </w:rPr>
      </w:pPr>
      <w:r>
        <w:rPr>
          <w:rFonts w:hint="eastAsia"/>
          <w:bCs/>
          <w:color w:val="auto"/>
          <w:sz w:val="28"/>
          <w:szCs w:val="28"/>
          <w:highlight w:val="none"/>
        </w:rPr>
        <w:fldChar w:fldCharType="begin"/>
      </w:r>
      <w:r>
        <w:rPr>
          <w:rFonts w:hint="eastAsia"/>
          <w:bCs/>
          <w:sz w:val="28"/>
          <w:szCs w:val="28"/>
          <w:highlight w:val="none"/>
        </w:rPr>
        <w:instrText xml:space="preserve"> HYPERLINK \l _Toc14143 </w:instrText>
      </w:r>
      <w:r>
        <w:rPr>
          <w:rFonts w:hint="eastAsia"/>
          <w:bCs/>
          <w:sz w:val="28"/>
          <w:szCs w:val="28"/>
          <w:highlight w:val="none"/>
        </w:rPr>
        <w:fldChar w:fldCharType="separate"/>
      </w:r>
      <w:r>
        <w:rPr>
          <w:rFonts w:hint="eastAsia" w:ascii="宋体" w:eastAsia="宋体"/>
          <w:bCs/>
          <w:sz w:val="28"/>
          <w:szCs w:val="28"/>
          <w:highlight w:val="none"/>
          <w:lang w:eastAsia="zh-CN"/>
        </w:rPr>
        <w:t>第三章</w:t>
      </w:r>
      <w:r>
        <w:rPr>
          <w:rFonts w:hint="eastAsia" w:ascii="宋体" w:eastAsia="宋体"/>
          <w:bCs/>
          <w:sz w:val="28"/>
          <w:szCs w:val="28"/>
          <w:highlight w:val="none"/>
          <w:lang w:val="en-US" w:eastAsia="zh-CN"/>
        </w:rPr>
        <w:t xml:space="preserve"> </w:t>
      </w:r>
      <w:r>
        <w:rPr>
          <w:rFonts w:hint="eastAsia" w:ascii="宋体" w:eastAsia="宋体"/>
          <w:bCs/>
          <w:sz w:val="28"/>
          <w:szCs w:val="28"/>
          <w:highlight w:val="none"/>
        </w:rPr>
        <w:t xml:space="preserve"> 合同条款及格式</w:t>
      </w:r>
      <w:r>
        <w:rPr>
          <w:sz w:val="28"/>
          <w:szCs w:val="28"/>
          <w:highlight w:val="none"/>
        </w:rPr>
        <w:tab/>
      </w:r>
      <w:r>
        <w:rPr>
          <w:sz w:val="28"/>
          <w:szCs w:val="28"/>
          <w:highlight w:val="none"/>
        </w:rPr>
        <w:fldChar w:fldCharType="begin"/>
      </w:r>
      <w:r>
        <w:rPr>
          <w:sz w:val="28"/>
          <w:szCs w:val="28"/>
          <w:highlight w:val="none"/>
        </w:rPr>
        <w:instrText xml:space="preserve"> PAGEREF _Toc14143 \h </w:instrText>
      </w:r>
      <w:r>
        <w:rPr>
          <w:sz w:val="28"/>
          <w:szCs w:val="28"/>
          <w:highlight w:val="none"/>
        </w:rPr>
        <w:fldChar w:fldCharType="separate"/>
      </w:r>
      <w:r>
        <w:rPr>
          <w:sz w:val="28"/>
          <w:szCs w:val="28"/>
          <w:highlight w:val="none"/>
        </w:rPr>
        <w:t>24</w:t>
      </w:r>
      <w:r>
        <w:rPr>
          <w:sz w:val="28"/>
          <w:szCs w:val="28"/>
          <w:highlight w:val="none"/>
        </w:rPr>
        <w:fldChar w:fldCharType="end"/>
      </w:r>
      <w:r>
        <w:rPr>
          <w:rFonts w:hint="eastAsia"/>
          <w:bCs/>
          <w:color w:val="auto"/>
          <w:sz w:val="28"/>
          <w:szCs w:val="28"/>
          <w:highlight w:val="none"/>
        </w:rPr>
        <w:fldChar w:fldCharType="end"/>
      </w:r>
    </w:p>
    <w:p w14:paraId="36DD3696">
      <w:pPr>
        <w:pStyle w:val="16"/>
        <w:tabs>
          <w:tab w:val="right" w:leader="dot" w:pos="9184"/>
        </w:tabs>
        <w:rPr>
          <w:rFonts w:hint="eastAsia" w:eastAsia="宋体"/>
          <w:sz w:val="28"/>
          <w:szCs w:val="28"/>
          <w:highlight w:val="none"/>
          <w:lang w:val="en-US" w:eastAsia="zh-CN"/>
        </w:rPr>
      </w:pPr>
      <w:r>
        <w:rPr>
          <w:rFonts w:hint="eastAsia"/>
          <w:bCs/>
          <w:color w:val="auto"/>
          <w:sz w:val="28"/>
          <w:szCs w:val="28"/>
          <w:highlight w:val="none"/>
        </w:rPr>
        <w:fldChar w:fldCharType="begin"/>
      </w:r>
      <w:r>
        <w:rPr>
          <w:rFonts w:hint="eastAsia"/>
          <w:bCs/>
          <w:sz w:val="28"/>
          <w:szCs w:val="28"/>
          <w:highlight w:val="none"/>
        </w:rPr>
        <w:instrText xml:space="preserve"> HYPERLINK \l _Toc3711 </w:instrText>
      </w:r>
      <w:r>
        <w:rPr>
          <w:rFonts w:hint="eastAsia"/>
          <w:bCs/>
          <w:sz w:val="28"/>
          <w:szCs w:val="28"/>
          <w:highlight w:val="none"/>
        </w:rPr>
        <w:fldChar w:fldCharType="separate"/>
      </w:r>
      <w:r>
        <w:rPr>
          <w:rFonts w:hint="eastAsia" w:hAnsi="宋体"/>
          <w:bCs/>
          <w:sz w:val="28"/>
          <w:szCs w:val="28"/>
          <w:highlight w:val="none"/>
        </w:rPr>
        <w:t>合同前附表</w:t>
      </w:r>
      <w:r>
        <w:rPr>
          <w:sz w:val="28"/>
          <w:szCs w:val="28"/>
          <w:highlight w:val="none"/>
        </w:rPr>
        <w:tab/>
      </w:r>
      <w:r>
        <w:rPr>
          <w:rFonts w:hint="eastAsia"/>
          <w:sz w:val="28"/>
          <w:szCs w:val="28"/>
          <w:highlight w:val="none"/>
          <w:lang w:val="en-US" w:eastAsia="zh-CN"/>
        </w:rPr>
        <w:t>2</w:t>
      </w:r>
      <w:r>
        <w:rPr>
          <w:rFonts w:hint="eastAsia"/>
          <w:bCs/>
          <w:color w:val="auto"/>
          <w:sz w:val="28"/>
          <w:szCs w:val="28"/>
          <w:highlight w:val="none"/>
        </w:rPr>
        <w:fldChar w:fldCharType="end"/>
      </w:r>
      <w:r>
        <w:rPr>
          <w:rFonts w:hint="eastAsia"/>
          <w:bCs/>
          <w:color w:val="auto"/>
          <w:sz w:val="28"/>
          <w:szCs w:val="28"/>
          <w:highlight w:val="none"/>
          <w:lang w:val="en-US" w:eastAsia="zh-CN"/>
        </w:rPr>
        <w:t>4</w:t>
      </w:r>
    </w:p>
    <w:p w14:paraId="66011C9B">
      <w:pPr>
        <w:pStyle w:val="13"/>
        <w:tabs>
          <w:tab w:val="right" w:leader="dot" w:pos="9184"/>
        </w:tabs>
        <w:rPr>
          <w:rFonts w:hint="eastAsia" w:eastAsia="宋体"/>
          <w:sz w:val="28"/>
          <w:szCs w:val="28"/>
          <w:highlight w:val="none"/>
          <w:lang w:val="en-US" w:eastAsia="zh-CN"/>
        </w:rPr>
      </w:pPr>
      <w:r>
        <w:rPr>
          <w:rFonts w:hint="eastAsia"/>
          <w:bCs/>
          <w:color w:val="auto"/>
          <w:sz w:val="28"/>
          <w:szCs w:val="28"/>
          <w:highlight w:val="none"/>
        </w:rPr>
        <w:fldChar w:fldCharType="begin"/>
      </w:r>
      <w:r>
        <w:rPr>
          <w:rFonts w:hint="eastAsia"/>
          <w:bCs/>
          <w:sz w:val="28"/>
          <w:szCs w:val="28"/>
          <w:highlight w:val="none"/>
        </w:rPr>
        <w:instrText xml:space="preserve"> HYPERLINK \l _Toc7992 </w:instrText>
      </w:r>
      <w:r>
        <w:rPr>
          <w:rFonts w:hint="eastAsia"/>
          <w:bCs/>
          <w:sz w:val="28"/>
          <w:szCs w:val="28"/>
          <w:highlight w:val="none"/>
        </w:rPr>
        <w:fldChar w:fldCharType="separate"/>
      </w:r>
      <w:r>
        <w:rPr>
          <w:rFonts w:hint="eastAsia" w:ascii="宋体" w:eastAsia="宋体" w:cs="宋体"/>
          <w:bCs/>
          <w:sz w:val="28"/>
          <w:szCs w:val="28"/>
          <w:highlight w:val="none"/>
        </w:rPr>
        <w:t>第四章  竞争性磋商内容及技术要求</w:t>
      </w:r>
      <w:r>
        <w:rPr>
          <w:sz w:val="28"/>
          <w:szCs w:val="28"/>
          <w:highlight w:val="none"/>
        </w:rPr>
        <w:tab/>
      </w:r>
      <w:r>
        <w:rPr>
          <w:rFonts w:hint="eastAsia"/>
          <w:sz w:val="28"/>
          <w:szCs w:val="28"/>
          <w:highlight w:val="none"/>
          <w:lang w:val="en-US" w:eastAsia="zh-CN"/>
        </w:rPr>
        <w:t>3</w:t>
      </w:r>
      <w:r>
        <w:rPr>
          <w:rFonts w:hint="eastAsia"/>
          <w:bCs/>
          <w:color w:val="auto"/>
          <w:sz w:val="28"/>
          <w:szCs w:val="28"/>
          <w:highlight w:val="none"/>
        </w:rPr>
        <w:fldChar w:fldCharType="end"/>
      </w:r>
      <w:r>
        <w:rPr>
          <w:rFonts w:hint="eastAsia"/>
          <w:bCs/>
          <w:color w:val="auto"/>
          <w:sz w:val="28"/>
          <w:szCs w:val="28"/>
          <w:highlight w:val="none"/>
          <w:lang w:val="en-US" w:eastAsia="zh-CN"/>
        </w:rPr>
        <w:t>0</w:t>
      </w:r>
    </w:p>
    <w:p w14:paraId="71BA4724">
      <w:pPr>
        <w:pStyle w:val="13"/>
        <w:tabs>
          <w:tab w:val="right" w:leader="dot" w:pos="9184"/>
        </w:tabs>
        <w:rPr>
          <w:sz w:val="28"/>
          <w:szCs w:val="28"/>
          <w:highlight w:val="none"/>
        </w:rPr>
      </w:pPr>
      <w:r>
        <w:rPr>
          <w:rFonts w:hint="eastAsia"/>
          <w:bCs/>
          <w:color w:val="auto"/>
          <w:sz w:val="28"/>
          <w:szCs w:val="28"/>
          <w:highlight w:val="none"/>
        </w:rPr>
        <w:fldChar w:fldCharType="begin"/>
      </w:r>
      <w:r>
        <w:rPr>
          <w:rFonts w:hint="eastAsia"/>
          <w:bCs/>
          <w:sz w:val="28"/>
          <w:szCs w:val="28"/>
          <w:highlight w:val="none"/>
        </w:rPr>
        <w:instrText xml:space="preserve"> HYPERLINK \l _Toc17445 </w:instrText>
      </w:r>
      <w:r>
        <w:rPr>
          <w:rFonts w:hint="eastAsia"/>
          <w:bCs/>
          <w:sz w:val="28"/>
          <w:szCs w:val="28"/>
          <w:highlight w:val="none"/>
        </w:rPr>
        <w:fldChar w:fldCharType="separate"/>
      </w:r>
      <w:r>
        <w:rPr>
          <w:rFonts w:hint="eastAsia" w:ascii="宋体" w:eastAsia="宋体" w:cs="宋体"/>
          <w:sz w:val="28"/>
          <w:szCs w:val="28"/>
          <w:highlight w:val="none"/>
        </w:rPr>
        <w:t>第五章  评审方法</w:t>
      </w:r>
      <w:r>
        <w:rPr>
          <w:sz w:val="28"/>
          <w:szCs w:val="28"/>
          <w:highlight w:val="none"/>
        </w:rPr>
        <w:tab/>
      </w:r>
      <w:r>
        <w:rPr>
          <w:sz w:val="28"/>
          <w:szCs w:val="28"/>
          <w:highlight w:val="none"/>
        </w:rPr>
        <w:fldChar w:fldCharType="begin"/>
      </w:r>
      <w:r>
        <w:rPr>
          <w:sz w:val="28"/>
          <w:szCs w:val="28"/>
          <w:highlight w:val="none"/>
        </w:rPr>
        <w:instrText xml:space="preserve"> PAGEREF _Toc17445 \h </w:instrText>
      </w:r>
      <w:r>
        <w:rPr>
          <w:sz w:val="28"/>
          <w:szCs w:val="28"/>
          <w:highlight w:val="none"/>
        </w:rPr>
        <w:fldChar w:fldCharType="separate"/>
      </w:r>
      <w:r>
        <w:rPr>
          <w:sz w:val="28"/>
          <w:szCs w:val="28"/>
          <w:highlight w:val="none"/>
        </w:rPr>
        <w:t>32</w:t>
      </w:r>
      <w:r>
        <w:rPr>
          <w:sz w:val="28"/>
          <w:szCs w:val="28"/>
          <w:highlight w:val="none"/>
        </w:rPr>
        <w:fldChar w:fldCharType="end"/>
      </w:r>
      <w:r>
        <w:rPr>
          <w:rFonts w:hint="eastAsia"/>
          <w:bCs/>
          <w:color w:val="auto"/>
          <w:sz w:val="28"/>
          <w:szCs w:val="28"/>
          <w:highlight w:val="none"/>
        </w:rPr>
        <w:fldChar w:fldCharType="end"/>
      </w:r>
    </w:p>
    <w:p w14:paraId="43C7AEC6">
      <w:pPr>
        <w:pStyle w:val="13"/>
        <w:tabs>
          <w:tab w:val="right" w:leader="dot" w:pos="9184"/>
        </w:tabs>
        <w:rPr>
          <w:sz w:val="28"/>
          <w:szCs w:val="28"/>
          <w:highlight w:val="none"/>
        </w:rPr>
      </w:pPr>
      <w:r>
        <w:rPr>
          <w:rFonts w:hint="eastAsia"/>
          <w:bCs/>
          <w:color w:val="auto"/>
          <w:sz w:val="28"/>
          <w:szCs w:val="28"/>
          <w:highlight w:val="none"/>
        </w:rPr>
        <w:fldChar w:fldCharType="begin"/>
      </w:r>
      <w:r>
        <w:rPr>
          <w:rFonts w:hint="eastAsia"/>
          <w:bCs/>
          <w:sz w:val="28"/>
          <w:szCs w:val="28"/>
          <w:highlight w:val="none"/>
        </w:rPr>
        <w:instrText xml:space="preserve"> HYPERLINK \l _Toc22487 </w:instrText>
      </w:r>
      <w:r>
        <w:rPr>
          <w:rFonts w:hint="eastAsia"/>
          <w:bCs/>
          <w:sz w:val="28"/>
          <w:szCs w:val="28"/>
          <w:highlight w:val="none"/>
        </w:rPr>
        <w:fldChar w:fldCharType="separate"/>
      </w:r>
      <w:r>
        <w:rPr>
          <w:rFonts w:hint="eastAsia" w:ascii="宋体" w:eastAsia="宋体"/>
          <w:bCs/>
          <w:sz w:val="28"/>
          <w:szCs w:val="28"/>
          <w:highlight w:val="none"/>
        </w:rPr>
        <w:t>第六章  竞争性磋商响应文件格式</w:t>
      </w:r>
      <w:r>
        <w:rPr>
          <w:sz w:val="28"/>
          <w:szCs w:val="28"/>
          <w:highlight w:val="none"/>
        </w:rPr>
        <w:tab/>
      </w:r>
      <w:r>
        <w:rPr>
          <w:sz w:val="28"/>
          <w:szCs w:val="28"/>
          <w:highlight w:val="none"/>
        </w:rPr>
        <w:fldChar w:fldCharType="begin"/>
      </w:r>
      <w:r>
        <w:rPr>
          <w:sz w:val="28"/>
          <w:szCs w:val="28"/>
          <w:highlight w:val="none"/>
        </w:rPr>
        <w:instrText xml:space="preserve"> PAGEREF _Toc22487 \h </w:instrText>
      </w:r>
      <w:r>
        <w:rPr>
          <w:sz w:val="28"/>
          <w:szCs w:val="28"/>
          <w:highlight w:val="none"/>
        </w:rPr>
        <w:fldChar w:fldCharType="separate"/>
      </w:r>
      <w:r>
        <w:rPr>
          <w:sz w:val="28"/>
          <w:szCs w:val="28"/>
          <w:highlight w:val="none"/>
        </w:rPr>
        <w:t>39</w:t>
      </w:r>
      <w:r>
        <w:rPr>
          <w:sz w:val="28"/>
          <w:szCs w:val="28"/>
          <w:highlight w:val="none"/>
        </w:rPr>
        <w:fldChar w:fldCharType="end"/>
      </w:r>
      <w:r>
        <w:rPr>
          <w:rFonts w:hint="eastAsia"/>
          <w:bCs/>
          <w:color w:val="auto"/>
          <w:sz w:val="28"/>
          <w:szCs w:val="28"/>
          <w:highlight w:val="none"/>
        </w:rPr>
        <w:fldChar w:fldCharType="end"/>
      </w:r>
    </w:p>
    <w:p w14:paraId="412C0C00">
      <w:pPr>
        <w:pStyle w:val="13"/>
        <w:tabs>
          <w:tab w:val="right" w:leader="dot" w:pos="8302"/>
        </w:tabs>
        <w:spacing w:line="720" w:lineRule="auto"/>
        <w:rPr>
          <w:bCs/>
          <w:color w:val="auto"/>
          <w:sz w:val="40"/>
          <w:szCs w:val="40"/>
          <w:highlight w:val="none"/>
        </w:rPr>
      </w:pPr>
      <w:r>
        <w:rPr>
          <w:rFonts w:hint="eastAsia"/>
          <w:bCs/>
          <w:color w:val="auto"/>
          <w:sz w:val="28"/>
          <w:szCs w:val="28"/>
          <w:highlight w:val="none"/>
        </w:rPr>
        <w:fldChar w:fldCharType="end"/>
      </w:r>
    </w:p>
    <w:p w14:paraId="792D45B2">
      <w:pPr>
        <w:rPr>
          <w:rFonts w:ascii="宋体" w:eastAsia="宋体"/>
          <w:bCs/>
          <w:color w:val="auto"/>
          <w:sz w:val="36"/>
          <w:szCs w:val="36"/>
          <w:highlight w:val="none"/>
        </w:rPr>
      </w:pPr>
      <w:r>
        <w:rPr>
          <w:rFonts w:ascii="宋体" w:eastAsia="宋体"/>
          <w:bCs/>
          <w:color w:val="auto"/>
          <w:sz w:val="36"/>
          <w:szCs w:val="36"/>
          <w:highlight w:val="none"/>
        </w:rPr>
        <w:br w:type="page"/>
      </w:r>
    </w:p>
    <w:p w14:paraId="5E34FA1C">
      <w:pPr>
        <w:pStyle w:val="18"/>
        <w:sectPr>
          <w:footerReference r:id="rId7" w:type="first"/>
          <w:footerReference r:id="rId6" w:type="default"/>
          <w:pgSz w:w="11906" w:h="16838"/>
          <w:pgMar w:top="1304" w:right="1361" w:bottom="1304" w:left="1361" w:header="851" w:footer="992" w:gutter="0"/>
          <w:pgNumType w:start="1"/>
          <w:cols w:space="720" w:num="1"/>
          <w:titlePg/>
          <w:docGrid w:type="lines" w:linePitch="312" w:charSpace="0"/>
        </w:sectPr>
      </w:pPr>
    </w:p>
    <w:p w14:paraId="70A44E93">
      <w:pPr>
        <w:pStyle w:val="2"/>
        <w:keepNext w:val="0"/>
        <w:keepLines/>
        <w:pageBreakBefore/>
        <w:spacing w:before="156" w:beforeLines="50" w:after="156" w:afterLines="50" w:line="360" w:lineRule="auto"/>
        <w:jc w:val="center"/>
        <w:rPr>
          <w:rFonts w:ascii="宋体" w:eastAsia="宋体"/>
          <w:bCs/>
          <w:color w:val="auto"/>
          <w:sz w:val="36"/>
          <w:szCs w:val="36"/>
          <w:highlight w:val="none"/>
        </w:rPr>
      </w:pPr>
      <w:bookmarkStart w:id="12" w:name="_Toc10908"/>
      <w:bookmarkStart w:id="13" w:name="_Toc423973071"/>
      <w:r>
        <w:rPr>
          <w:rFonts w:hint="eastAsia" w:ascii="宋体" w:eastAsia="宋体"/>
          <w:bCs/>
          <w:color w:val="auto"/>
          <w:sz w:val="36"/>
          <w:szCs w:val="36"/>
          <w:highlight w:val="none"/>
        </w:rPr>
        <w:t xml:space="preserve">第一章 </w:t>
      </w:r>
      <w:bookmarkEnd w:id="1"/>
      <w:bookmarkEnd w:id="2"/>
      <w:bookmarkEnd w:id="3"/>
      <w:bookmarkEnd w:id="4"/>
      <w:bookmarkEnd w:id="5"/>
      <w:bookmarkEnd w:id="6"/>
      <w:bookmarkEnd w:id="7"/>
      <w:r>
        <w:rPr>
          <w:rFonts w:hint="eastAsia" w:ascii="宋体" w:eastAsia="宋体"/>
          <w:bCs/>
          <w:color w:val="auto"/>
          <w:sz w:val="36"/>
          <w:szCs w:val="36"/>
          <w:highlight w:val="none"/>
        </w:rPr>
        <w:t xml:space="preserve"> 竞争性磋商公告</w:t>
      </w:r>
      <w:bookmarkEnd w:id="8"/>
      <w:bookmarkEnd w:id="12"/>
      <w:bookmarkEnd w:id="13"/>
    </w:p>
    <w:p w14:paraId="3D287129">
      <w:pPr>
        <w:widowControl/>
        <w:shd w:val="clear"/>
        <w:spacing w:before="76" w:beforeAutospacing="0" w:after="76" w:afterAutospacing="0" w:line="360" w:lineRule="auto"/>
        <w:outlineLvl w:val="9"/>
        <w:rPr>
          <w:rFonts w:hint="default" w:cs="宋体"/>
          <w:b w:val="0"/>
          <w:bCs w:val="0"/>
          <w:sz w:val="24"/>
          <w:szCs w:val="24"/>
          <w:highlight w:val="none"/>
        </w:rPr>
      </w:pPr>
      <w:r>
        <w:rPr>
          <w:rStyle w:val="22"/>
          <w:rFonts w:cs="宋体"/>
          <w:b/>
          <w:bCs/>
          <w:sz w:val="24"/>
          <w:szCs w:val="24"/>
          <w:highlight w:val="none"/>
          <w:shd w:val="clear" w:color="auto" w:fill="FFFFFF"/>
        </w:rPr>
        <w:t>项目概况</w:t>
      </w:r>
    </w:p>
    <w:p w14:paraId="5D48988D">
      <w:pPr>
        <w:pStyle w:val="17"/>
        <w:shd w:val="clear"/>
        <w:spacing w:before="76" w:beforeAutospacing="0" w:after="76" w:afterAutospacing="0" w:line="360" w:lineRule="auto"/>
        <w:ind w:firstLine="240"/>
        <w:jc w:val="both"/>
        <w:rPr>
          <w:rFonts w:cs="宋体"/>
          <w:highlight w:val="none"/>
        </w:rPr>
      </w:pPr>
      <w:r>
        <w:rPr>
          <w:rFonts w:hint="eastAsia" w:cs="宋体"/>
          <w:highlight w:val="none"/>
          <w:shd w:val="clear" w:color="auto" w:fill="FFFFFF"/>
        </w:rPr>
        <w:t>商南县2025年大气污染防治能力提升技术服务项目采购项目的潜在供应商应在陕西省商南县幸福路口46栋4层获取采购文件，并于 2025年06月19日 15时00分 （北京时间）前提交响应文件。</w:t>
      </w:r>
    </w:p>
    <w:p w14:paraId="30506E33">
      <w:pPr>
        <w:widowControl/>
        <w:shd w:val="clear" w:color="auto"/>
        <w:spacing w:before="75" w:beforeAutospacing="0" w:afterAutospacing="0" w:line="360" w:lineRule="auto"/>
        <w:outlineLvl w:val="9"/>
        <w:rPr>
          <w:rFonts w:hint="default" w:cs="宋体"/>
          <w:b w:val="0"/>
          <w:bCs w:val="0"/>
          <w:highlight w:val="none"/>
        </w:rPr>
      </w:pPr>
      <w:r>
        <w:rPr>
          <w:rStyle w:val="22"/>
          <w:rFonts w:cs="宋体"/>
          <w:b/>
          <w:bCs/>
          <w:highlight w:val="none"/>
          <w:shd w:val="clear" w:color="auto" w:fill="FFFFFF"/>
        </w:rPr>
        <w:t>一、项目基本情况</w:t>
      </w:r>
    </w:p>
    <w:p w14:paraId="1C40C862">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720" w:firstLineChars="300"/>
        <w:jc w:val="both"/>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项目编号：THSN-2025-0604</w:t>
      </w:r>
    </w:p>
    <w:p w14:paraId="224A1CB4">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720" w:firstLineChars="300"/>
        <w:jc w:val="both"/>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项目名称：商南县2025年大气污染防治能力提升技术服务项目</w:t>
      </w:r>
    </w:p>
    <w:p w14:paraId="5C375053">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720" w:firstLineChars="300"/>
        <w:jc w:val="both"/>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采购方式：竞争性磋商</w:t>
      </w:r>
    </w:p>
    <w:p w14:paraId="0B35FD88">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720" w:firstLineChars="300"/>
        <w:jc w:val="both"/>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预算金额：914,000.00元</w:t>
      </w:r>
    </w:p>
    <w:p w14:paraId="7715D8DC">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720" w:firstLineChars="300"/>
        <w:jc w:val="both"/>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采购需求：</w:t>
      </w:r>
    </w:p>
    <w:p w14:paraId="61C58B9B">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720" w:firstLineChars="300"/>
        <w:jc w:val="both"/>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合同包1(商南县2025年大气污染防治能力提升技术服务项目):</w:t>
      </w:r>
    </w:p>
    <w:p w14:paraId="7D04D789">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720" w:firstLineChars="300"/>
        <w:jc w:val="both"/>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合同包预算金额：914,000.00元</w:t>
      </w:r>
    </w:p>
    <w:p w14:paraId="69A81D3A">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720" w:firstLineChars="300"/>
        <w:jc w:val="both"/>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合同包最高限价：914,000.00元</w:t>
      </w:r>
    </w:p>
    <w:tbl>
      <w:tblPr>
        <w:tblStyle w:val="19"/>
        <w:tblW w:w="10320" w:type="dxa"/>
        <w:tblInd w:w="-2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16"/>
        <w:gridCol w:w="2069"/>
        <w:gridCol w:w="1335"/>
        <w:gridCol w:w="1365"/>
        <w:gridCol w:w="1815"/>
        <w:gridCol w:w="1425"/>
        <w:gridCol w:w="1395"/>
      </w:tblGrid>
      <w:tr w14:paraId="05589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18" w:hRule="atLeast"/>
          <w:tblHeader/>
        </w:trPr>
        <w:tc>
          <w:tcPr>
            <w:tcW w:w="91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8B9DDE7">
            <w:pPr>
              <w:keepNext w:val="0"/>
              <w:keepLines w:val="0"/>
              <w:widowControl/>
              <w:suppressLineNumbers w:val="0"/>
              <w:wordWrap w:val="0"/>
              <w:spacing w:before="0" w:beforeAutospacing="0" w:after="0" w:afterAutospacing="0" w:line="360" w:lineRule="atLeast"/>
              <w:ind w:left="0" w:right="0"/>
              <w:jc w:val="center"/>
              <w:textAlignment w:val="center"/>
              <w:rPr>
                <w:rFonts w:ascii="微软雅黑" w:hAnsi="微软雅黑" w:eastAsia="微软雅黑" w:cs="微软雅黑"/>
                <w:b/>
                <w:bCs/>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21"/>
                <w:szCs w:val="21"/>
                <w:lang w:val="en-US" w:eastAsia="zh-CN" w:bidi="ar"/>
              </w:rPr>
              <w:t>品目号</w:t>
            </w:r>
          </w:p>
        </w:tc>
        <w:tc>
          <w:tcPr>
            <w:tcW w:w="2069"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3019885">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微软雅黑" w:hAnsi="微软雅黑" w:eastAsia="微软雅黑" w:cs="微软雅黑"/>
                <w:b/>
                <w:bCs/>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21"/>
                <w:szCs w:val="21"/>
                <w:lang w:val="en-US" w:eastAsia="zh-CN" w:bidi="ar"/>
              </w:rPr>
              <w:t>品目名称</w:t>
            </w:r>
          </w:p>
        </w:tc>
        <w:tc>
          <w:tcPr>
            <w:tcW w:w="133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D3D6386">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微软雅黑" w:hAnsi="微软雅黑" w:eastAsia="微软雅黑" w:cs="微软雅黑"/>
                <w:b/>
                <w:bCs/>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21"/>
                <w:szCs w:val="21"/>
                <w:lang w:val="en-US" w:eastAsia="zh-CN" w:bidi="ar"/>
              </w:rPr>
              <w:t>采购标的</w:t>
            </w:r>
          </w:p>
        </w:tc>
        <w:tc>
          <w:tcPr>
            <w:tcW w:w="136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66D12167">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微软雅黑" w:hAnsi="微软雅黑" w:eastAsia="微软雅黑" w:cs="微软雅黑"/>
                <w:b/>
                <w:bCs/>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21"/>
                <w:szCs w:val="21"/>
                <w:lang w:val="en-US" w:eastAsia="zh-CN" w:bidi="ar"/>
              </w:rPr>
              <w:t>数量（单位）</w:t>
            </w:r>
          </w:p>
        </w:tc>
        <w:tc>
          <w:tcPr>
            <w:tcW w:w="181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66F1EDB4">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微软雅黑" w:hAnsi="微软雅黑" w:eastAsia="微软雅黑" w:cs="微软雅黑"/>
                <w:b/>
                <w:bCs/>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21"/>
                <w:szCs w:val="21"/>
                <w:lang w:val="en-US" w:eastAsia="zh-CN" w:bidi="ar"/>
              </w:rPr>
              <w:t>技术规格、参数及要求</w:t>
            </w:r>
          </w:p>
        </w:tc>
        <w:tc>
          <w:tcPr>
            <w:tcW w:w="142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19051E0">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微软雅黑" w:hAnsi="微软雅黑" w:eastAsia="微软雅黑" w:cs="微软雅黑"/>
                <w:b/>
                <w:bCs/>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21"/>
                <w:szCs w:val="21"/>
                <w:lang w:val="en-US" w:eastAsia="zh-CN" w:bidi="ar"/>
              </w:rPr>
              <w:t>品目预算(元)</w:t>
            </w:r>
          </w:p>
        </w:tc>
        <w:tc>
          <w:tcPr>
            <w:tcW w:w="139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7D743A1">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微软雅黑" w:hAnsi="微软雅黑" w:eastAsia="微软雅黑" w:cs="微软雅黑"/>
                <w:b/>
                <w:bCs/>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21"/>
                <w:szCs w:val="21"/>
                <w:lang w:val="en-US" w:eastAsia="zh-CN" w:bidi="ar"/>
              </w:rPr>
              <w:t>最高限价(元)</w:t>
            </w:r>
          </w:p>
        </w:tc>
      </w:tr>
      <w:tr w14:paraId="28842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91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2B7E727">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lang w:val="en-US" w:eastAsia="zh-CN" w:bidi="ar"/>
              </w:rPr>
              <w:t>1-1</w:t>
            </w:r>
          </w:p>
        </w:tc>
        <w:tc>
          <w:tcPr>
            <w:tcW w:w="2069"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5C3C2FF">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lang w:val="en-US" w:eastAsia="zh-CN" w:bidi="ar"/>
              </w:rPr>
              <w:t>大气污染治理服务</w:t>
            </w:r>
          </w:p>
        </w:tc>
        <w:tc>
          <w:tcPr>
            <w:tcW w:w="133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EFB19EF">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lang w:val="en-US" w:eastAsia="zh-CN" w:bidi="ar"/>
              </w:rPr>
              <w:t>914000</w:t>
            </w:r>
          </w:p>
        </w:tc>
        <w:tc>
          <w:tcPr>
            <w:tcW w:w="136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977D6A4">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lang w:val="en-US" w:eastAsia="zh-CN" w:bidi="ar"/>
              </w:rPr>
              <w:t>1(项)</w:t>
            </w:r>
          </w:p>
        </w:tc>
        <w:tc>
          <w:tcPr>
            <w:tcW w:w="181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CAF9EA1">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lang w:val="en-US" w:eastAsia="zh-CN" w:bidi="ar"/>
              </w:rPr>
              <w:t>详见采购文件</w:t>
            </w:r>
          </w:p>
        </w:tc>
        <w:tc>
          <w:tcPr>
            <w:tcW w:w="142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DCEF81C">
            <w:pPr>
              <w:keepNext w:val="0"/>
              <w:keepLines w:val="0"/>
              <w:widowControl/>
              <w:suppressLineNumbers w:val="0"/>
              <w:wordWrap/>
              <w:spacing w:before="0" w:beforeAutospacing="0" w:after="0" w:afterAutospacing="0" w:line="360" w:lineRule="atLeast"/>
              <w:ind w:left="0" w:right="0"/>
              <w:jc w:val="right"/>
              <w:textAlignment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vertAlign w:val="baseline"/>
                <w:lang w:val="en-US" w:eastAsia="zh-CN" w:bidi="ar"/>
              </w:rPr>
              <w:t>914,000.00</w:t>
            </w:r>
          </w:p>
        </w:tc>
        <w:tc>
          <w:tcPr>
            <w:tcW w:w="139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D0203F8">
            <w:pPr>
              <w:keepNext w:val="0"/>
              <w:keepLines w:val="0"/>
              <w:widowControl/>
              <w:suppressLineNumbers w:val="0"/>
              <w:wordWrap/>
              <w:spacing w:before="0" w:beforeAutospacing="0" w:after="0" w:afterAutospacing="0" w:line="360" w:lineRule="atLeast"/>
              <w:ind w:left="0" w:right="0"/>
              <w:jc w:val="right"/>
              <w:textAlignment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vertAlign w:val="baseline"/>
                <w:lang w:val="en-US" w:eastAsia="zh-CN" w:bidi="ar"/>
              </w:rPr>
              <w:t>914,000.00</w:t>
            </w:r>
          </w:p>
        </w:tc>
      </w:tr>
    </w:tbl>
    <w:p w14:paraId="5A2A0758">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本合同包不接受联合体投标</w:t>
      </w:r>
    </w:p>
    <w:p w14:paraId="269C4C02">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合同履行期限：</w:t>
      </w:r>
      <w:r>
        <w:rPr>
          <w:rFonts w:hint="eastAsia" w:cs="Times New Roman"/>
          <w:b w:val="0"/>
          <w:color w:val="auto"/>
          <w:kern w:val="2"/>
          <w:sz w:val="24"/>
          <w:szCs w:val="24"/>
          <w:highlight w:val="none"/>
          <w:lang w:eastAsia="zh-CN"/>
        </w:rPr>
        <w:t>无</w:t>
      </w:r>
    </w:p>
    <w:p w14:paraId="62F8DCC9">
      <w:pPr>
        <w:widowControl/>
        <w:shd w:val="clear" w:color="auto"/>
        <w:spacing w:before="75" w:beforeAutospacing="0" w:afterAutospacing="0" w:line="360" w:lineRule="auto"/>
        <w:outlineLvl w:val="9"/>
        <w:rPr>
          <w:rFonts w:hint="default" w:cs="宋体"/>
          <w:b w:val="0"/>
          <w:bCs w:val="0"/>
          <w:highlight w:val="none"/>
        </w:rPr>
      </w:pPr>
      <w:r>
        <w:rPr>
          <w:rStyle w:val="22"/>
          <w:rFonts w:cs="宋体"/>
          <w:b/>
          <w:bCs/>
          <w:highlight w:val="none"/>
          <w:shd w:val="clear" w:color="auto" w:fill="FFFFFF"/>
        </w:rPr>
        <w:t>二、申请人的资格要求：</w:t>
      </w:r>
    </w:p>
    <w:p w14:paraId="52BF7F3C">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1.满足《中华人民共和国政府采购法》第二十二条规定;</w:t>
      </w:r>
    </w:p>
    <w:p w14:paraId="206E1FC8">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2.落实政府采购政策需满足的资格要求：</w:t>
      </w:r>
    </w:p>
    <w:p w14:paraId="7B64879F">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合同包1(商南县2025年大气污染防治能力提升技术服务项目)落实政府采购政策需满足的资格要求如下:</w:t>
      </w:r>
    </w:p>
    <w:p w14:paraId="435F4C5C">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（1）《政府采购促进中小企业发展管理办法》（财库〔2020〕46号）；</w:t>
      </w:r>
      <w:r>
        <w:rPr>
          <w:rFonts w:hint="eastAsia" w:ascii="宋体" w:hAnsi="宋体" w:eastAsia="宋体" w:cs="Times New Roman"/>
          <w:b w:val="0"/>
          <w:color w:val="auto"/>
          <w:kern w:val="2"/>
          <w:sz w:val="24"/>
          <w:szCs w:val="24"/>
          <w:highlight w:val="none"/>
          <w:lang w:eastAsia="zh-CN"/>
        </w:rPr>
        <w:br w:type="textWrapping"/>
      </w:r>
      <w:r>
        <w:rPr>
          <w:rFonts w:hint="eastAsia" w:ascii="宋体" w:hAnsi="宋体" w:eastAsia="宋体" w:cs="Times New Roman"/>
          <w:b w:val="0"/>
          <w:color w:val="auto"/>
          <w:kern w:val="2"/>
          <w:sz w:val="24"/>
          <w:szCs w:val="24"/>
          <w:highlight w:val="none"/>
          <w:lang w:eastAsia="zh-CN"/>
        </w:rPr>
        <w:t>（2）《财政部司法部关于政府采购支持监狱企业发展有关问题的通知》（财库〔2014〕68号）；</w:t>
      </w:r>
      <w:r>
        <w:rPr>
          <w:rFonts w:hint="eastAsia" w:ascii="宋体" w:hAnsi="宋体" w:eastAsia="宋体" w:cs="Times New Roman"/>
          <w:b w:val="0"/>
          <w:color w:val="auto"/>
          <w:kern w:val="2"/>
          <w:sz w:val="24"/>
          <w:szCs w:val="24"/>
          <w:highlight w:val="none"/>
          <w:lang w:eastAsia="zh-CN"/>
        </w:rPr>
        <w:br w:type="textWrapping"/>
      </w:r>
      <w:r>
        <w:rPr>
          <w:rFonts w:hint="eastAsia" w:ascii="宋体" w:hAnsi="宋体" w:eastAsia="宋体" w:cs="Times New Roman"/>
          <w:b w:val="0"/>
          <w:color w:val="auto"/>
          <w:kern w:val="2"/>
          <w:sz w:val="24"/>
          <w:szCs w:val="24"/>
          <w:highlight w:val="none"/>
          <w:lang w:eastAsia="zh-CN"/>
        </w:rPr>
        <w:t>（3）《关于促进残疾人就业政府采购政策的通知》（财库〔2017〕141号）；</w:t>
      </w:r>
      <w:r>
        <w:rPr>
          <w:rFonts w:hint="eastAsia" w:ascii="宋体" w:hAnsi="宋体" w:eastAsia="宋体" w:cs="Times New Roman"/>
          <w:b w:val="0"/>
          <w:color w:val="auto"/>
          <w:kern w:val="2"/>
          <w:sz w:val="24"/>
          <w:szCs w:val="24"/>
          <w:highlight w:val="none"/>
          <w:lang w:eastAsia="zh-CN"/>
        </w:rPr>
        <w:br w:type="textWrapping"/>
      </w:r>
      <w:r>
        <w:rPr>
          <w:rFonts w:hint="eastAsia" w:ascii="宋体" w:hAnsi="宋体" w:eastAsia="宋体" w:cs="Times New Roman"/>
          <w:b w:val="0"/>
          <w:color w:val="auto"/>
          <w:kern w:val="2"/>
          <w:sz w:val="24"/>
          <w:szCs w:val="24"/>
          <w:highlight w:val="none"/>
          <w:lang w:eastAsia="zh-CN"/>
        </w:rPr>
        <w:t>（4）《节能产品政府采购实施意见》（财库〔2004〕185号）；</w:t>
      </w:r>
      <w:r>
        <w:rPr>
          <w:rFonts w:hint="eastAsia" w:ascii="宋体" w:hAnsi="宋体" w:eastAsia="宋体" w:cs="Times New Roman"/>
          <w:b w:val="0"/>
          <w:color w:val="auto"/>
          <w:kern w:val="2"/>
          <w:sz w:val="24"/>
          <w:szCs w:val="24"/>
          <w:highlight w:val="none"/>
          <w:lang w:eastAsia="zh-CN"/>
        </w:rPr>
        <w:br w:type="textWrapping"/>
      </w:r>
      <w:r>
        <w:rPr>
          <w:rFonts w:hint="eastAsia" w:ascii="宋体" w:hAnsi="宋体" w:eastAsia="宋体" w:cs="Times New Roman"/>
          <w:b w:val="0"/>
          <w:color w:val="auto"/>
          <w:kern w:val="2"/>
          <w:sz w:val="24"/>
          <w:szCs w:val="24"/>
          <w:highlight w:val="none"/>
          <w:lang w:eastAsia="zh-CN"/>
        </w:rPr>
        <w:t>（5）《环境标志产品政府采购实施的意见》（财库〔2006〕90号）；</w:t>
      </w:r>
      <w:r>
        <w:rPr>
          <w:rFonts w:hint="eastAsia" w:ascii="宋体" w:hAnsi="宋体" w:eastAsia="宋体" w:cs="Times New Roman"/>
          <w:b w:val="0"/>
          <w:color w:val="auto"/>
          <w:kern w:val="2"/>
          <w:sz w:val="24"/>
          <w:szCs w:val="24"/>
          <w:highlight w:val="none"/>
          <w:lang w:eastAsia="zh-CN"/>
        </w:rPr>
        <w:br w:type="textWrapping"/>
      </w:r>
      <w:r>
        <w:rPr>
          <w:rFonts w:hint="eastAsia" w:ascii="宋体" w:hAnsi="宋体" w:eastAsia="宋体" w:cs="Times New Roman"/>
          <w:b w:val="0"/>
          <w:color w:val="auto"/>
          <w:kern w:val="2"/>
          <w:sz w:val="24"/>
          <w:szCs w:val="24"/>
          <w:highlight w:val="none"/>
          <w:lang w:eastAsia="zh-CN"/>
        </w:rPr>
        <w:t>（6）《国务院办公厅关于建立政府强制采购节能产品制度的通知》（国办发〔2007〕51号）；</w:t>
      </w:r>
      <w:r>
        <w:rPr>
          <w:rFonts w:hint="eastAsia" w:ascii="宋体" w:hAnsi="宋体" w:eastAsia="宋体" w:cs="Times New Roman"/>
          <w:b w:val="0"/>
          <w:color w:val="auto"/>
          <w:kern w:val="2"/>
          <w:sz w:val="24"/>
          <w:szCs w:val="24"/>
          <w:highlight w:val="none"/>
          <w:lang w:eastAsia="zh-CN"/>
        </w:rPr>
        <w:br w:type="textWrapping"/>
      </w:r>
      <w:r>
        <w:rPr>
          <w:rFonts w:hint="eastAsia" w:ascii="宋体" w:hAnsi="宋体" w:eastAsia="宋体" w:cs="Times New Roman"/>
          <w:b w:val="0"/>
          <w:color w:val="auto"/>
          <w:kern w:val="2"/>
          <w:sz w:val="24"/>
          <w:szCs w:val="24"/>
          <w:highlight w:val="none"/>
          <w:lang w:eastAsia="zh-CN"/>
        </w:rPr>
        <w:t>（7）财政部发展改革委生态环境部市场监管总局关于调整优化节能产品、环境标志产品政府采购执行机制的通知（财库〔2019〕9号）；</w:t>
      </w:r>
      <w:r>
        <w:rPr>
          <w:rFonts w:hint="eastAsia" w:ascii="宋体" w:hAnsi="宋体" w:eastAsia="宋体" w:cs="Times New Roman"/>
          <w:b w:val="0"/>
          <w:color w:val="auto"/>
          <w:kern w:val="2"/>
          <w:sz w:val="24"/>
          <w:szCs w:val="24"/>
          <w:highlight w:val="none"/>
          <w:lang w:eastAsia="zh-CN"/>
        </w:rPr>
        <w:br w:type="textWrapping"/>
      </w:r>
      <w:r>
        <w:rPr>
          <w:rFonts w:hint="eastAsia" w:ascii="宋体" w:hAnsi="宋体" w:eastAsia="宋体" w:cs="Times New Roman"/>
          <w:b w:val="0"/>
          <w:color w:val="auto"/>
          <w:kern w:val="2"/>
          <w:sz w:val="24"/>
          <w:szCs w:val="24"/>
          <w:highlight w:val="none"/>
          <w:lang w:eastAsia="zh-CN"/>
        </w:rPr>
        <w:t>（8）《关于印发环境标志产品政府采购品目清单的通知》（财库〔2019〕18号）；</w:t>
      </w:r>
      <w:r>
        <w:rPr>
          <w:rFonts w:hint="eastAsia" w:ascii="宋体" w:hAnsi="宋体" w:eastAsia="宋体" w:cs="Times New Roman"/>
          <w:b w:val="0"/>
          <w:color w:val="auto"/>
          <w:kern w:val="2"/>
          <w:sz w:val="24"/>
          <w:szCs w:val="24"/>
          <w:highlight w:val="none"/>
          <w:lang w:eastAsia="zh-CN"/>
        </w:rPr>
        <w:br w:type="textWrapping"/>
      </w:r>
      <w:r>
        <w:rPr>
          <w:rFonts w:hint="eastAsia" w:ascii="宋体" w:hAnsi="宋体" w:eastAsia="宋体" w:cs="Times New Roman"/>
          <w:b w:val="0"/>
          <w:color w:val="auto"/>
          <w:kern w:val="2"/>
          <w:sz w:val="24"/>
          <w:szCs w:val="24"/>
          <w:highlight w:val="none"/>
          <w:lang w:eastAsia="zh-CN"/>
        </w:rPr>
        <w:t>（9）《关于印发节能产品政府采购品目清单的通知》（财库〔2019〕19号）；</w:t>
      </w:r>
      <w:r>
        <w:rPr>
          <w:rFonts w:hint="eastAsia" w:ascii="宋体" w:hAnsi="宋体" w:eastAsia="宋体" w:cs="Times New Roman"/>
          <w:b w:val="0"/>
          <w:color w:val="auto"/>
          <w:kern w:val="2"/>
          <w:sz w:val="24"/>
          <w:szCs w:val="24"/>
          <w:highlight w:val="none"/>
          <w:lang w:eastAsia="zh-CN"/>
        </w:rPr>
        <w:br w:type="textWrapping"/>
      </w:r>
      <w:r>
        <w:rPr>
          <w:rFonts w:hint="eastAsia" w:ascii="宋体" w:hAnsi="宋体" w:eastAsia="宋体" w:cs="Times New Roman"/>
          <w:b w:val="0"/>
          <w:color w:val="auto"/>
          <w:kern w:val="2"/>
          <w:sz w:val="24"/>
          <w:szCs w:val="24"/>
          <w:highlight w:val="none"/>
          <w:lang w:eastAsia="zh-CN"/>
        </w:rPr>
        <w:t>（10）《关于发布参与实施政府采购节能产品、环境标志产品认证机构名录的公告》（2019年第16号）；</w:t>
      </w:r>
      <w:r>
        <w:rPr>
          <w:rFonts w:hint="eastAsia" w:ascii="宋体" w:hAnsi="宋体" w:eastAsia="宋体" w:cs="Times New Roman"/>
          <w:b w:val="0"/>
          <w:color w:val="auto"/>
          <w:kern w:val="2"/>
          <w:sz w:val="24"/>
          <w:szCs w:val="24"/>
          <w:highlight w:val="none"/>
          <w:lang w:eastAsia="zh-CN"/>
        </w:rPr>
        <w:br w:type="textWrapping"/>
      </w:r>
      <w:r>
        <w:rPr>
          <w:rFonts w:hint="eastAsia" w:ascii="宋体" w:hAnsi="宋体" w:eastAsia="宋体" w:cs="Times New Roman"/>
          <w:b w:val="0"/>
          <w:color w:val="auto"/>
          <w:kern w:val="2"/>
          <w:sz w:val="24"/>
          <w:szCs w:val="24"/>
          <w:highlight w:val="none"/>
          <w:lang w:eastAsia="zh-CN"/>
        </w:rPr>
        <w:t>（11）《关于运用政府采购政策支持乡村产业振兴的通知》（财库〔2021〕19号）；</w:t>
      </w:r>
      <w:r>
        <w:rPr>
          <w:rFonts w:hint="eastAsia" w:ascii="宋体" w:hAnsi="宋体" w:eastAsia="宋体" w:cs="Times New Roman"/>
          <w:b w:val="0"/>
          <w:color w:val="auto"/>
          <w:kern w:val="2"/>
          <w:sz w:val="24"/>
          <w:szCs w:val="24"/>
          <w:highlight w:val="none"/>
          <w:lang w:eastAsia="zh-CN"/>
        </w:rPr>
        <w:br w:type="textWrapping"/>
      </w:r>
      <w:r>
        <w:rPr>
          <w:rFonts w:hint="eastAsia" w:ascii="宋体" w:hAnsi="宋体" w:eastAsia="宋体" w:cs="Times New Roman"/>
          <w:b w:val="0"/>
          <w:color w:val="auto"/>
          <w:kern w:val="2"/>
          <w:sz w:val="24"/>
          <w:szCs w:val="24"/>
          <w:highlight w:val="none"/>
          <w:lang w:eastAsia="zh-CN"/>
        </w:rPr>
        <w:t>（12）陕西省财政厅关于印发《陕西省中小企业政府采购信用融资办法》（陕财办采〔2018〕23号），相关政策、业务流程、办理平台（详见http://www.ccgp-shaanxi.gov.cn/zcdservice/zcd/shanxi/）；</w:t>
      </w:r>
      <w:r>
        <w:rPr>
          <w:rFonts w:hint="eastAsia" w:ascii="宋体" w:hAnsi="宋体" w:eastAsia="宋体" w:cs="Times New Roman"/>
          <w:b w:val="0"/>
          <w:color w:val="auto"/>
          <w:kern w:val="2"/>
          <w:sz w:val="24"/>
          <w:szCs w:val="24"/>
          <w:highlight w:val="none"/>
          <w:lang w:eastAsia="zh-CN"/>
        </w:rPr>
        <w:br w:type="textWrapping"/>
      </w:r>
      <w:r>
        <w:rPr>
          <w:rFonts w:hint="eastAsia" w:ascii="宋体" w:hAnsi="宋体" w:eastAsia="宋体" w:cs="Times New Roman"/>
          <w:b w:val="0"/>
          <w:color w:val="auto"/>
          <w:kern w:val="2"/>
          <w:sz w:val="24"/>
          <w:szCs w:val="24"/>
          <w:highlight w:val="none"/>
          <w:lang w:eastAsia="zh-CN"/>
        </w:rPr>
        <w:t>（13）《陕西省财政厅关于加快推进我省中小企业政府采购信用融资工作的通知》（陕财办采〔2020〕15号）；</w:t>
      </w:r>
      <w:r>
        <w:rPr>
          <w:rFonts w:hint="eastAsia" w:ascii="宋体" w:hAnsi="宋体" w:eastAsia="宋体" w:cs="Times New Roman"/>
          <w:b w:val="0"/>
          <w:color w:val="auto"/>
          <w:kern w:val="2"/>
          <w:sz w:val="24"/>
          <w:szCs w:val="24"/>
          <w:highlight w:val="none"/>
          <w:lang w:eastAsia="zh-CN"/>
        </w:rPr>
        <w:br w:type="textWrapping"/>
      </w:r>
      <w:r>
        <w:rPr>
          <w:rFonts w:hint="eastAsia" w:ascii="宋体" w:hAnsi="宋体" w:eastAsia="宋体" w:cs="Times New Roman"/>
          <w:b w:val="0"/>
          <w:color w:val="auto"/>
          <w:kern w:val="2"/>
          <w:sz w:val="24"/>
          <w:szCs w:val="24"/>
          <w:highlight w:val="none"/>
          <w:lang w:eastAsia="zh-CN"/>
        </w:rPr>
        <w:t>（14）《关于进一步加强政府绿色采购有关问题的通知》（陕财办采〔2021〕29号）；</w:t>
      </w:r>
      <w:r>
        <w:rPr>
          <w:rFonts w:hint="eastAsia" w:ascii="宋体" w:hAnsi="宋体" w:eastAsia="宋体" w:cs="Times New Roman"/>
          <w:b w:val="0"/>
          <w:color w:val="auto"/>
          <w:kern w:val="2"/>
          <w:sz w:val="24"/>
          <w:szCs w:val="24"/>
          <w:highlight w:val="none"/>
          <w:lang w:eastAsia="zh-CN"/>
        </w:rPr>
        <w:br w:type="textWrapping"/>
      </w:r>
      <w:r>
        <w:rPr>
          <w:rFonts w:hint="eastAsia" w:ascii="宋体" w:hAnsi="宋体" w:eastAsia="宋体" w:cs="Times New Roman"/>
          <w:b w:val="0"/>
          <w:color w:val="auto"/>
          <w:kern w:val="2"/>
          <w:sz w:val="24"/>
          <w:szCs w:val="24"/>
          <w:highlight w:val="none"/>
          <w:lang w:eastAsia="zh-CN"/>
        </w:rPr>
        <w:t>（15）《陕西省财政厅陕西省工业和信息化厅关于运用政府采购政策支持首台（套）及创新产品有关事项的通知》（陕财办采〔2021〕17号）；</w:t>
      </w:r>
      <w:r>
        <w:rPr>
          <w:rFonts w:hint="eastAsia" w:ascii="宋体" w:hAnsi="宋体" w:eastAsia="宋体" w:cs="Times New Roman"/>
          <w:b w:val="0"/>
          <w:color w:val="auto"/>
          <w:kern w:val="2"/>
          <w:sz w:val="24"/>
          <w:szCs w:val="24"/>
          <w:highlight w:val="none"/>
          <w:lang w:eastAsia="zh-CN"/>
        </w:rPr>
        <w:br w:type="textWrapping"/>
      </w:r>
      <w:r>
        <w:rPr>
          <w:rFonts w:hint="eastAsia" w:ascii="宋体" w:hAnsi="宋体" w:eastAsia="宋体" w:cs="Times New Roman"/>
          <w:b w:val="0"/>
          <w:color w:val="auto"/>
          <w:kern w:val="2"/>
          <w:sz w:val="24"/>
          <w:szCs w:val="24"/>
          <w:highlight w:val="none"/>
          <w:lang w:eastAsia="zh-CN"/>
        </w:rPr>
        <w:t>（16）《关于进一步加大政府采购支持中小企业力度的通知》（财库〔2022〕19号）、《关于落实政府采购支持中小企业政策有关事项的通知》（陕财办采函〔2022〕10号）；</w:t>
      </w:r>
      <w:r>
        <w:rPr>
          <w:rFonts w:hint="eastAsia" w:ascii="宋体" w:hAnsi="宋体" w:eastAsia="宋体" w:cs="Times New Roman"/>
          <w:b w:val="0"/>
          <w:color w:val="auto"/>
          <w:kern w:val="2"/>
          <w:sz w:val="24"/>
          <w:szCs w:val="24"/>
          <w:highlight w:val="none"/>
          <w:lang w:eastAsia="zh-CN"/>
        </w:rPr>
        <w:br w:type="textWrapping"/>
      </w:r>
      <w:r>
        <w:rPr>
          <w:rFonts w:hint="eastAsia" w:ascii="宋体" w:hAnsi="宋体" w:eastAsia="宋体" w:cs="Times New Roman"/>
          <w:b w:val="0"/>
          <w:color w:val="auto"/>
          <w:kern w:val="2"/>
          <w:sz w:val="24"/>
          <w:szCs w:val="24"/>
          <w:highlight w:val="none"/>
          <w:lang w:eastAsia="zh-CN"/>
        </w:rPr>
        <w:t>（17）其他需要落实的政府采购政策。</w:t>
      </w:r>
    </w:p>
    <w:p w14:paraId="497B8108">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3.本项目的特定资格要求：</w:t>
      </w:r>
    </w:p>
    <w:p w14:paraId="4478CDB6">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Times New Roman"/>
          <w:b w:val="0"/>
          <w:color w:val="auto"/>
          <w:kern w:val="2"/>
          <w:sz w:val="24"/>
          <w:szCs w:val="24"/>
          <w:highlight w:val="none"/>
          <w:lang w:val="en-US" w:eastAsia="zh-CN" w:bidi="ar-SA"/>
        </w:rPr>
      </w:pPr>
      <w:r>
        <w:rPr>
          <w:rFonts w:hint="eastAsia" w:ascii="宋体" w:hAnsi="宋体" w:eastAsia="宋体" w:cs="Times New Roman"/>
          <w:b w:val="0"/>
          <w:color w:val="auto"/>
          <w:kern w:val="2"/>
          <w:sz w:val="24"/>
          <w:szCs w:val="24"/>
          <w:highlight w:val="none"/>
          <w:lang w:val="en-US" w:eastAsia="zh-CN" w:bidi="ar-SA"/>
        </w:rPr>
        <w:t>合同包1(商南县2025年大气污染防治能力提升技术服务项目)特定资格要求如下:</w:t>
      </w:r>
    </w:p>
    <w:p w14:paraId="2CB97539">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Times New Roman"/>
          <w:b w:val="0"/>
          <w:color w:val="auto"/>
          <w:kern w:val="2"/>
          <w:sz w:val="24"/>
          <w:szCs w:val="24"/>
          <w:highlight w:val="none"/>
          <w:lang w:val="en-US" w:eastAsia="zh-CN" w:bidi="ar-SA"/>
        </w:rPr>
      </w:pPr>
      <w:r>
        <w:rPr>
          <w:rFonts w:hint="eastAsia" w:ascii="宋体" w:hAnsi="宋体" w:eastAsia="宋体" w:cs="Times New Roman"/>
          <w:b w:val="0"/>
          <w:color w:val="auto"/>
          <w:kern w:val="2"/>
          <w:sz w:val="24"/>
          <w:szCs w:val="24"/>
          <w:highlight w:val="none"/>
          <w:lang w:val="en-US" w:eastAsia="zh-CN" w:bidi="ar-SA"/>
        </w:rPr>
        <w:t>(1）提供合格有效的法人或者其他组织的营业执照等证明文件，自然人的身份证明；</w:t>
      </w:r>
      <w:r>
        <w:rPr>
          <w:rFonts w:hint="eastAsia" w:ascii="宋体" w:hAnsi="宋体" w:eastAsia="宋体" w:cs="Times New Roman"/>
          <w:b w:val="0"/>
          <w:color w:val="auto"/>
          <w:kern w:val="2"/>
          <w:sz w:val="24"/>
          <w:szCs w:val="24"/>
          <w:highlight w:val="none"/>
          <w:lang w:val="en-US" w:eastAsia="zh-CN" w:bidi="ar-SA"/>
        </w:rPr>
        <w:br w:type="textWrapping"/>
      </w:r>
      <w:r>
        <w:rPr>
          <w:rFonts w:hint="eastAsia" w:ascii="宋体" w:hAnsi="宋体" w:eastAsia="宋体" w:cs="Times New Roman"/>
          <w:b w:val="0"/>
          <w:color w:val="auto"/>
          <w:kern w:val="2"/>
          <w:sz w:val="24"/>
          <w:szCs w:val="24"/>
          <w:highlight w:val="none"/>
          <w:lang w:val="en-US" w:eastAsia="zh-CN" w:bidi="ar-SA"/>
        </w:rPr>
        <w:t>(2）提供法定代表人授权书（附法定代表人、被授权人身份证复印件）及被授权人身份证原件（法定代表人直接参加投标，须提供法定代表人身份证明及身份证原件）；</w:t>
      </w:r>
      <w:r>
        <w:rPr>
          <w:rFonts w:hint="eastAsia" w:ascii="宋体" w:hAnsi="宋体" w:eastAsia="宋体" w:cs="Times New Roman"/>
          <w:b w:val="0"/>
          <w:color w:val="auto"/>
          <w:kern w:val="2"/>
          <w:sz w:val="24"/>
          <w:szCs w:val="24"/>
          <w:highlight w:val="none"/>
          <w:lang w:val="en-US" w:eastAsia="zh-CN" w:bidi="ar-SA"/>
        </w:rPr>
        <w:br w:type="textWrapping"/>
      </w:r>
      <w:r>
        <w:rPr>
          <w:rFonts w:hint="eastAsia" w:ascii="宋体" w:hAnsi="宋体" w:eastAsia="宋体" w:cs="Times New Roman"/>
          <w:b w:val="0"/>
          <w:color w:val="auto"/>
          <w:kern w:val="2"/>
          <w:sz w:val="24"/>
          <w:szCs w:val="24"/>
          <w:highlight w:val="none"/>
          <w:lang w:val="en-US" w:eastAsia="zh-CN" w:bidi="ar-SA"/>
        </w:rPr>
        <w:t>(3）财务状况：提供2024年度经审计的财务审计报告（成立时间至提交磋商响应文件截止时间不足一年的可提供成立后任意时段的资产负债表）或开标时间前六个月内银行出具的资信证明；</w:t>
      </w:r>
      <w:r>
        <w:rPr>
          <w:rFonts w:hint="eastAsia" w:ascii="宋体" w:hAnsi="宋体" w:eastAsia="宋体" w:cs="Times New Roman"/>
          <w:b w:val="0"/>
          <w:color w:val="auto"/>
          <w:kern w:val="2"/>
          <w:sz w:val="24"/>
          <w:szCs w:val="24"/>
          <w:highlight w:val="none"/>
          <w:lang w:val="en-US" w:eastAsia="zh-CN" w:bidi="ar-SA"/>
        </w:rPr>
        <w:br w:type="textWrapping"/>
      </w:r>
      <w:r>
        <w:rPr>
          <w:rFonts w:hint="eastAsia" w:ascii="宋体" w:hAnsi="宋体" w:eastAsia="宋体" w:cs="Times New Roman"/>
          <w:b w:val="0"/>
          <w:color w:val="auto"/>
          <w:kern w:val="2"/>
          <w:sz w:val="24"/>
          <w:szCs w:val="24"/>
          <w:highlight w:val="none"/>
          <w:lang w:val="en-US" w:eastAsia="zh-CN" w:bidi="ar-SA"/>
        </w:rPr>
        <w:t>(4）税收缴纳证明：提供磋商截止日前近一年内任意一个月的纳税证明或完税证明（任意税种），依法免税的单位应提供相关证明材料；</w:t>
      </w:r>
      <w:r>
        <w:rPr>
          <w:rFonts w:hint="eastAsia" w:ascii="宋体" w:hAnsi="宋体" w:eastAsia="宋体" w:cs="Times New Roman"/>
          <w:b w:val="0"/>
          <w:color w:val="auto"/>
          <w:kern w:val="2"/>
          <w:sz w:val="24"/>
          <w:szCs w:val="24"/>
          <w:highlight w:val="none"/>
          <w:lang w:val="en-US" w:eastAsia="zh-CN" w:bidi="ar-SA"/>
        </w:rPr>
        <w:br w:type="textWrapping"/>
      </w:r>
      <w:r>
        <w:rPr>
          <w:rFonts w:hint="eastAsia" w:ascii="宋体" w:hAnsi="宋体" w:eastAsia="宋体" w:cs="Times New Roman"/>
          <w:b w:val="0"/>
          <w:color w:val="auto"/>
          <w:kern w:val="2"/>
          <w:sz w:val="24"/>
          <w:szCs w:val="24"/>
          <w:highlight w:val="none"/>
          <w:lang w:val="en-US" w:eastAsia="zh-CN" w:bidi="ar-SA"/>
        </w:rPr>
        <w:t>(5）社会保障资金缴纳证明：提供磋商截止日前一年内已缴存的至少一个月的社会保障资金缴存单据或社保机构开具的社会保险参保缴费情况证明，依法不需要缴纳社会保障资金的单位应提供相关证明材料；</w:t>
      </w:r>
      <w:r>
        <w:rPr>
          <w:rFonts w:hint="eastAsia" w:ascii="宋体" w:hAnsi="宋体" w:eastAsia="宋体" w:cs="Times New Roman"/>
          <w:b w:val="0"/>
          <w:color w:val="auto"/>
          <w:kern w:val="2"/>
          <w:sz w:val="24"/>
          <w:szCs w:val="24"/>
          <w:highlight w:val="none"/>
          <w:lang w:val="en-US" w:eastAsia="zh-CN" w:bidi="ar-SA"/>
        </w:rPr>
        <w:br w:type="textWrapping"/>
      </w:r>
      <w:r>
        <w:rPr>
          <w:rFonts w:hint="eastAsia" w:ascii="宋体" w:hAnsi="宋体" w:eastAsia="宋体" w:cs="Times New Roman"/>
          <w:b w:val="0"/>
          <w:color w:val="auto"/>
          <w:kern w:val="2"/>
          <w:sz w:val="24"/>
          <w:szCs w:val="24"/>
          <w:highlight w:val="none"/>
          <w:lang w:val="en-US" w:eastAsia="zh-CN" w:bidi="ar-SA"/>
        </w:rPr>
        <w:t>(6）供应商通过“信用中国”网站(www.creditchina.gov.cn)、中国政府采购网(www.ccgp.gov.cn)等查询相关主体信用记录；</w:t>
      </w:r>
      <w:r>
        <w:rPr>
          <w:rFonts w:hint="eastAsia" w:ascii="宋体" w:hAnsi="宋体" w:eastAsia="宋体" w:cs="Times New Roman"/>
          <w:b w:val="0"/>
          <w:color w:val="auto"/>
          <w:kern w:val="2"/>
          <w:sz w:val="24"/>
          <w:szCs w:val="24"/>
          <w:highlight w:val="none"/>
          <w:lang w:val="en-US" w:eastAsia="zh-CN" w:bidi="ar-SA"/>
        </w:rPr>
        <w:br w:type="textWrapping"/>
      </w:r>
      <w:r>
        <w:rPr>
          <w:rFonts w:hint="eastAsia" w:ascii="宋体" w:hAnsi="宋体" w:eastAsia="宋体" w:cs="Times New Roman"/>
          <w:b w:val="0"/>
          <w:color w:val="auto"/>
          <w:kern w:val="2"/>
          <w:sz w:val="24"/>
          <w:szCs w:val="24"/>
          <w:highlight w:val="none"/>
          <w:lang w:val="en-US" w:eastAsia="zh-CN" w:bidi="ar-SA"/>
        </w:rPr>
        <w:t>(7）参加政府采购活动前3年内，在经营活动中没有重大违法记录的书面声明;</w:t>
      </w:r>
      <w:r>
        <w:rPr>
          <w:rFonts w:hint="eastAsia" w:ascii="宋体" w:hAnsi="宋体" w:eastAsia="宋体" w:cs="Times New Roman"/>
          <w:b w:val="0"/>
          <w:color w:val="auto"/>
          <w:kern w:val="2"/>
          <w:sz w:val="24"/>
          <w:szCs w:val="24"/>
          <w:highlight w:val="none"/>
          <w:lang w:val="en-US" w:eastAsia="zh-CN" w:bidi="ar-SA"/>
        </w:rPr>
        <w:br w:type="textWrapping"/>
      </w:r>
      <w:r>
        <w:rPr>
          <w:rFonts w:hint="eastAsia" w:ascii="宋体" w:hAnsi="宋体" w:eastAsia="宋体" w:cs="Times New Roman"/>
          <w:b w:val="0"/>
          <w:color w:val="auto"/>
          <w:kern w:val="2"/>
          <w:sz w:val="24"/>
          <w:szCs w:val="24"/>
          <w:highlight w:val="none"/>
          <w:lang w:val="en-US" w:eastAsia="zh-CN" w:bidi="ar-SA"/>
        </w:rPr>
        <w:t>(8）提供具有履行合同所必需的设备和专业技术能力的书面承诺；</w:t>
      </w:r>
      <w:r>
        <w:rPr>
          <w:rFonts w:hint="eastAsia" w:ascii="宋体" w:hAnsi="宋体" w:eastAsia="宋体" w:cs="Times New Roman"/>
          <w:b w:val="0"/>
          <w:color w:val="auto"/>
          <w:kern w:val="2"/>
          <w:sz w:val="24"/>
          <w:szCs w:val="24"/>
          <w:highlight w:val="none"/>
          <w:lang w:val="en-US" w:eastAsia="zh-CN" w:bidi="ar-SA"/>
        </w:rPr>
        <w:br w:type="textWrapping"/>
      </w:r>
      <w:r>
        <w:rPr>
          <w:rFonts w:hint="eastAsia" w:ascii="宋体" w:hAnsi="宋体" w:eastAsia="宋体" w:cs="Times New Roman"/>
          <w:b w:val="0"/>
          <w:color w:val="auto"/>
          <w:kern w:val="2"/>
          <w:sz w:val="24"/>
          <w:szCs w:val="24"/>
          <w:highlight w:val="none"/>
          <w:lang w:val="en-US" w:eastAsia="zh-CN" w:bidi="ar-SA"/>
        </w:rPr>
        <w:t>(9）中小企业声明函（提供承诺书）；</w:t>
      </w:r>
    </w:p>
    <w:p w14:paraId="47095F3A">
      <w:pPr>
        <w:widowControl/>
        <w:shd w:val="clear" w:color="auto"/>
        <w:spacing w:before="75" w:beforeAutospacing="0" w:afterAutospacing="0" w:line="360" w:lineRule="auto"/>
        <w:outlineLvl w:val="9"/>
        <w:rPr>
          <w:rFonts w:hint="default" w:cs="宋体"/>
          <w:b w:val="0"/>
          <w:bCs w:val="0"/>
          <w:highlight w:val="none"/>
        </w:rPr>
      </w:pPr>
      <w:r>
        <w:rPr>
          <w:rStyle w:val="22"/>
          <w:rFonts w:cs="宋体"/>
          <w:b/>
          <w:bCs/>
          <w:highlight w:val="none"/>
          <w:shd w:val="clear" w:color="auto" w:fill="FFFFFF"/>
        </w:rPr>
        <w:t>三、获取采购文件</w:t>
      </w:r>
    </w:p>
    <w:p w14:paraId="1BFBB2B4">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Times New Roman"/>
          <w:b w:val="0"/>
          <w:color w:val="auto"/>
          <w:kern w:val="2"/>
          <w:sz w:val="24"/>
          <w:szCs w:val="24"/>
          <w:highlight w:val="none"/>
          <w:lang w:val="en-US" w:eastAsia="zh-CN" w:bidi="ar-SA"/>
        </w:rPr>
      </w:pPr>
      <w:r>
        <w:rPr>
          <w:rFonts w:hint="eastAsia" w:ascii="宋体" w:hAnsi="宋体" w:eastAsia="宋体" w:cs="Times New Roman"/>
          <w:b w:val="0"/>
          <w:color w:val="auto"/>
          <w:kern w:val="2"/>
          <w:sz w:val="24"/>
          <w:szCs w:val="24"/>
          <w:highlight w:val="none"/>
          <w:lang w:val="en-US" w:eastAsia="zh-CN" w:bidi="ar-SA"/>
        </w:rPr>
        <w:t>时间：2025年06月09日至2025年06月13日，每天上午 08:30:00 至 11:30:00 ，下午 14:30:00 至 17:30:00 （北京时间）</w:t>
      </w:r>
    </w:p>
    <w:p w14:paraId="5F2BBFE8">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Times New Roman"/>
          <w:b w:val="0"/>
          <w:color w:val="auto"/>
          <w:kern w:val="2"/>
          <w:sz w:val="24"/>
          <w:szCs w:val="24"/>
          <w:highlight w:val="none"/>
          <w:lang w:val="en-US" w:eastAsia="zh-CN" w:bidi="ar-SA"/>
        </w:rPr>
      </w:pPr>
      <w:r>
        <w:rPr>
          <w:rFonts w:hint="eastAsia" w:ascii="宋体" w:hAnsi="宋体" w:eastAsia="宋体" w:cs="Times New Roman"/>
          <w:b w:val="0"/>
          <w:color w:val="auto"/>
          <w:kern w:val="2"/>
          <w:sz w:val="24"/>
          <w:szCs w:val="24"/>
          <w:highlight w:val="none"/>
          <w:lang w:val="en-US" w:eastAsia="zh-CN" w:bidi="ar-SA"/>
        </w:rPr>
        <w:t>途径：陕西省商南县幸福路口46栋4层</w:t>
      </w:r>
    </w:p>
    <w:p w14:paraId="60A116D5">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Times New Roman"/>
          <w:b w:val="0"/>
          <w:color w:val="auto"/>
          <w:kern w:val="2"/>
          <w:sz w:val="24"/>
          <w:szCs w:val="24"/>
          <w:highlight w:val="none"/>
          <w:lang w:val="en-US" w:eastAsia="zh-CN" w:bidi="ar-SA"/>
        </w:rPr>
      </w:pPr>
      <w:r>
        <w:rPr>
          <w:rFonts w:hint="eastAsia" w:ascii="宋体" w:hAnsi="宋体" w:eastAsia="宋体" w:cs="Times New Roman"/>
          <w:b w:val="0"/>
          <w:color w:val="auto"/>
          <w:kern w:val="2"/>
          <w:sz w:val="24"/>
          <w:szCs w:val="24"/>
          <w:highlight w:val="none"/>
          <w:lang w:val="en-US" w:eastAsia="zh-CN" w:bidi="ar-SA"/>
        </w:rPr>
        <w:t>方式：现场获取</w:t>
      </w:r>
    </w:p>
    <w:p w14:paraId="25A310DD">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Times New Roman"/>
          <w:b w:val="0"/>
          <w:color w:val="auto"/>
          <w:kern w:val="2"/>
          <w:sz w:val="24"/>
          <w:szCs w:val="24"/>
          <w:highlight w:val="none"/>
          <w:lang w:val="en-US" w:eastAsia="zh-CN" w:bidi="ar-SA"/>
        </w:rPr>
      </w:pPr>
      <w:r>
        <w:rPr>
          <w:rFonts w:hint="eastAsia" w:ascii="宋体" w:hAnsi="宋体" w:eastAsia="宋体" w:cs="Times New Roman"/>
          <w:b w:val="0"/>
          <w:color w:val="auto"/>
          <w:kern w:val="2"/>
          <w:sz w:val="24"/>
          <w:szCs w:val="24"/>
          <w:highlight w:val="none"/>
          <w:lang w:val="en-US" w:eastAsia="zh-CN" w:bidi="ar-SA"/>
        </w:rPr>
        <w:t>售价： 500元</w:t>
      </w:r>
    </w:p>
    <w:p w14:paraId="53FAA1CC">
      <w:pPr>
        <w:widowControl/>
        <w:shd w:val="clear" w:color="auto"/>
        <w:spacing w:before="75" w:beforeAutospacing="0" w:afterAutospacing="0" w:line="360" w:lineRule="auto"/>
        <w:outlineLvl w:val="9"/>
        <w:rPr>
          <w:rFonts w:hint="default" w:cs="宋体"/>
          <w:b w:val="0"/>
          <w:bCs w:val="0"/>
          <w:highlight w:val="none"/>
        </w:rPr>
      </w:pPr>
      <w:r>
        <w:rPr>
          <w:rStyle w:val="22"/>
          <w:rFonts w:cs="宋体"/>
          <w:b/>
          <w:bCs/>
          <w:highlight w:val="none"/>
          <w:shd w:val="clear" w:color="auto" w:fill="FFFFFF"/>
        </w:rPr>
        <w:t>四、响应文件提交</w:t>
      </w:r>
    </w:p>
    <w:p w14:paraId="53424BDB">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Times New Roman"/>
          <w:b w:val="0"/>
          <w:color w:val="auto"/>
          <w:kern w:val="2"/>
          <w:sz w:val="24"/>
          <w:szCs w:val="24"/>
          <w:highlight w:val="none"/>
          <w:lang w:val="en-US" w:eastAsia="zh-CN" w:bidi="ar-SA"/>
        </w:rPr>
      </w:pPr>
      <w:r>
        <w:rPr>
          <w:rFonts w:hint="eastAsia" w:ascii="宋体" w:hAnsi="宋体" w:eastAsia="宋体" w:cs="Times New Roman"/>
          <w:b w:val="0"/>
          <w:color w:val="auto"/>
          <w:kern w:val="2"/>
          <w:sz w:val="24"/>
          <w:szCs w:val="24"/>
          <w:highlight w:val="none"/>
          <w:lang w:val="en-US" w:eastAsia="zh-CN" w:bidi="ar-SA"/>
        </w:rPr>
        <w:t>截止时间： 2025年06月19日 15时00分00秒 （北京时间）</w:t>
      </w:r>
    </w:p>
    <w:p w14:paraId="41CAEBD7">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Times New Roman"/>
          <w:b w:val="0"/>
          <w:color w:val="auto"/>
          <w:kern w:val="2"/>
          <w:sz w:val="24"/>
          <w:szCs w:val="24"/>
          <w:highlight w:val="none"/>
          <w:lang w:val="en-US" w:eastAsia="zh-CN" w:bidi="ar-SA"/>
        </w:rPr>
      </w:pPr>
      <w:r>
        <w:rPr>
          <w:rFonts w:hint="eastAsia" w:ascii="宋体" w:hAnsi="宋体" w:eastAsia="宋体" w:cs="Times New Roman"/>
          <w:b w:val="0"/>
          <w:color w:val="auto"/>
          <w:kern w:val="2"/>
          <w:sz w:val="24"/>
          <w:szCs w:val="24"/>
          <w:highlight w:val="none"/>
          <w:lang w:val="en-US" w:eastAsia="zh-CN" w:bidi="ar-SA"/>
        </w:rPr>
        <w:t>地点：陕西省商南县幸福路口46栋5楼会议室</w:t>
      </w:r>
    </w:p>
    <w:p w14:paraId="5A28BF9D">
      <w:pPr>
        <w:widowControl/>
        <w:shd w:val="clear" w:color="auto"/>
        <w:spacing w:before="75" w:beforeAutospacing="0" w:afterAutospacing="0" w:line="360" w:lineRule="auto"/>
        <w:outlineLvl w:val="9"/>
        <w:rPr>
          <w:rStyle w:val="22"/>
          <w:rFonts w:hint="default" w:cs="宋体" w:asciiTheme="minorHAnsi" w:hAnsiTheme="minorHAnsi" w:eastAsiaTheme="minorEastAsia"/>
          <w:b/>
          <w:bCs/>
          <w:highlight w:val="none"/>
          <w:shd w:val="clear" w:color="auto" w:fill="FFFFFF"/>
          <w:lang w:val="en-US" w:eastAsia="zh-CN"/>
        </w:rPr>
      </w:pPr>
      <w:r>
        <w:rPr>
          <w:rStyle w:val="22"/>
          <w:rFonts w:hint="eastAsia" w:cs="宋体" w:asciiTheme="minorHAnsi" w:hAnsiTheme="minorHAnsi" w:eastAsiaTheme="minorEastAsia"/>
          <w:b/>
          <w:bCs/>
          <w:highlight w:val="none"/>
          <w:shd w:val="clear" w:color="auto" w:fill="FFFFFF"/>
          <w:lang w:val="en-US" w:eastAsia="zh-CN"/>
        </w:rPr>
        <w:t>五、开启</w:t>
      </w:r>
    </w:p>
    <w:p w14:paraId="2E7AB4AD">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Times New Roman"/>
          <w:b w:val="0"/>
          <w:color w:val="auto"/>
          <w:kern w:val="2"/>
          <w:sz w:val="24"/>
          <w:szCs w:val="24"/>
          <w:highlight w:val="none"/>
          <w:lang w:val="en-US" w:eastAsia="zh-CN" w:bidi="ar-SA"/>
        </w:rPr>
      </w:pPr>
      <w:r>
        <w:rPr>
          <w:rFonts w:hint="eastAsia" w:ascii="宋体" w:hAnsi="宋体" w:eastAsia="宋体" w:cs="Times New Roman"/>
          <w:b w:val="0"/>
          <w:color w:val="auto"/>
          <w:kern w:val="2"/>
          <w:sz w:val="24"/>
          <w:szCs w:val="24"/>
          <w:highlight w:val="none"/>
          <w:lang w:val="en-US" w:eastAsia="zh-CN" w:bidi="ar-SA"/>
        </w:rPr>
        <w:t>时间： 2025年06月19日 15时00分00秒 （北京时间）</w:t>
      </w:r>
    </w:p>
    <w:p w14:paraId="4F642177">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Times New Roman"/>
          <w:b w:val="0"/>
          <w:color w:val="auto"/>
          <w:kern w:val="2"/>
          <w:sz w:val="24"/>
          <w:szCs w:val="24"/>
          <w:highlight w:val="none"/>
          <w:lang w:val="en-US" w:eastAsia="zh-CN" w:bidi="ar-SA"/>
        </w:rPr>
      </w:pPr>
      <w:r>
        <w:rPr>
          <w:rFonts w:hint="eastAsia" w:ascii="宋体" w:hAnsi="宋体" w:eastAsia="宋体" w:cs="Times New Roman"/>
          <w:b w:val="0"/>
          <w:color w:val="auto"/>
          <w:kern w:val="2"/>
          <w:sz w:val="24"/>
          <w:szCs w:val="24"/>
          <w:highlight w:val="none"/>
          <w:lang w:val="en-US" w:eastAsia="zh-CN" w:bidi="ar-SA"/>
        </w:rPr>
        <w:t>地点：陕西省商南县幸福路口46栋5楼会议室</w:t>
      </w:r>
    </w:p>
    <w:p w14:paraId="44AF306C">
      <w:pPr>
        <w:widowControl/>
        <w:shd w:val="clear" w:color="auto"/>
        <w:spacing w:before="75" w:beforeAutospacing="0" w:afterAutospacing="0" w:line="360" w:lineRule="auto"/>
        <w:outlineLvl w:val="9"/>
        <w:rPr>
          <w:rStyle w:val="22"/>
          <w:rFonts w:hint="default" w:cs="宋体" w:asciiTheme="minorHAnsi" w:hAnsiTheme="minorHAnsi" w:eastAsiaTheme="minorEastAsia"/>
          <w:b/>
          <w:bCs/>
          <w:highlight w:val="none"/>
          <w:shd w:val="clear" w:color="auto" w:fill="FFFFFF"/>
          <w:lang w:val="en-US" w:eastAsia="zh-CN"/>
        </w:rPr>
      </w:pPr>
      <w:r>
        <w:rPr>
          <w:rStyle w:val="22"/>
          <w:rFonts w:hint="eastAsia" w:cs="宋体" w:asciiTheme="minorHAnsi" w:hAnsiTheme="minorHAnsi" w:eastAsiaTheme="minorEastAsia"/>
          <w:b/>
          <w:bCs/>
          <w:highlight w:val="none"/>
          <w:shd w:val="clear" w:color="auto" w:fill="FFFFFF"/>
          <w:lang w:val="en-US" w:eastAsia="zh-CN"/>
        </w:rPr>
        <w:t>六、公告期限</w:t>
      </w:r>
    </w:p>
    <w:p w14:paraId="28970878">
      <w:pPr>
        <w:pStyle w:val="17"/>
        <w:shd w:val="clear" w:color="auto"/>
        <w:spacing w:before="0" w:beforeAutospacing="0" w:after="0" w:afterAutospacing="0" w:line="360" w:lineRule="auto"/>
        <w:ind w:firstLine="240"/>
        <w:jc w:val="both"/>
        <w:rPr>
          <w:rFonts w:cs="宋体"/>
          <w:highlight w:val="none"/>
        </w:rPr>
      </w:pPr>
      <w:r>
        <w:rPr>
          <w:rFonts w:hint="eastAsia" w:cs="宋体"/>
          <w:highlight w:val="none"/>
          <w:shd w:val="clear" w:color="auto" w:fill="FFFFFF"/>
        </w:rPr>
        <w:t>自本公告发布之日起3个工作日。</w:t>
      </w:r>
    </w:p>
    <w:p w14:paraId="698D2883">
      <w:pPr>
        <w:widowControl/>
        <w:shd w:val="clear" w:color="auto"/>
        <w:spacing w:before="75" w:beforeAutospacing="0" w:afterAutospacing="0" w:line="360" w:lineRule="auto"/>
        <w:outlineLvl w:val="9"/>
        <w:rPr>
          <w:rFonts w:hint="default" w:cs="宋体"/>
          <w:b w:val="0"/>
          <w:bCs w:val="0"/>
          <w:highlight w:val="none"/>
        </w:rPr>
      </w:pPr>
      <w:r>
        <w:rPr>
          <w:rStyle w:val="22"/>
          <w:rFonts w:cs="宋体"/>
          <w:b/>
          <w:bCs/>
          <w:highlight w:val="none"/>
          <w:shd w:val="clear" w:color="auto" w:fill="FFFFFF"/>
        </w:rPr>
        <w:t>七、其他补充事宜</w:t>
      </w:r>
    </w:p>
    <w:p w14:paraId="6D21AF50">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Times New Roman"/>
          <w:b w:val="0"/>
          <w:color w:val="auto"/>
          <w:kern w:val="2"/>
          <w:sz w:val="24"/>
          <w:szCs w:val="24"/>
          <w:highlight w:val="none"/>
          <w:lang w:val="en-US" w:eastAsia="zh-CN" w:bidi="ar-SA"/>
        </w:rPr>
      </w:pPr>
      <w:r>
        <w:rPr>
          <w:rFonts w:hint="eastAsia" w:ascii="宋体" w:hAnsi="宋体" w:eastAsia="宋体" w:cs="Times New Roman"/>
          <w:b w:val="0"/>
          <w:color w:val="auto"/>
          <w:kern w:val="2"/>
          <w:sz w:val="24"/>
          <w:szCs w:val="24"/>
          <w:highlight w:val="none"/>
          <w:lang w:val="en-US" w:eastAsia="zh-CN" w:bidi="ar-SA"/>
        </w:rPr>
        <w:t>1、本项目专门面向中小企业采购。</w:t>
      </w:r>
    </w:p>
    <w:p w14:paraId="4CCAFED2">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Times New Roman"/>
          <w:b w:val="0"/>
          <w:color w:val="auto"/>
          <w:kern w:val="2"/>
          <w:sz w:val="24"/>
          <w:szCs w:val="24"/>
          <w:highlight w:val="none"/>
          <w:lang w:val="en-US" w:eastAsia="zh-CN" w:bidi="ar-SA"/>
        </w:rPr>
      </w:pPr>
      <w:r>
        <w:rPr>
          <w:rFonts w:hint="eastAsia" w:ascii="宋体" w:hAnsi="宋体" w:eastAsia="宋体" w:cs="Times New Roman"/>
          <w:b w:val="0"/>
          <w:color w:val="auto"/>
          <w:kern w:val="2"/>
          <w:sz w:val="24"/>
          <w:szCs w:val="24"/>
          <w:highlight w:val="none"/>
          <w:lang w:val="en-US" w:eastAsia="zh-CN" w:bidi="ar-SA"/>
        </w:rPr>
        <w:t>2、获取文件请携带经办人身份证原件，单位介绍信原件及加盖供应商公章的身份证复印件3份。</w:t>
      </w:r>
    </w:p>
    <w:p w14:paraId="75C853CD">
      <w:pPr>
        <w:widowControl/>
        <w:shd w:val="clear" w:color="auto"/>
        <w:spacing w:before="75" w:beforeAutospacing="0" w:afterAutospacing="0" w:line="360" w:lineRule="auto"/>
        <w:outlineLvl w:val="9"/>
        <w:rPr>
          <w:rFonts w:hint="default" w:cs="宋体"/>
          <w:b w:val="0"/>
          <w:bCs w:val="0"/>
          <w:highlight w:val="none"/>
        </w:rPr>
      </w:pPr>
      <w:r>
        <w:rPr>
          <w:rStyle w:val="22"/>
          <w:rFonts w:cs="宋体"/>
          <w:b/>
          <w:bCs/>
          <w:highlight w:val="none"/>
          <w:shd w:val="clear" w:color="auto" w:fill="FFFFFF"/>
        </w:rPr>
        <w:t>八、对本次招标提出询问，请按以下方式联系。</w:t>
      </w:r>
    </w:p>
    <w:p w14:paraId="66C87591">
      <w:pPr>
        <w:widowControl/>
        <w:shd w:val="clear"/>
        <w:spacing w:beforeAutospacing="0" w:afterAutospacing="0" w:line="360" w:lineRule="auto"/>
        <w:outlineLvl w:val="9"/>
        <w:rPr>
          <w:rFonts w:hint="default" w:cs="宋体"/>
          <w:b w:val="0"/>
          <w:bCs w:val="0"/>
          <w:sz w:val="24"/>
          <w:szCs w:val="24"/>
          <w:highlight w:val="none"/>
        </w:rPr>
      </w:pPr>
      <w:r>
        <w:rPr>
          <w:rFonts w:cs="宋体"/>
          <w:b w:val="0"/>
          <w:bCs w:val="0"/>
          <w:sz w:val="24"/>
          <w:szCs w:val="24"/>
          <w:highlight w:val="none"/>
          <w:shd w:val="clear" w:color="auto" w:fill="FFFFFF"/>
        </w:rPr>
        <w:t>1.采购人信息</w:t>
      </w:r>
    </w:p>
    <w:p w14:paraId="7EE0F852">
      <w:pPr>
        <w:pStyle w:val="17"/>
        <w:shd w:val="clear"/>
        <w:spacing w:before="0" w:beforeAutospacing="0" w:after="0" w:afterAutospacing="0" w:line="360" w:lineRule="auto"/>
        <w:ind w:firstLine="240"/>
        <w:jc w:val="both"/>
        <w:rPr>
          <w:rFonts w:hint="eastAsia" w:cs="宋体"/>
          <w:highlight w:val="none"/>
          <w:shd w:val="clear" w:color="auto" w:fill="FFFFFF"/>
        </w:rPr>
      </w:pPr>
      <w:r>
        <w:rPr>
          <w:rFonts w:hint="eastAsia" w:cs="宋体"/>
          <w:highlight w:val="none"/>
          <w:shd w:val="clear" w:color="auto" w:fill="FFFFFF"/>
        </w:rPr>
        <w:t>名称：商洛市生态环境局商南县分局</w:t>
      </w:r>
    </w:p>
    <w:p w14:paraId="769B1DFB">
      <w:pPr>
        <w:pStyle w:val="17"/>
        <w:shd w:val="clear"/>
        <w:spacing w:before="0" w:beforeAutospacing="0" w:after="0" w:afterAutospacing="0" w:line="360" w:lineRule="auto"/>
        <w:ind w:firstLine="240"/>
        <w:jc w:val="both"/>
        <w:rPr>
          <w:rFonts w:hint="eastAsia" w:cs="宋体"/>
          <w:highlight w:val="none"/>
          <w:shd w:val="clear" w:color="auto" w:fill="FFFFFF"/>
        </w:rPr>
      </w:pPr>
      <w:r>
        <w:rPr>
          <w:rFonts w:hint="eastAsia" w:cs="宋体"/>
          <w:highlight w:val="none"/>
          <w:shd w:val="clear" w:color="auto" w:fill="FFFFFF"/>
        </w:rPr>
        <w:t>地址：商南县长新路982号</w:t>
      </w:r>
    </w:p>
    <w:p w14:paraId="4504F888">
      <w:pPr>
        <w:pStyle w:val="17"/>
        <w:shd w:val="clear"/>
        <w:spacing w:before="0" w:beforeAutospacing="0" w:after="0" w:afterAutospacing="0" w:line="360" w:lineRule="auto"/>
        <w:ind w:firstLine="240"/>
        <w:jc w:val="both"/>
        <w:rPr>
          <w:rFonts w:hint="eastAsia" w:cs="宋体"/>
          <w:highlight w:val="none"/>
          <w:shd w:val="clear" w:color="auto" w:fill="FFFFFF"/>
        </w:rPr>
      </w:pPr>
      <w:r>
        <w:rPr>
          <w:rFonts w:hint="eastAsia" w:cs="宋体"/>
          <w:highlight w:val="none"/>
          <w:shd w:val="clear" w:color="auto" w:fill="FFFFFF"/>
        </w:rPr>
        <w:t>联系方式：15991872669</w:t>
      </w:r>
    </w:p>
    <w:p w14:paraId="022FC8A5">
      <w:pPr>
        <w:widowControl/>
        <w:shd w:val="clear"/>
        <w:spacing w:beforeAutospacing="0" w:afterAutospacing="0" w:line="360" w:lineRule="auto"/>
        <w:outlineLvl w:val="9"/>
        <w:rPr>
          <w:rFonts w:hint="default" w:cs="宋体"/>
          <w:b w:val="0"/>
          <w:bCs w:val="0"/>
          <w:sz w:val="24"/>
          <w:szCs w:val="24"/>
          <w:highlight w:val="none"/>
        </w:rPr>
      </w:pPr>
      <w:r>
        <w:rPr>
          <w:rFonts w:cs="宋体"/>
          <w:b w:val="0"/>
          <w:bCs w:val="0"/>
          <w:sz w:val="24"/>
          <w:szCs w:val="24"/>
          <w:highlight w:val="none"/>
          <w:shd w:val="clear" w:color="auto" w:fill="FFFFFF"/>
        </w:rPr>
        <w:t>2.采购代理机构信息</w:t>
      </w:r>
    </w:p>
    <w:p w14:paraId="6B19492C">
      <w:pPr>
        <w:pStyle w:val="17"/>
        <w:shd w:val="clear"/>
        <w:spacing w:before="0" w:beforeAutospacing="0" w:after="0" w:afterAutospacing="0" w:line="360" w:lineRule="auto"/>
        <w:ind w:firstLine="240"/>
        <w:jc w:val="both"/>
        <w:rPr>
          <w:rFonts w:hint="eastAsia" w:eastAsia="宋体" w:cs="宋体"/>
          <w:highlight w:val="none"/>
          <w:lang w:eastAsia="zh-CN"/>
        </w:rPr>
      </w:pPr>
      <w:r>
        <w:rPr>
          <w:rFonts w:hint="eastAsia" w:cs="宋体"/>
          <w:highlight w:val="none"/>
          <w:shd w:val="clear" w:color="auto" w:fill="FFFFFF"/>
        </w:rPr>
        <w:t>名称：西安天合建设项目管理有限公司</w:t>
      </w:r>
    </w:p>
    <w:p w14:paraId="7BF7076A">
      <w:pPr>
        <w:pStyle w:val="17"/>
        <w:shd w:val="clear"/>
        <w:spacing w:before="0" w:beforeAutospacing="0" w:after="0" w:afterAutospacing="0" w:line="360" w:lineRule="auto"/>
        <w:ind w:firstLine="240"/>
        <w:jc w:val="both"/>
        <w:rPr>
          <w:rFonts w:hint="eastAsia" w:cs="宋体"/>
          <w:highlight w:val="none"/>
          <w:shd w:val="clear" w:color="auto" w:fill="FFFFFF"/>
        </w:rPr>
      </w:pPr>
      <w:r>
        <w:rPr>
          <w:rFonts w:hint="eastAsia" w:cs="宋体"/>
          <w:highlight w:val="none"/>
          <w:shd w:val="clear" w:color="auto" w:fill="FFFFFF"/>
        </w:rPr>
        <w:t>地址：陕西省商南县幸福路46栋4层</w:t>
      </w:r>
    </w:p>
    <w:p w14:paraId="6EA6CC47">
      <w:pPr>
        <w:pStyle w:val="17"/>
        <w:shd w:val="clear"/>
        <w:spacing w:before="0" w:beforeAutospacing="0" w:after="0" w:afterAutospacing="0" w:line="360" w:lineRule="auto"/>
        <w:ind w:firstLine="240"/>
        <w:jc w:val="both"/>
        <w:rPr>
          <w:rFonts w:hint="default" w:eastAsia="宋体" w:cs="宋体"/>
          <w:highlight w:val="none"/>
          <w:lang w:val="en-US" w:eastAsia="zh-CN"/>
        </w:rPr>
      </w:pPr>
      <w:r>
        <w:rPr>
          <w:rFonts w:hint="eastAsia" w:cs="宋体"/>
          <w:highlight w:val="none"/>
          <w:shd w:val="clear" w:color="auto" w:fill="FFFFFF"/>
        </w:rPr>
        <w:t>联系方式：</w:t>
      </w:r>
      <w:r>
        <w:rPr>
          <w:rFonts w:hint="eastAsia" w:cs="宋体"/>
          <w:highlight w:val="none"/>
          <w:shd w:val="clear" w:color="auto" w:fill="FFFFFF"/>
          <w:lang w:val="en-US" w:eastAsia="zh-CN"/>
        </w:rPr>
        <w:t>0914</w:t>
      </w:r>
      <w:r>
        <w:rPr>
          <w:rFonts w:hint="eastAsia" w:cs="宋体"/>
          <w:highlight w:val="none"/>
          <w:shd w:val="clear" w:color="auto" w:fill="FFFFFF"/>
        </w:rPr>
        <w:t>-</w:t>
      </w:r>
      <w:r>
        <w:rPr>
          <w:rFonts w:hint="eastAsia" w:cs="宋体"/>
          <w:highlight w:val="none"/>
          <w:shd w:val="clear" w:color="auto" w:fill="FFFFFF"/>
          <w:lang w:val="en-US" w:eastAsia="zh-CN"/>
        </w:rPr>
        <w:t>6377367</w:t>
      </w:r>
    </w:p>
    <w:p w14:paraId="4933BEB7">
      <w:pPr>
        <w:widowControl/>
        <w:shd w:val="clear"/>
        <w:spacing w:beforeAutospacing="0" w:afterAutospacing="0" w:line="360" w:lineRule="auto"/>
        <w:outlineLvl w:val="9"/>
        <w:rPr>
          <w:rFonts w:hint="default" w:cs="宋体"/>
          <w:b w:val="0"/>
          <w:bCs w:val="0"/>
          <w:sz w:val="24"/>
          <w:szCs w:val="24"/>
          <w:highlight w:val="none"/>
        </w:rPr>
      </w:pPr>
      <w:r>
        <w:rPr>
          <w:rFonts w:cs="宋体"/>
          <w:b w:val="0"/>
          <w:bCs w:val="0"/>
          <w:sz w:val="24"/>
          <w:szCs w:val="24"/>
          <w:highlight w:val="none"/>
          <w:shd w:val="clear" w:color="auto" w:fill="FFFFFF"/>
        </w:rPr>
        <w:t>3.项目联系方式</w:t>
      </w:r>
    </w:p>
    <w:p w14:paraId="3AB06F02">
      <w:pPr>
        <w:pStyle w:val="17"/>
        <w:shd w:val="clear"/>
        <w:spacing w:before="0" w:beforeAutospacing="0" w:after="0" w:afterAutospacing="0" w:line="360" w:lineRule="auto"/>
        <w:ind w:firstLine="240"/>
        <w:jc w:val="both"/>
        <w:rPr>
          <w:rFonts w:hint="eastAsia" w:eastAsia="宋体" w:cs="宋体"/>
          <w:highlight w:val="none"/>
          <w:lang w:val="en-US" w:eastAsia="zh-CN"/>
        </w:rPr>
      </w:pPr>
      <w:r>
        <w:rPr>
          <w:rFonts w:hint="eastAsia" w:cs="宋体"/>
          <w:highlight w:val="none"/>
          <w:shd w:val="clear" w:color="auto" w:fill="FFFFFF"/>
        </w:rPr>
        <w:t>项目联系人：</w:t>
      </w:r>
      <w:r>
        <w:rPr>
          <w:rFonts w:hint="eastAsia" w:cs="宋体"/>
          <w:highlight w:val="none"/>
          <w:shd w:val="clear" w:color="auto" w:fill="FFFFFF"/>
          <w:lang w:eastAsia="zh-CN"/>
        </w:rPr>
        <w:t>王工</w:t>
      </w:r>
    </w:p>
    <w:p w14:paraId="58B4611B">
      <w:pPr>
        <w:pStyle w:val="17"/>
        <w:shd w:val="clear"/>
        <w:spacing w:before="0" w:beforeAutospacing="0" w:after="0" w:afterAutospacing="0" w:line="360" w:lineRule="auto"/>
        <w:ind w:firstLine="240"/>
        <w:jc w:val="both"/>
        <w:outlineLvl w:val="9"/>
        <w:rPr>
          <w:rFonts w:hint="default" w:eastAsia="宋体" w:cs="宋体"/>
          <w:color w:val="auto"/>
          <w:highlight w:val="none"/>
          <w:lang w:val="en-US" w:eastAsia="zh-CN"/>
        </w:rPr>
      </w:pPr>
      <w:r>
        <w:rPr>
          <w:rFonts w:hint="eastAsia" w:cs="宋体"/>
          <w:highlight w:val="none"/>
          <w:shd w:val="clear" w:color="auto" w:fill="FFFFFF"/>
        </w:rPr>
        <w:t>电话：</w:t>
      </w:r>
      <w:r>
        <w:rPr>
          <w:rFonts w:hint="eastAsia" w:cs="宋体"/>
          <w:highlight w:val="none"/>
          <w:shd w:val="clear" w:color="auto" w:fill="FFFFFF"/>
          <w:lang w:val="en-US" w:eastAsia="zh-CN"/>
        </w:rPr>
        <w:t>0914</w:t>
      </w:r>
      <w:r>
        <w:rPr>
          <w:rFonts w:hint="eastAsia" w:cs="宋体"/>
          <w:highlight w:val="none"/>
          <w:shd w:val="clear" w:color="auto" w:fill="FFFFFF"/>
        </w:rPr>
        <w:t>-</w:t>
      </w:r>
      <w:r>
        <w:rPr>
          <w:rFonts w:hint="eastAsia" w:cs="宋体"/>
          <w:highlight w:val="none"/>
          <w:shd w:val="clear" w:color="auto" w:fill="FFFFFF"/>
          <w:lang w:val="en-US" w:eastAsia="zh-CN"/>
        </w:rPr>
        <w:t>6377367</w:t>
      </w:r>
    </w:p>
    <w:p w14:paraId="17081A2D">
      <w:pPr>
        <w:shd w:val="clear"/>
        <w:rPr>
          <w:highlight w:val="none"/>
        </w:rPr>
      </w:pPr>
    </w:p>
    <w:p w14:paraId="367CCA74">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outlineLvl w:val="9"/>
        <w:rPr>
          <w:rFonts w:hint="eastAsia" w:ascii="宋体" w:hAnsi="宋体" w:eastAsia="宋体" w:cs="宋体"/>
          <w:i w:val="0"/>
          <w:iCs w:val="0"/>
          <w:caps w:val="0"/>
          <w:color w:val="333333"/>
          <w:spacing w:val="0"/>
          <w:sz w:val="24"/>
          <w:szCs w:val="24"/>
          <w:highlight w:val="none"/>
          <w:shd w:val="clear" w:fill="FFFFFF"/>
          <w:lang w:eastAsia="zh-CN"/>
        </w:rPr>
      </w:pPr>
      <w:r>
        <w:rPr>
          <w:rFonts w:hint="eastAsia" w:ascii="宋体" w:hAnsi="宋体" w:eastAsia="宋体" w:cs="宋体"/>
          <w:i w:val="0"/>
          <w:iCs w:val="0"/>
          <w:caps w:val="0"/>
          <w:color w:val="333333"/>
          <w:spacing w:val="0"/>
          <w:sz w:val="24"/>
          <w:szCs w:val="24"/>
          <w:highlight w:val="none"/>
          <w:shd w:val="clear" w:fill="FFFFFF"/>
        </w:rPr>
        <w:t>西安天合建设项目管理有限公司</w:t>
      </w:r>
    </w:p>
    <w:p w14:paraId="0616CF07">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202</w:t>
      </w:r>
      <w:r>
        <w:rPr>
          <w:rFonts w:hint="eastAsia" w:cs="宋体"/>
          <w:i w:val="0"/>
          <w:iCs w:val="0"/>
          <w:caps w:val="0"/>
          <w:color w:val="333333"/>
          <w:spacing w:val="0"/>
          <w:sz w:val="24"/>
          <w:szCs w:val="24"/>
          <w:highlight w:val="none"/>
          <w:shd w:val="clear" w:fill="FFFFFF"/>
          <w:lang w:val="en-US" w:eastAsia="zh-CN"/>
        </w:rPr>
        <w:t>5</w:t>
      </w:r>
      <w:r>
        <w:rPr>
          <w:rFonts w:hint="eastAsia" w:ascii="宋体" w:hAnsi="宋体" w:eastAsia="宋体" w:cs="宋体"/>
          <w:i w:val="0"/>
          <w:iCs w:val="0"/>
          <w:caps w:val="0"/>
          <w:color w:val="333333"/>
          <w:spacing w:val="0"/>
          <w:sz w:val="24"/>
          <w:szCs w:val="24"/>
          <w:highlight w:val="none"/>
          <w:shd w:val="clear" w:fill="FFFFFF"/>
        </w:rPr>
        <w:t>年</w:t>
      </w:r>
      <w:r>
        <w:rPr>
          <w:rFonts w:hint="eastAsia" w:cs="宋体"/>
          <w:i w:val="0"/>
          <w:iCs w:val="0"/>
          <w:caps w:val="0"/>
          <w:color w:val="333333"/>
          <w:spacing w:val="0"/>
          <w:sz w:val="24"/>
          <w:szCs w:val="24"/>
          <w:highlight w:val="none"/>
          <w:shd w:val="clear" w:fill="FFFFFF"/>
          <w:lang w:val="en-US" w:eastAsia="zh-CN"/>
        </w:rPr>
        <w:t>06</w:t>
      </w:r>
      <w:r>
        <w:rPr>
          <w:rFonts w:hint="eastAsia" w:ascii="宋体" w:hAnsi="宋体" w:eastAsia="宋体" w:cs="宋体"/>
          <w:i w:val="0"/>
          <w:iCs w:val="0"/>
          <w:caps w:val="0"/>
          <w:color w:val="333333"/>
          <w:spacing w:val="0"/>
          <w:sz w:val="24"/>
          <w:szCs w:val="24"/>
          <w:highlight w:val="none"/>
          <w:shd w:val="clear" w:fill="FFFFFF"/>
        </w:rPr>
        <w:t>月</w:t>
      </w:r>
      <w:r>
        <w:rPr>
          <w:rFonts w:hint="eastAsia" w:cs="宋体"/>
          <w:i w:val="0"/>
          <w:iCs w:val="0"/>
          <w:caps w:val="0"/>
          <w:color w:val="333333"/>
          <w:spacing w:val="0"/>
          <w:sz w:val="24"/>
          <w:szCs w:val="24"/>
          <w:highlight w:val="none"/>
          <w:shd w:val="clear" w:fill="FFFFFF"/>
          <w:lang w:val="en-US" w:eastAsia="zh-CN"/>
        </w:rPr>
        <w:t>06</w:t>
      </w:r>
      <w:r>
        <w:rPr>
          <w:rFonts w:hint="eastAsia" w:ascii="宋体" w:hAnsi="宋体" w:eastAsia="宋体" w:cs="宋体"/>
          <w:i w:val="0"/>
          <w:iCs w:val="0"/>
          <w:caps w:val="0"/>
          <w:color w:val="333333"/>
          <w:spacing w:val="0"/>
          <w:sz w:val="24"/>
          <w:szCs w:val="24"/>
          <w:highlight w:val="none"/>
          <w:shd w:val="clear" w:fill="FFFFFF"/>
        </w:rPr>
        <w:t>日</w:t>
      </w:r>
    </w:p>
    <w:p w14:paraId="0303847B">
      <w:pPr>
        <w:rPr>
          <w:rFonts w:hint="eastAsia" w:ascii="宋体" w:eastAsia="宋体"/>
          <w:bCs/>
          <w:color w:val="auto"/>
          <w:sz w:val="36"/>
          <w:szCs w:val="36"/>
          <w:highlight w:val="none"/>
          <w:lang w:eastAsia="zh-CN"/>
        </w:rPr>
      </w:pPr>
      <w:r>
        <w:rPr>
          <w:rFonts w:hint="eastAsia" w:ascii="宋体" w:eastAsia="宋体"/>
          <w:bCs/>
          <w:color w:val="auto"/>
          <w:sz w:val="36"/>
          <w:szCs w:val="36"/>
          <w:highlight w:val="none"/>
          <w:lang w:eastAsia="zh-CN"/>
        </w:rPr>
        <w:br w:type="page"/>
      </w:r>
    </w:p>
    <w:p w14:paraId="1DA34F20">
      <w:pPr>
        <w:pStyle w:val="2"/>
        <w:keepNext w:val="0"/>
        <w:keepLines/>
        <w:pageBreakBefore/>
        <w:spacing w:before="156" w:beforeLines="50" w:after="156" w:afterLines="50" w:line="360" w:lineRule="auto"/>
        <w:jc w:val="center"/>
        <w:rPr>
          <w:rFonts w:hint="default" w:ascii="宋体" w:eastAsia="宋体"/>
          <w:bCs/>
          <w:color w:val="auto"/>
          <w:sz w:val="36"/>
          <w:szCs w:val="36"/>
          <w:highlight w:val="none"/>
          <w:lang w:val="en-US" w:eastAsia="zh-CN"/>
        </w:rPr>
      </w:pPr>
      <w:bookmarkStart w:id="14" w:name="_Toc10217"/>
      <w:r>
        <w:rPr>
          <w:rFonts w:hint="eastAsia" w:ascii="宋体" w:eastAsia="宋体"/>
          <w:bCs/>
          <w:color w:val="auto"/>
          <w:sz w:val="36"/>
          <w:szCs w:val="36"/>
          <w:highlight w:val="none"/>
          <w:lang w:eastAsia="zh-CN"/>
        </w:rPr>
        <w:t>第二章</w:t>
      </w:r>
      <w:r>
        <w:rPr>
          <w:rFonts w:hint="eastAsia" w:ascii="宋体" w:eastAsia="宋体"/>
          <w:bCs/>
          <w:color w:val="auto"/>
          <w:sz w:val="36"/>
          <w:szCs w:val="36"/>
          <w:highlight w:val="none"/>
          <w:lang w:val="en-US" w:eastAsia="zh-CN"/>
        </w:rPr>
        <w:t xml:space="preserve">  供应商须知</w:t>
      </w:r>
      <w:bookmarkEnd w:id="14"/>
    </w:p>
    <w:p w14:paraId="49A50576">
      <w:pPr>
        <w:pStyle w:val="3"/>
        <w:widowControl w:val="0"/>
        <w:spacing w:before="120" w:after="120" w:line="360" w:lineRule="auto"/>
        <w:ind w:left="0"/>
        <w:jc w:val="center"/>
        <w:rPr>
          <w:rFonts w:ascii="宋体" w:hAnsi="宋体"/>
          <w:color w:val="auto"/>
          <w:sz w:val="32"/>
          <w:highlight w:val="none"/>
        </w:rPr>
      </w:pPr>
      <w:bookmarkStart w:id="15" w:name="_Toc4513"/>
      <w:bookmarkStart w:id="16" w:name="OLE_LINK2"/>
      <w:bookmarkStart w:id="17" w:name="_Toc19364"/>
      <w:bookmarkStart w:id="18" w:name="_Toc23524"/>
      <w:bookmarkStart w:id="19" w:name="_Toc423973073"/>
      <w:bookmarkStart w:id="20" w:name="_Toc31462"/>
      <w:r>
        <w:rPr>
          <w:rFonts w:hint="eastAsia" w:ascii="宋体" w:hAnsi="宋体"/>
          <w:color w:val="auto"/>
          <w:sz w:val="32"/>
          <w:highlight w:val="none"/>
        </w:rPr>
        <w:t>供应商须知前附表</w:t>
      </w:r>
      <w:bookmarkEnd w:id="15"/>
      <w:bookmarkEnd w:id="16"/>
      <w:bookmarkEnd w:id="17"/>
      <w:bookmarkEnd w:id="18"/>
      <w:bookmarkEnd w:id="19"/>
      <w:bookmarkEnd w:id="20"/>
    </w:p>
    <w:p w14:paraId="4F885B54">
      <w:pPr>
        <w:spacing w:line="440" w:lineRule="exact"/>
        <w:ind w:firstLine="480" w:firstLineChars="200"/>
        <w:rPr>
          <w:color w:val="auto"/>
          <w:szCs w:val="24"/>
          <w:highlight w:val="none"/>
        </w:rPr>
      </w:pPr>
      <w:r>
        <w:rPr>
          <w:rFonts w:hint="eastAsia"/>
          <w:color w:val="auto"/>
          <w:szCs w:val="24"/>
          <w:highlight w:val="none"/>
        </w:rPr>
        <w:t>本表是对供应商须知的具体补充和修改，如有矛盾，应以本资料表为准。</w:t>
      </w:r>
    </w:p>
    <w:tbl>
      <w:tblPr>
        <w:tblStyle w:val="1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951"/>
        <w:gridCol w:w="7354"/>
      </w:tblGrid>
      <w:tr w14:paraId="63B45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592" w:type="dxa"/>
          </w:tcPr>
          <w:p w14:paraId="6E678B2C">
            <w:pPr>
              <w:spacing w:before="156" w:beforeLines="50" w:line="360" w:lineRule="auto"/>
              <w:jc w:val="center"/>
              <w:rPr>
                <w:b/>
                <w:color w:val="auto"/>
                <w:szCs w:val="24"/>
                <w:highlight w:val="none"/>
              </w:rPr>
            </w:pPr>
            <w:r>
              <w:rPr>
                <w:rFonts w:hint="eastAsia"/>
                <w:b/>
                <w:color w:val="auto"/>
                <w:szCs w:val="24"/>
                <w:highlight w:val="none"/>
              </w:rPr>
              <w:t>序号</w:t>
            </w:r>
          </w:p>
        </w:tc>
        <w:tc>
          <w:tcPr>
            <w:tcW w:w="951" w:type="dxa"/>
            <w:vAlign w:val="center"/>
          </w:tcPr>
          <w:p w14:paraId="7BE2D984">
            <w:pPr>
              <w:spacing w:before="156" w:beforeLines="50" w:line="360" w:lineRule="auto"/>
              <w:jc w:val="center"/>
              <w:rPr>
                <w:b/>
                <w:color w:val="auto"/>
                <w:szCs w:val="24"/>
                <w:highlight w:val="none"/>
              </w:rPr>
            </w:pPr>
            <w:r>
              <w:rPr>
                <w:rFonts w:hint="eastAsia"/>
                <w:b/>
                <w:color w:val="auto"/>
                <w:szCs w:val="24"/>
                <w:highlight w:val="none"/>
              </w:rPr>
              <w:t>条款号</w:t>
            </w:r>
          </w:p>
        </w:tc>
        <w:tc>
          <w:tcPr>
            <w:tcW w:w="7354" w:type="dxa"/>
          </w:tcPr>
          <w:p w14:paraId="072CA1C2">
            <w:pPr>
              <w:spacing w:before="156" w:beforeLines="50" w:line="360" w:lineRule="auto"/>
              <w:jc w:val="center"/>
              <w:rPr>
                <w:b/>
                <w:color w:val="auto"/>
                <w:szCs w:val="24"/>
                <w:highlight w:val="none"/>
              </w:rPr>
            </w:pPr>
            <w:r>
              <w:rPr>
                <w:rFonts w:hint="eastAsia"/>
                <w:b/>
                <w:color w:val="auto"/>
                <w:szCs w:val="24"/>
                <w:highlight w:val="none"/>
              </w:rPr>
              <w:t>编</w:t>
            </w:r>
            <w:r>
              <w:rPr>
                <w:b/>
                <w:color w:val="auto"/>
                <w:szCs w:val="24"/>
                <w:highlight w:val="none"/>
              </w:rPr>
              <w:t xml:space="preserve"> </w:t>
            </w:r>
            <w:r>
              <w:rPr>
                <w:rFonts w:hint="eastAsia"/>
                <w:b/>
                <w:color w:val="auto"/>
                <w:szCs w:val="24"/>
                <w:highlight w:val="none"/>
              </w:rPr>
              <w:t>列</w:t>
            </w:r>
            <w:r>
              <w:rPr>
                <w:b/>
                <w:color w:val="auto"/>
                <w:szCs w:val="24"/>
                <w:highlight w:val="none"/>
              </w:rPr>
              <w:t xml:space="preserve"> </w:t>
            </w:r>
            <w:r>
              <w:rPr>
                <w:rFonts w:hint="eastAsia"/>
                <w:b/>
                <w:color w:val="auto"/>
                <w:szCs w:val="24"/>
                <w:highlight w:val="none"/>
              </w:rPr>
              <w:t>内</w:t>
            </w:r>
            <w:r>
              <w:rPr>
                <w:b/>
                <w:color w:val="auto"/>
                <w:szCs w:val="24"/>
                <w:highlight w:val="none"/>
              </w:rPr>
              <w:t xml:space="preserve"> </w:t>
            </w:r>
            <w:r>
              <w:rPr>
                <w:rFonts w:hint="eastAsia"/>
                <w:b/>
                <w:color w:val="auto"/>
                <w:szCs w:val="24"/>
                <w:highlight w:val="none"/>
              </w:rPr>
              <w:t>容</w:t>
            </w:r>
            <w:r>
              <w:rPr>
                <w:b/>
                <w:color w:val="auto"/>
                <w:szCs w:val="24"/>
                <w:highlight w:val="none"/>
              </w:rPr>
              <w:t xml:space="preserve"> </w:t>
            </w:r>
          </w:p>
        </w:tc>
      </w:tr>
      <w:tr w14:paraId="5CBF7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0F798E83">
            <w:pPr>
              <w:spacing w:line="360" w:lineRule="auto"/>
              <w:jc w:val="center"/>
              <w:rPr>
                <w:color w:val="auto"/>
                <w:szCs w:val="24"/>
                <w:highlight w:val="none"/>
              </w:rPr>
            </w:pPr>
            <w:r>
              <w:rPr>
                <w:rFonts w:hint="eastAsia"/>
                <w:color w:val="auto"/>
                <w:szCs w:val="24"/>
                <w:highlight w:val="none"/>
              </w:rPr>
              <w:t>1</w:t>
            </w:r>
          </w:p>
        </w:tc>
        <w:tc>
          <w:tcPr>
            <w:tcW w:w="951" w:type="dxa"/>
            <w:vAlign w:val="center"/>
          </w:tcPr>
          <w:p w14:paraId="1AD26879">
            <w:pPr>
              <w:spacing w:line="360" w:lineRule="auto"/>
              <w:jc w:val="center"/>
              <w:rPr>
                <w:color w:val="auto"/>
                <w:szCs w:val="24"/>
                <w:highlight w:val="none"/>
              </w:rPr>
            </w:pPr>
            <w:r>
              <w:rPr>
                <w:rFonts w:hint="eastAsia"/>
                <w:color w:val="auto"/>
                <w:szCs w:val="24"/>
                <w:highlight w:val="none"/>
              </w:rPr>
              <w:t>2</w:t>
            </w:r>
            <w:r>
              <w:rPr>
                <w:color w:val="auto"/>
                <w:szCs w:val="24"/>
                <w:highlight w:val="none"/>
              </w:rPr>
              <w:t>.</w:t>
            </w:r>
            <w:r>
              <w:rPr>
                <w:rFonts w:hint="eastAsia"/>
                <w:color w:val="auto"/>
                <w:szCs w:val="24"/>
                <w:highlight w:val="none"/>
              </w:rPr>
              <w:t>3</w:t>
            </w:r>
          </w:p>
        </w:tc>
        <w:tc>
          <w:tcPr>
            <w:tcW w:w="7354" w:type="dxa"/>
          </w:tcPr>
          <w:p w14:paraId="4007AA1F">
            <w:pPr>
              <w:spacing w:line="360" w:lineRule="auto"/>
              <w:ind w:left="1680" w:hanging="1680" w:hangingChars="700"/>
              <w:rPr>
                <w:rFonts w:hint="eastAsia"/>
                <w:color w:val="auto"/>
                <w:szCs w:val="24"/>
                <w:highlight w:val="none"/>
                <w:lang w:eastAsia="zh-CN"/>
              </w:rPr>
            </w:pPr>
            <w:r>
              <w:rPr>
                <w:rFonts w:hint="eastAsia" w:hAnsi="宋体"/>
                <w:color w:val="auto"/>
                <w:szCs w:val="24"/>
                <w:highlight w:val="none"/>
              </w:rPr>
              <w:t>采购代理机构</w:t>
            </w:r>
            <w:r>
              <w:rPr>
                <w:rFonts w:hint="eastAsia"/>
                <w:color w:val="auto"/>
                <w:szCs w:val="24"/>
                <w:highlight w:val="none"/>
              </w:rPr>
              <w:t>：西安天合建设项目管理有限公司</w:t>
            </w:r>
          </w:p>
          <w:p w14:paraId="56ADC6F1">
            <w:pPr>
              <w:spacing w:line="360" w:lineRule="auto"/>
              <w:ind w:left="1680" w:hanging="1680" w:hangingChars="700"/>
              <w:rPr>
                <w:rFonts w:hint="eastAsia" w:eastAsia="宋体"/>
                <w:color w:val="auto"/>
                <w:szCs w:val="24"/>
                <w:highlight w:val="none"/>
                <w:lang w:eastAsia="zh-CN"/>
              </w:rPr>
            </w:pPr>
            <w:r>
              <w:rPr>
                <w:rFonts w:hint="eastAsia"/>
                <w:color w:val="auto"/>
                <w:szCs w:val="24"/>
                <w:highlight w:val="none"/>
              </w:rPr>
              <w:t>地        址：</w:t>
            </w:r>
            <w:r>
              <w:rPr>
                <w:rFonts w:hint="eastAsia" w:cs="宋体"/>
                <w:highlight w:val="none"/>
                <w:shd w:val="clear" w:color="auto" w:fill="FFFFFF"/>
              </w:rPr>
              <w:t>陕西省商南县幸福路46栋4层</w:t>
            </w:r>
          </w:p>
          <w:p w14:paraId="3F89F00E">
            <w:pPr>
              <w:spacing w:line="360" w:lineRule="auto"/>
              <w:rPr>
                <w:rFonts w:hint="default" w:eastAsia="宋体"/>
                <w:color w:val="auto"/>
                <w:szCs w:val="24"/>
                <w:highlight w:val="none"/>
                <w:lang w:val="en-US" w:eastAsia="zh-CN"/>
              </w:rPr>
            </w:pPr>
            <w:r>
              <w:rPr>
                <w:rFonts w:hint="eastAsia"/>
                <w:color w:val="auto"/>
                <w:szCs w:val="24"/>
                <w:highlight w:val="none"/>
              </w:rPr>
              <w:t>电        话：</w:t>
            </w:r>
            <w:r>
              <w:rPr>
                <w:rFonts w:hint="eastAsia" w:hAnsi="宋体" w:cs="宋体"/>
                <w:color w:val="auto"/>
                <w:szCs w:val="24"/>
                <w:highlight w:val="none"/>
                <w:lang w:eastAsia="zh-CN"/>
              </w:rPr>
              <w:t>0914-</w:t>
            </w:r>
            <w:r>
              <w:rPr>
                <w:rFonts w:hint="eastAsia" w:hAnsi="宋体" w:cs="宋体"/>
                <w:color w:val="auto"/>
                <w:szCs w:val="24"/>
                <w:highlight w:val="none"/>
                <w:lang w:val="en-US" w:eastAsia="zh-CN"/>
              </w:rPr>
              <w:t>6377367</w:t>
            </w:r>
          </w:p>
          <w:p w14:paraId="457E1A2D">
            <w:pPr>
              <w:spacing w:line="360" w:lineRule="auto"/>
              <w:rPr>
                <w:color w:val="auto"/>
                <w:szCs w:val="24"/>
                <w:highlight w:val="none"/>
              </w:rPr>
            </w:pPr>
            <w:r>
              <w:rPr>
                <w:rFonts w:hint="eastAsia"/>
                <w:color w:val="auto"/>
                <w:szCs w:val="24"/>
                <w:highlight w:val="none"/>
              </w:rPr>
              <w:t>传        真：/</w:t>
            </w:r>
          </w:p>
        </w:tc>
      </w:tr>
      <w:tr w14:paraId="185F5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592" w:type="dxa"/>
            <w:vAlign w:val="center"/>
          </w:tcPr>
          <w:p w14:paraId="54FB3B6B">
            <w:pPr>
              <w:spacing w:line="360" w:lineRule="auto"/>
              <w:jc w:val="center"/>
              <w:rPr>
                <w:color w:val="auto"/>
                <w:szCs w:val="24"/>
                <w:highlight w:val="none"/>
              </w:rPr>
            </w:pPr>
            <w:r>
              <w:rPr>
                <w:rFonts w:hint="eastAsia"/>
                <w:color w:val="auto"/>
                <w:szCs w:val="24"/>
                <w:highlight w:val="none"/>
              </w:rPr>
              <w:t>2</w:t>
            </w:r>
          </w:p>
        </w:tc>
        <w:tc>
          <w:tcPr>
            <w:tcW w:w="951" w:type="dxa"/>
            <w:vAlign w:val="center"/>
          </w:tcPr>
          <w:p w14:paraId="7120C3D4">
            <w:pPr>
              <w:spacing w:line="360" w:lineRule="auto"/>
              <w:jc w:val="center"/>
              <w:rPr>
                <w:color w:val="auto"/>
                <w:szCs w:val="24"/>
                <w:highlight w:val="none"/>
              </w:rPr>
            </w:pPr>
            <w:r>
              <w:rPr>
                <w:rFonts w:hint="eastAsia"/>
                <w:color w:val="auto"/>
                <w:szCs w:val="24"/>
                <w:highlight w:val="none"/>
              </w:rPr>
              <w:t>3.6</w:t>
            </w:r>
          </w:p>
        </w:tc>
        <w:tc>
          <w:tcPr>
            <w:tcW w:w="7354" w:type="dxa"/>
            <w:vAlign w:val="center"/>
          </w:tcPr>
          <w:p w14:paraId="643B4902">
            <w:pPr>
              <w:spacing w:line="360" w:lineRule="auto"/>
              <w:rPr>
                <w:color w:val="auto"/>
                <w:szCs w:val="24"/>
                <w:highlight w:val="none"/>
              </w:rPr>
            </w:pPr>
            <w:r>
              <w:rPr>
                <w:rFonts w:hint="eastAsia"/>
                <w:color w:val="auto"/>
                <w:szCs w:val="24"/>
                <w:highlight w:val="none"/>
              </w:rPr>
              <w:t>本项目不接受联合体磋商。</w:t>
            </w:r>
          </w:p>
        </w:tc>
      </w:tr>
      <w:tr w14:paraId="0021D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592" w:type="dxa"/>
            <w:vAlign w:val="center"/>
          </w:tcPr>
          <w:p w14:paraId="22DEE198">
            <w:pPr>
              <w:spacing w:line="360" w:lineRule="auto"/>
              <w:jc w:val="center"/>
              <w:rPr>
                <w:color w:val="auto"/>
                <w:szCs w:val="24"/>
                <w:highlight w:val="none"/>
              </w:rPr>
            </w:pPr>
            <w:r>
              <w:rPr>
                <w:rFonts w:hint="eastAsia"/>
                <w:color w:val="auto"/>
                <w:szCs w:val="24"/>
                <w:highlight w:val="none"/>
              </w:rPr>
              <w:t>3</w:t>
            </w:r>
          </w:p>
        </w:tc>
        <w:tc>
          <w:tcPr>
            <w:tcW w:w="951" w:type="dxa"/>
            <w:vAlign w:val="center"/>
          </w:tcPr>
          <w:p w14:paraId="39307A7F">
            <w:pPr>
              <w:spacing w:line="360" w:lineRule="auto"/>
              <w:jc w:val="center"/>
              <w:rPr>
                <w:color w:val="auto"/>
                <w:szCs w:val="24"/>
                <w:highlight w:val="none"/>
              </w:rPr>
            </w:pPr>
            <w:r>
              <w:rPr>
                <w:rFonts w:hint="eastAsia"/>
                <w:color w:val="auto"/>
                <w:szCs w:val="24"/>
                <w:highlight w:val="none"/>
              </w:rPr>
              <w:t>9.2</w:t>
            </w:r>
          </w:p>
        </w:tc>
        <w:tc>
          <w:tcPr>
            <w:tcW w:w="7354" w:type="dxa"/>
            <w:vAlign w:val="center"/>
          </w:tcPr>
          <w:p w14:paraId="65E08642">
            <w:pPr>
              <w:spacing w:line="360" w:lineRule="auto"/>
              <w:rPr>
                <w:color w:val="auto"/>
                <w:szCs w:val="24"/>
                <w:highlight w:val="none"/>
              </w:rPr>
            </w:pPr>
            <w:r>
              <w:rPr>
                <w:rFonts w:hint="eastAsia"/>
                <w:color w:val="auto"/>
                <w:szCs w:val="24"/>
                <w:highlight w:val="none"/>
              </w:rPr>
              <w:t>不允许提供备选方案。</w:t>
            </w:r>
          </w:p>
        </w:tc>
      </w:tr>
      <w:tr w14:paraId="17DA3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3ACFD2EB">
            <w:pPr>
              <w:spacing w:line="360" w:lineRule="auto"/>
              <w:jc w:val="center"/>
              <w:rPr>
                <w:color w:val="auto"/>
                <w:szCs w:val="24"/>
                <w:highlight w:val="none"/>
              </w:rPr>
            </w:pPr>
            <w:r>
              <w:rPr>
                <w:rFonts w:hint="eastAsia"/>
                <w:color w:val="auto"/>
                <w:szCs w:val="24"/>
                <w:highlight w:val="none"/>
              </w:rPr>
              <w:t>4</w:t>
            </w:r>
          </w:p>
        </w:tc>
        <w:tc>
          <w:tcPr>
            <w:tcW w:w="951" w:type="dxa"/>
            <w:vAlign w:val="center"/>
          </w:tcPr>
          <w:p w14:paraId="727A2F8F">
            <w:pPr>
              <w:spacing w:line="360" w:lineRule="auto"/>
              <w:jc w:val="center"/>
              <w:rPr>
                <w:color w:val="auto"/>
                <w:szCs w:val="24"/>
                <w:highlight w:val="none"/>
              </w:rPr>
            </w:pPr>
            <w:r>
              <w:rPr>
                <w:rFonts w:hint="eastAsia"/>
                <w:color w:val="auto"/>
                <w:szCs w:val="24"/>
                <w:highlight w:val="none"/>
              </w:rPr>
              <w:t>9.3</w:t>
            </w:r>
          </w:p>
        </w:tc>
        <w:tc>
          <w:tcPr>
            <w:tcW w:w="7354" w:type="dxa"/>
            <w:vAlign w:val="center"/>
          </w:tcPr>
          <w:p w14:paraId="0E83C346">
            <w:pPr>
              <w:spacing w:line="360" w:lineRule="auto"/>
              <w:rPr>
                <w:color w:val="auto"/>
                <w:szCs w:val="24"/>
                <w:highlight w:val="none"/>
              </w:rPr>
            </w:pPr>
            <w:r>
              <w:rPr>
                <w:rFonts w:hint="eastAsia"/>
                <w:color w:val="auto"/>
                <w:szCs w:val="24"/>
                <w:highlight w:val="none"/>
              </w:rPr>
              <w:t>本次磋商的最小单元为“</w:t>
            </w:r>
            <w:r>
              <w:rPr>
                <w:rFonts w:hint="eastAsia"/>
                <w:color w:val="auto"/>
                <w:szCs w:val="24"/>
                <w:highlight w:val="none"/>
                <w:lang w:eastAsia="zh-CN"/>
              </w:rPr>
              <w:t>项目</w:t>
            </w:r>
            <w:r>
              <w:rPr>
                <w:rFonts w:hint="eastAsia"/>
                <w:color w:val="auto"/>
                <w:szCs w:val="24"/>
                <w:highlight w:val="none"/>
              </w:rPr>
              <w:t>”，</w:t>
            </w:r>
            <w:r>
              <w:rPr>
                <w:rFonts w:hint="eastAsia" w:hAnsi="宋体"/>
                <w:color w:val="auto"/>
                <w:szCs w:val="24"/>
                <w:highlight w:val="none"/>
              </w:rPr>
              <w:t>供应商</w:t>
            </w:r>
            <w:r>
              <w:rPr>
                <w:rFonts w:hAnsi="宋体" w:cs="宋体"/>
                <w:color w:val="auto"/>
                <w:szCs w:val="24"/>
                <w:highlight w:val="none"/>
              </w:rPr>
              <w:t>可根据自身的资质情况和经营范围对本次项目进行</w:t>
            </w:r>
            <w:r>
              <w:rPr>
                <w:rFonts w:hint="eastAsia" w:hAnsi="宋体" w:cs="宋体"/>
                <w:color w:val="auto"/>
                <w:szCs w:val="24"/>
                <w:highlight w:val="none"/>
              </w:rPr>
              <w:t>磋商</w:t>
            </w:r>
            <w:r>
              <w:rPr>
                <w:rFonts w:hAnsi="宋体" w:cs="宋体"/>
                <w:color w:val="auto"/>
                <w:szCs w:val="24"/>
                <w:highlight w:val="none"/>
              </w:rPr>
              <w:t>，不得将其子目再行分解或只对本次项目中的品目进行不完全</w:t>
            </w:r>
            <w:r>
              <w:rPr>
                <w:rFonts w:hint="eastAsia" w:hAnsi="宋体" w:cs="宋体"/>
                <w:color w:val="auto"/>
                <w:szCs w:val="24"/>
                <w:highlight w:val="none"/>
              </w:rPr>
              <w:t>磋商</w:t>
            </w:r>
            <w:r>
              <w:rPr>
                <w:rFonts w:hAnsi="宋体" w:cs="宋体"/>
                <w:color w:val="auto"/>
                <w:szCs w:val="24"/>
                <w:highlight w:val="none"/>
              </w:rPr>
              <w:t>，任何不完全的</w:t>
            </w:r>
            <w:r>
              <w:rPr>
                <w:rFonts w:hint="eastAsia" w:hAnsi="宋体" w:cs="宋体"/>
                <w:color w:val="auto"/>
                <w:szCs w:val="24"/>
                <w:highlight w:val="none"/>
              </w:rPr>
              <w:t>响应</w:t>
            </w:r>
            <w:r>
              <w:rPr>
                <w:rFonts w:hAnsi="宋体" w:cs="宋体"/>
                <w:color w:val="auto"/>
                <w:szCs w:val="24"/>
                <w:highlight w:val="none"/>
              </w:rPr>
              <w:t>将会被拒绝。</w:t>
            </w:r>
          </w:p>
        </w:tc>
      </w:tr>
      <w:tr w14:paraId="3FFFB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vAlign w:val="center"/>
          </w:tcPr>
          <w:p w14:paraId="02AFEE9E">
            <w:pPr>
              <w:spacing w:line="360" w:lineRule="auto"/>
              <w:jc w:val="center"/>
              <w:rPr>
                <w:color w:val="auto"/>
                <w:szCs w:val="24"/>
                <w:highlight w:val="none"/>
              </w:rPr>
            </w:pPr>
            <w:r>
              <w:rPr>
                <w:rFonts w:hint="eastAsia"/>
                <w:color w:val="auto"/>
                <w:szCs w:val="24"/>
                <w:highlight w:val="none"/>
              </w:rPr>
              <w:t>5</w:t>
            </w:r>
          </w:p>
        </w:tc>
        <w:tc>
          <w:tcPr>
            <w:tcW w:w="951" w:type="dxa"/>
            <w:vAlign w:val="center"/>
          </w:tcPr>
          <w:p w14:paraId="66ECD662">
            <w:pPr>
              <w:spacing w:line="360" w:lineRule="auto"/>
              <w:jc w:val="center"/>
              <w:rPr>
                <w:color w:val="auto"/>
                <w:szCs w:val="24"/>
                <w:highlight w:val="none"/>
              </w:rPr>
            </w:pPr>
            <w:r>
              <w:rPr>
                <w:rFonts w:hint="eastAsia"/>
                <w:color w:val="auto"/>
                <w:szCs w:val="24"/>
                <w:highlight w:val="none"/>
              </w:rPr>
              <w:t>11.1</w:t>
            </w:r>
          </w:p>
        </w:tc>
        <w:tc>
          <w:tcPr>
            <w:tcW w:w="7354" w:type="dxa"/>
          </w:tcPr>
          <w:p w14:paraId="15FC47B1">
            <w:pPr>
              <w:spacing w:line="360" w:lineRule="auto"/>
              <w:ind w:firstLine="480"/>
              <w:rPr>
                <w:rFonts w:hint="eastAsia" w:eastAsia="宋体"/>
                <w:color w:val="auto"/>
                <w:szCs w:val="24"/>
                <w:highlight w:val="none"/>
                <w:lang w:eastAsia="zh-CN"/>
              </w:rPr>
            </w:pPr>
            <w:r>
              <w:rPr>
                <w:rFonts w:hint="eastAsia" w:hAnsi="宋体" w:cs="宋体"/>
                <w:color w:val="auto"/>
                <w:szCs w:val="24"/>
                <w:highlight w:val="none"/>
              </w:rPr>
              <w:t>磋商报价：</w:t>
            </w:r>
            <w:r>
              <w:rPr>
                <w:rFonts w:hint="eastAsia" w:hAnsi="宋体" w:cs="宋体"/>
                <w:color w:val="auto"/>
                <w:szCs w:val="24"/>
                <w:highlight w:val="none"/>
                <w:lang w:eastAsia="zh-CN"/>
              </w:rPr>
              <w:t>是供应商为完成本项目要求的全部服务内容最终价格的体现。</w:t>
            </w:r>
          </w:p>
          <w:p w14:paraId="031AFC4B">
            <w:pPr>
              <w:spacing w:line="360" w:lineRule="auto"/>
              <w:ind w:firstLine="480"/>
              <w:rPr>
                <w:rFonts w:hAnsi="宋体" w:cs="宋体"/>
                <w:color w:val="auto"/>
                <w:szCs w:val="24"/>
                <w:highlight w:val="none"/>
              </w:rPr>
            </w:pPr>
            <w:r>
              <w:rPr>
                <w:rFonts w:hint="eastAsia" w:hAnsi="宋体"/>
                <w:color w:val="auto"/>
                <w:szCs w:val="24"/>
                <w:highlight w:val="none"/>
              </w:rPr>
              <w:t>供应商所报的价格应考虑到可能发生的所有与完成本项目相关服务及履行合同义务有关的一切费用，</w:t>
            </w:r>
            <w:r>
              <w:rPr>
                <w:color w:val="auto"/>
                <w:szCs w:val="24"/>
                <w:highlight w:val="none"/>
              </w:rPr>
              <w:t>任何有选择的报价将不予接受</w:t>
            </w:r>
            <w:r>
              <w:rPr>
                <w:rFonts w:hint="eastAsia"/>
                <w:color w:val="auto"/>
                <w:szCs w:val="24"/>
                <w:highlight w:val="none"/>
              </w:rPr>
              <w:t>，按无效磋商处理。</w:t>
            </w:r>
          </w:p>
        </w:tc>
      </w:tr>
      <w:tr w14:paraId="32A73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592" w:type="dxa"/>
            <w:vAlign w:val="center"/>
          </w:tcPr>
          <w:p w14:paraId="0BC30E01">
            <w:pPr>
              <w:spacing w:line="360" w:lineRule="auto"/>
              <w:jc w:val="center"/>
              <w:rPr>
                <w:color w:val="auto"/>
                <w:szCs w:val="24"/>
                <w:highlight w:val="none"/>
              </w:rPr>
            </w:pPr>
            <w:r>
              <w:rPr>
                <w:rFonts w:hint="eastAsia"/>
                <w:color w:val="auto"/>
                <w:szCs w:val="24"/>
                <w:highlight w:val="none"/>
              </w:rPr>
              <w:t>6</w:t>
            </w:r>
          </w:p>
        </w:tc>
        <w:tc>
          <w:tcPr>
            <w:tcW w:w="951" w:type="dxa"/>
            <w:vAlign w:val="center"/>
          </w:tcPr>
          <w:p w14:paraId="269E4ACE">
            <w:pPr>
              <w:spacing w:line="360" w:lineRule="auto"/>
              <w:jc w:val="center"/>
              <w:rPr>
                <w:color w:val="auto"/>
                <w:szCs w:val="24"/>
                <w:highlight w:val="none"/>
              </w:rPr>
            </w:pPr>
            <w:r>
              <w:rPr>
                <w:rFonts w:hint="eastAsia"/>
                <w:color w:val="auto"/>
                <w:szCs w:val="24"/>
                <w:highlight w:val="none"/>
              </w:rPr>
              <w:t>12.1</w:t>
            </w:r>
          </w:p>
        </w:tc>
        <w:tc>
          <w:tcPr>
            <w:tcW w:w="7354" w:type="dxa"/>
          </w:tcPr>
          <w:p w14:paraId="347EDC43">
            <w:pPr>
              <w:spacing w:line="360" w:lineRule="auto"/>
              <w:rPr>
                <w:color w:val="auto"/>
                <w:szCs w:val="24"/>
                <w:highlight w:val="none"/>
              </w:rPr>
            </w:pPr>
            <w:r>
              <w:rPr>
                <w:rFonts w:hint="eastAsia"/>
                <w:color w:val="auto"/>
                <w:szCs w:val="24"/>
                <w:highlight w:val="none"/>
              </w:rPr>
              <w:t>特定资格证明文件：</w:t>
            </w:r>
          </w:p>
          <w:p w14:paraId="3D0F8A91">
            <w:pPr>
              <w:numPr>
                <w:ilvl w:val="0"/>
                <w:numId w:val="0"/>
              </w:numPr>
              <w:spacing w:line="360" w:lineRule="auto"/>
              <w:rPr>
                <w:rFonts w:hint="eastAsia"/>
                <w:b w:val="0"/>
                <w:bCs w:val="0"/>
                <w:color w:val="auto"/>
                <w:szCs w:val="24"/>
                <w:highlight w:val="none"/>
              </w:rPr>
            </w:pPr>
            <w:r>
              <w:rPr>
                <w:rFonts w:hint="eastAsia"/>
                <w:b w:val="0"/>
                <w:bCs w:val="0"/>
                <w:color w:val="auto"/>
                <w:szCs w:val="24"/>
                <w:highlight w:val="none"/>
                <w:lang w:eastAsia="zh-CN"/>
              </w:rPr>
              <w:t>（</w:t>
            </w:r>
            <w:r>
              <w:rPr>
                <w:rFonts w:hint="eastAsia"/>
                <w:b w:val="0"/>
                <w:bCs w:val="0"/>
                <w:color w:val="auto"/>
                <w:szCs w:val="24"/>
                <w:highlight w:val="none"/>
                <w:lang w:val="en-US" w:eastAsia="zh-CN"/>
              </w:rPr>
              <w:t>1</w:t>
            </w:r>
            <w:r>
              <w:rPr>
                <w:rFonts w:hint="eastAsia"/>
                <w:b w:val="0"/>
                <w:bCs w:val="0"/>
                <w:color w:val="auto"/>
                <w:szCs w:val="24"/>
                <w:highlight w:val="none"/>
                <w:lang w:eastAsia="zh-CN"/>
              </w:rPr>
              <w:t>）</w:t>
            </w:r>
            <w:r>
              <w:rPr>
                <w:rFonts w:hint="eastAsia"/>
                <w:b w:val="0"/>
                <w:bCs w:val="0"/>
                <w:color w:val="auto"/>
                <w:szCs w:val="24"/>
                <w:highlight w:val="none"/>
              </w:rPr>
              <w:t>提供合格有效的法人或者其他组织的营业执照等证明文件，自然人的身份证明；</w:t>
            </w:r>
            <w:r>
              <w:rPr>
                <w:rFonts w:hint="eastAsia"/>
                <w:b w:val="0"/>
                <w:bCs w:val="0"/>
                <w:color w:val="auto"/>
                <w:szCs w:val="24"/>
                <w:highlight w:val="none"/>
              </w:rPr>
              <w:br w:type="textWrapping"/>
            </w:r>
            <w:r>
              <w:rPr>
                <w:rFonts w:hint="eastAsia"/>
                <w:b w:val="0"/>
                <w:bCs w:val="0"/>
                <w:color w:val="auto"/>
                <w:szCs w:val="24"/>
                <w:highlight w:val="none"/>
                <w:lang w:eastAsia="zh-CN"/>
              </w:rPr>
              <w:t>（</w:t>
            </w:r>
            <w:r>
              <w:rPr>
                <w:rFonts w:hint="eastAsia"/>
                <w:b w:val="0"/>
                <w:bCs w:val="0"/>
                <w:color w:val="auto"/>
                <w:szCs w:val="24"/>
                <w:highlight w:val="none"/>
                <w:lang w:val="en-US" w:eastAsia="zh-CN"/>
              </w:rPr>
              <w:t>2</w:t>
            </w:r>
            <w:r>
              <w:rPr>
                <w:rFonts w:hint="eastAsia"/>
                <w:b w:val="0"/>
                <w:bCs w:val="0"/>
                <w:color w:val="auto"/>
                <w:szCs w:val="24"/>
                <w:highlight w:val="none"/>
                <w:lang w:eastAsia="zh-CN"/>
              </w:rPr>
              <w:t>）</w:t>
            </w:r>
            <w:r>
              <w:rPr>
                <w:rFonts w:hint="eastAsia"/>
                <w:b w:val="0"/>
                <w:bCs w:val="0"/>
                <w:color w:val="auto"/>
                <w:szCs w:val="24"/>
                <w:highlight w:val="none"/>
              </w:rPr>
              <w:t>提供法定代表人授权书（附法定代表人、被授权人身份证复印件）及被授权人身份证原件（法定代表人直接参加投标，须提供法定代表人身份证明及身份证原件）；</w:t>
            </w:r>
            <w:r>
              <w:rPr>
                <w:rFonts w:hint="eastAsia"/>
                <w:b w:val="0"/>
                <w:bCs w:val="0"/>
                <w:color w:val="auto"/>
                <w:szCs w:val="24"/>
                <w:highlight w:val="none"/>
              </w:rPr>
              <w:br w:type="textWrapping"/>
            </w:r>
            <w:r>
              <w:rPr>
                <w:rFonts w:hint="eastAsia"/>
                <w:b w:val="0"/>
                <w:bCs w:val="0"/>
                <w:color w:val="auto"/>
                <w:szCs w:val="24"/>
                <w:highlight w:val="none"/>
                <w:lang w:eastAsia="zh-CN"/>
              </w:rPr>
              <w:t>（</w:t>
            </w:r>
            <w:r>
              <w:rPr>
                <w:rFonts w:hint="eastAsia"/>
                <w:b w:val="0"/>
                <w:bCs w:val="0"/>
                <w:color w:val="auto"/>
                <w:szCs w:val="24"/>
                <w:highlight w:val="none"/>
                <w:lang w:val="en-US" w:eastAsia="zh-CN"/>
              </w:rPr>
              <w:t>3</w:t>
            </w:r>
            <w:r>
              <w:rPr>
                <w:rFonts w:hint="eastAsia"/>
                <w:b w:val="0"/>
                <w:bCs w:val="0"/>
                <w:color w:val="auto"/>
                <w:szCs w:val="24"/>
                <w:highlight w:val="none"/>
                <w:lang w:eastAsia="zh-CN"/>
              </w:rPr>
              <w:t>）</w:t>
            </w:r>
            <w:r>
              <w:rPr>
                <w:rFonts w:hint="eastAsia"/>
                <w:b w:val="0"/>
                <w:bCs w:val="0"/>
                <w:color w:val="auto"/>
                <w:szCs w:val="24"/>
                <w:highlight w:val="none"/>
              </w:rPr>
              <w:t>财务状况：提供2024年度经审计的财务审计报告（成立时间至提交磋商响应文件截止时间不足一年的可提供成立后任意时段的资产负债表）或开标时间前六个月内银行出具的资信证明；</w:t>
            </w:r>
            <w:r>
              <w:rPr>
                <w:rFonts w:hint="eastAsia"/>
                <w:b w:val="0"/>
                <w:bCs w:val="0"/>
                <w:color w:val="auto"/>
                <w:szCs w:val="24"/>
                <w:highlight w:val="none"/>
              </w:rPr>
              <w:br w:type="textWrapping"/>
            </w:r>
            <w:r>
              <w:rPr>
                <w:rFonts w:hint="eastAsia"/>
                <w:b w:val="0"/>
                <w:bCs w:val="0"/>
                <w:color w:val="auto"/>
                <w:szCs w:val="24"/>
                <w:highlight w:val="none"/>
                <w:lang w:eastAsia="zh-CN"/>
              </w:rPr>
              <w:t>（</w:t>
            </w:r>
            <w:r>
              <w:rPr>
                <w:rFonts w:hint="eastAsia"/>
                <w:b w:val="0"/>
                <w:bCs w:val="0"/>
                <w:color w:val="auto"/>
                <w:szCs w:val="24"/>
                <w:highlight w:val="none"/>
                <w:lang w:val="en-US" w:eastAsia="zh-CN"/>
              </w:rPr>
              <w:t>4</w:t>
            </w:r>
            <w:r>
              <w:rPr>
                <w:rFonts w:hint="eastAsia"/>
                <w:b w:val="0"/>
                <w:bCs w:val="0"/>
                <w:color w:val="auto"/>
                <w:szCs w:val="24"/>
                <w:highlight w:val="none"/>
                <w:lang w:eastAsia="zh-CN"/>
              </w:rPr>
              <w:t>）</w:t>
            </w:r>
            <w:r>
              <w:rPr>
                <w:rFonts w:hint="eastAsia"/>
                <w:b w:val="0"/>
                <w:bCs w:val="0"/>
                <w:color w:val="auto"/>
                <w:szCs w:val="24"/>
                <w:highlight w:val="none"/>
              </w:rPr>
              <w:t>税收缴纳证明：提供磋商截止日前近一年内任意一个月的纳税证明或完税证明（任意税种），依法免税的单位应提供相关证明材料；</w:t>
            </w:r>
            <w:r>
              <w:rPr>
                <w:rFonts w:hint="eastAsia"/>
                <w:b w:val="0"/>
                <w:bCs w:val="0"/>
                <w:color w:val="auto"/>
                <w:szCs w:val="24"/>
                <w:highlight w:val="none"/>
              </w:rPr>
              <w:br w:type="textWrapping"/>
            </w:r>
            <w:r>
              <w:rPr>
                <w:rFonts w:hint="eastAsia"/>
                <w:b w:val="0"/>
                <w:bCs w:val="0"/>
                <w:color w:val="auto"/>
                <w:szCs w:val="24"/>
                <w:highlight w:val="none"/>
                <w:lang w:eastAsia="zh-CN"/>
              </w:rPr>
              <w:t>（</w:t>
            </w:r>
            <w:r>
              <w:rPr>
                <w:rFonts w:hint="eastAsia"/>
                <w:b w:val="0"/>
                <w:bCs w:val="0"/>
                <w:color w:val="auto"/>
                <w:szCs w:val="24"/>
                <w:highlight w:val="none"/>
                <w:lang w:val="en-US" w:eastAsia="zh-CN"/>
              </w:rPr>
              <w:t>5</w:t>
            </w:r>
            <w:r>
              <w:rPr>
                <w:rFonts w:hint="eastAsia"/>
                <w:b w:val="0"/>
                <w:bCs w:val="0"/>
                <w:color w:val="auto"/>
                <w:szCs w:val="24"/>
                <w:highlight w:val="none"/>
                <w:lang w:eastAsia="zh-CN"/>
              </w:rPr>
              <w:t>）</w:t>
            </w:r>
            <w:r>
              <w:rPr>
                <w:rFonts w:hint="eastAsia"/>
                <w:b w:val="0"/>
                <w:bCs w:val="0"/>
                <w:color w:val="auto"/>
                <w:szCs w:val="24"/>
                <w:highlight w:val="none"/>
              </w:rPr>
              <w:t>社会保障资金缴纳证明：提供磋商截止日前一年内已缴存的至少一个月的社会保障资金缴存单据或社保机构开具的社会保险参保缴费情况证明，依法不需要缴纳社会保障资金的单位应提供相关证明材料；</w:t>
            </w:r>
            <w:r>
              <w:rPr>
                <w:rFonts w:hint="eastAsia"/>
                <w:b w:val="0"/>
                <w:bCs w:val="0"/>
                <w:color w:val="auto"/>
                <w:szCs w:val="24"/>
                <w:highlight w:val="none"/>
              </w:rPr>
              <w:br w:type="textWrapping"/>
            </w:r>
            <w:r>
              <w:rPr>
                <w:rFonts w:hint="eastAsia"/>
                <w:b w:val="0"/>
                <w:bCs w:val="0"/>
                <w:color w:val="auto"/>
                <w:szCs w:val="24"/>
                <w:highlight w:val="none"/>
                <w:lang w:eastAsia="zh-CN"/>
              </w:rPr>
              <w:t>（</w:t>
            </w:r>
            <w:r>
              <w:rPr>
                <w:rFonts w:hint="eastAsia"/>
                <w:b w:val="0"/>
                <w:bCs w:val="0"/>
                <w:color w:val="auto"/>
                <w:szCs w:val="24"/>
                <w:highlight w:val="none"/>
                <w:lang w:val="en-US" w:eastAsia="zh-CN"/>
              </w:rPr>
              <w:t>6</w:t>
            </w:r>
            <w:r>
              <w:rPr>
                <w:rFonts w:hint="eastAsia"/>
                <w:b w:val="0"/>
                <w:bCs w:val="0"/>
                <w:color w:val="auto"/>
                <w:szCs w:val="24"/>
                <w:highlight w:val="none"/>
                <w:lang w:eastAsia="zh-CN"/>
              </w:rPr>
              <w:t>）</w:t>
            </w:r>
            <w:r>
              <w:rPr>
                <w:rFonts w:hint="eastAsia"/>
                <w:b w:val="0"/>
                <w:bCs w:val="0"/>
                <w:color w:val="auto"/>
                <w:szCs w:val="24"/>
                <w:highlight w:val="none"/>
              </w:rPr>
              <w:t>供应商通过“信用中国”网站(www.creditchina.gov.cn)、中国政府采购网(www.ccgp.gov.cn)等查询相关主体信用记录；</w:t>
            </w:r>
            <w:r>
              <w:rPr>
                <w:rFonts w:hint="eastAsia"/>
                <w:b w:val="0"/>
                <w:bCs w:val="0"/>
                <w:color w:val="auto"/>
                <w:szCs w:val="24"/>
                <w:highlight w:val="none"/>
              </w:rPr>
              <w:br w:type="textWrapping"/>
            </w:r>
            <w:r>
              <w:rPr>
                <w:rFonts w:hint="eastAsia"/>
                <w:b w:val="0"/>
                <w:bCs w:val="0"/>
                <w:color w:val="auto"/>
                <w:szCs w:val="24"/>
                <w:highlight w:val="none"/>
                <w:lang w:eastAsia="zh-CN"/>
              </w:rPr>
              <w:t>（</w:t>
            </w:r>
            <w:r>
              <w:rPr>
                <w:rFonts w:hint="eastAsia"/>
                <w:b w:val="0"/>
                <w:bCs w:val="0"/>
                <w:color w:val="auto"/>
                <w:szCs w:val="24"/>
                <w:highlight w:val="none"/>
                <w:lang w:val="en-US" w:eastAsia="zh-CN"/>
              </w:rPr>
              <w:t>7</w:t>
            </w:r>
            <w:r>
              <w:rPr>
                <w:rFonts w:hint="eastAsia"/>
                <w:b w:val="0"/>
                <w:bCs w:val="0"/>
                <w:color w:val="auto"/>
                <w:szCs w:val="24"/>
                <w:highlight w:val="none"/>
                <w:lang w:eastAsia="zh-CN"/>
              </w:rPr>
              <w:t>）</w:t>
            </w:r>
            <w:r>
              <w:rPr>
                <w:rFonts w:hint="eastAsia"/>
                <w:b w:val="0"/>
                <w:bCs w:val="0"/>
                <w:color w:val="auto"/>
                <w:szCs w:val="24"/>
                <w:highlight w:val="none"/>
              </w:rPr>
              <w:t>参加政府采购活动前3年内，在经营活动中没有重大违法记录的书面声明;</w:t>
            </w:r>
            <w:r>
              <w:rPr>
                <w:rFonts w:hint="eastAsia"/>
                <w:b w:val="0"/>
                <w:bCs w:val="0"/>
                <w:color w:val="auto"/>
                <w:szCs w:val="24"/>
                <w:highlight w:val="none"/>
              </w:rPr>
              <w:br w:type="textWrapping"/>
            </w:r>
            <w:r>
              <w:rPr>
                <w:rFonts w:hint="eastAsia"/>
                <w:b w:val="0"/>
                <w:bCs w:val="0"/>
                <w:color w:val="auto"/>
                <w:szCs w:val="24"/>
                <w:highlight w:val="none"/>
                <w:lang w:eastAsia="zh-CN"/>
              </w:rPr>
              <w:t>（</w:t>
            </w:r>
            <w:r>
              <w:rPr>
                <w:rFonts w:hint="eastAsia"/>
                <w:b w:val="0"/>
                <w:bCs w:val="0"/>
                <w:color w:val="auto"/>
                <w:szCs w:val="24"/>
                <w:highlight w:val="none"/>
                <w:lang w:val="en-US" w:eastAsia="zh-CN"/>
              </w:rPr>
              <w:t>8</w:t>
            </w:r>
            <w:r>
              <w:rPr>
                <w:rFonts w:hint="eastAsia"/>
                <w:b w:val="0"/>
                <w:bCs w:val="0"/>
                <w:color w:val="auto"/>
                <w:szCs w:val="24"/>
                <w:highlight w:val="none"/>
                <w:lang w:eastAsia="zh-CN"/>
              </w:rPr>
              <w:t>）</w:t>
            </w:r>
            <w:r>
              <w:rPr>
                <w:rFonts w:hint="eastAsia"/>
                <w:b w:val="0"/>
                <w:bCs w:val="0"/>
                <w:color w:val="auto"/>
                <w:szCs w:val="24"/>
                <w:highlight w:val="none"/>
              </w:rPr>
              <w:t>提供具有履行合同所必需的设备和专业技术能力的书面承诺；</w:t>
            </w:r>
            <w:r>
              <w:rPr>
                <w:rFonts w:hint="eastAsia"/>
                <w:b w:val="0"/>
                <w:bCs w:val="0"/>
                <w:color w:val="auto"/>
                <w:szCs w:val="24"/>
                <w:highlight w:val="none"/>
              </w:rPr>
              <w:br w:type="textWrapping"/>
            </w:r>
            <w:r>
              <w:rPr>
                <w:rFonts w:hint="eastAsia"/>
                <w:b w:val="0"/>
                <w:bCs w:val="0"/>
                <w:color w:val="auto"/>
                <w:szCs w:val="24"/>
                <w:highlight w:val="none"/>
                <w:lang w:eastAsia="zh-CN"/>
              </w:rPr>
              <w:t>（</w:t>
            </w:r>
            <w:r>
              <w:rPr>
                <w:rFonts w:hint="eastAsia"/>
                <w:b w:val="0"/>
                <w:bCs w:val="0"/>
                <w:color w:val="auto"/>
                <w:szCs w:val="24"/>
                <w:highlight w:val="none"/>
                <w:lang w:val="en-US" w:eastAsia="zh-CN"/>
              </w:rPr>
              <w:t>9</w:t>
            </w:r>
            <w:r>
              <w:rPr>
                <w:rFonts w:hint="eastAsia"/>
                <w:b w:val="0"/>
                <w:bCs w:val="0"/>
                <w:color w:val="auto"/>
                <w:szCs w:val="24"/>
                <w:highlight w:val="none"/>
                <w:lang w:eastAsia="zh-CN"/>
              </w:rPr>
              <w:t>）</w:t>
            </w:r>
            <w:r>
              <w:rPr>
                <w:rFonts w:hint="eastAsia"/>
                <w:b w:val="0"/>
                <w:bCs w:val="0"/>
                <w:color w:val="auto"/>
                <w:szCs w:val="24"/>
                <w:highlight w:val="none"/>
              </w:rPr>
              <w:t>中小企业声明函（提供承诺书）；</w:t>
            </w:r>
          </w:p>
          <w:p w14:paraId="11A13360">
            <w:pPr>
              <w:numPr>
                <w:ilvl w:val="0"/>
                <w:numId w:val="0"/>
              </w:numPr>
              <w:spacing w:line="360" w:lineRule="auto"/>
              <w:rPr>
                <w:rFonts w:hAnsi="宋体"/>
                <w:color w:val="auto"/>
                <w:szCs w:val="24"/>
                <w:highlight w:val="none"/>
              </w:rPr>
            </w:pPr>
            <w:r>
              <w:rPr>
                <w:rFonts w:hint="eastAsia"/>
                <w:b/>
                <w:bCs/>
                <w:color w:val="auto"/>
                <w:szCs w:val="24"/>
                <w:highlight w:val="none"/>
              </w:rPr>
              <w:t>以上1-</w:t>
            </w:r>
            <w:r>
              <w:rPr>
                <w:rFonts w:hint="eastAsia"/>
                <w:b/>
                <w:bCs/>
                <w:color w:val="auto"/>
                <w:szCs w:val="24"/>
                <w:highlight w:val="none"/>
                <w:lang w:val="en-US" w:eastAsia="zh-CN"/>
              </w:rPr>
              <w:t>9</w:t>
            </w:r>
            <w:r>
              <w:rPr>
                <w:rFonts w:hint="eastAsia"/>
                <w:b/>
                <w:bCs/>
                <w:color w:val="auto"/>
                <w:szCs w:val="24"/>
                <w:highlight w:val="none"/>
              </w:rPr>
              <w:t>项为必备资质，缺一项或某项达不到要求，按无效磋商处理。</w:t>
            </w:r>
          </w:p>
        </w:tc>
      </w:tr>
      <w:tr w14:paraId="7E8DF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592" w:type="dxa"/>
            <w:vAlign w:val="center"/>
          </w:tcPr>
          <w:p w14:paraId="152F9E79">
            <w:pPr>
              <w:spacing w:line="360" w:lineRule="auto"/>
              <w:jc w:val="center"/>
              <w:rPr>
                <w:color w:val="auto"/>
                <w:szCs w:val="24"/>
                <w:highlight w:val="none"/>
              </w:rPr>
            </w:pPr>
            <w:r>
              <w:rPr>
                <w:rFonts w:hint="eastAsia"/>
                <w:color w:val="auto"/>
                <w:szCs w:val="24"/>
                <w:highlight w:val="none"/>
              </w:rPr>
              <w:t>7</w:t>
            </w:r>
          </w:p>
        </w:tc>
        <w:tc>
          <w:tcPr>
            <w:tcW w:w="951" w:type="dxa"/>
            <w:vAlign w:val="center"/>
          </w:tcPr>
          <w:p w14:paraId="69CD5C56">
            <w:pPr>
              <w:spacing w:line="360" w:lineRule="auto"/>
              <w:jc w:val="center"/>
              <w:rPr>
                <w:color w:val="auto"/>
                <w:szCs w:val="24"/>
                <w:highlight w:val="none"/>
              </w:rPr>
            </w:pPr>
            <w:r>
              <w:rPr>
                <w:color w:val="auto"/>
                <w:szCs w:val="24"/>
                <w:highlight w:val="none"/>
              </w:rPr>
              <w:t>14.</w:t>
            </w:r>
            <w:r>
              <w:rPr>
                <w:rFonts w:hint="eastAsia"/>
                <w:color w:val="auto"/>
                <w:szCs w:val="24"/>
                <w:highlight w:val="none"/>
              </w:rPr>
              <w:t>4</w:t>
            </w:r>
          </w:p>
        </w:tc>
        <w:tc>
          <w:tcPr>
            <w:tcW w:w="7354" w:type="dxa"/>
          </w:tcPr>
          <w:p w14:paraId="4197E7A5">
            <w:pPr>
              <w:spacing w:line="360" w:lineRule="auto"/>
              <w:ind w:firstLine="482" w:firstLineChars="200"/>
              <w:rPr>
                <w:rFonts w:ascii="宋体" w:hAnsi="宋体" w:cs="宋体"/>
                <w:sz w:val="24"/>
                <w:szCs w:val="24"/>
              </w:rPr>
            </w:pPr>
            <w:r>
              <w:rPr>
                <w:rFonts w:hint="eastAsia" w:hAnsi="宋体"/>
                <w:b/>
                <w:bCs/>
                <w:color w:val="auto"/>
                <w:szCs w:val="24"/>
                <w:highlight w:val="none"/>
              </w:rPr>
              <w:t>磋商保证金：</w:t>
            </w:r>
            <w:r>
              <w:rPr>
                <w:rFonts w:hint="eastAsia" w:ascii="宋体" w:hAnsi="宋体" w:cs="宋体"/>
                <w:sz w:val="24"/>
                <w:szCs w:val="24"/>
              </w:rPr>
              <w:t>本次</w:t>
            </w:r>
            <w:r>
              <w:rPr>
                <w:rFonts w:hint="eastAsia" w:hAnsi="宋体" w:cs="宋体"/>
                <w:sz w:val="24"/>
                <w:szCs w:val="24"/>
                <w:lang w:eastAsia="zh-CN"/>
              </w:rPr>
              <w:t>磋商</w:t>
            </w:r>
            <w:r>
              <w:rPr>
                <w:rFonts w:hint="eastAsia" w:ascii="宋体" w:hAnsi="宋体" w:cs="宋体"/>
                <w:sz w:val="24"/>
                <w:szCs w:val="24"/>
              </w:rPr>
              <w:t>活动投标人需交纳</w:t>
            </w:r>
            <w:r>
              <w:rPr>
                <w:rFonts w:hint="eastAsia" w:ascii="宋体" w:hAnsi="宋体" w:cs="宋体"/>
                <w:sz w:val="24"/>
                <w:szCs w:val="24"/>
                <w:lang w:eastAsia="zh-CN"/>
              </w:rPr>
              <w:t>磋商</w:t>
            </w:r>
            <w:r>
              <w:rPr>
                <w:rFonts w:hint="eastAsia" w:ascii="宋体" w:hAnsi="宋体" w:cs="宋体"/>
                <w:sz w:val="24"/>
                <w:szCs w:val="24"/>
              </w:rPr>
              <w:t>保证金为:</w:t>
            </w:r>
          </w:p>
          <w:p w14:paraId="7A2D8653">
            <w:pPr>
              <w:spacing w:line="360" w:lineRule="auto"/>
              <w:ind w:firstLine="482" w:firstLineChars="200"/>
              <w:rPr>
                <w:rFonts w:ascii="宋体" w:hAnsi="宋体" w:cs="宋体"/>
                <w:b/>
                <w:bCs/>
                <w:szCs w:val="21"/>
              </w:rPr>
            </w:pPr>
            <w:r>
              <w:rPr>
                <w:rFonts w:hint="eastAsia" w:ascii="宋体" w:hAnsi="宋体" w:cs="宋体"/>
                <w:b/>
                <w:bCs/>
                <w:szCs w:val="21"/>
              </w:rPr>
              <w:t>合同包一：人民币壹万元整（￥</w:t>
            </w:r>
            <w:r>
              <w:rPr>
                <w:rFonts w:ascii="宋体" w:hAnsi="宋体" w:cs="宋体"/>
                <w:b/>
                <w:bCs/>
                <w:szCs w:val="21"/>
              </w:rPr>
              <w:t>10000.</w:t>
            </w:r>
            <w:r>
              <w:rPr>
                <w:rFonts w:hint="eastAsia" w:ascii="宋体" w:hAnsi="宋体" w:cs="宋体"/>
                <w:b/>
                <w:bCs/>
                <w:szCs w:val="21"/>
              </w:rPr>
              <w:t>0</w:t>
            </w:r>
            <w:r>
              <w:rPr>
                <w:rFonts w:ascii="宋体" w:hAnsi="宋体" w:cs="宋体"/>
                <w:b/>
                <w:bCs/>
                <w:szCs w:val="21"/>
              </w:rPr>
              <w:t>0元）；</w:t>
            </w:r>
          </w:p>
          <w:p w14:paraId="7E668692">
            <w:pPr>
              <w:spacing w:line="360" w:lineRule="auto"/>
              <w:ind w:firstLine="480" w:firstLineChars="200"/>
              <w:rPr>
                <w:rFonts w:ascii="宋体" w:hAnsi="宋体" w:cs="宋体"/>
                <w:sz w:val="24"/>
                <w:szCs w:val="24"/>
              </w:rPr>
            </w:pPr>
            <w:r>
              <w:rPr>
                <w:rFonts w:hint="eastAsia" w:ascii="宋体" w:hAnsi="宋体" w:cs="宋体"/>
                <w:sz w:val="24"/>
                <w:szCs w:val="24"/>
              </w:rPr>
              <w:t>投标保证金的交纳形式：转账、电汇、担保机构保函。投标人以银行转账、电汇形式交纳投标保证金的(</w:t>
            </w:r>
            <w:r>
              <w:rPr>
                <w:rFonts w:hint="eastAsia" w:ascii="宋体" w:hAnsi="宋体" w:cs="宋体"/>
                <w:b/>
                <w:sz w:val="24"/>
                <w:szCs w:val="24"/>
              </w:rPr>
              <w:t>转账时请注明</w:t>
            </w:r>
            <w:r>
              <w:rPr>
                <w:rFonts w:hint="eastAsia" w:ascii="宋体" w:hAnsi="宋体" w:cs="宋体"/>
                <w:b/>
                <w:sz w:val="24"/>
                <w:szCs w:val="24"/>
                <w:lang w:val="en-US" w:eastAsia="zh-CN"/>
              </w:rPr>
              <w:t>XX项目投标保证金</w:t>
            </w:r>
            <w:r>
              <w:rPr>
                <w:rFonts w:hint="eastAsia" w:ascii="宋体" w:hAnsi="宋体" w:cs="宋体"/>
                <w:b/>
                <w:bCs/>
                <w:sz w:val="24"/>
                <w:szCs w:val="24"/>
              </w:rPr>
              <w:t>)</w:t>
            </w:r>
            <w:r>
              <w:rPr>
                <w:rFonts w:hint="eastAsia" w:ascii="宋体" w:hAnsi="宋体" w:cs="宋体"/>
                <w:sz w:val="24"/>
                <w:szCs w:val="24"/>
              </w:rPr>
              <w:t>，</w:t>
            </w:r>
            <w:r>
              <w:rPr>
                <w:rFonts w:hint="eastAsia" w:ascii="宋体" w:hAnsi="宋体" w:cs="宋体"/>
                <w:sz w:val="24"/>
                <w:szCs w:val="24"/>
                <w:lang w:eastAsia="zh-CN"/>
              </w:rPr>
              <w:t>磋商</w:t>
            </w:r>
            <w:r>
              <w:rPr>
                <w:rFonts w:hint="eastAsia" w:ascii="宋体" w:hAnsi="宋体" w:cs="宋体"/>
                <w:sz w:val="24"/>
                <w:szCs w:val="24"/>
              </w:rPr>
              <w:t>结束之后以转账形式退到投标人的基本账户。投标人以保函形式缴纳投标保证金的，在</w:t>
            </w:r>
            <w:r>
              <w:rPr>
                <w:rFonts w:hint="eastAsia" w:ascii="宋体" w:hAnsi="宋体" w:cs="宋体"/>
                <w:sz w:val="24"/>
                <w:szCs w:val="24"/>
                <w:lang w:eastAsia="zh-CN"/>
              </w:rPr>
              <w:t>磋商响应</w:t>
            </w:r>
            <w:r>
              <w:rPr>
                <w:rFonts w:hint="eastAsia" w:ascii="宋体" w:hAnsi="宋体" w:cs="宋体"/>
                <w:sz w:val="24"/>
                <w:szCs w:val="24"/>
              </w:rPr>
              <w:t>文件递交截止时间前须将担保机构保函</w:t>
            </w:r>
            <w:r>
              <w:rPr>
                <w:rFonts w:hint="eastAsia" w:ascii="宋体" w:hAnsi="宋体" w:cs="宋体"/>
                <w:b/>
                <w:bCs/>
                <w:sz w:val="24"/>
                <w:szCs w:val="24"/>
              </w:rPr>
              <w:t>正本原件</w:t>
            </w:r>
            <w:r>
              <w:rPr>
                <w:rFonts w:hint="eastAsia" w:ascii="宋体" w:hAnsi="宋体" w:cs="宋体"/>
                <w:sz w:val="24"/>
                <w:szCs w:val="24"/>
              </w:rPr>
              <w:t>提交至采购代理机构备案，</w:t>
            </w:r>
            <w:r>
              <w:rPr>
                <w:rFonts w:hint="eastAsia" w:ascii="宋体" w:hAnsi="宋体" w:cs="宋体"/>
                <w:sz w:val="24"/>
                <w:szCs w:val="24"/>
                <w:lang w:eastAsia="zh-CN"/>
              </w:rPr>
              <w:t>磋商</w:t>
            </w:r>
            <w:r>
              <w:rPr>
                <w:rFonts w:hint="eastAsia" w:ascii="宋体" w:hAnsi="宋体" w:cs="宋体"/>
                <w:sz w:val="24"/>
                <w:szCs w:val="24"/>
              </w:rPr>
              <w:t>结束之后在规定时间内将保函正本原件退回。</w:t>
            </w:r>
          </w:p>
          <w:p w14:paraId="6DE26C79">
            <w:pPr>
              <w:spacing w:line="360" w:lineRule="auto"/>
              <w:ind w:firstLine="480" w:firstLineChars="200"/>
              <w:rPr>
                <w:rFonts w:ascii="宋体" w:hAnsi="宋体" w:cs="宋体"/>
                <w:sz w:val="24"/>
                <w:szCs w:val="24"/>
              </w:rPr>
            </w:pPr>
            <w:r>
              <w:rPr>
                <w:rFonts w:hint="eastAsia" w:ascii="宋体" w:hAnsi="宋体" w:cs="宋体"/>
                <w:sz w:val="24"/>
                <w:szCs w:val="24"/>
              </w:rPr>
              <w:t>投标人以银行转账、电汇形式缴纳</w:t>
            </w:r>
            <w:r>
              <w:rPr>
                <w:rFonts w:hint="eastAsia" w:ascii="宋体" w:hAnsi="宋体" w:cs="宋体"/>
                <w:sz w:val="24"/>
                <w:szCs w:val="24"/>
                <w:lang w:eastAsia="zh-CN"/>
              </w:rPr>
              <w:t>磋商</w:t>
            </w:r>
            <w:r>
              <w:rPr>
                <w:rFonts w:hint="eastAsia" w:ascii="宋体" w:hAnsi="宋体" w:cs="宋体"/>
                <w:sz w:val="24"/>
                <w:szCs w:val="24"/>
              </w:rPr>
              <w:t>保证金的截止时间：</w:t>
            </w:r>
          </w:p>
          <w:p w14:paraId="214C7D37">
            <w:pPr>
              <w:spacing w:line="360" w:lineRule="auto"/>
              <w:ind w:firstLine="480" w:firstLineChars="200"/>
              <w:rPr>
                <w:rFonts w:ascii="宋体" w:hAnsi="宋体" w:cs="宋体"/>
                <w:b/>
                <w:bCs/>
                <w:sz w:val="24"/>
                <w:szCs w:val="24"/>
              </w:rPr>
            </w:pPr>
            <w:r>
              <w:rPr>
                <w:rFonts w:hint="eastAsia" w:ascii="宋体" w:hAnsi="宋体" w:cs="宋体"/>
                <w:sz w:val="24"/>
                <w:szCs w:val="24"/>
              </w:rPr>
              <w:t>须在</w:t>
            </w:r>
            <w:r>
              <w:rPr>
                <w:rFonts w:hint="eastAsia" w:ascii="宋体" w:hAnsi="宋体" w:cs="宋体"/>
                <w:sz w:val="24"/>
                <w:szCs w:val="24"/>
                <w:lang w:eastAsia="zh-CN"/>
              </w:rPr>
              <w:t>磋商响应</w:t>
            </w:r>
            <w:r>
              <w:rPr>
                <w:rFonts w:hint="eastAsia" w:ascii="宋体" w:hAnsi="宋体" w:cs="宋体"/>
                <w:sz w:val="24"/>
                <w:szCs w:val="24"/>
              </w:rPr>
              <w:t>文件递交截止前到达以下帐户。</w:t>
            </w:r>
            <w:r>
              <w:rPr>
                <w:rFonts w:hint="eastAsia" w:ascii="宋体" w:hAnsi="宋体" w:cs="宋体"/>
                <w:b/>
                <w:bCs/>
                <w:sz w:val="24"/>
                <w:szCs w:val="24"/>
              </w:rPr>
              <w:t>由于转账当天不一定能够到账，为避免因保证金未到账而导致投标被拒绝，建议至少提前2个工作日转账。</w:t>
            </w:r>
          </w:p>
          <w:p w14:paraId="41BD7CB5">
            <w:pPr>
              <w:spacing w:line="360" w:lineRule="auto"/>
              <w:ind w:firstLine="482" w:firstLineChars="200"/>
              <w:rPr>
                <w:rFonts w:ascii="宋体" w:hAnsi="宋体" w:cs="宋体"/>
                <w:b/>
                <w:sz w:val="24"/>
                <w:szCs w:val="24"/>
              </w:rPr>
            </w:pPr>
            <w:r>
              <w:rPr>
                <w:rFonts w:hint="eastAsia" w:ascii="宋体" w:hAnsi="宋体" w:cs="宋体"/>
                <w:b/>
                <w:sz w:val="24"/>
                <w:szCs w:val="24"/>
              </w:rPr>
              <w:t>户名：西安天合建设项目管理有限公司商南分公司</w:t>
            </w:r>
          </w:p>
          <w:p w14:paraId="3AC9F49E">
            <w:pPr>
              <w:spacing w:line="360" w:lineRule="auto"/>
              <w:ind w:firstLine="482" w:firstLineChars="200"/>
              <w:rPr>
                <w:rFonts w:ascii="宋体" w:hAnsi="宋体" w:cs="宋体"/>
                <w:b/>
                <w:sz w:val="24"/>
                <w:szCs w:val="24"/>
              </w:rPr>
            </w:pPr>
            <w:r>
              <w:rPr>
                <w:rFonts w:hint="eastAsia" w:ascii="宋体" w:hAnsi="宋体" w:cs="宋体"/>
                <w:b/>
                <w:sz w:val="24"/>
                <w:szCs w:val="24"/>
              </w:rPr>
              <w:t>开户银行：中国农业银行股份有限公司商南工业园支行</w:t>
            </w:r>
          </w:p>
          <w:p w14:paraId="3F2D24ED">
            <w:pPr>
              <w:spacing w:line="360" w:lineRule="auto"/>
              <w:ind w:firstLine="482" w:firstLineChars="200"/>
              <w:rPr>
                <w:rFonts w:ascii="宋体" w:hAnsi="宋体" w:cs="宋体"/>
                <w:b/>
                <w:sz w:val="24"/>
                <w:szCs w:val="24"/>
              </w:rPr>
            </w:pPr>
            <w:r>
              <w:rPr>
                <w:rFonts w:hint="eastAsia" w:ascii="宋体" w:hAnsi="宋体" w:cs="宋体"/>
                <w:b/>
                <w:sz w:val="24"/>
                <w:szCs w:val="24"/>
              </w:rPr>
              <w:t>账号：26825201040005909</w:t>
            </w:r>
          </w:p>
          <w:p w14:paraId="4C773145">
            <w:pPr>
              <w:spacing w:line="360" w:lineRule="auto"/>
              <w:rPr>
                <w:rFonts w:hint="eastAsia" w:eastAsia="宋体"/>
                <w:color w:val="auto"/>
                <w:szCs w:val="24"/>
                <w:highlight w:val="none"/>
                <w:lang w:val="en-US" w:eastAsia="zh-CN"/>
              </w:rPr>
            </w:pPr>
            <w:r>
              <w:rPr>
                <w:rFonts w:hint="eastAsia" w:ascii="宋体" w:hAnsi="宋体" w:cs="宋体"/>
                <w:sz w:val="24"/>
                <w:szCs w:val="24"/>
              </w:rPr>
              <w:t>投标保证金到达采购代理机构指定账户后，投标人须与采购代理机构联系确认，确认到帐后请将</w:t>
            </w:r>
            <w:r>
              <w:rPr>
                <w:rFonts w:hint="eastAsia" w:ascii="宋体" w:hAnsi="宋体" w:cs="宋体"/>
                <w:b/>
                <w:bCs/>
                <w:sz w:val="24"/>
                <w:szCs w:val="24"/>
              </w:rPr>
              <w:t>投标保证金缴纳凭证复印件</w:t>
            </w:r>
            <w:r>
              <w:rPr>
                <w:rFonts w:hint="eastAsia" w:ascii="宋体" w:hAnsi="宋体" w:cs="宋体"/>
                <w:sz w:val="24"/>
                <w:szCs w:val="24"/>
              </w:rPr>
              <w:t>粘贴于</w:t>
            </w:r>
            <w:r>
              <w:rPr>
                <w:rFonts w:hint="eastAsia" w:ascii="宋体" w:hAnsi="宋体" w:cs="宋体"/>
                <w:sz w:val="24"/>
                <w:szCs w:val="24"/>
                <w:lang w:eastAsia="zh-CN"/>
              </w:rPr>
              <w:t>磋商</w:t>
            </w:r>
            <w:r>
              <w:rPr>
                <w:rFonts w:hint="eastAsia" w:ascii="宋体" w:hAnsi="宋体" w:cs="宋体"/>
                <w:sz w:val="24"/>
                <w:szCs w:val="24"/>
              </w:rPr>
              <w:t>文件规定处。</w:t>
            </w:r>
          </w:p>
        </w:tc>
      </w:tr>
      <w:tr w14:paraId="5881C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vAlign w:val="center"/>
          </w:tcPr>
          <w:p w14:paraId="49A4BE48">
            <w:pPr>
              <w:spacing w:line="360" w:lineRule="auto"/>
              <w:jc w:val="center"/>
              <w:rPr>
                <w:color w:val="auto"/>
                <w:szCs w:val="24"/>
                <w:highlight w:val="none"/>
              </w:rPr>
            </w:pPr>
            <w:r>
              <w:rPr>
                <w:rFonts w:hint="eastAsia"/>
                <w:color w:val="auto"/>
                <w:szCs w:val="24"/>
                <w:highlight w:val="none"/>
              </w:rPr>
              <w:t>8</w:t>
            </w:r>
          </w:p>
        </w:tc>
        <w:tc>
          <w:tcPr>
            <w:tcW w:w="951" w:type="dxa"/>
            <w:vAlign w:val="center"/>
          </w:tcPr>
          <w:p w14:paraId="215870BF">
            <w:pPr>
              <w:spacing w:line="360" w:lineRule="auto"/>
              <w:jc w:val="center"/>
              <w:rPr>
                <w:color w:val="auto"/>
                <w:szCs w:val="24"/>
                <w:highlight w:val="none"/>
              </w:rPr>
            </w:pPr>
            <w:r>
              <w:rPr>
                <w:color w:val="auto"/>
                <w:szCs w:val="24"/>
                <w:highlight w:val="none"/>
              </w:rPr>
              <w:t>15.1</w:t>
            </w:r>
          </w:p>
        </w:tc>
        <w:tc>
          <w:tcPr>
            <w:tcW w:w="7354" w:type="dxa"/>
            <w:vAlign w:val="center"/>
          </w:tcPr>
          <w:p w14:paraId="6E825920">
            <w:pPr>
              <w:spacing w:line="360" w:lineRule="auto"/>
              <w:rPr>
                <w:color w:val="auto"/>
                <w:highlight w:val="none"/>
              </w:rPr>
            </w:pPr>
            <w:r>
              <w:rPr>
                <w:rFonts w:hint="eastAsia"/>
                <w:color w:val="auto"/>
                <w:szCs w:val="24"/>
                <w:highlight w:val="none"/>
              </w:rPr>
              <w:t>磋商有效期</w:t>
            </w:r>
            <w:r>
              <w:rPr>
                <w:color w:val="auto"/>
                <w:szCs w:val="24"/>
                <w:highlight w:val="none"/>
              </w:rPr>
              <w:t>:</w:t>
            </w:r>
            <w:r>
              <w:rPr>
                <w:rFonts w:hint="eastAsia"/>
                <w:color w:val="auto"/>
                <w:szCs w:val="24"/>
                <w:highlight w:val="none"/>
              </w:rPr>
              <w:t>提交磋商响应文件的截止之日起90天。</w:t>
            </w:r>
          </w:p>
        </w:tc>
      </w:tr>
      <w:tr w14:paraId="1AE6C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vAlign w:val="center"/>
          </w:tcPr>
          <w:p w14:paraId="7F75C31C">
            <w:pPr>
              <w:spacing w:line="360" w:lineRule="auto"/>
              <w:jc w:val="center"/>
              <w:rPr>
                <w:color w:val="auto"/>
                <w:szCs w:val="24"/>
                <w:highlight w:val="none"/>
              </w:rPr>
            </w:pPr>
            <w:r>
              <w:rPr>
                <w:rFonts w:hint="eastAsia"/>
                <w:color w:val="auto"/>
                <w:szCs w:val="24"/>
                <w:highlight w:val="none"/>
              </w:rPr>
              <w:t>9</w:t>
            </w:r>
          </w:p>
        </w:tc>
        <w:tc>
          <w:tcPr>
            <w:tcW w:w="951" w:type="dxa"/>
            <w:vAlign w:val="center"/>
          </w:tcPr>
          <w:p w14:paraId="757907D6">
            <w:pPr>
              <w:spacing w:after="156" w:afterLines="50" w:line="360" w:lineRule="auto"/>
              <w:jc w:val="center"/>
              <w:rPr>
                <w:color w:val="auto"/>
                <w:szCs w:val="24"/>
                <w:highlight w:val="none"/>
              </w:rPr>
            </w:pPr>
            <w:r>
              <w:rPr>
                <w:color w:val="auto"/>
                <w:szCs w:val="24"/>
                <w:highlight w:val="none"/>
              </w:rPr>
              <w:t>16.1</w:t>
            </w:r>
          </w:p>
        </w:tc>
        <w:tc>
          <w:tcPr>
            <w:tcW w:w="7354" w:type="dxa"/>
            <w:vAlign w:val="center"/>
          </w:tcPr>
          <w:p w14:paraId="7437C178">
            <w:pPr>
              <w:spacing w:line="360" w:lineRule="auto"/>
              <w:rPr>
                <w:rFonts w:hint="eastAsia" w:hAnsi="宋体"/>
                <w:color w:val="auto"/>
                <w:szCs w:val="24"/>
                <w:highlight w:val="none"/>
              </w:rPr>
            </w:pPr>
            <w:r>
              <w:rPr>
                <w:rFonts w:hint="eastAsia" w:hAnsi="宋体"/>
                <w:color w:val="auto"/>
                <w:szCs w:val="24"/>
                <w:highlight w:val="none"/>
              </w:rPr>
              <w:t>正本的份数：壹份；副本的份数：贰份；报价一览表：壹份；电子版（U盘）：壹份（需在盘面上标注供应商全称、项目名称、编号）。</w:t>
            </w:r>
          </w:p>
        </w:tc>
      </w:tr>
      <w:tr w14:paraId="088B8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37574BC3">
            <w:pPr>
              <w:spacing w:after="156" w:afterLines="50" w:line="360" w:lineRule="auto"/>
              <w:jc w:val="center"/>
              <w:rPr>
                <w:color w:val="auto"/>
                <w:szCs w:val="24"/>
                <w:highlight w:val="none"/>
              </w:rPr>
            </w:pPr>
            <w:r>
              <w:rPr>
                <w:rFonts w:hint="eastAsia"/>
                <w:color w:val="auto"/>
                <w:szCs w:val="24"/>
                <w:highlight w:val="none"/>
              </w:rPr>
              <w:t>10</w:t>
            </w:r>
          </w:p>
        </w:tc>
        <w:tc>
          <w:tcPr>
            <w:tcW w:w="951" w:type="dxa"/>
            <w:vAlign w:val="center"/>
          </w:tcPr>
          <w:p w14:paraId="36A1C2CB">
            <w:pPr>
              <w:spacing w:after="156" w:afterLines="50" w:line="360" w:lineRule="auto"/>
              <w:jc w:val="center"/>
              <w:rPr>
                <w:color w:val="auto"/>
                <w:szCs w:val="24"/>
                <w:highlight w:val="none"/>
              </w:rPr>
            </w:pPr>
            <w:r>
              <w:rPr>
                <w:rFonts w:hint="eastAsia"/>
                <w:color w:val="auto"/>
                <w:szCs w:val="24"/>
                <w:highlight w:val="none"/>
              </w:rPr>
              <w:t>17.2</w:t>
            </w:r>
          </w:p>
        </w:tc>
        <w:tc>
          <w:tcPr>
            <w:tcW w:w="7354" w:type="dxa"/>
            <w:vAlign w:val="center"/>
          </w:tcPr>
          <w:p w14:paraId="0EC28B78">
            <w:pPr>
              <w:spacing w:line="360" w:lineRule="auto"/>
              <w:rPr>
                <w:color w:val="auto"/>
                <w:szCs w:val="24"/>
                <w:highlight w:val="none"/>
              </w:rPr>
            </w:pPr>
            <w:r>
              <w:rPr>
                <w:rFonts w:hint="eastAsia"/>
                <w:color w:val="auto"/>
                <w:szCs w:val="24"/>
                <w:highlight w:val="none"/>
              </w:rPr>
              <w:t>竞争性磋商响应文件正本、所有的副本、电子版本、报价一览表分开密封装在单独的封袋中（封袋不得有破损），且在封袋正面标明“正本”“副本”“电子版本”“报价一览表”字样。封袋应加贴封条，并在封线处加盖供应商公章、封袋正面要粘贴供应商全称、项目名称、编号等标识。</w:t>
            </w:r>
          </w:p>
        </w:tc>
      </w:tr>
      <w:tr w14:paraId="4D363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7164BAF5">
            <w:pPr>
              <w:spacing w:after="156" w:afterLines="50" w:line="360" w:lineRule="auto"/>
              <w:jc w:val="center"/>
              <w:rPr>
                <w:color w:val="auto"/>
                <w:szCs w:val="24"/>
                <w:highlight w:val="none"/>
              </w:rPr>
            </w:pPr>
            <w:r>
              <w:rPr>
                <w:rFonts w:hint="eastAsia"/>
                <w:color w:val="auto"/>
                <w:szCs w:val="24"/>
                <w:highlight w:val="none"/>
              </w:rPr>
              <w:t>11</w:t>
            </w:r>
          </w:p>
        </w:tc>
        <w:tc>
          <w:tcPr>
            <w:tcW w:w="951" w:type="dxa"/>
            <w:vAlign w:val="center"/>
          </w:tcPr>
          <w:p w14:paraId="0D09D7F5">
            <w:pPr>
              <w:spacing w:after="156" w:afterLines="50" w:line="360" w:lineRule="auto"/>
              <w:jc w:val="center"/>
              <w:rPr>
                <w:color w:val="auto"/>
                <w:szCs w:val="24"/>
                <w:highlight w:val="none"/>
              </w:rPr>
            </w:pPr>
            <w:r>
              <w:rPr>
                <w:rFonts w:hint="eastAsia"/>
                <w:color w:val="auto"/>
                <w:szCs w:val="24"/>
                <w:highlight w:val="none"/>
              </w:rPr>
              <w:t>18.1</w:t>
            </w:r>
          </w:p>
        </w:tc>
        <w:tc>
          <w:tcPr>
            <w:tcW w:w="7354" w:type="dxa"/>
          </w:tcPr>
          <w:p w14:paraId="66C384D8">
            <w:pPr>
              <w:spacing w:line="360" w:lineRule="auto"/>
              <w:rPr>
                <w:rFonts w:hint="eastAsia" w:hAnsi="宋体" w:eastAsia="宋体"/>
                <w:color w:val="auto"/>
                <w:szCs w:val="24"/>
                <w:highlight w:val="none"/>
                <w:lang w:eastAsia="zh-CN"/>
              </w:rPr>
            </w:pPr>
            <w:r>
              <w:rPr>
                <w:rFonts w:hint="eastAsia" w:hAnsi="宋体"/>
                <w:color w:val="auto"/>
                <w:szCs w:val="24"/>
                <w:highlight w:val="none"/>
              </w:rPr>
              <w:t>磋商响应文件递交截止时间：</w:t>
            </w:r>
            <w:r>
              <w:rPr>
                <w:rFonts w:hint="eastAsia" w:hAnsi="宋体"/>
                <w:color w:val="auto"/>
                <w:szCs w:val="24"/>
                <w:highlight w:val="none"/>
                <w:lang w:eastAsia="zh-CN"/>
              </w:rPr>
              <w:t>详见磋商公告</w:t>
            </w:r>
          </w:p>
          <w:p w14:paraId="5BEBFC12">
            <w:pPr>
              <w:spacing w:line="360" w:lineRule="auto"/>
              <w:ind w:left="2640" w:hanging="2640" w:hangingChars="1100"/>
              <w:jc w:val="left"/>
              <w:rPr>
                <w:rFonts w:hint="default" w:hAnsi="宋体" w:eastAsia="宋体" w:cs="宋体"/>
                <w:color w:val="auto"/>
                <w:szCs w:val="24"/>
                <w:highlight w:val="none"/>
                <w:lang w:val="en-US" w:eastAsia="zh-CN"/>
              </w:rPr>
            </w:pPr>
            <w:r>
              <w:rPr>
                <w:rFonts w:hint="eastAsia" w:hAnsi="宋体"/>
                <w:color w:val="auto"/>
                <w:szCs w:val="24"/>
                <w:highlight w:val="none"/>
              </w:rPr>
              <w:t>磋商响应文件递交地址：</w:t>
            </w:r>
            <w:r>
              <w:rPr>
                <w:rFonts w:hint="eastAsia" w:ascii="宋体" w:hAnsi="宋体" w:cs="宋体"/>
                <w:sz w:val="24"/>
                <w:szCs w:val="24"/>
              </w:rPr>
              <w:t>陕西省商南县幸福路口46栋5楼会议室</w:t>
            </w:r>
          </w:p>
          <w:p w14:paraId="2EAF5A68">
            <w:pPr>
              <w:spacing w:line="360" w:lineRule="auto"/>
              <w:rPr>
                <w:rFonts w:hint="eastAsia" w:hAnsi="宋体" w:eastAsia="宋体"/>
                <w:color w:val="auto"/>
                <w:szCs w:val="24"/>
                <w:highlight w:val="none"/>
                <w:lang w:eastAsia="zh-CN"/>
              </w:rPr>
            </w:pPr>
            <w:r>
              <w:rPr>
                <w:rFonts w:hint="eastAsia" w:hAnsi="宋体"/>
                <w:color w:val="auto"/>
                <w:szCs w:val="24"/>
                <w:highlight w:val="none"/>
              </w:rPr>
              <w:t>磋商响应文件接收人：西安天合建设项目管理有限公司</w:t>
            </w:r>
            <w:r>
              <w:rPr>
                <w:rFonts w:hint="eastAsia" w:hAnsi="宋体" w:cs="宋体"/>
                <w:color w:val="auto"/>
                <w:highlight w:val="none"/>
                <w:lang w:eastAsia="zh-CN"/>
              </w:rPr>
              <w:t>商南分公司</w:t>
            </w:r>
          </w:p>
        </w:tc>
      </w:tr>
      <w:tr w14:paraId="1C258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65" w:hRule="atLeast"/>
          <w:jc w:val="center"/>
        </w:trPr>
        <w:tc>
          <w:tcPr>
            <w:tcW w:w="592" w:type="dxa"/>
            <w:vAlign w:val="center"/>
          </w:tcPr>
          <w:p w14:paraId="1CF0F3AA">
            <w:pPr>
              <w:spacing w:after="156" w:afterLines="50" w:line="360" w:lineRule="auto"/>
              <w:jc w:val="center"/>
              <w:rPr>
                <w:color w:val="auto"/>
                <w:szCs w:val="24"/>
                <w:highlight w:val="none"/>
              </w:rPr>
            </w:pPr>
            <w:r>
              <w:rPr>
                <w:rFonts w:hint="eastAsia"/>
                <w:color w:val="auto"/>
                <w:szCs w:val="24"/>
                <w:highlight w:val="none"/>
              </w:rPr>
              <w:t>12</w:t>
            </w:r>
          </w:p>
        </w:tc>
        <w:tc>
          <w:tcPr>
            <w:tcW w:w="951" w:type="dxa"/>
            <w:vAlign w:val="center"/>
          </w:tcPr>
          <w:p w14:paraId="21CDABAF">
            <w:pPr>
              <w:spacing w:after="156" w:afterLines="50" w:line="360" w:lineRule="auto"/>
              <w:jc w:val="center"/>
              <w:rPr>
                <w:color w:val="auto"/>
                <w:szCs w:val="24"/>
                <w:highlight w:val="none"/>
              </w:rPr>
            </w:pPr>
            <w:r>
              <w:rPr>
                <w:color w:val="auto"/>
                <w:szCs w:val="24"/>
                <w:highlight w:val="none"/>
              </w:rPr>
              <w:t>21.1</w:t>
            </w:r>
          </w:p>
        </w:tc>
        <w:tc>
          <w:tcPr>
            <w:tcW w:w="7354" w:type="dxa"/>
            <w:vAlign w:val="center"/>
          </w:tcPr>
          <w:p w14:paraId="397FEB35">
            <w:pPr>
              <w:spacing w:line="360" w:lineRule="auto"/>
              <w:rPr>
                <w:rFonts w:hAnsi="宋体"/>
                <w:color w:val="auto"/>
                <w:szCs w:val="24"/>
                <w:highlight w:val="none"/>
              </w:rPr>
            </w:pPr>
            <w:r>
              <w:rPr>
                <w:rFonts w:hint="eastAsia" w:hAnsi="宋体"/>
                <w:color w:val="auto"/>
                <w:szCs w:val="24"/>
                <w:highlight w:val="none"/>
              </w:rPr>
              <w:t>磋商时间：</w:t>
            </w:r>
            <w:r>
              <w:rPr>
                <w:rFonts w:hint="eastAsia" w:hAnsi="宋体"/>
                <w:color w:val="auto"/>
                <w:szCs w:val="24"/>
                <w:highlight w:val="none"/>
                <w:lang w:eastAsia="zh-CN"/>
              </w:rPr>
              <w:t>详见磋商公告</w:t>
            </w:r>
          </w:p>
          <w:p w14:paraId="4D37D863">
            <w:pPr>
              <w:spacing w:line="360" w:lineRule="auto"/>
              <w:ind w:left="2640" w:hanging="2640" w:hangingChars="1100"/>
              <w:jc w:val="left"/>
              <w:rPr>
                <w:rFonts w:hAnsi="宋体" w:cs="宋体"/>
                <w:color w:val="auto"/>
                <w:szCs w:val="24"/>
                <w:highlight w:val="none"/>
              </w:rPr>
            </w:pPr>
            <w:r>
              <w:rPr>
                <w:rFonts w:hint="eastAsia" w:hAnsi="宋体"/>
                <w:color w:val="auto"/>
                <w:szCs w:val="24"/>
                <w:highlight w:val="none"/>
              </w:rPr>
              <w:t>磋商地点：</w:t>
            </w:r>
            <w:r>
              <w:rPr>
                <w:rFonts w:hint="eastAsia" w:ascii="宋体" w:hAnsi="宋体" w:cs="宋体"/>
                <w:sz w:val="24"/>
                <w:szCs w:val="24"/>
              </w:rPr>
              <w:t xml:space="preserve"> 陕西省商南县幸福路口46栋5楼会议室</w:t>
            </w:r>
          </w:p>
        </w:tc>
      </w:tr>
      <w:tr w14:paraId="353F2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592" w:type="dxa"/>
            <w:vAlign w:val="center"/>
          </w:tcPr>
          <w:p w14:paraId="7C49D1B3">
            <w:pPr>
              <w:spacing w:after="156" w:afterLines="50" w:line="360" w:lineRule="auto"/>
              <w:jc w:val="center"/>
              <w:rPr>
                <w:color w:val="auto"/>
                <w:szCs w:val="24"/>
                <w:highlight w:val="none"/>
              </w:rPr>
            </w:pPr>
            <w:r>
              <w:rPr>
                <w:rFonts w:hint="eastAsia"/>
                <w:color w:val="auto"/>
                <w:szCs w:val="24"/>
                <w:highlight w:val="none"/>
              </w:rPr>
              <w:t>13</w:t>
            </w:r>
          </w:p>
        </w:tc>
        <w:tc>
          <w:tcPr>
            <w:tcW w:w="951" w:type="dxa"/>
            <w:vAlign w:val="center"/>
          </w:tcPr>
          <w:p w14:paraId="486E1903">
            <w:pPr>
              <w:spacing w:after="156" w:afterLines="50" w:line="360" w:lineRule="auto"/>
              <w:jc w:val="center"/>
              <w:rPr>
                <w:color w:val="auto"/>
                <w:szCs w:val="24"/>
                <w:highlight w:val="none"/>
              </w:rPr>
            </w:pPr>
            <w:r>
              <w:rPr>
                <w:rFonts w:hint="eastAsia"/>
                <w:color w:val="auto"/>
                <w:szCs w:val="24"/>
                <w:highlight w:val="none"/>
              </w:rPr>
              <w:t>24.1</w:t>
            </w:r>
          </w:p>
        </w:tc>
        <w:tc>
          <w:tcPr>
            <w:tcW w:w="7354" w:type="dxa"/>
            <w:vAlign w:val="center"/>
          </w:tcPr>
          <w:p w14:paraId="2886B732">
            <w:pPr>
              <w:spacing w:after="156" w:afterLines="50" w:line="360" w:lineRule="auto"/>
              <w:jc w:val="left"/>
              <w:rPr>
                <w:color w:val="auto"/>
                <w:szCs w:val="24"/>
                <w:highlight w:val="none"/>
              </w:rPr>
            </w:pPr>
            <w:r>
              <w:rPr>
                <w:rFonts w:hint="eastAsia"/>
                <w:b/>
                <w:bCs/>
                <w:color w:val="auto"/>
                <w:szCs w:val="24"/>
                <w:highlight w:val="none"/>
              </w:rPr>
              <w:t>评审方法：综合评分法（详见第五章）</w:t>
            </w:r>
          </w:p>
        </w:tc>
      </w:tr>
      <w:tr w14:paraId="77B62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6A321E32">
            <w:pPr>
              <w:spacing w:after="156" w:afterLines="50" w:line="360" w:lineRule="auto"/>
              <w:jc w:val="center"/>
              <w:rPr>
                <w:color w:val="auto"/>
                <w:szCs w:val="24"/>
                <w:highlight w:val="none"/>
              </w:rPr>
            </w:pPr>
            <w:r>
              <w:rPr>
                <w:rFonts w:hint="eastAsia"/>
                <w:color w:val="auto"/>
                <w:szCs w:val="24"/>
                <w:highlight w:val="none"/>
              </w:rPr>
              <w:t>14</w:t>
            </w:r>
          </w:p>
        </w:tc>
        <w:tc>
          <w:tcPr>
            <w:tcW w:w="951" w:type="dxa"/>
            <w:vAlign w:val="center"/>
          </w:tcPr>
          <w:p w14:paraId="76A6C46D">
            <w:pPr>
              <w:spacing w:after="156" w:afterLines="50" w:line="360" w:lineRule="auto"/>
              <w:jc w:val="center"/>
              <w:rPr>
                <w:color w:val="auto"/>
                <w:szCs w:val="24"/>
                <w:highlight w:val="none"/>
              </w:rPr>
            </w:pPr>
            <w:r>
              <w:rPr>
                <w:rFonts w:hint="eastAsia"/>
                <w:color w:val="auto"/>
                <w:szCs w:val="24"/>
                <w:highlight w:val="none"/>
              </w:rPr>
              <w:t>29</w:t>
            </w:r>
          </w:p>
        </w:tc>
        <w:tc>
          <w:tcPr>
            <w:tcW w:w="7354" w:type="dxa"/>
            <w:vAlign w:val="center"/>
          </w:tcPr>
          <w:p w14:paraId="656FD7CF">
            <w:pPr>
              <w:spacing w:after="156" w:afterLines="50" w:line="360" w:lineRule="auto"/>
              <w:jc w:val="left"/>
              <w:rPr>
                <w:color w:val="auto"/>
                <w:szCs w:val="24"/>
                <w:highlight w:val="none"/>
              </w:rPr>
            </w:pPr>
            <w:r>
              <w:rPr>
                <w:rFonts w:hint="eastAsia"/>
                <w:color w:val="auto"/>
                <w:szCs w:val="24"/>
                <w:highlight w:val="none"/>
              </w:rPr>
              <w:t xml:space="preserve">磋商代理服务费： </w:t>
            </w:r>
          </w:p>
          <w:p w14:paraId="2138C427">
            <w:pPr>
              <w:spacing w:after="156" w:afterLines="50" w:line="360" w:lineRule="auto"/>
              <w:jc w:val="left"/>
              <w:rPr>
                <w:color w:val="auto"/>
                <w:szCs w:val="24"/>
                <w:highlight w:val="none"/>
              </w:rPr>
            </w:pPr>
            <w:r>
              <w:rPr>
                <w:rFonts w:hint="eastAsia"/>
                <w:color w:val="auto"/>
                <w:szCs w:val="24"/>
                <w:highlight w:val="none"/>
              </w:rPr>
              <w:t>29.1</w:t>
            </w:r>
            <w:bookmarkStart w:id="21" w:name="OLE_LINK10"/>
            <w:bookmarkStart w:id="22" w:name="OLE_LINK9"/>
            <w:r>
              <w:rPr>
                <w:rFonts w:hint="eastAsia"/>
                <w:color w:val="auto"/>
                <w:szCs w:val="24"/>
                <w:highlight w:val="none"/>
                <w:lang w:eastAsia="zh-CN"/>
              </w:rPr>
              <w:t>参照</w:t>
            </w:r>
            <w:r>
              <w:rPr>
                <w:rFonts w:hint="eastAsia"/>
                <w:color w:val="auto"/>
                <w:szCs w:val="24"/>
                <w:highlight w:val="none"/>
              </w:rPr>
              <w:t>国家计委颁发的《招标代理服务收费管理暂行办法》（计价格[2002]1980号）和国家发展改革委员会办公厅颁发的《关于招标代理服务收费有关问题的通知》（发改办价格[2003]857号）的有关规定执行</w:t>
            </w:r>
            <w:bookmarkEnd w:id="21"/>
            <w:bookmarkEnd w:id="22"/>
            <w:r>
              <w:rPr>
                <w:rFonts w:hint="eastAsia"/>
                <w:color w:val="auto"/>
                <w:szCs w:val="24"/>
                <w:highlight w:val="none"/>
                <w:lang w:eastAsia="zh-CN"/>
              </w:rPr>
              <w:t>，</w:t>
            </w:r>
            <w:r>
              <w:rPr>
                <w:rFonts w:hint="eastAsia"/>
                <w:color w:val="auto"/>
                <w:szCs w:val="24"/>
                <w:highlight w:val="none"/>
              </w:rPr>
              <w:t>不足</w:t>
            </w:r>
            <w:r>
              <w:rPr>
                <w:rFonts w:hint="eastAsia"/>
                <w:color w:val="auto"/>
                <w:szCs w:val="24"/>
                <w:highlight w:val="none"/>
                <w:lang w:val="en-US" w:eastAsia="zh-CN"/>
              </w:rPr>
              <w:t>5</w:t>
            </w:r>
            <w:r>
              <w:rPr>
                <w:rFonts w:hint="eastAsia"/>
                <w:color w:val="auto"/>
                <w:szCs w:val="24"/>
                <w:highlight w:val="none"/>
              </w:rPr>
              <w:t>000元按</w:t>
            </w:r>
            <w:r>
              <w:rPr>
                <w:rFonts w:hint="eastAsia"/>
                <w:color w:val="auto"/>
                <w:szCs w:val="24"/>
                <w:highlight w:val="none"/>
                <w:lang w:val="en-US" w:eastAsia="zh-CN"/>
              </w:rPr>
              <w:t>5</w:t>
            </w:r>
            <w:r>
              <w:rPr>
                <w:rFonts w:hint="eastAsia"/>
                <w:color w:val="auto"/>
                <w:szCs w:val="24"/>
                <w:highlight w:val="none"/>
              </w:rPr>
              <w:t>000元收取。</w:t>
            </w:r>
          </w:p>
          <w:p w14:paraId="453C2616">
            <w:pPr>
              <w:spacing w:after="156" w:afterLines="50" w:line="360" w:lineRule="auto"/>
              <w:jc w:val="left"/>
              <w:rPr>
                <w:color w:val="auto"/>
                <w:szCs w:val="24"/>
                <w:highlight w:val="none"/>
              </w:rPr>
            </w:pPr>
            <w:r>
              <w:rPr>
                <w:rFonts w:hint="eastAsia"/>
                <w:color w:val="auto"/>
                <w:szCs w:val="24"/>
                <w:highlight w:val="none"/>
              </w:rPr>
              <w:t>29.2成交单位在领取成交通知书前，须向采购代理机构一次性支付代理服务费。</w:t>
            </w:r>
          </w:p>
        </w:tc>
      </w:tr>
      <w:tr w14:paraId="7FEC8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7B46C254">
            <w:pPr>
              <w:jc w:val="center"/>
              <w:rPr>
                <w:rFonts w:hint="eastAsia" w:hAnsi="宋体" w:eastAsia="宋体"/>
                <w:color w:val="auto"/>
                <w:szCs w:val="24"/>
                <w:highlight w:val="none"/>
                <w:lang w:eastAsia="zh-CN"/>
              </w:rPr>
            </w:pPr>
            <w:r>
              <w:rPr>
                <w:rFonts w:hint="eastAsia" w:hAnsi="宋体"/>
                <w:color w:val="auto"/>
                <w:szCs w:val="24"/>
                <w:highlight w:val="none"/>
              </w:rPr>
              <w:t>1</w:t>
            </w:r>
            <w:r>
              <w:rPr>
                <w:rFonts w:hint="eastAsia" w:hAnsi="宋体"/>
                <w:color w:val="auto"/>
                <w:szCs w:val="24"/>
                <w:highlight w:val="none"/>
                <w:lang w:val="en-US" w:eastAsia="zh-CN"/>
              </w:rPr>
              <w:t>5</w:t>
            </w:r>
          </w:p>
        </w:tc>
        <w:tc>
          <w:tcPr>
            <w:tcW w:w="951" w:type="dxa"/>
            <w:vAlign w:val="center"/>
          </w:tcPr>
          <w:p w14:paraId="7DE326E7">
            <w:pPr>
              <w:spacing w:line="360" w:lineRule="auto"/>
              <w:jc w:val="center"/>
              <w:rPr>
                <w:rFonts w:hAnsi="宋体"/>
                <w:color w:val="auto"/>
                <w:szCs w:val="24"/>
                <w:highlight w:val="none"/>
              </w:rPr>
            </w:pPr>
            <w:r>
              <w:rPr>
                <w:rFonts w:hint="eastAsia" w:hAnsi="宋体"/>
                <w:color w:val="auto"/>
                <w:szCs w:val="24"/>
                <w:highlight w:val="none"/>
              </w:rPr>
              <w:t>履约</w:t>
            </w:r>
          </w:p>
          <w:p w14:paraId="1BE9001F">
            <w:pPr>
              <w:spacing w:line="360" w:lineRule="auto"/>
              <w:jc w:val="center"/>
              <w:rPr>
                <w:rFonts w:hAnsi="宋体"/>
                <w:b/>
                <w:bCs/>
                <w:color w:val="auto"/>
                <w:szCs w:val="24"/>
                <w:highlight w:val="none"/>
              </w:rPr>
            </w:pPr>
            <w:r>
              <w:rPr>
                <w:rFonts w:hint="eastAsia" w:hAnsi="宋体"/>
                <w:color w:val="auto"/>
                <w:szCs w:val="24"/>
                <w:highlight w:val="none"/>
              </w:rPr>
              <w:t>担保</w:t>
            </w:r>
          </w:p>
        </w:tc>
        <w:tc>
          <w:tcPr>
            <w:tcW w:w="7354" w:type="dxa"/>
            <w:vAlign w:val="center"/>
          </w:tcPr>
          <w:p w14:paraId="2776EF94">
            <w:pPr>
              <w:widowControl/>
              <w:spacing w:line="360" w:lineRule="auto"/>
              <w:jc w:val="left"/>
              <w:rPr>
                <w:rFonts w:hAnsi="宋体"/>
                <w:color w:val="auto"/>
                <w:szCs w:val="24"/>
                <w:highlight w:val="none"/>
              </w:rPr>
            </w:pPr>
            <w:r>
              <w:rPr>
                <w:rFonts w:hint="eastAsia" w:hAnsi="宋体"/>
                <w:color w:val="auto"/>
                <w:szCs w:val="24"/>
                <w:highlight w:val="none"/>
              </w:rPr>
              <w:t>履约担保的形式：/</w:t>
            </w:r>
          </w:p>
          <w:p w14:paraId="1A67CB07">
            <w:pPr>
              <w:spacing w:line="360" w:lineRule="auto"/>
              <w:rPr>
                <w:rFonts w:hAnsi="宋体"/>
                <w:b/>
                <w:bCs/>
                <w:color w:val="auto"/>
                <w:szCs w:val="24"/>
                <w:highlight w:val="none"/>
              </w:rPr>
            </w:pPr>
            <w:r>
              <w:rPr>
                <w:rFonts w:hint="eastAsia" w:hAnsi="宋体"/>
                <w:color w:val="auto"/>
                <w:szCs w:val="24"/>
                <w:highlight w:val="none"/>
              </w:rPr>
              <w:t>履约担保的金额：/</w:t>
            </w:r>
          </w:p>
        </w:tc>
      </w:tr>
      <w:tr w14:paraId="04CA5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6C4DD05C">
            <w:pPr>
              <w:jc w:val="center"/>
              <w:rPr>
                <w:rFonts w:hint="default" w:hAnsi="宋体" w:eastAsia="宋体"/>
                <w:b w:val="0"/>
                <w:bCs w:val="0"/>
                <w:color w:val="auto"/>
                <w:szCs w:val="24"/>
                <w:highlight w:val="none"/>
                <w:lang w:val="en-US" w:eastAsia="zh-CN"/>
              </w:rPr>
            </w:pPr>
            <w:r>
              <w:rPr>
                <w:rFonts w:hint="eastAsia" w:hAnsi="宋体"/>
                <w:b w:val="0"/>
                <w:bCs w:val="0"/>
                <w:color w:val="auto"/>
                <w:szCs w:val="24"/>
                <w:highlight w:val="none"/>
                <w:lang w:val="en-US" w:eastAsia="zh-CN"/>
              </w:rPr>
              <w:t>16</w:t>
            </w:r>
          </w:p>
        </w:tc>
        <w:tc>
          <w:tcPr>
            <w:tcW w:w="951" w:type="dxa"/>
            <w:vAlign w:val="center"/>
          </w:tcPr>
          <w:p w14:paraId="4AA1D314">
            <w:pPr>
              <w:jc w:val="center"/>
              <w:rPr>
                <w:rFonts w:hint="eastAsia" w:ascii="宋体" w:hAnsi="宋体" w:eastAsia="宋体" w:cs="Times New Roman"/>
                <w:b/>
                <w:bCs/>
                <w:color w:val="auto"/>
                <w:szCs w:val="24"/>
                <w:highlight w:val="none"/>
                <w:lang w:eastAsia="zh-CN"/>
              </w:rPr>
            </w:pPr>
            <w:r>
              <w:rPr>
                <w:rFonts w:hint="eastAsia" w:ascii="宋体" w:hAnsi="宋体" w:eastAsia="宋体" w:cs="Times New Roman"/>
                <w:b/>
                <w:bCs/>
                <w:color w:val="auto"/>
                <w:szCs w:val="24"/>
                <w:highlight w:val="none"/>
                <w:lang w:eastAsia="zh-CN"/>
              </w:rPr>
              <w:t>项目</w:t>
            </w:r>
          </w:p>
          <w:p w14:paraId="327F0EB3">
            <w:pPr>
              <w:jc w:val="center"/>
              <w:rPr>
                <w:rFonts w:hint="eastAsia" w:ascii="宋体" w:hAnsi="宋体" w:eastAsia="宋体" w:cs="Times New Roman"/>
                <w:b/>
                <w:bCs/>
                <w:color w:val="auto"/>
                <w:szCs w:val="24"/>
                <w:highlight w:val="none"/>
              </w:rPr>
            </w:pPr>
            <w:r>
              <w:rPr>
                <w:rFonts w:hint="eastAsia" w:ascii="宋体" w:hAnsi="宋体" w:eastAsia="宋体" w:cs="Times New Roman"/>
                <w:b/>
                <w:bCs/>
                <w:color w:val="auto"/>
                <w:szCs w:val="24"/>
                <w:highlight w:val="none"/>
                <w:lang w:eastAsia="zh-CN"/>
              </w:rPr>
              <w:t>性质</w:t>
            </w:r>
          </w:p>
        </w:tc>
        <w:tc>
          <w:tcPr>
            <w:tcW w:w="7354" w:type="dxa"/>
            <w:vAlign w:val="center"/>
          </w:tcPr>
          <w:p w14:paraId="45961990">
            <w:pPr>
              <w:jc w:val="left"/>
              <w:rPr>
                <w:rFonts w:hint="default" w:ascii="宋体" w:hAnsi="宋体" w:eastAsia="宋体" w:cs="Times New Roman"/>
                <w:b/>
                <w:bCs/>
                <w:color w:val="auto"/>
                <w:szCs w:val="24"/>
                <w:highlight w:val="none"/>
                <w:lang w:val="en-US" w:eastAsia="zh-CN"/>
              </w:rPr>
            </w:pPr>
            <w:r>
              <w:rPr>
                <w:rFonts w:hint="eastAsia" w:ascii="宋体" w:hAnsi="宋体" w:eastAsia="宋体" w:cs="Times New Roman"/>
                <w:b/>
                <w:bCs/>
                <w:color w:val="auto"/>
                <w:szCs w:val="24"/>
                <w:highlight w:val="none"/>
                <w:lang w:val="en-US" w:eastAsia="zh-CN"/>
              </w:rPr>
              <w:t>本项目专门面向中小企业。</w:t>
            </w:r>
          </w:p>
        </w:tc>
      </w:tr>
      <w:tr w14:paraId="481C5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15BA58F3">
            <w:pPr>
              <w:jc w:val="center"/>
              <w:rPr>
                <w:rFonts w:hint="default" w:hAnsi="宋体" w:eastAsia="宋体"/>
                <w:b w:val="0"/>
                <w:bCs w:val="0"/>
                <w:color w:val="auto"/>
                <w:szCs w:val="24"/>
                <w:highlight w:val="none"/>
                <w:lang w:val="en-US" w:eastAsia="zh-CN"/>
              </w:rPr>
            </w:pPr>
            <w:r>
              <w:rPr>
                <w:rFonts w:hint="eastAsia" w:hAnsi="宋体"/>
                <w:b w:val="0"/>
                <w:bCs w:val="0"/>
                <w:color w:val="auto"/>
                <w:szCs w:val="24"/>
                <w:highlight w:val="none"/>
                <w:lang w:val="en-US" w:eastAsia="zh-CN"/>
              </w:rPr>
              <w:t>17</w:t>
            </w:r>
          </w:p>
        </w:tc>
        <w:tc>
          <w:tcPr>
            <w:tcW w:w="951" w:type="dxa"/>
            <w:vAlign w:val="center"/>
          </w:tcPr>
          <w:p w14:paraId="1FE4AC4E">
            <w:pPr>
              <w:jc w:val="center"/>
              <w:rPr>
                <w:rFonts w:hint="eastAsia" w:ascii="宋体" w:hAnsi="宋体" w:eastAsia="宋体" w:cs="Times New Roman"/>
                <w:b/>
                <w:bCs/>
                <w:color w:val="auto"/>
                <w:szCs w:val="24"/>
                <w:highlight w:val="none"/>
              </w:rPr>
            </w:pPr>
            <w:r>
              <w:rPr>
                <w:rFonts w:hint="eastAsia" w:ascii="宋体" w:hAnsi="宋体" w:eastAsia="宋体" w:cs="Times New Roman"/>
                <w:b/>
                <w:bCs/>
                <w:color w:val="auto"/>
                <w:szCs w:val="24"/>
                <w:highlight w:val="none"/>
                <w:lang w:val="en-US" w:eastAsia="zh-CN"/>
              </w:rPr>
              <w:t>项目</w:t>
            </w:r>
            <w:r>
              <w:rPr>
                <w:rFonts w:hint="eastAsia" w:ascii="宋体" w:hAnsi="宋体" w:eastAsia="宋体" w:cs="Times New Roman"/>
                <w:b/>
                <w:bCs/>
                <w:color w:val="auto"/>
                <w:szCs w:val="24"/>
                <w:highlight w:val="none"/>
                <w:lang w:eastAsia="zh-CN"/>
              </w:rPr>
              <w:t>所属行业</w:t>
            </w:r>
          </w:p>
        </w:tc>
        <w:tc>
          <w:tcPr>
            <w:tcW w:w="7354" w:type="dxa"/>
            <w:vAlign w:val="center"/>
          </w:tcPr>
          <w:p w14:paraId="105DFAEE">
            <w:pPr>
              <w:jc w:val="left"/>
              <w:rPr>
                <w:rFonts w:hint="default" w:ascii="宋体" w:hAnsi="宋体" w:eastAsia="宋体" w:cs="Times New Roman"/>
                <w:b/>
                <w:bCs/>
                <w:color w:val="auto"/>
                <w:szCs w:val="24"/>
                <w:highlight w:val="none"/>
                <w:lang w:val="en-US" w:eastAsia="zh-CN"/>
              </w:rPr>
            </w:pPr>
            <w:r>
              <w:rPr>
                <w:rFonts w:hint="eastAsia" w:ascii="宋体" w:hAnsi="宋体" w:eastAsia="宋体" w:cs="Times New Roman"/>
                <w:b/>
                <w:bCs/>
                <w:color w:val="auto"/>
                <w:szCs w:val="24"/>
                <w:highlight w:val="none"/>
                <w:lang w:val="en-US" w:eastAsia="zh-CN"/>
              </w:rPr>
              <w:t>其他未列明行业</w:t>
            </w:r>
          </w:p>
        </w:tc>
      </w:tr>
      <w:tr w14:paraId="13A7F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784469CD">
            <w:pPr>
              <w:jc w:val="center"/>
              <w:rPr>
                <w:rFonts w:hint="default" w:hAnsi="宋体" w:eastAsia="宋体"/>
                <w:b w:val="0"/>
                <w:bCs w:val="0"/>
                <w:color w:val="auto"/>
                <w:szCs w:val="24"/>
                <w:highlight w:val="none"/>
                <w:lang w:val="en-US" w:eastAsia="zh-CN"/>
              </w:rPr>
            </w:pPr>
            <w:r>
              <w:rPr>
                <w:rFonts w:hint="eastAsia" w:hAnsi="宋体"/>
                <w:b w:val="0"/>
                <w:bCs w:val="0"/>
                <w:color w:val="auto"/>
                <w:szCs w:val="24"/>
                <w:highlight w:val="none"/>
                <w:lang w:val="en-US" w:eastAsia="zh-CN"/>
              </w:rPr>
              <w:t>18</w:t>
            </w:r>
          </w:p>
        </w:tc>
        <w:tc>
          <w:tcPr>
            <w:tcW w:w="951" w:type="dxa"/>
            <w:vAlign w:val="center"/>
          </w:tcPr>
          <w:p w14:paraId="7A691BB6">
            <w:pPr>
              <w:widowControl/>
              <w:spacing w:line="360" w:lineRule="auto"/>
              <w:jc w:val="center"/>
              <w:rPr>
                <w:rFonts w:hint="eastAsia" w:hAnsi="宋体"/>
                <w:b/>
                <w:bCs/>
                <w:color w:val="auto"/>
                <w:szCs w:val="24"/>
                <w:highlight w:val="none"/>
              </w:rPr>
            </w:pPr>
            <w:r>
              <w:rPr>
                <w:rFonts w:hint="eastAsia" w:hAnsi="宋体"/>
                <w:color w:val="auto"/>
                <w:szCs w:val="24"/>
                <w:highlight w:val="none"/>
              </w:rPr>
              <w:t>政策性扣减</w:t>
            </w:r>
          </w:p>
        </w:tc>
        <w:tc>
          <w:tcPr>
            <w:tcW w:w="7354" w:type="dxa"/>
            <w:vAlign w:val="center"/>
          </w:tcPr>
          <w:p w14:paraId="3C8C4F4E">
            <w:pPr>
              <w:widowControl/>
              <w:spacing w:line="360" w:lineRule="auto"/>
              <w:rPr>
                <w:rFonts w:hint="default" w:eastAsia="宋体"/>
                <w:color w:val="auto"/>
                <w:highlight w:val="none"/>
                <w:lang w:val="en-US" w:eastAsia="zh-CN"/>
              </w:rPr>
            </w:pPr>
            <w:r>
              <w:rPr>
                <w:rFonts w:hint="eastAsia" w:hAnsi="宋体"/>
                <w:color w:val="auto"/>
                <w:szCs w:val="24"/>
                <w:highlight w:val="none"/>
              </w:rPr>
              <w:t>对符合《政府采购促进中小企业发展管理办法》(财库(2020)46号)规定的小微企业(监狱企业视同小型、微型企业)的报价给予10%的扣除,用扣除后的价格参加评审。</w:t>
            </w:r>
            <w:r>
              <w:rPr>
                <w:rFonts w:hint="eastAsia" w:hAnsi="宋体"/>
                <w:color w:val="auto"/>
                <w:szCs w:val="24"/>
                <w:highlight w:val="none"/>
                <w:lang w:val="en-US" w:eastAsia="zh-CN"/>
              </w:rPr>
              <w:t>本项目专门面向中小企业，不再进行价格得分的扣减。</w:t>
            </w:r>
          </w:p>
        </w:tc>
      </w:tr>
      <w:tr w14:paraId="44F8D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7B97F300">
            <w:pPr>
              <w:widowControl/>
              <w:spacing w:line="360" w:lineRule="auto"/>
              <w:jc w:val="center"/>
              <w:rPr>
                <w:rFonts w:hint="default" w:hAnsi="宋体" w:eastAsia="宋体"/>
                <w:b/>
                <w:bCs/>
                <w:color w:val="auto"/>
                <w:szCs w:val="24"/>
                <w:highlight w:val="none"/>
                <w:lang w:val="en-US" w:eastAsia="zh-CN"/>
              </w:rPr>
            </w:pPr>
            <w:r>
              <w:rPr>
                <w:rFonts w:hint="eastAsia" w:hAnsi="宋体"/>
                <w:b/>
                <w:bCs/>
                <w:color w:val="auto"/>
                <w:szCs w:val="24"/>
                <w:highlight w:val="none"/>
                <w:lang w:val="en-US" w:eastAsia="zh-CN"/>
              </w:rPr>
              <w:t>19</w:t>
            </w:r>
          </w:p>
        </w:tc>
        <w:tc>
          <w:tcPr>
            <w:tcW w:w="951" w:type="dxa"/>
            <w:vAlign w:val="center"/>
          </w:tcPr>
          <w:p w14:paraId="18FA1251">
            <w:pPr>
              <w:widowControl/>
              <w:spacing w:line="360" w:lineRule="auto"/>
              <w:jc w:val="center"/>
              <w:rPr>
                <w:rFonts w:hAnsi="宋体"/>
                <w:b/>
                <w:bCs/>
                <w:color w:val="auto"/>
                <w:szCs w:val="24"/>
                <w:highlight w:val="none"/>
              </w:rPr>
            </w:pPr>
            <w:r>
              <w:rPr>
                <w:rFonts w:hint="eastAsia" w:hAnsi="宋体"/>
                <w:b/>
                <w:bCs/>
                <w:color w:val="auto"/>
                <w:szCs w:val="24"/>
                <w:highlight w:val="none"/>
              </w:rPr>
              <w:t>备注</w:t>
            </w:r>
          </w:p>
        </w:tc>
        <w:tc>
          <w:tcPr>
            <w:tcW w:w="7354" w:type="dxa"/>
            <w:vAlign w:val="center"/>
          </w:tcPr>
          <w:p w14:paraId="0AEBB4C5">
            <w:pPr>
              <w:spacing w:line="500" w:lineRule="exact"/>
              <w:ind w:firstLine="482" w:firstLineChars="200"/>
              <w:rPr>
                <w:rFonts w:hAnsi="宋体" w:cs="宋体"/>
                <w:b/>
                <w:bCs/>
                <w:color w:val="auto"/>
                <w:szCs w:val="24"/>
                <w:highlight w:val="none"/>
              </w:rPr>
            </w:pPr>
            <w:r>
              <w:rPr>
                <w:rFonts w:hint="eastAsia" w:hAnsi="宋体" w:cs="宋体"/>
                <w:b/>
                <w:bCs/>
                <w:color w:val="auto"/>
                <w:szCs w:val="24"/>
                <w:highlight w:val="none"/>
              </w:rPr>
              <w:t>供应商注册登记提醒：</w:t>
            </w:r>
          </w:p>
          <w:p w14:paraId="0CFA3C34">
            <w:pPr>
              <w:spacing w:line="500" w:lineRule="exact"/>
              <w:ind w:firstLine="482" w:firstLineChars="200"/>
              <w:rPr>
                <w:rFonts w:hAnsi="宋体"/>
                <w:color w:val="auto"/>
                <w:szCs w:val="24"/>
                <w:highlight w:val="none"/>
              </w:rPr>
            </w:pPr>
            <w:r>
              <w:rPr>
                <w:rFonts w:hint="eastAsia" w:hAnsi="宋体" w:cs="宋体"/>
                <w:b/>
                <w:bCs/>
                <w:color w:val="auto"/>
                <w:szCs w:val="24"/>
                <w:highlight w:val="none"/>
              </w:rPr>
              <w:t>根据陕西省财政厅关于政府采购供应商注册登记有关事项的通知，如所投本项目的供应商未在陕西省政府采购网（</w:t>
            </w:r>
            <w:r>
              <w:rPr>
                <w:rFonts w:hint="eastAsia" w:hAnsi="宋体" w:cs="宋体"/>
                <w:b/>
                <w:bCs/>
                <w:color w:val="auto"/>
                <w:szCs w:val="24"/>
                <w:highlight w:val="none"/>
              </w:rPr>
              <w:fldChar w:fldCharType="begin"/>
            </w:r>
            <w:r>
              <w:rPr>
                <w:rFonts w:hint="eastAsia" w:hAnsi="宋体" w:cs="宋体"/>
                <w:b/>
                <w:bCs/>
                <w:color w:val="auto"/>
                <w:szCs w:val="24"/>
                <w:highlight w:val="none"/>
              </w:rPr>
              <w:instrText xml:space="preserve"> HYPERLINK "http://www.ccgp-shaanxi.gov.cn/information/informationDetail.do?informationguid=8a85be3567ed23460167ed36804d0009" </w:instrText>
            </w:r>
            <w:r>
              <w:rPr>
                <w:rFonts w:hint="eastAsia" w:hAnsi="宋体" w:cs="宋体"/>
                <w:b/>
                <w:bCs/>
                <w:color w:val="auto"/>
                <w:szCs w:val="24"/>
                <w:highlight w:val="none"/>
              </w:rPr>
              <w:fldChar w:fldCharType="separate"/>
            </w:r>
            <w:r>
              <w:rPr>
                <w:rFonts w:hint="eastAsia" w:hAnsi="宋体" w:cs="宋体"/>
                <w:b/>
                <w:bCs/>
                <w:color w:val="auto"/>
                <w:szCs w:val="24"/>
                <w:highlight w:val="none"/>
              </w:rPr>
              <w:t>http://www.ccgp-shaanxi.gov.cn/information/informationDetail.do?informationguid=8a85be3567ed23460167ed36804d0009</w:t>
            </w:r>
            <w:r>
              <w:rPr>
                <w:rFonts w:hint="eastAsia" w:hAnsi="宋体" w:cs="宋体"/>
                <w:b/>
                <w:bCs/>
                <w:color w:val="auto"/>
                <w:szCs w:val="24"/>
                <w:highlight w:val="none"/>
              </w:rPr>
              <w:fldChar w:fldCharType="end"/>
            </w:r>
            <w:r>
              <w:rPr>
                <w:rFonts w:hint="eastAsia" w:hAnsi="宋体" w:cs="宋体"/>
                <w:b/>
                <w:bCs/>
                <w:color w:val="auto"/>
                <w:szCs w:val="24"/>
                <w:highlight w:val="none"/>
              </w:rPr>
              <w:t>）注册登记加入陕西省政府采购供应商库的，应按要求及时办理注册登记，并接受财政部门监督管理。</w:t>
            </w:r>
          </w:p>
        </w:tc>
      </w:tr>
      <w:bookmarkEnd w:id="9"/>
      <w:bookmarkEnd w:id="10"/>
      <w:bookmarkEnd w:id="11"/>
    </w:tbl>
    <w:p w14:paraId="70FB61C4">
      <w:pPr>
        <w:spacing w:before="156" w:beforeLines="50" w:after="156" w:afterLines="50"/>
        <w:jc w:val="center"/>
        <w:rPr>
          <w:rFonts w:hAnsi="宋体"/>
          <w:color w:val="auto"/>
          <w:sz w:val="32"/>
          <w:szCs w:val="32"/>
          <w:highlight w:val="none"/>
        </w:rPr>
      </w:pPr>
      <w:bookmarkStart w:id="23" w:name="_Toc363473972"/>
      <w:bookmarkStart w:id="24" w:name="_Toc363474017"/>
      <w:bookmarkStart w:id="25" w:name="_Toc403077639"/>
      <w:r>
        <w:rPr>
          <w:rFonts w:hint="eastAsia" w:hAnsi="宋体"/>
          <w:b/>
          <w:color w:val="auto"/>
          <w:sz w:val="32"/>
          <w:szCs w:val="32"/>
          <w:highlight w:val="none"/>
        </w:rPr>
        <w:br w:type="page"/>
      </w:r>
      <w:r>
        <w:rPr>
          <w:rFonts w:hint="eastAsia" w:hAnsi="宋体"/>
          <w:b/>
          <w:color w:val="auto"/>
          <w:sz w:val="32"/>
          <w:szCs w:val="32"/>
          <w:highlight w:val="none"/>
        </w:rPr>
        <w:t>一.总  则</w:t>
      </w:r>
      <w:bookmarkEnd w:id="23"/>
      <w:bookmarkEnd w:id="24"/>
      <w:bookmarkEnd w:id="25"/>
    </w:p>
    <w:p w14:paraId="7DB9B979">
      <w:pPr>
        <w:spacing w:line="360" w:lineRule="auto"/>
        <w:rPr>
          <w:rFonts w:hAnsi="宋体"/>
          <w:b/>
          <w:color w:val="auto"/>
          <w:szCs w:val="24"/>
          <w:highlight w:val="none"/>
        </w:rPr>
      </w:pPr>
      <w:r>
        <w:rPr>
          <w:rFonts w:hAnsi="宋体"/>
          <w:b/>
          <w:color w:val="auto"/>
          <w:szCs w:val="24"/>
          <w:highlight w:val="none"/>
        </w:rPr>
        <w:t>1.资金来源</w:t>
      </w:r>
    </w:p>
    <w:p w14:paraId="18B30F0B">
      <w:pPr>
        <w:spacing w:line="360" w:lineRule="auto"/>
        <w:ind w:firstLine="480" w:firstLineChars="200"/>
        <w:rPr>
          <w:rFonts w:hAnsi="宋体"/>
          <w:color w:val="auto"/>
          <w:szCs w:val="24"/>
          <w:highlight w:val="none"/>
        </w:rPr>
      </w:pPr>
      <w:r>
        <w:rPr>
          <w:rFonts w:hAnsi="宋体"/>
          <w:color w:val="auto"/>
          <w:szCs w:val="24"/>
          <w:highlight w:val="none"/>
        </w:rPr>
        <w:t>1.1本次</w:t>
      </w:r>
      <w:r>
        <w:rPr>
          <w:rFonts w:hint="eastAsia" w:hAnsi="宋体"/>
          <w:color w:val="auto"/>
          <w:szCs w:val="24"/>
          <w:highlight w:val="none"/>
        </w:rPr>
        <w:t>竞争性磋商</w:t>
      </w:r>
      <w:r>
        <w:rPr>
          <w:rFonts w:hAnsi="宋体"/>
          <w:color w:val="auto"/>
          <w:szCs w:val="24"/>
          <w:highlight w:val="none"/>
        </w:rPr>
        <w:t>所签合同使用</w:t>
      </w:r>
      <w:r>
        <w:rPr>
          <w:rFonts w:hint="eastAsia" w:hAnsi="宋体"/>
          <w:color w:val="auto"/>
          <w:szCs w:val="24"/>
          <w:highlight w:val="none"/>
          <w:lang w:val="en-US" w:eastAsia="zh-CN"/>
        </w:rPr>
        <w:t>财政</w:t>
      </w:r>
      <w:r>
        <w:rPr>
          <w:rFonts w:hint="eastAsia" w:hAnsi="宋体"/>
          <w:color w:val="auto"/>
          <w:szCs w:val="24"/>
          <w:highlight w:val="none"/>
        </w:rPr>
        <w:t>资金</w:t>
      </w:r>
      <w:r>
        <w:rPr>
          <w:rFonts w:hAnsi="宋体"/>
          <w:color w:val="auto"/>
          <w:szCs w:val="24"/>
          <w:highlight w:val="none"/>
        </w:rPr>
        <w:t>支付。</w:t>
      </w:r>
    </w:p>
    <w:p w14:paraId="415BF96A">
      <w:pPr>
        <w:numPr>
          <w:ilvl w:val="0"/>
          <w:numId w:val="1"/>
        </w:numPr>
        <w:spacing w:line="500" w:lineRule="exact"/>
        <w:rPr>
          <w:rFonts w:hAnsi="宋体"/>
          <w:b/>
          <w:color w:val="auto"/>
          <w:szCs w:val="24"/>
          <w:highlight w:val="none"/>
        </w:rPr>
      </w:pPr>
      <w:bookmarkStart w:id="26" w:name="_Toc363473973"/>
      <w:bookmarkStart w:id="27" w:name="_Toc403077640"/>
      <w:bookmarkStart w:id="28" w:name="_Toc363474018"/>
      <w:r>
        <w:rPr>
          <w:rFonts w:hint="eastAsia" w:hAnsi="宋体"/>
          <w:b/>
          <w:color w:val="auto"/>
          <w:szCs w:val="24"/>
          <w:highlight w:val="none"/>
        </w:rPr>
        <w:t>名词解释</w:t>
      </w:r>
    </w:p>
    <w:p w14:paraId="4A1BA66D">
      <w:pPr>
        <w:tabs>
          <w:tab w:val="left" w:pos="7665"/>
        </w:tabs>
        <w:spacing w:line="360" w:lineRule="auto"/>
        <w:ind w:firstLine="480" w:firstLineChars="200"/>
        <w:rPr>
          <w:color w:val="auto"/>
          <w:szCs w:val="22"/>
          <w:highlight w:val="none"/>
        </w:rPr>
      </w:pPr>
      <w:r>
        <w:rPr>
          <w:color w:val="auto"/>
          <w:szCs w:val="22"/>
          <w:highlight w:val="none"/>
        </w:rPr>
        <w:t>2.1采购人：商洛市生态环境局商南县分局</w:t>
      </w:r>
    </w:p>
    <w:p w14:paraId="743D55D2">
      <w:pPr>
        <w:tabs>
          <w:tab w:val="left" w:pos="7665"/>
        </w:tabs>
        <w:spacing w:line="360" w:lineRule="auto"/>
        <w:ind w:firstLine="480" w:firstLineChars="200"/>
        <w:rPr>
          <w:color w:val="auto"/>
          <w:szCs w:val="22"/>
          <w:highlight w:val="none"/>
        </w:rPr>
      </w:pPr>
      <w:r>
        <w:rPr>
          <w:color w:val="auto"/>
          <w:szCs w:val="22"/>
          <w:highlight w:val="none"/>
        </w:rPr>
        <w:t>2.2监督机构：</w:t>
      </w:r>
      <w:r>
        <w:rPr>
          <w:rFonts w:hint="eastAsia"/>
          <w:color w:val="auto"/>
          <w:szCs w:val="22"/>
          <w:highlight w:val="none"/>
        </w:rPr>
        <w:t>同级人民政府财政部门</w:t>
      </w:r>
    </w:p>
    <w:p w14:paraId="28207351">
      <w:pPr>
        <w:tabs>
          <w:tab w:val="left" w:pos="7665"/>
        </w:tabs>
        <w:spacing w:line="360" w:lineRule="auto"/>
        <w:ind w:firstLine="480" w:firstLineChars="200"/>
        <w:rPr>
          <w:color w:val="auto"/>
          <w:szCs w:val="22"/>
          <w:highlight w:val="none"/>
        </w:rPr>
      </w:pPr>
      <w:r>
        <w:rPr>
          <w:color w:val="auto"/>
          <w:szCs w:val="22"/>
          <w:highlight w:val="none"/>
        </w:rPr>
        <w:t>2.3采购代理机构：西安天合建设项目管理有限公司</w:t>
      </w:r>
    </w:p>
    <w:p w14:paraId="0FC1F2A2">
      <w:pPr>
        <w:tabs>
          <w:tab w:val="left" w:pos="7665"/>
        </w:tabs>
        <w:spacing w:line="360" w:lineRule="auto"/>
        <w:ind w:firstLine="480" w:firstLineChars="200"/>
        <w:rPr>
          <w:color w:val="auto"/>
          <w:highlight w:val="none"/>
        </w:rPr>
      </w:pPr>
      <w:r>
        <w:rPr>
          <w:color w:val="auto"/>
          <w:highlight w:val="none"/>
        </w:rPr>
        <w:t>2.4</w:t>
      </w:r>
      <w:r>
        <w:rPr>
          <w:rFonts w:hint="eastAsia"/>
          <w:color w:val="auto"/>
          <w:highlight w:val="none"/>
        </w:rPr>
        <w:t>供应商</w:t>
      </w:r>
      <w:r>
        <w:rPr>
          <w:color w:val="auto"/>
          <w:highlight w:val="none"/>
        </w:rPr>
        <w:t>：是指响应和符合</w:t>
      </w:r>
      <w:r>
        <w:rPr>
          <w:rFonts w:hint="eastAsia"/>
          <w:color w:val="auto"/>
          <w:highlight w:val="none"/>
        </w:rPr>
        <w:t>竞争性磋商</w:t>
      </w:r>
      <w:r>
        <w:rPr>
          <w:color w:val="auto"/>
          <w:highlight w:val="none"/>
        </w:rPr>
        <w:t>文件规定资格条件且参与竞争</w:t>
      </w:r>
      <w:r>
        <w:rPr>
          <w:rFonts w:hint="eastAsia"/>
          <w:color w:val="auto"/>
          <w:highlight w:val="none"/>
        </w:rPr>
        <w:t>性磋商</w:t>
      </w:r>
      <w:r>
        <w:rPr>
          <w:color w:val="auto"/>
          <w:highlight w:val="none"/>
        </w:rPr>
        <w:t>的法人</w:t>
      </w:r>
      <w:r>
        <w:rPr>
          <w:rFonts w:hint="eastAsia"/>
          <w:color w:val="auto"/>
          <w:highlight w:val="none"/>
        </w:rPr>
        <w:t>、</w:t>
      </w:r>
      <w:r>
        <w:rPr>
          <w:rFonts w:hint="eastAsia" w:hAnsi="宋体" w:cs="宋体"/>
          <w:color w:val="auto"/>
          <w:highlight w:val="none"/>
        </w:rPr>
        <w:t>其他组织或者自然人。</w:t>
      </w:r>
    </w:p>
    <w:p w14:paraId="2CE71059">
      <w:pPr>
        <w:adjustRightInd w:val="0"/>
        <w:snapToGrid w:val="0"/>
        <w:spacing w:line="360" w:lineRule="auto"/>
        <w:ind w:firstLine="480" w:firstLineChars="200"/>
        <w:rPr>
          <w:color w:val="auto"/>
          <w:highlight w:val="none"/>
        </w:rPr>
      </w:pPr>
      <w:r>
        <w:rPr>
          <w:color w:val="auto"/>
          <w:highlight w:val="none"/>
        </w:rPr>
        <w:t>2.5产品是指本竞争</w:t>
      </w:r>
      <w:r>
        <w:rPr>
          <w:rFonts w:hint="eastAsia"/>
          <w:color w:val="auto"/>
          <w:highlight w:val="none"/>
        </w:rPr>
        <w:t>性磋商</w:t>
      </w:r>
      <w:r>
        <w:rPr>
          <w:color w:val="auto"/>
          <w:highlight w:val="none"/>
        </w:rPr>
        <w:t>文件中第四章所述所有产品</w:t>
      </w:r>
      <w:r>
        <w:rPr>
          <w:rFonts w:hint="eastAsia"/>
          <w:color w:val="auto"/>
          <w:highlight w:val="none"/>
        </w:rPr>
        <w:t>。</w:t>
      </w:r>
    </w:p>
    <w:p w14:paraId="7876843C">
      <w:pPr>
        <w:adjustRightInd w:val="0"/>
        <w:snapToGrid w:val="0"/>
        <w:spacing w:line="360" w:lineRule="auto"/>
        <w:ind w:firstLine="480" w:firstLineChars="200"/>
        <w:rPr>
          <w:color w:val="auto"/>
          <w:highlight w:val="none"/>
        </w:rPr>
      </w:pPr>
      <w:r>
        <w:rPr>
          <w:color w:val="auto"/>
          <w:highlight w:val="none"/>
        </w:rPr>
        <w:t>2.6服务是指供应商为满足竞争</w:t>
      </w:r>
      <w:r>
        <w:rPr>
          <w:rFonts w:hint="eastAsia"/>
          <w:color w:val="auto"/>
          <w:highlight w:val="none"/>
        </w:rPr>
        <w:t>性磋商</w:t>
      </w:r>
      <w:r>
        <w:rPr>
          <w:color w:val="auto"/>
          <w:highlight w:val="none"/>
        </w:rPr>
        <w:t>文件要求而提供的服务</w:t>
      </w:r>
      <w:r>
        <w:rPr>
          <w:rFonts w:hint="eastAsia"/>
          <w:color w:val="auto"/>
          <w:highlight w:val="none"/>
        </w:rPr>
        <w:t>。</w:t>
      </w:r>
    </w:p>
    <w:p w14:paraId="317F28FC">
      <w:pPr>
        <w:adjustRightInd w:val="0"/>
        <w:snapToGrid w:val="0"/>
        <w:spacing w:line="360" w:lineRule="auto"/>
        <w:ind w:firstLine="480" w:firstLineChars="200"/>
        <w:rPr>
          <w:color w:val="auto"/>
          <w:highlight w:val="none"/>
        </w:rPr>
      </w:pPr>
      <w:r>
        <w:rPr>
          <w:color w:val="auto"/>
          <w:highlight w:val="none"/>
        </w:rPr>
        <w:t>2.7节能产品或者环保产品是指</w:t>
      </w:r>
      <w:r>
        <w:rPr>
          <w:rFonts w:hint="eastAsia"/>
          <w:color w:val="auto"/>
          <w:highlight w:val="none"/>
        </w:rPr>
        <w:t>依据国家确定的认证机构出具的、处于有效期之内的具有节能产品、环境标志产品认证证书的产品。</w:t>
      </w:r>
    </w:p>
    <w:p w14:paraId="29902D5B">
      <w:pPr>
        <w:adjustRightInd w:val="0"/>
        <w:snapToGrid w:val="0"/>
        <w:spacing w:line="360" w:lineRule="auto"/>
        <w:ind w:firstLine="480" w:firstLineChars="200"/>
        <w:rPr>
          <w:color w:val="auto"/>
          <w:highlight w:val="none"/>
        </w:rPr>
      </w:pPr>
      <w:r>
        <w:rPr>
          <w:rFonts w:hint="eastAsia"/>
          <w:color w:val="auto"/>
          <w:highlight w:val="none"/>
        </w:rPr>
        <w:t>2.8进口产品是指通过中国海关报关验放进入中国境内且产自关境外的产品，详见《关于政府采购进口产品管理有关问题的通知》(财库[2007]119号)。</w:t>
      </w:r>
    </w:p>
    <w:p w14:paraId="4D27E6E6">
      <w:pPr>
        <w:adjustRightInd w:val="0"/>
        <w:snapToGrid w:val="0"/>
        <w:spacing w:line="360" w:lineRule="auto"/>
        <w:ind w:firstLine="480" w:firstLineChars="200"/>
        <w:rPr>
          <w:color w:val="auto"/>
          <w:highlight w:val="none"/>
        </w:rPr>
      </w:pPr>
      <w:r>
        <w:rPr>
          <w:color w:val="auto"/>
          <w:highlight w:val="none"/>
        </w:rPr>
        <w:t>2.</w:t>
      </w:r>
      <w:r>
        <w:rPr>
          <w:rFonts w:hint="eastAsia"/>
          <w:color w:val="auto"/>
          <w:highlight w:val="none"/>
        </w:rPr>
        <w:t>9</w:t>
      </w:r>
      <w:r>
        <w:rPr>
          <w:color w:val="auto"/>
          <w:highlight w:val="none"/>
        </w:rPr>
        <w:t>中小企业是指符合《工业和信息化部、国家统计局、国家发展和改革委员会、财政部关于印发中小企业划型标准规定的通知》（工信部联企业[2011]300号）规定的对中小企业的划分标准的企业。</w:t>
      </w:r>
    </w:p>
    <w:p w14:paraId="62658E20">
      <w:pPr>
        <w:adjustRightInd w:val="0"/>
        <w:snapToGrid w:val="0"/>
        <w:spacing w:line="360" w:lineRule="auto"/>
        <w:ind w:firstLine="480" w:firstLineChars="200"/>
        <w:rPr>
          <w:color w:val="auto"/>
          <w:highlight w:val="none"/>
        </w:rPr>
      </w:pPr>
      <w:r>
        <w:rPr>
          <w:color w:val="auto"/>
          <w:highlight w:val="none"/>
        </w:rPr>
        <w:t>2.</w:t>
      </w:r>
      <w:r>
        <w:rPr>
          <w:rFonts w:hint="eastAsia"/>
          <w:color w:val="auto"/>
          <w:highlight w:val="none"/>
        </w:rPr>
        <w:t>10</w:t>
      </w:r>
      <w:r>
        <w:rPr>
          <w:color w:val="auto"/>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D27201F">
      <w:pPr>
        <w:adjustRightInd w:val="0"/>
        <w:snapToGrid w:val="0"/>
        <w:spacing w:line="360" w:lineRule="auto"/>
        <w:ind w:firstLine="480" w:firstLineChars="200"/>
        <w:rPr>
          <w:color w:val="auto"/>
          <w:highlight w:val="none"/>
        </w:rPr>
      </w:pPr>
      <w:r>
        <w:rPr>
          <w:rFonts w:hint="eastAsia"/>
          <w:color w:val="auto"/>
          <w:highlight w:val="none"/>
        </w:rPr>
        <w:t>2.11残疾人福利性单位是指符合《三部门联合发布关于促进残疾人就业政府采购政策的通知》财库〔2017〕141号</w:t>
      </w:r>
      <w:r>
        <w:rPr>
          <w:color w:val="auto"/>
          <w:highlight w:val="none"/>
        </w:rPr>
        <w:t>规定的对</w:t>
      </w:r>
      <w:r>
        <w:rPr>
          <w:rFonts w:hint="eastAsia"/>
          <w:color w:val="auto"/>
          <w:highlight w:val="none"/>
        </w:rPr>
        <w:t>残疾人福利性单位</w:t>
      </w:r>
      <w:r>
        <w:rPr>
          <w:color w:val="auto"/>
          <w:highlight w:val="none"/>
        </w:rPr>
        <w:t>划分标准的</w:t>
      </w:r>
      <w:r>
        <w:rPr>
          <w:rFonts w:hint="eastAsia"/>
          <w:color w:val="auto"/>
          <w:highlight w:val="none"/>
        </w:rPr>
        <w:t>单位</w:t>
      </w:r>
      <w:r>
        <w:rPr>
          <w:color w:val="auto"/>
          <w:highlight w:val="none"/>
        </w:rPr>
        <w:t>。</w:t>
      </w:r>
    </w:p>
    <w:p w14:paraId="5A0045CE">
      <w:pPr>
        <w:spacing w:line="500" w:lineRule="exact"/>
        <w:rPr>
          <w:rFonts w:hAnsi="宋体"/>
          <w:b/>
          <w:color w:val="auto"/>
          <w:szCs w:val="24"/>
          <w:highlight w:val="none"/>
        </w:rPr>
      </w:pPr>
      <w:r>
        <w:rPr>
          <w:rFonts w:hint="eastAsia" w:hAnsi="宋体"/>
          <w:b/>
          <w:color w:val="auto"/>
          <w:szCs w:val="24"/>
          <w:highlight w:val="none"/>
        </w:rPr>
        <w:t>3</w:t>
      </w:r>
      <w:r>
        <w:rPr>
          <w:rFonts w:hAnsi="宋体"/>
          <w:b/>
          <w:color w:val="auto"/>
          <w:szCs w:val="24"/>
          <w:highlight w:val="none"/>
        </w:rPr>
        <w:t>.合格的</w:t>
      </w:r>
      <w:r>
        <w:rPr>
          <w:rFonts w:hint="eastAsia" w:hAnsi="宋体"/>
          <w:b/>
          <w:color w:val="auto"/>
          <w:szCs w:val="24"/>
          <w:highlight w:val="none"/>
        </w:rPr>
        <w:t>供应商</w:t>
      </w:r>
    </w:p>
    <w:p w14:paraId="20DA41F3">
      <w:pPr>
        <w:tabs>
          <w:tab w:val="left" w:pos="851"/>
        </w:tabs>
        <w:spacing w:line="500" w:lineRule="exact"/>
        <w:ind w:firstLine="480" w:firstLineChars="200"/>
        <w:rPr>
          <w:rFonts w:hAnsi="宋体"/>
          <w:color w:val="auto"/>
          <w:szCs w:val="24"/>
          <w:highlight w:val="none"/>
        </w:rPr>
      </w:pPr>
      <w:r>
        <w:rPr>
          <w:rFonts w:hint="eastAsia" w:hAnsi="宋体"/>
          <w:color w:val="auto"/>
          <w:szCs w:val="24"/>
          <w:highlight w:val="none"/>
        </w:rPr>
        <w:t>3.1《政府采购法》第二十二条第一款规定的供应商基本资格条件:</w:t>
      </w:r>
    </w:p>
    <w:p w14:paraId="65A80CA7">
      <w:pPr>
        <w:spacing w:line="500" w:lineRule="exact"/>
        <w:ind w:firstLine="480" w:firstLineChars="200"/>
        <w:rPr>
          <w:rFonts w:hAnsi="宋体"/>
          <w:color w:val="auto"/>
          <w:szCs w:val="24"/>
          <w:highlight w:val="none"/>
        </w:rPr>
      </w:pPr>
      <w:r>
        <w:rPr>
          <w:rFonts w:hAnsi="宋体"/>
          <w:color w:val="auto"/>
          <w:szCs w:val="24"/>
          <w:highlight w:val="none"/>
        </w:rPr>
        <w:t xml:space="preserve">    1）具有独立承担民事责任的能力；</w:t>
      </w:r>
    </w:p>
    <w:p w14:paraId="48F9403E">
      <w:pPr>
        <w:spacing w:line="500" w:lineRule="exact"/>
        <w:ind w:firstLine="480" w:firstLineChars="200"/>
        <w:rPr>
          <w:rFonts w:hAnsi="宋体"/>
          <w:color w:val="auto"/>
          <w:szCs w:val="24"/>
          <w:highlight w:val="none"/>
        </w:rPr>
      </w:pPr>
      <w:r>
        <w:rPr>
          <w:rFonts w:hAnsi="宋体"/>
          <w:color w:val="auto"/>
          <w:szCs w:val="24"/>
          <w:highlight w:val="none"/>
        </w:rPr>
        <w:t xml:space="preserve">    2）具有良好的商业信誉和健全的财务会计制度；</w:t>
      </w:r>
    </w:p>
    <w:p w14:paraId="77213488">
      <w:pPr>
        <w:spacing w:line="500" w:lineRule="exact"/>
        <w:ind w:firstLine="480" w:firstLineChars="200"/>
        <w:rPr>
          <w:rFonts w:hAnsi="宋体"/>
          <w:color w:val="auto"/>
          <w:szCs w:val="24"/>
          <w:highlight w:val="none"/>
        </w:rPr>
      </w:pPr>
      <w:r>
        <w:rPr>
          <w:rFonts w:hAnsi="宋体"/>
          <w:color w:val="auto"/>
          <w:szCs w:val="24"/>
          <w:highlight w:val="none"/>
        </w:rPr>
        <w:t xml:space="preserve">    3）具有履行合同所必需的设备和专业技术能力；</w:t>
      </w:r>
    </w:p>
    <w:p w14:paraId="3EFD2C97">
      <w:pPr>
        <w:spacing w:line="500" w:lineRule="exact"/>
        <w:ind w:firstLine="480" w:firstLineChars="200"/>
        <w:rPr>
          <w:rFonts w:hAnsi="宋体"/>
          <w:color w:val="auto"/>
          <w:szCs w:val="24"/>
          <w:highlight w:val="none"/>
        </w:rPr>
      </w:pPr>
      <w:r>
        <w:rPr>
          <w:rFonts w:hAnsi="宋体"/>
          <w:color w:val="auto"/>
          <w:szCs w:val="24"/>
          <w:highlight w:val="none"/>
        </w:rPr>
        <w:t xml:space="preserve">    4）有依法缴纳税收和社会保障资金的良好</w:t>
      </w:r>
      <w:r>
        <w:rPr>
          <w:rFonts w:hint="eastAsia" w:hAnsi="宋体"/>
          <w:color w:val="auto"/>
          <w:szCs w:val="24"/>
          <w:highlight w:val="none"/>
        </w:rPr>
        <w:t>记</w:t>
      </w:r>
      <w:r>
        <w:rPr>
          <w:rFonts w:hAnsi="宋体"/>
          <w:color w:val="auto"/>
          <w:szCs w:val="24"/>
          <w:highlight w:val="none"/>
        </w:rPr>
        <w:t>录；</w:t>
      </w:r>
    </w:p>
    <w:p w14:paraId="0D0EB77C">
      <w:pPr>
        <w:spacing w:line="500" w:lineRule="exact"/>
        <w:ind w:firstLine="480" w:firstLineChars="200"/>
        <w:rPr>
          <w:rFonts w:hAnsi="宋体"/>
          <w:color w:val="auto"/>
          <w:szCs w:val="24"/>
          <w:highlight w:val="none"/>
        </w:rPr>
      </w:pPr>
      <w:r>
        <w:rPr>
          <w:rFonts w:hAnsi="宋体"/>
          <w:color w:val="auto"/>
          <w:szCs w:val="24"/>
          <w:highlight w:val="none"/>
        </w:rPr>
        <w:t xml:space="preserve">    5）参加政府采购活动前三年内，在经营活动中没有重大违法</w:t>
      </w:r>
      <w:r>
        <w:rPr>
          <w:rFonts w:hint="eastAsia" w:hAnsi="宋体"/>
          <w:color w:val="auto"/>
          <w:szCs w:val="24"/>
          <w:highlight w:val="none"/>
        </w:rPr>
        <w:t>记</w:t>
      </w:r>
      <w:r>
        <w:rPr>
          <w:rFonts w:hAnsi="宋体"/>
          <w:color w:val="auto"/>
          <w:szCs w:val="24"/>
          <w:highlight w:val="none"/>
        </w:rPr>
        <w:t>录；</w:t>
      </w:r>
    </w:p>
    <w:p w14:paraId="12A44E02">
      <w:pPr>
        <w:spacing w:line="500" w:lineRule="exact"/>
        <w:ind w:firstLine="480" w:firstLineChars="200"/>
        <w:rPr>
          <w:rFonts w:hAnsi="宋体"/>
          <w:color w:val="auto"/>
          <w:szCs w:val="24"/>
          <w:highlight w:val="none"/>
        </w:rPr>
      </w:pPr>
      <w:r>
        <w:rPr>
          <w:rFonts w:hAnsi="宋体"/>
          <w:color w:val="auto"/>
          <w:szCs w:val="24"/>
          <w:highlight w:val="none"/>
        </w:rPr>
        <w:t xml:space="preserve">    6）法律、行政法规规定的其他条件</w:t>
      </w:r>
      <w:r>
        <w:rPr>
          <w:rFonts w:hint="eastAsia" w:hAnsi="宋体"/>
          <w:color w:val="auto"/>
          <w:szCs w:val="24"/>
          <w:highlight w:val="none"/>
        </w:rPr>
        <w:t>。</w:t>
      </w:r>
    </w:p>
    <w:p w14:paraId="4C2EC81C">
      <w:pPr>
        <w:spacing w:line="500" w:lineRule="exact"/>
        <w:ind w:firstLine="482" w:firstLineChars="200"/>
        <w:rPr>
          <w:rFonts w:hAnsi="宋体"/>
          <w:b/>
          <w:bCs/>
          <w:color w:val="auto"/>
          <w:szCs w:val="24"/>
          <w:highlight w:val="none"/>
        </w:rPr>
      </w:pPr>
      <w:r>
        <w:rPr>
          <w:rFonts w:hint="eastAsia" w:hAnsi="宋体"/>
          <w:b/>
          <w:bCs/>
          <w:color w:val="auto"/>
          <w:szCs w:val="24"/>
          <w:highlight w:val="none"/>
        </w:rPr>
        <w:t>3.2</w:t>
      </w:r>
      <w:r>
        <w:rPr>
          <w:rFonts w:hAnsi="宋体"/>
          <w:b/>
          <w:bCs/>
          <w:color w:val="auto"/>
          <w:szCs w:val="24"/>
          <w:highlight w:val="none"/>
        </w:rPr>
        <w:t>根据本次采购项目的特殊要求，规定的供应商特殊条件（见</w:t>
      </w:r>
      <w:r>
        <w:rPr>
          <w:rFonts w:hint="eastAsia" w:hAnsi="宋体"/>
          <w:b/>
          <w:bCs/>
          <w:color w:val="auto"/>
          <w:szCs w:val="24"/>
          <w:highlight w:val="none"/>
        </w:rPr>
        <w:t>供应商</w:t>
      </w:r>
      <w:r>
        <w:rPr>
          <w:rFonts w:hAnsi="宋体"/>
          <w:b/>
          <w:bCs/>
          <w:color w:val="auto"/>
          <w:szCs w:val="24"/>
          <w:highlight w:val="none"/>
        </w:rPr>
        <w:t>须知前附表）。</w:t>
      </w:r>
    </w:p>
    <w:p w14:paraId="54A84DC3">
      <w:pPr>
        <w:spacing w:line="500" w:lineRule="exact"/>
        <w:ind w:firstLine="482" w:firstLineChars="200"/>
        <w:rPr>
          <w:rFonts w:hAnsi="宋体"/>
          <w:color w:val="auto"/>
          <w:szCs w:val="24"/>
          <w:highlight w:val="none"/>
        </w:rPr>
      </w:pPr>
      <w:r>
        <w:rPr>
          <w:rFonts w:hint="eastAsia" w:hAnsi="宋体"/>
          <w:b/>
          <w:bCs/>
          <w:color w:val="auto"/>
          <w:szCs w:val="24"/>
          <w:highlight w:val="none"/>
        </w:rPr>
        <w:t>3.3法定代表人为同一人的两个及两个以上的法人，母公司、全资子公司及其控股公司，都不得在同一项目（分包的按包）的采购中同时参与磋商，否则均为无效磋商。</w:t>
      </w:r>
    </w:p>
    <w:p w14:paraId="12A2C7C4">
      <w:pPr>
        <w:spacing w:line="500" w:lineRule="exact"/>
        <w:ind w:firstLine="480" w:firstLineChars="200"/>
        <w:rPr>
          <w:rFonts w:hAnsi="宋体"/>
          <w:color w:val="auto"/>
          <w:szCs w:val="24"/>
          <w:highlight w:val="none"/>
        </w:rPr>
      </w:pPr>
      <w:r>
        <w:rPr>
          <w:rFonts w:hint="eastAsia" w:hAnsi="宋体"/>
          <w:color w:val="auto"/>
          <w:szCs w:val="24"/>
          <w:highlight w:val="none"/>
        </w:rPr>
        <w:t>3.4供应商</w:t>
      </w:r>
      <w:r>
        <w:rPr>
          <w:rFonts w:hAnsi="宋体"/>
          <w:color w:val="auto"/>
          <w:szCs w:val="24"/>
          <w:highlight w:val="none"/>
        </w:rPr>
        <w:t>必须在西安天合建设项目管理有限公司</w:t>
      </w:r>
      <w:r>
        <w:rPr>
          <w:rFonts w:hint="eastAsia" w:hAnsi="宋体"/>
          <w:color w:val="auto"/>
          <w:szCs w:val="24"/>
          <w:highlight w:val="none"/>
          <w:lang w:eastAsia="zh-CN"/>
        </w:rPr>
        <w:t>商南分公司</w:t>
      </w:r>
      <w:r>
        <w:rPr>
          <w:rFonts w:hAnsi="宋体"/>
          <w:color w:val="auto"/>
          <w:szCs w:val="24"/>
          <w:highlight w:val="none"/>
        </w:rPr>
        <w:t>购买</w:t>
      </w:r>
      <w:r>
        <w:rPr>
          <w:color w:val="auto"/>
          <w:highlight w:val="none"/>
        </w:rPr>
        <w:t>竞争</w:t>
      </w:r>
      <w:r>
        <w:rPr>
          <w:rFonts w:hint="eastAsia"/>
          <w:color w:val="auto"/>
          <w:highlight w:val="none"/>
        </w:rPr>
        <w:t>性磋商</w:t>
      </w:r>
      <w:r>
        <w:rPr>
          <w:color w:val="auto"/>
          <w:highlight w:val="none"/>
        </w:rPr>
        <w:t>文件</w:t>
      </w:r>
      <w:r>
        <w:rPr>
          <w:rFonts w:hAnsi="宋体"/>
          <w:color w:val="auto"/>
          <w:szCs w:val="24"/>
          <w:highlight w:val="none"/>
        </w:rPr>
        <w:t>，方可参加</w:t>
      </w:r>
      <w:r>
        <w:rPr>
          <w:rFonts w:hint="eastAsia" w:hAnsi="宋体"/>
          <w:color w:val="auto"/>
          <w:szCs w:val="24"/>
          <w:highlight w:val="none"/>
        </w:rPr>
        <w:t>磋商</w:t>
      </w:r>
      <w:r>
        <w:rPr>
          <w:rFonts w:hAnsi="宋体"/>
          <w:color w:val="auto"/>
          <w:szCs w:val="24"/>
          <w:highlight w:val="none"/>
        </w:rPr>
        <w:t>。</w:t>
      </w:r>
      <w:r>
        <w:rPr>
          <w:color w:val="auto"/>
          <w:highlight w:val="none"/>
        </w:rPr>
        <w:t>竞争</w:t>
      </w:r>
      <w:r>
        <w:rPr>
          <w:rFonts w:hint="eastAsia"/>
          <w:color w:val="auto"/>
          <w:highlight w:val="none"/>
        </w:rPr>
        <w:t>性</w:t>
      </w:r>
      <w:r>
        <w:rPr>
          <w:rFonts w:hint="eastAsia" w:hAnsi="宋体"/>
          <w:color w:val="auto"/>
          <w:szCs w:val="24"/>
          <w:highlight w:val="none"/>
        </w:rPr>
        <w:t>磋商</w:t>
      </w:r>
      <w:r>
        <w:rPr>
          <w:rFonts w:hAnsi="宋体"/>
          <w:color w:val="auto"/>
          <w:szCs w:val="24"/>
          <w:highlight w:val="none"/>
        </w:rPr>
        <w:t>文件售后不退。</w:t>
      </w:r>
    </w:p>
    <w:p w14:paraId="09060ECC">
      <w:pPr>
        <w:spacing w:line="500" w:lineRule="exact"/>
        <w:ind w:firstLine="480" w:firstLineChars="200"/>
        <w:rPr>
          <w:rFonts w:hAnsi="宋体"/>
          <w:color w:val="auto"/>
          <w:szCs w:val="24"/>
          <w:highlight w:val="none"/>
        </w:rPr>
      </w:pPr>
      <w:r>
        <w:rPr>
          <w:rFonts w:hint="eastAsia" w:hAnsi="宋体"/>
          <w:color w:val="auto"/>
          <w:szCs w:val="24"/>
          <w:highlight w:val="none"/>
        </w:rPr>
        <w:t>3</w:t>
      </w:r>
      <w:r>
        <w:rPr>
          <w:rFonts w:hAnsi="宋体"/>
          <w:color w:val="auto"/>
          <w:szCs w:val="24"/>
          <w:highlight w:val="none"/>
        </w:rPr>
        <w:t>.</w:t>
      </w:r>
      <w:r>
        <w:rPr>
          <w:rFonts w:hint="eastAsia" w:hAnsi="宋体"/>
          <w:color w:val="auto"/>
          <w:szCs w:val="24"/>
          <w:highlight w:val="none"/>
        </w:rPr>
        <w:t>5本项目不接受联合体磋商。</w:t>
      </w:r>
    </w:p>
    <w:p w14:paraId="220690B5">
      <w:pPr>
        <w:spacing w:line="500" w:lineRule="exact"/>
        <w:ind w:firstLine="480" w:firstLineChars="200"/>
        <w:rPr>
          <w:rFonts w:hAnsi="宋体"/>
          <w:color w:val="auto"/>
          <w:szCs w:val="24"/>
          <w:highlight w:val="none"/>
        </w:rPr>
      </w:pPr>
      <w:r>
        <w:rPr>
          <w:rFonts w:hint="eastAsia" w:hAnsi="宋体"/>
          <w:color w:val="auto"/>
          <w:szCs w:val="24"/>
          <w:highlight w:val="none"/>
        </w:rPr>
        <w:t>3.6磋商</w:t>
      </w:r>
      <w:r>
        <w:rPr>
          <w:rFonts w:hAnsi="宋体"/>
          <w:color w:val="auto"/>
          <w:szCs w:val="24"/>
          <w:highlight w:val="none"/>
        </w:rPr>
        <w:t>费用自理。不论</w:t>
      </w:r>
      <w:r>
        <w:rPr>
          <w:rFonts w:hint="eastAsia" w:hAnsi="宋体"/>
          <w:color w:val="auto"/>
          <w:szCs w:val="24"/>
          <w:highlight w:val="none"/>
        </w:rPr>
        <w:t>磋商</w:t>
      </w:r>
      <w:r>
        <w:rPr>
          <w:rFonts w:hAnsi="宋体"/>
          <w:color w:val="auto"/>
          <w:szCs w:val="24"/>
          <w:highlight w:val="none"/>
        </w:rPr>
        <w:t>的结果如何，</w:t>
      </w:r>
      <w:r>
        <w:rPr>
          <w:rFonts w:hint="eastAsia" w:hAnsi="宋体"/>
          <w:color w:val="auto"/>
          <w:szCs w:val="24"/>
          <w:highlight w:val="none"/>
        </w:rPr>
        <w:t>供应商</w:t>
      </w:r>
      <w:r>
        <w:rPr>
          <w:rFonts w:hAnsi="宋体"/>
          <w:color w:val="auto"/>
          <w:szCs w:val="24"/>
          <w:highlight w:val="none"/>
        </w:rPr>
        <w:t>均应自行承担所有与参加</w:t>
      </w:r>
      <w:r>
        <w:rPr>
          <w:rFonts w:hint="eastAsia" w:hAnsi="宋体"/>
          <w:color w:val="auto"/>
          <w:szCs w:val="24"/>
          <w:highlight w:val="none"/>
        </w:rPr>
        <w:t>磋商</w:t>
      </w:r>
      <w:r>
        <w:rPr>
          <w:rFonts w:hAnsi="宋体"/>
          <w:color w:val="auto"/>
          <w:szCs w:val="24"/>
          <w:highlight w:val="none"/>
        </w:rPr>
        <w:t>有关的费用。</w:t>
      </w:r>
    </w:p>
    <w:p w14:paraId="5DE1DFB5">
      <w:pPr>
        <w:tabs>
          <w:tab w:val="left" w:pos="747"/>
        </w:tabs>
        <w:snapToGrid w:val="0"/>
        <w:spacing w:line="500" w:lineRule="exact"/>
        <w:rPr>
          <w:b/>
          <w:bCs/>
          <w:color w:val="auto"/>
          <w:highlight w:val="none"/>
        </w:rPr>
      </w:pPr>
      <w:r>
        <w:rPr>
          <w:rFonts w:hint="eastAsia"/>
          <w:b/>
          <w:bCs/>
          <w:color w:val="auto"/>
          <w:highlight w:val="none"/>
        </w:rPr>
        <w:t>4.</w:t>
      </w:r>
      <w:r>
        <w:rPr>
          <w:rFonts w:hAnsi="宋体"/>
          <w:b/>
          <w:color w:val="auto"/>
          <w:szCs w:val="24"/>
          <w:highlight w:val="none"/>
        </w:rPr>
        <w:t>.</w:t>
      </w:r>
      <w:r>
        <w:rPr>
          <w:rFonts w:hint="eastAsia" w:hAnsi="宋体" w:cs="宋体"/>
          <w:b/>
          <w:color w:val="auto"/>
          <w:szCs w:val="24"/>
          <w:highlight w:val="none"/>
        </w:rPr>
        <w:t>竞争性</w:t>
      </w:r>
      <w:r>
        <w:rPr>
          <w:rFonts w:hint="eastAsia" w:hAnsi="宋体"/>
          <w:b/>
          <w:color w:val="auto"/>
          <w:szCs w:val="24"/>
          <w:highlight w:val="none"/>
        </w:rPr>
        <w:t>磋商</w:t>
      </w:r>
      <w:r>
        <w:rPr>
          <w:rFonts w:hAnsi="宋体"/>
          <w:b/>
          <w:color w:val="auto"/>
          <w:szCs w:val="24"/>
          <w:highlight w:val="none"/>
        </w:rPr>
        <w:t>产品</w:t>
      </w:r>
      <w:r>
        <w:rPr>
          <w:rFonts w:hint="eastAsia" w:hAnsi="宋体"/>
          <w:b/>
          <w:color w:val="auto"/>
          <w:szCs w:val="24"/>
          <w:highlight w:val="none"/>
        </w:rPr>
        <w:t>（含服务）</w:t>
      </w:r>
      <w:r>
        <w:rPr>
          <w:rFonts w:hAnsi="宋体"/>
          <w:b/>
          <w:color w:val="auto"/>
          <w:szCs w:val="24"/>
          <w:highlight w:val="none"/>
        </w:rPr>
        <w:t>的合格性和合法性</w:t>
      </w:r>
    </w:p>
    <w:p w14:paraId="274AB5A3">
      <w:pPr>
        <w:tabs>
          <w:tab w:val="left" w:pos="747"/>
        </w:tabs>
        <w:snapToGrid w:val="0"/>
        <w:spacing w:line="500" w:lineRule="exact"/>
        <w:ind w:firstLine="480" w:firstLineChars="200"/>
        <w:rPr>
          <w:color w:val="auto"/>
          <w:highlight w:val="none"/>
        </w:rPr>
      </w:pPr>
      <w:r>
        <w:rPr>
          <w:rFonts w:hint="eastAsia" w:hAnsi="宋体"/>
          <w:color w:val="auto"/>
          <w:szCs w:val="24"/>
          <w:highlight w:val="none"/>
        </w:rPr>
        <w:t>4</w:t>
      </w:r>
      <w:r>
        <w:rPr>
          <w:rFonts w:hAnsi="宋体"/>
          <w:color w:val="auto"/>
          <w:szCs w:val="24"/>
          <w:highlight w:val="none"/>
        </w:rPr>
        <w:t>.1</w:t>
      </w:r>
      <w:r>
        <w:rPr>
          <w:rFonts w:hint="eastAsia" w:hAnsi="宋体"/>
          <w:color w:val="auto"/>
          <w:szCs w:val="24"/>
          <w:highlight w:val="none"/>
        </w:rPr>
        <w:t>竞争性磋商产品（含服务）</w:t>
      </w:r>
      <w:r>
        <w:rPr>
          <w:rFonts w:hAnsi="宋体"/>
          <w:color w:val="auto"/>
          <w:szCs w:val="24"/>
          <w:highlight w:val="none"/>
        </w:rPr>
        <w:t>应满足</w:t>
      </w:r>
      <w:r>
        <w:rPr>
          <w:rFonts w:hint="eastAsia" w:hAnsi="宋体"/>
          <w:color w:val="auto"/>
          <w:szCs w:val="24"/>
          <w:highlight w:val="none"/>
        </w:rPr>
        <w:t>竞争性磋商</w:t>
      </w:r>
      <w:r>
        <w:rPr>
          <w:rFonts w:hAnsi="宋体"/>
          <w:color w:val="auto"/>
          <w:szCs w:val="24"/>
          <w:highlight w:val="none"/>
        </w:rPr>
        <w:t>文件的要求并应符合国家法律法规、行业管理部门要求的其他强制性标准。</w:t>
      </w:r>
      <w:r>
        <w:rPr>
          <w:color w:val="auto"/>
          <w:highlight w:val="none"/>
        </w:rPr>
        <w:t>并满足</w:t>
      </w:r>
      <w:r>
        <w:rPr>
          <w:rFonts w:hint="eastAsia"/>
          <w:color w:val="auto"/>
          <w:highlight w:val="none"/>
        </w:rPr>
        <w:t>竞争性磋商</w:t>
      </w:r>
      <w:r>
        <w:rPr>
          <w:color w:val="auto"/>
          <w:highlight w:val="none"/>
        </w:rPr>
        <w:t>文件规定的质量、价格、有效期、售后服务及</w:t>
      </w:r>
      <w:r>
        <w:rPr>
          <w:rFonts w:hint="eastAsia"/>
          <w:color w:val="auto"/>
          <w:highlight w:val="none"/>
        </w:rPr>
        <w:t>供应商</w:t>
      </w:r>
      <w:r>
        <w:rPr>
          <w:color w:val="auto"/>
          <w:highlight w:val="none"/>
        </w:rPr>
        <w:t>须承担的运输、</w:t>
      </w:r>
      <w:r>
        <w:rPr>
          <w:rFonts w:hint="eastAsia"/>
          <w:color w:val="auto"/>
          <w:highlight w:val="none"/>
        </w:rPr>
        <w:t>配送</w:t>
      </w:r>
      <w:r>
        <w:rPr>
          <w:color w:val="auto"/>
          <w:highlight w:val="none"/>
        </w:rPr>
        <w:t>、技术支持和</w:t>
      </w:r>
      <w:r>
        <w:rPr>
          <w:rFonts w:hint="eastAsia"/>
          <w:color w:val="auto"/>
          <w:highlight w:val="none"/>
        </w:rPr>
        <w:t>竞争性磋商</w:t>
      </w:r>
      <w:r>
        <w:rPr>
          <w:color w:val="auto"/>
          <w:highlight w:val="none"/>
        </w:rPr>
        <w:t>文件规定的其他伴随服务等要求。</w:t>
      </w:r>
    </w:p>
    <w:p w14:paraId="557F9872">
      <w:pPr>
        <w:tabs>
          <w:tab w:val="left" w:pos="747"/>
        </w:tabs>
        <w:snapToGrid w:val="0"/>
        <w:spacing w:line="500" w:lineRule="exact"/>
        <w:ind w:firstLine="480" w:firstLineChars="200"/>
        <w:rPr>
          <w:rFonts w:hAnsi="宋体"/>
          <w:color w:val="auto"/>
          <w:szCs w:val="24"/>
          <w:highlight w:val="none"/>
        </w:rPr>
      </w:pPr>
      <w:r>
        <w:rPr>
          <w:color w:val="auto"/>
          <w:highlight w:val="none"/>
        </w:rPr>
        <w:t>4.2采购人有权拒绝接受任何不合格的产品和服务，由此产生的费用及相关后果均由</w:t>
      </w:r>
      <w:r>
        <w:rPr>
          <w:rFonts w:hint="eastAsia"/>
          <w:color w:val="auto"/>
          <w:highlight w:val="none"/>
        </w:rPr>
        <w:t>供应商</w:t>
      </w:r>
      <w:r>
        <w:rPr>
          <w:color w:val="auto"/>
          <w:highlight w:val="none"/>
        </w:rPr>
        <w:t>自行承担。</w:t>
      </w:r>
    </w:p>
    <w:p w14:paraId="5E11C362">
      <w:pPr>
        <w:spacing w:line="360" w:lineRule="auto"/>
        <w:rPr>
          <w:rFonts w:hAnsi="宋体" w:cs="宋体"/>
          <w:b/>
          <w:color w:val="auto"/>
          <w:szCs w:val="24"/>
          <w:highlight w:val="none"/>
        </w:rPr>
      </w:pPr>
      <w:r>
        <w:rPr>
          <w:rFonts w:hint="eastAsia" w:hAnsi="宋体" w:cs="宋体"/>
          <w:b/>
          <w:color w:val="auto"/>
          <w:szCs w:val="24"/>
          <w:highlight w:val="none"/>
        </w:rPr>
        <w:t>5.竞争性磋商响应文件内容的真实性</w:t>
      </w:r>
    </w:p>
    <w:p w14:paraId="3C0F81A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439AB111">
      <w:pPr>
        <w:keepNext/>
        <w:keepLines/>
        <w:spacing w:before="312" w:beforeLines="100" w:after="156" w:afterLines="50" w:line="360" w:lineRule="auto"/>
        <w:jc w:val="center"/>
        <w:rPr>
          <w:rFonts w:hAnsi="宋体"/>
          <w:b/>
          <w:color w:val="auto"/>
          <w:sz w:val="32"/>
          <w:szCs w:val="32"/>
          <w:highlight w:val="none"/>
        </w:rPr>
      </w:pPr>
      <w:r>
        <w:rPr>
          <w:rFonts w:hAnsi="宋体"/>
          <w:b/>
          <w:color w:val="auto"/>
          <w:sz w:val="32"/>
          <w:szCs w:val="32"/>
          <w:highlight w:val="none"/>
        </w:rPr>
        <w:t>二.</w:t>
      </w:r>
      <w:r>
        <w:rPr>
          <w:rFonts w:hint="eastAsia" w:hAnsi="宋体"/>
          <w:b/>
          <w:color w:val="auto"/>
          <w:sz w:val="32"/>
          <w:szCs w:val="32"/>
          <w:highlight w:val="none"/>
        </w:rPr>
        <w:t>竞争性磋商</w:t>
      </w:r>
      <w:r>
        <w:rPr>
          <w:rFonts w:hAnsi="宋体"/>
          <w:b/>
          <w:color w:val="auto"/>
          <w:sz w:val="32"/>
          <w:szCs w:val="32"/>
          <w:highlight w:val="none"/>
        </w:rPr>
        <w:t>文件</w:t>
      </w:r>
      <w:bookmarkEnd w:id="26"/>
      <w:bookmarkEnd w:id="27"/>
      <w:bookmarkEnd w:id="28"/>
    </w:p>
    <w:p w14:paraId="39C24BA2">
      <w:pPr>
        <w:spacing w:line="360" w:lineRule="auto"/>
        <w:rPr>
          <w:rFonts w:hAnsi="宋体"/>
          <w:b/>
          <w:color w:val="auto"/>
          <w:szCs w:val="24"/>
          <w:highlight w:val="none"/>
        </w:rPr>
      </w:pPr>
      <w:r>
        <w:rPr>
          <w:rFonts w:hAnsi="宋体"/>
          <w:b/>
          <w:color w:val="auto"/>
          <w:szCs w:val="24"/>
          <w:highlight w:val="none"/>
        </w:rPr>
        <w:t>6.</w:t>
      </w:r>
      <w:r>
        <w:rPr>
          <w:rFonts w:hint="eastAsia" w:hAnsi="宋体"/>
          <w:b/>
          <w:color w:val="auto"/>
          <w:szCs w:val="24"/>
          <w:highlight w:val="none"/>
        </w:rPr>
        <w:t>竞争性磋商</w:t>
      </w:r>
      <w:r>
        <w:rPr>
          <w:rFonts w:hAnsi="宋体"/>
          <w:b/>
          <w:color w:val="auto"/>
          <w:szCs w:val="24"/>
          <w:highlight w:val="none"/>
        </w:rPr>
        <w:t>文件构成</w:t>
      </w:r>
    </w:p>
    <w:p w14:paraId="78B0FA54">
      <w:pPr>
        <w:spacing w:line="360" w:lineRule="auto"/>
        <w:ind w:firstLine="480" w:firstLineChars="200"/>
        <w:rPr>
          <w:rFonts w:hAnsi="宋体"/>
          <w:color w:val="auto"/>
          <w:szCs w:val="24"/>
          <w:highlight w:val="none"/>
        </w:rPr>
      </w:pPr>
      <w:r>
        <w:rPr>
          <w:rFonts w:hAnsi="宋体"/>
          <w:color w:val="auto"/>
          <w:szCs w:val="24"/>
          <w:highlight w:val="none"/>
        </w:rPr>
        <w:t xml:space="preserve">6.1 </w:t>
      </w:r>
      <w:r>
        <w:rPr>
          <w:rFonts w:hint="eastAsia" w:hAnsi="宋体"/>
          <w:color w:val="auto"/>
          <w:szCs w:val="24"/>
          <w:highlight w:val="none"/>
        </w:rPr>
        <w:t>竞争性磋商文件规定了</w:t>
      </w:r>
      <w:r>
        <w:rPr>
          <w:rFonts w:hAnsi="宋体"/>
          <w:color w:val="auto"/>
          <w:szCs w:val="24"/>
          <w:highlight w:val="none"/>
        </w:rPr>
        <w:t>要求提供的产品</w:t>
      </w:r>
      <w:r>
        <w:rPr>
          <w:rFonts w:hint="eastAsia" w:hAnsi="宋体"/>
          <w:color w:val="auto"/>
          <w:szCs w:val="24"/>
          <w:highlight w:val="none"/>
        </w:rPr>
        <w:t>和服务</w:t>
      </w:r>
      <w:r>
        <w:rPr>
          <w:rFonts w:hAnsi="宋体"/>
          <w:color w:val="auto"/>
          <w:szCs w:val="24"/>
          <w:highlight w:val="none"/>
        </w:rPr>
        <w:t>，</w:t>
      </w:r>
      <w:r>
        <w:rPr>
          <w:rFonts w:hint="eastAsia" w:hAnsi="宋体"/>
          <w:color w:val="auto"/>
          <w:szCs w:val="24"/>
          <w:highlight w:val="none"/>
        </w:rPr>
        <w:t>磋商</w:t>
      </w:r>
      <w:r>
        <w:rPr>
          <w:rFonts w:hAnsi="宋体"/>
          <w:color w:val="auto"/>
          <w:szCs w:val="24"/>
          <w:highlight w:val="none"/>
        </w:rPr>
        <w:t>程序和合同条件在</w:t>
      </w:r>
      <w:r>
        <w:rPr>
          <w:rFonts w:hint="eastAsia" w:hAnsi="宋体"/>
          <w:color w:val="auto"/>
          <w:szCs w:val="24"/>
          <w:highlight w:val="none"/>
        </w:rPr>
        <w:t>竞争性磋商文件</w:t>
      </w:r>
      <w:r>
        <w:rPr>
          <w:rFonts w:hAnsi="宋体"/>
          <w:color w:val="auto"/>
          <w:szCs w:val="24"/>
          <w:highlight w:val="none"/>
        </w:rPr>
        <w:t>中均有说明。</w:t>
      </w:r>
      <w:r>
        <w:rPr>
          <w:rFonts w:hint="eastAsia" w:hAnsi="宋体"/>
          <w:color w:val="auto"/>
          <w:szCs w:val="24"/>
          <w:highlight w:val="none"/>
        </w:rPr>
        <w:t>竞争性磋商文件</w:t>
      </w:r>
      <w:r>
        <w:rPr>
          <w:rFonts w:hAnsi="宋体"/>
          <w:color w:val="auto"/>
          <w:szCs w:val="24"/>
          <w:highlight w:val="none"/>
        </w:rPr>
        <w:t>共</w:t>
      </w:r>
      <w:r>
        <w:rPr>
          <w:rFonts w:hint="eastAsia" w:hAnsi="宋体"/>
          <w:color w:val="auto"/>
          <w:szCs w:val="24"/>
          <w:highlight w:val="none"/>
        </w:rPr>
        <w:t>六</w:t>
      </w:r>
      <w:r>
        <w:rPr>
          <w:rFonts w:hAnsi="宋体"/>
          <w:color w:val="auto"/>
          <w:szCs w:val="24"/>
          <w:highlight w:val="none"/>
        </w:rPr>
        <w:t>章，内容如下：</w:t>
      </w:r>
    </w:p>
    <w:p w14:paraId="0D505854">
      <w:pPr>
        <w:spacing w:line="360" w:lineRule="auto"/>
        <w:ind w:firstLine="480" w:firstLineChars="200"/>
        <w:rPr>
          <w:rFonts w:hAnsi="宋体"/>
          <w:color w:val="auto"/>
          <w:szCs w:val="24"/>
          <w:highlight w:val="none"/>
        </w:rPr>
      </w:pPr>
      <w:r>
        <w:rPr>
          <w:rFonts w:hAnsi="宋体"/>
          <w:color w:val="auto"/>
          <w:szCs w:val="24"/>
          <w:highlight w:val="none"/>
        </w:rPr>
        <w:t>第一章</w:t>
      </w:r>
      <w:r>
        <w:rPr>
          <w:rFonts w:hint="eastAsia" w:hAnsi="宋体"/>
          <w:color w:val="auto"/>
          <w:szCs w:val="24"/>
          <w:highlight w:val="none"/>
        </w:rPr>
        <w:t xml:space="preserve"> 竞争性磋商公告</w:t>
      </w:r>
    </w:p>
    <w:p w14:paraId="41E428FE">
      <w:pPr>
        <w:spacing w:line="360" w:lineRule="auto"/>
        <w:ind w:firstLine="480" w:firstLineChars="200"/>
        <w:rPr>
          <w:rFonts w:hAnsi="宋体"/>
          <w:color w:val="auto"/>
          <w:szCs w:val="24"/>
          <w:highlight w:val="none"/>
        </w:rPr>
      </w:pPr>
      <w:r>
        <w:rPr>
          <w:rFonts w:hAnsi="宋体"/>
          <w:color w:val="auto"/>
          <w:szCs w:val="24"/>
          <w:highlight w:val="none"/>
        </w:rPr>
        <w:t>第</w:t>
      </w:r>
      <w:r>
        <w:rPr>
          <w:rFonts w:hint="eastAsia" w:hAnsi="宋体"/>
          <w:color w:val="auto"/>
          <w:szCs w:val="24"/>
          <w:highlight w:val="none"/>
        </w:rPr>
        <w:t>二</w:t>
      </w:r>
      <w:r>
        <w:rPr>
          <w:rFonts w:hAnsi="宋体"/>
          <w:color w:val="auto"/>
          <w:szCs w:val="24"/>
          <w:highlight w:val="none"/>
        </w:rPr>
        <w:t xml:space="preserve">章 </w:t>
      </w:r>
      <w:r>
        <w:rPr>
          <w:rFonts w:hint="eastAsia" w:hAnsi="宋体"/>
          <w:color w:val="auto"/>
          <w:szCs w:val="24"/>
          <w:highlight w:val="none"/>
        </w:rPr>
        <w:t>供应商</w:t>
      </w:r>
      <w:r>
        <w:rPr>
          <w:rFonts w:hAnsi="宋体"/>
          <w:color w:val="auto"/>
          <w:szCs w:val="24"/>
          <w:highlight w:val="none"/>
        </w:rPr>
        <w:t>须知</w:t>
      </w:r>
    </w:p>
    <w:p w14:paraId="0F3B7CA7">
      <w:pPr>
        <w:spacing w:line="360" w:lineRule="auto"/>
        <w:ind w:firstLine="480" w:firstLineChars="200"/>
        <w:rPr>
          <w:rFonts w:hAnsi="宋体"/>
          <w:color w:val="auto"/>
          <w:szCs w:val="24"/>
          <w:highlight w:val="none"/>
        </w:rPr>
      </w:pPr>
      <w:r>
        <w:rPr>
          <w:rFonts w:hint="eastAsia" w:hAnsi="宋体"/>
          <w:color w:val="auto"/>
          <w:szCs w:val="24"/>
          <w:highlight w:val="none"/>
        </w:rPr>
        <w:t xml:space="preserve">       供应商须知前附表</w:t>
      </w:r>
    </w:p>
    <w:p w14:paraId="6B50A32F">
      <w:pPr>
        <w:spacing w:line="360" w:lineRule="auto"/>
        <w:ind w:firstLine="480" w:firstLineChars="200"/>
        <w:rPr>
          <w:rFonts w:hAnsi="宋体"/>
          <w:color w:val="auto"/>
          <w:szCs w:val="24"/>
          <w:highlight w:val="none"/>
        </w:rPr>
      </w:pPr>
      <w:r>
        <w:rPr>
          <w:rFonts w:hAnsi="宋体"/>
          <w:color w:val="auto"/>
          <w:szCs w:val="24"/>
          <w:highlight w:val="none"/>
        </w:rPr>
        <w:t>第</w:t>
      </w:r>
      <w:r>
        <w:rPr>
          <w:rFonts w:hint="eastAsia" w:hAnsi="宋体"/>
          <w:color w:val="auto"/>
          <w:szCs w:val="24"/>
          <w:highlight w:val="none"/>
        </w:rPr>
        <w:t>三</w:t>
      </w:r>
      <w:r>
        <w:rPr>
          <w:rFonts w:hAnsi="宋体"/>
          <w:color w:val="auto"/>
          <w:szCs w:val="24"/>
          <w:highlight w:val="none"/>
        </w:rPr>
        <w:t>章</w:t>
      </w:r>
      <w:r>
        <w:rPr>
          <w:rFonts w:hint="eastAsia" w:hAnsi="宋体"/>
          <w:color w:val="auto"/>
          <w:szCs w:val="24"/>
          <w:highlight w:val="none"/>
        </w:rPr>
        <w:t xml:space="preserve"> 合同条款及格式    </w:t>
      </w:r>
    </w:p>
    <w:p w14:paraId="46812A3F">
      <w:pPr>
        <w:spacing w:line="360" w:lineRule="auto"/>
        <w:ind w:firstLine="480" w:firstLineChars="200"/>
        <w:rPr>
          <w:rFonts w:hAnsi="宋体"/>
          <w:color w:val="auto"/>
          <w:szCs w:val="24"/>
          <w:highlight w:val="none"/>
        </w:rPr>
      </w:pPr>
      <w:r>
        <w:rPr>
          <w:rFonts w:hAnsi="宋体"/>
          <w:color w:val="auto"/>
          <w:szCs w:val="24"/>
          <w:highlight w:val="none"/>
        </w:rPr>
        <w:t>第</w:t>
      </w:r>
      <w:r>
        <w:rPr>
          <w:rFonts w:hint="eastAsia" w:hAnsi="宋体"/>
          <w:color w:val="auto"/>
          <w:szCs w:val="24"/>
          <w:highlight w:val="none"/>
        </w:rPr>
        <w:t>四</w:t>
      </w:r>
      <w:r>
        <w:rPr>
          <w:rFonts w:hAnsi="宋体"/>
          <w:color w:val="auto"/>
          <w:szCs w:val="24"/>
          <w:highlight w:val="none"/>
        </w:rPr>
        <w:t xml:space="preserve">章 </w:t>
      </w:r>
      <w:r>
        <w:rPr>
          <w:rFonts w:hint="eastAsia" w:hAnsi="宋体"/>
          <w:color w:val="auto"/>
          <w:szCs w:val="24"/>
          <w:highlight w:val="none"/>
        </w:rPr>
        <w:t>磋商</w:t>
      </w:r>
      <w:r>
        <w:rPr>
          <w:rFonts w:hAnsi="宋体"/>
          <w:color w:val="auto"/>
          <w:szCs w:val="24"/>
          <w:highlight w:val="none"/>
        </w:rPr>
        <w:t>内容及技术要求</w:t>
      </w:r>
    </w:p>
    <w:p w14:paraId="3742FCB3">
      <w:pPr>
        <w:spacing w:line="360" w:lineRule="auto"/>
        <w:ind w:firstLine="480" w:firstLineChars="200"/>
        <w:rPr>
          <w:rFonts w:hAnsi="宋体"/>
          <w:color w:val="auto"/>
          <w:szCs w:val="24"/>
          <w:highlight w:val="none"/>
        </w:rPr>
      </w:pPr>
      <w:r>
        <w:rPr>
          <w:rFonts w:hAnsi="宋体"/>
          <w:color w:val="auto"/>
          <w:szCs w:val="24"/>
          <w:highlight w:val="none"/>
        </w:rPr>
        <w:t>第</w:t>
      </w:r>
      <w:r>
        <w:rPr>
          <w:rFonts w:hint="eastAsia" w:hAnsi="宋体"/>
          <w:color w:val="auto"/>
          <w:szCs w:val="24"/>
          <w:highlight w:val="none"/>
        </w:rPr>
        <w:t>五</w:t>
      </w:r>
      <w:r>
        <w:rPr>
          <w:rFonts w:hAnsi="宋体"/>
          <w:color w:val="auto"/>
          <w:szCs w:val="24"/>
          <w:highlight w:val="none"/>
        </w:rPr>
        <w:t>章</w:t>
      </w:r>
      <w:r>
        <w:rPr>
          <w:rFonts w:hint="eastAsia" w:hAnsi="宋体"/>
          <w:color w:val="auto"/>
          <w:szCs w:val="24"/>
          <w:highlight w:val="none"/>
        </w:rPr>
        <w:t xml:space="preserve"> 评审方法</w:t>
      </w:r>
    </w:p>
    <w:p w14:paraId="6D79F4AA">
      <w:pPr>
        <w:spacing w:line="360" w:lineRule="auto"/>
        <w:ind w:firstLine="480" w:firstLineChars="200"/>
        <w:rPr>
          <w:rFonts w:hAnsi="宋体"/>
          <w:color w:val="auto"/>
          <w:szCs w:val="24"/>
          <w:highlight w:val="none"/>
        </w:rPr>
      </w:pPr>
      <w:r>
        <w:rPr>
          <w:rFonts w:hint="eastAsia" w:hAnsi="宋体"/>
          <w:color w:val="auto"/>
          <w:szCs w:val="24"/>
          <w:highlight w:val="none"/>
        </w:rPr>
        <w:t>第六章 竞争性磋商响应</w:t>
      </w:r>
      <w:r>
        <w:rPr>
          <w:rFonts w:hAnsi="宋体"/>
          <w:color w:val="auto"/>
          <w:szCs w:val="24"/>
          <w:highlight w:val="none"/>
        </w:rPr>
        <w:t xml:space="preserve">文件构成及格式  </w:t>
      </w:r>
    </w:p>
    <w:p w14:paraId="4BF71757">
      <w:pPr>
        <w:spacing w:line="360" w:lineRule="auto"/>
        <w:ind w:firstLine="480" w:firstLineChars="200"/>
        <w:rPr>
          <w:rFonts w:hAnsi="宋体"/>
          <w:color w:val="auto"/>
          <w:szCs w:val="24"/>
          <w:highlight w:val="none"/>
        </w:rPr>
      </w:pPr>
      <w:r>
        <w:rPr>
          <w:rFonts w:hAnsi="宋体"/>
          <w:color w:val="auto"/>
          <w:szCs w:val="24"/>
          <w:highlight w:val="none"/>
        </w:rPr>
        <w:t>6.2</w:t>
      </w:r>
      <w:r>
        <w:rPr>
          <w:rFonts w:hint="eastAsia" w:hAnsi="宋体"/>
          <w:color w:val="auto"/>
          <w:szCs w:val="24"/>
          <w:highlight w:val="none"/>
        </w:rPr>
        <w:t xml:space="preserve"> 供应商</w:t>
      </w:r>
      <w:r>
        <w:rPr>
          <w:rFonts w:hAnsi="宋体"/>
          <w:color w:val="auto"/>
          <w:szCs w:val="24"/>
          <w:highlight w:val="none"/>
        </w:rPr>
        <w:t>应认真阅读</w:t>
      </w:r>
      <w:r>
        <w:rPr>
          <w:rFonts w:hint="eastAsia" w:hAnsi="宋体"/>
          <w:color w:val="auto"/>
          <w:szCs w:val="24"/>
          <w:highlight w:val="none"/>
        </w:rPr>
        <w:t>竞争性磋商</w:t>
      </w:r>
      <w:r>
        <w:rPr>
          <w:rFonts w:hAnsi="宋体"/>
          <w:color w:val="auto"/>
          <w:szCs w:val="24"/>
          <w:highlight w:val="none"/>
        </w:rPr>
        <w:t>文件中所有的事项、格式、条款和规范等要求。如果</w:t>
      </w:r>
      <w:r>
        <w:rPr>
          <w:rFonts w:hint="eastAsia" w:hAnsi="宋体"/>
          <w:color w:val="auto"/>
          <w:szCs w:val="24"/>
          <w:highlight w:val="none"/>
        </w:rPr>
        <w:t>供应商</w:t>
      </w:r>
      <w:r>
        <w:rPr>
          <w:rFonts w:hAnsi="宋体"/>
          <w:color w:val="auto"/>
          <w:szCs w:val="24"/>
          <w:highlight w:val="none"/>
        </w:rPr>
        <w:t>没有按照</w:t>
      </w:r>
      <w:r>
        <w:rPr>
          <w:rFonts w:hint="eastAsia" w:hAnsi="宋体"/>
          <w:color w:val="auto"/>
          <w:szCs w:val="24"/>
          <w:highlight w:val="none"/>
        </w:rPr>
        <w:t>竞争性磋商</w:t>
      </w:r>
      <w:r>
        <w:rPr>
          <w:rFonts w:hAnsi="宋体"/>
          <w:color w:val="auto"/>
          <w:szCs w:val="24"/>
          <w:highlight w:val="none"/>
        </w:rPr>
        <w:t>文件要求提交全部资料，或者</w:t>
      </w:r>
      <w:r>
        <w:rPr>
          <w:rFonts w:hint="eastAsia" w:hAnsi="宋体"/>
          <w:color w:val="auto"/>
          <w:szCs w:val="24"/>
          <w:highlight w:val="none"/>
        </w:rPr>
        <w:t>竞争性磋商响应</w:t>
      </w:r>
      <w:r>
        <w:rPr>
          <w:rFonts w:hAnsi="宋体"/>
          <w:color w:val="auto"/>
          <w:szCs w:val="24"/>
          <w:highlight w:val="none"/>
        </w:rPr>
        <w:t>文件没有对</w:t>
      </w:r>
      <w:r>
        <w:rPr>
          <w:rFonts w:hint="eastAsia" w:hAnsi="宋体"/>
          <w:color w:val="auto"/>
          <w:szCs w:val="24"/>
          <w:highlight w:val="none"/>
        </w:rPr>
        <w:t>竞争性磋商</w:t>
      </w:r>
      <w:r>
        <w:rPr>
          <w:rFonts w:hAnsi="宋体"/>
          <w:color w:val="auto"/>
          <w:szCs w:val="24"/>
          <w:highlight w:val="none"/>
        </w:rPr>
        <w:t>文件在各方面都做出实质性响应，由此带来不利于</w:t>
      </w:r>
      <w:r>
        <w:rPr>
          <w:rFonts w:hint="eastAsia" w:hAnsi="宋体"/>
          <w:color w:val="auto"/>
          <w:szCs w:val="24"/>
          <w:highlight w:val="none"/>
        </w:rPr>
        <w:t>供应商</w:t>
      </w:r>
      <w:r>
        <w:rPr>
          <w:rFonts w:hAnsi="宋体"/>
          <w:color w:val="auto"/>
          <w:szCs w:val="24"/>
          <w:highlight w:val="none"/>
        </w:rPr>
        <w:t>的</w:t>
      </w:r>
      <w:r>
        <w:rPr>
          <w:rFonts w:hint="eastAsia" w:hAnsi="宋体"/>
          <w:color w:val="auto"/>
          <w:szCs w:val="24"/>
          <w:highlight w:val="none"/>
        </w:rPr>
        <w:t>磋商</w:t>
      </w:r>
      <w:r>
        <w:rPr>
          <w:rFonts w:hAnsi="宋体"/>
          <w:color w:val="auto"/>
          <w:szCs w:val="24"/>
          <w:highlight w:val="none"/>
        </w:rPr>
        <w:t>结果，其风险由</w:t>
      </w:r>
      <w:r>
        <w:rPr>
          <w:rFonts w:hint="eastAsia" w:hAnsi="宋体"/>
          <w:color w:val="auto"/>
          <w:szCs w:val="24"/>
          <w:highlight w:val="none"/>
        </w:rPr>
        <w:t>供应商</w:t>
      </w:r>
      <w:r>
        <w:rPr>
          <w:rFonts w:hAnsi="宋体"/>
          <w:color w:val="auto"/>
          <w:szCs w:val="24"/>
          <w:highlight w:val="none"/>
        </w:rPr>
        <w:t>承担。</w:t>
      </w:r>
    </w:p>
    <w:p w14:paraId="1780DFB5">
      <w:pPr>
        <w:spacing w:line="500" w:lineRule="exact"/>
        <w:ind w:firstLine="480" w:firstLineChars="200"/>
        <w:rPr>
          <w:rFonts w:hAnsi="宋体"/>
          <w:color w:val="auto"/>
          <w:szCs w:val="24"/>
          <w:highlight w:val="none"/>
        </w:rPr>
      </w:pPr>
      <w:r>
        <w:rPr>
          <w:rFonts w:hAnsi="宋体"/>
          <w:color w:val="auto"/>
          <w:szCs w:val="24"/>
          <w:highlight w:val="none"/>
        </w:rPr>
        <w:t>6.3本</w:t>
      </w:r>
      <w:r>
        <w:rPr>
          <w:rFonts w:hint="eastAsia" w:hAnsi="宋体"/>
          <w:color w:val="auto"/>
          <w:szCs w:val="24"/>
          <w:highlight w:val="none"/>
        </w:rPr>
        <w:t>竞争性磋商</w:t>
      </w:r>
      <w:r>
        <w:rPr>
          <w:rFonts w:hAnsi="宋体"/>
          <w:color w:val="auto"/>
          <w:szCs w:val="24"/>
          <w:highlight w:val="none"/>
        </w:rPr>
        <w:t>文件的解释权归西安天合建设项目管理有限公司</w:t>
      </w:r>
      <w:r>
        <w:rPr>
          <w:rFonts w:hint="eastAsia" w:hAnsi="宋体"/>
          <w:color w:val="auto"/>
          <w:szCs w:val="24"/>
          <w:highlight w:val="none"/>
          <w:lang w:eastAsia="zh-CN"/>
        </w:rPr>
        <w:t>商南分公司</w:t>
      </w:r>
      <w:r>
        <w:rPr>
          <w:rFonts w:hint="eastAsia" w:hAnsi="宋体"/>
          <w:color w:val="auto"/>
          <w:szCs w:val="24"/>
          <w:highlight w:val="none"/>
        </w:rPr>
        <w:t>，</w:t>
      </w:r>
      <w:r>
        <w:rPr>
          <w:rFonts w:hAnsi="宋体"/>
          <w:color w:val="auto"/>
          <w:szCs w:val="24"/>
          <w:highlight w:val="none"/>
        </w:rPr>
        <w:t>如发现</w:t>
      </w:r>
      <w:r>
        <w:rPr>
          <w:rFonts w:hint="eastAsia" w:hAnsi="宋体"/>
          <w:color w:val="auto"/>
          <w:szCs w:val="24"/>
          <w:highlight w:val="none"/>
        </w:rPr>
        <w:t>竞争性磋商响应</w:t>
      </w:r>
      <w:r>
        <w:rPr>
          <w:rFonts w:hAnsi="宋体"/>
          <w:color w:val="auto"/>
          <w:szCs w:val="24"/>
          <w:highlight w:val="none"/>
        </w:rPr>
        <w:t>文件内容与现行法律法规不相符的情况，以现行法律法规为准。</w:t>
      </w:r>
    </w:p>
    <w:p w14:paraId="5C724E6B">
      <w:pPr>
        <w:spacing w:line="360" w:lineRule="auto"/>
        <w:rPr>
          <w:rFonts w:hAnsi="宋体"/>
          <w:b/>
          <w:color w:val="auto"/>
          <w:szCs w:val="24"/>
          <w:highlight w:val="none"/>
        </w:rPr>
      </w:pPr>
      <w:r>
        <w:rPr>
          <w:rFonts w:hAnsi="宋体"/>
          <w:b/>
          <w:color w:val="auto"/>
          <w:szCs w:val="24"/>
          <w:highlight w:val="none"/>
        </w:rPr>
        <w:t>7.</w:t>
      </w:r>
      <w:r>
        <w:rPr>
          <w:rFonts w:hint="eastAsia" w:hAnsi="宋体"/>
          <w:b/>
          <w:color w:val="auto"/>
          <w:szCs w:val="24"/>
          <w:highlight w:val="none"/>
        </w:rPr>
        <w:t>竞争性磋商文</w:t>
      </w:r>
      <w:r>
        <w:rPr>
          <w:rFonts w:hAnsi="宋体"/>
          <w:b/>
          <w:color w:val="auto"/>
          <w:szCs w:val="24"/>
          <w:highlight w:val="none"/>
        </w:rPr>
        <w:t>件的修改和澄清</w:t>
      </w:r>
    </w:p>
    <w:p w14:paraId="061504E3">
      <w:pPr>
        <w:spacing w:line="360" w:lineRule="auto"/>
        <w:ind w:firstLine="480" w:firstLineChars="200"/>
        <w:rPr>
          <w:rFonts w:hAnsi="宋体"/>
          <w:color w:val="auto"/>
          <w:szCs w:val="24"/>
          <w:highlight w:val="none"/>
        </w:rPr>
      </w:pPr>
      <w:r>
        <w:rPr>
          <w:rFonts w:hAnsi="宋体"/>
          <w:color w:val="auto"/>
          <w:szCs w:val="24"/>
          <w:highlight w:val="none"/>
        </w:rPr>
        <w:t>7.1在</w:t>
      </w:r>
      <w:r>
        <w:rPr>
          <w:rFonts w:hint="eastAsia" w:hAnsi="宋体"/>
          <w:color w:val="auto"/>
          <w:szCs w:val="24"/>
          <w:highlight w:val="none"/>
        </w:rPr>
        <w:t>磋商响应文件</w:t>
      </w:r>
      <w:r>
        <w:rPr>
          <w:rFonts w:hAnsi="宋体"/>
          <w:color w:val="auto"/>
          <w:szCs w:val="24"/>
          <w:highlight w:val="none"/>
        </w:rPr>
        <w:t>截止时间</w:t>
      </w:r>
      <w:r>
        <w:rPr>
          <w:rFonts w:hint="eastAsia" w:hAnsi="宋体"/>
          <w:color w:val="auto"/>
          <w:szCs w:val="24"/>
          <w:highlight w:val="none"/>
        </w:rPr>
        <w:t>3日</w:t>
      </w:r>
      <w:r>
        <w:rPr>
          <w:rFonts w:hAnsi="宋体"/>
          <w:color w:val="auto"/>
          <w:szCs w:val="24"/>
          <w:highlight w:val="none"/>
        </w:rPr>
        <w:t>前，采购代理机构可以视采购具体情况，延长</w:t>
      </w:r>
      <w:r>
        <w:rPr>
          <w:rFonts w:hint="eastAsia" w:hAnsi="宋体"/>
          <w:color w:val="auto"/>
          <w:szCs w:val="24"/>
          <w:highlight w:val="none"/>
        </w:rPr>
        <w:t>竞争性磋商响应文件递交</w:t>
      </w:r>
      <w:r>
        <w:rPr>
          <w:rFonts w:hAnsi="宋体"/>
          <w:color w:val="auto"/>
          <w:szCs w:val="24"/>
          <w:highlight w:val="none"/>
        </w:rPr>
        <w:t>截止时间和</w:t>
      </w:r>
      <w:r>
        <w:rPr>
          <w:rFonts w:hint="eastAsia" w:hAnsi="宋体"/>
          <w:color w:val="auto"/>
          <w:szCs w:val="24"/>
          <w:highlight w:val="none"/>
        </w:rPr>
        <w:t>磋商</w:t>
      </w:r>
      <w:r>
        <w:rPr>
          <w:rFonts w:hAnsi="宋体"/>
          <w:color w:val="auto"/>
          <w:szCs w:val="24"/>
          <w:highlight w:val="none"/>
        </w:rPr>
        <w:t>时间</w:t>
      </w:r>
      <w:r>
        <w:rPr>
          <w:rFonts w:hint="eastAsia" w:hAnsi="宋体"/>
          <w:color w:val="auto"/>
          <w:szCs w:val="24"/>
          <w:highlight w:val="none"/>
        </w:rPr>
        <w:t>并</w:t>
      </w:r>
      <w:r>
        <w:rPr>
          <w:rFonts w:hAnsi="宋体"/>
          <w:color w:val="auto"/>
          <w:szCs w:val="24"/>
          <w:highlight w:val="none"/>
        </w:rPr>
        <w:t>在财政部门指定的媒体上发布变更公告，同时将变更时间书面通知所有</w:t>
      </w:r>
      <w:r>
        <w:rPr>
          <w:rFonts w:hint="eastAsia" w:hAnsi="宋体"/>
          <w:color w:val="auto"/>
          <w:szCs w:val="24"/>
          <w:highlight w:val="none"/>
        </w:rPr>
        <w:t>获取竞争性磋商</w:t>
      </w:r>
      <w:r>
        <w:rPr>
          <w:rFonts w:hAnsi="宋体"/>
          <w:color w:val="auto"/>
          <w:szCs w:val="24"/>
          <w:highlight w:val="none"/>
        </w:rPr>
        <w:t>文件的</w:t>
      </w:r>
      <w:r>
        <w:rPr>
          <w:rFonts w:hint="eastAsia" w:hAnsi="宋体"/>
          <w:color w:val="auto"/>
          <w:szCs w:val="24"/>
          <w:highlight w:val="none"/>
        </w:rPr>
        <w:t>供应商</w:t>
      </w:r>
      <w:r>
        <w:rPr>
          <w:rFonts w:hAnsi="宋体"/>
          <w:color w:val="auto"/>
          <w:szCs w:val="24"/>
          <w:highlight w:val="none"/>
        </w:rPr>
        <w:t>。</w:t>
      </w:r>
    </w:p>
    <w:p w14:paraId="29855F7F">
      <w:pPr>
        <w:spacing w:line="360" w:lineRule="auto"/>
        <w:ind w:firstLine="480" w:firstLineChars="200"/>
        <w:rPr>
          <w:rFonts w:hAnsi="宋体"/>
          <w:color w:val="auto"/>
          <w:szCs w:val="24"/>
          <w:highlight w:val="none"/>
        </w:rPr>
      </w:pPr>
      <w:r>
        <w:rPr>
          <w:rFonts w:hAnsi="宋体"/>
          <w:color w:val="auto"/>
          <w:szCs w:val="24"/>
          <w:highlight w:val="none"/>
        </w:rPr>
        <w:t>7.2</w:t>
      </w:r>
      <w:r>
        <w:rPr>
          <w:rFonts w:hint="eastAsia" w:hAnsi="宋体"/>
          <w:color w:val="auto"/>
          <w:szCs w:val="24"/>
          <w:highlight w:val="none"/>
        </w:rPr>
        <w:t>采购代理机构</w:t>
      </w:r>
      <w:r>
        <w:rPr>
          <w:rFonts w:hAnsi="宋体"/>
          <w:color w:val="auto"/>
          <w:szCs w:val="24"/>
          <w:highlight w:val="none"/>
        </w:rPr>
        <w:t>如果对已发出的</w:t>
      </w:r>
      <w:r>
        <w:rPr>
          <w:rFonts w:hint="eastAsia" w:hAnsi="宋体"/>
          <w:color w:val="auto"/>
          <w:szCs w:val="24"/>
          <w:highlight w:val="none"/>
        </w:rPr>
        <w:t>竞争性磋商</w:t>
      </w:r>
      <w:r>
        <w:rPr>
          <w:rFonts w:hAnsi="宋体"/>
          <w:color w:val="auto"/>
          <w:szCs w:val="24"/>
          <w:highlight w:val="none"/>
        </w:rPr>
        <w:t>文件进行</w:t>
      </w:r>
      <w:r>
        <w:rPr>
          <w:rFonts w:hint="eastAsia" w:hAnsi="宋体"/>
          <w:color w:val="auto"/>
          <w:szCs w:val="24"/>
          <w:highlight w:val="none"/>
        </w:rPr>
        <w:t>必要的澄清或者修改</w:t>
      </w:r>
      <w:r>
        <w:rPr>
          <w:rFonts w:hAnsi="宋体"/>
          <w:color w:val="auto"/>
          <w:szCs w:val="24"/>
          <w:highlight w:val="none"/>
        </w:rPr>
        <w:t>，将在</w:t>
      </w:r>
      <w:r>
        <w:rPr>
          <w:rFonts w:hint="eastAsia" w:hAnsi="宋体"/>
          <w:color w:val="auto"/>
          <w:szCs w:val="24"/>
          <w:highlight w:val="none"/>
        </w:rPr>
        <w:t>竞争性磋商</w:t>
      </w:r>
      <w:r>
        <w:rPr>
          <w:rFonts w:hAnsi="宋体"/>
          <w:color w:val="auto"/>
          <w:szCs w:val="24"/>
          <w:highlight w:val="none"/>
        </w:rPr>
        <w:t>文件要求提交</w:t>
      </w:r>
      <w:r>
        <w:rPr>
          <w:rFonts w:hint="eastAsia" w:hAnsi="宋体"/>
          <w:color w:val="auto"/>
          <w:szCs w:val="24"/>
          <w:highlight w:val="none"/>
        </w:rPr>
        <w:t>竞争性磋商响应文件</w:t>
      </w:r>
      <w:r>
        <w:rPr>
          <w:rFonts w:hAnsi="宋体"/>
          <w:color w:val="auto"/>
          <w:szCs w:val="24"/>
          <w:highlight w:val="none"/>
        </w:rPr>
        <w:t>截止时间</w:t>
      </w:r>
      <w:r>
        <w:rPr>
          <w:rFonts w:hint="eastAsia" w:hAnsi="宋体"/>
          <w:color w:val="auto"/>
          <w:szCs w:val="24"/>
          <w:highlight w:val="none"/>
        </w:rPr>
        <w:t>5日前</w:t>
      </w:r>
      <w:r>
        <w:rPr>
          <w:rFonts w:hAnsi="宋体"/>
          <w:color w:val="auto"/>
          <w:szCs w:val="24"/>
          <w:highlight w:val="none"/>
        </w:rPr>
        <w:t>，以书面形式通知所有</w:t>
      </w:r>
      <w:r>
        <w:rPr>
          <w:rFonts w:hint="eastAsia" w:hAnsi="宋体"/>
          <w:color w:val="auto"/>
          <w:szCs w:val="24"/>
          <w:highlight w:val="none"/>
        </w:rPr>
        <w:t>获取竞争性磋商</w:t>
      </w:r>
      <w:r>
        <w:rPr>
          <w:rFonts w:hAnsi="宋体"/>
          <w:color w:val="auto"/>
          <w:szCs w:val="24"/>
          <w:highlight w:val="none"/>
        </w:rPr>
        <w:t>文件的</w:t>
      </w:r>
      <w:r>
        <w:rPr>
          <w:rFonts w:hint="eastAsia" w:hAnsi="宋体"/>
          <w:color w:val="auto"/>
          <w:szCs w:val="24"/>
          <w:highlight w:val="none"/>
        </w:rPr>
        <w:t>供应商</w:t>
      </w:r>
      <w:r>
        <w:rPr>
          <w:rFonts w:hAnsi="宋体"/>
          <w:color w:val="auto"/>
          <w:szCs w:val="24"/>
          <w:highlight w:val="none"/>
        </w:rPr>
        <w:t>。该澄清或者修改的内容为</w:t>
      </w:r>
      <w:r>
        <w:rPr>
          <w:rFonts w:hint="eastAsia" w:hAnsi="宋体"/>
          <w:color w:val="auto"/>
          <w:szCs w:val="24"/>
          <w:highlight w:val="none"/>
        </w:rPr>
        <w:t>竞争性磋商</w:t>
      </w:r>
      <w:r>
        <w:rPr>
          <w:rFonts w:hAnsi="宋体"/>
          <w:color w:val="auto"/>
          <w:szCs w:val="24"/>
          <w:highlight w:val="none"/>
        </w:rPr>
        <w:t>文件的组成部分。</w:t>
      </w:r>
    </w:p>
    <w:p w14:paraId="265415E7">
      <w:pPr>
        <w:spacing w:line="360" w:lineRule="auto"/>
        <w:ind w:firstLine="480" w:firstLineChars="200"/>
        <w:rPr>
          <w:rFonts w:hAnsi="宋体"/>
          <w:color w:val="auto"/>
          <w:szCs w:val="24"/>
          <w:highlight w:val="none"/>
        </w:rPr>
      </w:pPr>
      <w:r>
        <w:rPr>
          <w:rFonts w:hAnsi="宋体"/>
          <w:color w:val="auto"/>
          <w:szCs w:val="24"/>
          <w:highlight w:val="none"/>
        </w:rPr>
        <w:t>7.3已经购买</w:t>
      </w:r>
      <w:r>
        <w:rPr>
          <w:rFonts w:hint="eastAsia" w:hAnsi="宋体"/>
          <w:color w:val="auto"/>
          <w:szCs w:val="24"/>
          <w:highlight w:val="none"/>
        </w:rPr>
        <w:t>竞争性磋商</w:t>
      </w:r>
      <w:r>
        <w:rPr>
          <w:rFonts w:hAnsi="宋体"/>
          <w:color w:val="auto"/>
          <w:szCs w:val="24"/>
          <w:highlight w:val="none"/>
        </w:rPr>
        <w:t>文件的</w:t>
      </w:r>
      <w:r>
        <w:rPr>
          <w:rFonts w:hint="eastAsia" w:hAnsi="宋体"/>
          <w:color w:val="auto"/>
          <w:szCs w:val="24"/>
          <w:highlight w:val="none"/>
        </w:rPr>
        <w:t>供应商</w:t>
      </w:r>
      <w:r>
        <w:rPr>
          <w:rFonts w:hAnsi="宋体"/>
          <w:color w:val="auto"/>
          <w:szCs w:val="24"/>
          <w:highlight w:val="none"/>
        </w:rPr>
        <w:t>对</w:t>
      </w:r>
      <w:r>
        <w:rPr>
          <w:rFonts w:hint="eastAsia" w:hAnsi="宋体"/>
          <w:color w:val="auto"/>
          <w:szCs w:val="24"/>
          <w:highlight w:val="none"/>
        </w:rPr>
        <w:t>竞争性磋商</w:t>
      </w:r>
      <w:r>
        <w:rPr>
          <w:rFonts w:hAnsi="宋体"/>
          <w:color w:val="auto"/>
          <w:szCs w:val="24"/>
          <w:highlight w:val="none"/>
        </w:rPr>
        <w:t>文件有疑问的，均应在</w:t>
      </w:r>
      <w:r>
        <w:rPr>
          <w:rFonts w:hint="eastAsia" w:hAnsi="宋体"/>
          <w:color w:val="auto"/>
          <w:szCs w:val="24"/>
          <w:highlight w:val="none"/>
        </w:rPr>
        <w:t>磋商</w:t>
      </w:r>
      <w:r>
        <w:rPr>
          <w:rFonts w:hAnsi="宋体"/>
          <w:color w:val="auto"/>
          <w:szCs w:val="24"/>
          <w:highlight w:val="none"/>
        </w:rPr>
        <w:t>截止日期</w:t>
      </w:r>
      <w:r>
        <w:rPr>
          <w:rFonts w:hint="eastAsia" w:hAnsi="宋体"/>
          <w:color w:val="auto"/>
          <w:szCs w:val="24"/>
          <w:highlight w:val="none"/>
        </w:rPr>
        <w:t>3日</w:t>
      </w:r>
      <w:r>
        <w:rPr>
          <w:rFonts w:hAnsi="宋体"/>
          <w:color w:val="auto"/>
          <w:szCs w:val="24"/>
          <w:highlight w:val="none"/>
        </w:rPr>
        <w:t>前以书面形式向采购代理机构提出。</w:t>
      </w:r>
      <w:r>
        <w:rPr>
          <w:rFonts w:hint="eastAsia" w:hAnsi="宋体"/>
          <w:color w:val="auto"/>
          <w:szCs w:val="24"/>
          <w:highlight w:val="none"/>
        </w:rPr>
        <w:t>采购代理机构视情况</w:t>
      </w:r>
      <w:r>
        <w:rPr>
          <w:rFonts w:hAnsi="宋体"/>
          <w:color w:val="auto"/>
          <w:szCs w:val="24"/>
          <w:highlight w:val="none"/>
        </w:rPr>
        <w:t>必要时将书面答复传送给</w:t>
      </w:r>
      <w:r>
        <w:rPr>
          <w:rFonts w:hint="eastAsia" w:hAnsi="宋体"/>
          <w:color w:val="auto"/>
          <w:szCs w:val="24"/>
          <w:highlight w:val="none"/>
        </w:rPr>
        <w:t>所有获取竞争性磋商</w:t>
      </w:r>
      <w:r>
        <w:rPr>
          <w:rFonts w:hAnsi="宋体"/>
          <w:color w:val="auto"/>
          <w:szCs w:val="24"/>
          <w:highlight w:val="none"/>
        </w:rPr>
        <w:t>文件的</w:t>
      </w:r>
      <w:r>
        <w:rPr>
          <w:rFonts w:hint="eastAsia" w:hAnsi="宋体"/>
          <w:color w:val="auto"/>
          <w:szCs w:val="24"/>
          <w:highlight w:val="none"/>
        </w:rPr>
        <w:t>供应商</w:t>
      </w:r>
      <w:r>
        <w:rPr>
          <w:rFonts w:hAnsi="宋体"/>
          <w:color w:val="auto"/>
          <w:szCs w:val="24"/>
          <w:highlight w:val="none"/>
        </w:rPr>
        <w:t>。</w:t>
      </w:r>
    </w:p>
    <w:p w14:paraId="367D0668">
      <w:pPr>
        <w:spacing w:line="360" w:lineRule="auto"/>
        <w:ind w:firstLine="480" w:firstLineChars="200"/>
        <w:rPr>
          <w:rFonts w:hAnsi="宋体"/>
          <w:color w:val="auto"/>
          <w:szCs w:val="24"/>
          <w:highlight w:val="none"/>
        </w:rPr>
      </w:pPr>
      <w:r>
        <w:rPr>
          <w:rFonts w:hint="eastAsia" w:hAnsi="宋体"/>
          <w:color w:val="auto"/>
          <w:szCs w:val="24"/>
          <w:highlight w:val="none"/>
        </w:rPr>
        <w:t>7.4供应商在收到上述通知后，应立即向采购代理机构回函确认。</w:t>
      </w:r>
    </w:p>
    <w:p w14:paraId="285A502A">
      <w:pPr>
        <w:keepNext/>
        <w:keepLines/>
        <w:spacing w:before="312" w:beforeLines="100" w:after="156" w:afterLines="50" w:line="360" w:lineRule="auto"/>
        <w:jc w:val="center"/>
        <w:rPr>
          <w:rFonts w:hAnsi="宋体"/>
          <w:b/>
          <w:color w:val="auto"/>
          <w:sz w:val="32"/>
          <w:szCs w:val="32"/>
          <w:highlight w:val="none"/>
        </w:rPr>
      </w:pPr>
      <w:bookmarkStart w:id="29" w:name="_Toc403077641"/>
      <w:bookmarkStart w:id="30" w:name="_Toc363473974"/>
      <w:bookmarkStart w:id="31" w:name="_Toc363474019"/>
      <w:r>
        <w:rPr>
          <w:rFonts w:hAnsi="宋体"/>
          <w:b/>
          <w:color w:val="auto"/>
          <w:sz w:val="32"/>
          <w:szCs w:val="32"/>
          <w:highlight w:val="none"/>
        </w:rPr>
        <w:t>三.</w:t>
      </w:r>
      <w:r>
        <w:rPr>
          <w:rFonts w:hint="eastAsia" w:hAnsi="宋体"/>
          <w:b/>
          <w:color w:val="auto"/>
          <w:sz w:val="32"/>
          <w:szCs w:val="32"/>
          <w:highlight w:val="none"/>
        </w:rPr>
        <w:t>磋商响应</w:t>
      </w:r>
      <w:r>
        <w:rPr>
          <w:rFonts w:hAnsi="宋体"/>
          <w:b/>
          <w:color w:val="auto"/>
          <w:sz w:val="32"/>
          <w:szCs w:val="32"/>
          <w:highlight w:val="none"/>
        </w:rPr>
        <w:t>文件的编制</w:t>
      </w:r>
      <w:bookmarkEnd w:id="29"/>
      <w:bookmarkEnd w:id="30"/>
      <w:bookmarkEnd w:id="31"/>
    </w:p>
    <w:p w14:paraId="496977AF">
      <w:pPr>
        <w:spacing w:line="360" w:lineRule="auto"/>
        <w:rPr>
          <w:rFonts w:hAnsi="宋体"/>
          <w:b/>
          <w:color w:val="auto"/>
          <w:szCs w:val="24"/>
          <w:highlight w:val="none"/>
        </w:rPr>
      </w:pPr>
      <w:r>
        <w:rPr>
          <w:rFonts w:hint="eastAsia" w:hAnsi="宋体"/>
          <w:b/>
          <w:color w:val="auto"/>
          <w:szCs w:val="24"/>
          <w:highlight w:val="none"/>
        </w:rPr>
        <w:t>8</w:t>
      </w:r>
      <w:r>
        <w:rPr>
          <w:rFonts w:hAnsi="宋体"/>
          <w:b/>
          <w:color w:val="auto"/>
          <w:szCs w:val="24"/>
          <w:highlight w:val="none"/>
        </w:rPr>
        <w:t xml:space="preserve">. </w:t>
      </w:r>
      <w:r>
        <w:rPr>
          <w:rFonts w:hint="eastAsia" w:hAnsi="宋体"/>
          <w:b/>
          <w:color w:val="auto"/>
          <w:szCs w:val="24"/>
          <w:highlight w:val="none"/>
        </w:rPr>
        <w:t>磋商</w:t>
      </w:r>
      <w:r>
        <w:rPr>
          <w:rFonts w:hAnsi="宋体"/>
          <w:b/>
          <w:color w:val="auto"/>
          <w:szCs w:val="24"/>
          <w:highlight w:val="none"/>
        </w:rPr>
        <w:t>语言和</w:t>
      </w:r>
      <w:r>
        <w:rPr>
          <w:rFonts w:hint="eastAsia" w:hAnsi="宋体"/>
          <w:b/>
          <w:color w:val="auto"/>
          <w:szCs w:val="24"/>
          <w:highlight w:val="none"/>
        </w:rPr>
        <w:t>磋商</w:t>
      </w:r>
      <w:r>
        <w:rPr>
          <w:rFonts w:hAnsi="宋体"/>
          <w:b/>
          <w:color w:val="auto"/>
          <w:szCs w:val="24"/>
          <w:highlight w:val="none"/>
        </w:rPr>
        <w:t>货币</w:t>
      </w:r>
    </w:p>
    <w:p w14:paraId="35E275BF">
      <w:pPr>
        <w:spacing w:line="360" w:lineRule="auto"/>
        <w:ind w:firstLine="480" w:firstLineChars="200"/>
        <w:rPr>
          <w:rFonts w:hAnsi="宋体"/>
          <w:b/>
          <w:color w:val="auto"/>
          <w:szCs w:val="24"/>
          <w:highlight w:val="none"/>
        </w:rPr>
      </w:pPr>
      <w:r>
        <w:rPr>
          <w:rFonts w:hint="eastAsia" w:hAnsi="宋体"/>
          <w:color w:val="auto"/>
          <w:szCs w:val="24"/>
          <w:highlight w:val="none"/>
        </w:rPr>
        <w:t>8</w:t>
      </w:r>
      <w:r>
        <w:rPr>
          <w:rFonts w:hAnsi="宋体"/>
          <w:color w:val="auto"/>
          <w:szCs w:val="24"/>
          <w:highlight w:val="none"/>
        </w:rPr>
        <w:t>.1</w:t>
      </w:r>
      <w:r>
        <w:rPr>
          <w:rFonts w:hint="eastAsia" w:hAnsi="宋体"/>
          <w:color w:val="auto"/>
          <w:szCs w:val="24"/>
          <w:highlight w:val="none"/>
        </w:rPr>
        <w:t>供应商</w:t>
      </w:r>
      <w:r>
        <w:rPr>
          <w:rFonts w:hAnsi="宋体"/>
          <w:color w:val="auto"/>
          <w:szCs w:val="24"/>
          <w:highlight w:val="none"/>
        </w:rPr>
        <w:t>提交的</w:t>
      </w:r>
      <w:r>
        <w:rPr>
          <w:rFonts w:hint="eastAsia" w:hAnsi="宋体"/>
          <w:color w:val="auto"/>
          <w:szCs w:val="24"/>
          <w:highlight w:val="none"/>
        </w:rPr>
        <w:t>竞争性磋商响应</w:t>
      </w:r>
      <w:r>
        <w:rPr>
          <w:rFonts w:hAnsi="宋体"/>
          <w:color w:val="auto"/>
          <w:szCs w:val="24"/>
          <w:highlight w:val="none"/>
        </w:rPr>
        <w:t>文件以及</w:t>
      </w:r>
      <w:r>
        <w:rPr>
          <w:rFonts w:hint="eastAsia" w:hAnsi="宋体"/>
          <w:color w:val="auto"/>
          <w:szCs w:val="24"/>
          <w:highlight w:val="none"/>
        </w:rPr>
        <w:t>供应商</w:t>
      </w:r>
      <w:r>
        <w:rPr>
          <w:rFonts w:hAnsi="宋体"/>
          <w:color w:val="auto"/>
          <w:szCs w:val="24"/>
          <w:highlight w:val="none"/>
        </w:rPr>
        <w:t>与采购代理机构就有关</w:t>
      </w:r>
      <w:r>
        <w:rPr>
          <w:rFonts w:hint="eastAsia" w:hAnsi="宋体"/>
          <w:color w:val="auto"/>
          <w:szCs w:val="24"/>
          <w:highlight w:val="none"/>
        </w:rPr>
        <w:t>磋商</w:t>
      </w:r>
      <w:r>
        <w:rPr>
          <w:rFonts w:hAnsi="宋体"/>
          <w:color w:val="auto"/>
          <w:szCs w:val="24"/>
          <w:highlight w:val="none"/>
        </w:rPr>
        <w:t>的所有来往函电均应使用中文。</w:t>
      </w:r>
    </w:p>
    <w:p w14:paraId="707DB1E6">
      <w:pPr>
        <w:spacing w:line="360" w:lineRule="auto"/>
        <w:ind w:firstLine="480" w:firstLineChars="200"/>
        <w:rPr>
          <w:rFonts w:hAnsi="宋体"/>
          <w:color w:val="auto"/>
          <w:szCs w:val="24"/>
          <w:highlight w:val="none"/>
        </w:rPr>
      </w:pPr>
      <w:r>
        <w:rPr>
          <w:rFonts w:hint="eastAsia" w:hAnsi="宋体"/>
          <w:color w:val="auto"/>
          <w:szCs w:val="24"/>
          <w:highlight w:val="none"/>
        </w:rPr>
        <w:t>8</w:t>
      </w:r>
      <w:r>
        <w:rPr>
          <w:rFonts w:hAnsi="宋体"/>
          <w:color w:val="auto"/>
          <w:szCs w:val="24"/>
          <w:highlight w:val="none"/>
        </w:rPr>
        <w:t>.2</w:t>
      </w:r>
      <w:r>
        <w:rPr>
          <w:rFonts w:hint="eastAsia" w:hAnsi="宋体"/>
          <w:color w:val="auto"/>
          <w:szCs w:val="24"/>
          <w:highlight w:val="none"/>
        </w:rPr>
        <w:t>磋商</w:t>
      </w:r>
      <w:r>
        <w:rPr>
          <w:rFonts w:hAnsi="宋体"/>
          <w:color w:val="auto"/>
          <w:szCs w:val="24"/>
          <w:highlight w:val="none"/>
        </w:rPr>
        <w:t>应以人民币报价。任何包含非人民币报价的</w:t>
      </w:r>
      <w:r>
        <w:rPr>
          <w:rFonts w:hint="eastAsia" w:hAnsi="宋体"/>
          <w:color w:val="auto"/>
          <w:szCs w:val="24"/>
          <w:highlight w:val="none"/>
        </w:rPr>
        <w:t>磋商</w:t>
      </w:r>
      <w:r>
        <w:rPr>
          <w:rFonts w:hAnsi="宋体"/>
          <w:color w:val="auto"/>
          <w:szCs w:val="24"/>
          <w:highlight w:val="none"/>
        </w:rPr>
        <w:t>将</w:t>
      </w:r>
      <w:r>
        <w:rPr>
          <w:rFonts w:hint="eastAsia" w:hAnsi="宋体"/>
          <w:color w:val="auto"/>
          <w:szCs w:val="24"/>
          <w:highlight w:val="none"/>
        </w:rPr>
        <w:t>按无效磋商处理</w:t>
      </w:r>
      <w:r>
        <w:rPr>
          <w:rFonts w:hAnsi="宋体"/>
          <w:color w:val="auto"/>
          <w:szCs w:val="24"/>
          <w:highlight w:val="none"/>
        </w:rPr>
        <w:t>。</w:t>
      </w:r>
    </w:p>
    <w:p w14:paraId="04506C2A">
      <w:pPr>
        <w:spacing w:line="360" w:lineRule="auto"/>
        <w:rPr>
          <w:rFonts w:hAnsi="宋体"/>
          <w:b/>
          <w:color w:val="auto"/>
          <w:szCs w:val="24"/>
          <w:highlight w:val="none"/>
        </w:rPr>
      </w:pPr>
      <w:r>
        <w:rPr>
          <w:rFonts w:hint="eastAsia" w:hAnsi="宋体"/>
          <w:b/>
          <w:color w:val="auto"/>
          <w:szCs w:val="24"/>
          <w:highlight w:val="none"/>
        </w:rPr>
        <w:t>9</w:t>
      </w:r>
      <w:r>
        <w:rPr>
          <w:rFonts w:hAnsi="宋体"/>
          <w:b/>
          <w:color w:val="auto"/>
          <w:szCs w:val="24"/>
          <w:highlight w:val="none"/>
        </w:rPr>
        <w:t>.</w:t>
      </w:r>
      <w:r>
        <w:rPr>
          <w:rFonts w:hint="eastAsia" w:hAnsi="宋体"/>
          <w:b/>
          <w:color w:val="auto"/>
          <w:szCs w:val="24"/>
          <w:highlight w:val="none"/>
        </w:rPr>
        <w:t>竞争性磋商响应</w:t>
      </w:r>
      <w:r>
        <w:rPr>
          <w:rFonts w:hAnsi="宋体"/>
          <w:b/>
          <w:color w:val="auto"/>
          <w:szCs w:val="24"/>
          <w:highlight w:val="none"/>
        </w:rPr>
        <w:t>文件的构成</w:t>
      </w:r>
    </w:p>
    <w:p w14:paraId="34F233B8">
      <w:pPr>
        <w:spacing w:line="360" w:lineRule="auto"/>
        <w:ind w:firstLine="480" w:firstLineChars="200"/>
        <w:rPr>
          <w:rFonts w:hint="eastAsia" w:hAnsi="宋体"/>
          <w:color w:val="auto"/>
          <w:szCs w:val="24"/>
          <w:highlight w:val="none"/>
        </w:rPr>
      </w:pPr>
      <w:r>
        <w:rPr>
          <w:rFonts w:hint="eastAsia" w:hAnsi="宋体"/>
          <w:color w:val="auto"/>
          <w:szCs w:val="24"/>
          <w:highlight w:val="none"/>
        </w:rPr>
        <w:t>9.1 供应商提交的竞争性磋商响应文件应包含下列部分的内容：</w:t>
      </w:r>
    </w:p>
    <w:p w14:paraId="6CD79016">
      <w:pPr>
        <w:spacing w:line="360" w:lineRule="auto"/>
        <w:ind w:firstLine="480" w:firstLineChars="200"/>
        <w:rPr>
          <w:rFonts w:hint="eastAsia" w:hAnsi="宋体"/>
          <w:color w:val="auto"/>
          <w:szCs w:val="24"/>
          <w:highlight w:val="none"/>
        </w:rPr>
      </w:pPr>
      <w:r>
        <w:rPr>
          <w:rFonts w:hint="eastAsia" w:hAnsi="宋体"/>
          <w:color w:val="auto"/>
          <w:szCs w:val="24"/>
          <w:highlight w:val="none"/>
        </w:rPr>
        <w:t>（1）按照供应商须知的要求和竞争性磋商文件规定格式填写的竞争性磋商响应函、磋商报价表、法定代表人授权委托书。</w:t>
      </w:r>
    </w:p>
    <w:p w14:paraId="712DD43E">
      <w:pPr>
        <w:spacing w:line="360" w:lineRule="auto"/>
        <w:ind w:firstLine="480" w:firstLineChars="200"/>
        <w:rPr>
          <w:rFonts w:hint="eastAsia" w:hAnsi="宋体"/>
          <w:color w:val="auto"/>
          <w:szCs w:val="24"/>
          <w:highlight w:val="none"/>
        </w:rPr>
      </w:pPr>
      <w:r>
        <w:rPr>
          <w:rFonts w:hint="eastAsia" w:hAnsi="宋体"/>
          <w:color w:val="auto"/>
          <w:szCs w:val="24"/>
          <w:highlight w:val="none"/>
        </w:rPr>
        <w:t>（2）按照竞争性磋商文件的要求编制的磋商方案说明。</w:t>
      </w:r>
    </w:p>
    <w:p w14:paraId="0DD9C519">
      <w:pPr>
        <w:spacing w:line="360" w:lineRule="auto"/>
        <w:ind w:firstLine="480" w:firstLineChars="200"/>
        <w:rPr>
          <w:rFonts w:hint="eastAsia" w:hAnsi="宋体"/>
          <w:color w:val="auto"/>
          <w:szCs w:val="24"/>
          <w:highlight w:val="none"/>
        </w:rPr>
      </w:pPr>
      <w:r>
        <w:rPr>
          <w:rFonts w:hint="eastAsia" w:hAnsi="宋体"/>
          <w:color w:val="auto"/>
          <w:szCs w:val="24"/>
          <w:highlight w:val="none"/>
        </w:rPr>
        <w:t>（3）按照竞争性磋商文件供应商须知前附表的要求提交的资格证明文件；</w:t>
      </w:r>
    </w:p>
    <w:p w14:paraId="4A0B4784">
      <w:pPr>
        <w:spacing w:line="360" w:lineRule="auto"/>
        <w:ind w:firstLine="480" w:firstLineChars="200"/>
        <w:rPr>
          <w:rFonts w:hint="eastAsia" w:hAnsi="宋体"/>
          <w:color w:val="auto"/>
          <w:szCs w:val="24"/>
          <w:highlight w:val="none"/>
        </w:rPr>
      </w:pPr>
      <w:r>
        <w:rPr>
          <w:rFonts w:hint="eastAsia" w:hAnsi="宋体"/>
          <w:color w:val="auto"/>
          <w:szCs w:val="24"/>
          <w:highlight w:val="none"/>
        </w:rPr>
        <w:t>（4）按照本须知第14条要求提交的磋商保证金。</w:t>
      </w:r>
    </w:p>
    <w:p w14:paraId="6DD8E9B6">
      <w:pPr>
        <w:spacing w:line="360" w:lineRule="auto"/>
        <w:ind w:firstLine="480" w:firstLineChars="200"/>
        <w:rPr>
          <w:rFonts w:hint="eastAsia" w:hAnsi="宋体"/>
          <w:color w:val="auto"/>
          <w:szCs w:val="24"/>
          <w:highlight w:val="none"/>
        </w:rPr>
      </w:pPr>
      <w:r>
        <w:rPr>
          <w:rFonts w:hint="eastAsia" w:hAnsi="宋体"/>
          <w:color w:val="auto"/>
          <w:szCs w:val="24"/>
          <w:highlight w:val="none"/>
        </w:rPr>
        <w:t>（5）竞争磋商文件中要求的其他证明文件。</w:t>
      </w:r>
    </w:p>
    <w:p w14:paraId="5DDE6D43">
      <w:pPr>
        <w:spacing w:line="360" w:lineRule="auto"/>
        <w:ind w:firstLine="480" w:firstLineChars="200"/>
        <w:rPr>
          <w:rFonts w:hint="eastAsia" w:hAnsi="宋体"/>
          <w:color w:val="auto"/>
          <w:szCs w:val="24"/>
          <w:highlight w:val="none"/>
        </w:rPr>
      </w:pPr>
      <w:r>
        <w:rPr>
          <w:rFonts w:hint="eastAsia" w:hAnsi="宋体"/>
          <w:color w:val="auto"/>
          <w:szCs w:val="24"/>
          <w:highlight w:val="none"/>
        </w:rPr>
        <w:t>9.2 如果在竞争性磋商文件中没有允许提供备选方案，则每个供应商只允许提交一个磋商方案，否则，其磋商将按照无效磋商处理。</w:t>
      </w:r>
    </w:p>
    <w:p w14:paraId="63162B18">
      <w:pPr>
        <w:spacing w:line="360" w:lineRule="auto"/>
        <w:ind w:firstLine="480" w:firstLineChars="200"/>
        <w:rPr>
          <w:rFonts w:hint="eastAsia" w:hAnsi="宋体"/>
          <w:color w:val="auto"/>
          <w:szCs w:val="24"/>
          <w:highlight w:val="none"/>
        </w:rPr>
      </w:pPr>
      <w:r>
        <w:rPr>
          <w:rFonts w:hint="eastAsia" w:hAnsi="宋体"/>
          <w:color w:val="auto"/>
          <w:szCs w:val="24"/>
          <w:highlight w:val="none"/>
        </w:rPr>
        <w:t>9.3本次磋商的最小单元为“项目”，供应商可根据自身的资质情况和经营范围对本次项目进行磋商，不得将其子目再行分解或只对本次项目中的品目进行不完全磋商，任何不完全的响应将会被拒绝。</w:t>
      </w:r>
    </w:p>
    <w:p w14:paraId="3893BBAC">
      <w:pPr>
        <w:spacing w:line="360" w:lineRule="auto"/>
        <w:rPr>
          <w:rFonts w:hAnsi="宋体"/>
          <w:b/>
          <w:color w:val="auto"/>
          <w:szCs w:val="24"/>
          <w:highlight w:val="none"/>
        </w:rPr>
      </w:pPr>
      <w:r>
        <w:rPr>
          <w:rFonts w:hint="eastAsia" w:hAnsi="宋体"/>
          <w:b/>
          <w:color w:val="auto"/>
          <w:szCs w:val="24"/>
          <w:highlight w:val="none"/>
        </w:rPr>
        <w:t>10</w:t>
      </w:r>
      <w:r>
        <w:rPr>
          <w:rFonts w:hAnsi="宋体"/>
          <w:b/>
          <w:color w:val="auto"/>
          <w:szCs w:val="24"/>
          <w:highlight w:val="none"/>
        </w:rPr>
        <w:t>.</w:t>
      </w:r>
      <w:r>
        <w:rPr>
          <w:rFonts w:hint="eastAsia" w:hAnsi="宋体"/>
          <w:b/>
          <w:color w:val="auto"/>
          <w:szCs w:val="24"/>
          <w:highlight w:val="none"/>
        </w:rPr>
        <w:t>竞争性磋商响应</w:t>
      </w:r>
      <w:r>
        <w:rPr>
          <w:rFonts w:hAnsi="宋体"/>
          <w:b/>
          <w:color w:val="auto"/>
          <w:szCs w:val="24"/>
          <w:highlight w:val="none"/>
        </w:rPr>
        <w:t>文件格式</w:t>
      </w:r>
      <w:r>
        <w:rPr>
          <w:rFonts w:hint="eastAsia" w:hAnsi="宋体"/>
          <w:b/>
          <w:color w:val="auto"/>
          <w:szCs w:val="24"/>
          <w:highlight w:val="none"/>
        </w:rPr>
        <w:t xml:space="preserve"> </w:t>
      </w:r>
    </w:p>
    <w:p w14:paraId="5E75EB16">
      <w:pPr>
        <w:spacing w:line="360" w:lineRule="auto"/>
        <w:ind w:firstLine="480" w:firstLineChars="200"/>
        <w:rPr>
          <w:rFonts w:hAnsi="宋体"/>
          <w:color w:val="auto"/>
          <w:szCs w:val="24"/>
          <w:highlight w:val="none"/>
        </w:rPr>
      </w:pPr>
      <w:r>
        <w:rPr>
          <w:rFonts w:hint="eastAsia" w:hAnsi="宋体"/>
          <w:color w:val="auto"/>
          <w:szCs w:val="24"/>
          <w:highlight w:val="none"/>
        </w:rPr>
        <w:t>10</w:t>
      </w:r>
      <w:r>
        <w:rPr>
          <w:rFonts w:hAnsi="宋体"/>
          <w:color w:val="auto"/>
          <w:szCs w:val="24"/>
          <w:highlight w:val="none"/>
        </w:rPr>
        <w:t xml:space="preserve">.1 </w:t>
      </w:r>
      <w:r>
        <w:rPr>
          <w:rFonts w:hint="eastAsia" w:hAnsi="宋体"/>
          <w:color w:val="auto"/>
          <w:szCs w:val="24"/>
          <w:highlight w:val="none"/>
        </w:rPr>
        <w:t>供应商</w:t>
      </w:r>
      <w:r>
        <w:rPr>
          <w:rFonts w:hAnsi="宋体"/>
          <w:color w:val="auto"/>
          <w:szCs w:val="24"/>
          <w:highlight w:val="none"/>
        </w:rPr>
        <w:t>应按照</w:t>
      </w:r>
      <w:r>
        <w:rPr>
          <w:rFonts w:hint="eastAsia" w:hAnsi="宋体"/>
          <w:color w:val="auto"/>
          <w:szCs w:val="24"/>
          <w:highlight w:val="none"/>
        </w:rPr>
        <w:t>竞争性磋商</w:t>
      </w:r>
      <w:r>
        <w:rPr>
          <w:rFonts w:hAnsi="宋体"/>
          <w:color w:val="auto"/>
          <w:szCs w:val="24"/>
          <w:highlight w:val="none"/>
        </w:rPr>
        <w:t>文件中</w:t>
      </w:r>
      <w:r>
        <w:rPr>
          <w:rFonts w:hint="eastAsia" w:hAnsi="宋体"/>
          <w:color w:val="auto"/>
          <w:szCs w:val="24"/>
          <w:highlight w:val="none"/>
        </w:rPr>
        <w:t>第六章</w:t>
      </w:r>
      <w:r>
        <w:rPr>
          <w:rFonts w:hAnsi="宋体"/>
          <w:color w:val="auto"/>
          <w:szCs w:val="24"/>
          <w:highlight w:val="none"/>
        </w:rPr>
        <w:t>“</w:t>
      </w:r>
      <w:r>
        <w:rPr>
          <w:rFonts w:hint="eastAsia" w:hAnsi="宋体"/>
          <w:color w:val="auto"/>
          <w:szCs w:val="24"/>
          <w:highlight w:val="none"/>
        </w:rPr>
        <w:t>竞争性磋商响应文件</w:t>
      </w:r>
      <w:r>
        <w:rPr>
          <w:rFonts w:hAnsi="宋体"/>
          <w:color w:val="auto"/>
          <w:szCs w:val="24"/>
          <w:highlight w:val="none"/>
        </w:rPr>
        <w:t>格式及构成”所提供的格式和要求制作</w:t>
      </w:r>
      <w:r>
        <w:rPr>
          <w:rFonts w:hint="eastAsia" w:hAnsi="宋体"/>
          <w:color w:val="auto"/>
          <w:szCs w:val="24"/>
          <w:highlight w:val="none"/>
        </w:rPr>
        <w:t>竞争性磋商响应</w:t>
      </w:r>
      <w:r>
        <w:rPr>
          <w:rFonts w:hAnsi="宋体"/>
          <w:color w:val="auto"/>
          <w:szCs w:val="24"/>
          <w:highlight w:val="none"/>
        </w:rPr>
        <w:t>文件，明确表达</w:t>
      </w:r>
      <w:r>
        <w:rPr>
          <w:rFonts w:hint="eastAsia" w:hAnsi="宋体"/>
          <w:color w:val="auto"/>
          <w:szCs w:val="24"/>
          <w:highlight w:val="none"/>
        </w:rPr>
        <w:t>磋商</w:t>
      </w:r>
      <w:r>
        <w:rPr>
          <w:rFonts w:hAnsi="宋体"/>
          <w:color w:val="auto"/>
          <w:szCs w:val="24"/>
          <w:highlight w:val="none"/>
        </w:rPr>
        <w:t>意愿，详细说明</w:t>
      </w:r>
      <w:r>
        <w:rPr>
          <w:rFonts w:hint="eastAsia" w:hAnsi="宋体"/>
          <w:color w:val="auto"/>
          <w:szCs w:val="24"/>
          <w:highlight w:val="none"/>
        </w:rPr>
        <w:t>磋商</w:t>
      </w:r>
      <w:r>
        <w:rPr>
          <w:rFonts w:hAnsi="宋体"/>
          <w:color w:val="auto"/>
          <w:szCs w:val="24"/>
          <w:highlight w:val="none"/>
        </w:rPr>
        <w:t>方案、承诺及价格。</w:t>
      </w:r>
    </w:p>
    <w:p w14:paraId="15FE60EF">
      <w:pPr>
        <w:spacing w:line="360" w:lineRule="auto"/>
        <w:ind w:firstLine="480" w:firstLineChars="200"/>
        <w:rPr>
          <w:rFonts w:hAnsi="宋体"/>
          <w:b/>
          <w:bCs/>
          <w:color w:val="auto"/>
          <w:szCs w:val="24"/>
          <w:highlight w:val="none"/>
        </w:rPr>
      </w:pPr>
      <w:r>
        <w:rPr>
          <w:rFonts w:hint="eastAsia" w:hAnsi="宋体"/>
          <w:color w:val="auto"/>
          <w:szCs w:val="24"/>
          <w:highlight w:val="none"/>
        </w:rPr>
        <w:t>10.2按竞争性磋商</w:t>
      </w:r>
      <w:r>
        <w:rPr>
          <w:rFonts w:hAnsi="宋体"/>
          <w:color w:val="auto"/>
          <w:szCs w:val="24"/>
          <w:highlight w:val="none"/>
        </w:rPr>
        <w:t>文件</w:t>
      </w:r>
      <w:r>
        <w:rPr>
          <w:rFonts w:hint="eastAsia" w:hAnsi="宋体"/>
          <w:color w:val="auto"/>
          <w:szCs w:val="24"/>
          <w:highlight w:val="none"/>
        </w:rPr>
        <w:t>第9条的内容及要求和第六章提供的格式</w:t>
      </w:r>
      <w:r>
        <w:rPr>
          <w:rFonts w:hAnsi="宋体"/>
          <w:color w:val="auto"/>
          <w:szCs w:val="24"/>
          <w:highlight w:val="none"/>
        </w:rPr>
        <w:t>和要</w:t>
      </w:r>
      <w:r>
        <w:rPr>
          <w:rFonts w:hint="eastAsia" w:hAnsi="宋体"/>
          <w:color w:val="auto"/>
          <w:szCs w:val="24"/>
          <w:highlight w:val="none"/>
        </w:rPr>
        <w:t>求编写其竞争性磋商响应文件，供应商不得缺少或留空任何竞争性磋商文件要求填写的表格或提交的资料。</w:t>
      </w:r>
    </w:p>
    <w:p w14:paraId="38548049">
      <w:pPr>
        <w:spacing w:line="360" w:lineRule="auto"/>
        <w:rPr>
          <w:rFonts w:hAnsi="宋体"/>
          <w:b/>
          <w:color w:val="auto"/>
          <w:szCs w:val="24"/>
          <w:highlight w:val="none"/>
        </w:rPr>
      </w:pPr>
      <w:r>
        <w:rPr>
          <w:rFonts w:hAnsi="宋体"/>
          <w:b/>
          <w:color w:val="auto"/>
          <w:szCs w:val="24"/>
          <w:highlight w:val="none"/>
        </w:rPr>
        <w:t>11.</w:t>
      </w:r>
      <w:r>
        <w:rPr>
          <w:rFonts w:hint="eastAsia" w:hAnsi="宋体"/>
          <w:b/>
          <w:color w:val="auto"/>
          <w:szCs w:val="24"/>
          <w:highlight w:val="none"/>
        </w:rPr>
        <w:t>磋商</w:t>
      </w:r>
      <w:r>
        <w:rPr>
          <w:rFonts w:hAnsi="宋体"/>
          <w:b/>
          <w:color w:val="auto"/>
          <w:szCs w:val="24"/>
          <w:highlight w:val="none"/>
        </w:rPr>
        <w:t>报价</w:t>
      </w:r>
    </w:p>
    <w:p w14:paraId="37D79403">
      <w:pPr>
        <w:spacing w:line="360" w:lineRule="auto"/>
        <w:ind w:firstLine="480"/>
        <w:rPr>
          <w:rFonts w:hint="eastAsia" w:eastAsia="宋体"/>
          <w:color w:val="auto"/>
          <w:szCs w:val="24"/>
          <w:highlight w:val="none"/>
          <w:lang w:eastAsia="zh-CN"/>
        </w:rPr>
      </w:pPr>
      <w:r>
        <w:rPr>
          <w:rFonts w:hint="eastAsia" w:hAnsi="宋体"/>
          <w:color w:val="auto"/>
          <w:szCs w:val="24"/>
          <w:highlight w:val="none"/>
        </w:rPr>
        <w:t>11.1磋商报价：</w:t>
      </w:r>
      <w:r>
        <w:rPr>
          <w:rFonts w:hint="eastAsia" w:hAnsi="宋体"/>
          <w:color w:val="auto"/>
          <w:szCs w:val="24"/>
          <w:highlight w:val="none"/>
          <w:lang w:eastAsia="zh-CN"/>
        </w:rPr>
        <w:t>是供应商为完成本项目要求的全部服务内容最终价格的体现。</w:t>
      </w:r>
    </w:p>
    <w:p w14:paraId="47C2079D">
      <w:pPr>
        <w:spacing w:line="360" w:lineRule="auto"/>
        <w:ind w:firstLine="480" w:firstLineChars="200"/>
        <w:rPr>
          <w:rFonts w:hAnsi="宋体" w:cs="宋体"/>
          <w:color w:val="auto"/>
          <w:szCs w:val="24"/>
          <w:highlight w:val="none"/>
        </w:rPr>
      </w:pPr>
      <w:r>
        <w:rPr>
          <w:rFonts w:hint="eastAsia" w:hAnsi="宋体"/>
          <w:color w:val="auto"/>
          <w:szCs w:val="24"/>
          <w:highlight w:val="none"/>
        </w:rPr>
        <w:t>供应商所报的价格应考虑到可能发生的所有与完成本项目相关服务及履行合同义务有关的一切费用。</w:t>
      </w:r>
    </w:p>
    <w:p w14:paraId="55006117">
      <w:pPr>
        <w:spacing w:line="360" w:lineRule="auto"/>
        <w:ind w:firstLine="480" w:firstLineChars="200"/>
        <w:rPr>
          <w:rFonts w:hAnsi="宋体"/>
          <w:color w:val="auto"/>
          <w:szCs w:val="24"/>
          <w:highlight w:val="none"/>
        </w:rPr>
      </w:pPr>
      <w:r>
        <w:rPr>
          <w:rFonts w:hint="eastAsia"/>
          <w:color w:val="auto"/>
          <w:szCs w:val="24"/>
          <w:highlight w:val="none"/>
        </w:rPr>
        <w:t>11.2磋商</w:t>
      </w:r>
      <w:r>
        <w:rPr>
          <w:color w:val="auto"/>
          <w:szCs w:val="24"/>
          <w:highlight w:val="none"/>
        </w:rPr>
        <w:t>报价表中标明本次</w:t>
      </w:r>
      <w:r>
        <w:rPr>
          <w:rFonts w:hint="eastAsia"/>
          <w:color w:val="auto"/>
          <w:szCs w:val="24"/>
          <w:highlight w:val="none"/>
        </w:rPr>
        <w:t>服务</w:t>
      </w:r>
      <w:r>
        <w:rPr>
          <w:color w:val="auto"/>
          <w:szCs w:val="24"/>
          <w:highlight w:val="none"/>
        </w:rPr>
        <w:t>的价格，任何有选择的报价将不予接受</w:t>
      </w:r>
      <w:r>
        <w:rPr>
          <w:rFonts w:hint="eastAsia"/>
          <w:color w:val="auto"/>
          <w:szCs w:val="24"/>
          <w:highlight w:val="none"/>
        </w:rPr>
        <w:t>，按无效文件处理。</w:t>
      </w:r>
      <w:r>
        <w:rPr>
          <w:rFonts w:hint="eastAsia" w:hAnsi="宋体"/>
          <w:color w:val="auto"/>
          <w:szCs w:val="24"/>
          <w:highlight w:val="none"/>
        </w:rPr>
        <w:t>所有价格均以人民币报价。</w:t>
      </w:r>
    </w:p>
    <w:p w14:paraId="2954B41D">
      <w:pPr>
        <w:spacing w:line="360" w:lineRule="auto"/>
        <w:ind w:firstLine="480" w:firstLineChars="200"/>
        <w:rPr>
          <w:rFonts w:hAnsi="宋体"/>
          <w:color w:val="auto"/>
          <w:szCs w:val="24"/>
          <w:highlight w:val="none"/>
        </w:rPr>
      </w:pPr>
      <w:r>
        <w:rPr>
          <w:rFonts w:hint="eastAsia" w:hAnsi="宋体"/>
          <w:color w:val="auto"/>
          <w:szCs w:val="24"/>
          <w:highlight w:val="none"/>
        </w:rPr>
        <w:t>11.3磋商</w:t>
      </w:r>
      <w:r>
        <w:rPr>
          <w:rFonts w:hAnsi="宋体"/>
          <w:color w:val="auto"/>
          <w:szCs w:val="24"/>
          <w:highlight w:val="none"/>
        </w:rPr>
        <w:t>报价表中标明的价格应为履行合同的</w:t>
      </w:r>
      <w:r>
        <w:rPr>
          <w:rFonts w:hint="eastAsia" w:hAnsi="宋体"/>
          <w:color w:val="auto"/>
          <w:szCs w:val="24"/>
          <w:highlight w:val="none"/>
        </w:rPr>
        <w:t>总报价</w:t>
      </w:r>
      <w:r>
        <w:rPr>
          <w:rFonts w:hAnsi="宋体"/>
          <w:color w:val="auto"/>
          <w:szCs w:val="24"/>
          <w:highlight w:val="none"/>
        </w:rPr>
        <w:t>，不得以任何理由予以变更。以可调整的价格提交的</w:t>
      </w:r>
      <w:r>
        <w:rPr>
          <w:rFonts w:hint="eastAsia" w:hAnsi="宋体"/>
          <w:color w:val="auto"/>
          <w:szCs w:val="24"/>
          <w:highlight w:val="none"/>
        </w:rPr>
        <w:t>竞争性磋商响应文件</w:t>
      </w:r>
      <w:r>
        <w:rPr>
          <w:rFonts w:hAnsi="宋体"/>
          <w:color w:val="auto"/>
          <w:szCs w:val="24"/>
          <w:highlight w:val="none"/>
        </w:rPr>
        <w:t>将</w:t>
      </w:r>
      <w:r>
        <w:rPr>
          <w:rFonts w:hint="eastAsia" w:hAnsi="宋体"/>
          <w:color w:val="auto"/>
          <w:szCs w:val="24"/>
          <w:highlight w:val="none"/>
        </w:rPr>
        <w:t>按无效磋商处理</w:t>
      </w:r>
      <w:r>
        <w:rPr>
          <w:rFonts w:hAnsi="宋体"/>
          <w:color w:val="auto"/>
          <w:szCs w:val="24"/>
          <w:highlight w:val="none"/>
        </w:rPr>
        <w:t>。</w:t>
      </w:r>
    </w:p>
    <w:p w14:paraId="1DF8C8F3">
      <w:pPr>
        <w:spacing w:line="360" w:lineRule="auto"/>
        <w:rPr>
          <w:rFonts w:hAnsi="宋体"/>
          <w:b/>
          <w:color w:val="auto"/>
          <w:szCs w:val="24"/>
          <w:highlight w:val="none"/>
        </w:rPr>
      </w:pPr>
      <w:r>
        <w:rPr>
          <w:rFonts w:hAnsi="宋体"/>
          <w:b/>
          <w:color w:val="auto"/>
          <w:szCs w:val="24"/>
          <w:highlight w:val="none"/>
        </w:rPr>
        <w:t>12.证明</w:t>
      </w:r>
      <w:r>
        <w:rPr>
          <w:rFonts w:hint="eastAsia" w:hAnsi="宋体"/>
          <w:b/>
          <w:color w:val="auto"/>
          <w:szCs w:val="24"/>
          <w:highlight w:val="none"/>
        </w:rPr>
        <w:t>供应商</w:t>
      </w:r>
      <w:r>
        <w:rPr>
          <w:rFonts w:hAnsi="宋体"/>
          <w:b/>
          <w:color w:val="auto"/>
          <w:szCs w:val="24"/>
          <w:highlight w:val="none"/>
        </w:rPr>
        <w:t>合格</w:t>
      </w:r>
      <w:r>
        <w:rPr>
          <w:rFonts w:hint="eastAsia" w:hAnsi="宋体"/>
          <w:b/>
          <w:color w:val="auto"/>
          <w:szCs w:val="24"/>
          <w:highlight w:val="none"/>
        </w:rPr>
        <w:t>的</w:t>
      </w:r>
      <w:r>
        <w:rPr>
          <w:rFonts w:hAnsi="宋体"/>
          <w:b/>
          <w:color w:val="auto"/>
          <w:szCs w:val="24"/>
          <w:highlight w:val="none"/>
        </w:rPr>
        <w:t>资格</w:t>
      </w:r>
      <w:r>
        <w:rPr>
          <w:rFonts w:hint="eastAsia" w:hAnsi="宋体"/>
          <w:b/>
          <w:color w:val="auto"/>
          <w:szCs w:val="24"/>
          <w:highlight w:val="none"/>
        </w:rPr>
        <w:t>证明</w:t>
      </w:r>
      <w:r>
        <w:rPr>
          <w:rFonts w:hAnsi="宋体"/>
          <w:b/>
          <w:color w:val="auto"/>
          <w:szCs w:val="24"/>
          <w:highlight w:val="none"/>
        </w:rPr>
        <w:t>文件</w:t>
      </w:r>
    </w:p>
    <w:p w14:paraId="468EB3B5">
      <w:pPr>
        <w:spacing w:line="360" w:lineRule="auto"/>
        <w:ind w:firstLine="480" w:firstLineChars="200"/>
        <w:rPr>
          <w:rFonts w:hAnsi="宋体"/>
          <w:color w:val="auto"/>
          <w:szCs w:val="24"/>
          <w:highlight w:val="none"/>
        </w:rPr>
      </w:pPr>
      <w:r>
        <w:rPr>
          <w:rFonts w:hAnsi="宋体"/>
          <w:color w:val="auto"/>
          <w:szCs w:val="24"/>
          <w:highlight w:val="none"/>
        </w:rPr>
        <w:t>12.1</w:t>
      </w:r>
      <w:r>
        <w:rPr>
          <w:rFonts w:hint="eastAsia" w:hAnsi="宋体"/>
          <w:color w:val="auto"/>
          <w:szCs w:val="24"/>
          <w:highlight w:val="none"/>
        </w:rPr>
        <w:t>供应商</w:t>
      </w:r>
      <w:r>
        <w:rPr>
          <w:rFonts w:hAnsi="宋体"/>
          <w:color w:val="auto"/>
          <w:szCs w:val="24"/>
          <w:highlight w:val="none"/>
        </w:rPr>
        <w:t>应按照</w:t>
      </w:r>
      <w:r>
        <w:rPr>
          <w:rFonts w:hint="eastAsia" w:hAnsi="宋体"/>
          <w:color w:val="auto"/>
          <w:szCs w:val="24"/>
          <w:highlight w:val="none"/>
        </w:rPr>
        <w:t>竞争性磋商</w:t>
      </w:r>
      <w:r>
        <w:rPr>
          <w:rFonts w:hAnsi="宋体"/>
          <w:color w:val="auto"/>
          <w:szCs w:val="24"/>
          <w:highlight w:val="none"/>
        </w:rPr>
        <w:t>文件</w:t>
      </w:r>
      <w:r>
        <w:rPr>
          <w:rFonts w:hint="eastAsia" w:hAnsi="宋体"/>
          <w:color w:val="auto"/>
          <w:szCs w:val="24"/>
          <w:highlight w:val="none"/>
        </w:rPr>
        <w:t>供应商须知前附表</w:t>
      </w:r>
      <w:r>
        <w:rPr>
          <w:rFonts w:hAnsi="宋体"/>
          <w:color w:val="auto"/>
          <w:szCs w:val="24"/>
          <w:highlight w:val="none"/>
        </w:rPr>
        <w:t>的要求，在</w:t>
      </w:r>
      <w:r>
        <w:rPr>
          <w:rFonts w:hint="eastAsia" w:hAnsi="宋体"/>
          <w:color w:val="auto"/>
          <w:szCs w:val="24"/>
          <w:highlight w:val="none"/>
        </w:rPr>
        <w:t>竞争性磋商响应文件</w:t>
      </w:r>
      <w:r>
        <w:rPr>
          <w:rFonts w:hAnsi="宋体"/>
          <w:color w:val="auto"/>
          <w:szCs w:val="24"/>
          <w:highlight w:val="none"/>
        </w:rPr>
        <w:t>中提交合格的资格证明文件。如果资格证明文件不全或不合格的，其</w:t>
      </w:r>
      <w:r>
        <w:rPr>
          <w:rFonts w:hint="eastAsia" w:hAnsi="宋体"/>
          <w:color w:val="auto"/>
          <w:szCs w:val="24"/>
          <w:highlight w:val="none"/>
        </w:rPr>
        <w:t>磋商响应文件</w:t>
      </w:r>
      <w:r>
        <w:rPr>
          <w:rFonts w:hAnsi="宋体"/>
          <w:color w:val="auto"/>
          <w:szCs w:val="24"/>
          <w:highlight w:val="none"/>
        </w:rPr>
        <w:t>将被</w:t>
      </w:r>
      <w:r>
        <w:rPr>
          <w:rFonts w:hint="eastAsia" w:hAnsi="宋体"/>
          <w:color w:val="auto"/>
          <w:szCs w:val="24"/>
          <w:highlight w:val="none"/>
        </w:rPr>
        <w:t>作无效文件处理。</w:t>
      </w:r>
    </w:p>
    <w:p w14:paraId="1A174D1F">
      <w:pPr>
        <w:spacing w:line="360" w:lineRule="auto"/>
        <w:rPr>
          <w:rFonts w:hAnsi="宋体"/>
          <w:b/>
          <w:color w:val="auto"/>
          <w:szCs w:val="24"/>
          <w:highlight w:val="none"/>
        </w:rPr>
      </w:pPr>
      <w:r>
        <w:rPr>
          <w:rFonts w:hAnsi="宋体"/>
          <w:b/>
          <w:color w:val="auto"/>
          <w:szCs w:val="24"/>
          <w:highlight w:val="none"/>
        </w:rPr>
        <w:t>13.证明</w:t>
      </w:r>
      <w:r>
        <w:rPr>
          <w:rFonts w:hint="eastAsia" w:hAnsi="宋体"/>
          <w:b/>
          <w:color w:val="auto"/>
          <w:szCs w:val="24"/>
          <w:highlight w:val="none"/>
        </w:rPr>
        <w:t>货物（产品）符合竞争性磋商</w:t>
      </w:r>
      <w:r>
        <w:rPr>
          <w:rFonts w:hAnsi="宋体"/>
          <w:b/>
          <w:color w:val="auto"/>
          <w:szCs w:val="24"/>
          <w:highlight w:val="none"/>
        </w:rPr>
        <w:t>文件规定的文件</w:t>
      </w:r>
    </w:p>
    <w:p w14:paraId="61BBEDC8">
      <w:pPr>
        <w:spacing w:line="360" w:lineRule="auto"/>
        <w:ind w:firstLine="480" w:firstLineChars="200"/>
        <w:rPr>
          <w:rFonts w:hAnsi="宋体"/>
          <w:color w:val="auto"/>
          <w:szCs w:val="24"/>
          <w:highlight w:val="none"/>
        </w:rPr>
      </w:pPr>
      <w:r>
        <w:rPr>
          <w:rFonts w:hAnsi="宋体"/>
          <w:color w:val="auto"/>
          <w:szCs w:val="24"/>
          <w:highlight w:val="none"/>
        </w:rPr>
        <w:t>13.1</w:t>
      </w:r>
      <w:r>
        <w:rPr>
          <w:rFonts w:hint="eastAsia" w:hAnsi="宋体"/>
          <w:color w:val="auto"/>
          <w:szCs w:val="24"/>
          <w:highlight w:val="none"/>
        </w:rPr>
        <w:t>供应商</w:t>
      </w:r>
      <w:r>
        <w:rPr>
          <w:rFonts w:hAnsi="宋体"/>
          <w:color w:val="auto"/>
          <w:szCs w:val="24"/>
          <w:highlight w:val="none"/>
        </w:rPr>
        <w:t>应在</w:t>
      </w:r>
      <w:r>
        <w:rPr>
          <w:rFonts w:hint="eastAsia" w:hAnsi="宋体"/>
          <w:color w:val="auto"/>
          <w:szCs w:val="24"/>
          <w:highlight w:val="none"/>
        </w:rPr>
        <w:t>竞争性磋商响应文件</w:t>
      </w:r>
      <w:r>
        <w:rPr>
          <w:rFonts w:hAnsi="宋体"/>
          <w:color w:val="auto"/>
          <w:szCs w:val="24"/>
          <w:highlight w:val="none"/>
        </w:rPr>
        <w:t>中提交</w:t>
      </w:r>
      <w:r>
        <w:rPr>
          <w:rFonts w:hint="eastAsia" w:hAnsi="宋体"/>
          <w:color w:val="auto"/>
          <w:szCs w:val="24"/>
          <w:highlight w:val="none"/>
        </w:rPr>
        <w:t>产品和</w:t>
      </w:r>
      <w:r>
        <w:rPr>
          <w:rFonts w:hAnsi="宋体"/>
          <w:color w:val="auto"/>
          <w:szCs w:val="24"/>
          <w:highlight w:val="none"/>
        </w:rPr>
        <w:t>服务满足</w:t>
      </w:r>
      <w:r>
        <w:rPr>
          <w:rFonts w:hint="eastAsia" w:hAnsi="宋体"/>
          <w:color w:val="auto"/>
          <w:szCs w:val="24"/>
          <w:highlight w:val="none"/>
        </w:rPr>
        <w:t>竞争性磋商</w:t>
      </w:r>
      <w:r>
        <w:rPr>
          <w:rFonts w:hAnsi="宋体"/>
          <w:color w:val="auto"/>
          <w:szCs w:val="24"/>
          <w:highlight w:val="none"/>
        </w:rPr>
        <w:t>文件要求并符合国家法律法规、行业管理部门要求的其他强制性标准的证明文件。缺少证明文件或证明文件不合格的</w:t>
      </w:r>
      <w:r>
        <w:rPr>
          <w:rFonts w:hint="eastAsia" w:hAnsi="宋体"/>
          <w:color w:val="auto"/>
          <w:szCs w:val="24"/>
          <w:highlight w:val="none"/>
        </w:rPr>
        <w:t>磋商响应文件</w:t>
      </w:r>
      <w:r>
        <w:rPr>
          <w:rFonts w:hAnsi="宋体"/>
          <w:color w:val="auto"/>
          <w:szCs w:val="24"/>
          <w:highlight w:val="none"/>
        </w:rPr>
        <w:t>，与</w:t>
      </w:r>
      <w:r>
        <w:rPr>
          <w:rFonts w:hint="eastAsia" w:hAnsi="宋体"/>
          <w:color w:val="auto"/>
          <w:szCs w:val="24"/>
          <w:highlight w:val="none"/>
        </w:rPr>
        <w:t>竞争性磋商</w:t>
      </w:r>
      <w:r>
        <w:rPr>
          <w:rFonts w:hAnsi="宋体"/>
          <w:color w:val="auto"/>
          <w:szCs w:val="24"/>
          <w:highlight w:val="none"/>
        </w:rPr>
        <w:t>文件要求有重大偏离的</w:t>
      </w:r>
      <w:r>
        <w:rPr>
          <w:rFonts w:hint="eastAsia" w:hAnsi="宋体"/>
          <w:color w:val="auto"/>
          <w:szCs w:val="24"/>
          <w:highlight w:val="none"/>
        </w:rPr>
        <w:t>磋商响应文件</w:t>
      </w:r>
      <w:r>
        <w:rPr>
          <w:rFonts w:hAnsi="宋体"/>
          <w:color w:val="auto"/>
          <w:szCs w:val="24"/>
          <w:highlight w:val="none"/>
        </w:rPr>
        <w:t>，不符合国家法律法规、行业管理部门要求的其他强制性标准的</w:t>
      </w:r>
      <w:r>
        <w:rPr>
          <w:rFonts w:hint="eastAsia" w:hAnsi="宋体"/>
          <w:color w:val="auto"/>
          <w:szCs w:val="24"/>
          <w:highlight w:val="none"/>
        </w:rPr>
        <w:t>磋商响应文件</w:t>
      </w:r>
      <w:r>
        <w:rPr>
          <w:rFonts w:hAnsi="宋体"/>
          <w:color w:val="auto"/>
          <w:szCs w:val="24"/>
          <w:highlight w:val="none"/>
        </w:rPr>
        <w:t>将</w:t>
      </w:r>
      <w:r>
        <w:rPr>
          <w:rFonts w:hint="eastAsia" w:hAnsi="宋体"/>
          <w:color w:val="auto"/>
          <w:szCs w:val="24"/>
          <w:highlight w:val="none"/>
        </w:rPr>
        <w:t>按无效磋商处理</w:t>
      </w:r>
      <w:r>
        <w:rPr>
          <w:rFonts w:hAnsi="宋体"/>
          <w:color w:val="auto"/>
          <w:szCs w:val="24"/>
          <w:highlight w:val="none"/>
        </w:rPr>
        <w:t>。</w:t>
      </w:r>
    </w:p>
    <w:p w14:paraId="6C6AC803">
      <w:pPr>
        <w:spacing w:line="500" w:lineRule="exact"/>
        <w:ind w:firstLine="480" w:firstLineChars="200"/>
        <w:rPr>
          <w:rFonts w:hAnsi="宋体"/>
          <w:color w:val="auto"/>
          <w:szCs w:val="24"/>
          <w:highlight w:val="none"/>
        </w:rPr>
      </w:pPr>
      <w:r>
        <w:rPr>
          <w:rFonts w:hAnsi="宋体"/>
          <w:color w:val="auto"/>
          <w:szCs w:val="24"/>
          <w:highlight w:val="none"/>
        </w:rPr>
        <w:t>13.2上述证明文件可以是文字资料、图纸、图片</w:t>
      </w:r>
      <w:r>
        <w:rPr>
          <w:rFonts w:hint="eastAsia" w:hAnsi="宋体"/>
          <w:color w:val="auto"/>
          <w:szCs w:val="24"/>
          <w:highlight w:val="none"/>
        </w:rPr>
        <w:t>、</w:t>
      </w:r>
      <w:r>
        <w:rPr>
          <w:rFonts w:hAnsi="宋体"/>
          <w:color w:val="auto"/>
          <w:szCs w:val="24"/>
          <w:highlight w:val="none"/>
        </w:rPr>
        <w:t>数据</w:t>
      </w:r>
      <w:r>
        <w:rPr>
          <w:rFonts w:hint="eastAsia" w:hAnsi="宋体"/>
          <w:color w:val="auto"/>
          <w:szCs w:val="24"/>
          <w:highlight w:val="none"/>
        </w:rPr>
        <w:t>、</w:t>
      </w:r>
      <w:r>
        <w:rPr>
          <w:rFonts w:hAnsi="宋体"/>
          <w:color w:val="auto"/>
          <w:szCs w:val="24"/>
          <w:highlight w:val="none"/>
        </w:rPr>
        <w:t>宣传彩页等，所有证明文件表达意思必须统一。</w:t>
      </w:r>
      <w:r>
        <w:rPr>
          <w:rFonts w:hint="eastAsia" w:hAnsi="宋体"/>
          <w:color w:val="auto"/>
          <w:szCs w:val="24"/>
          <w:highlight w:val="none"/>
        </w:rPr>
        <w:t>（</w:t>
      </w:r>
      <w:r>
        <w:rPr>
          <w:rFonts w:hAnsi="宋体"/>
          <w:color w:val="auto"/>
          <w:szCs w:val="24"/>
          <w:highlight w:val="none"/>
        </w:rPr>
        <w:t>如需</w:t>
      </w:r>
      <w:r>
        <w:rPr>
          <w:rFonts w:hint="eastAsia" w:hAnsi="宋体"/>
          <w:color w:val="auto"/>
          <w:szCs w:val="24"/>
          <w:highlight w:val="none"/>
        </w:rPr>
        <w:t>供应商</w:t>
      </w:r>
      <w:r>
        <w:rPr>
          <w:rFonts w:hAnsi="宋体"/>
          <w:color w:val="auto"/>
          <w:szCs w:val="24"/>
          <w:highlight w:val="none"/>
        </w:rPr>
        <w:t>提供样品，</w:t>
      </w:r>
      <w:r>
        <w:rPr>
          <w:rFonts w:hint="eastAsia" w:hAnsi="宋体"/>
          <w:color w:val="auto"/>
          <w:szCs w:val="24"/>
          <w:highlight w:val="none"/>
        </w:rPr>
        <w:t>样品必须与竞争性磋商响应文件</w:t>
      </w:r>
      <w:r>
        <w:rPr>
          <w:rFonts w:hAnsi="宋体"/>
          <w:color w:val="auto"/>
          <w:szCs w:val="24"/>
          <w:highlight w:val="none"/>
        </w:rPr>
        <w:t>的表述完全符合。</w:t>
      </w:r>
      <w:r>
        <w:rPr>
          <w:rFonts w:hint="eastAsia" w:hAnsi="宋体"/>
          <w:color w:val="auto"/>
          <w:szCs w:val="24"/>
          <w:highlight w:val="none"/>
        </w:rPr>
        <w:t>）</w:t>
      </w:r>
      <w:r>
        <w:rPr>
          <w:rFonts w:hAnsi="宋体"/>
          <w:color w:val="auto"/>
          <w:szCs w:val="24"/>
          <w:highlight w:val="none"/>
        </w:rPr>
        <w:t>包括：</w:t>
      </w:r>
    </w:p>
    <w:p w14:paraId="3B38851B">
      <w:pPr>
        <w:spacing w:line="500" w:lineRule="exact"/>
        <w:ind w:firstLine="480" w:firstLineChars="200"/>
        <w:rPr>
          <w:rFonts w:hAnsi="宋体"/>
          <w:color w:val="auto"/>
          <w:szCs w:val="24"/>
          <w:highlight w:val="none"/>
        </w:rPr>
      </w:pPr>
      <w:r>
        <w:rPr>
          <w:rFonts w:hAnsi="宋体"/>
          <w:color w:val="auto"/>
          <w:szCs w:val="24"/>
          <w:highlight w:val="none"/>
        </w:rPr>
        <w:t>1)产品主要技术指标和性能的详细说明；</w:t>
      </w:r>
    </w:p>
    <w:p w14:paraId="5A849838">
      <w:pPr>
        <w:spacing w:line="500" w:lineRule="exact"/>
        <w:ind w:firstLine="480" w:firstLineChars="200"/>
        <w:rPr>
          <w:rFonts w:hAnsi="宋体"/>
          <w:color w:val="auto"/>
          <w:szCs w:val="24"/>
          <w:highlight w:val="none"/>
        </w:rPr>
      </w:pPr>
      <w:r>
        <w:rPr>
          <w:rFonts w:hAnsi="宋体"/>
          <w:color w:val="auto"/>
          <w:szCs w:val="24"/>
          <w:highlight w:val="none"/>
        </w:rPr>
        <w:t>2）</w:t>
      </w:r>
      <w:r>
        <w:rPr>
          <w:rFonts w:hint="eastAsia" w:hAnsi="宋体"/>
          <w:color w:val="auto"/>
          <w:szCs w:val="24"/>
          <w:highlight w:val="none"/>
        </w:rPr>
        <w:t>生产厂家出具的、相应的产品功能证明材料（包括但不限于测试报告、官网和功能截图等）</w:t>
      </w:r>
      <w:r>
        <w:rPr>
          <w:rFonts w:hAnsi="宋体"/>
          <w:color w:val="auto"/>
          <w:szCs w:val="24"/>
          <w:highlight w:val="none"/>
        </w:rPr>
        <w:t>；</w:t>
      </w:r>
    </w:p>
    <w:p w14:paraId="560C9BCA">
      <w:pPr>
        <w:spacing w:line="360" w:lineRule="auto"/>
        <w:ind w:firstLine="480" w:firstLineChars="200"/>
        <w:rPr>
          <w:rFonts w:hAnsi="宋体"/>
          <w:color w:val="auto"/>
          <w:szCs w:val="24"/>
          <w:highlight w:val="none"/>
        </w:rPr>
      </w:pPr>
      <w:r>
        <w:rPr>
          <w:rFonts w:hint="eastAsia" w:hAnsi="宋体"/>
          <w:color w:val="auto"/>
          <w:szCs w:val="24"/>
          <w:highlight w:val="none"/>
        </w:rPr>
        <w:t>3</w:t>
      </w:r>
      <w:r>
        <w:rPr>
          <w:rFonts w:hAnsi="宋体"/>
          <w:color w:val="auto"/>
          <w:szCs w:val="24"/>
          <w:highlight w:val="none"/>
        </w:rPr>
        <w:t>) 逐条对</w:t>
      </w:r>
      <w:r>
        <w:rPr>
          <w:rFonts w:hint="eastAsia" w:hAnsi="宋体"/>
          <w:color w:val="auto"/>
          <w:szCs w:val="24"/>
          <w:highlight w:val="none"/>
        </w:rPr>
        <w:t>竞争性磋商</w:t>
      </w:r>
      <w:r>
        <w:rPr>
          <w:rFonts w:hAnsi="宋体"/>
          <w:color w:val="auto"/>
          <w:szCs w:val="24"/>
          <w:highlight w:val="none"/>
        </w:rPr>
        <w:t>文件提出的技术要求和商务要求进行应答，说明所提供的</w:t>
      </w:r>
      <w:r>
        <w:rPr>
          <w:rFonts w:hint="eastAsia" w:hAnsi="宋体"/>
          <w:color w:val="auto"/>
          <w:szCs w:val="24"/>
          <w:highlight w:val="none"/>
        </w:rPr>
        <w:t>产品和</w:t>
      </w:r>
      <w:r>
        <w:rPr>
          <w:rFonts w:hAnsi="宋体"/>
          <w:color w:val="auto"/>
          <w:szCs w:val="24"/>
          <w:highlight w:val="none"/>
        </w:rPr>
        <w:t>服务对</w:t>
      </w:r>
      <w:r>
        <w:rPr>
          <w:rFonts w:hint="eastAsia" w:hAnsi="宋体"/>
          <w:color w:val="auto"/>
          <w:szCs w:val="24"/>
          <w:highlight w:val="none"/>
        </w:rPr>
        <w:t>磋商</w:t>
      </w:r>
      <w:r>
        <w:rPr>
          <w:rFonts w:hAnsi="宋体"/>
          <w:color w:val="auto"/>
          <w:szCs w:val="24"/>
          <w:highlight w:val="none"/>
        </w:rPr>
        <w:t>的技术和商务要求是否做出了实质性响应并提供支持文件；</w:t>
      </w:r>
    </w:p>
    <w:p w14:paraId="5D422ADB">
      <w:pPr>
        <w:spacing w:line="360" w:lineRule="auto"/>
        <w:ind w:firstLine="480" w:firstLineChars="200"/>
        <w:rPr>
          <w:rFonts w:hAnsi="宋体"/>
          <w:color w:val="auto"/>
          <w:szCs w:val="24"/>
          <w:highlight w:val="none"/>
        </w:rPr>
      </w:pPr>
      <w:r>
        <w:rPr>
          <w:rFonts w:hint="eastAsia" w:hAnsi="宋体"/>
          <w:color w:val="auto"/>
          <w:szCs w:val="24"/>
          <w:highlight w:val="none"/>
        </w:rPr>
        <w:t>4</w:t>
      </w:r>
      <w:r>
        <w:rPr>
          <w:rFonts w:hAnsi="宋体"/>
          <w:color w:val="auto"/>
          <w:szCs w:val="24"/>
          <w:highlight w:val="none"/>
        </w:rPr>
        <w:t xml:space="preserve">) </w:t>
      </w:r>
      <w:r>
        <w:rPr>
          <w:rFonts w:hint="eastAsia" w:hAnsi="宋体"/>
          <w:color w:val="auto"/>
          <w:szCs w:val="24"/>
          <w:highlight w:val="none"/>
        </w:rPr>
        <w:t>货物、服务内容</w:t>
      </w:r>
      <w:r>
        <w:rPr>
          <w:rFonts w:hAnsi="宋体"/>
          <w:color w:val="auto"/>
          <w:szCs w:val="24"/>
          <w:highlight w:val="none"/>
        </w:rPr>
        <w:t>的详细说明</w:t>
      </w:r>
      <w:r>
        <w:rPr>
          <w:rFonts w:hint="eastAsia" w:hAnsi="宋体"/>
          <w:color w:val="auto"/>
          <w:szCs w:val="24"/>
          <w:highlight w:val="none"/>
        </w:rPr>
        <w:t>。</w:t>
      </w:r>
    </w:p>
    <w:p w14:paraId="6B496A1F">
      <w:pPr>
        <w:spacing w:line="360" w:lineRule="auto"/>
        <w:rPr>
          <w:rFonts w:hint="eastAsia" w:hAnsi="宋体" w:eastAsia="宋体"/>
          <w:b/>
          <w:color w:val="auto"/>
          <w:szCs w:val="24"/>
          <w:highlight w:val="none"/>
          <w:lang w:eastAsia="zh-CN"/>
        </w:rPr>
      </w:pPr>
      <w:r>
        <w:rPr>
          <w:rFonts w:hAnsi="宋体"/>
          <w:b/>
          <w:color w:val="auto"/>
          <w:szCs w:val="24"/>
          <w:highlight w:val="none"/>
        </w:rPr>
        <w:t>14.</w:t>
      </w:r>
      <w:r>
        <w:rPr>
          <w:rFonts w:hint="eastAsia" w:hAnsi="宋体"/>
          <w:b/>
          <w:color w:val="auto"/>
          <w:szCs w:val="24"/>
          <w:highlight w:val="none"/>
        </w:rPr>
        <w:t>磋商</w:t>
      </w:r>
      <w:r>
        <w:rPr>
          <w:rFonts w:hAnsi="宋体"/>
          <w:b/>
          <w:color w:val="auto"/>
          <w:szCs w:val="24"/>
          <w:highlight w:val="none"/>
        </w:rPr>
        <w:t>保证金</w:t>
      </w:r>
    </w:p>
    <w:p w14:paraId="4A922809">
      <w:pPr>
        <w:spacing w:line="360" w:lineRule="auto"/>
        <w:ind w:firstLine="480" w:firstLineChars="200"/>
        <w:rPr>
          <w:rFonts w:hAnsi="宋体"/>
          <w:color w:val="auto"/>
          <w:szCs w:val="24"/>
          <w:highlight w:val="none"/>
        </w:rPr>
      </w:pPr>
      <w:r>
        <w:rPr>
          <w:rFonts w:hAnsi="宋体"/>
          <w:color w:val="auto"/>
          <w:szCs w:val="24"/>
          <w:highlight w:val="none"/>
        </w:rPr>
        <w:t>14.1</w:t>
      </w:r>
      <w:r>
        <w:rPr>
          <w:rFonts w:hint="eastAsia" w:hAnsi="宋体"/>
          <w:color w:val="auto"/>
          <w:szCs w:val="24"/>
          <w:highlight w:val="none"/>
        </w:rPr>
        <w:t>供应商</w:t>
      </w:r>
      <w:r>
        <w:rPr>
          <w:rFonts w:hAnsi="宋体"/>
          <w:color w:val="auto"/>
          <w:szCs w:val="24"/>
          <w:highlight w:val="none"/>
        </w:rPr>
        <w:t>在</w:t>
      </w:r>
      <w:r>
        <w:rPr>
          <w:rFonts w:hint="eastAsia" w:hAnsi="宋体"/>
          <w:color w:val="auto"/>
          <w:szCs w:val="24"/>
          <w:highlight w:val="none"/>
        </w:rPr>
        <w:t>磋商</w:t>
      </w:r>
      <w:r>
        <w:rPr>
          <w:rFonts w:hAnsi="宋体"/>
          <w:color w:val="auto"/>
          <w:szCs w:val="24"/>
          <w:highlight w:val="none"/>
        </w:rPr>
        <w:t>时应向</w:t>
      </w:r>
      <w:r>
        <w:rPr>
          <w:rFonts w:hint="eastAsia" w:hAnsi="宋体"/>
          <w:color w:val="auto"/>
          <w:szCs w:val="24"/>
          <w:highlight w:val="none"/>
          <w:lang w:val="zh-CN"/>
        </w:rPr>
        <w:t>西安天合建设项目管理有限公司商南分公司</w:t>
      </w:r>
      <w:r>
        <w:rPr>
          <w:rFonts w:hAnsi="宋体"/>
          <w:color w:val="auto"/>
          <w:szCs w:val="24"/>
          <w:highlight w:val="none"/>
        </w:rPr>
        <w:t>提交“</w:t>
      </w:r>
      <w:r>
        <w:rPr>
          <w:rFonts w:hint="eastAsia" w:hAnsi="宋体"/>
          <w:color w:val="auto"/>
          <w:szCs w:val="24"/>
          <w:highlight w:val="none"/>
        </w:rPr>
        <w:t>供应商须知前附表</w:t>
      </w:r>
      <w:r>
        <w:rPr>
          <w:rFonts w:hAnsi="宋体"/>
          <w:color w:val="auto"/>
          <w:szCs w:val="24"/>
          <w:highlight w:val="none"/>
        </w:rPr>
        <w:t>”规定数额的</w:t>
      </w:r>
      <w:r>
        <w:rPr>
          <w:rFonts w:hint="eastAsia" w:hAnsi="宋体"/>
          <w:color w:val="auto"/>
          <w:szCs w:val="24"/>
          <w:highlight w:val="none"/>
        </w:rPr>
        <w:t>磋商保证金</w:t>
      </w:r>
      <w:r>
        <w:rPr>
          <w:rFonts w:hAnsi="宋体"/>
          <w:color w:val="auto"/>
          <w:szCs w:val="24"/>
          <w:highlight w:val="none"/>
        </w:rPr>
        <w:t>,并作为其</w:t>
      </w:r>
      <w:r>
        <w:rPr>
          <w:rFonts w:hint="eastAsia" w:hAnsi="宋体"/>
          <w:color w:val="auto"/>
          <w:szCs w:val="24"/>
          <w:highlight w:val="none"/>
        </w:rPr>
        <w:t>磋商</w:t>
      </w:r>
      <w:r>
        <w:rPr>
          <w:rFonts w:hAnsi="宋体"/>
          <w:color w:val="auto"/>
          <w:szCs w:val="24"/>
          <w:highlight w:val="none"/>
        </w:rPr>
        <w:t>的一部分。</w:t>
      </w:r>
    </w:p>
    <w:p w14:paraId="77A8D8FC">
      <w:pPr>
        <w:spacing w:line="360" w:lineRule="auto"/>
        <w:ind w:firstLine="480" w:firstLineChars="200"/>
        <w:rPr>
          <w:rFonts w:hAnsi="宋体"/>
          <w:color w:val="auto"/>
          <w:szCs w:val="24"/>
          <w:highlight w:val="none"/>
        </w:rPr>
      </w:pPr>
      <w:r>
        <w:rPr>
          <w:rFonts w:hAnsi="宋体"/>
          <w:color w:val="auto"/>
          <w:szCs w:val="24"/>
          <w:highlight w:val="none"/>
        </w:rPr>
        <w:t>14.2</w:t>
      </w:r>
      <w:r>
        <w:rPr>
          <w:rFonts w:hint="eastAsia" w:hAnsi="宋体"/>
          <w:color w:val="auto"/>
          <w:szCs w:val="24"/>
          <w:highlight w:val="none"/>
        </w:rPr>
        <w:t>磋商保证金</w:t>
      </w:r>
      <w:r>
        <w:rPr>
          <w:rFonts w:hAnsi="宋体"/>
          <w:color w:val="auto"/>
          <w:szCs w:val="24"/>
          <w:highlight w:val="none"/>
        </w:rPr>
        <w:t>是为了保护采购单位（包括</w:t>
      </w:r>
      <w:r>
        <w:rPr>
          <w:rFonts w:hint="eastAsia" w:hAnsi="宋体"/>
          <w:color w:val="auto"/>
          <w:szCs w:val="24"/>
          <w:highlight w:val="none"/>
          <w:lang w:eastAsia="zh-CN"/>
        </w:rPr>
        <w:t>西安天合建设项目管理有限公司</w:t>
      </w:r>
      <w:r>
        <w:rPr>
          <w:rFonts w:hint="eastAsia" w:hAnsi="宋体"/>
          <w:color w:val="auto"/>
          <w:szCs w:val="24"/>
          <w:highlight w:val="none"/>
        </w:rPr>
        <w:t>及</w:t>
      </w:r>
      <w:r>
        <w:rPr>
          <w:rFonts w:hAnsi="宋体"/>
          <w:color w:val="auto"/>
          <w:szCs w:val="24"/>
          <w:highlight w:val="none"/>
        </w:rPr>
        <w:t>采购人）免遭因</w:t>
      </w:r>
      <w:r>
        <w:rPr>
          <w:rFonts w:hint="eastAsia" w:hAnsi="宋体"/>
          <w:color w:val="auto"/>
          <w:szCs w:val="24"/>
          <w:highlight w:val="none"/>
        </w:rPr>
        <w:t>供应商</w:t>
      </w:r>
      <w:r>
        <w:rPr>
          <w:rFonts w:hAnsi="宋体"/>
          <w:color w:val="auto"/>
          <w:szCs w:val="24"/>
          <w:highlight w:val="none"/>
        </w:rPr>
        <w:t>的行为而蒙受损失。采购单位在因</w:t>
      </w:r>
      <w:r>
        <w:rPr>
          <w:rFonts w:hint="eastAsia" w:hAnsi="宋体"/>
          <w:color w:val="auto"/>
          <w:szCs w:val="24"/>
          <w:highlight w:val="none"/>
        </w:rPr>
        <w:t>供应商</w:t>
      </w:r>
      <w:r>
        <w:rPr>
          <w:rFonts w:hAnsi="宋体"/>
          <w:color w:val="auto"/>
          <w:szCs w:val="24"/>
          <w:highlight w:val="none"/>
        </w:rPr>
        <w:t>的行为受到损害时可根据本须知的规定没收</w:t>
      </w:r>
      <w:r>
        <w:rPr>
          <w:rFonts w:hint="eastAsia" w:hAnsi="宋体"/>
          <w:color w:val="auto"/>
          <w:szCs w:val="24"/>
          <w:highlight w:val="none"/>
        </w:rPr>
        <w:t>供应商</w:t>
      </w:r>
      <w:r>
        <w:rPr>
          <w:rFonts w:hAnsi="宋体"/>
          <w:color w:val="auto"/>
          <w:szCs w:val="24"/>
          <w:highlight w:val="none"/>
        </w:rPr>
        <w:t>的</w:t>
      </w:r>
      <w:r>
        <w:rPr>
          <w:rFonts w:hint="eastAsia" w:hAnsi="宋体"/>
          <w:color w:val="auto"/>
          <w:szCs w:val="24"/>
          <w:highlight w:val="none"/>
        </w:rPr>
        <w:t>磋商保证金</w:t>
      </w:r>
      <w:r>
        <w:rPr>
          <w:rFonts w:hAnsi="宋体"/>
          <w:color w:val="auto"/>
          <w:szCs w:val="24"/>
          <w:highlight w:val="none"/>
        </w:rPr>
        <w:t>。</w:t>
      </w:r>
    </w:p>
    <w:p w14:paraId="79158F9D">
      <w:pPr>
        <w:spacing w:line="360" w:lineRule="auto"/>
        <w:ind w:firstLine="480" w:firstLineChars="200"/>
        <w:rPr>
          <w:rFonts w:hAnsi="宋体"/>
          <w:color w:val="auto"/>
          <w:szCs w:val="24"/>
          <w:highlight w:val="none"/>
        </w:rPr>
      </w:pPr>
      <w:r>
        <w:rPr>
          <w:rFonts w:hAnsi="宋体"/>
          <w:color w:val="auto"/>
          <w:szCs w:val="24"/>
          <w:highlight w:val="none"/>
        </w:rPr>
        <w:t>14.3</w:t>
      </w:r>
      <w:r>
        <w:rPr>
          <w:rFonts w:hint="eastAsia" w:hAnsi="宋体"/>
          <w:color w:val="auto"/>
          <w:szCs w:val="24"/>
          <w:highlight w:val="none"/>
        </w:rPr>
        <w:t>磋商保证金</w:t>
      </w:r>
      <w:r>
        <w:rPr>
          <w:rFonts w:hAnsi="宋体"/>
          <w:color w:val="auto"/>
          <w:szCs w:val="24"/>
          <w:highlight w:val="none"/>
        </w:rPr>
        <w:t>可采取</w:t>
      </w:r>
      <w:r>
        <w:rPr>
          <w:rFonts w:hint="eastAsia" w:hAnsi="宋体"/>
          <w:color w:val="auto"/>
          <w:szCs w:val="24"/>
          <w:highlight w:val="none"/>
        </w:rPr>
        <w:t>“供应商须知前附表”规定的任何一种形式。</w:t>
      </w:r>
    </w:p>
    <w:p w14:paraId="3E1E9267">
      <w:pPr>
        <w:spacing w:line="360" w:lineRule="auto"/>
        <w:ind w:firstLine="480" w:firstLineChars="200"/>
        <w:rPr>
          <w:rFonts w:hAnsi="宋体"/>
          <w:color w:val="auto"/>
          <w:szCs w:val="24"/>
          <w:highlight w:val="none"/>
        </w:rPr>
      </w:pPr>
      <w:r>
        <w:rPr>
          <w:rFonts w:hAnsi="宋体"/>
          <w:color w:val="auto"/>
          <w:szCs w:val="24"/>
          <w:highlight w:val="none"/>
        </w:rPr>
        <w:t>14.</w:t>
      </w:r>
      <w:r>
        <w:rPr>
          <w:rFonts w:hint="eastAsia" w:hAnsi="宋体"/>
          <w:color w:val="auto"/>
          <w:szCs w:val="24"/>
          <w:highlight w:val="none"/>
        </w:rPr>
        <w:t>4磋商</w:t>
      </w:r>
      <w:r>
        <w:rPr>
          <w:rFonts w:hAnsi="宋体"/>
          <w:color w:val="auto"/>
          <w:szCs w:val="24"/>
          <w:highlight w:val="none"/>
        </w:rPr>
        <w:t>保证金</w:t>
      </w:r>
      <w:r>
        <w:rPr>
          <w:rFonts w:hint="eastAsia" w:hAnsi="宋体"/>
          <w:color w:val="auto"/>
          <w:szCs w:val="24"/>
          <w:highlight w:val="none"/>
        </w:rPr>
        <w:t>必须按照竞争性磋商文件“供应商须知前附表”中规定的缴纳金额及方式办理。</w:t>
      </w:r>
    </w:p>
    <w:p w14:paraId="189FE0DA">
      <w:pPr>
        <w:spacing w:line="360" w:lineRule="auto"/>
        <w:ind w:firstLine="480" w:firstLineChars="200"/>
        <w:rPr>
          <w:rFonts w:hint="eastAsia" w:hAnsi="宋体"/>
          <w:color w:val="auto"/>
          <w:szCs w:val="24"/>
          <w:highlight w:val="none"/>
        </w:rPr>
      </w:pPr>
      <w:r>
        <w:rPr>
          <w:rFonts w:hAnsi="宋体"/>
          <w:color w:val="auto"/>
          <w:szCs w:val="24"/>
          <w:highlight w:val="none"/>
        </w:rPr>
        <w:t>14.</w:t>
      </w:r>
      <w:r>
        <w:rPr>
          <w:rFonts w:hint="eastAsia" w:hAnsi="宋体"/>
          <w:color w:val="auto"/>
          <w:szCs w:val="24"/>
          <w:highlight w:val="none"/>
        </w:rPr>
        <w:t>5磋商</w:t>
      </w:r>
      <w:r>
        <w:rPr>
          <w:rFonts w:hAnsi="宋体"/>
          <w:color w:val="auto"/>
          <w:szCs w:val="24"/>
          <w:highlight w:val="none"/>
        </w:rPr>
        <w:t>后经审查，未提交</w:t>
      </w:r>
      <w:r>
        <w:rPr>
          <w:rFonts w:hint="eastAsia" w:hAnsi="宋体"/>
          <w:color w:val="auto"/>
          <w:szCs w:val="24"/>
          <w:highlight w:val="none"/>
        </w:rPr>
        <w:t>磋商保证金、未按竞争性磋商文件规定时间提交磋商保证金</w:t>
      </w:r>
      <w:r>
        <w:rPr>
          <w:rFonts w:hint="eastAsia" w:hAnsi="宋体"/>
          <w:color w:val="auto"/>
          <w:highlight w:val="none"/>
        </w:rPr>
        <w:t>或担保机构出具的保函正本未在采购代理机构备案的</w:t>
      </w:r>
      <w:r>
        <w:rPr>
          <w:rFonts w:hint="eastAsia" w:hAnsi="宋体"/>
          <w:color w:val="auto"/>
          <w:szCs w:val="24"/>
          <w:highlight w:val="none"/>
        </w:rPr>
        <w:t>、磋商保证金</w:t>
      </w:r>
      <w:r>
        <w:rPr>
          <w:rFonts w:hAnsi="宋体"/>
          <w:color w:val="auto"/>
          <w:szCs w:val="24"/>
          <w:highlight w:val="none"/>
        </w:rPr>
        <w:t>金额不足</w:t>
      </w:r>
      <w:r>
        <w:rPr>
          <w:rFonts w:hint="eastAsia" w:hAnsi="宋体"/>
          <w:color w:val="auto"/>
          <w:szCs w:val="24"/>
          <w:highlight w:val="none"/>
        </w:rPr>
        <w:t>或磋商保证金转账凭证</w:t>
      </w:r>
      <w:r>
        <w:rPr>
          <w:rFonts w:hAnsi="宋体"/>
          <w:color w:val="auto"/>
          <w:szCs w:val="24"/>
          <w:highlight w:val="none"/>
        </w:rPr>
        <w:t>复印件</w:t>
      </w:r>
      <w:r>
        <w:rPr>
          <w:rFonts w:hint="eastAsia" w:hAnsi="宋体"/>
          <w:color w:val="auto"/>
          <w:szCs w:val="24"/>
          <w:highlight w:val="none"/>
        </w:rPr>
        <w:t>/担保机构出具的保函正本复印件未附在磋商响应文件内</w:t>
      </w:r>
      <w:r>
        <w:rPr>
          <w:rFonts w:hAnsi="宋体"/>
          <w:color w:val="auto"/>
          <w:szCs w:val="24"/>
          <w:highlight w:val="none"/>
        </w:rPr>
        <w:t>的</w:t>
      </w:r>
      <w:r>
        <w:rPr>
          <w:rFonts w:hint="eastAsia" w:hAnsi="宋体"/>
          <w:color w:val="auto"/>
          <w:szCs w:val="24"/>
          <w:highlight w:val="none"/>
        </w:rPr>
        <w:t>磋商</w:t>
      </w:r>
      <w:r>
        <w:rPr>
          <w:rFonts w:hAnsi="宋体"/>
          <w:color w:val="auto"/>
          <w:szCs w:val="24"/>
          <w:highlight w:val="none"/>
        </w:rPr>
        <w:t>将</w:t>
      </w:r>
      <w:r>
        <w:rPr>
          <w:rFonts w:hint="eastAsia" w:hAnsi="宋体"/>
          <w:color w:val="auto"/>
          <w:szCs w:val="24"/>
          <w:highlight w:val="none"/>
        </w:rPr>
        <w:t>按无效磋商处理。</w:t>
      </w:r>
    </w:p>
    <w:p w14:paraId="092DBD38">
      <w:pPr>
        <w:spacing w:line="360" w:lineRule="auto"/>
        <w:ind w:firstLine="480" w:firstLineChars="200"/>
        <w:rPr>
          <w:rFonts w:hAnsi="宋体"/>
          <w:color w:val="auto"/>
          <w:szCs w:val="24"/>
          <w:highlight w:val="none"/>
        </w:rPr>
      </w:pPr>
      <w:r>
        <w:rPr>
          <w:rFonts w:hAnsi="宋体"/>
          <w:color w:val="auto"/>
          <w:szCs w:val="24"/>
          <w:highlight w:val="none"/>
        </w:rPr>
        <w:t>14.</w:t>
      </w:r>
      <w:r>
        <w:rPr>
          <w:rFonts w:hint="eastAsia" w:hAnsi="宋体"/>
          <w:color w:val="auto"/>
          <w:szCs w:val="24"/>
          <w:highlight w:val="none"/>
        </w:rPr>
        <w:t>6</w:t>
      </w:r>
      <w:r>
        <w:rPr>
          <w:rFonts w:hAnsi="宋体"/>
          <w:color w:val="auto"/>
          <w:szCs w:val="24"/>
          <w:highlight w:val="none"/>
        </w:rPr>
        <w:t>未</w:t>
      </w:r>
      <w:r>
        <w:rPr>
          <w:rFonts w:hint="eastAsia" w:hAnsi="宋体"/>
          <w:color w:val="auto"/>
          <w:szCs w:val="24"/>
          <w:highlight w:val="none"/>
        </w:rPr>
        <w:t>成交供应商</w:t>
      </w:r>
      <w:r>
        <w:rPr>
          <w:rFonts w:hAnsi="宋体"/>
          <w:color w:val="auto"/>
          <w:szCs w:val="24"/>
          <w:highlight w:val="none"/>
        </w:rPr>
        <w:t>的</w:t>
      </w:r>
      <w:r>
        <w:rPr>
          <w:rFonts w:hint="eastAsia" w:hAnsi="宋体"/>
          <w:color w:val="auto"/>
          <w:szCs w:val="24"/>
          <w:highlight w:val="none"/>
        </w:rPr>
        <w:t>磋商</w:t>
      </w:r>
      <w:r>
        <w:rPr>
          <w:rFonts w:hAnsi="宋体"/>
          <w:color w:val="auto"/>
          <w:szCs w:val="24"/>
          <w:highlight w:val="none"/>
        </w:rPr>
        <w:t>保证金，将在</w:t>
      </w:r>
      <w:r>
        <w:rPr>
          <w:rFonts w:hint="eastAsia" w:hAnsi="宋体"/>
          <w:color w:val="auto"/>
          <w:szCs w:val="24"/>
          <w:highlight w:val="none"/>
        </w:rPr>
        <w:t>成交</w:t>
      </w:r>
      <w:r>
        <w:rPr>
          <w:rFonts w:hAnsi="宋体"/>
          <w:color w:val="auto"/>
          <w:szCs w:val="24"/>
          <w:highlight w:val="none"/>
        </w:rPr>
        <w:t>通知书发出后五个工作日内</w:t>
      </w:r>
      <w:r>
        <w:rPr>
          <w:rFonts w:hint="eastAsia" w:hAnsi="宋体"/>
          <w:color w:val="auto"/>
          <w:szCs w:val="24"/>
          <w:highlight w:val="none"/>
        </w:rPr>
        <w:t>按原账户</w:t>
      </w:r>
      <w:r>
        <w:rPr>
          <w:rFonts w:hAnsi="宋体"/>
          <w:color w:val="auto"/>
          <w:szCs w:val="24"/>
          <w:highlight w:val="none"/>
        </w:rPr>
        <w:t>退还；</w:t>
      </w:r>
      <w:r>
        <w:rPr>
          <w:rFonts w:hint="eastAsia" w:hAnsi="宋体"/>
          <w:color w:val="auto"/>
          <w:szCs w:val="24"/>
          <w:highlight w:val="none"/>
        </w:rPr>
        <w:t>成交供应商</w:t>
      </w:r>
      <w:r>
        <w:rPr>
          <w:rFonts w:hAnsi="宋体"/>
          <w:color w:val="auto"/>
          <w:szCs w:val="24"/>
          <w:highlight w:val="none"/>
        </w:rPr>
        <w:t>的</w:t>
      </w:r>
      <w:r>
        <w:rPr>
          <w:rFonts w:hint="eastAsia" w:hAnsi="宋体"/>
          <w:color w:val="auto"/>
          <w:szCs w:val="24"/>
          <w:highlight w:val="none"/>
        </w:rPr>
        <w:t>磋商</w:t>
      </w:r>
      <w:r>
        <w:rPr>
          <w:rFonts w:hAnsi="宋体"/>
          <w:color w:val="auto"/>
          <w:szCs w:val="24"/>
          <w:highlight w:val="none"/>
        </w:rPr>
        <w:t>保证金，在采购合同签订并按规定交纳</w:t>
      </w:r>
      <w:r>
        <w:rPr>
          <w:rFonts w:hint="eastAsia" w:hAnsi="宋体"/>
          <w:color w:val="auto"/>
          <w:szCs w:val="24"/>
          <w:highlight w:val="none"/>
        </w:rPr>
        <w:t>成交</w:t>
      </w:r>
      <w:r>
        <w:rPr>
          <w:rFonts w:hAnsi="宋体"/>
          <w:color w:val="auto"/>
          <w:szCs w:val="24"/>
          <w:highlight w:val="none"/>
        </w:rPr>
        <w:t>代理服务费后五个工作日内退还</w:t>
      </w:r>
      <w:r>
        <w:rPr>
          <w:rFonts w:hint="eastAsia" w:hAnsi="宋体"/>
          <w:b/>
          <w:color w:val="auto"/>
          <w:szCs w:val="24"/>
          <w:highlight w:val="none"/>
        </w:rPr>
        <w:t>（退还时，须向采购代理机构提供采购合同原件、开户许可证及转账凭证复印件壹份）</w:t>
      </w:r>
      <w:r>
        <w:rPr>
          <w:rFonts w:hAnsi="宋体"/>
          <w:color w:val="auto"/>
          <w:szCs w:val="24"/>
          <w:highlight w:val="none"/>
        </w:rPr>
        <w:t>。</w:t>
      </w:r>
    </w:p>
    <w:p w14:paraId="2757D33A">
      <w:pPr>
        <w:spacing w:line="360" w:lineRule="auto"/>
        <w:ind w:firstLine="480" w:firstLineChars="200"/>
        <w:rPr>
          <w:rFonts w:hAnsi="宋体"/>
          <w:color w:val="auto"/>
          <w:szCs w:val="24"/>
          <w:highlight w:val="none"/>
        </w:rPr>
      </w:pPr>
      <w:r>
        <w:rPr>
          <w:rFonts w:hint="eastAsia" w:hAnsi="宋体"/>
          <w:color w:val="auto"/>
          <w:szCs w:val="24"/>
          <w:highlight w:val="none"/>
        </w:rPr>
        <w:t>14.7供应商以担保机构保函形式缴纳磋商保证金的，磋商结束之后将担保机构保函原件退回（退还时间参照14.6条款）。供应商领取担保机构保函原件时需携带法人授权委托书原件。</w:t>
      </w:r>
    </w:p>
    <w:p w14:paraId="2388B870">
      <w:pPr>
        <w:spacing w:line="360" w:lineRule="auto"/>
        <w:ind w:firstLine="482" w:firstLineChars="200"/>
        <w:rPr>
          <w:rFonts w:hAnsi="宋体"/>
          <w:color w:val="auto"/>
          <w:szCs w:val="24"/>
          <w:highlight w:val="none"/>
        </w:rPr>
      </w:pPr>
      <w:r>
        <w:rPr>
          <w:rFonts w:hAnsi="宋体"/>
          <w:b/>
          <w:bCs/>
          <w:color w:val="auto"/>
          <w:szCs w:val="24"/>
          <w:highlight w:val="none"/>
        </w:rPr>
        <w:t>14</w:t>
      </w:r>
      <w:r>
        <w:rPr>
          <w:rFonts w:hint="eastAsia" w:hAnsi="宋体"/>
          <w:b/>
          <w:bCs/>
          <w:color w:val="auto"/>
          <w:szCs w:val="24"/>
          <w:highlight w:val="none"/>
        </w:rPr>
        <w:t>.8</w:t>
      </w:r>
      <w:r>
        <w:rPr>
          <w:rFonts w:hAnsi="宋体"/>
          <w:b/>
          <w:bCs/>
          <w:color w:val="auto"/>
          <w:szCs w:val="24"/>
          <w:highlight w:val="none"/>
        </w:rPr>
        <w:t xml:space="preserve"> 下列任何情况发生时，视为</w:t>
      </w:r>
      <w:r>
        <w:rPr>
          <w:rFonts w:hint="eastAsia" w:hAnsi="宋体"/>
          <w:b/>
          <w:bCs/>
          <w:color w:val="auto"/>
          <w:szCs w:val="24"/>
          <w:highlight w:val="none"/>
        </w:rPr>
        <w:t>供应商</w:t>
      </w:r>
      <w:r>
        <w:rPr>
          <w:rFonts w:hAnsi="宋体"/>
          <w:b/>
          <w:bCs/>
          <w:color w:val="auto"/>
          <w:szCs w:val="24"/>
          <w:highlight w:val="none"/>
        </w:rPr>
        <w:t>违约，其</w:t>
      </w:r>
      <w:r>
        <w:rPr>
          <w:rFonts w:hint="eastAsia" w:hAnsi="宋体"/>
          <w:b/>
          <w:bCs/>
          <w:color w:val="auto"/>
          <w:szCs w:val="24"/>
          <w:highlight w:val="none"/>
        </w:rPr>
        <w:t>磋商保证金</w:t>
      </w:r>
      <w:r>
        <w:rPr>
          <w:rFonts w:hAnsi="宋体"/>
          <w:b/>
          <w:bCs/>
          <w:color w:val="auto"/>
          <w:szCs w:val="24"/>
          <w:highlight w:val="none"/>
        </w:rPr>
        <w:t>将被没收：</w:t>
      </w:r>
    </w:p>
    <w:p w14:paraId="1C8B3559">
      <w:pPr>
        <w:spacing w:line="360" w:lineRule="auto"/>
        <w:ind w:firstLine="480" w:firstLineChars="200"/>
        <w:rPr>
          <w:rFonts w:hAnsi="宋体"/>
          <w:color w:val="auto"/>
          <w:szCs w:val="24"/>
          <w:highlight w:val="none"/>
        </w:rPr>
      </w:pPr>
      <w:r>
        <w:rPr>
          <w:rFonts w:hAnsi="宋体"/>
          <w:color w:val="auto"/>
          <w:szCs w:val="24"/>
          <w:highlight w:val="none"/>
        </w:rPr>
        <w:t xml:space="preserve">1) </w:t>
      </w:r>
      <w:r>
        <w:rPr>
          <w:rFonts w:hint="eastAsia" w:hAnsi="宋体"/>
          <w:color w:val="auto"/>
          <w:szCs w:val="24"/>
          <w:highlight w:val="none"/>
        </w:rPr>
        <w:t>供应商</w:t>
      </w:r>
      <w:r>
        <w:rPr>
          <w:rFonts w:hAnsi="宋体"/>
          <w:color w:val="auto"/>
          <w:szCs w:val="24"/>
          <w:highlight w:val="none"/>
        </w:rPr>
        <w:t>在</w:t>
      </w:r>
      <w:r>
        <w:rPr>
          <w:rFonts w:hint="eastAsia" w:hAnsi="宋体"/>
          <w:color w:val="auto"/>
          <w:szCs w:val="24"/>
          <w:highlight w:val="none"/>
        </w:rPr>
        <w:t>磋商</w:t>
      </w:r>
      <w:r>
        <w:rPr>
          <w:rFonts w:hAnsi="宋体"/>
          <w:color w:val="auto"/>
          <w:szCs w:val="24"/>
          <w:highlight w:val="none"/>
        </w:rPr>
        <w:t>有效期内撤回其</w:t>
      </w:r>
      <w:r>
        <w:rPr>
          <w:rFonts w:hint="eastAsia" w:hAnsi="宋体"/>
          <w:color w:val="auto"/>
          <w:szCs w:val="24"/>
          <w:highlight w:val="none"/>
        </w:rPr>
        <w:t>磋商响应文件</w:t>
      </w:r>
      <w:r>
        <w:rPr>
          <w:rFonts w:hAnsi="宋体"/>
          <w:color w:val="auto"/>
          <w:szCs w:val="24"/>
          <w:highlight w:val="none"/>
        </w:rPr>
        <w:t>；</w:t>
      </w:r>
    </w:p>
    <w:p w14:paraId="43597E75">
      <w:pPr>
        <w:spacing w:line="360" w:lineRule="auto"/>
        <w:ind w:firstLine="480" w:firstLineChars="200"/>
        <w:rPr>
          <w:rFonts w:hAnsi="宋体"/>
          <w:color w:val="auto"/>
          <w:szCs w:val="24"/>
          <w:highlight w:val="none"/>
        </w:rPr>
      </w:pPr>
      <w:r>
        <w:rPr>
          <w:rFonts w:hint="eastAsia" w:hAnsi="宋体"/>
          <w:color w:val="auto"/>
          <w:szCs w:val="24"/>
          <w:highlight w:val="none"/>
        </w:rPr>
        <w:t>2）供应商在响应文件中提供伪造、套改、虚假资料参加磋商的。</w:t>
      </w:r>
    </w:p>
    <w:p w14:paraId="3D84CBE0">
      <w:pPr>
        <w:spacing w:line="360" w:lineRule="auto"/>
        <w:ind w:firstLine="480" w:firstLineChars="200"/>
        <w:rPr>
          <w:rFonts w:hAnsi="宋体"/>
          <w:color w:val="auto"/>
          <w:szCs w:val="24"/>
          <w:highlight w:val="none"/>
        </w:rPr>
      </w:pPr>
      <w:r>
        <w:rPr>
          <w:rFonts w:hint="eastAsia" w:hAnsi="宋体"/>
          <w:color w:val="auto"/>
          <w:szCs w:val="24"/>
          <w:highlight w:val="none"/>
        </w:rPr>
        <w:t>3</w:t>
      </w:r>
      <w:r>
        <w:rPr>
          <w:rFonts w:hAnsi="宋体"/>
          <w:color w:val="auto"/>
          <w:szCs w:val="24"/>
          <w:highlight w:val="none"/>
        </w:rPr>
        <w:t xml:space="preserve">) </w:t>
      </w:r>
      <w:r>
        <w:rPr>
          <w:rFonts w:hint="eastAsia" w:hAnsi="宋体"/>
          <w:color w:val="auto"/>
          <w:szCs w:val="24"/>
          <w:highlight w:val="none"/>
        </w:rPr>
        <w:t>供应商成交</w:t>
      </w:r>
      <w:r>
        <w:rPr>
          <w:rFonts w:hAnsi="宋体"/>
          <w:color w:val="auto"/>
          <w:szCs w:val="24"/>
          <w:highlight w:val="none"/>
        </w:rPr>
        <w:t>后放弃</w:t>
      </w:r>
      <w:r>
        <w:rPr>
          <w:rFonts w:hint="eastAsia" w:hAnsi="宋体"/>
          <w:color w:val="auto"/>
          <w:szCs w:val="24"/>
          <w:highlight w:val="none"/>
        </w:rPr>
        <w:t>成交</w:t>
      </w:r>
      <w:r>
        <w:rPr>
          <w:rFonts w:hAnsi="宋体"/>
          <w:color w:val="auto"/>
          <w:szCs w:val="24"/>
          <w:highlight w:val="none"/>
        </w:rPr>
        <w:t>或未能按规定签订合同；或未能按规定交纳</w:t>
      </w:r>
      <w:r>
        <w:rPr>
          <w:rFonts w:hint="eastAsia" w:hAnsi="宋体"/>
          <w:color w:val="auto"/>
          <w:szCs w:val="24"/>
          <w:highlight w:val="none"/>
        </w:rPr>
        <w:t>成交</w:t>
      </w:r>
      <w:r>
        <w:rPr>
          <w:rFonts w:hAnsi="宋体"/>
          <w:color w:val="auto"/>
          <w:szCs w:val="24"/>
          <w:highlight w:val="none"/>
        </w:rPr>
        <w:t>代理服务费。</w:t>
      </w:r>
    </w:p>
    <w:p w14:paraId="68A9080F">
      <w:pPr>
        <w:spacing w:line="360" w:lineRule="auto"/>
        <w:ind w:firstLine="480" w:firstLineChars="200"/>
        <w:rPr>
          <w:rFonts w:hAnsi="宋体"/>
          <w:color w:val="auto"/>
          <w:szCs w:val="24"/>
          <w:highlight w:val="none"/>
        </w:rPr>
      </w:pPr>
      <w:r>
        <w:rPr>
          <w:rFonts w:hint="eastAsia" w:hAnsi="宋体"/>
          <w:color w:val="auto"/>
          <w:szCs w:val="24"/>
          <w:highlight w:val="none"/>
        </w:rPr>
        <w:t>4）供应商成交后将成交项目转让给他人，或者在响应文件中未说明，且未经采购人同意，将成交项目分包给他人的。</w:t>
      </w:r>
    </w:p>
    <w:p w14:paraId="6A0EE5AC">
      <w:pPr>
        <w:spacing w:line="360" w:lineRule="auto"/>
        <w:ind w:firstLine="480" w:firstLineChars="200"/>
        <w:rPr>
          <w:rFonts w:hAnsi="宋体"/>
          <w:color w:val="auto"/>
          <w:szCs w:val="24"/>
          <w:highlight w:val="none"/>
        </w:rPr>
      </w:pPr>
      <w:r>
        <w:rPr>
          <w:rFonts w:hint="eastAsia" w:hAnsi="宋体"/>
          <w:color w:val="auto"/>
          <w:szCs w:val="24"/>
          <w:highlight w:val="none"/>
        </w:rPr>
        <w:t>5）供应商事先未通告无故不参加磋商活动的。</w:t>
      </w:r>
    </w:p>
    <w:p w14:paraId="0FA67ACA">
      <w:pPr>
        <w:spacing w:line="360" w:lineRule="auto"/>
        <w:ind w:firstLine="480" w:firstLineChars="200"/>
        <w:rPr>
          <w:rFonts w:hAnsi="宋体"/>
          <w:color w:val="auto"/>
          <w:szCs w:val="24"/>
          <w:highlight w:val="none"/>
        </w:rPr>
      </w:pPr>
      <w:r>
        <w:rPr>
          <w:rFonts w:hint="eastAsia" w:hAnsi="宋体"/>
          <w:color w:val="auto"/>
          <w:szCs w:val="24"/>
          <w:highlight w:val="none"/>
        </w:rPr>
        <w:t>6）供应商不按法定程序进行质疑和投诉，捏造事实，查无实据，造成恶劣影响，导致采购活动无法正常进行的。</w:t>
      </w:r>
    </w:p>
    <w:p w14:paraId="3A37C616">
      <w:pPr>
        <w:spacing w:line="360" w:lineRule="auto"/>
        <w:rPr>
          <w:rFonts w:hAnsi="宋体"/>
          <w:b/>
          <w:color w:val="auto"/>
          <w:szCs w:val="24"/>
          <w:highlight w:val="none"/>
        </w:rPr>
      </w:pPr>
      <w:r>
        <w:rPr>
          <w:rFonts w:hAnsi="宋体"/>
          <w:b/>
          <w:color w:val="auto"/>
          <w:szCs w:val="24"/>
          <w:highlight w:val="none"/>
        </w:rPr>
        <w:t>15.</w:t>
      </w:r>
      <w:r>
        <w:rPr>
          <w:rFonts w:hint="eastAsia" w:hAnsi="宋体"/>
          <w:b/>
          <w:color w:val="auto"/>
          <w:szCs w:val="24"/>
          <w:highlight w:val="none"/>
        </w:rPr>
        <w:t>磋商</w:t>
      </w:r>
      <w:r>
        <w:rPr>
          <w:rFonts w:hAnsi="宋体"/>
          <w:b/>
          <w:color w:val="auto"/>
          <w:szCs w:val="24"/>
          <w:highlight w:val="none"/>
        </w:rPr>
        <w:t>有效期</w:t>
      </w:r>
    </w:p>
    <w:p w14:paraId="19EB3543">
      <w:pPr>
        <w:spacing w:line="360" w:lineRule="auto"/>
        <w:ind w:firstLine="480" w:firstLineChars="200"/>
        <w:rPr>
          <w:rFonts w:hAnsi="宋体"/>
          <w:color w:val="auto"/>
          <w:szCs w:val="24"/>
          <w:highlight w:val="none"/>
        </w:rPr>
      </w:pPr>
      <w:bookmarkStart w:id="32" w:name="OLE_LINK4"/>
      <w:r>
        <w:rPr>
          <w:rFonts w:hAnsi="宋体"/>
          <w:color w:val="auto"/>
          <w:szCs w:val="24"/>
          <w:highlight w:val="none"/>
        </w:rPr>
        <w:t>15.1</w:t>
      </w:r>
      <w:r>
        <w:rPr>
          <w:rFonts w:hint="eastAsia" w:hAnsi="宋体"/>
          <w:color w:val="auto"/>
          <w:szCs w:val="24"/>
          <w:highlight w:val="none"/>
        </w:rPr>
        <w:t>磋商响应文件</w:t>
      </w:r>
      <w:r>
        <w:rPr>
          <w:rFonts w:hAnsi="宋体"/>
          <w:color w:val="auto"/>
          <w:szCs w:val="24"/>
          <w:highlight w:val="none"/>
        </w:rPr>
        <w:t>应在“</w:t>
      </w:r>
      <w:r>
        <w:rPr>
          <w:rFonts w:hint="eastAsia" w:hAnsi="宋体"/>
          <w:color w:val="auto"/>
          <w:szCs w:val="24"/>
          <w:highlight w:val="none"/>
        </w:rPr>
        <w:t>供应商须知前附表</w:t>
      </w:r>
      <w:r>
        <w:rPr>
          <w:rFonts w:hAnsi="宋体"/>
          <w:color w:val="auto"/>
          <w:szCs w:val="24"/>
          <w:highlight w:val="none"/>
        </w:rPr>
        <w:t>”中规定的期限内保持有效。</w:t>
      </w:r>
      <w:r>
        <w:rPr>
          <w:rFonts w:hint="eastAsia" w:hAnsi="宋体"/>
          <w:color w:val="auto"/>
          <w:szCs w:val="24"/>
          <w:highlight w:val="none"/>
        </w:rPr>
        <w:t>磋商</w:t>
      </w:r>
      <w:r>
        <w:rPr>
          <w:rFonts w:hAnsi="宋体"/>
          <w:color w:val="auto"/>
          <w:szCs w:val="24"/>
          <w:highlight w:val="none"/>
        </w:rPr>
        <w:t>有效期不满足规定有效期的</w:t>
      </w:r>
      <w:r>
        <w:rPr>
          <w:rFonts w:hint="eastAsia" w:hAnsi="宋体"/>
          <w:color w:val="auto"/>
          <w:szCs w:val="24"/>
          <w:highlight w:val="none"/>
        </w:rPr>
        <w:t>磋商响应文件将被视为非响应性磋商而予以拒绝</w:t>
      </w:r>
      <w:r>
        <w:rPr>
          <w:rFonts w:hAnsi="宋体"/>
          <w:color w:val="auto"/>
          <w:szCs w:val="24"/>
          <w:highlight w:val="none"/>
        </w:rPr>
        <w:t>。</w:t>
      </w:r>
      <w:bookmarkEnd w:id="32"/>
    </w:p>
    <w:p w14:paraId="19B0B9F0">
      <w:pPr>
        <w:spacing w:line="360" w:lineRule="auto"/>
        <w:ind w:firstLine="480" w:firstLineChars="200"/>
        <w:rPr>
          <w:rFonts w:hAnsi="宋体"/>
          <w:color w:val="auto"/>
          <w:szCs w:val="24"/>
          <w:highlight w:val="none"/>
        </w:rPr>
      </w:pPr>
      <w:r>
        <w:rPr>
          <w:rFonts w:hAnsi="宋体"/>
          <w:color w:val="auto"/>
          <w:szCs w:val="24"/>
          <w:highlight w:val="none"/>
        </w:rPr>
        <w:t>15.2在特殊情况下，在原</w:t>
      </w:r>
      <w:r>
        <w:rPr>
          <w:rFonts w:hint="eastAsia" w:hAnsi="宋体"/>
          <w:color w:val="auto"/>
          <w:szCs w:val="24"/>
          <w:highlight w:val="none"/>
        </w:rPr>
        <w:t>磋商</w:t>
      </w:r>
      <w:r>
        <w:rPr>
          <w:rFonts w:hAnsi="宋体"/>
          <w:color w:val="auto"/>
          <w:szCs w:val="24"/>
          <w:highlight w:val="none"/>
        </w:rPr>
        <w:t>有效期期满之前，采购代理机构可向</w:t>
      </w:r>
      <w:r>
        <w:rPr>
          <w:rFonts w:hint="eastAsia" w:hAnsi="宋体"/>
          <w:color w:val="auto"/>
          <w:szCs w:val="24"/>
          <w:highlight w:val="none"/>
        </w:rPr>
        <w:t>供应商</w:t>
      </w:r>
      <w:r>
        <w:rPr>
          <w:rFonts w:hAnsi="宋体"/>
          <w:color w:val="auto"/>
          <w:szCs w:val="24"/>
          <w:highlight w:val="none"/>
        </w:rPr>
        <w:t>提出延长</w:t>
      </w:r>
      <w:r>
        <w:rPr>
          <w:rFonts w:hint="eastAsia" w:hAnsi="宋体"/>
          <w:color w:val="auto"/>
          <w:szCs w:val="24"/>
          <w:highlight w:val="none"/>
        </w:rPr>
        <w:t>磋商</w:t>
      </w:r>
      <w:r>
        <w:rPr>
          <w:rFonts w:hAnsi="宋体"/>
          <w:color w:val="auto"/>
          <w:szCs w:val="24"/>
          <w:highlight w:val="none"/>
        </w:rPr>
        <w:t>有效期的要求。这种要求与答复均应以书面的形式。</w:t>
      </w:r>
      <w:r>
        <w:rPr>
          <w:rFonts w:hint="eastAsia" w:hAnsi="宋体"/>
          <w:color w:val="auto"/>
          <w:szCs w:val="24"/>
          <w:highlight w:val="none"/>
        </w:rPr>
        <w:t>供应商</w:t>
      </w:r>
      <w:r>
        <w:rPr>
          <w:rFonts w:hAnsi="宋体"/>
          <w:color w:val="auto"/>
          <w:szCs w:val="24"/>
          <w:highlight w:val="none"/>
        </w:rPr>
        <w:t>可以拒绝采购代理机构的这种要求,其</w:t>
      </w:r>
      <w:r>
        <w:rPr>
          <w:rFonts w:hint="eastAsia" w:hAnsi="宋体"/>
          <w:color w:val="auto"/>
          <w:szCs w:val="24"/>
          <w:highlight w:val="none"/>
        </w:rPr>
        <w:t>磋商保证金</w:t>
      </w:r>
      <w:r>
        <w:rPr>
          <w:rFonts w:hAnsi="宋体"/>
          <w:color w:val="auto"/>
          <w:szCs w:val="24"/>
          <w:highlight w:val="none"/>
        </w:rPr>
        <w:t>也不被没收。同意延长的</w:t>
      </w:r>
      <w:r>
        <w:rPr>
          <w:rFonts w:hint="eastAsia" w:hAnsi="宋体"/>
          <w:color w:val="auto"/>
          <w:szCs w:val="24"/>
          <w:highlight w:val="none"/>
        </w:rPr>
        <w:t>供应商</w:t>
      </w:r>
      <w:r>
        <w:rPr>
          <w:rFonts w:hAnsi="宋体"/>
          <w:color w:val="auto"/>
          <w:szCs w:val="24"/>
          <w:highlight w:val="none"/>
        </w:rPr>
        <w:t>既不能要求也不允许修改其</w:t>
      </w:r>
      <w:r>
        <w:rPr>
          <w:rFonts w:hint="eastAsia" w:hAnsi="宋体"/>
          <w:color w:val="auto"/>
          <w:szCs w:val="24"/>
          <w:highlight w:val="none"/>
        </w:rPr>
        <w:t>竞争性磋商响应文件</w:t>
      </w:r>
      <w:r>
        <w:rPr>
          <w:rFonts w:hAnsi="宋体"/>
          <w:color w:val="auto"/>
          <w:szCs w:val="24"/>
          <w:highlight w:val="none"/>
        </w:rPr>
        <w:t>，但要相应延长其</w:t>
      </w:r>
      <w:r>
        <w:rPr>
          <w:rFonts w:hint="eastAsia" w:hAnsi="宋体"/>
          <w:color w:val="auto"/>
          <w:szCs w:val="24"/>
          <w:highlight w:val="none"/>
        </w:rPr>
        <w:t>磋商保证金</w:t>
      </w:r>
      <w:r>
        <w:rPr>
          <w:rFonts w:hAnsi="宋体"/>
          <w:color w:val="auto"/>
          <w:szCs w:val="24"/>
          <w:highlight w:val="none"/>
        </w:rPr>
        <w:t>的有效期。</w:t>
      </w:r>
      <w:r>
        <w:rPr>
          <w:rFonts w:hint="eastAsia" w:hAnsi="宋体"/>
          <w:color w:val="auto"/>
          <w:szCs w:val="24"/>
          <w:highlight w:val="none"/>
        </w:rPr>
        <w:t>在这种情况下，本章第14条有关磋商保证金的退还和没收的规定将在延长了的有效期内继续有效。</w:t>
      </w:r>
    </w:p>
    <w:p w14:paraId="24278CCE">
      <w:pPr>
        <w:spacing w:line="360" w:lineRule="auto"/>
        <w:rPr>
          <w:rFonts w:hAnsi="宋体"/>
          <w:b/>
          <w:color w:val="auto"/>
          <w:szCs w:val="24"/>
          <w:highlight w:val="none"/>
        </w:rPr>
      </w:pPr>
      <w:r>
        <w:rPr>
          <w:rFonts w:hAnsi="宋体"/>
          <w:b/>
          <w:color w:val="auto"/>
          <w:szCs w:val="24"/>
          <w:highlight w:val="none"/>
        </w:rPr>
        <w:t>16.</w:t>
      </w:r>
      <w:r>
        <w:rPr>
          <w:rFonts w:hint="eastAsia" w:hAnsi="宋体"/>
          <w:b/>
          <w:color w:val="auto"/>
          <w:szCs w:val="24"/>
          <w:highlight w:val="none"/>
        </w:rPr>
        <w:t>竞争性磋商响应文件</w:t>
      </w:r>
      <w:r>
        <w:rPr>
          <w:rFonts w:hAnsi="宋体"/>
          <w:b/>
          <w:color w:val="auto"/>
          <w:szCs w:val="24"/>
          <w:highlight w:val="none"/>
        </w:rPr>
        <w:t>的式样和签署</w:t>
      </w:r>
    </w:p>
    <w:p w14:paraId="268D3D0E">
      <w:pPr>
        <w:spacing w:line="360" w:lineRule="auto"/>
        <w:ind w:firstLine="480" w:firstLineChars="200"/>
        <w:rPr>
          <w:rFonts w:hAnsi="宋体"/>
          <w:color w:val="auto"/>
          <w:szCs w:val="24"/>
          <w:highlight w:val="none"/>
        </w:rPr>
      </w:pPr>
      <w:r>
        <w:rPr>
          <w:rFonts w:hAnsi="宋体"/>
          <w:color w:val="auto"/>
          <w:szCs w:val="24"/>
          <w:highlight w:val="none"/>
        </w:rPr>
        <w:t>16.1</w:t>
      </w:r>
      <w:r>
        <w:rPr>
          <w:rFonts w:hint="eastAsia" w:hAnsi="宋体"/>
          <w:color w:val="auto"/>
          <w:szCs w:val="24"/>
          <w:highlight w:val="none"/>
        </w:rPr>
        <w:t>供应商</w:t>
      </w:r>
      <w:r>
        <w:rPr>
          <w:rFonts w:hAnsi="宋体"/>
          <w:color w:val="auto"/>
          <w:szCs w:val="24"/>
          <w:highlight w:val="none"/>
        </w:rPr>
        <w:t>应按照</w:t>
      </w:r>
      <w:r>
        <w:rPr>
          <w:rFonts w:hint="eastAsia" w:hAnsi="宋体"/>
          <w:color w:val="auto"/>
          <w:szCs w:val="24"/>
          <w:highlight w:val="none"/>
        </w:rPr>
        <w:t>供应商</w:t>
      </w:r>
      <w:r>
        <w:rPr>
          <w:rFonts w:hAnsi="宋体"/>
          <w:color w:val="auto"/>
          <w:szCs w:val="24"/>
          <w:highlight w:val="none"/>
        </w:rPr>
        <w:t>须知的要求,准备一份</w:t>
      </w:r>
      <w:r>
        <w:rPr>
          <w:rFonts w:hint="eastAsia" w:hAnsi="宋体"/>
          <w:color w:val="auto"/>
          <w:szCs w:val="24"/>
          <w:highlight w:val="none"/>
        </w:rPr>
        <w:t>竞争性磋商响应文件</w:t>
      </w:r>
      <w:r>
        <w:rPr>
          <w:rFonts w:hAnsi="宋体"/>
          <w:color w:val="auto"/>
          <w:szCs w:val="24"/>
          <w:highlight w:val="none"/>
        </w:rPr>
        <w:t>正本和“</w:t>
      </w:r>
      <w:r>
        <w:rPr>
          <w:rFonts w:hint="eastAsia" w:hAnsi="宋体"/>
          <w:color w:val="auto"/>
          <w:szCs w:val="24"/>
          <w:highlight w:val="none"/>
        </w:rPr>
        <w:t>供应商须知前附表</w:t>
      </w:r>
      <w:r>
        <w:rPr>
          <w:rFonts w:hAnsi="宋体"/>
          <w:color w:val="auto"/>
          <w:szCs w:val="24"/>
          <w:highlight w:val="none"/>
        </w:rPr>
        <w:t>”中规定数量的副本，每套</w:t>
      </w:r>
      <w:r>
        <w:rPr>
          <w:rFonts w:hint="eastAsia" w:hAnsi="宋体"/>
          <w:color w:val="auto"/>
          <w:szCs w:val="24"/>
          <w:highlight w:val="none"/>
        </w:rPr>
        <w:t>竞争性磋商响应文件封面</w:t>
      </w:r>
      <w:r>
        <w:rPr>
          <w:rFonts w:hAnsi="宋体"/>
          <w:color w:val="auto"/>
          <w:szCs w:val="24"/>
          <w:highlight w:val="none"/>
        </w:rPr>
        <w:t>须清楚地标明“正本”或“副本”。</w:t>
      </w:r>
      <w:r>
        <w:rPr>
          <w:rFonts w:hint="eastAsia" w:hAnsi="宋体"/>
          <w:color w:val="auto"/>
          <w:szCs w:val="24"/>
          <w:highlight w:val="none"/>
        </w:rPr>
        <w:t>同时提供与正本内容一致的</w:t>
      </w:r>
      <w:r>
        <w:rPr>
          <w:rFonts w:hint="eastAsia"/>
          <w:color w:val="auto"/>
          <w:spacing w:val="4"/>
          <w:highlight w:val="none"/>
        </w:rPr>
        <w:t>电子版（U盘）</w:t>
      </w:r>
      <w:r>
        <w:rPr>
          <w:rFonts w:hint="eastAsia" w:hAnsi="宋体"/>
          <w:color w:val="auto"/>
          <w:szCs w:val="24"/>
          <w:highlight w:val="none"/>
        </w:rPr>
        <w:t>并在盘面标注供应商全称、项目名称、项目编号，并与竞争性磋商响应文件同时递交。</w:t>
      </w:r>
    </w:p>
    <w:p w14:paraId="55DD6409">
      <w:pPr>
        <w:spacing w:line="500" w:lineRule="exact"/>
        <w:ind w:firstLine="480" w:firstLineChars="200"/>
        <w:rPr>
          <w:rFonts w:hAnsi="宋体"/>
          <w:color w:val="auto"/>
          <w:highlight w:val="none"/>
        </w:rPr>
      </w:pPr>
      <w:r>
        <w:rPr>
          <w:rFonts w:hAnsi="宋体"/>
          <w:color w:val="auto"/>
          <w:szCs w:val="24"/>
          <w:highlight w:val="none"/>
        </w:rPr>
        <w:t>16.2</w:t>
      </w:r>
      <w:r>
        <w:rPr>
          <w:rFonts w:hint="eastAsia" w:hAnsi="宋体"/>
          <w:color w:val="auto"/>
          <w:szCs w:val="24"/>
          <w:highlight w:val="none"/>
        </w:rPr>
        <w:t>竞争性磋商响应文件</w:t>
      </w:r>
      <w:r>
        <w:rPr>
          <w:rFonts w:hAnsi="宋体"/>
          <w:color w:val="auto"/>
          <w:szCs w:val="24"/>
          <w:highlight w:val="none"/>
        </w:rPr>
        <w:t>正本需打印或用不褪色的蓝(黑)色墨水(汁)书写,并由</w:t>
      </w:r>
      <w:r>
        <w:rPr>
          <w:rFonts w:hint="eastAsia" w:hAnsi="宋体"/>
          <w:color w:val="auto"/>
          <w:szCs w:val="24"/>
          <w:highlight w:val="none"/>
        </w:rPr>
        <w:t>供应商</w:t>
      </w:r>
      <w:r>
        <w:rPr>
          <w:rFonts w:hAnsi="宋体"/>
          <w:color w:val="auto"/>
          <w:szCs w:val="24"/>
          <w:highlight w:val="none"/>
        </w:rPr>
        <w:t>法定代表人或经法定代表人正式授权的代表</w:t>
      </w:r>
      <w:r>
        <w:rPr>
          <w:rFonts w:hint="eastAsia" w:hAnsi="宋体"/>
          <w:color w:val="auto"/>
          <w:szCs w:val="24"/>
          <w:highlight w:val="none"/>
        </w:rPr>
        <w:t>签字【竞争性磋商文件要求竞争性磋商响应文件中法定代表人签字处由法定代表人签署，要求授权代表签字处由授权代表签署】，若由授权代表签署，</w:t>
      </w:r>
      <w:r>
        <w:rPr>
          <w:rFonts w:hAnsi="宋体"/>
          <w:color w:val="auto"/>
          <w:szCs w:val="24"/>
          <w:highlight w:val="none"/>
        </w:rPr>
        <w:t>须按</w:t>
      </w:r>
      <w:r>
        <w:rPr>
          <w:rFonts w:hint="eastAsia" w:hAnsi="宋体"/>
          <w:color w:val="auto"/>
          <w:szCs w:val="24"/>
          <w:highlight w:val="none"/>
        </w:rPr>
        <w:t>竞争性磋商</w:t>
      </w:r>
      <w:r>
        <w:rPr>
          <w:rFonts w:hAnsi="宋体"/>
          <w:color w:val="auto"/>
          <w:szCs w:val="24"/>
          <w:highlight w:val="none"/>
        </w:rPr>
        <w:t>文件规定的格式出具的“</w:t>
      </w:r>
      <w:r>
        <w:rPr>
          <w:rFonts w:hint="eastAsia" w:hAnsi="宋体"/>
          <w:color w:val="auto"/>
          <w:szCs w:val="24"/>
          <w:highlight w:val="none"/>
        </w:rPr>
        <w:t>法定代表人</w:t>
      </w:r>
      <w:r>
        <w:rPr>
          <w:rFonts w:hAnsi="宋体"/>
          <w:color w:val="auto"/>
          <w:szCs w:val="24"/>
          <w:highlight w:val="none"/>
        </w:rPr>
        <w:t>授权书”附在</w:t>
      </w:r>
      <w:r>
        <w:rPr>
          <w:rFonts w:hint="eastAsia" w:hAnsi="宋体"/>
          <w:color w:val="auto"/>
          <w:szCs w:val="24"/>
          <w:highlight w:val="none"/>
        </w:rPr>
        <w:t>竞争性磋商响应</w:t>
      </w:r>
      <w:r>
        <w:rPr>
          <w:rFonts w:hAnsi="宋体"/>
          <w:color w:val="auto"/>
          <w:szCs w:val="24"/>
          <w:highlight w:val="none"/>
        </w:rPr>
        <w:t>文件中</w:t>
      </w:r>
      <w:r>
        <w:rPr>
          <w:rFonts w:hint="eastAsia" w:hAnsi="宋体"/>
          <w:color w:val="auto"/>
          <w:szCs w:val="24"/>
          <w:highlight w:val="none"/>
        </w:rPr>
        <w:t>，</w:t>
      </w:r>
      <w:r>
        <w:rPr>
          <w:rFonts w:hAnsi="宋体"/>
          <w:color w:val="auto"/>
          <w:szCs w:val="24"/>
          <w:highlight w:val="none"/>
        </w:rPr>
        <w:t>所有要求签字（名）处，均须由签字（名）者本人用不褪色的蓝(黑)色墨水(汁)书写，不得用</w:t>
      </w:r>
      <w:r>
        <w:rPr>
          <w:rFonts w:hint="eastAsia" w:hAnsi="宋体"/>
          <w:color w:val="auto"/>
          <w:szCs w:val="24"/>
          <w:highlight w:val="none"/>
        </w:rPr>
        <w:t>任何形式的图</w:t>
      </w:r>
      <w:r>
        <w:rPr>
          <w:rFonts w:hAnsi="宋体"/>
          <w:color w:val="auto"/>
          <w:szCs w:val="24"/>
          <w:highlight w:val="none"/>
        </w:rPr>
        <w:t>章代替。</w:t>
      </w:r>
      <w:r>
        <w:rPr>
          <w:rFonts w:hint="eastAsia" w:hAnsi="宋体"/>
          <w:color w:val="auto"/>
          <w:szCs w:val="24"/>
          <w:highlight w:val="none"/>
        </w:rPr>
        <w:t>所有竞争性磋商响应文件正本和副本须按第六章规定的顺序编排、并应编制目录、逐页标注连续页码，并</w:t>
      </w:r>
      <w:r>
        <w:rPr>
          <w:rFonts w:hint="eastAsia" w:hAnsi="宋体"/>
          <w:color w:val="auto"/>
          <w:highlight w:val="none"/>
        </w:rPr>
        <w:t>分别胶装成册。</w:t>
      </w:r>
    </w:p>
    <w:p w14:paraId="4A0050F6">
      <w:pPr>
        <w:spacing w:line="360" w:lineRule="auto"/>
        <w:ind w:firstLine="480" w:firstLineChars="200"/>
        <w:rPr>
          <w:rFonts w:hAnsi="宋体"/>
          <w:color w:val="auto"/>
          <w:szCs w:val="24"/>
          <w:highlight w:val="none"/>
        </w:rPr>
      </w:pPr>
      <w:r>
        <w:rPr>
          <w:rFonts w:hAnsi="宋体"/>
          <w:color w:val="auto"/>
          <w:szCs w:val="24"/>
          <w:highlight w:val="none"/>
        </w:rPr>
        <w:t>16.3任何行间插字、涂改和增删，必须由</w:t>
      </w:r>
      <w:r>
        <w:rPr>
          <w:rFonts w:hint="eastAsia" w:hAnsi="宋体"/>
          <w:color w:val="auto"/>
          <w:szCs w:val="24"/>
          <w:highlight w:val="none"/>
        </w:rPr>
        <w:t>供应商</w:t>
      </w:r>
      <w:r>
        <w:rPr>
          <w:rFonts w:hAnsi="宋体"/>
          <w:color w:val="auto"/>
          <w:szCs w:val="24"/>
          <w:highlight w:val="none"/>
        </w:rPr>
        <w:t>的</w:t>
      </w:r>
      <w:r>
        <w:rPr>
          <w:rFonts w:hint="eastAsia" w:hAnsi="宋体"/>
          <w:color w:val="auto"/>
          <w:szCs w:val="24"/>
          <w:highlight w:val="none"/>
        </w:rPr>
        <w:t>法定代表人或其授权代表</w:t>
      </w:r>
      <w:r>
        <w:rPr>
          <w:rFonts w:hAnsi="宋体"/>
          <w:color w:val="auto"/>
          <w:szCs w:val="24"/>
          <w:highlight w:val="none"/>
        </w:rPr>
        <w:t>在旁边签字才有效。</w:t>
      </w:r>
    </w:p>
    <w:p w14:paraId="21343215">
      <w:pPr>
        <w:spacing w:line="360" w:lineRule="auto"/>
        <w:ind w:firstLine="482" w:firstLineChars="200"/>
        <w:rPr>
          <w:rFonts w:hAnsi="宋体"/>
          <w:b/>
          <w:bCs/>
          <w:color w:val="auto"/>
          <w:szCs w:val="24"/>
          <w:highlight w:val="none"/>
        </w:rPr>
      </w:pPr>
      <w:r>
        <w:rPr>
          <w:rFonts w:hint="eastAsia" w:hAnsi="宋体"/>
          <w:b/>
          <w:bCs/>
          <w:color w:val="auto"/>
          <w:szCs w:val="24"/>
          <w:highlight w:val="none"/>
        </w:rPr>
        <w:t>16.4供应商名称应填写全称。磋商响应文件正本必须逐页加盖供应商公章（鲜章），否则按无效处理。</w:t>
      </w:r>
    </w:p>
    <w:p w14:paraId="6DBC532D">
      <w:pPr>
        <w:spacing w:line="360" w:lineRule="auto"/>
        <w:ind w:firstLine="480" w:firstLineChars="200"/>
        <w:rPr>
          <w:rFonts w:hAnsi="宋体"/>
          <w:color w:val="auto"/>
          <w:szCs w:val="24"/>
          <w:highlight w:val="none"/>
        </w:rPr>
      </w:pPr>
      <w:r>
        <w:rPr>
          <w:rFonts w:hAnsi="宋体"/>
          <w:color w:val="auto"/>
          <w:szCs w:val="24"/>
          <w:highlight w:val="none"/>
        </w:rPr>
        <w:t>16.</w:t>
      </w:r>
      <w:r>
        <w:rPr>
          <w:rFonts w:hint="eastAsia" w:hAnsi="宋体"/>
          <w:color w:val="auto"/>
          <w:szCs w:val="24"/>
          <w:highlight w:val="none"/>
        </w:rPr>
        <w:t>5</w:t>
      </w:r>
      <w:r>
        <w:rPr>
          <w:rFonts w:hAnsi="宋体"/>
          <w:color w:val="auto"/>
          <w:szCs w:val="24"/>
          <w:highlight w:val="none"/>
        </w:rPr>
        <w:t>因字迹潦草、表述不清或不按</w:t>
      </w:r>
      <w:r>
        <w:rPr>
          <w:rFonts w:hint="eastAsia" w:hAnsi="宋体"/>
          <w:color w:val="auto"/>
          <w:szCs w:val="24"/>
          <w:highlight w:val="none"/>
        </w:rPr>
        <w:t>竞争性磋商</w:t>
      </w:r>
      <w:r>
        <w:rPr>
          <w:rFonts w:hAnsi="宋体"/>
          <w:color w:val="auto"/>
          <w:szCs w:val="24"/>
          <w:highlight w:val="none"/>
        </w:rPr>
        <w:t>文件格式编制的</w:t>
      </w:r>
      <w:r>
        <w:rPr>
          <w:rFonts w:hint="eastAsia" w:hAnsi="宋体"/>
          <w:color w:val="auto"/>
          <w:szCs w:val="24"/>
          <w:highlight w:val="none"/>
        </w:rPr>
        <w:t>竞争性磋商响应文件</w:t>
      </w:r>
      <w:r>
        <w:rPr>
          <w:rFonts w:hAnsi="宋体"/>
          <w:color w:val="auto"/>
          <w:szCs w:val="24"/>
          <w:highlight w:val="none"/>
        </w:rPr>
        <w:t>，所引起的对</w:t>
      </w:r>
      <w:r>
        <w:rPr>
          <w:rFonts w:hint="eastAsia" w:hAnsi="宋体"/>
          <w:color w:val="auto"/>
          <w:szCs w:val="24"/>
          <w:highlight w:val="none"/>
        </w:rPr>
        <w:t>供应商</w:t>
      </w:r>
      <w:r>
        <w:rPr>
          <w:rFonts w:hAnsi="宋体"/>
          <w:color w:val="auto"/>
          <w:szCs w:val="24"/>
          <w:highlight w:val="none"/>
        </w:rPr>
        <w:t>不利的后果，由</w:t>
      </w:r>
      <w:r>
        <w:rPr>
          <w:rFonts w:hint="eastAsia" w:hAnsi="宋体"/>
          <w:color w:val="auto"/>
          <w:szCs w:val="24"/>
          <w:highlight w:val="none"/>
        </w:rPr>
        <w:t>供应商</w:t>
      </w:r>
      <w:r>
        <w:rPr>
          <w:rFonts w:hAnsi="宋体"/>
          <w:color w:val="auto"/>
          <w:szCs w:val="24"/>
          <w:highlight w:val="none"/>
        </w:rPr>
        <w:t>自行负责。</w:t>
      </w:r>
    </w:p>
    <w:p w14:paraId="7164092B">
      <w:pPr>
        <w:spacing w:line="500" w:lineRule="exact"/>
        <w:ind w:firstLine="480" w:firstLineChars="200"/>
        <w:rPr>
          <w:color w:val="auto"/>
          <w:highlight w:val="none"/>
        </w:rPr>
      </w:pPr>
      <w:r>
        <w:rPr>
          <w:rFonts w:hint="eastAsia" w:hAnsi="宋体"/>
          <w:color w:val="auto"/>
          <w:szCs w:val="24"/>
          <w:highlight w:val="none"/>
        </w:rPr>
        <w:t>16.6竞争性磋商文件的副本、电子版须和正本保持一致。</w:t>
      </w:r>
      <w:r>
        <w:rPr>
          <w:rFonts w:hint="eastAsia"/>
          <w:color w:val="auto"/>
          <w:highlight w:val="none"/>
        </w:rPr>
        <w:t>若正本、副本和电子版有不一致的内容，以正本为准。</w:t>
      </w:r>
    </w:p>
    <w:p w14:paraId="2FB93CE7">
      <w:pPr>
        <w:keepNext/>
        <w:keepLines/>
        <w:spacing w:before="312" w:beforeLines="100" w:after="156" w:afterLines="50" w:line="360" w:lineRule="auto"/>
        <w:jc w:val="center"/>
        <w:rPr>
          <w:rFonts w:hAnsi="宋体"/>
          <w:b/>
          <w:color w:val="auto"/>
          <w:sz w:val="32"/>
          <w:szCs w:val="32"/>
          <w:highlight w:val="none"/>
        </w:rPr>
      </w:pPr>
      <w:r>
        <w:rPr>
          <w:rFonts w:hAnsi="宋体"/>
          <w:b/>
          <w:color w:val="auto"/>
          <w:sz w:val="32"/>
          <w:szCs w:val="32"/>
          <w:highlight w:val="none"/>
        </w:rPr>
        <w:t>四.</w:t>
      </w:r>
      <w:r>
        <w:rPr>
          <w:rFonts w:hint="eastAsia" w:hAnsi="宋体"/>
          <w:b/>
          <w:color w:val="auto"/>
          <w:sz w:val="32"/>
          <w:szCs w:val="32"/>
          <w:highlight w:val="none"/>
        </w:rPr>
        <w:t>竞争性磋商响应文件</w:t>
      </w:r>
      <w:r>
        <w:rPr>
          <w:rFonts w:hAnsi="宋体"/>
          <w:b/>
          <w:color w:val="auto"/>
          <w:sz w:val="32"/>
          <w:szCs w:val="32"/>
          <w:highlight w:val="none"/>
        </w:rPr>
        <w:t>的递交</w:t>
      </w:r>
    </w:p>
    <w:p w14:paraId="1A95B01F">
      <w:pPr>
        <w:spacing w:line="360" w:lineRule="auto"/>
        <w:rPr>
          <w:rFonts w:hAnsi="宋体"/>
          <w:b/>
          <w:color w:val="auto"/>
          <w:szCs w:val="24"/>
          <w:highlight w:val="none"/>
        </w:rPr>
      </w:pPr>
      <w:r>
        <w:rPr>
          <w:rFonts w:hAnsi="宋体"/>
          <w:b/>
          <w:color w:val="auto"/>
          <w:szCs w:val="24"/>
          <w:highlight w:val="none"/>
        </w:rPr>
        <w:t>17.</w:t>
      </w:r>
      <w:r>
        <w:rPr>
          <w:rFonts w:hint="eastAsia" w:hAnsi="宋体"/>
          <w:b/>
          <w:color w:val="auto"/>
          <w:szCs w:val="24"/>
          <w:highlight w:val="none"/>
        </w:rPr>
        <w:t>竞争性磋商响应文件</w:t>
      </w:r>
      <w:r>
        <w:rPr>
          <w:rFonts w:hAnsi="宋体"/>
          <w:b/>
          <w:color w:val="auto"/>
          <w:szCs w:val="24"/>
          <w:highlight w:val="none"/>
        </w:rPr>
        <w:t>的密封和标记</w:t>
      </w:r>
    </w:p>
    <w:p w14:paraId="21B8817E">
      <w:pPr>
        <w:spacing w:line="360" w:lineRule="auto"/>
        <w:ind w:firstLine="480" w:firstLineChars="200"/>
        <w:rPr>
          <w:rFonts w:hAnsi="宋体"/>
          <w:color w:val="auto"/>
          <w:szCs w:val="24"/>
          <w:highlight w:val="none"/>
        </w:rPr>
      </w:pPr>
      <w:r>
        <w:rPr>
          <w:rFonts w:hint="eastAsia" w:hAnsi="宋体"/>
          <w:color w:val="auto"/>
          <w:szCs w:val="24"/>
          <w:highlight w:val="none"/>
        </w:rPr>
        <w:t>17.1报价一览表除在竞争性磋商响应文件内装订外，再制作一份单独放在一个信封中。封线处加贴封条并加盖供应商公章，封袋正面要粘贴标识，单独递交（该单独密封报价一览表的报价必须与竞争性磋商响应文件正本中的报价一览表（报价表）报价一致，若不一致，则按单独密封的报价一览表为准。</w:t>
      </w:r>
    </w:p>
    <w:p w14:paraId="50A303C0">
      <w:pPr>
        <w:spacing w:line="360" w:lineRule="auto"/>
        <w:ind w:firstLine="480" w:firstLineChars="200"/>
        <w:rPr>
          <w:rFonts w:hAnsi="宋体"/>
          <w:color w:val="auto"/>
          <w:szCs w:val="24"/>
          <w:highlight w:val="none"/>
        </w:rPr>
      </w:pPr>
      <w:r>
        <w:rPr>
          <w:rFonts w:hint="eastAsia" w:hAnsi="宋体"/>
          <w:color w:val="auto"/>
          <w:highlight w:val="none"/>
        </w:rPr>
        <w:t>17.2供应商应将竞争性磋商响应文件正本、</w:t>
      </w:r>
      <w:r>
        <w:rPr>
          <w:rFonts w:hint="eastAsia" w:hAnsi="宋体"/>
          <w:color w:val="auto"/>
          <w:szCs w:val="24"/>
          <w:highlight w:val="none"/>
        </w:rPr>
        <w:t>所有的副本、</w:t>
      </w:r>
      <w:r>
        <w:rPr>
          <w:rFonts w:hint="eastAsia" w:hAnsi="宋体"/>
          <w:color w:val="auto"/>
          <w:highlight w:val="none"/>
        </w:rPr>
        <w:t>电子版本、报价一览表单独密封装在封袋中（封袋不得有破损），且在封袋正面标明</w:t>
      </w:r>
      <w:r>
        <w:rPr>
          <w:rFonts w:hint="eastAsia" w:hAnsi="宋体"/>
          <w:color w:val="auto"/>
          <w:szCs w:val="24"/>
          <w:highlight w:val="none"/>
        </w:rPr>
        <w:t>“正本”“副本”</w:t>
      </w:r>
      <w:r>
        <w:rPr>
          <w:rFonts w:hint="eastAsia" w:hAnsi="宋体"/>
          <w:color w:val="auto"/>
          <w:highlight w:val="none"/>
        </w:rPr>
        <w:t>“电子版本”“报价一览表”字样。封袋应加贴封条，并在封线处加盖供应商公章，封袋正面要粘贴供应商全称、项目名称、编号等标识。</w:t>
      </w:r>
    </w:p>
    <w:p w14:paraId="28743F91">
      <w:pPr>
        <w:spacing w:line="360" w:lineRule="auto"/>
        <w:ind w:firstLine="480" w:firstLineChars="200"/>
        <w:rPr>
          <w:rFonts w:hAnsi="宋体"/>
          <w:color w:val="auto"/>
          <w:szCs w:val="24"/>
          <w:highlight w:val="none"/>
        </w:rPr>
      </w:pPr>
      <w:r>
        <w:rPr>
          <w:rFonts w:hAnsi="宋体"/>
          <w:color w:val="auto"/>
          <w:szCs w:val="24"/>
          <w:highlight w:val="none"/>
        </w:rPr>
        <w:t>外层包装请按以下要求标记：</w:t>
      </w:r>
    </w:p>
    <w:p w14:paraId="721348F8">
      <w:pPr>
        <w:spacing w:line="360" w:lineRule="auto"/>
        <w:ind w:firstLine="720" w:firstLineChars="300"/>
        <w:rPr>
          <w:rFonts w:hAnsi="宋体"/>
          <w:color w:val="auto"/>
          <w:szCs w:val="24"/>
          <w:highlight w:val="none"/>
        </w:rPr>
      </w:pPr>
      <w:r>
        <w:rPr>
          <w:rFonts w:hAnsi="宋体"/>
          <w:color w:val="auto"/>
          <w:szCs w:val="24"/>
          <w:highlight w:val="none"/>
        </w:rPr>
        <w:t xml:space="preserve">1) </w:t>
      </w:r>
      <w:r>
        <w:rPr>
          <w:rFonts w:hint="eastAsia" w:hAnsi="宋体"/>
          <w:color w:val="auto"/>
          <w:szCs w:val="24"/>
          <w:highlight w:val="none"/>
        </w:rPr>
        <w:t>磋商响应单位</w:t>
      </w:r>
      <w:r>
        <w:rPr>
          <w:rFonts w:hAnsi="宋体"/>
          <w:color w:val="auto"/>
          <w:szCs w:val="24"/>
          <w:highlight w:val="none"/>
        </w:rPr>
        <w:t>的全称；</w:t>
      </w:r>
    </w:p>
    <w:p w14:paraId="32830D10">
      <w:pPr>
        <w:spacing w:line="360" w:lineRule="auto"/>
        <w:ind w:firstLine="720" w:firstLineChars="300"/>
        <w:rPr>
          <w:rFonts w:hAnsi="宋体"/>
          <w:color w:val="auto"/>
          <w:szCs w:val="24"/>
          <w:highlight w:val="none"/>
        </w:rPr>
      </w:pPr>
      <w:r>
        <w:rPr>
          <w:rFonts w:hAnsi="宋体"/>
          <w:color w:val="auto"/>
          <w:szCs w:val="24"/>
          <w:highlight w:val="none"/>
        </w:rPr>
        <w:t xml:space="preserve">2) </w:t>
      </w:r>
      <w:r>
        <w:rPr>
          <w:rFonts w:hint="eastAsia" w:hAnsi="宋体"/>
          <w:color w:val="auto"/>
          <w:szCs w:val="24"/>
          <w:highlight w:val="none"/>
        </w:rPr>
        <w:t>磋商</w:t>
      </w:r>
      <w:r>
        <w:rPr>
          <w:rFonts w:hAnsi="宋体"/>
          <w:color w:val="auto"/>
          <w:szCs w:val="24"/>
          <w:highlight w:val="none"/>
        </w:rPr>
        <w:t>项目名称、项目编号</w:t>
      </w:r>
      <w:r>
        <w:rPr>
          <w:rFonts w:hint="eastAsia" w:hAnsi="宋体"/>
          <w:color w:val="auto"/>
          <w:szCs w:val="24"/>
          <w:highlight w:val="none"/>
        </w:rPr>
        <w:t>；</w:t>
      </w:r>
    </w:p>
    <w:p w14:paraId="390744E9">
      <w:pPr>
        <w:spacing w:line="360" w:lineRule="auto"/>
        <w:ind w:firstLine="720" w:firstLineChars="300"/>
        <w:rPr>
          <w:rFonts w:hAnsi="宋体"/>
          <w:color w:val="auto"/>
          <w:szCs w:val="24"/>
          <w:highlight w:val="none"/>
        </w:rPr>
      </w:pPr>
      <w:r>
        <w:rPr>
          <w:rFonts w:hAnsi="宋体"/>
          <w:color w:val="auto"/>
          <w:szCs w:val="24"/>
          <w:highlight w:val="none"/>
        </w:rPr>
        <w:t>3）正本或副本</w:t>
      </w:r>
      <w:r>
        <w:rPr>
          <w:rFonts w:hint="eastAsia" w:hAnsi="宋体"/>
          <w:color w:val="auto"/>
          <w:szCs w:val="24"/>
          <w:highlight w:val="none"/>
        </w:rPr>
        <w:t>、电子版、报价一览表</w:t>
      </w:r>
      <w:r>
        <w:rPr>
          <w:rFonts w:hAnsi="宋体"/>
          <w:color w:val="auto"/>
          <w:szCs w:val="24"/>
          <w:highlight w:val="none"/>
        </w:rPr>
        <w:t>“请勿在＿＿＿＿＿(</w:t>
      </w:r>
      <w:r>
        <w:rPr>
          <w:rFonts w:hint="eastAsia" w:hAnsi="宋体"/>
          <w:color w:val="auto"/>
          <w:szCs w:val="24"/>
          <w:highlight w:val="none"/>
        </w:rPr>
        <w:t>磋商</w:t>
      </w:r>
      <w:r>
        <w:rPr>
          <w:rFonts w:hAnsi="宋体"/>
          <w:color w:val="auto"/>
          <w:szCs w:val="24"/>
          <w:highlight w:val="none"/>
        </w:rPr>
        <w:t>时间)之前启封”。</w:t>
      </w:r>
    </w:p>
    <w:p w14:paraId="0D54108A">
      <w:pPr>
        <w:spacing w:line="360" w:lineRule="auto"/>
        <w:ind w:firstLine="480" w:firstLineChars="200"/>
        <w:rPr>
          <w:rFonts w:hAnsi="宋体"/>
          <w:color w:val="auto"/>
          <w:szCs w:val="24"/>
          <w:highlight w:val="none"/>
        </w:rPr>
      </w:pPr>
      <w:r>
        <w:rPr>
          <w:rFonts w:hAnsi="宋体"/>
          <w:color w:val="auto"/>
          <w:szCs w:val="24"/>
          <w:highlight w:val="none"/>
        </w:rPr>
        <w:t>17.</w:t>
      </w:r>
      <w:r>
        <w:rPr>
          <w:rFonts w:hint="eastAsia" w:hAnsi="宋体"/>
          <w:color w:val="auto"/>
          <w:szCs w:val="24"/>
          <w:highlight w:val="none"/>
        </w:rPr>
        <w:t>4</w:t>
      </w:r>
      <w:r>
        <w:rPr>
          <w:rFonts w:hAnsi="宋体"/>
          <w:color w:val="auto"/>
          <w:szCs w:val="24"/>
          <w:highlight w:val="none"/>
        </w:rPr>
        <w:t>如果</w:t>
      </w:r>
      <w:r>
        <w:rPr>
          <w:rFonts w:hint="eastAsia" w:hAnsi="宋体"/>
          <w:color w:val="auto"/>
          <w:szCs w:val="24"/>
          <w:highlight w:val="none"/>
        </w:rPr>
        <w:t>供应商</w:t>
      </w:r>
      <w:r>
        <w:rPr>
          <w:rFonts w:hAnsi="宋体"/>
          <w:color w:val="auto"/>
          <w:szCs w:val="24"/>
          <w:highlight w:val="none"/>
        </w:rPr>
        <w:t>未对</w:t>
      </w:r>
      <w:r>
        <w:rPr>
          <w:rFonts w:hint="eastAsia" w:hAnsi="宋体"/>
          <w:color w:val="auto"/>
          <w:szCs w:val="24"/>
          <w:highlight w:val="none"/>
        </w:rPr>
        <w:t>竞争性磋商响应文件</w:t>
      </w:r>
      <w:r>
        <w:rPr>
          <w:rFonts w:hAnsi="宋体"/>
          <w:color w:val="auto"/>
          <w:szCs w:val="24"/>
          <w:highlight w:val="none"/>
        </w:rPr>
        <w:t>按上述要求进行完好密封，由此产生的不利后果由</w:t>
      </w:r>
      <w:r>
        <w:rPr>
          <w:rFonts w:hint="eastAsia" w:hAnsi="宋体"/>
          <w:color w:val="auto"/>
          <w:szCs w:val="24"/>
          <w:highlight w:val="none"/>
        </w:rPr>
        <w:t>供应商</w:t>
      </w:r>
      <w:r>
        <w:rPr>
          <w:rFonts w:hAnsi="宋体"/>
          <w:color w:val="auto"/>
          <w:szCs w:val="24"/>
          <w:highlight w:val="none"/>
        </w:rPr>
        <w:t>自行承担。</w:t>
      </w:r>
    </w:p>
    <w:p w14:paraId="7BC388B6">
      <w:pPr>
        <w:spacing w:line="360" w:lineRule="auto"/>
        <w:rPr>
          <w:rFonts w:hAnsi="宋体"/>
          <w:b/>
          <w:color w:val="auto"/>
          <w:szCs w:val="24"/>
          <w:highlight w:val="none"/>
        </w:rPr>
      </w:pPr>
      <w:r>
        <w:rPr>
          <w:rFonts w:hint="eastAsia" w:hAnsi="宋体"/>
          <w:b/>
          <w:color w:val="auto"/>
          <w:szCs w:val="24"/>
          <w:highlight w:val="none"/>
        </w:rPr>
        <w:t>1</w:t>
      </w:r>
      <w:r>
        <w:rPr>
          <w:rFonts w:hAnsi="宋体"/>
          <w:b/>
          <w:color w:val="auto"/>
          <w:szCs w:val="24"/>
          <w:highlight w:val="none"/>
        </w:rPr>
        <w:t>8．</w:t>
      </w:r>
      <w:r>
        <w:rPr>
          <w:rFonts w:hint="eastAsia" w:hAnsi="宋体"/>
          <w:b/>
          <w:color w:val="auto"/>
          <w:szCs w:val="24"/>
          <w:highlight w:val="none"/>
        </w:rPr>
        <w:t>竞争性磋商响应文件的递交</w:t>
      </w:r>
    </w:p>
    <w:p w14:paraId="3B528EB3">
      <w:pPr>
        <w:spacing w:line="360" w:lineRule="auto"/>
        <w:ind w:firstLine="480" w:firstLineChars="200"/>
        <w:rPr>
          <w:rFonts w:hAnsi="宋体"/>
          <w:color w:val="auto"/>
          <w:szCs w:val="24"/>
          <w:highlight w:val="none"/>
        </w:rPr>
      </w:pPr>
      <w:r>
        <w:rPr>
          <w:rFonts w:hint="eastAsia" w:hAnsi="宋体"/>
          <w:color w:val="auto"/>
          <w:szCs w:val="24"/>
          <w:highlight w:val="none"/>
        </w:rPr>
        <w:t>18.1供应商</w:t>
      </w:r>
      <w:r>
        <w:rPr>
          <w:rFonts w:hAnsi="宋体"/>
          <w:color w:val="auto"/>
          <w:szCs w:val="24"/>
          <w:highlight w:val="none"/>
        </w:rPr>
        <w:t>应按照</w:t>
      </w:r>
      <w:r>
        <w:rPr>
          <w:rFonts w:hint="eastAsia" w:hAnsi="宋体"/>
          <w:color w:val="auto"/>
          <w:szCs w:val="24"/>
          <w:highlight w:val="none"/>
        </w:rPr>
        <w:t>竞争性磋商公告中</w:t>
      </w:r>
      <w:r>
        <w:rPr>
          <w:rFonts w:hAnsi="宋体"/>
          <w:color w:val="auto"/>
          <w:szCs w:val="24"/>
          <w:highlight w:val="none"/>
        </w:rPr>
        <w:t>规定的</w:t>
      </w:r>
      <w:r>
        <w:rPr>
          <w:rFonts w:hint="eastAsia" w:hAnsi="宋体"/>
          <w:color w:val="auto"/>
          <w:szCs w:val="24"/>
          <w:highlight w:val="none"/>
        </w:rPr>
        <w:t>时间、</w:t>
      </w:r>
      <w:r>
        <w:rPr>
          <w:rFonts w:hAnsi="宋体"/>
          <w:color w:val="auto"/>
          <w:szCs w:val="24"/>
          <w:highlight w:val="none"/>
        </w:rPr>
        <w:t>地点</w:t>
      </w:r>
      <w:r>
        <w:rPr>
          <w:rFonts w:hint="eastAsia" w:hAnsi="宋体"/>
          <w:color w:val="auto"/>
          <w:szCs w:val="24"/>
          <w:highlight w:val="none"/>
        </w:rPr>
        <w:t>，在规定的竞争性磋商响应文件递交</w:t>
      </w:r>
      <w:r>
        <w:rPr>
          <w:rFonts w:hAnsi="宋体"/>
          <w:color w:val="auto"/>
          <w:szCs w:val="24"/>
          <w:highlight w:val="none"/>
        </w:rPr>
        <w:t>截止时间</w:t>
      </w:r>
      <w:r>
        <w:rPr>
          <w:rFonts w:hint="eastAsia" w:hAnsi="宋体"/>
          <w:color w:val="auto"/>
          <w:szCs w:val="24"/>
          <w:highlight w:val="none"/>
        </w:rPr>
        <w:t>前将</w:t>
      </w:r>
      <w:r>
        <w:rPr>
          <w:rFonts w:hAnsi="宋体"/>
          <w:color w:val="auto"/>
          <w:szCs w:val="24"/>
          <w:highlight w:val="none"/>
        </w:rPr>
        <w:t>全部</w:t>
      </w:r>
      <w:r>
        <w:rPr>
          <w:rFonts w:hint="eastAsia" w:hAnsi="宋体"/>
          <w:color w:val="auto"/>
          <w:szCs w:val="24"/>
          <w:highlight w:val="none"/>
        </w:rPr>
        <w:t>竞争性磋商响应文件</w:t>
      </w:r>
      <w:r>
        <w:rPr>
          <w:rFonts w:hAnsi="宋体"/>
          <w:color w:val="auto"/>
          <w:szCs w:val="24"/>
          <w:highlight w:val="none"/>
        </w:rPr>
        <w:t>和</w:t>
      </w:r>
      <w:r>
        <w:rPr>
          <w:rFonts w:hint="eastAsia" w:hAnsi="宋体"/>
          <w:color w:val="auto"/>
          <w:szCs w:val="24"/>
          <w:highlight w:val="none"/>
        </w:rPr>
        <w:t>磋商</w:t>
      </w:r>
      <w:r>
        <w:rPr>
          <w:rFonts w:hAnsi="宋体"/>
          <w:color w:val="auto"/>
          <w:szCs w:val="24"/>
          <w:highlight w:val="none"/>
        </w:rPr>
        <w:t>资料</w:t>
      </w:r>
      <w:r>
        <w:rPr>
          <w:rFonts w:hint="eastAsia" w:hAnsi="宋体"/>
          <w:color w:val="auto"/>
          <w:szCs w:val="24"/>
          <w:highlight w:val="none"/>
        </w:rPr>
        <w:t>递交</w:t>
      </w:r>
      <w:r>
        <w:rPr>
          <w:rFonts w:hAnsi="宋体"/>
          <w:color w:val="auto"/>
          <w:szCs w:val="24"/>
          <w:highlight w:val="none"/>
        </w:rPr>
        <w:t>至</w:t>
      </w:r>
      <w:r>
        <w:rPr>
          <w:rFonts w:hint="eastAsia" w:hAnsi="宋体"/>
          <w:color w:val="auto"/>
          <w:szCs w:val="24"/>
          <w:highlight w:val="none"/>
        </w:rPr>
        <w:t>采购代理机构</w:t>
      </w:r>
      <w:r>
        <w:rPr>
          <w:rFonts w:hAnsi="宋体"/>
          <w:color w:val="auto"/>
          <w:szCs w:val="24"/>
          <w:highlight w:val="none"/>
        </w:rPr>
        <w:t>接收人处。</w:t>
      </w:r>
    </w:p>
    <w:p w14:paraId="3D73C6A3">
      <w:pPr>
        <w:spacing w:line="360" w:lineRule="auto"/>
        <w:ind w:firstLine="480" w:firstLineChars="200"/>
        <w:rPr>
          <w:rFonts w:hAnsi="宋体"/>
          <w:color w:val="auto"/>
          <w:szCs w:val="24"/>
          <w:highlight w:val="none"/>
        </w:rPr>
      </w:pPr>
      <w:r>
        <w:rPr>
          <w:rFonts w:hint="eastAsia" w:hAnsi="宋体"/>
          <w:color w:val="auto"/>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14:paraId="2397C38C">
      <w:pPr>
        <w:spacing w:line="360" w:lineRule="auto"/>
        <w:ind w:firstLine="480" w:firstLineChars="200"/>
        <w:rPr>
          <w:rFonts w:hAnsi="宋体"/>
          <w:color w:val="auto"/>
          <w:szCs w:val="24"/>
          <w:highlight w:val="none"/>
        </w:rPr>
      </w:pPr>
      <w:r>
        <w:rPr>
          <w:rFonts w:hint="eastAsia" w:hAnsi="宋体"/>
          <w:color w:val="auto"/>
          <w:szCs w:val="24"/>
          <w:highlight w:val="none"/>
        </w:rPr>
        <w:t>18.3无论供应商成交与否，其竞争性磋商响应文件恕不退还。</w:t>
      </w:r>
    </w:p>
    <w:p w14:paraId="47F45D99">
      <w:pPr>
        <w:spacing w:line="360" w:lineRule="auto"/>
        <w:rPr>
          <w:rFonts w:hAnsi="宋体"/>
          <w:b/>
          <w:color w:val="auto"/>
          <w:szCs w:val="24"/>
          <w:highlight w:val="none"/>
        </w:rPr>
      </w:pPr>
      <w:r>
        <w:rPr>
          <w:rFonts w:hAnsi="宋体"/>
          <w:b/>
          <w:color w:val="auto"/>
          <w:szCs w:val="24"/>
          <w:highlight w:val="none"/>
        </w:rPr>
        <w:t>19．</w:t>
      </w:r>
      <w:r>
        <w:rPr>
          <w:rFonts w:hint="eastAsia" w:hAnsi="宋体"/>
          <w:b/>
          <w:color w:val="auto"/>
          <w:szCs w:val="24"/>
          <w:highlight w:val="none"/>
        </w:rPr>
        <w:t>递交</w:t>
      </w:r>
      <w:r>
        <w:rPr>
          <w:rFonts w:hAnsi="宋体"/>
          <w:b/>
          <w:color w:val="auto"/>
          <w:szCs w:val="24"/>
          <w:highlight w:val="none"/>
        </w:rPr>
        <w:t>的</w:t>
      </w:r>
      <w:r>
        <w:rPr>
          <w:rFonts w:hint="eastAsia" w:hAnsi="宋体"/>
          <w:b/>
          <w:color w:val="auto"/>
          <w:szCs w:val="24"/>
          <w:highlight w:val="none"/>
        </w:rPr>
        <w:t>竞争性磋商响应文件</w:t>
      </w:r>
    </w:p>
    <w:p w14:paraId="1FEA6C04">
      <w:pPr>
        <w:spacing w:line="360" w:lineRule="auto"/>
        <w:ind w:firstLine="480" w:firstLineChars="200"/>
        <w:rPr>
          <w:rFonts w:hAnsi="宋体"/>
          <w:color w:val="auto"/>
          <w:szCs w:val="24"/>
          <w:highlight w:val="none"/>
        </w:rPr>
      </w:pPr>
      <w:r>
        <w:rPr>
          <w:rFonts w:hAnsi="宋体"/>
          <w:color w:val="auto"/>
          <w:szCs w:val="24"/>
          <w:highlight w:val="none"/>
        </w:rPr>
        <w:t>19.1按照</w:t>
      </w:r>
      <w:r>
        <w:rPr>
          <w:rFonts w:hint="eastAsia" w:hAnsi="宋体"/>
          <w:color w:val="auto"/>
          <w:szCs w:val="24"/>
          <w:highlight w:val="none"/>
        </w:rPr>
        <w:t>供应商</w:t>
      </w:r>
      <w:r>
        <w:rPr>
          <w:rFonts w:hAnsi="宋体"/>
          <w:color w:val="auto"/>
          <w:szCs w:val="24"/>
          <w:highlight w:val="none"/>
        </w:rPr>
        <w:t>须知的规定，采购代理机构将拒绝接受在规定的</w:t>
      </w:r>
      <w:r>
        <w:rPr>
          <w:rFonts w:hint="eastAsia" w:hAnsi="宋体"/>
          <w:color w:val="auto"/>
          <w:szCs w:val="24"/>
          <w:highlight w:val="none"/>
        </w:rPr>
        <w:t>磋商</w:t>
      </w:r>
      <w:r>
        <w:rPr>
          <w:rFonts w:hAnsi="宋体"/>
          <w:color w:val="auto"/>
          <w:szCs w:val="24"/>
          <w:highlight w:val="none"/>
        </w:rPr>
        <w:t>截止时间后</w:t>
      </w:r>
      <w:r>
        <w:rPr>
          <w:rFonts w:hint="eastAsia" w:hAnsi="宋体"/>
          <w:color w:val="auto"/>
          <w:szCs w:val="24"/>
          <w:highlight w:val="none"/>
        </w:rPr>
        <w:t>递交</w:t>
      </w:r>
      <w:r>
        <w:rPr>
          <w:rFonts w:hAnsi="宋体"/>
          <w:color w:val="auto"/>
          <w:szCs w:val="24"/>
          <w:highlight w:val="none"/>
        </w:rPr>
        <w:t>的任何</w:t>
      </w:r>
      <w:r>
        <w:rPr>
          <w:rFonts w:hint="eastAsia" w:hAnsi="宋体"/>
          <w:color w:val="auto"/>
          <w:szCs w:val="24"/>
          <w:highlight w:val="none"/>
        </w:rPr>
        <w:t>竞争性磋商响应文件</w:t>
      </w:r>
      <w:r>
        <w:rPr>
          <w:rFonts w:hAnsi="宋体"/>
          <w:color w:val="auto"/>
          <w:szCs w:val="24"/>
          <w:highlight w:val="none"/>
        </w:rPr>
        <w:t>。</w:t>
      </w:r>
    </w:p>
    <w:p w14:paraId="09D6E102">
      <w:pPr>
        <w:spacing w:line="360" w:lineRule="auto"/>
        <w:rPr>
          <w:rFonts w:hAnsi="宋体"/>
          <w:b/>
          <w:color w:val="auto"/>
          <w:szCs w:val="24"/>
          <w:highlight w:val="none"/>
        </w:rPr>
      </w:pPr>
      <w:r>
        <w:rPr>
          <w:rFonts w:hAnsi="宋体"/>
          <w:b/>
          <w:color w:val="auto"/>
          <w:szCs w:val="24"/>
          <w:highlight w:val="none"/>
        </w:rPr>
        <w:t>20．</w:t>
      </w:r>
      <w:r>
        <w:rPr>
          <w:rFonts w:hint="eastAsia" w:hAnsi="宋体"/>
          <w:b/>
          <w:color w:val="auto"/>
          <w:szCs w:val="24"/>
          <w:highlight w:val="none"/>
        </w:rPr>
        <w:t>磋商</w:t>
      </w:r>
      <w:r>
        <w:rPr>
          <w:rFonts w:hAnsi="宋体"/>
          <w:b/>
          <w:color w:val="auto"/>
          <w:szCs w:val="24"/>
          <w:highlight w:val="none"/>
        </w:rPr>
        <w:t>的修改与撤回</w:t>
      </w:r>
    </w:p>
    <w:p w14:paraId="659FD3CB">
      <w:pPr>
        <w:spacing w:line="360" w:lineRule="auto"/>
        <w:ind w:firstLine="480" w:firstLineChars="200"/>
        <w:rPr>
          <w:rFonts w:hAnsi="宋体"/>
          <w:color w:val="auto"/>
          <w:szCs w:val="24"/>
          <w:highlight w:val="none"/>
        </w:rPr>
      </w:pPr>
      <w:r>
        <w:rPr>
          <w:rFonts w:hAnsi="宋体"/>
          <w:color w:val="auto"/>
          <w:szCs w:val="24"/>
          <w:highlight w:val="none"/>
        </w:rPr>
        <w:t xml:space="preserve">20.1 </w:t>
      </w:r>
      <w:r>
        <w:rPr>
          <w:rFonts w:hint="eastAsia" w:hAnsi="宋体"/>
          <w:color w:val="auto"/>
          <w:szCs w:val="24"/>
          <w:highlight w:val="none"/>
        </w:rPr>
        <w:t>供应商</w:t>
      </w:r>
      <w:r>
        <w:rPr>
          <w:rFonts w:hAnsi="宋体"/>
          <w:color w:val="auto"/>
          <w:szCs w:val="24"/>
          <w:highlight w:val="none"/>
        </w:rPr>
        <w:t>在递交</w:t>
      </w:r>
      <w:r>
        <w:rPr>
          <w:rFonts w:hint="eastAsia" w:hAnsi="宋体"/>
          <w:color w:val="auto"/>
          <w:szCs w:val="24"/>
          <w:highlight w:val="none"/>
        </w:rPr>
        <w:t>竞争性磋商响应文件</w:t>
      </w:r>
      <w:r>
        <w:rPr>
          <w:rFonts w:hAnsi="宋体"/>
          <w:color w:val="auto"/>
          <w:szCs w:val="24"/>
          <w:highlight w:val="none"/>
        </w:rPr>
        <w:t>后，可以修改或撤回其</w:t>
      </w:r>
      <w:r>
        <w:rPr>
          <w:rFonts w:hint="eastAsia" w:hAnsi="宋体"/>
          <w:color w:val="auto"/>
          <w:szCs w:val="24"/>
          <w:highlight w:val="none"/>
        </w:rPr>
        <w:t>竞争性磋商响应文件</w:t>
      </w:r>
      <w:r>
        <w:rPr>
          <w:rFonts w:hAnsi="宋体"/>
          <w:color w:val="auto"/>
          <w:szCs w:val="24"/>
          <w:highlight w:val="none"/>
        </w:rPr>
        <w:t>，也可以提出价格变动声明，但</w:t>
      </w:r>
      <w:r>
        <w:rPr>
          <w:rFonts w:hint="eastAsia" w:hAnsi="宋体"/>
          <w:color w:val="auto"/>
          <w:szCs w:val="24"/>
          <w:highlight w:val="none"/>
        </w:rPr>
        <w:t>供应商</w:t>
      </w:r>
      <w:r>
        <w:rPr>
          <w:rFonts w:hAnsi="宋体"/>
          <w:color w:val="auto"/>
          <w:szCs w:val="24"/>
          <w:highlight w:val="none"/>
        </w:rPr>
        <w:t>必须在规定的</w:t>
      </w:r>
      <w:r>
        <w:rPr>
          <w:rFonts w:hint="eastAsia" w:hAnsi="宋体"/>
          <w:color w:val="auto"/>
          <w:szCs w:val="24"/>
          <w:highlight w:val="none"/>
        </w:rPr>
        <w:t>磋商</w:t>
      </w:r>
      <w:r>
        <w:rPr>
          <w:rFonts w:hAnsi="宋体"/>
          <w:color w:val="auto"/>
          <w:szCs w:val="24"/>
          <w:highlight w:val="none"/>
        </w:rPr>
        <w:t>截止时间之前将修改或撤回或变动价格的书面通知文件递交到采购代理机构。</w:t>
      </w:r>
    </w:p>
    <w:p w14:paraId="7922D8F2">
      <w:pPr>
        <w:spacing w:line="360" w:lineRule="auto"/>
        <w:ind w:firstLine="480" w:firstLineChars="200"/>
        <w:rPr>
          <w:rFonts w:hAnsi="宋体"/>
          <w:color w:val="auto"/>
          <w:szCs w:val="24"/>
          <w:highlight w:val="none"/>
        </w:rPr>
      </w:pPr>
      <w:r>
        <w:rPr>
          <w:rFonts w:hAnsi="宋体"/>
          <w:color w:val="auto"/>
          <w:szCs w:val="24"/>
          <w:highlight w:val="none"/>
        </w:rPr>
        <w:t xml:space="preserve">20.2 </w:t>
      </w:r>
      <w:r>
        <w:rPr>
          <w:rFonts w:hint="eastAsia" w:hAnsi="宋体"/>
          <w:color w:val="auto"/>
          <w:szCs w:val="24"/>
          <w:highlight w:val="none"/>
        </w:rPr>
        <w:t>供应商</w:t>
      </w:r>
      <w:r>
        <w:rPr>
          <w:rFonts w:hAnsi="宋体"/>
          <w:color w:val="auto"/>
          <w:szCs w:val="24"/>
          <w:highlight w:val="none"/>
        </w:rPr>
        <w:t>的修改或撤回或变动价格的通知应按本须知第17条的规定编制、密封、标记和递交。</w:t>
      </w:r>
    </w:p>
    <w:p w14:paraId="0FB9A4FA">
      <w:pPr>
        <w:spacing w:line="360" w:lineRule="auto"/>
        <w:ind w:firstLine="480" w:firstLineChars="200"/>
        <w:rPr>
          <w:color w:val="auto"/>
          <w:szCs w:val="24"/>
          <w:highlight w:val="none"/>
        </w:rPr>
      </w:pPr>
      <w:r>
        <w:rPr>
          <w:rFonts w:hAnsi="宋体"/>
          <w:color w:val="auto"/>
          <w:szCs w:val="24"/>
          <w:highlight w:val="none"/>
        </w:rPr>
        <w:t>20.3 在</w:t>
      </w:r>
      <w:r>
        <w:rPr>
          <w:rFonts w:hint="eastAsia" w:hAnsi="宋体"/>
          <w:color w:val="auto"/>
          <w:szCs w:val="24"/>
          <w:highlight w:val="none"/>
        </w:rPr>
        <w:t>磋商</w:t>
      </w:r>
      <w:r>
        <w:rPr>
          <w:rFonts w:hAnsi="宋体"/>
          <w:color w:val="auto"/>
          <w:szCs w:val="24"/>
          <w:highlight w:val="none"/>
        </w:rPr>
        <w:t>截止时间之后，</w:t>
      </w:r>
      <w:r>
        <w:rPr>
          <w:rFonts w:hint="eastAsia" w:hAnsi="宋体"/>
          <w:color w:val="auto"/>
          <w:szCs w:val="24"/>
          <w:highlight w:val="none"/>
        </w:rPr>
        <w:t>供应商</w:t>
      </w:r>
      <w:r>
        <w:rPr>
          <w:rFonts w:hAnsi="宋体"/>
          <w:color w:val="auto"/>
          <w:szCs w:val="24"/>
          <w:highlight w:val="none"/>
        </w:rPr>
        <w:t>不得对其</w:t>
      </w:r>
      <w:r>
        <w:rPr>
          <w:rFonts w:hint="eastAsia" w:hAnsi="宋体"/>
          <w:color w:val="auto"/>
          <w:szCs w:val="24"/>
          <w:highlight w:val="none"/>
        </w:rPr>
        <w:t>磋商响应文件</w:t>
      </w:r>
      <w:r>
        <w:rPr>
          <w:rFonts w:hAnsi="宋体"/>
          <w:color w:val="auto"/>
          <w:szCs w:val="24"/>
          <w:highlight w:val="none"/>
        </w:rPr>
        <w:t>做任何修改或撤回。</w:t>
      </w:r>
    </w:p>
    <w:p w14:paraId="6BD0F86B">
      <w:pPr>
        <w:keepNext/>
        <w:keepLines/>
        <w:spacing w:before="312" w:beforeLines="100" w:after="156" w:afterLines="50" w:line="360" w:lineRule="auto"/>
        <w:jc w:val="center"/>
        <w:rPr>
          <w:rFonts w:hAnsi="宋体"/>
          <w:b/>
          <w:color w:val="auto"/>
          <w:sz w:val="32"/>
          <w:szCs w:val="32"/>
          <w:highlight w:val="none"/>
        </w:rPr>
      </w:pPr>
      <w:bookmarkStart w:id="33" w:name="_Toc363474021"/>
      <w:bookmarkStart w:id="34" w:name="_Toc403077643"/>
      <w:bookmarkStart w:id="35" w:name="_Toc363473976"/>
      <w:r>
        <w:rPr>
          <w:rFonts w:hAnsi="宋体"/>
          <w:b/>
          <w:color w:val="auto"/>
          <w:sz w:val="32"/>
          <w:szCs w:val="32"/>
          <w:highlight w:val="none"/>
        </w:rPr>
        <w:t>五.</w:t>
      </w:r>
      <w:r>
        <w:rPr>
          <w:rFonts w:hint="eastAsia" w:hAnsi="宋体"/>
          <w:b/>
          <w:color w:val="auto"/>
          <w:sz w:val="32"/>
          <w:szCs w:val="32"/>
          <w:highlight w:val="none"/>
        </w:rPr>
        <w:t>磋商</w:t>
      </w:r>
      <w:r>
        <w:rPr>
          <w:rFonts w:hAnsi="宋体"/>
          <w:b/>
          <w:color w:val="auto"/>
          <w:sz w:val="32"/>
          <w:szCs w:val="32"/>
          <w:highlight w:val="none"/>
        </w:rPr>
        <w:t>与评标</w:t>
      </w:r>
      <w:bookmarkEnd w:id="33"/>
      <w:bookmarkEnd w:id="34"/>
      <w:bookmarkEnd w:id="35"/>
    </w:p>
    <w:p w14:paraId="476B1FF8">
      <w:pPr>
        <w:spacing w:line="360" w:lineRule="auto"/>
        <w:rPr>
          <w:rFonts w:hAnsi="宋体"/>
          <w:b/>
          <w:color w:val="auto"/>
          <w:szCs w:val="24"/>
          <w:highlight w:val="none"/>
        </w:rPr>
      </w:pPr>
      <w:r>
        <w:rPr>
          <w:rFonts w:hAnsi="宋体"/>
          <w:b/>
          <w:color w:val="auto"/>
          <w:szCs w:val="24"/>
          <w:highlight w:val="none"/>
        </w:rPr>
        <w:t>21.</w:t>
      </w:r>
      <w:r>
        <w:rPr>
          <w:rFonts w:hint="eastAsia" w:hAnsi="宋体"/>
          <w:b/>
          <w:color w:val="auto"/>
          <w:szCs w:val="24"/>
          <w:highlight w:val="none"/>
        </w:rPr>
        <w:t>磋商大会</w:t>
      </w:r>
    </w:p>
    <w:p w14:paraId="1662276B">
      <w:pPr>
        <w:spacing w:line="360" w:lineRule="auto"/>
        <w:ind w:firstLine="480" w:firstLineChars="200"/>
        <w:rPr>
          <w:rFonts w:hAnsi="宋体"/>
          <w:color w:val="auto"/>
          <w:szCs w:val="24"/>
          <w:highlight w:val="none"/>
        </w:rPr>
      </w:pPr>
      <w:r>
        <w:rPr>
          <w:rFonts w:hAnsi="宋体"/>
          <w:color w:val="auto"/>
          <w:szCs w:val="24"/>
          <w:highlight w:val="none"/>
        </w:rPr>
        <w:t>21.1 采购代理机构在规定的时间和地点组织</w:t>
      </w:r>
      <w:r>
        <w:rPr>
          <w:rFonts w:hint="eastAsia" w:hAnsi="宋体"/>
          <w:color w:val="auto"/>
          <w:szCs w:val="24"/>
          <w:highlight w:val="none"/>
        </w:rPr>
        <w:t>竞争性磋商</w:t>
      </w:r>
      <w:r>
        <w:rPr>
          <w:rFonts w:hAnsi="宋体"/>
          <w:color w:val="auto"/>
          <w:szCs w:val="24"/>
          <w:highlight w:val="none"/>
        </w:rPr>
        <w:t>。</w:t>
      </w:r>
      <w:r>
        <w:rPr>
          <w:rFonts w:hint="eastAsia" w:hAnsi="宋体"/>
          <w:color w:val="auto"/>
          <w:szCs w:val="24"/>
          <w:highlight w:val="none"/>
        </w:rPr>
        <w:t>磋商</w:t>
      </w:r>
      <w:r>
        <w:rPr>
          <w:rFonts w:hAnsi="宋体"/>
          <w:color w:val="auto"/>
          <w:szCs w:val="24"/>
          <w:highlight w:val="none"/>
        </w:rPr>
        <w:t>时所有</w:t>
      </w:r>
      <w:r>
        <w:rPr>
          <w:rFonts w:hint="eastAsia" w:hAnsi="宋体"/>
          <w:color w:val="auto"/>
          <w:szCs w:val="24"/>
          <w:highlight w:val="none"/>
        </w:rPr>
        <w:t>供应商</w:t>
      </w:r>
      <w:r>
        <w:rPr>
          <w:rFonts w:hAnsi="宋体"/>
          <w:color w:val="auto"/>
          <w:szCs w:val="24"/>
          <w:highlight w:val="none"/>
        </w:rPr>
        <w:t>代表自愿参加，参加</w:t>
      </w:r>
      <w:r>
        <w:rPr>
          <w:rFonts w:hint="eastAsia" w:hAnsi="宋体"/>
          <w:color w:val="auto"/>
          <w:szCs w:val="24"/>
          <w:highlight w:val="none"/>
        </w:rPr>
        <w:t>磋商</w:t>
      </w:r>
      <w:r>
        <w:rPr>
          <w:rFonts w:hAnsi="宋体"/>
          <w:color w:val="auto"/>
          <w:szCs w:val="24"/>
          <w:highlight w:val="none"/>
        </w:rPr>
        <w:t>的代表应签名报到以证明其出席。</w:t>
      </w:r>
    </w:p>
    <w:p w14:paraId="63BB2C24">
      <w:pPr>
        <w:spacing w:line="360" w:lineRule="auto"/>
        <w:ind w:firstLine="480" w:firstLineChars="200"/>
        <w:rPr>
          <w:rFonts w:hAnsi="宋体"/>
          <w:b/>
          <w:color w:val="auto"/>
          <w:szCs w:val="24"/>
          <w:highlight w:val="none"/>
        </w:rPr>
      </w:pPr>
      <w:r>
        <w:rPr>
          <w:rFonts w:hint="eastAsia" w:hAnsi="宋体"/>
          <w:color w:val="auto"/>
          <w:szCs w:val="24"/>
          <w:highlight w:val="none"/>
        </w:rPr>
        <w:t>21.2</w:t>
      </w:r>
      <w:r>
        <w:rPr>
          <w:rFonts w:hAnsi="宋体"/>
          <w:color w:val="auto"/>
          <w:szCs w:val="24"/>
          <w:highlight w:val="none"/>
        </w:rPr>
        <w:t>采购代理机构将做</w:t>
      </w:r>
      <w:r>
        <w:rPr>
          <w:rFonts w:hint="eastAsia" w:hAnsi="宋体"/>
          <w:color w:val="auto"/>
          <w:szCs w:val="24"/>
          <w:highlight w:val="none"/>
        </w:rPr>
        <w:t>磋商</w:t>
      </w:r>
      <w:r>
        <w:rPr>
          <w:rFonts w:hAnsi="宋体"/>
          <w:color w:val="auto"/>
          <w:szCs w:val="24"/>
          <w:highlight w:val="none"/>
        </w:rPr>
        <w:t>记录，存档备查。</w:t>
      </w:r>
    </w:p>
    <w:p w14:paraId="0990BF44">
      <w:pPr>
        <w:spacing w:line="360" w:lineRule="auto"/>
        <w:rPr>
          <w:rFonts w:hAnsi="宋体"/>
          <w:b/>
          <w:color w:val="auto"/>
          <w:szCs w:val="24"/>
          <w:highlight w:val="none"/>
        </w:rPr>
      </w:pPr>
      <w:r>
        <w:rPr>
          <w:rFonts w:hAnsi="宋体"/>
          <w:b/>
          <w:color w:val="auto"/>
          <w:szCs w:val="24"/>
          <w:highlight w:val="none"/>
        </w:rPr>
        <w:t>2</w:t>
      </w:r>
      <w:r>
        <w:rPr>
          <w:rFonts w:hint="eastAsia" w:hAnsi="宋体"/>
          <w:b/>
          <w:color w:val="auto"/>
          <w:szCs w:val="24"/>
          <w:highlight w:val="none"/>
        </w:rPr>
        <w:t>2</w:t>
      </w:r>
      <w:r>
        <w:rPr>
          <w:rFonts w:hAnsi="宋体"/>
          <w:b/>
          <w:color w:val="auto"/>
          <w:szCs w:val="24"/>
          <w:highlight w:val="none"/>
        </w:rPr>
        <w:t>．</w:t>
      </w:r>
      <w:r>
        <w:rPr>
          <w:rFonts w:hint="eastAsia" w:hAnsi="宋体"/>
          <w:b/>
          <w:color w:val="auto"/>
          <w:szCs w:val="24"/>
          <w:highlight w:val="none"/>
        </w:rPr>
        <w:t>评审</w:t>
      </w:r>
      <w:r>
        <w:rPr>
          <w:rFonts w:hAnsi="宋体"/>
          <w:b/>
          <w:color w:val="auto"/>
          <w:szCs w:val="24"/>
          <w:highlight w:val="none"/>
        </w:rPr>
        <w:t>程序</w:t>
      </w:r>
    </w:p>
    <w:p w14:paraId="7F18EB56">
      <w:pPr>
        <w:spacing w:line="360" w:lineRule="auto"/>
        <w:ind w:firstLine="480" w:firstLineChars="200"/>
        <w:rPr>
          <w:rFonts w:hAnsi="宋体"/>
          <w:color w:val="auto"/>
          <w:szCs w:val="24"/>
          <w:highlight w:val="none"/>
        </w:rPr>
      </w:pPr>
      <w:r>
        <w:rPr>
          <w:rFonts w:hint="eastAsia" w:hAnsi="宋体"/>
          <w:color w:val="auto"/>
          <w:szCs w:val="24"/>
          <w:highlight w:val="none"/>
        </w:rPr>
        <w:t>按照竞争性磋商响应文件初审、澄清有关问题、分别磋商、二次报价、比较与评审、推荐成交候选人名单的工作程序进行评审。在上一步评审中被认定为无效磋商者，不进入下一步的评审。</w:t>
      </w:r>
    </w:p>
    <w:p w14:paraId="218C3276">
      <w:pPr>
        <w:spacing w:line="360" w:lineRule="auto"/>
        <w:rPr>
          <w:rFonts w:hAnsi="宋体"/>
          <w:b/>
          <w:color w:val="auto"/>
          <w:szCs w:val="24"/>
          <w:highlight w:val="none"/>
        </w:rPr>
      </w:pPr>
      <w:r>
        <w:rPr>
          <w:rFonts w:hAnsi="宋体"/>
          <w:b/>
          <w:color w:val="auto"/>
          <w:szCs w:val="24"/>
          <w:highlight w:val="none"/>
        </w:rPr>
        <w:t>2</w:t>
      </w:r>
      <w:r>
        <w:rPr>
          <w:rFonts w:hint="eastAsia" w:hAnsi="宋体"/>
          <w:b/>
          <w:color w:val="auto"/>
          <w:szCs w:val="24"/>
          <w:highlight w:val="none"/>
        </w:rPr>
        <w:t>3</w:t>
      </w:r>
      <w:r>
        <w:rPr>
          <w:rFonts w:hAnsi="宋体"/>
          <w:b/>
          <w:color w:val="auto"/>
          <w:szCs w:val="24"/>
          <w:highlight w:val="none"/>
        </w:rPr>
        <w:t>．</w:t>
      </w:r>
      <w:r>
        <w:rPr>
          <w:rFonts w:hint="eastAsia" w:hAnsi="宋体"/>
          <w:b/>
          <w:color w:val="auto"/>
          <w:szCs w:val="24"/>
          <w:highlight w:val="none"/>
        </w:rPr>
        <w:t>评审</w:t>
      </w:r>
      <w:r>
        <w:rPr>
          <w:rFonts w:hAnsi="宋体"/>
          <w:b/>
          <w:color w:val="auto"/>
          <w:szCs w:val="24"/>
          <w:highlight w:val="none"/>
        </w:rPr>
        <w:t>组织及</w:t>
      </w:r>
      <w:r>
        <w:rPr>
          <w:rFonts w:hint="eastAsia" w:hAnsi="宋体"/>
          <w:b/>
          <w:color w:val="auto"/>
          <w:szCs w:val="24"/>
          <w:highlight w:val="none"/>
        </w:rPr>
        <w:t>评审</w:t>
      </w:r>
      <w:r>
        <w:rPr>
          <w:rFonts w:hAnsi="宋体"/>
          <w:b/>
          <w:color w:val="auto"/>
          <w:szCs w:val="24"/>
          <w:highlight w:val="none"/>
        </w:rPr>
        <w:t>原则</w:t>
      </w:r>
    </w:p>
    <w:p w14:paraId="6F09E881">
      <w:pPr>
        <w:spacing w:line="500" w:lineRule="exact"/>
        <w:ind w:firstLine="480" w:firstLineChars="200"/>
        <w:rPr>
          <w:rFonts w:hAnsi="宋体"/>
          <w:color w:val="auto"/>
          <w:szCs w:val="24"/>
          <w:highlight w:val="none"/>
        </w:rPr>
      </w:pPr>
      <w:r>
        <w:rPr>
          <w:rFonts w:hAnsi="宋体"/>
          <w:color w:val="auto"/>
          <w:szCs w:val="24"/>
          <w:highlight w:val="none"/>
        </w:rPr>
        <w:t>2</w:t>
      </w:r>
      <w:r>
        <w:rPr>
          <w:rFonts w:hint="eastAsia" w:hAnsi="宋体"/>
          <w:color w:val="auto"/>
          <w:szCs w:val="24"/>
          <w:highlight w:val="none"/>
        </w:rPr>
        <w:t>3</w:t>
      </w:r>
      <w:r>
        <w:rPr>
          <w:rFonts w:hAnsi="宋体"/>
          <w:color w:val="auto"/>
          <w:szCs w:val="24"/>
          <w:highlight w:val="none"/>
        </w:rPr>
        <w:t>.1按照《中华人民共和国政府采购法》</w:t>
      </w:r>
      <w:r>
        <w:rPr>
          <w:rFonts w:hint="eastAsia" w:hAnsi="宋体"/>
          <w:color w:val="auto"/>
          <w:szCs w:val="24"/>
          <w:highlight w:val="none"/>
        </w:rPr>
        <w:t>及实施条例和</w:t>
      </w:r>
      <w:r>
        <w:rPr>
          <w:rFonts w:hAnsi="宋体"/>
          <w:color w:val="auto"/>
          <w:szCs w:val="24"/>
          <w:highlight w:val="none"/>
        </w:rPr>
        <w:t>关于印发《政府采购竞争性磋商采购方式管理暂行办法》的通知</w:t>
      </w:r>
      <w:r>
        <w:rPr>
          <w:rFonts w:hint="eastAsia" w:hAnsi="宋体"/>
          <w:color w:val="auto"/>
          <w:szCs w:val="24"/>
          <w:highlight w:val="none"/>
        </w:rPr>
        <w:t>（</w:t>
      </w:r>
      <w:r>
        <w:rPr>
          <w:rFonts w:hAnsi="宋体"/>
          <w:color w:val="auto"/>
          <w:szCs w:val="24"/>
          <w:highlight w:val="none"/>
        </w:rPr>
        <w:t>财库【2014】214号</w:t>
      </w:r>
      <w:r>
        <w:rPr>
          <w:rFonts w:hint="eastAsia" w:hAnsi="宋体"/>
          <w:color w:val="auto"/>
          <w:szCs w:val="24"/>
          <w:highlight w:val="none"/>
        </w:rPr>
        <w:t>）</w:t>
      </w:r>
      <w:r>
        <w:rPr>
          <w:rFonts w:hAnsi="宋体"/>
          <w:color w:val="auto"/>
          <w:szCs w:val="24"/>
          <w:highlight w:val="none"/>
        </w:rPr>
        <w:t>，依法组建</w:t>
      </w:r>
      <w:r>
        <w:rPr>
          <w:rFonts w:hint="eastAsia" w:hAnsi="宋体"/>
          <w:color w:val="auto"/>
          <w:szCs w:val="24"/>
          <w:highlight w:val="none"/>
        </w:rPr>
        <w:t>磋商小组</w:t>
      </w:r>
      <w:r>
        <w:rPr>
          <w:rFonts w:hAnsi="宋体"/>
          <w:color w:val="auto"/>
          <w:szCs w:val="24"/>
          <w:highlight w:val="none"/>
        </w:rPr>
        <w:t>。</w:t>
      </w:r>
      <w:r>
        <w:rPr>
          <w:rFonts w:hint="eastAsia" w:hAnsi="宋体"/>
          <w:color w:val="auto"/>
          <w:szCs w:val="24"/>
          <w:highlight w:val="none"/>
        </w:rPr>
        <w:t>磋商小组由采购人代表和评审专家组成，成员人数应当为3人以上单数，其中采购人代表须持有授权书。磋商小组</w:t>
      </w:r>
      <w:r>
        <w:rPr>
          <w:rFonts w:hAnsi="宋体"/>
          <w:color w:val="auto"/>
          <w:szCs w:val="24"/>
          <w:highlight w:val="none"/>
        </w:rPr>
        <w:t>按照</w:t>
      </w:r>
      <w:r>
        <w:rPr>
          <w:rFonts w:hint="eastAsia" w:hAnsi="宋体"/>
          <w:color w:val="auto"/>
          <w:szCs w:val="24"/>
          <w:highlight w:val="none"/>
        </w:rPr>
        <w:t>竞争性磋商</w:t>
      </w:r>
      <w:r>
        <w:rPr>
          <w:rFonts w:hAnsi="宋体"/>
          <w:color w:val="auto"/>
          <w:szCs w:val="24"/>
          <w:highlight w:val="none"/>
        </w:rPr>
        <w:t>文件规定的</w:t>
      </w:r>
      <w:r>
        <w:rPr>
          <w:rFonts w:hint="eastAsia" w:hAnsi="宋体"/>
          <w:color w:val="auto"/>
          <w:szCs w:val="24"/>
          <w:highlight w:val="none"/>
        </w:rPr>
        <w:t>评审</w:t>
      </w:r>
      <w:r>
        <w:rPr>
          <w:rFonts w:hAnsi="宋体"/>
          <w:color w:val="auto"/>
          <w:szCs w:val="24"/>
          <w:highlight w:val="none"/>
        </w:rPr>
        <w:t>方法独立进行</w:t>
      </w:r>
      <w:r>
        <w:rPr>
          <w:rFonts w:hint="eastAsia" w:hAnsi="宋体"/>
          <w:color w:val="auto"/>
          <w:szCs w:val="24"/>
          <w:highlight w:val="none"/>
        </w:rPr>
        <w:t>评审</w:t>
      </w:r>
      <w:r>
        <w:rPr>
          <w:rFonts w:hAnsi="宋体"/>
          <w:color w:val="auto"/>
          <w:szCs w:val="24"/>
          <w:highlight w:val="none"/>
        </w:rPr>
        <w:t>工作。</w:t>
      </w:r>
    </w:p>
    <w:p w14:paraId="3248DB26">
      <w:pPr>
        <w:spacing w:line="360" w:lineRule="auto"/>
        <w:ind w:firstLine="480" w:firstLineChars="200"/>
        <w:rPr>
          <w:rFonts w:hAnsi="宋体"/>
          <w:color w:val="auto"/>
          <w:szCs w:val="24"/>
          <w:highlight w:val="none"/>
        </w:rPr>
      </w:pPr>
      <w:r>
        <w:rPr>
          <w:rFonts w:hAnsi="宋体"/>
          <w:color w:val="auto"/>
          <w:szCs w:val="24"/>
          <w:highlight w:val="none"/>
        </w:rPr>
        <w:t>2</w:t>
      </w:r>
      <w:r>
        <w:rPr>
          <w:rFonts w:hint="eastAsia" w:hAnsi="宋体"/>
          <w:color w:val="auto"/>
          <w:szCs w:val="24"/>
          <w:highlight w:val="none"/>
        </w:rPr>
        <w:t>3</w:t>
      </w:r>
      <w:r>
        <w:rPr>
          <w:rFonts w:hAnsi="宋体"/>
          <w:color w:val="auto"/>
          <w:szCs w:val="24"/>
          <w:highlight w:val="none"/>
        </w:rPr>
        <w:t>.2</w:t>
      </w:r>
      <w:r>
        <w:rPr>
          <w:rFonts w:hint="eastAsia" w:hAnsi="宋体"/>
          <w:color w:val="auto"/>
          <w:szCs w:val="24"/>
          <w:highlight w:val="none"/>
        </w:rPr>
        <w:t>竞争性磋商</w:t>
      </w:r>
      <w:r>
        <w:rPr>
          <w:rFonts w:hAnsi="宋体"/>
          <w:color w:val="auto"/>
          <w:szCs w:val="24"/>
          <w:highlight w:val="none"/>
        </w:rPr>
        <w:t>文件和</w:t>
      </w:r>
      <w:r>
        <w:rPr>
          <w:rFonts w:hint="eastAsia" w:hAnsi="宋体"/>
          <w:color w:val="auto"/>
          <w:szCs w:val="24"/>
          <w:highlight w:val="none"/>
        </w:rPr>
        <w:t>竞争性磋商响应文件</w:t>
      </w:r>
      <w:r>
        <w:rPr>
          <w:rFonts w:hAnsi="宋体"/>
          <w:color w:val="auto"/>
          <w:szCs w:val="24"/>
          <w:highlight w:val="none"/>
        </w:rPr>
        <w:t>是</w:t>
      </w:r>
      <w:r>
        <w:rPr>
          <w:rFonts w:hint="eastAsia" w:hAnsi="宋体"/>
          <w:color w:val="auto"/>
          <w:szCs w:val="24"/>
          <w:highlight w:val="none"/>
        </w:rPr>
        <w:t>评审</w:t>
      </w:r>
      <w:r>
        <w:rPr>
          <w:rFonts w:hAnsi="宋体"/>
          <w:color w:val="auto"/>
          <w:szCs w:val="24"/>
          <w:highlight w:val="none"/>
        </w:rPr>
        <w:t>的依据。在</w:t>
      </w:r>
      <w:r>
        <w:rPr>
          <w:rFonts w:hint="eastAsia" w:hAnsi="宋体"/>
          <w:color w:val="auto"/>
          <w:szCs w:val="24"/>
          <w:highlight w:val="none"/>
        </w:rPr>
        <w:t>评审</w:t>
      </w:r>
      <w:r>
        <w:rPr>
          <w:rFonts w:hAnsi="宋体"/>
          <w:color w:val="auto"/>
          <w:szCs w:val="24"/>
          <w:highlight w:val="none"/>
        </w:rPr>
        <w:t>中，不得改变</w:t>
      </w:r>
      <w:r>
        <w:rPr>
          <w:rFonts w:hint="eastAsia" w:hAnsi="宋体"/>
          <w:color w:val="auto"/>
          <w:szCs w:val="24"/>
          <w:highlight w:val="none"/>
        </w:rPr>
        <w:t>竞争性磋商</w:t>
      </w:r>
      <w:r>
        <w:rPr>
          <w:rFonts w:hAnsi="宋体"/>
          <w:color w:val="auto"/>
          <w:szCs w:val="24"/>
          <w:highlight w:val="none"/>
        </w:rPr>
        <w:t>文件中规定的</w:t>
      </w:r>
      <w:r>
        <w:rPr>
          <w:rFonts w:hint="eastAsia" w:hAnsi="宋体"/>
          <w:color w:val="auto"/>
          <w:szCs w:val="24"/>
          <w:highlight w:val="none"/>
        </w:rPr>
        <w:t>评审</w:t>
      </w:r>
      <w:r>
        <w:rPr>
          <w:rFonts w:hAnsi="宋体"/>
          <w:color w:val="auto"/>
          <w:szCs w:val="24"/>
          <w:highlight w:val="none"/>
        </w:rPr>
        <w:t>标准、方法和</w:t>
      </w:r>
      <w:r>
        <w:rPr>
          <w:rFonts w:hint="eastAsia" w:hAnsi="宋体"/>
          <w:color w:val="auto"/>
          <w:szCs w:val="24"/>
          <w:highlight w:val="none"/>
        </w:rPr>
        <w:t>成交</w:t>
      </w:r>
      <w:r>
        <w:rPr>
          <w:rFonts w:hAnsi="宋体"/>
          <w:color w:val="auto"/>
          <w:szCs w:val="24"/>
          <w:highlight w:val="none"/>
        </w:rPr>
        <w:t>条件。</w:t>
      </w:r>
    </w:p>
    <w:p w14:paraId="587F9CF6">
      <w:pPr>
        <w:spacing w:line="360" w:lineRule="auto"/>
        <w:ind w:firstLine="480" w:firstLineChars="200"/>
        <w:rPr>
          <w:rFonts w:hAnsi="宋体"/>
          <w:color w:val="auto"/>
          <w:szCs w:val="24"/>
          <w:highlight w:val="none"/>
        </w:rPr>
      </w:pPr>
      <w:r>
        <w:rPr>
          <w:rFonts w:hAnsi="宋体"/>
          <w:color w:val="auto"/>
          <w:szCs w:val="24"/>
          <w:highlight w:val="none"/>
        </w:rPr>
        <w:t>2</w:t>
      </w:r>
      <w:r>
        <w:rPr>
          <w:rFonts w:hint="eastAsia" w:hAnsi="宋体"/>
          <w:color w:val="auto"/>
          <w:szCs w:val="24"/>
          <w:highlight w:val="none"/>
        </w:rPr>
        <w:t>3</w:t>
      </w:r>
      <w:r>
        <w:rPr>
          <w:rFonts w:hAnsi="宋体"/>
          <w:color w:val="auto"/>
          <w:szCs w:val="24"/>
          <w:highlight w:val="none"/>
        </w:rPr>
        <w:t>.3在</w:t>
      </w:r>
      <w:r>
        <w:rPr>
          <w:rFonts w:hint="eastAsia" w:hAnsi="宋体"/>
          <w:color w:val="auto"/>
          <w:szCs w:val="24"/>
          <w:highlight w:val="none"/>
        </w:rPr>
        <w:t>评审</w:t>
      </w:r>
      <w:r>
        <w:rPr>
          <w:rFonts w:hAnsi="宋体"/>
          <w:color w:val="auto"/>
          <w:szCs w:val="24"/>
          <w:highlight w:val="none"/>
        </w:rPr>
        <w:t>期间，对</w:t>
      </w:r>
      <w:r>
        <w:rPr>
          <w:rFonts w:hint="eastAsia" w:hAnsi="宋体"/>
          <w:color w:val="auto"/>
          <w:szCs w:val="24"/>
          <w:highlight w:val="none"/>
        </w:rPr>
        <w:t>竞争性磋商响应文件</w:t>
      </w:r>
      <w:r>
        <w:rPr>
          <w:rFonts w:hAnsi="宋体"/>
          <w:color w:val="auto"/>
          <w:szCs w:val="24"/>
          <w:highlight w:val="none"/>
        </w:rPr>
        <w:t>中含义不明确、同类问题表述不一致或者有明显文字和计算错误的内容，</w:t>
      </w:r>
      <w:r>
        <w:rPr>
          <w:rFonts w:hint="eastAsia" w:hAnsi="宋体"/>
          <w:color w:val="auto"/>
          <w:szCs w:val="24"/>
          <w:highlight w:val="none"/>
        </w:rPr>
        <w:t>磋商小组</w:t>
      </w:r>
      <w:r>
        <w:rPr>
          <w:rFonts w:hAnsi="宋体"/>
          <w:color w:val="auto"/>
          <w:szCs w:val="24"/>
          <w:highlight w:val="none"/>
        </w:rPr>
        <w:t>可以书面形式（由</w:t>
      </w:r>
      <w:r>
        <w:rPr>
          <w:rFonts w:hint="eastAsia" w:hAnsi="宋体"/>
          <w:color w:val="auto"/>
          <w:szCs w:val="24"/>
          <w:highlight w:val="none"/>
        </w:rPr>
        <w:t>磋商小组</w:t>
      </w:r>
      <w:r>
        <w:rPr>
          <w:rFonts w:hAnsi="宋体"/>
          <w:color w:val="auto"/>
          <w:szCs w:val="24"/>
          <w:highlight w:val="none"/>
        </w:rPr>
        <w:t>专家签字）要求</w:t>
      </w:r>
      <w:r>
        <w:rPr>
          <w:rFonts w:hint="eastAsia" w:hAnsi="宋体"/>
          <w:color w:val="auto"/>
          <w:szCs w:val="24"/>
          <w:highlight w:val="none"/>
        </w:rPr>
        <w:t>供应商</w:t>
      </w:r>
      <w:r>
        <w:rPr>
          <w:rFonts w:hAnsi="宋体"/>
          <w:color w:val="auto"/>
          <w:szCs w:val="24"/>
          <w:highlight w:val="none"/>
        </w:rPr>
        <w:t>作出必要的澄清、说明或者纠正。</w:t>
      </w:r>
      <w:r>
        <w:rPr>
          <w:rFonts w:hint="eastAsia" w:hAnsi="宋体"/>
          <w:color w:val="auto"/>
          <w:szCs w:val="24"/>
          <w:highlight w:val="none"/>
        </w:rPr>
        <w:t>供应商</w:t>
      </w:r>
      <w:r>
        <w:rPr>
          <w:rFonts w:hAnsi="宋体"/>
          <w:color w:val="auto"/>
          <w:szCs w:val="24"/>
          <w:highlight w:val="none"/>
        </w:rPr>
        <w:t>的澄清、说明或者补正应当采用书面形式，由其授权的代表签字，并不得超出</w:t>
      </w:r>
      <w:r>
        <w:rPr>
          <w:rFonts w:hint="eastAsia" w:hAnsi="宋体"/>
          <w:color w:val="auto"/>
          <w:szCs w:val="24"/>
          <w:highlight w:val="none"/>
        </w:rPr>
        <w:t>竞争性磋商响应文件</w:t>
      </w:r>
      <w:r>
        <w:rPr>
          <w:rFonts w:hAnsi="宋体"/>
          <w:color w:val="auto"/>
          <w:szCs w:val="24"/>
          <w:highlight w:val="none"/>
        </w:rPr>
        <w:t>的范围或者改变</w:t>
      </w:r>
      <w:r>
        <w:rPr>
          <w:rFonts w:hint="eastAsia" w:hAnsi="宋体"/>
          <w:color w:val="auto"/>
          <w:szCs w:val="24"/>
          <w:highlight w:val="none"/>
        </w:rPr>
        <w:t>竞争性磋商响应文件</w:t>
      </w:r>
      <w:r>
        <w:rPr>
          <w:rFonts w:hAnsi="宋体"/>
          <w:color w:val="auto"/>
          <w:szCs w:val="24"/>
          <w:highlight w:val="none"/>
        </w:rPr>
        <w:t>的实质性内容。</w:t>
      </w:r>
    </w:p>
    <w:p w14:paraId="40DA591D">
      <w:pPr>
        <w:spacing w:line="360" w:lineRule="auto"/>
        <w:ind w:firstLine="480" w:firstLineChars="200"/>
        <w:rPr>
          <w:rFonts w:hAnsi="宋体"/>
          <w:color w:val="auto"/>
          <w:szCs w:val="24"/>
          <w:highlight w:val="none"/>
        </w:rPr>
      </w:pPr>
      <w:r>
        <w:rPr>
          <w:rFonts w:hAnsi="宋体"/>
          <w:color w:val="auto"/>
          <w:szCs w:val="24"/>
          <w:highlight w:val="none"/>
        </w:rPr>
        <w:t>2</w:t>
      </w:r>
      <w:r>
        <w:rPr>
          <w:rFonts w:hint="eastAsia" w:hAnsi="宋体"/>
          <w:color w:val="auto"/>
          <w:szCs w:val="24"/>
          <w:highlight w:val="none"/>
        </w:rPr>
        <w:t>3</w:t>
      </w:r>
      <w:r>
        <w:rPr>
          <w:rFonts w:hAnsi="宋体"/>
          <w:color w:val="auto"/>
          <w:szCs w:val="24"/>
          <w:highlight w:val="none"/>
        </w:rPr>
        <w:t>.4如果</w:t>
      </w:r>
      <w:r>
        <w:rPr>
          <w:rFonts w:hint="eastAsia" w:hAnsi="宋体"/>
          <w:color w:val="auto"/>
          <w:szCs w:val="24"/>
          <w:highlight w:val="none"/>
        </w:rPr>
        <w:t>供应商</w:t>
      </w:r>
      <w:r>
        <w:rPr>
          <w:rFonts w:hAnsi="宋体"/>
          <w:color w:val="auto"/>
          <w:szCs w:val="24"/>
          <w:highlight w:val="none"/>
        </w:rPr>
        <w:t>在澄清规定期限内，未能答复或拒绝答复</w:t>
      </w:r>
      <w:r>
        <w:rPr>
          <w:rFonts w:hint="eastAsia" w:hAnsi="宋体"/>
          <w:color w:val="auto"/>
          <w:szCs w:val="24"/>
          <w:highlight w:val="none"/>
        </w:rPr>
        <w:t>磋商小组</w:t>
      </w:r>
      <w:r>
        <w:rPr>
          <w:rFonts w:hAnsi="宋体"/>
          <w:color w:val="auto"/>
          <w:szCs w:val="24"/>
          <w:highlight w:val="none"/>
        </w:rPr>
        <w:t>提出的澄清要求，将由</w:t>
      </w:r>
      <w:r>
        <w:rPr>
          <w:rFonts w:hint="eastAsia" w:hAnsi="宋体"/>
          <w:color w:val="auto"/>
          <w:szCs w:val="24"/>
          <w:highlight w:val="none"/>
        </w:rPr>
        <w:t>磋商小组</w:t>
      </w:r>
      <w:r>
        <w:rPr>
          <w:rFonts w:hAnsi="宋体"/>
          <w:color w:val="auto"/>
          <w:szCs w:val="24"/>
          <w:highlight w:val="none"/>
        </w:rPr>
        <w:t>根据其</w:t>
      </w:r>
      <w:r>
        <w:rPr>
          <w:rFonts w:hint="eastAsia" w:hAnsi="宋体"/>
          <w:color w:val="auto"/>
          <w:szCs w:val="24"/>
          <w:highlight w:val="none"/>
        </w:rPr>
        <w:t>竞争性磋商响应文件</w:t>
      </w:r>
      <w:r>
        <w:rPr>
          <w:rFonts w:hAnsi="宋体"/>
          <w:color w:val="auto"/>
          <w:szCs w:val="24"/>
          <w:highlight w:val="none"/>
        </w:rPr>
        <w:t>按最大风险进行</w:t>
      </w:r>
      <w:r>
        <w:rPr>
          <w:rFonts w:hint="eastAsia" w:hAnsi="宋体"/>
          <w:color w:val="auto"/>
          <w:szCs w:val="24"/>
          <w:highlight w:val="none"/>
        </w:rPr>
        <w:t>评审</w:t>
      </w:r>
      <w:r>
        <w:rPr>
          <w:rFonts w:hAnsi="宋体"/>
          <w:color w:val="auto"/>
          <w:szCs w:val="24"/>
          <w:highlight w:val="none"/>
        </w:rPr>
        <w:t>。</w:t>
      </w:r>
    </w:p>
    <w:p w14:paraId="51F5B5F0">
      <w:pPr>
        <w:spacing w:line="360" w:lineRule="auto"/>
        <w:ind w:firstLine="480" w:firstLineChars="200"/>
        <w:rPr>
          <w:rFonts w:hAnsi="宋体"/>
          <w:color w:val="auto"/>
          <w:szCs w:val="24"/>
          <w:highlight w:val="none"/>
        </w:rPr>
      </w:pPr>
      <w:r>
        <w:rPr>
          <w:rFonts w:hint="eastAsia" w:hAnsi="宋体"/>
          <w:color w:val="auto"/>
          <w:szCs w:val="24"/>
          <w:highlight w:val="none"/>
        </w:rPr>
        <w:t>23.5磋商过程中的实质性变动：</w:t>
      </w:r>
    </w:p>
    <w:p w14:paraId="0A8CC6C9">
      <w:pPr>
        <w:spacing w:line="360" w:lineRule="auto"/>
        <w:ind w:firstLine="480" w:firstLineChars="200"/>
        <w:rPr>
          <w:rFonts w:hAnsi="宋体"/>
          <w:color w:val="auto"/>
          <w:szCs w:val="24"/>
          <w:highlight w:val="none"/>
        </w:rPr>
      </w:pPr>
      <w:r>
        <w:rPr>
          <w:rFonts w:hint="eastAsia" w:hAnsi="宋体"/>
          <w:color w:val="auto"/>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4EDC05C2">
      <w:pPr>
        <w:spacing w:line="360" w:lineRule="auto"/>
        <w:ind w:firstLine="480" w:firstLineChars="200"/>
        <w:rPr>
          <w:rFonts w:hAnsi="宋体"/>
          <w:color w:val="auto"/>
          <w:szCs w:val="24"/>
          <w:highlight w:val="none"/>
        </w:rPr>
      </w:pPr>
      <w:r>
        <w:rPr>
          <w:rFonts w:hint="eastAsia" w:hAnsi="宋体"/>
          <w:color w:val="auto"/>
          <w:szCs w:val="24"/>
          <w:highlight w:val="none"/>
        </w:rPr>
        <w:t>23.5.2对竞争性磋商文件做出的实质性变动是磋商文件的有效组成部分，磋商小组应当及时以书面形式通知所有参加磋商的供应商。</w:t>
      </w:r>
    </w:p>
    <w:p w14:paraId="340BA112">
      <w:pPr>
        <w:spacing w:line="360" w:lineRule="auto"/>
        <w:ind w:firstLine="480" w:firstLineChars="200"/>
        <w:rPr>
          <w:rFonts w:hAnsi="宋体"/>
          <w:color w:val="auto"/>
          <w:szCs w:val="24"/>
          <w:highlight w:val="none"/>
        </w:rPr>
      </w:pPr>
      <w:r>
        <w:rPr>
          <w:rFonts w:hint="eastAsia" w:hAnsi="宋体"/>
          <w:color w:val="auto"/>
          <w:szCs w:val="24"/>
          <w:highlight w:val="none"/>
        </w:rPr>
        <w:t>23.6竞争性磋商响应文件的初审（含资格性检查和符合性检查）</w:t>
      </w:r>
    </w:p>
    <w:p w14:paraId="100BA930">
      <w:pPr>
        <w:spacing w:line="360" w:lineRule="auto"/>
        <w:ind w:firstLine="480" w:firstLineChars="200"/>
        <w:rPr>
          <w:rFonts w:hAnsi="宋体"/>
          <w:color w:val="auto"/>
          <w:szCs w:val="24"/>
          <w:highlight w:val="none"/>
        </w:rPr>
      </w:pPr>
      <w:r>
        <w:rPr>
          <w:rFonts w:hint="eastAsia" w:hAnsi="宋体"/>
          <w:color w:val="auto"/>
          <w:szCs w:val="24"/>
          <w:highlight w:val="none"/>
        </w:rPr>
        <w:t>23.6.1</w:t>
      </w:r>
      <w:r>
        <w:rPr>
          <w:rFonts w:hint="eastAsia" w:hAnsi="宋体"/>
          <w:color w:val="auto"/>
          <w:szCs w:val="24"/>
          <w:highlight w:val="none"/>
          <w:lang w:eastAsia="zh-CN"/>
        </w:rPr>
        <w:t>采购人或采购代理机构审查</w:t>
      </w:r>
      <w:r>
        <w:rPr>
          <w:rFonts w:hint="eastAsia" w:hAnsi="宋体"/>
          <w:color w:val="auto"/>
          <w:szCs w:val="24"/>
          <w:highlight w:val="none"/>
        </w:rPr>
        <w:t>资格证明文件是否齐全</w:t>
      </w:r>
      <w:r>
        <w:rPr>
          <w:rFonts w:hint="eastAsia" w:hAnsi="宋体"/>
          <w:color w:val="auto"/>
          <w:szCs w:val="24"/>
          <w:highlight w:val="none"/>
          <w:lang w:eastAsia="zh-CN"/>
        </w:rPr>
        <w:t>；</w:t>
      </w:r>
      <w:r>
        <w:rPr>
          <w:rFonts w:hint="eastAsia" w:hAnsi="宋体"/>
          <w:color w:val="auto"/>
          <w:szCs w:val="24"/>
          <w:highlight w:val="none"/>
        </w:rPr>
        <w:t>磋商小组将审查竞争性磋商响应文件是否完整、磋商保证金是否合格、有无计算上的错误等。</w:t>
      </w:r>
    </w:p>
    <w:p w14:paraId="6F3DB3DD">
      <w:pPr>
        <w:spacing w:line="500" w:lineRule="exact"/>
        <w:ind w:firstLine="482" w:firstLineChars="200"/>
        <w:rPr>
          <w:rFonts w:hAnsi="宋体"/>
          <w:color w:val="auto"/>
          <w:szCs w:val="24"/>
          <w:highlight w:val="none"/>
        </w:rPr>
      </w:pPr>
      <w:r>
        <w:rPr>
          <w:rFonts w:hint="eastAsia" w:hAnsi="宋体"/>
          <w:b/>
          <w:bCs/>
          <w:color w:val="auto"/>
          <w:szCs w:val="24"/>
          <w:highlight w:val="none"/>
        </w:rPr>
        <w:t>23.6.2计算错误将按以下方法更正：</w:t>
      </w:r>
    </w:p>
    <w:p w14:paraId="44D99D37">
      <w:pPr>
        <w:spacing w:line="500" w:lineRule="exact"/>
        <w:ind w:firstLine="480" w:firstLineChars="200"/>
        <w:rPr>
          <w:rFonts w:hAnsi="宋体"/>
          <w:color w:val="auto"/>
          <w:szCs w:val="24"/>
          <w:highlight w:val="none"/>
        </w:rPr>
      </w:pPr>
      <w:r>
        <w:rPr>
          <w:rFonts w:hint="eastAsia" w:hAnsi="宋体"/>
          <w:color w:val="auto"/>
          <w:szCs w:val="24"/>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14:paraId="10EF60CF">
      <w:pPr>
        <w:spacing w:line="500" w:lineRule="exact"/>
        <w:ind w:firstLine="480" w:firstLineChars="200"/>
        <w:rPr>
          <w:rFonts w:hAnsi="宋体"/>
          <w:color w:val="auto"/>
          <w:szCs w:val="24"/>
          <w:highlight w:val="none"/>
        </w:rPr>
      </w:pPr>
      <w:r>
        <w:rPr>
          <w:rFonts w:hint="eastAsia" w:hAnsi="宋体"/>
          <w:color w:val="auto"/>
          <w:szCs w:val="24"/>
          <w:highlight w:val="none"/>
        </w:rPr>
        <w:t>（2）磋商响应文件的大写金额和小写金额不一致的，以大写金额为准；</w:t>
      </w:r>
    </w:p>
    <w:p w14:paraId="60C4B3E6">
      <w:pPr>
        <w:spacing w:line="500" w:lineRule="exact"/>
        <w:ind w:firstLine="480" w:firstLineChars="200"/>
        <w:rPr>
          <w:rFonts w:hAnsi="宋体"/>
          <w:color w:val="auto"/>
          <w:szCs w:val="24"/>
          <w:highlight w:val="none"/>
        </w:rPr>
      </w:pPr>
      <w:r>
        <w:rPr>
          <w:rFonts w:hint="eastAsia" w:hAnsi="宋体"/>
          <w:color w:val="auto"/>
          <w:szCs w:val="24"/>
          <w:highlight w:val="none"/>
        </w:rPr>
        <w:t>（3）单价金额小数点或者百分比有明显错位的，以单独密封的报价一览表的总价为准，并修改单价；</w:t>
      </w:r>
    </w:p>
    <w:p w14:paraId="760897A9">
      <w:pPr>
        <w:spacing w:line="500" w:lineRule="exact"/>
        <w:ind w:firstLine="480" w:firstLineChars="200"/>
        <w:rPr>
          <w:rFonts w:hAnsi="宋体"/>
          <w:color w:val="auto"/>
          <w:szCs w:val="24"/>
          <w:highlight w:val="none"/>
        </w:rPr>
      </w:pPr>
      <w:r>
        <w:rPr>
          <w:rFonts w:hint="eastAsia" w:hAnsi="宋体"/>
          <w:color w:val="auto"/>
          <w:szCs w:val="24"/>
          <w:highlight w:val="none"/>
        </w:rPr>
        <w:t>（4）总价金额与按单价汇总金额不一致的，以单价金额计算结果为准。</w:t>
      </w:r>
    </w:p>
    <w:p w14:paraId="3A4B7F88">
      <w:pPr>
        <w:spacing w:line="500" w:lineRule="exact"/>
        <w:ind w:firstLine="480" w:firstLineChars="200"/>
        <w:rPr>
          <w:rFonts w:hAnsi="宋体"/>
          <w:color w:val="auto"/>
          <w:szCs w:val="24"/>
          <w:highlight w:val="none"/>
        </w:rPr>
      </w:pPr>
      <w:r>
        <w:rPr>
          <w:rFonts w:hint="eastAsia" w:hAnsi="宋体"/>
          <w:color w:val="auto"/>
          <w:szCs w:val="24"/>
          <w:highlight w:val="none"/>
        </w:rPr>
        <w:t>按上述修正的顺序和方法调整的报价应对供应商具有约束力。如果供应商不接受修正后的价格，其响应文件将按无效响应处理。</w:t>
      </w:r>
    </w:p>
    <w:p w14:paraId="0F18935C">
      <w:pPr>
        <w:spacing w:line="360" w:lineRule="auto"/>
        <w:ind w:firstLine="480" w:firstLineChars="200"/>
        <w:rPr>
          <w:rFonts w:hAnsi="宋体"/>
          <w:color w:val="auto"/>
          <w:szCs w:val="24"/>
          <w:highlight w:val="none"/>
        </w:rPr>
      </w:pPr>
      <w:r>
        <w:rPr>
          <w:rFonts w:hint="eastAsia" w:hAnsi="宋体"/>
          <w:color w:val="auto"/>
          <w:szCs w:val="24"/>
          <w:highlight w:val="none"/>
        </w:rPr>
        <w:t>23.6.3对于竞争性磋商响应文件中明显的标点符号错误或不构成实质性偏差的不正规、不一致或不规则，采购人可以接受。</w:t>
      </w:r>
    </w:p>
    <w:p w14:paraId="77B5A1D7">
      <w:pPr>
        <w:spacing w:line="360" w:lineRule="auto"/>
        <w:ind w:firstLine="480" w:firstLineChars="200"/>
        <w:rPr>
          <w:rFonts w:hAnsi="宋体"/>
          <w:color w:val="auto"/>
          <w:szCs w:val="24"/>
          <w:highlight w:val="none"/>
        </w:rPr>
      </w:pPr>
      <w:r>
        <w:rPr>
          <w:rFonts w:hint="eastAsia" w:hAnsi="宋体"/>
          <w:color w:val="auto"/>
          <w:szCs w:val="24"/>
          <w:highlight w:val="none"/>
        </w:rPr>
        <w:t>23.6.4在详细评审之前，根据本须知第23.6.5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2F054439">
      <w:pPr>
        <w:spacing w:line="360" w:lineRule="auto"/>
        <w:ind w:firstLine="480" w:firstLineChars="200"/>
        <w:rPr>
          <w:rFonts w:hAnsi="宋体"/>
          <w:color w:val="auto"/>
          <w:szCs w:val="24"/>
          <w:highlight w:val="none"/>
        </w:rPr>
      </w:pPr>
      <w:r>
        <w:rPr>
          <w:rFonts w:hint="eastAsia" w:hAnsi="宋体"/>
          <w:color w:val="auto"/>
          <w:szCs w:val="24"/>
          <w:highlight w:val="none"/>
        </w:rPr>
        <w:t>23.6.5实质上没有响应竞争性磋商文件要求的磋商将被拒绝。供应商不得通过修正或撤销不合要求的偏离从而使其磋商成为实质性响应的磋商。</w:t>
      </w:r>
      <w:r>
        <w:rPr>
          <w:rFonts w:hint="eastAsia" w:hAnsi="宋体"/>
          <w:b/>
          <w:bCs/>
          <w:color w:val="auto"/>
          <w:szCs w:val="24"/>
          <w:highlight w:val="none"/>
        </w:rPr>
        <w:t>如发现下列情况之一的，其磋商将构成非实质性响应，按无效磋商处理：</w:t>
      </w:r>
    </w:p>
    <w:p w14:paraId="1A99E451">
      <w:pPr>
        <w:tabs>
          <w:tab w:val="left" w:pos="1260"/>
        </w:tabs>
        <w:spacing w:line="360" w:lineRule="auto"/>
        <w:ind w:firstLine="482" w:firstLineChars="200"/>
        <w:rPr>
          <w:rFonts w:hAnsi="宋体"/>
          <w:b/>
          <w:bCs/>
          <w:color w:val="auto"/>
          <w:szCs w:val="24"/>
          <w:highlight w:val="none"/>
        </w:rPr>
      </w:pPr>
      <w:r>
        <w:rPr>
          <w:rFonts w:hint="eastAsia" w:hAnsi="宋体"/>
          <w:b/>
          <w:bCs/>
          <w:color w:val="auto"/>
          <w:szCs w:val="24"/>
          <w:highlight w:val="none"/>
        </w:rPr>
        <w:t>1）没有按照竞争性磋商文件要求提供的竞争性磋商响应文件或竞争性磋商响应文件构成有重大缺项；</w:t>
      </w:r>
    </w:p>
    <w:p w14:paraId="4B5105A0">
      <w:pPr>
        <w:tabs>
          <w:tab w:val="left" w:pos="1260"/>
        </w:tabs>
        <w:spacing w:line="360" w:lineRule="auto"/>
        <w:ind w:firstLine="482" w:firstLineChars="200"/>
        <w:rPr>
          <w:rFonts w:hAnsi="宋体"/>
          <w:b/>
          <w:bCs/>
          <w:color w:val="auto"/>
          <w:szCs w:val="24"/>
          <w:highlight w:val="none"/>
        </w:rPr>
      </w:pPr>
      <w:r>
        <w:rPr>
          <w:rFonts w:hint="eastAsia" w:hAnsi="宋体"/>
          <w:b/>
          <w:bCs/>
          <w:color w:val="auto"/>
          <w:szCs w:val="24"/>
          <w:highlight w:val="none"/>
        </w:rPr>
        <w:t>2）竞争性磋商响应文件未按竞争性磋商文件要求密封、签署、盖章的；</w:t>
      </w:r>
    </w:p>
    <w:p w14:paraId="72D6EDF2">
      <w:pPr>
        <w:tabs>
          <w:tab w:val="left" w:pos="1260"/>
        </w:tabs>
        <w:spacing w:line="360" w:lineRule="auto"/>
        <w:ind w:firstLine="482" w:firstLineChars="200"/>
        <w:rPr>
          <w:rFonts w:hAnsi="宋体"/>
          <w:b/>
          <w:bCs/>
          <w:color w:val="auto"/>
          <w:szCs w:val="24"/>
          <w:highlight w:val="none"/>
        </w:rPr>
      </w:pPr>
      <w:r>
        <w:rPr>
          <w:rFonts w:hint="eastAsia" w:hAnsi="宋体"/>
          <w:b/>
          <w:bCs/>
          <w:color w:val="auto"/>
          <w:szCs w:val="24"/>
          <w:highlight w:val="none"/>
        </w:rPr>
        <w:t>3）供应商未提交有效的磋商保证金或金额不足的、磋商保证金形式不符合竞争性磋商文件要求的；</w:t>
      </w:r>
    </w:p>
    <w:p w14:paraId="04D9A637">
      <w:pPr>
        <w:tabs>
          <w:tab w:val="left" w:pos="1260"/>
        </w:tabs>
        <w:spacing w:line="360" w:lineRule="auto"/>
        <w:ind w:firstLine="482" w:firstLineChars="200"/>
        <w:rPr>
          <w:rFonts w:hAnsi="宋体"/>
          <w:b/>
          <w:bCs/>
          <w:color w:val="auto"/>
          <w:szCs w:val="24"/>
          <w:highlight w:val="none"/>
        </w:rPr>
      </w:pPr>
      <w:r>
        <w:rPr>
          <w:rFonts w:hint="eastAsia" w:hAnsi="宋体"/>
          <w:b/>
          <w:bCs/>
          <w:color w:val="auto"/>
          <w:szCs w:val="24"/>
          <w:highlight w:val="none"/>
        </w:rPr>
        <w:t>4）资格证明文件不全的或无效的，或不符合国家规定的；</w:t>
      </w:r>
    </w:p>
    <w:p w14:paraId="0510A165">
      <w:pPr>
        <w:tabs>
          <w:tab w:val="left" w:pos="1260"/>
        </w:tabs>
        <w:spacing w:line="360" w:lineRule="auto"/>
        <w:ind w:firstLine="482" w:firstLineChars="200"/>
        <w:rPr>
          <w:rFonts w:hAnsi="宋体"/>
          <w:b/>
          <w:bCs/>
          <w:color w:val="auto"/>
          <w:szCs w:val="24"/>
          <w:highlight w:val="none"/>
        </w:rPr>
      </w:pPr>
      <w:r>
        <w:rPr>
          <w:rFonts w:hint="eastAsia" w:hAnsi="宋体"/>
          <w:b/>
          <w:bCs/>
          <w:color w:val="auto"/>
          <w:szCs w:val="24"/>
          <w:highlight w:val="none"/>
        </w:rPr>
        <w:t>5）竞争性磋商响应文件无供应商公章、无法定代表人签字或签字人无法定代表人有效委托书的；</w:t>
      </w:r>
    </w:p>
    <w:p w14:paraId="5B89745F">
      <w:pPr>
        <w:tabs>
          <w:tab w:val="left" w:pos="1260"/>
        </w:tabs>
        <w:spacing w:line="360" w:lineRule="auto"/>
        <w:ind w:firstLine="482" w:firstLineChars="200"/>
        <w:rPr>
          <w:rFonts w:hAnsi="宋体"/>
          <w:b/>
          <w:bCs/>
          <w:color w:val="auto"/>
          <w:szCs w:val="24"/>
          <w:highlight w:val="none"/>
        </w:rPr>
      </w:pPr>
      <w:r>
        <w:rPr>
          <w:rFonts w:hint="eastAsia" w:hAnsi="宋体"/>
          <w:b/>
          <w:bCs/>
          <w:color w:val="auto"/>
          <w:szCs w:val="24"/>
          <w:highlight w:val="none"/>
        </w:rPr>
        <w:t>6）</w:t>
      </w:r>
      <w:r>
        <w:rPr>
          <w:rFonts w:hint="eastAsia" w:hAnsi="宋体"/>
          <w:b/>
          <w:bCs/>
          <w:color w:val="auto"/>
          <w:spacing w:val="-6"/>
          <w:szCs w:val="24"/>
          <w:highlight w:val="none"/>
        </w:rPr>
        <w:t>无磋商有效期或有效期达不到竞争性磋商文件要求的</w:t>
      </w:r>
      <w:r>
        <w:rPr>
          <w:rFonts w:hint="eastAsia" w:hAnsi="宋体"/>
          <w:b/>
          <w:bCs/>
          <w:color w:val="auto"/>
          <w:szCs w:val="24"/>
          <w:highlight w:val="none"/>
        </w:rPr>
        <w:t>；</w:t>
      </w:r>
    </w:p>
    <w:p w14:paraId="164742FE">
      <w:pPr>
        <w:tabs>
          <w:tab w:val="left" w:pos="1260"/>
        </w:tabs>
        <w:spacing w:line="360" w:lineRule="auto"/>
        <w:ind w:firstLine="482" w:firstLineChars="200"/>
        <w:rPr>
          <w:rFonts w:hAnsi="宋体"/>
          <w:b/>
          <w:bCs/>
          <w:color w:val="auto"/>
          <w:szCs w:val="24"/>
          <w:highlight w:val="none"/>
        </w:rPr>
      </w:pPr>
      <w:r>
        <w:rPr>
          <w:rFonts w:hint="eastAsia" w:hAnsi="宋体"/>
          <w:b/>
          <w:bCs/>
          <w:color w:val="auto"/>
          <w:szCs w:val="24"/>
          <w:highlight w:val="none"/>
        </w:rPr>
        <w:t>7）供应商在同一份竞争性磋商响应文件中，有两个或多个报价的；</w:t>
      </w:r>
    </w:p>
    <w:p w14:paraId="2251DA35">
      <w:pPr>
        <w:tabs>
          <w:tab w:val="left" w:pos="1260"/>
        </w:tabs>
        <w:spacing w:line="360" w:lineRule="auto"/>
        <w:ind w:firstLine="482" w:firstLineChars="200"/>
        <w:rPr>
          <w:rFonts w:hAnsi="宋体"/>
          <w:b/>
          <w:bCs/>
          <w:color w:val="auto"/>
          <w:szCs w:val="24"/>
          <w:highlight w:val="none"/>
        </w:rPr>
      </w:pPr>
      <w:r>
        <w:rPr>
          <w:rFonts w:hint="eastAsia" w:hAnsi="宋体"/>
          <w:b/>
          <w:bCs/>
          <w:color w:val="auto"/>
          <w:szCs w:val="24"/>
          <w:highlight w:val="none"/>
        </w:rPr>
        <w:t>8）存在有重大缺漏项和重大偏离的；</w:t>
      </w:r>
    </w:p>
    <w:p w14:paraId="4CD6306D">
      <w:pPr>
        <w:tabs>
          <w:tab w:val="left" w:pos="1260"/>
        </w:tabs>
        <w:spacing w:line="360" w:lineRule="auto"/>
        <w:ind w:firstLine="482" w:firstLineChars="200"/>
        <w:rPr>
          <w:rFonts w:hAnsi="宋体"/>
          <w:b/>
          <w:bCs/>
          <w:color w:val="auto"/>
          <w:szCs w:val="24"/>
          <w:highlight w:val="none"/>
        </w:rPr>
      </w:pPr>
      <w:r>
        <w:rPr>
          <w:rFonts w:hint="eastAsia" w:hAnsi="宋体"/>
          <w:b/>
          <w:bCs/>
          <w:color w:val="auto"/>
          <w:szCs w:val="24"/>
          <w:highlight w:val="none"/>
        </w:rPr>
        <w:t>9）供应商有串通磋商、以他人名义磋商、行贿、提供虚假证明（包括第三方提供的虚假证明），开具虚假资质，出现虚假应答的，除按无效文件处理外，还将按照政府采购的有关规定进行处罚；</w:t>
      </w:r>
    </w:p>
    <w:p w14:paraId="6995F432">
      <w:pPr>
        <w:spacing w:line="360" w:lineRule="auto"/>
        <w:ind w:firstLine="482" w:firstLineChars="200"/>
        <w:rPr>
          <w:rFonts w:hAnsi="宋体"/>
          <w:b/>
          <w:bCs/>
          <w:color w:val="auto"/>
          <w:szCs w:val="24"/>
          <w:highlight w:val="none"/>
        </w:rPr>
      </w:pPr>
      <w:r>
        <w:rPr>
          <w:rFonts w:hint="eastAsia" w:hAnsi="宋体"/>
          <w:b/>
          <w:bCs/>
          <w:color w:val="auto"/>
          <w:szCs w:val="24"/>
          <w:highlight w:val="none"/>
        </w:rPr>
        <w:t>10）磋商总报价低于成本或者高于竞争性磋商文件公布的采购预算的。</w:t>
      </w:r>
    </w:p>
    <w:p w14:paraId="0DD029F1">
      <w:pPr>
        <w:pStyle w:val="17"/>
        <w:spacing w:before="0" w:beforeAutospacing="0" w:after="0" w:afterAutospacing="0" w:line="500" w:lineRule="exact"/>
        <w:ind w:firstLine="482" w:firstLineChars="200"/>
        <w:jc w:val="both"/>
        <w:rPr>
          <w:rFonts w:cs="宋体"/>
          <w:b/>
          <w:bCs/>
          <w:color w:val="auto"/>
          <w:highlight w:val="none"/>
        </w:rPr>
      </w:pPr>
      <w:r>
        <w:rPr>
          <w:rFonts w:hint="eastAsia" w:cs="宋体"/>
          <w:b/>
          <w:bCs/>
          <w:color w:val="auto"/>
          <w:highlight w:val="none"/>
        </w:rPr>
        <w:t>11）竞争性磋商响应文件含有采购人不能接受的附加条件的；</w:t>
      </w:r>
    </w:p>
    <w:p w14:paraId="31375C9C">
      <w:pPr>
        <w:spacing w:line="500" w:lineRule="exact"/>
        <w:ind w:firstLine="482" w:firstLineChars="200"/>
        <w:rPr>
          <w:rFonts w:hAnsi="宋体"/>
          <w:b/>
          <w:bCs/>
          <w:color w:val="auto"/>
          <w:szCs w:val="24"/>
          <w:highlight w:val="none"/>
        </w:rPr>
      </w:pPr>
      <w:r>
        <w:rPr>
          <w:rFonts w:hint="eastAsia" w:hAnsi="宋体"/>
          <w:b/>
          <w:bCs/>
          <w:color w:val="auto"/>
          <w:szCs w:val="24"/>
          <w:highlight w:val="none"/>
        </w:rPr>
        <w:t>12）</w:t>
      </w:r>
      <w:r>
        <w:rPr>
          <w:rFonts w:hint="eastAsia" w:cs="宋体"/>
          <w:b/>
          <w:bCs/>
          <w:color w:val="auto"/>
          <w:szCs w:val="24"/>
          <w:highlight w:val="none"/>
        </w:rPr>
        <w:t>竞争性磋商响应</w:t>
      </w:r>
      <w:r>
        <w:rPr>
          <w:rFonts w:hint="eastAsia" w:hAnsi="宋体" w:cs="宋体"/>
          <w:b/>
          <w:bCs/>
          <w:color w:val="auto"/>
          <w:szCs w:val="24"/>
          <w:highlight w:val="none"/>
        </w:rPr>
        <w:t>文件</w:t>
      </w:r>
      <w:r>
        <w:rPr>
          <w:rFonts w:hint="eastAsia" w:hAnsi="宋体"/>
          <w:b/>
          <w:bCs/>
          <w:color w:val="auto"/>
          <w:szCs w:val="24"/>
          <w:highlight w:val="none"/>
        </w:rPr>
        <w:t>不符合法律法规要求的；</w:t>
      </w:r>
    </w:p>
    <w:p w14:paraId="27BE033C">
      <w:pPr>
        <w:pStyle w:val="17"/>
        <w:spacing w:before="0" w:beforeAutospacing="0" w:after="0" w:afterAutospacing="0" w:line="500" w:lineRule="exact"/>
        <w:ind w:firstLine="482" w:firstLineChars="200"/>
        <w:jc w:val="both"/>
        <w:rPr>
          <w:rFonts w:cs="宋体"/>
          <w:color w:val="auto"/>
          <w:highlight w:val="none"/>
        </w:rPr>
      </w:pPr>
      <w:r>
        <w:rPr>
          <w:rFonts w:hint="eastAsia" w:cs="宋体"/>
          <w:b/>
          <w:bCs/>
          <w:color w:val="auto"/>
          <w:highlight w:val="none"/>
        </w:rPr>
        <w:t>13）供应商被列入失信被执行人、重大税收违法案件当事人名单、政府采购严重违法失信行为记录名单及其他不符合《中华人民共和国政府采购法》第二十二条规定条件。</w:t>
      </w:r>
    </w:p>
    <w:p w14:paraId="2E15C5D1">
      <w:pPr>
        <w:spacing w:line="360" w:lineRule="auto"/>
        <w:ind w:firstLine="480" w:firstLineChars="200"/>
        <w:rPr>
          <w:rFonts w:hAnsi="宋体"/>
          <w:color w:val="auto"/>
          <w:szCs w:val="24"/>
          <w:highlight w:val="none"/>
        </w:rPr>
      </w:pPr>
      <w:r>
        <w:rPr>
          <w:rFonts w:hint="eastAsia" w:hAnsi="宋体"/>
          <w:color w:val="auto"/>
          <w:szCs w:val="24"/>
          <w:highlight w:val="none"/>
        </w:rPr>
        <w:t>23.7竞争性磋商响应文件的详细评审</w:t>
      </w:r>
    </w:p>
    <w:p w14:paraId="0D1E5277">
      <w:pPr>
        <w:spacing w:line="360" w:lineRule="auto"/>
        <w:ind w:firstLine="480" w:firstLineChars="200"/>
        <w:rPr>
          <w:rFonts w:hAnsi="宋体"/>
          <w:color w:val="auto"/>
          <w:szCs w:val="24"/>
          <w:highlight w:val="none"/>
        </w:rPr>
      </w:pPr>
      <w:r>
        <w:rPr>
          <w:rFonts w:hint="eastAsia" w:hAnsi="宋体"/>
          <w:color w:val="auto"/>
          <w:szCs w:val="24"/>
          <w:highlight w:val="none"/>
        </w:rPr>
        <w:t>23.7.1磋商小组将按照本须知第23.6.5条规定，只对确定为实质性响应竞争性磋商文件要求的磋商响应文件进行详细评审。</w:t>
      </w:r>
    </w:p>
    <w:p w14:paraId="58874635">
      <w:pPr>
        <w:spacing w:line="360" w:lineRule="auto"/>
        <w:ind w:firstLine="480" w:firstLineChars="200"/>
        <w:rPr>
          <w:rFonts w:hAnsi="宋体"/>
          <w:color w:val="auto"/>
          <w:szCs w:val="24"/>
          <w:highlight w:val="none"/>
        </w:rPr>
      </w:pPr>
      <w:r>
        <w:rPr>
          <w:rFonts w:hint="eastAsia" w:hAnsi="宋体"/>
          <w:color w:val="auto"/>
          <w:szCs w:val="24"/>
          <w:highlight w:val="none"/>
        </w:rPr>
        <w:t>23.7.2详细评审按照“供应商须知前附表”的评审方法进行。</w:t>
      </w:r>
    </w:p>
    <w:p w14:paraId="7DC2B8D7">
      <w:pPr>
        <w:spacing w:line="360" w:lineRule="auto"/>
        <w:ind w:firstLine="480" w:firstLineChars="200"/>
        <w:rPr>
          <w:rFonts w:hAnsi="宋体"/>
          <w:color w:val="auto"/>
          <w:szCs w:val="24"/>
          <w:highlight w:val="none"/>
        </w:rPr>
      </w:pPr>
      <w:r>
        <w:rPr>
          <w:rFonts w:hint="eastAsia" w:hAnsi="宋体"/>
          <w:color w:val="auto"/>
          <w:szCs w:val="24"/>
          <w:highlight w:val="none"/>
        </w:rPr>
        <w:t>23.8成交候选人的确定</w:t>
      </w:r>
    </w:p>
    <w:p w14:paraId="703CD5C5">
      <w:pPr>
        <w:spacing w:line="360" w:lineRule="auto"/>
        <w:ind w:firstLine="480" w:firstLineChars="200"/>
        <w:rPr>
          <w:rFonts w:hAnsi="宋体"/>
          <w:color w:val="auto"/>
          <w:szCs w:val="24"/>
          <w:highlight w:val="none"/>
        </w:rPr>
      </w:pPr>
      <w:r>
        <w:rPr>
          <w:rFonts w:hint="eastAsia" w:hAnsi="宋体"/>
          <w:color w:val="auto"/>
          <w:szCs w:val="24"/>
          <w:highlight w:val="none"/>
        </w:rPr>
        <w:t>磋商小组完成评审后，向采购人提出书面评审，并推荐1-3名成交候选人，标明排列顺序。</w:t>
      </w:r>
    </w:p>
    <w:p w14:paraId="788F6500">
      <w:pPr>
        <w:spacing w:line="360" w:lineRule="auto"/>
        <w:rPr>
          <w:rFonts w:hAnsi="宋体"/>
          <w:b/>
          <w:color w:val="auto"/>
          <w:szCs w:val="24"/>
          <w:highlight w:val="none"/>
        </w:rPr>
      </w:pPr>
      <w:r>
        <w:rPr>
          <w:rFonts w:hAnsi="宋体"/>
          <w:b/>
          <w:color w:val="auto"/>
          <w:szCs w:val="24"/>
          <w:highlight w:val="none"/>
        </w:rPr>
        <w:t>2</w:t>
      </w:r>
      <w:r>
        <w:rPr>
          <w:rFonts w:hint="eastAsia" w:hAnsi="宋体"/>
          <w:b/>
          <w:color w:val="auto"/>
          <w:szCs w:val="24"/>
          <w:highlight w:val="none"/>
        </w:rPr>
        <w:t>4</w:t>
      </w:r>
      <w:r>
        <w:rPr>
          <w:rFonts w:hAnsi="宋体"/>
          <w:b/>
          <w:color w:val="auto"/>
          <w:szCs w:val="24"/>
          <w:highlight w:val="none"/>
        </w:rPr>
        <w:t>．</w:t>
      </w:r>
      <w:r>
        <w:rPr>
          <w:rFonts w:hint="eastAsia" w:hAnsi="宋体"/>
          <w:b/>
          <w:color w:val="auto"/>
          <w:szCs w:val="24"/>
          <w:highlight w:val="none"/>
        </w:rPr>
        <w:t>评审</w:t>
      </w:r>
      <w:r>
        <w:rPr>
          <w:rFonts w:hAnsi="宋体"/>
          <w:b/>
          <w:color w:val="auto"/>
          <w:szCs w:val="24"/>
          <w:highlight w:val="none"/>
        </w:rPr>
        <w:t>过程的保密</w:t>
      </w:r>
    </w:p>
    <w:p w14:paraId="2EB04BB1">
      <w:pPr>
        <w:spacing w:line="360" w:lineRule="auto"/>
        <w:ind w:firstLine="480" w:firstLineChars="200"/>
        <w:rPr>
          <w:rFonts w:hAnsi="宋体"/>
          <w:color w:val="auto"/>
          <w:szCs w:val="24"/>
          <w:highlight w:val="none"/>
        </w:rPr>
      </w:pPr>
      <w:r>
        <w:rPr>
          <w:rFonts w:hint="eastAsia" w:hAnsi="宋体"/>
          <w:color w:val="auto"/>
          <w:szCs w:val="24"/>
          <w:highlight w:val="none"/>
        </w:rPr>
        <w:t>磋商小组成员和与评审活动有关的工作人员不得泄露有关竞争性磋商响应文件的评审和比较、成交候选人的推荐以及与评审有关的其他情况。</w:t>
      </w:r>
    </w:p>
    <w:p w14:paraId="559BB1B1">
      <w:pPr>
        <w:jc w:val="left"/>
        <w:rPr>
          <w:rFonts w:hAnsi="宋体"/>
          <w:b/>
          <w:color w:val="auto"/>
          <w:szCs w:val="24"/>
          <w:highlight w:val="none"/>
        </w:rPr>
      </w:pPr>
      <w:r>
        <w:rPr>
          <w:rFonts w:hAnsi="宋体"/>
          <w:b/>
          <w:color w:val="auto"/>
          <w:szCs w:val="24"/>
          <w:highlight w:val="none"/>
        </w:rPr>
        <w:t>2</w:t>
      </w:r>
      <w:r>
        <w:rPr>
          <w:rFonts w:hint="eastAsia" w:hAnsi="宋体"/>
          <w:b/>
          <w:color w:val="auto"/>
          <w:szCs w:val="24"/>
          <w:highlight w:val="none"/>
        </w:rPr>
        <w:t>5</w:t>
      </w:r>
      <w:r>
        <w:rPr>
          <w:rFonts w:hAnsi="宋体"/>
          <w:b/>
          <w:color w:val="auto"/>
          <w:szCs w:val="24"/>
          <w:highlight w:val="none"/>
        </w:rPr>
        <w:t>．</w:t>
      </w:r>
      <w:r>
        <w:rPr>
          <w:rFonts w:hint="eastAsia" w:hAnsi="宋体"/>
          <w:b/>
          <w:color w:val="auto"/>
          <w:szCs w:val="24"/>
          <w:highlight w:val="none"/>
        </w:rPr>
        <w:t>评审</w:t>
      </w:r>
      <w:r>
        <w:rPr>
          <w:rFonts w:hAnsi="宋体"/>
          <w:b/>
          <w:color w:val="auto"/>
          <w:szCs w:val="24"/>
          <w:highlight w:val="none"/>
        </w:rPr>
        <w:t>方法</w:t>
      </w:r>
    </w:p>
    <w:p w14:paraId="1E1512D9">
      <w:pPr>
        <w:spacing w:line="360" w:lineRule="auto"/>
        <w:ind w:firstLine="480" w:firstLineChars="200"/>
        <w:rPr>
          <w:rFonts w:hAnsi="宋体"/>
          <w:color w:val="auto"/>
          <w:szCs w:val="24"/>
          <w:highlight w:val="none"/>
        </w:rPr>
      </w:pPr>
      <w:r>
        <w:rPr>
          <w:rFonts w:hint="eastAsia" w:hAnsi="宋体"/>
          <w:color w:val="auto"/>
          <w:szCs w:val="24"/>
          <w:highlight w:val="none"/>
        </w:rPr>
        <w:t>24.1按照</w:t>
      </w:r>
      <w:r>
        <w:rPr>
          <w:rFonts w:hAnsi="宋体"/>
          <w:color w:val="auto"/>
          <w:szCs w:val="24"/>
          <w:highlight w:val="none"/>
        </w:rPr>
        <w:t>《中华人民共和国政府采购法》</w:t>
      </w:r>
      <w:r>
        <w:rPr>
          <w:rFonts w:hint="eastAsia" w:hAnsi="宋体"/>
          <w:color w:val="auto"/>
          <w:szCs w:val="24"/>
          <w:highlight w:val="none"/>
        </w:rPr>
        <w:t>及实施条例和</w:t>
      </w:r>
      <w:r>
        <w:rPr>
          <w:rFonts w:hAnsi="宋体"/>
          <w:color w:val="auto"/>
          <w:szCs w:val="24"/>
          <w:highlight w:val="none"/>
        </w:rPr>
        <w:t>关于印发《政府采购竞争性磋商采购方式管理暂行办法》的通知</w:t>
      </w:r>
      <w:r>
        <w:rPr>
          <w:rFonts w:hint="eastAsia" w:hAnsi="宋体"/>
          <w:color w:val="auto"/>
          <w:szCs w:val="24"/>
          <w:highlight w:val="none"/>
        </w:rPr>
        <w:t>（</w:t>
      </w:r>
      <w:r>
        <w:rPr>
          <w:rFonts w:hAnsi="宋体"/>
          <w:color w:val="auto"/>
          <w:szCs w:val="24"/>
          <w:highlight w:val="none"/>
        </w:rPr>
        <w:t>财库【2014】214号</w:t>
      </w:r>
      <w:r>
        <w:rPr>
          <w:rFonts w:hint="eastAsia" w:hAnsi="宋体"/>
          <w:color w:val="auto"/>
          <w:szCs w:val="24"/>
          <w:highlight w:val="none"/>
        </w:rPr>
        <w:t>），本次评审采用综合评分法，即在全部满足竞争性磋商文件实质性要求前提下，磋商小组应当根据综合评分情况，按照评审得分高低顺序</w:t>
      </w:r>
      <w:r>
        <w:rPr>
          <w:rFonts w:hint="eastAsia" w:hAnsi="宋体"/>
          <w:color w:val="auto"/>
          <w:szCs w:val="24"/>
          <w:highlight w:val="none"/>
          <w:lang w:eastAsia="zh-CN"/>
        </w:rPr>
        <w:t>推荐</w:t>
      </w:r>
      <w:r>
        <w:rPr>
          <w:rFonts w:hint="eastAsia" w:hAnsi="宋体"/>
          <w:color w:val="auto"/>
          <w:szCs w:val="24"/>
          <w:highlight w:val="none"/>
        </w:rPr>
        <w:t>1-3名成交候选人。</w:t>
      </w:r>
    </w:p>
    <w:p w14:paraId="4EE7A141">
      <w:pPr>
        <w:keepNext/>
        <w:keepLines/>
        <w:spacing w:before="312" w:beforeLines="100" w:after="156" w:afterLines="50" w:line="360" w:lineRule="auto"/>
        <w:jc w:val="center"/>
        <w:rPr>
          <w:rFonts w:hAnsi="宋体"/>
          <w:b/>
          <w:color w:val="auto"/>
          <w:sz w:val="32"/>
          <w:szCs w:val="32"/>
          <w:highlight w:val="none"/>
        </w:rPr>
      </w:pPr>
      <w:r>
        <w:rPr>
          <w:rFonts w:hAnsi="宋体"/>
          <w:b/>
          <w:color w:val="auto"/>
          <w:sz w:val="32"/>
          <w:szCs w:val="32"/>
          <w:highlight w:val="none"/>
        </w:rPr>
        <w:t>六.</w:t>
      </w:r>
      <w:r>
        <w:rPr>
          <w:rFonts w:hint="eastAsia" w:hAnsi="宋体"/>
          <w:b/>
          <w:color w:val="auto"/>
          <w:sz w:val="32"/>
          <w:szCs w:val="32"/>
          <w:highlight w:val="none"/>
        </w:rPr>
        <w:t>成交</w:t>
      </w:r>
      <w:r>
        <w:rPr>
          <w:rFonts w:hAnsi="宋体"/>
          <w:b/>
          <w:color w:val="auto"/>
          <w:sz w:val="32"/>
          <w:szCs w:val="32"/>
          <w:highlight w:val="none"/>
        </w:rPr>
        <w:t>、通知与签约</w:t>
      </w:r>
    </w:p>
    <w:p w14:paraId="28E1B658">
      <w:pPr>
        <w:spacing w:line="360" w:lineRule="auto"/>
        <w:rPr>
          <w:rFonts w:hAnsi="宋体"/>
          <w:b/>
          <w:color w:val="auto"/>
          <w:szCs w:val="24"/>
          <w:highlight w:val="none"/>
        </w:rPr>
      </w:pPr>
      <w:r>
        <w:rPr>
          <w:rFonts w:hAnsi="宋体"/>
          <w:b/>
          <w:color w:val="auto"/>
          <w:szCs w:val="24"/>
          <w:highlight w:val="none"/>
        </w:rPr>
        <w:t>26．</w:t>
      </w:r>
      <w:r>
        <w:rPr>
          <w:rFonts w:hint="eastAsia" w:hAnsi="宋体"/>
          <w:b/>
          <w:color w:val="auto"/>
          <w:szCs w:val="24"/>
          <w:highlight w:val="none"/>
        </w:rPr>
        <w:t>成交</w:t>
      </w:r>
      <w:r>
        <w:rPr>
          <w:rFonts w:hAnsi="宋体"/>
          <w:b/>
          <w:color w:val="auto"/>
          <w:szCs w:val="24"/>
          <w:highlight w:val="none"/>
        </w:rPr>
        <w:t>程序</w:t>
      </w:r>
    </w:p>
    <w:p w14:paraId="35864871">
      <w:pPr>
        <w:spacing w:line="360" w:lineRule="auto"/>
        <w:ind w:firstLine="480" w:firstLineChars="200"/>
        <w:rPr>
          <w:rFonts w:hAnsi="宋体"/>
          <w:color w:val="auto"/>
          <w:szCs w:val="24"/>
          <w:highlight w:val="none"/>
        </w:rPr>
      </w:pPr>
      <w:r>
        <w:rPr>
          <w:rFonts w:hint="eastAsia" w:hAnsi="宋体"/>
          <w:color w:val="auto"/>
          <w:szCs w:val="24"/>
          <w:highlight w:val="none"/>
        </w:rPr>
        <w:t>26.1磋商小组根据评审方法的规定对供应商进行评审排序，推荐1-3名成交候选人，作为评审结果。评审结果由全体磋商小组成员签字确认。</w:t>
      </w:r>
    </w:p>
    <w:p w14:paraId="03F95DF1">
      <w:pPr>
        <w:spacing w:line="360" w:lineRule="auto"/>
        <w:ind w:firstLine="480" w:firstLineChars="200"/>
        <w:rPr>
          <w:rFonts w:hAnsi="宋体"/>
          <w:color w:val="auto"/>
          <w:szCs w:val="24"/>
          <w:highlight w:val="none"/>
        </w:rPr>
      </w:pPr>
      <w:r>
        <w:rPr>
          <w:rFonts w:hint="eastAsia" w:hAnsi="宋体"/>
          <w:color w:val="auto"/>
          <w:szCs w:val="24"/>
          <w:highlight w:val="none"/>
        </w:rPr>
        <w:t>26.2采购人根据磋商报告中推荐的成交候选人排列顺序，确定排名第一的为成交供应商。</w:t>
      </w:r>
    </w:p>
    <w:p w14:paraId="7F93044C">
      <w:pPr>
        <w:spacing w:line="360" w:lineRule="auto"/>
        <w:ind w:firstLine="480" w:firstLineChars="200"/>
        <w:rPr>
          <w:rFonts w:hAnsi="宋体"/>
          <w:color w:val="auto"/>
          <w:szCs w:val="24"/>
          <w:highlight w:val="none"/>
        </w:rPr>
      </w:pPr>
      <w:r>
        <w:rPr>
          <w:rFonts w:hint="eastAsia" w:hAnsi="宋体"/>
          <w:color w:val="auto"/>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2E1DD69A">
      <w:pPr>
        <w:spacing w:line="360" w:lineRule="auto"/>
        <w:ind w:firstLine="480" w:firstLineChars="200"/>
        <w:rPr>
          <w:rFonts w:hAnsi="宋体"/>
          <w:color w:val="auto"/>
          <w:szCs w:val="24"/>
          <w:highlight w:val="none"/>
        </w:rPr>
      </w:pPr>
      <w:r>
        <w:rPr>
          <w:rFonts w:hint="eastAsia" w:hAnsi="宋体"/>
          <w:color w:val="auto"/>
          <w:szCs w:val="24"/>
          <w:highlight w:val="none"/>
        </w:rPr>
        <w:t>26.4采购人也可以授权磋商小组评审后直接确定成交供应商。</w:t>
      </w:r>
    </w:p>
    <w:p w14:paraId="2EE4CE24">
      <w:pPr>
        <w:spacing w:line="360" w:lineRule="auto"/>
        <w:ind w:firstLine="480" w:firstLineChars="200"/>
        <w:rPr>
          <w:rFonts w:hAnsi="宋体"/>
          <w:color w:val="auto"/>
          <w:szCs w:val="24"/>
          <w:highlight w:val="none"/>
        </w:rPr>
      </w:pPr>
      <w:r>
        <w:rPr>
          <w:rFonts w:hint="eastAsia" w:hAnsi="宋体"/>
          <w:color w:val="auto"/>
          <w:szCs w:val="24"/>
          <w:highlight w:val="none"/>
        </w:rPr>
        <w:t>26.5成交供应商确定之后，成交结果将在财政部门指定的政府采购信息发布媒体上公告。</w:t>
      </w:r>
    </w:p>
    <w:p w14:paraId="3D39909E">
      <w:pPr>
        <w:spacing w:line="500" w:lineRule="exact"/>
        <w:ind w:firstLine="480" w:firstLineChars="200"/>
        <w:rPr>
          <w:rFonts w:hAnsi="宋体"/>
          <w:color w:val="auto"/>
          <w:szCs w:val="24"/>
          <w:highlight w:val="none"/>
        </w:rPr>
      </w:pPr>
      <w:r>
        <w:rPr>
          <w:rFonts w:hint="eastAsia" w:hAnsi="宋体"/>
          <w:color w:val="auto"/>
          <w:szCs w:val="24"/>
          <w:highlight w:val="none"/>
        </w:rPr>
        <w:t>26.6供应商或者其他利害关系人对评审结果有异议的，应当在法律规定的时间内提出。</w:t>
      </w:r>
    </w:p>
    <w:p w14:paraId="1C3786DC">
      <w:pPr>
        <w:spacing w:line="360" w:lineRule="auto"/>
        <w:rPr>
          <w:rFonts w:hAnsi="宋体"/>
          <w:b/>
          <w:color w:val="auto"/>
          <w:szCs w:val="24"/>
          <w:highlight w:val="none"/>
        </w:rPr>
      </w:pPr>
      <w:r>
        <w:rPr>
          <w:rFonts w:hAnsi="宋体"/>
          <w:b/>
          <w:color w:val="auto"/>
          <w:szCs w:val="24"/>
          <w:highlight w:val="none"/>
        </w:rPr>
        <w:t>27．</w:t>
      </w:r>
      <w:r>
        <w:rPr>
          <w:rFonts w:hint="eastAsia" w:hAnsi="宋体"/>
          <w:b/>
          <w:color w:val="auto"/>
          <w:szCs w:val="24"/>
          <w:highlight w:val="none"/>
        </w:rPr>
        <w:t>成交</w:t>
      </w:r>
      <w:r>
        <w:rPr>
          <w:rFonts w:hAnsi="宋体"/>
          <w:b/>
          <w:color w:val="auto"/>
          <w:szCs w:val="24"/>
          <w:highlight w:val="none"/>
        </w:rPr>
        <w:t>通知</w:t>
      </w:r>
    </w:p>
    <w:p w14:paraId="7342BA5B">
      <w:pPr>
        <w:spacing w:line="360" w:lineRule="auto"/>
        <w:ind w:firstLine="480" w:firstLineChars="200"/>
        <w:rPr>
          <w:rFonts w:hAnsi="宋体"/>
          <w:color w:val="auto"/>
          <w:szCs w:val="24"/>
          <w:highlight w:val="none"/>
        </w:rPr>
      </w:pPr>
      <w:r>
        <w:rPr>
          <w:rFonts w:hint="eastAsia" w:hAnsi="宋体"/>
          <w:color w:val="auto"/>
          <w:szCs w:val="24"/>
          <w:highlight w:val="none"/>
        </w:rPr>
        <w:t>27.1采购代理机构向成交供应商发出《成交通知书》。</w:t>
      </w:r>
      <w:r>
        <w:rPr>
          <w:rFonts w:hint="eastAsia" w:hAnsi="宋体"/>
          <w:b/>
          <w:bCs/>
          <w:color w:val="auto"/>
          <w:szCs w:val="24"/>
          <w:highlight w:val="none"/>
        </w:rPr>
        <w:t>成交供应商领取成交通知书时须携带法定代表人授权书及加盖单位公章的被授权人身份证复印件。</w:t>
      </w:r>
    </w:p>
    <w:p w14:paraId="045ECFD2">
      <w:pPr>
        <w:spacing w:line="360" w:lineRule="auto"/>
        <w:ind w:firstLine="480" w:firstLineChars="200"/>
        <w:rPr>
          <w:rFonts w:hAnsi="宋体"/>
          <w:color w:val="auto"/>
          <w:szCs w:val="24"/>
          <w:highlight w:val="none"/>
        </w:rPr>
      </w:pPr>
      <w:r>
        <w:rPr>
          <w:rFonts w:hint="eastAsia" w:hAnsi="宋体"/>
          <w:color w:val="auto"/>
          <w:szCs w:val="24"/>
          <w:highlight w:val="none"/>
        </w:rPr>
        <w:t>27.2成交通知书对采购人和成交供应商具有同等法律效力。成交通知书发出之后，采购人改变成交结果，或者成交供应商放弃成交，应当承担相应的法律责任。</w:t>
      </w:r>
    </w:p>
    <w:p w14:paraId="0F327EAB">
      <w:pPr>
        <w:spacing w:line="360" w:lineRule="auto"/>
        <w:rPr>
          <w:rFonts w:hAnsi="宋体"/>
          <w:b/>
          <w:color w:val="auto"/>
          <w:szCs w:val="24"/>
          <w:highlight w:val="none"/>
        </w:rPr>
      </w:pPr>
      <w:r>
        <w:rPr>
          <w:rFonts w:hAnsi="宋体"/>
          <w:b/>
          <w:color w:val="auto"/>
          <w:szCs w:val="24"/>
          <w:highlight w:val="none"/>
        </w:rPr>
        <w:t xml:space="preserve">28. </w:t>
      </w:r>
      <w:r>
        <w:rPr>
          <w:rFonts w:hint="eastAsia" w:hAnsi="宋体"/>
          <w:b/>
          <w:color w:val="auto"/>
          <w:szCs w:val="24"/>
          <w:highlight w:val="none"/>
        </w:rPr>
        <w:t>采购</w:t>
      </w:r>
      <w:r>
        <w:rPr>
          <w:rFonts w:hAnsi="宋体"/>
          <w:b/>
          <w:color w:val="auto"/>
          <w:szCs w:val="24"/>
          <w:highlight w:val="none"/>
        </w:rPr>
        <w:t>合同的签订</w:t>
      </w:r>
    </w:p>
    <w:p w14:paraId="7A23D4DD">
      <w:pPr>
        <w:spacing w:line="360" w:lineRule="auto"/>
        <w:ind w:firstLine="480" w:firstLineChars="200"/>
        <w:rPr>
          <w:rFonts w:hAnsi="宋体"/>
          <w:color w:val="auto"/>
          <w:szCs w:val="24"/>
          <w:highlight w:val="none"/>
        </w:rPr>
      </w:pPr>
      <w:r>
        <w:rPr>
          <w:rFonts w:hint="eastAsia" w:hAnsi="宋体"/>
          <w:color w:val="auto"/>
          <w:szCs w:val="24"/>
          <w:highlight w:val="none"/>
        </w:rPr>
        <w:t>28.1采购人应当自成交通知书发出之日起</w:t>
      </w:r>
      <w:r>
        <w:rPr>
          <w:rFonts w:hint="eastAsia" w:hAnsi="宋体"/>
          <w:color w:val="auto"/>
          <w:szCs w:val="24"/>
          <w:highlight w:val="none"/>
          <w:lang w:val="en-US" w:eastAsia="zh-CN"/>
        </w:rPr>
        <w:t>30日</w:t>
      </w:r>
      <w:r>
        <w:rPr>
          <w:rFonts w:hint="eastAsia" w:hAnsi="宋体"/>
          <w:color w:val="auto"/>
          <w:szCs w:val="24"/>
          <w:highlight w:val="none"/>
        </w:rPr>
        <w:t>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2A6B4597">
      <w:pPr>
        <w:spacing w:line="360" w:lineRule="auto"/>
        <w:ind w:firstLine="480" w:firstLineChars="200"/>
        <w:rPr>
          <w:rFonts w:hAnsi="宋体"/>
          <w:color w:val="auto"/>
          <w:szCs w:val="24"/>
          <w:highlight w:val="none"/>
        </w:rPr>
      </w:pPr>
      <w:r>
        <w:rPr>
          <w:rFonts w:hint="eastAsia" w:hAnsi="宋体"/>
          <w:color w:val="auto"/>
          <w:szCs w:val="24"/>
          <w:highlight w:val="none"/>
        </w:rPr>
        <w:t>28.2采购人自采购合同签订之日起七个工作日内，将采购合同副本报同级人民政府财政部门备案。</w:t>
      </w:r>
    </w:p>
    <w:p w14:paraId="28D7D238">
      <w:pPr>
        <w:spacing w:line="360" w:lineRule="auto"/>
        <w:rPr>
          <w:rFonts w:hAnsi="宋体"/>
          <w:b/>
          <w:color w:val="auto"/>
          <w:szCs w:val="24"/>
          <w:highlight w:val="none"/>
        </w:rPr>
      </w:pPr>
      <w:r>
        <w:rPr>
          <w:rFonts w:hAnsi="宋体"/>
          <w:b/>
          <w:color w:val="auto"/>
          <w:szCs w:val="24"/>
          <w:highlight w:val="none"/>
        </w:rPr>
        <w:t>29．</w:t>
      </w:r>
      <w:r>
        <w:rPr>
          <w:rFonts w:hint="eastAsia" w:hAnsi="宋体"/>
          <w:b/>
          <w:color w:val="auto"/>
          <w:szCs w:val="24"/>
          <w:highlight w:val="none"/>
        </w:rPr>
        <w:t>成交</w:t>
      </w:r>
      <w:r>
        <w:rPr>
          <w:rFonts w:hAnsi="宋体"/>
          <w:b/>
          <w:color w:val="auto"/>
          <w:szCs w:val="24"/>
          <w:highlight w:val="none"/>
        </w:rPr>
        <w:t>代理服务费</w:t>
      </w:r>
      <w:r>
        <w:rPr>
          <w:rFonts w:hint="eastAsia" w:hAnsi="宋体"/>
          <w:color w:val="auto"/>
          <w:szCs w:val="24"/>
          <w:highlight w:val="none"/>
        </w:rPr>
        <w:t xml:space="preserve"> </w:t>
      </w:r>
    </w:p>
    <w:p w14:paraId="268DF355">
      <w:pPr>
        <w:spacing w:line="360" w:lineRule="auto"/>
        <w:ind w:firstLine="480" w:firstLineChars="200"/>
        <w:rPr>
          <w:rFonts w:hAnsi="宋体"/>
          <w:color w:val="auto"/>
          <w:szCs w:val="24"/>
          <w:highlight w:val="none"/>
        </w:rPr>
      </w:pPr>
      <w:r>
        <w:rPr>
          <w:rFonts w:hint="eastAsia" w:hAnsi="宋体"/>
          <w:color w:val="auto"/>
          <w:szCs w:val="24"/>
          <w:highlight w:val="none"/>
        </w:rPr>
        <w:t>29.1按国家计委颁发的《招标代理服务收费管理暂行办法》（计价格[2002]1980号）和国家发展改革委员会办公厅颁发的《关于招标代理服务收费有关问题的通知》（发改办价格[2003]857号）的有关规定执行。</w:t>
      </w:r>
    </w:p>
    <w:p w14:paraId="1B133E33">
      <w:pPr>
        <w:spacing w:line="360" w:lineRule="auto"/>
        <w:ind w:firstLine="480" w:firstLineChars="200"/>
        <w:rPr>
          <w:rFonts w:hAnsi="宋体"/>
          <w:color w:val="auto"/>
          <w:szCs w:val="24"/>
          <w:highlight w:val="none"/>
        </w:rPr>
      </w:pPr>
      <w:r>
        <w:rPr>
          <w:rFonts w:hint="eastAsia" w:hAnsi="宋体"/>
          <w:color w:val="auto"/>
          <w:szCs w:val="24"/>
          <w:highlight w:val="none"/>
        </w:rPr>
        <w:t>29.2成交单位在领取成交通知书前，须向采购代理机构一次性支付代理服务费。</w:t>
      </w:r>
    </w:p>
    <w:p w14:paraId="4D8666A2">
      <w:pPr>
        <w:spacing w:line="360" w:lineRule="auto"/>
        <w:ind w:firstLine="482" w:firstLineChars="200"/>
        <w:rPr>
          <w:b/>
          <w:bCs/>
          <w:color w:val="auto"/>
          <w:szCs w:val="24"/>
          <w:highlight w:val="none"/>
        </w:rPr>
      </w:pPr>
      <w:r>
        <w:rPr>
          <w:rFonts w:hint="eastAsia"/>
          <w:b/>
          <w:bCs/>
          <w:color w:val="auto"/>
          <w:szCs w:val="24"/>
          <w:highlight w:val="none"/>
        </w:rPr>
        <w:t>代理服务费转账账户：</w:t>
      </w:r>
    </w:p>
    <w:p w14:paraId="1980AD66">
      <w:pPr>
        <w:numPr>
          <w:ilvl w:val="0"/>
          <w:numId w:val="2"/>
        </w:numPr>
        <w:spacing w:line="360" w:lineRule="auto"/>
        <w:ind w:firstLine="482" w:firstLineChars="200"/>
        <w:rPr>
          <w:rFonts w:hint="eastAsia"/>
          <w:b/>
          <w:bCs/>
          <w:color w:val="auto"/>
          <w:szCs w:val="24"/>
          <w:highlight w:val="none"/>
        </w:rPr>
      </w:pPr>
      <w:r>
        <w:rPr>
          <w:rFonts w:hint="eastAsia"/>
          <w:b/>
          <w:bCs/>
          <w:color w:val="auto"/>
          <w:szCs w:val="24"/>
          <w:highlight w:val="none"/>
        </w:rPr>
        <w:t>采购代理机构开户名称: 西安天合建设项目管理有限公司商南分公司</w:t>
      </w:r>
    </w:p>
    <w:p w14:paraId="2B24D608">
      <w:pPr>
        <w:numPr>
          <w:ilvl w:val="0"/>
          <w:numId w:val="2"/>
        </w:numPr>
        <w:spacing w:line="360" w:lineRule="auto"/>
        <w:ind w:firstLine="482" w:firstLineChars="200"/>
        <w:rPr>
          <w:b/>
          <w:bCs/>
          <w:color w:val="auto"/>
          <w:szCs w:val="24"/>
          <w:highlight w:val="none"/>
        </w:rPr>
      </w:pPr>
      <w:r>
        <w:rPr>
          <w:rFonts w:hint="eastAsia"/>
          <w:b/>
          <w:bCs/>
          <w:color w:val="auto"/>
          <w:szCs w:val="24"/>
          <w:highlight w:val="none"/>
        </w:rPr>
        <w:t>开户行名称：</w:t>
      </w:r>
      <w:r>
        <w:rPr>
          <w:rFonts w:hint="eastAsia" w:ascii="宋体" w:hAnsi="宋体" w:cs="宋体"/>
          <w:b/>
          <w:sz w:val="24"/>
          <w:szCs w:val="24"/>
        </w:rPr>
        <w:t>西安天合建设项目管理有限公司商南分公司</w:t>
      </w:r>
    </w:p>
    <w:p w14:paraId="7784A19E">
      <w:pPr>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3、账号：</w:t>
      </w:r>
      <w:r>
        <w:rPr>
          <w:rFonts w:hint="eastAsia" w:ascii="宋体" w:hAnsi="宋体" w:cs="宋体"/>
          <w:b/>
          <w:sz w:val="24"/>
          <w:szCs w:val="24"/>
        </w:rPr>
        <w:t>26825201040005909</w:t>
      </w:r>
      <w:r>
        <w:rPr>
          <w:rFonts w:hint="eastAsia" w:ascii="宋体" w:hAnsi="宋体" w:cs="宋体"/>
          <w:b/>
          <w:bCs/>
          <w:color w:val="auto"/>
          <w:sz w:val="24"/>
          <w:szCs w:val="24"/>
          <w:highlight w:val="none"/>
        </w:rPr>
        <w:t>。</w:t>
      </w:r>
    </w:p>
    <w:p w14:paraId="29BE5490">
      <w:pPr>
        <w:numPr>
          <w:ilvl w:val="0"/>
          <w:numId w:val="3"/>
        </w:numPr>
        <w:spacing w:line="600" w:lineRule="exact"/>
        <w:rPr>
          <w:rFonts w:hAnsi="宋体" w:cs="宋体"/>
          <w:b/>
          <w:bCs/>
          <w:color w:val="auto"/>
          <w:szCs w:val="24"/>
          <w:highlight w:val="none"/>
        </w:rPr>
      </w:pPr>
      <w:r>
        <w:rPr>
          <w:rFonts w:hint="eastAsia" w:hAnsi="宋体" w:cs="宋体"/>
          <w:b/>
          <w:bCs/>
          <w:color w:val="auto"/>
          <w:szCs w:val="24"/>
          <w:highlight w:val="none"/>
        </w:rPr>
        <w:t>质疑</w:t>
      </w:r>
    </w:p>
    <w:p w14:paraId="2EA1361A">
      <w:pPr>
        <w:spacing w:line="500" w:lineRule="exact"/>
        <w:ind w:right="12" w:firstLine="480"/>
        <w:rPr>
          <w:rFonts w:hAnsi="宋体" w:cs="宋体"/>
          <w:color w:val="auto"/>
          <w:szCs w:val="24"/>
          <w:highlight w:val="none"/>
        </w:rPr>
      </w:pPr>
      <w:r>
        <w:rPr>
          <w:rFonts w:hint="eastAsia" w:hAnsi="宋体" w:cs="宋体"/>
          <w:color w:val="auto"/>
          <w:szCs w:val="24"/>
          <w:highlight w:val="none"/>
        </w:rPr>
        <w:t>30.1供应商认为磋商文件、采购过程、成交结果使自己的权益受到损害的，可以在知道或者应知其权益受到损害之日起7个工作日内，以书面形式向采购人、采购代理机构提出质疑。</w:t>
      </w:r>
    </w:p>
    <w:p w14:paraId="4818624A">
      <w:pPr>
        <w:spacing w:line="500" w:lineRule="exact"/>
        <w:ind w:right="12" w:firstLine="480"/>
        <w:rPr>
          <w:rStyle w:val="22"/>
          <w:rFonts w:hAnsi="宋体" w:cs="宋体"/>
          <w:bCs w:val="0"/>
          <w:color w:val="auto"/>
          <w:szCs w:val="24"/>
          <w:highlight w:val="none"/>
          <w:shd w:val="clear" w:color="auto" w:fill="FFFFFF"/>
        </w:rPr>
      </w:pPr>
      <w:r>
        <w:rPr>
          <w:rFonts w:hint="eastAsia" w:hAnsi="宋体" w:cs="宋体"/>
          <w:color w:val="auto"/>
          <w:szCs w:val="24"/>
          <w:highlight w:val="none"/>
        </w:rPr>
        <w:t>30.2供应商必须在法定质疑期内一次性提出针对同一采购程序环节的质疑。</w:t>
      </w:r>
    </w:p>
    <w:p w14:paraId="0BC2C60E">
      <w:pPr>
        <w:spacing w:line="500" w:lineRule="exact"/>
        <w:ind w:left="3" w:firstLine="518" w:firstLineChars="216"/>
        <w:rPr>
          <w:rStyle w:val="22"/>
          <w:rFonts w:hAnsi="宋体" w:cs="宋体"/>
          <w:b w:val="0"/>
          <w:color w:val="auto"/>
          <w:szCs w:val="24"/>
          <w:highlight w:val="none"/>
          <w:shd w:val="clear" w:color="auto" w:fill="FFFFFF"/>
        </w:rPr>
      </w:pPr>
      <w:r>
        <w:rPr>
          <w:rStyle w:val="22"/>
          <w:rFonts w:hint="eastAsia" w:hAnsi="宋体" w:cs="宋体"/>
          <w:b w:val="0"/>
          <w:color w:val="auto"/>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77695E0">
      <w:pPr>
        <w:spacing w:line="500" w:lineRule="exact"/>
        <w:ind w:left="3" w:firstLine="518" w:firstLineChars="216"/>
        <w:rPr>
          <w:rStyle w:val="22"/>
          <w:rFonts w:hAnsi="宋体" w:cs="宋体"/>
          <w:b w:val="0"/>
          <w:color w:val="auto"/>
          <w:szCs w:val="24"/>
          <w:highlight w:val="none"/>
          <w:shd w:val="clear" w:color="auto" w:fill="FFFFFF"/>
        </w:rPr>
      </w:pPr>
      <w:r>
        <w:rPr>
          <w:rStyle w:val="22"/>
          <w:rFonts w:hint="eastAsia" w:hAnsi="宋体" w:cs="宋体"/>
          <w:b w:val="0"/>
          <w:color w:val="auto"/>
          <w:szCs w:val="24"/>
          <w:highlight w:val="none"/>
          <w:shd w:val="clear" w:color="auto" w:fill="FFFFFF"/>
        </w:rPr>
        <w:t>30.4以联合体形式参加政府采购活动的，其质疑应当由组成联合体的所有供应商共同提出。</w:t>
      </w:r>
    </w:p>
    <w:p w14:paraId="4B3E9872">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30.5供应商提出质疑应当提交质疑函和必要的证明材料。质疑函应当包括下列内容：</w:t>
      </w:r>
    </w:p>
    <w:p w14:paraId="35F2C6C0">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30.5.1供应商的姓名或者名称、地址、邮编、联系人及联系电话；</w:t>
      </w:r>
    </w:p>
    <w:p w14:paraId="380F5300">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30.5.2质疑项目的名称、编号；</w:t>
      </w:r>
    </w:p>
    <w:p w14:paraId="5473CD8B">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30.5.3具体、明确的质疑事项和与质疑事项相关的请求；</w:t>
      </w:r>
    </w:p>
    <w:p w14:paraId="50A69C84">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30.5.4事实依据；</w:t>
      </w:r>
    </w:p>
    <w:p w14:paraId="1643BBCD">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30.5.5必要的法律依据；</w:t>
      </w:r>
    </w:p>
    <w:p w14:paraId="2ABA81FD">
      <w:pPr>
        <w:spacing w:line="500" w:lineRule="exact"/>
        <w:ind w:right="12" w:firstLine="480" w:firstLineChars="200"/>
        <w:rPr>
          <w:rStyle w:val="22"/>
          <w:rFonts w:hAnsi="宋体" w:cs="宋体"/>
          <w:b w:val="0"/>
          <w:color w:val="auto"/>
          <w:szCs w:val="24"/>
          <w:highlight w:val="none"/>
          <w:shd w:val="clear" w:color="auto" w:fill="FFFFFF"/>
        </w:rPr>
      </w:pPr>
      <w:r>
        <w:rPr>
          <w:rFonts w:hint="eastAsia" w:hAnsi="宋体" w:cs="宋体"/>
          <w:color w:val="auto"/>
          <w:szCs w:val="24"/>
          <w:highlight w:val="none"/>
        </w:rPr>
        <w:t>30.5.6提出质疑的日期。</w:t>
      </w:r>
    </w:p>
    <w:p w14:paraId="7E0A6372">
      <w:pPr>
        <w:widowControl/>
        <w:spacing w:line="360" w:lineRule="auto"/>
        <w:ind w:firstLine="480" w:firstLineChars="200"/>
        <w:rPr>
          <w:rFonts w:hAnsi="宋体"/>
          <w:color w:val="auto"/>
          <w:highlight w:val="none"/>
        </w:rPr>
      </w:pPr>
      <w:r>
        <w:rPr>
          <w:rFonts w:hint="eastAsia" w:hAnsi="宋体"/>
          <w:color w:val="auto"/>
          <w:highlight w:val="none"/>
        </w:rPr>
        <w:t>30.6有下列情形之一的，属于无效质疑，采购代理机构和采购人不予受理：</w:t>
      </w:r>
    </w:p>
    <w:p w14:paraId="5E8EF56B">
      <w:pPr>
        <w:widowControl/>
        <w:spacing w:line="360" w:lineRule="auto"/>
        <w:ind w:firstLine="480" w:firstLineChars="200"/>
        <w:rPr>
          <w:rFonts w:hAnsi="宋体"/>
          <w:color w:val="auto"/>
          <w:highlight w:val="none"/>
        </w:rPr>
      </w:pPr>
      <w:r>
        <w:rPr>
          <w:rFonts w:hint="eastAsia" w:hAnsi="宋体"/>
          <w:color w:val="auto"/>
          <w:highlight w:val="none"/>
        </w:rPr>
        <w:t>30.6.1质疑供应商不是参与本次政府采购项目的供应商；</w:t>
      </w:r>
    </w:p>
    <w:p w14:paraId="530A280E">
      <w:pPr>
        <w:widowControl/>
        <w:spacing w:line="360" w:lineRule="auto"/>
        <w:ind w:firstLine="480" w:firstLineChars="200"/>
        <w:rPr>
          <w:rFonts w:hAnsi="宋体"/>
          <w:color w:val="auto"/>
          <w:highlight w:val="none"/>
        </w:rPr>
      </w:pPr>
      <w:r>
        <w:rPr>
          <w:rFonts w:hint="eastAsia" w:hAnsi="宋体"/>
          <w:color w:val="auto"/>
          <w:highlight w:val="none"/>
        </w:rPr>
        <w:t>30.6.2质疑供应商与质疑事项不存在利害关系的；</w:t>
      </w:r>
    </w:p>
    <w:p w14:paraId="6F21DB0E">
      <w:pPr>
        <w:widowControl/>
        <w:spacing w:line="360" w:lineRule="auto"/>
        <w:ind w:firstLine="480" w:firstLineChars="200"/>
        <w:rPr>
          <w:rFonts w:hAnsi="宋体"/>
          <w:color w:val="auto"/>
          <w:highlight w:val="none"/>
        </w:rPr>
      </w:pPr>
      <w:r>
        <w:rPr>
          <w:rFonts w:hint="eastAsia" w:hAnsi="宋体"/>
          <w:color w:val="auto"/>
          <w:highlight w:val="none"/>
        </w:rPr>
        <w:t>30.6.3未在法定期限内提出质疑的；</w:t>
      </w:r>
    </w:p>
    <w:p w14:paraId="0639FEEB">
      <w:pPr>
        <w:widowControl/>
        <w:spacing w:line="360" w:lineRule="auto"/>
        <w:ind w:firstLine="480" w:firstLineChars="200"/>
        <w:rPr>
          <w:rFonts w:hAnsi="宋体"/>
          <w:color w:val="auto"/>
          <w:highlight w:val="none"/>
        </w:rPr>
      </w:pPr>
      <w:r>
        <w:rPr>
          <w:rFonts w:hint="eastAsia" w:hAnsi="宋体"/>
          <w:color w:val="auto"/>
          <w:highlight w:val="none"/>
        </w:rPr>
        <w:t>30.6.4质疑未以书面形式提出，或质疑函主要内容构成不完整的；</w:t>
      </w:r>
    </w:p>
    <w:p w14:paraId="3730A15A">
      <w:pPr>
        <w:widowControl/>
        <w:spacing w:line="360" w:lineRule="auto"/>
        <w:ind w:firstLine="480" w:firstLineChars="200"/>
        <w:rPr>
          <w:rFonts w:hAnsi="宋体"/>
          <w:color w:val="auto"/>
          <w:highlight w:val="none"/>
        </w:rPr>
      </w:pPr>
      <w:r>
        <w:rPr>
          <w:rFonts w:hint="eastAsia" w:hAnsi="宋体"/>
          <w:color w:val="auto"/>
          <w:highlight w:val="none"/>
        </w:rPr>
        <w:t>30.6.5应当提交授权书而未提交的；</w:t>
      </w:r>
    </w:p>
    <w:p w14:paraId="6D161FA8">
      <w:pPr>
        <w:widowControl/>
        <w:spacing w:line="360" w:lineRule="auto"/>
        <w:ind w:firstLine="480" w:firstLineChars="200"/>
        <w:rPr>
          <w:rFonts w:hAnsi="宋体"/>
          <w:color w:val="auto"/>
          <w:highlight w:val="none"/>
        </w:rPr>
      </w:pPr>
      <w:r>
        <w:rPr>
          <w:rFonts w:hint="eastAsia" w:hAnsi="宋体"/>
          <w:color w:val="auto"/>
          <w:highlight w:val="none"/>
        </w:rPr>
        <w:t>30.6.6以非法手段取得证据、材料的；</w:t>
      </w:r>
    </w:p>
    <w:p w14:paraId="5F54DBCF">
      <w:pPr>
        <w:widowControl/>
        <w:spacing w:line="360" w:lineRule="auto"/>
        <w:ind w:firstLine="480" w:firstLineChars="200"/>
        <w:rPr>
          <w:rFonts w:hAnsi="宋体"/>
          <w:color w:val="auto"/>
          <w:highlight w:val="none"/>
        </w:rPr>
      </w:pPr>
      <w:r>
        <w:rPr>
          <w:rFonts w:hint="eastAsia" w:hAnsi="宋体"/>
          <w:color w:val="auto"/>
          <w:highlight w:val="none"/>
        </w:rPr>
        <w:t>30.6.7质疑答复后，同一质疑人就同一事项或同一采购程序环节再次提出质疑的；</w:t>
      </w:r>
    </w:p>
    <w:p w14:paraId="5BE67EDC">
      <w:pPr>
        <w:widowControl/>
        <w:spacing w:line="360" w:lineRule="auto"/>
        <w:ind w:firstLine="480" w:firstLineChars="200"/>
        <w:rPr>
          <w:rStyle w:val="22"/>
          <w:rFonts w:hAnsi="宋体" w:cs="宋体"/>
          <w:b w:val="0"/>
          <w:color w:val="auto"/>
          <w:szCs w:val="24"/>
          <w:highlight w:val="none"/>
          <w:shd w:val="clear" w:color="auto" w:fill="FFFFFF"/>
        </w:rPr>
      </w:pPr>
      <w:r>
        <w:rPr>
          <w:rFonts w:hint="eastAsia" w:hAnsi="宋体"/>
          <w:color w:val="auto"/>
          <w:highlight w:val="none"/>
        </w:rPr>
        <w:t>30.6.8不符合法律、法规、规章和政府采购监管机构规定的其他条件的。</w:t>
      </w:r>
    </w:p>
    <w:p w14:paraId="0755300F">
      <w:pPr>
        <w:spacing w:line="500" w:lineRule="exact"/>
        <w:ind w:right="12"/>
        <w:rPr>
          <w:rFonts w:hAnsi="宋体" w:cs="宋体"/>
          <w:color w:val="auto"/>
          <w:szCs w:val="24"/>
          <w:highlight w:val="none"/>
        </w:rPr>
      </w:pPr>
      <w:r>
        <w:rPr>
          <w:rFonts w:hint="eastAsia" w:hAnsi="宋体" w:cs="宋体"/>
          <w:color w:val="auto"/>
          <w:szCs w:val="24"/>
          <w:highlight w:val="none"/>
        </w:rPr>
        <w:t xml:space="preserve">    30.7质疑答复</w:t>
      </w:r>
    </w:p>
    <w:p w14:paraId="2744CEF9">
      <w:pPr>
        <w:pStyle w:val="25"/>
        <w:spacing w:line="500" w:lineRule="exact"/>
        <w:ind w:firstLine="480"/>
        <w:jc w:val="left"/>
        <w:rPr>
          <w:color w:val="auto"/>
          <w:szCs w:val="24"/>
          <w:highlight w:val="none"/>
        </w:rPr>
      </w:pPr>
      <w:r>
        <w:rPr>
          <w:rFonts w:hint="eastAsia" w:hAnsi="宋体" w:cs="宋体"/>
          <w:color w:val="auto"/>
          <w:szCs w:val="24"/>
          <w:highlight w:val="none"/>
        </w:rPr>
        <w:t>30.7.1采购人或采购代理机构在收到质疑函后7个工作日内作出答复，并以书面形式通知质疑供应商和其他有关供应商。</w:t>
      </w:r>
    </w:p>
    <w:p w14:paraId="000D8E5B">
      <w:pPr>
        <w:spacing w:line="360" w:lineRule="auto"/>
        <w:rPr>
          <w:rFonts w:hAnsi="宋体"/>
          <w:b/>
          <w:color w:val="auto"/>
          <w:szCs w:val="24"/>
          <w:highlight w:val="none"/>
        </w:rPr>
      </w:pPr>
      <w:r>
        <w:rPr>
          <w:rFonts w:hint="eastAsia" w:hAnsi="宋体"/>
          <w:b/>
          <w:color w:val="auto"/>
          <w:szCs w:val="24"/>
          <w:highlight w:val="none"/>
        </w:rPr>
        <w:t>31</w:t>
      </w:r>
      <w:r>
        <w:rPr>
          <w:rFonts w:hAnsi="宋体"/>
          <w:b/>
          <w:color w:val="auto"/>
          <w:szCs w:val="24"/>
          <w:highlight w:val="none"/>
        </w:rPr>
        <w:t>.其他</w:t>
      </w:r>
    </w:p>
    <w:p w14:paraId="3D6CA3BB">
      <w:pPr>
        <w:spacing w:line="360" w:lineRule="auto"/>
        <w:ind w:firstLine="480" w:firstLineChars="200"/>
        <w:rPr>
          <w:rFonts w:hAnsi="宋体"/>
          <w:color w:val="auto"/>
          <w:szCs w:val="24"/>
          <w:highlight w:val="none"/>
        </w:rPr>
      </w:pPr>
      <w:r>
        <w:rPr>
          <w:rFonts w:hint="eastAsia" w:hAnsi="宋体"/>
          <w:color w:val="auto"/>
          <w:szCs w:val="24"/>
          <w:highlight w:val="none"/>
        </w:rPr>
        <w:t>31.1磋商步骤为：第一次报价---初步评审---分别磋商---第二次报价---综合评审推荐成交候选人。（以供应商递交的磋商响应文件中的总报价为第一次报价。分别磋商后，供应商现场填报的磋商响应总报价为第二次报价）</w:t>
      </w:r>
    </w:p>
    <w:p w14:paraId="61E57B55">
      <w:pPr>
        <w:spacing w:line="360" w:lineRule="auto"/>
        <w:ind w:firstLine="480" w:firstLineChars="200"/>
        <w:rPr>
          <w:rFonts w:hAnsi="宋体"/>
          <w:color w:val="auto"/>
          <w:szCs w:val="24"/>
          <w:highlight w:val="none"/>
        </w:rPr>
      </w:pPr>
      <w:r>
        <w:rPr>
          <w:rFonts w:hint="eastAsia" w:hAnsi="宋体"/>
          <w:color w:val="auto"/>
          <w:szCs w:val="24"/>
          <w:highlight w:val="none"/>
        </w:rPr>
        <w:t>31.2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14:paraId="4775E512">
      <w:pPr>
        <w:spacing w:line="360" w:lineRule="auto"/>
        <w:ind w:firstLine="480" w:firstLineChars="200"/>
        <w:jc w:val="left"/>
        <w:rPr>
          <w:rFonts w:hAnsi="宋体"/>
          <w:color w:val="auto"/>
          <w:szCs w:val="24"/>
          <w:highlight w:val="none"/>
        </w:rPr>
      </w:pPr>
      <w:r>
        <w:rPr>
          <w:rFonts w:hint="eastAsia" w:hAnsi="宋体" w:cs="宋体"/>
          <w:color w:val="auto"/>
          <w:szCs w:val="24"/>
          <w:highlight w:val="none"/>
        </w:rPr>
        <w:t>31.3采用竞争性磋商采购方式采购的政府购买服务项目（含政府和社会资本合作项目），</w:t>
      </w:r>
      <w:r>
        <w:rPr>
          <w:rFonts w:hint="eastAsia" w:hAnsi="宋体" w:cs="宋体"/>
          <w:color w:val="auto"/>
          <w:highlight w:val="none"/>
        </w:rPr>
        <w:t>采购过程中符合要求的供应商</w:t>
      </w:r>
      <w:r>
        <w:rPr>
          <w:rFonts w:hint="eastAsia" w:hAnsi="宋体" w:cs="宋体"/>
          <w:color w:val="auto"/>
          <w:szCs w:val="24"/>
          <w:highlight w:val="none"/>
        </w:rPr>
        <w:t>（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20392D11">
      <w:pPr>
        <w:spacing w:line="360" w:lineRule="auto"/>
        <w:ind w:firstLine="480" w:firstLineChars="200"/>
        <w:jc w:val="left"/>
        <w:rPr>
          <w:rFonts w:hint="eastAsia" w:hAnsi="宋体" w:cs="宋体"/>
          <w:color w:val="auto"/>
          <w:szCs w:val="24"/>
          <w:highlight w:val="none"/>
        </w:rPr>
      </w:pPr>
      <w:r>
        <w:rPr>
          <w:rFonts w:hint="eastAsia" w:hAnsi="宋体" w:cs="宋体"/>
          <w:color w:val="auto"/>
          <w:szCs w:val="24"/>
          <w:highlight w:val="none"/>
        </w:rPr>
        <w:t>31.4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供应商还应当对超过部分予以赔偿，并依法承担相应法律责任。</w:t>
      </w:r>
      <w:bookmarkStart w:id="36" w:name="_Toc363474023"/>
    </w:p>
    <w:p w14:paraId="6D3C958E">
      <w:pPr>
        <w:spacing w:line="360" w:lineRule="auto"/>
        <w:ind w:firstLine="480" w:firstLineChars="200"/>
        <w:jc w:val="left"/>
        <w:rPr>
          <w:rFonts w:hint="eastAsia" w:hAnsi="宋体" w:cs="宋体"/>
          <w:color w:val="auto"/>
          <w:szCs w:val="24"/>
          <w:highlight w:val="none"/>
          <w:lang w:val="en-US" w:eastAsia="zh-CN"/>
        </w:rPr>
      </w:pPr>
      <w:r>
        <w:rPr>
          <w:rFonts w:hint="eastAsia" w:hAnsi="宋体" w:cs="宋体"/>
          <w:color w:val="auto"/>
          <w:szCs w:val="24"/>
          <w:highlight w:val="none"/>
          <w:lang w:val="en-US" w:eastAsia="zh-CN"/>
        </w:rPr>
        <w:t>31.5 同品牌投标</w:t>
      </w:r>
    </w:p>
    <w:p w14:paraId="4F004DCA">
      <w:pPr>
        <w:spacing w:line="360" w:lineRule="auto"/>
        <w:ind w:firstLine="480" w:firstLineChars="200"/>
        <w:jc w:val="left"/>
        <w:rPr>
          <w:rFonts w:hint="eastAsia" w:hAnsi="宋体" w:cs="宋体"/>
          <w:color w:val="auto"/>
          <w:szCs w:val="24"/>
          <w:highlight w:val="none"/>
        </w:rPr>
      </w:pPr>
      <w:r>
        <w:rPr>
          <w:rFonts w:hint="eastAsia" w:hAnsi="宋体" w:cs="宋体"/>
          <w:color w:val="auto"/>
          <w:szCs w:val="24"/>
          <w:highlight w:val="none"/>
          <w:lang w:val="en-US" w:eastAsia="zh-CN"/>
        </w:rPr>
        <w:t>31.5.1</w:t>
      </w:r>
      <w:r>
        <w:rPr>
          <w:rFonts w:hint="eastAsia" w:hAnsi="宋体" w:cs="宋体"/>
          <w:color w:val="auto"/>
          <w:szCs w:val="24"/>
          <w:highlight w:val="none"/>
        </w:rPr>
        <w:t>采用最低评标价法的采购项目，提供相同品牌产品的不同投标人参加同一合同项下投标的，以其中通过资格审查、符合性审查且报价最低的参加评标；报价相同的，由采购人</w:t>
      </w:r>
      <w:r>
        <w:rPr>
          <w:rFonts w:hint="eastAsia" w:hAnsi="宋体" w:cs="宋体"/>
          <w:color w:val="auto"/>
          <w:szCs w:val="24"/>
          <w:highlight w:val="none"/>
          <w:lang w:eastAsia="zh-CN"/>
        </w:rPr>
        <w:t>自行</w:t>
      </w:r>
      <w:r>
        <w:rPr>
          <w:rFonts w:hint="eastAsia" w:hAnsi="宋体" w:cs="宋体"/>
          <w:color w:val="auto"/>
          <w:szCs w:val="24"/>
          <w:highlight w:val="none"/>
        </w:rPr>
        <w:t>确定一个参加评标的投标人，其他投标无效。</w:t>
      </w:r>
    </w:p>
    <w:p w14:paraId="752AE45A">
      <w:pPr>
        <w:spacing w:line="360" w:lineRule="auto"/>
        <w:ind w:firstLine="480" w:firstLineChars="200"/>
        <w:jc w:val="left"/>
        <w:rPr>
          <w:rFonts w:hint="default" w:hAnsi="宋体" w:cs="宋体"/>
          <w:color w:val="auto"/>
          <w:szCs w:val="24"/>
          <w:highlight w:val="none"/>
          <w:lang w:val="en-US" w:eastAsia="zh-CN"/>
        </w:rPr>
      </w:pPr>
      <w:r>
        <w:rPr>
          <w:rFonts w:hint="eastAsia" w:hAnsi="宋体" w:cs="宋体"/>
          <w:color w:val="auto"/>
          <w:szCs w:val="24"/>
          <w:highlight w:val="none"/>
          <w:lang w:val="en-US" w:eastAsia="zh-CN"/>
        </w:rPr>
        <w:t>31.5.2</w:t>
      </w:r>
      <w:r>
        <w:rPr>
          <w:rFonts w:hint="eastAsia" w:hAnsi="宋体" w:cs="宋体"/>
          <w:color w:val="auto"/>
          <w:szCs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w:t>
      </w:r>
      <w:r>
        <w:rPr>
          <w:rFonts w:hint="eastAsia" w:hAnsi="宋体" w:cs="宋体"/>
          <w:color w:val="auto"/>
          <w:szCs w:val="24"/>
          <w:highlight w:val="none"/>
          <w:lang w:eastAsia="zh-CN"/>
        </w:rPr>
        <w:t>自行</w:t>
      </w:r>
      <w:r>
        <w:rPr>
          <w:rFonts w:hint="eastAsia" w:hAnsi="宋体" w:cs="宋体"/>
          <w:color w:val="auto"/>
          <w:szCs w:val="24"/>
          <w:highlight w:val="none"/>
        </w:rPr>
        <w:t>确定一个投标人获得中标人推荐资格，其他同品牌投标人不作为中标候选人。</w:t>
      </w:r>
    </w:p>
    <w:p w14:paraId="2C20EC3E">
      <w:pPr>
        <w:spacing w:line="360" w:lineRule="auto"/>
        <w:ind w:firstLine="480" w:firstLineChars="200"/>
        <w:jc w:val="left"/>
        <w:rPr>
          <w:rFonts w:hint="default" w:hAnsi="宋体" w:cs="宋体"/>
          <w:color w:val="auto"/>
          <w:szCs w:val="24"/>
          <w:highlight w:val="none"/>
          <w:lang w:val="en-US" w:eastAsia="zh-CN"/>
        </w:rPr>
      </w:pPr>
      <w:r>
        <w:rPr>
          <w:rFonts w:hint="eastAsia" w:hAnsi="宋体" w:cs="宋体"/>
          <w:color w:val="auto"/>
          <w:szCs w:val="24"/>
          <w:highlight w:val="none"/>
          <w:lang w:val="en-US" w:eastAsia="zh-CN"/>
        </w:rPr>
        <w:t>31.5.3非单一产品采购项目，在第二章投标人须知前附表中载明核心产品。多家投标人提供的核心产品品牌相同的，按前两款规定处理。</w:t>
      </w:r>
    </w:p>
    <w:p w14:paraId="1FE4327B">
      <w:pPr>
        <w:pStyle w:val="2"/>
        <w:numPr>
          <w:ilvl w:val="0"/>
          <w:numId w:val="0"/>
        </w:numPr>
        <w:jc w:val="center"/>
        <w:rPr>
          <w:rFonts w:ascii="宋体" w:eastAsia="宋体"/>
          <w:bCs/>
          <w:color w:val="auto"/>
          <w:sz w:val="36"/>
          <w:szCs w:val="36"/>
          <w:highlight w:val="none"/>
        </w:rPr>
      </w:pPr>
      <w:bookmarkStart w:id="37" w:name="_Toc423973074"/>
      <w:bookmarkStart w:id="38" w:name="_Toc403077645"/>
      <w:bookmarkStart w:id="39" w:name="_Toc25783"/>
      <w:r>
        <w:rPr>
          <w:rFonts w:hint="eastAsia" w:ascii="宋体" w:eastAsia="宋体"/>
          <w:bCs/>
          <w:color w:val="auto"/>
          <w:sz w:val="36"/>
          <w:szCs w:val="36"/>
          <w:highlight w:val="none"/>
        </w:rPr>
        <w:br w:type="page"/>
      </w:r>
      <w:bookmarkStart w:id="40" w:name="_Toc14143"/>
      <w:r>
        <w:rPr>
          <w:rFonts w:hint="eastAsia" w:ascii="宋体" w:eastAsia="宋体"/>
          <w:bCs/>
          <w:color w:val="auto"/>
          <w:sz w:val="36"/>
          <w:szCs w:val="36"/>
          <w:highlight w:val="none"/>
          <w:lang w:eastAsia="zh-CN"/>
        </w:rPr>
        <w:t>第三章</w:t>
      </w:r>
      <w:r>
        <w:rPr>
          <w:rFonts w:hint="eastAsia" w:ascii="宋体" w:eastAsia="宋体"/>
          <w:bCs/>
          <w:color w:val="auto"/>
          <w:sz w:val="36"/>
          <w:szCs w:val="36"/>
          <w:highlight w:val="none"/>
          <w:lang w:val="en-US" w:eastAsia="zh-CN"/>
        </w:rPr>
        <w:t xml:space="preserve"> </w:t>
      </w:r>
      <w:r>
        <w:rPr>
          <w:rFonts w:hint="eastAsia" w:ascii="宋体" w:eastAsia="宋体"/>
          <w:bCs/>
          <w:color w:val="auto"/>
          <w:sz w:val="36"/>
          <w:szCs w:val="36"/>
          <w:highlight w:val="none"/>
        </w:rPr>
        <w:t xml:space="preserve"> 合同条款及格式</w:t>
      </w:r>
      <w:bookmarkEnd w:id="37"/>
      <w:bookmarkEnd w:id="38"/>
      <w:bookmarkEnd w:id="39"/>
      <w:bookmarkEnd w:id="40"/>
    </w:p>
    <w:bookmarkEnd w:id="36"/>
    <w:p w14:paraId="4485E6B7">
      <w:pPr>
        <w:widowControl w:val="0"/>
        <w:numPr>
          <w:ilvl w:val="0"/>
          <w:numId w:val="0"/>
        </w:numPr>
        <w:jc w:val="center"/>
        <w:rPr>
          <w:rFonts w:hint="eastAsia" w:eastAsia="宋体"/>
          <w:lang w:eastAsia="zh-CN"/>
        </w:rPr>
      </w:pPr>
      <w:bookmarkStart w:id="41" w:name="_Toc20005"/>
      <w:bookmarkStart w:id="42" w:name="_Toc24218"/>
      <w:bookmarkStart w:id="43" w:name="_Toc23705"/>
      <w:bookmarkStart w:id="44" w:name="_Toc32476"/>
      <w:bookmarkStart w:id="45" w:name="_Toc3424"/>
      <w:bookmarkStart w:id="46" w:name="_Toc7992"/>
      <w:bookmarkStart w:id="47" w:name="_Toc403077646"/>
      <w:bookmarkStart w:id="48" w:name="_Toc5084"/>
      <w:bookmarkStart w:id="49" w:name="_Toc363474025"/>
      <w:bookmarkStart w:id="50" w:name="_Toc423973079"/>
      <w:r>
        <w:rPr>
          <w:rFonts w:hint="eastAsia"/>
          <w:lang w:eastAsia="zh-CN"/>
        </w:rPr>
        <w:t>（仅供参考）</w:t>
      </w:r>
    </w:p>
    <w:p w14:paraId="0CECA05A">
      <w:pPr>
        <w:pStyle w:val="11"/>
        <w:rPr>
          <w:rFonts w:hint="eastAsia"/>
        </w:rPr>
      </w:pPr>
    </w:p>
    <w:p w14:paraId="2F850B5F">
      <w:pPr>
        <w:pStyle w:val="9"/>
        <w:ind w:firstLine="560" w:firstLineChars="200"/>
        <w:jc w:val="center"/>
        <w:rPr>
          <w:rFonts w:ascii="仿宋" w:hAnsi="仿宋" w:eastAsia="仿宋"/>
          <w:sz w:val="28"/>
          <w:szCs w:val="28"/>
        </w:rPr>
      </w:pPr>
      <w:r>
        <w:rPr>
          <w:rFonts w:ascii="仿宋" w:hAnsi="仿宋" w:eastAsia="仿宋"/>
          <w:sz w:val="28"/>
          <w:szCs w:val="28"/>
        </w:rPr>
        <w:t>____________</w:t>
      </w:r>
      <w:r>
        <w:rPr>
          <w:rFonts w:hint="eastAsia" w:ascii="仿宋" w:hAnsi="仿宋" w:eastAsia="仿宋"/>
          <w:sz w:val="28"/>
          <w:szCs w:val="28"/>
        </w:rPr>
        <w:t>项目</w:t>
      </w:r>
    </w:p>
    <w:p w14:paraId="2257FCDC">
      <w:pPr>
        <w:pStyle w:val="9"/>
        <w:ind w:firstLine="560" w:firstLineChars="200"/>
        <w:rPr>
          <w:rFonts w:ascii="仿宋" w:hAnsi="仿宋" w:eastAsia="仿宋"/>
          <w:sz w:val="28"/>
          <w:szCs w:val="28"/>
        </w:rPr>
      </w:pPr>
    </w:p>
    <w:p w14:paraId="2D910B9E">
      <w:pPr>
        <w:pStyle w:val="9"/>
        <w:ind w:firstLine="560" w:firstLineChars="200"/>
        <w:rPr>
          <w:rFonts w:ascii="仿宋" w:hAnsi="仿宋" w:eastAsia="仿宋"/>
          <w:sz w:val="28"/>
          <w:szCs w:val="28"/>
        </w:rPr>
      </w:pPr>
    </w:p>
    <w:p w14:paraId="3031F31F">
      <w:pPr>
        <w:pStyle w:val="9"/>
        <w:ind w:firstLine="560" w:firstLineChars="200"/>
        <w:rPr>
          <w:rFonts w:ascii="仿宋" w:hAnsi="仿宋" w:eastAsia="仿宋"/>
          <w:sz w:val="28"/>
          <w:szCs w:val="28"/>
        </w:rPr>
      </w:pPr>
    </w:p>
    <w:p w14:paraId="5DDBFE40">
      <w:pPr>
        <w:pStyle w:val="9"/>
        <w:ind w:firstLine="560" w:firstLineChars="200"/>
        <w:rPr>
          <w:rFonts w:ascii="仿宋" w:hAnsi="仿宋" w:eastAsia="仿宋"/>
          <w:sz w:val="28"/>
          <w:szCs w:val="28"/>
        </w:rPr>
      </w:pPr>
    </w:p>
    <w:p w14:paraId="527CDDB3">
      <w:pPr>
        <w:pStyle w:val="5"/>
        <w:jc w:val="center"/>
        <w:rPr>
          <w:rFonts w:ascii="仿宋" w:hAnsi="仿宋" w:eastAsia="仿宋"/>
          <w:sz w:val="28"/>
          <w:szCs w:val="28"/>
        </w:rPr>
      </w:pPr>
      <w:r>
        <w:rPr>
          <w:rFonts w:hint="eastAsia" w:ascii="仿宋" w:hAnsi="仿宋" w:eastAsia="仿宋"/>
          <w:sz w:val="28"/>
          <w:szCs w:val="28"/>
        </w:rPr>
        <w:t>合　　同</w:t>
      </w:r>
    </w:p>
    <w:p w14:paraId="701F9BA5">
      <w:pPr>
        <w:pStyle w:val="9"/>
        <w:ind w:firstLine="560" w:firstLineChars="200"/>
        <w:rPr>
          <w:rFonts w:ascii="仿宋" w:hAnsi="仿宋" w:eastAsia="仿宋"/>
          <w:sz w:val="28"/>
          <w:szCs w:val="28"/>
        </w:rPr>
      </w:pPr>
    </w:p>
    <w:p w14:paraId="5CB7340A">
      <w:pPr>
        <w:pStyle w:val="9"/>
        <w:ind w:firstLine="560" w:firstLineChars="200"/>
        <w:rPr>
          <w:rFonts w:ascii="仿宋" w:hAnsi="仿宋" w:eastAsia="仿宋"/>
          <w:sz w:val="28"/>
          <w:szCs w:val="28"/>
        </w:rPr>
      </w:pPr>
    </w:p>
    <w:p w14:paraId="79524EAA">
      <w:pPr>
        <w:pStyle w:val="9"/>
        <w:ind w:firstLine="560" w:firstLineChars="200"/>
        <w:rPr>
          <w:rFonts w:ascii="仿宋" w:hAnsi="仿宋" w:eastAsia="仿宋"/>
          <w:sz w:val="28"/>
          <w:szCs w:val="28"/>
        </w:rPr>
      </w:pPr>
    </w:p>
    <w:p w14:paraId="1AA309FD">
      <w:pPr>
        <w:pStyle w:val="9"/>
        <w:ind w:firstLine="560" w:firstLineChars="200"/>
        <w:rPr>
          <w:rFonts w:ascii="仿宋" w:hAnsi="仿宋" w:eastAsia="仿宋"/>
          <w:sz w:val="28"/>
          <w:szCs w:val="28"/>
        </w:rPr>
      </w:pPr>
    </w:p>
    <w:p w14:paraId="5D430644">
      <w:pPr>
        <w:pStyle w:val="9"/>
        <w:ind w:firstLine="1960" w:firstLineChars="700"/>
        <w:rPr>
          <w:rFonts w:ascii="仿宋" w:hAnsi="仿宋" w:eastAsia="仿宋"/>
          <w:sz w:val="28"/>
          <w:szCs w:val="28"/>
        </w:rPr>
      </w:pPr>
      <w:r>
        <w:rPr>
          <w:rFonts w:hint="eastAsia" w:ascii="仿宋" w:hAnsi="仿宋" w:eastAsia="仿宋"/>
          <w:sz w:val="28"/>
          <w:szCs w:val="28"/>
        </w:rPr>
        <w:t>合同编号：</w:t>
      </w:r>
      <w:r>
        <w:rPr>
          <w:rFonts w:ascii="仿宋" w:hAnsi="仿宋" w:eastAsia="仿宋"/>
          <w:sz w:val="28"/>
          <w:szCs w:val="28"/>
        </w:rPr>
        <w:t>____________________</w:t>
      </w:r>
    </w:p>
    <w:p w14:paraId="01FC15D2">
      <w:pPr>
        <w:pStyle w:val="9"/>
        <w:ind w:firstLine="560" w:firstLineChars="200"/>
        <w:jc w:val="center"/>
        <w:rPr>
          <w:rFonts w:ascii="仿宋" w:hAnsi="仿宋" w:eastAsia="仿宋"/>
          <w:sz w:val="28"/>
          <w:szCs w:val="28"/>
        </w:rPr>
      </w:pPr>
    </w:p>
    <w:p w14:paraId="0F88AEA0">
      <w:pPr>
        <w:pStyle w:val="9"/>
        <w:jc w:val="center"/>
        <w:rPr>
          <w:rFonts w:ascii="仿宋" w:hAnsi="仿宋" w:eastAsia="仿宋"/>
          <w:sz w:val="28"/>
          <w:szCs w:val="28"/>
        </w:rPr>
      </w:pPr>
      <w:r>
        <w:rPr>
          <w:rFonts w:hint="eastAsia" w:ascii="仿宋" w:hAnsi="仿宋" w:eastAsia="仿宋"/>
          <w:sz w:val="28"/>
          <w:szCs w:val="28"/>
        </w:rPr>
        <w:t xml:space="preserve">    甲　　方：</w:t>
      </w:r>
      <w:r>
        <w:rPr>
          <w:rFonts w:ascii="仿宋" w:hAnsi="仿宋" w:eastAsia="仿宋"/>
          <w:sz w:val="28"/>
          <w:szCs w:val="28"/>
        </w:rPr>
        <w:t>____________________(</w:t>
      </w:r>
      <w:r>
        <w:rPr>
          <w:rFonts w:hint="eastAsia" w:ascii="仿宋" w:hAnsi="仿宋" w:eastAsia="仿宋"/>
          <w:sz w:val="28"/>
          <w:szCs w:val="28"/>
        </w:rPr>
        <w:t>采购人名称</w:t>
      </w:r>
      <w:r>
        <w:rPr>
          <w:rFonts w:ascii="仿宋" w:hAnsi="仿宋" w:eastAsia="仿宋"/>
          <w:sz w:val="28"/>
          <w:szCs w:val="28"/>
        </w:rPr>
        <w:t>)</w:t>
      </w:r>
    </w:p>
    <w:p w14:paraId="6D00A52C">
      <w:pPr>
        <w:pStyle w:val="9"/>
        <w:ind w:firstLine="560" w:firstLineChars="200"/>
        <w:jc w:val="center"/>
        <w:rPr>
          <w:rFonts w:ascii="仿宋" w:hAnsi="仿宋" w:eastAsia="仿宋"/>
          <w:sz w:val="28"/>
          <w:szCs w:val="28"/>
        </w:rPr>
      </w:pPr>
    </w:p>
    <w:p w14:paraId="0D8997D3">
      <w:pPr>
        <w:pStyle w:val="9"/>
        <w:ind w:firstLine="560" w:firstLineChars="200"/>
        <w:jc w:val="center"/>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乙　　方：</w:t>
      </w:r>
      <w:r>
        <w:rPr>
          <w:rFonts w:ascii="仿宋" w:hAnsi="仿宋" w:eastAsia="仿宋"/>
          <w:sz w:val="28"/>
          <w:szCs w:val="28"/>
        </w:rPr>
        <w:t>____________________(</w:t>
      </w:r>
      <w:r>
        <w:rPr>
          <w:rFonts w:hint="eastAsia" w:ascii="仿宋" w:hAnsi="仿宋" w:eastAsia="仿宋"/>
          <w:sz w:val="28"/>
          <w:szCs w:val="28"/>
        </w:rPr>
        <w:t>成交供应商名称</w:t>
      </w:r>
      <w:r>
        <w:rPr>
          <w:rFonts w:ascii="仿宋" w:hAnsi="仿宋" w:eastAsia="仿宋"/>
          <w:sz w:val="28"/>
          <w:szCs w:val="28"/>
        </w:rPr>
        <w:t>)</w:t>
      </w:r>
    </w:p>
    <w:p w14:paraId="0920152A">
      <w:pPr>
        <w:pStyle w:val="9"/>
        <w:spacing w:line="560" w:lineRule="exact"/>
        <w:ind w:firstLine="960" w:firstLineChars="300"/>
        <w:rPr>
          <w:rFonts w:ascii="仿宋" w:hAnsi="仿宋" w:eastAsia="仿宋"/>
          <w:sz w:val="28"/>
          <w:szCs w:val="28"/>
        </w:rPr>
      </w:pPr>
      <w:r>
        <w:rPr>
          <w:rFonts w:ascii="仿宋" w:hAnsi="仿宋" w:eastAsia="仿宋"/>
          <w:sz w:val="32"/>
          <w:szCs w:val="32"/>
        </w:rPr>
        <w:br w:type="page"/>
      </w:r>
      <w:r>
        <w:rPr>
          <w:rFonts w:hint="eastAsia" w:ascii="仿宋" w:hAnsi="仿宋" w:eastAsia="仿宋"/>
          <w:sz w:val="28"/>
          <w:szCs w:val="28"/>
        </w:rPr>
        <w:t>根据《中华人民共和国民法典》等有关法律法规规定，</w:t>
      </w:r>
      <w:r>
        <w:rPr>
          <w:rFonts w:ascii="仿宋" w:hAnsi="仿宋" w:eastAsia="仿宋"/>
          <w:sz w:val="28"/>
          <w:szCs w:val="28"/>
        </w:rPr>
        <w:t>____________(</w:t>
      </w:r>
      <w:r>
        <w:rPr>
          <w:rFonts w:hint="eastAsia" w:ascii="仿宋" w:hAnsi="仿宋" w:eastAsia="仿宋"/>
          <w:sz w:val="28"/>
          <w:szCs w:val="28"/>
        </w:rPr>
        <w:t>采购人名称</w:t>
      </w:r>
      <w:r>
        <w:rPr>
          <w:rFonts w:ascii="仿宋" w:hAnsi="仿宋" w:eastAsia="仿宋"/>
          <w:sz w:val="28"/>
          <w:szCs w:val="28"/>
        </w:rPr>
        <w:t>)(</w:t>
      </w:r>
      <w:r>
        <w:rPr>
          <w:rFonts w:hint="eastAsia" w:ascii="仿宋" w:hAnsi="仿宋" w:eastAsia="仿宋"/>
          <w:sz w:val="28"/>
          <w:szCs w:val="28"/>
        </w:rPr>
        <w:t>以下简称：“甲方”</w:t>
      </w:r>
      <w:r>
        <w:rPr>
          <w:rFonts w:ascii="仿宋" w:hAnsi="仿宋" w:eastAsia="仿宋"/>
          <w:sz w:val="28"/>
          <w:szCs w:val="28"/>
        </w:rPr>
        <w:t>)</w:t>
      </w:r>
      <w:r>
        <w:rPr>
          <w:rFonts w:hint="eastAsia" w:ascii="仿宋" w:hAnsi="仿宋" w:eastAsia="仿宋"/>
          <w:sz w:val="28"/>
          <w:szCs w:val="28"/>
        </w:rPr>
        <w:t>通过</w:t>
      </w:r>
      <w:r>
        <w:rPr>
          <w:rFonts w:ascii="仿宋" w:hAnsi="仿宋" w:eastAsia="仿宋"/>
          <w:sz w:val="28"/>
          <w:szCs w:val="28"/>
        </w:rPr>
        <w:t>______</w:t>
      </w:r>
      <w:r>
        <w:rPr>
          <w:rFonts w:hint="eastAsia" w:ascii="仿宋" w:hAnsi="仿宋" w:eastAsia="仿宋"/>
          <w:sz w:val="28"/>
          <w:szCs w:val="28"/>
        </w:rPr>
        <w:t>采购</w:t>
      </w:r>
      <w:r>
        <w:rPr>
          <w:rFonts w:ascii="仿宋" w:hAnsi="仿宋" w:eastAsia="仿宋"/>
          <w:sz w:val="28"/>
          <w:szCs w:val="28"/>
        </w:rPr>
        <w:t>(</w:t>
      </w:r>
      <w:r>
        <w:rPr>
          <w:rFonts w:hint="eastAsia" w:ascii="仿宋" w:hAnsi="仿宋" w:eastAsia="仿宋"/>
          <w:sz w:val="28"/>
          <w:szCs w:val="28"/>
        </w:rPr>
        <w:t>采购方式</w:t>
      </w:r>
      <w:r>
        <w:rPr>
          <w:rFonts w:ascii="仿宋" w:hAnsi="仿宋" w:eastAsia="仿宋"/>
          <w:sz w:val="28"/>
          <w:szCs w:val="28"/>
        </w:rPr>
        <w:t>)</w:t>
      </w:r>
      <w:r>
        <w:rPr>
          <w:rFonts w:hint="eastAsia" w:ascii="仿宋" w:hAnsi="仿宋" w:eastAsia="仿宋"/>
          <w:sz w:val="28"/>
          <w:szCs w:val="28"/>
        </w:rPr>
        <w:t>确定</w:t>
      </w:r>
      <w:r>
        <w:rPr>
          <w:rFonts w:ascii="仿宋" w:hAnsi="仿宋" w:eastAsia="仿宋"/>
          <w:sz w:val="28"/>
          <w:szCs w:val="28"/>
        </w:rPr>
        <w:t>______(</w:t>
      </w:r>
      <w:r>
        <w:rPr>
          <w:rFonts w:hint="eastAsia" w:ascii="仿宋" w:hAnsi="仿宋" w:eastAsia="仿宋"/>
          <w:sz w:val="28"/>
          <w:szCs w:val="28"/>
        </w:rPr>
        <w:t>供应商名称</w:t>
      </w:r>
      <w:r>
        <w:rPr>
          <w:rFonts w:ascii="仿宋" w:hAnsi="仿宋" w:eastAsia="仿宋"/>
          <w:sz w:val="28"/>
          <w:szCs w:val="28"/>
        </w:rPr>
        <w:t>)(</w:t>
      </w:r>
      <w:r>
        <w:rPr>
          <w:rFonts w:hint="eastAsia" w:ascii="仿宋" w:hAnsi="仿宋" w:eastAsia="仿宋"/>
          <w:sz w:val="28"/>
          <w:szCs w:val="28"/>
        </w:rPr>
        <w:t>以下简称：“乙方”</w:t>
      </w:r>
      <w:r>
        <w:rPr>
          <w:rFonts w:ascii="仿宋" w:hAnsi="仿宋" w:eastAsia="仿宋"/>
          <w:sz w:val="28"/>
          <w:szCs w:val="28"/>
        </w:rPr>
        <w:t>)</w:t>
      </w:r>
      <w:r>
        <w:rPr>
          <w:rFonts w:hint="eastAsia" w:ascii="仿宋" w:hAnsi="仿宋" w:eastAsia="仿宋"/>
          <w:sz w:val="28"/>
          <w:szCs w:val="28"/>
        </w:rPr>
        <w:t>为</w:t>
      </w:r>
      <w:r>
        <w:rPr>
          <w:rFonts w:ascii="仿宋" w:hAnsi="仿宋" w:eastAsia="仿宋"/>
          <w:sz w:val="28"/>
          <w:szCs w:val="28"/>
        </w:rPr>
        <w:t>______</w:t>
      </w:r>
      <w:r>
        <w:rPr>
          <w:rFonts w:hint="eastAsia" w:ascii="仿宋" w:hAnsi="仿宋" w:eastAsia="仿宋"/>
          <w:sz w:val="28"/>
          <w:szCs w:val="28"/>
        </w:rPr>
        <w:t>项目</w:t>
      </w:r>
      <w:r>
        <w:rPr>
          <w:rFonts w:ascii="仿宋" w:hAnsi="仿宋" w:eastAsia="仿宋"/>
          <w:sz w:val="28"/>
          <w:szCs w:val="28"/>
        </w:rPr>
        <w:t>(</w:t>
      </w:r>
      <w:r>
        <w:rPr>
          <w:rFonts w:hint="eastAsia" w:ascii="仿宋" w:hAnsi="仿宋" w:eastAsia="仿宋"/>
          <w:sz w:val="28"/>
          <w:szCs w:val="28"/>
        </w:rPr>
        <w:t>项目名称</w:t>
      </w:r>
      <w:r>
        <w:rPr>
          <w:rFonts w:ascii="仿宋" w:hAnsi="仿宋" w:eastAsia="仿宋"/>
          <w:sz w:val="28"/>
          <w:szCs w:val="28"/>
        </w:rPr>
        <w:t>)</w:t>
      </w:r>
      <w:r>
        <w:rPr>
          <w:rFonts w:hint="eastAsia" w:ascii="仿宋" w:hAnsi="仿宋" w:eastAsia="仿宋"/>
          <w:sz w:val="28"/>
          <w:szCs w:val="28"/>
        </w:rPr>
        <w:t>的成交供应商。甲乙双方同意签署《</w:t>
      </w:r>
      <w:r>
        <w:rPr>
          <w:rFonts w:ascii="仿宋" w:hAnsi="仿宋" w:eastAsia="仿宋"/>
          <w:sz w:val="28"/>
          <w:szCs w:val="28"/>
        </w:rPr>
        <w:t>______</w:t>
      </w:r>
      <w:r>
        <w:rPr>
          <w:rFonts w:hint="eastAsia" w:ascii="仿宋" w:hAnsi="仿宋" w:eastAsia="仿宋"/>
          <w:sz w:val="28"/>
          <w:szCs w:val="28"/>
        </w:rPr>
        <w:t>项目</w:t>
      </w:r>
      <w:r>
        <w:rPr>
          <w:rFonts w:ascii="仿宋" w:hAnsi="仿宋" w:eastAsia="仿宋"/>
          <w:sz w:val="28"/>
          <w:szCs w:val="28"/>
        </w:rPr>
        <w:t>(</w:t>
      </w:r>
      <w:r>
        <w:rPr>
          <w:rFonts w:hint="eastAsia" w:ascii="仿宋" w:hAnsi="仿宋" w:eastAsia="仿宋"/>
          <w:sz w:val="28"/>
          <w:szCs w:val="28"/>
        </w:rPr>
        <w:t>项目名称</w:t>
      </w:r>
      <w:r>
        <w:rPr>
          <w:rFonts w:ascii="仿宋" w:hAnsi="仿宋" w:eastAsia="仿宋"/>
          <w:sz w:val="28"/>
          <w:szCs w:val="28"/>
        </w:rPr>
        <w:t>)</w:t>
      </w:r>
      <w:r>
        <w:rPr>
          <w:rFonts w:hint="eastAsia" w:ascii="仿宋" w:hAnsi="仿宋" w:eastAsia="仿宋"/>
          <w:sz w:val="28"/>
          <w:szCs w:val="28"/>
        </w:rPr>
        <w:t>合同》</w:t>
      </w:r>
      <w:r>
        <w:rPr>
          <w:rFonts w:ascii="仿宋" w:hAnsi="仿宋" w:eastAsia="仿宋"/>
          <w:sz w:val="28"/>
          <w:szCs w:val="28"/>
        </w:rPr>
        <w:t>(</w:t>
      </w:r>
      <w:r>
        <w:rPr>
          <w:rFonts w:hint="eastAsia" w:ascii="仿宋" w:hAnsi="仿宋" w:eastAsia="仿宋"/>
          <w:sz w:val="28"/>
          <w:szCs w:val="28"/>
        </w:rPr>
        <w:t>合同编号：</w:t>
      </w:r>
      <w:r>
        <w:rPr>
          <w:rFonts w:ascii="仿宋" w:hAnsi="仿宋" w:eastAsia="仿宋"/>
          <w:sz w:val="28"/>
          <w:szCs w:val="28"/>
        </w:rPr>
        <w:t>______</w:t>
      </w:r>
      <w:r>
        <w:rPr>
          <w:rFonts w:hint="eastAsia" w:ascii="仿宋" w:hAnsi="仿宋" w:eastAsia="仿宋"/>
          <w:sz w:val="28"/>
          <w:szCs w:val="28"/>
        </w:rPr>
        <w:t>，以下简称：“合同”</w:t>
      </w:r>
      <w:r>
        <w:rPr>
          <w:rFonts w:ascii="仿宋" w:hAnsi="仿宋" w:eastAsia="仿宋"/>
          <w:sz w:val="28"/>
          <w:szCs w:val="28"/>
        </w:rPr>
        <w:t>)</w:t>
      </w:r>
      <w:r>
        <w:rPr>
          <w:rFonts w:hint="eastAsia" w:ascii="仿宋" w:hAnsi="仿宋" w:eastAsia="仿宋"/>
          <w:sz w:val="28"/>
          <w:szCs w:val="28"/>
        </w:rPr>
        <w:t>。</w:t>
      </w:r>
    </w:p>
    <w:p w14:paraId="4A9F2EB2">
      <w:pPr>
        <w:pStyle w:val="9"/>
        <w:spacing w:line="56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合同文件</w:t>
      </w:r>
    </w:p>
    <w:p w14:paraId="1B59616B">
      <w:pPr>
        <w:pStyle w:val="9"/>
        <w:spacing w:line="560" w:lineRule="exact"/>
        <w:ind w:firstLine="560" w:firstLineChars="200"/>
        <w:rPr>
          <w:rFonts w:ascii="仿宋" w:hAnsi="仿宋" w:eastAsia="仿宋"/>
          <w:sz w:val="28"/>
          <w:szCs w:val="28"/>
        </w:rPr>
      </w:pPr>
      <w:r>
        <w:rPr>
          <w:rFonts w:hint="eastAsia" w:ascii="仿宋" w:hAnsi="仿宋" w:eastAsia="仿宋"/>
          <w:sz w:val="28"/>
          <w:szCs w:val="28"/>
        </w:rPr>
        <w:t>下列文件是构成本合同不可分割的部分：</w:t>
      </w:r>
    </w:p>
    <w:p w14:paraId="41CE6B7F">
      <w:pPr>
        <w:pStyle w:val="9"/>
        <w:spacing w:line="56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合同条款；</w:t>
      </w:r>
    </w:p>
    <w:p w14:paraId="16D428BE">
      <w:pPr>
        <w:pStyle w:val="9"/>
        <w:spacing w:line="56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成交通知书；</w:t>
      </w:r>
    </w:p>
    <w:p w14:paraId="4E96BAA3">
      <w:pPr>
        <w:pStyle w:val="9"/>
        <w:spacing w:line="56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磋商文件；</w:t>
      </w:r>
    </w:p>
    <w:p w14:paraId="3DAF366A">
      <w:pPr>
        <w:pStyle w:val="9"/>
        <w:spacing w:line="560" w:lineRule="exact"/>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响应文件；</w:t>
      </w:r>
    </w:p>
    <w:p w14:paraId="01CC07D2">
      <w:pPr>
        <w:pStyle w:val="9"/>
        <w:spacing w:line="560" w:lineRule="exact"/>
        <w:ind w:firstLine="420" w:firstLineChars="150"/>
        <w:rPr>
          <w:rFonts w:ascii="仿宋" w:hAnsi="仿宋" w:eastAsia="仿宋"/>
          <w:sz w:val="28"/>
          <w:szCs w:val="28"/>
        </w:rPr>
      </w:pPr>
      <w:r>
        <w:rPr>
          <w:rFonts w:hint="eastAsia" w:ascii="仿宋" w:hAnsi="仿宋" w:eastAsia="仿宋"/>
          <w:sz w:val="28"/>
          <w:szCs w:val="28"/>
        </w:rPr>
        <w:t>（5）其他</w:t>
      </w:r>
      <w:r>
        <w:rPr>
          <w:rFonts w:ascii="仿宋" w:hAnsi="仿宋" w:eastAsia="仿宋"/>
          <w:sz w:val="28"/>
          <w:szCs w:val="28"/>
        </w:rPr>
        <w:t>(</w:t>
      </w:r>
      <w:r>
        <w:rPr>
          <w:rFonts w:hint="eastAsia" w:ascii="仿宋" w:hAnsi="仿宋" w:eastAsia="仿宋"/>
          <w:sz w:val="28"/>
          <w:szCs w:val="28"/>
        </w:rPr>
        <w:t>根据实际情况需要增加的内容</w:t>
      </w:r>
      <w:r>
        <w:rPr>
          <w:rFonts w:ascii="仿宋" w:hAnsi="仿宋" w:eastAsia="仿宋"/>
          <w:sz w:val="28"/>
          <w:szCs w:val="28"/>
        </w:rPr>
        <w:t>)</w:t>
      </w:r>
      <w:r>
        <w:rPr>
          <w:rFonts w:hint="eastAsia" w:ascii="仿宋" w:hAnsi="仿宋" w:eastAsia="仿宋"/>
          <w:sz w:val="28"/>
          <w:szCs w:val="28"/>
        </w:rPr>
        <w:t>。</w:t>
      </w:r>
    </w:p>
    <w:p w14:paraId="5F10DF05">
      <w:pPr>
        <w:pStyle w:val="9"/>
        <w:spacing w:line="56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合同标的</w:t>
      </w:r>
      <w:r>
        <w:rPr>
          <w:rFonts w:ascii="仿宋" w:hAnsi="仿宋" w:eastAsia="仿宋"/>
          <w:sz w:val="28"/>
          <w:szCs w:val="28"/>
        </w:rPr>
        <w:t>(</w:t>
      </w:r>
      <w:r>
        <w:rPr>
          <w:rFonts w:hint="eastAsia" w:ascii="仿宋" w:hAnsi="仿宋" w:eastAsia="仿宋"/>
          <w:sz w:val="28"/>
          <w:szCs w:val="28"/>
        </w:rPr>
        <w:t>根据实际情况填写</w:t>
      </w:r>
      <w:r>
        <w:rPr>
          <w:rFonts w:ascii="仿宋" w:hAnsi="仿宋" w:eastAsia="仿宋"/>
          <w:sz w:val="28"/>
          <w:szCs w:val="28"/>
        </w:rPr>
        <w:t>)</w:t>
      </w:r>
    </w:p>
    <w:tbl>
      <w:tblPr>
        <w:tblStyle w:val="19"/>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0"/>
        <w:gridCol w:w="816"/>
        <w:gridCol w:w="816"/>
        <w:gridCol w:w="816"/>
        <w:gridCol w:w="5164"/>
      </w:tblGrid>
      <w:tr w14:paraId="3D580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0" w:type="dxa"/>
            <w:noWrap w:val="0"/>
            <w:vAlign w:val="center"/>
          </w:tcPr>
          <w:p w14:paraId="78205910">
            <w:pPr>
              <w:pStyle w:val="9"/>
              <w:spacing w:line="360" w:lineRule="auto"/>
              <w:jc w:val="center"/>
              <w:rPr>
                <w:rFonts w:ascii="仿宋" w:hAnsi="仿宋" w:eastAsia="仿宋"/>
                <w:sz w:val="24"/>
                <w:szCs w:val="24"/>
              </w:rPr>
            </w:pPr>
            <w:r>
              <w:rPr>
                <w:rFonts w:hint="eastAsia" w:ascii="仿宋" w:hAnsi="仿宋" w:eastAsia="仿宋"/>
                <w:sz w:val="24"/>
                <w:szCs w:val="24"/>
              </w:rPr>
              <w:t>名称</w:t>
            </w:r>
          </w:p>
        </w:tc>
        <w:tc>
          <w:tcPr>
            <w:tcW w:w="816" w:type="dxa"/>
            <w:noWrap w:val="0"/>
            <w:vAlign w:val="center"/>
          </w:tcPr>
          <w:p w14:paraId="299CA47C">
            <w:pPr>
              <w:pStyle w:val="9"/>
              <w:spacing w:line="360" w:lineRule="auto"/>
              <w:jc w:val="center"/>
              <w:rPr>
                <w:rFonts w:hint="eastAsia" w:ascii="仿宋" w:hAnsi="仿宋" w:eastAsia="仿宋"/>
                <w:sz w:val="24"/>
                <w:szCs w:val="24"/>
                <w:lang w:val="en-US" w:eastAsia="zh-Hans"/>
              </w:rPr>
            </w:pPr>
            <w:r>
              <w:rPr>
                <w:rFonts w:hint="eastAsia" w:ascii="仿宋" w:hAnsi="仿宋" w:eastAsia="仿宋"/>
                <w:sz w:val="24"/>
                <w:szCs w:val="24"/>
                <w:lang w:val="en-US" w:eastAsia="zh-Hans"/>
              </w:rPr>
              <w:t>类别</w:t>
            </w:r>
          </w:p>
        </w:tc>
        <w:tc>
          <w:tcPr>
            <w:tcW w:w="816" w:type="dxa"/>
            <w:noWrap w:val="0"/>
            <w:vAlign w:val="center"/>
          </w:tcPr>
          <w:p w14:paraId="490B07F7">
            <w:pPr>
              <w:pStyle w:val="9"/>
              <w:spacing w:line="360" w:lineRule="auto"/>
              <w:jc w:val="center"/>
              <w:rPr>
                <w:rFonts w:ascii="仿宋" w:hAnsi="仿宋" w:eastAsia="仿宋"/>
                <w:sz w:val="24"/>
                <w:szCs w:val="24"/>
              </w:rPr>
            </w:pPr>
            <w:r>
              <w:rPr>
                <w:rFonts w:hint="eastAsia" w:ascii="仿宋" w:hAnsi="仿宋" w:eastAsia="仿宋"/>
                <w:sz w:val="24"/>
                <w:szCs w:val="24"/>
              </w:rPr>
              <w:t>数量</w:t>
            </w:r>
          </w:p>
        </w:tc>
        <w:tc>
          <w:tcPr>
            <w:tcW w:w="816" w:type="dxa"/>
            <w:noWrap w:val="0"/>
            <w:vAlign w:val="center"/>
          </w:tcPr>
          <w:p w14:paraId="21CA7036">
            <w:pPr>
              <w:pStyle w:val="9"/>
              <w:spacing w:line="360" w:lineRule="auto"/>
              <w:jc w:val="center"/>
              <w:rPr>
                <w:rFonts w:hint="eastAsia" w:ascii="仿宋" w:hAnsi="仿宋" w:eastAsia="仿宋"/>
                <w:sz w:val="24"/>
                <w:szCs w:val="24"/>
              </w:rPr>
            </w:pPr>
            <w:r>
              <w:rPr>
                <w:rFonts w:hint="eastAsia" w:ascii="仿宋" w:hAnsi="仿宋" w:eastAsia="仿宋"/>
                <w:sz w:val="24"/>
                <w:szCs w:val="24"/>
              </w:rPr>
              <w:t>单位</w:t>
            </w:r>
          </w:p>
        </w:tc>
        <w:tc>
          <w:tcPr>
            <w:tcW w:w="5164" w:type="dxa"/>
            <w:noWrap w:val="0"/>
            <w:vAlign w:val="center"/>
          </w:tcPr>
          <w:p w14:paraId="72EA51B2">
            <w:pPr>
              <w:pStyle w:val="9"/>
              <w:spacing w:line="360" w:lineRule="auto"/>
              <w:jc w:val="center"/>
              <w:rPr>
                <w:rFonts w:hint="eastAsia" w:ascii="仿宋" w:hAnsi="仿宋" w:eastAsia="仿宋"/>
                <w:sz w:val="24"/>
                <w:szCs w:val="24"/>
              </w:rPr>
            </w:pPr>
            <w:r>
              <w:rPr>
                <w:rFonts w:hint="eastAsia" w:ascii="仿宋" w:hAnsi="仿宋" w:eastAsia="仿宋"/>
                <w:sz w:val="24"/>
                <w:szCs w:val="24"/>
              </w:rPr>
              <w:t>具体服务承诺(包含但不限于服务内容、范围和基本要求)</w:t>
            </w:r>
          </w:p>
        </w:tc>
      </w:tr>
      <w:tr w14:paraId="015C2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20" w:type="dxa"/>
            <w:noWrap w:val="0"/>
            <w:vAlign w:val="center"/>
          </w:tcPr>
          <w:p w14:paraId="35A808F2">
            <w:pPr>
              <w:pStyle w:val="9"/>
              <w:spacing w:line="560" w:lineRule="exact"/>
              <w:jc w:val="center"/>
              <w:rPr>
                <w:rFonts w:ascii="仿宋" w:hAnsi="仿宋" w:eastAsia="仿宋"/>
                <w:sz w:val="24"/>
                <w:szCs w:val="24"/>
              </w:rPr>
            </w:pPr>
          </w:p>
        </w:tc>
        <w:tc>
          <w:tcPr>
            <w:tcW w:w="816" w:type="dxa"/>
            <w:noWrap w:val="0"/>
            <w:vAlign w:val="center"/>
          </w:tcPr>
          <w:p w14:paraId="0385BDDD">
            <w:pPr>
              <w:pStyle w:val="9"/>
              <w:spacing w:line="560" w:lineRule="exact"/>
              <w:jc w:val="center"/>
              <w:rPr>
                <w:rFonts w:hint="eastAsia" w:ascii="仿宋" w:hAnsi="仿宋" w:eastAsia="仿宋"/>
                <w:sz w:val="24"/>
                <w:szCs w:val="24"/>
                <w:lang w:val="en-US" w:eastAsia="zh-Hans"/>
              </w:rPr>
            </w:pPr>
            <w:r>
              <w:rPr>
                <w:rFonts w:hint="eastAsia" w:ascii="仿宋" w:hAnsi="仿宋" w:eastAsia="仿宋"/>
                <w:sz w:val="24"/>
                <w:szCs w:val="24"/>
                <w:lang w:val="en-US" w:eastAsia="zh-Hans"/>
              </w:rPr>
              <w:t>采购服务</w:t>
            </w:r>
          </w:p>
        </w:tc>
        <w:tc>
          <w:tcPr>
            <w:tcW w:w="816" w:type="dxa"/>
            <w:noWrap w:val="0"/>
            <w:vAlign w:val="center"/>
          </w:tcPr>
          <w:p w14:paraId="322B4AA5">
            <w:pPr>
              <w:pStyle w:val="9"/>
              <w:spacing w:line="560" w:lineRule="exact"/>
              <w:jc w:val="center"/>
              <w:rPr>
                <w:rFonts w:ascii="仿宋" w:hAnsi="仿宋" w:eastAsia="仿宋"/>
                <w:sz w:val="24"/>
                <w:szCs w:val="24"/>
              </w:rPr>
            </w:pPr>
          </w:p>
        </w:tc>
        <w:tc>
          <w:tcPr>
            <w:tcW w:w="816" w:type="dxa"/>
            <w:noWrap w:val="0"/>
            <w:vAlign w:val="center"/>
          </w:tcPr>
          <w:p w14:paraId="4D967C49">
            <w:pPr>
              <w:pStyle w:val="9"/>
              <w:spacing w:line="560" w:lineRule="exact"/>
              <w:jc w:val="center"/>
              <w:rPr>
                <w:rFonts w:ascii="仿宋" w:hAnsi="仿宋" w:eastAsia="仿宋"/>
                <w:sz w:val="24"/>
                <w:szCs w:val="24"/>
              </w:rPr>
            </w:pPr>
            <w:r>
              <w:rPr>
                <w:rFonts w:hint="eastAsia" w:ascii="仿宋" w:hAnsi="仿宋" w:eastAsia="仿宋"/>
                <w:sz w:val="24"/>
                <w:szCs w:val="24"/>
              </w:rPr>
              <w:t>项</w:t>
            </w:r>
          </w:p>
        </w:tc>
        <w:tc>
          <w:tcPr>
            <w:tcW w:w="5164" w:type="dxa"/>
            <w:noWrap w:val="0"/>
            <w:vAlign w:val="center"/>
          </w:tcPr>
          <w:p w14:paraId="49D11B1F">
            <w:pPr>
              <w:pStyle w:val="9"/>
              <w:spacing w:line="560" w:lineRule="exact"/>
              <w:jc w:val="center"/>
              <w:rPr>
                <w:rFonts w:ascii="仿宋" w:hAnsi="仿宋" w:eastAsia="仿宋"/>
                <w:sz w:val="24"/>
                <w:szCs w:val="24"/>
              </w:rPr>
            </w:pPr>
          </w:p>
        </w:tc>
      </w:tr>
      <w:tr w14:paraId="67AB4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20" w:type="dxa"/>
            <w:noWrap w:val="0"/>
            <w:vAlign w:val="center"/>
          </w:tcPr>
          <w:p w14:paraId="4A78D0ED">
            <w:pPr>
              <w:pStyle w:val="9"/>
              <w:spacing w:line="560" w:lineRule="exact"/>
              <w:jc w:val="center"/>
              <w:rPr>
                <w:rFonts w:ascii="仿宋" w:hAnsi="仿宋" w:eastAsia="仿宋"/>
                <w:sz w:val="24"/>
                <w:szCs w:val="24"/>
              </w:rPr>
            </w:pPr>
            <w:r>
              <w:rPr>
                <w:rFonts w:hint="eastAsia" w:ascii="仿宋" w:hAnsi="仿宋" w:eastAsia="仿宋"/>
                <w:sz w:val="24"/>
                <w:szCs w:val="24"/>
              </w:rPr>
              <w:t>…</w:t>
            </w:r>
          </w:p>
        </w:tc>
        <w:tc>
          <w:tcPr>
            <w:tcW w:w="816" w:type="dxa"/>
            <w:noWrap w:val="0"/>
            <w:vAlign w:val="center"/>
          </w:tcPr>
          <w:p w14:paraId="57770241">
            <w:pPr>
              <w:pStyle w:val="9"/>
              <w:spacing w:line="560" w:lineRule="exact"/>
              <w:jc w:val="center"/>
              <w:rPr>
                <w:rFonts w:hint="default" w:ascii="仿宋" w:hAnsi="仿宋" w:eastAsia="仿宋"/>
                <w:sz w:val="24"/>
                <w:szCs w:val="24"/>
                <w:lang w:val="en-US" w:eastAsia="zh-Hans"/>
              </w:rPr>
            </w:pPr>
            <w:r>
              <w:rPr>
                <w:rFonts w:hint="eastAsia" w:ascii="仿宋" w:hAnsi="仿宋" w:eastAsia="仿宋"/>
                <w:sz w:val="24"/>
                <w:szCs w:val="24"/>
                <w:lang w:val="en-US" w:eastAsia="zh-Hans"/>
              </w:rPr>
              <w:t>采购硬件</w:t>
            </w:r>
          </w:p>
        </w:tc>
        <w:tc>
          <w:tcPr>
            <w:tcW w:w="816" w:type="dxa"/>
            <w:noWrap w:val="0"/>
            <w:vAlign w:val="center"/>
          </w:tcPr>
          <w:p w14:paraId="6A72C7BB">
            <w:pPr>
              <w:pStyle w:val="9"/>
              <w:spacing w:line="560" w:lineRule="exact"/>
              <w:jc w:val="center"/>
              <w:rPr>
                <w:rFonts w:ascii="仿宋" w:hAnsi="仿宋" w:eastAsia="仿宋"/>
                <w:sz w:val="24"/>
                <w:szCs w:val="24"/>
              </w:rPr>
            </w:pPr>
          </w:p>
        </w:tc>
        <w:tc>
          <w:tcPr>
            <w:tcW w:w="816" w:type="dxa"/>
            <w:noWrap w:val="0"/>
            <w:vAlign w:val="center"/>
          </w:tcPr>
          <w:p w14:paraId="72E7D998">
            <w:pPr>
              <w:pStyle w:val="9"/>
              <w:spacing w:line="560" w:lineRule="exact"/>
              <w:jc w:val="center"/>
              <w:rPr>
                <w:rFonts w:hint="eastAsia" w:ascii="仿宋" w:hAnsi="仿宋" w:eastAsia="仿宋"/>
                <w:sz w:val="24"/>
                <w:szCs w:val="24"/>
                <w:lang w:val="en-US" w:eastAsia="zh-Hans"/>
              </w:rPr>
            </w:pPr>
            <w:r>
              <w:rPr>
                <w:rFonts w:hint="eastAsia" w:ascii="仿宋" w:hAnsi="仿宋" w:eastAsia="仿宋"/>
                <w:sz w:val="24"/>
                <w:szCs w:val="24"/>
                <w:lang w:val="en-US" w:eastAsia="zh-Hans"/>
              </w:rPr>
              <w:t>项</w:t>
            </w:r>
          </w:p>
        </w:tc>
        <w:tc>
          <w:tcPr>
            <w:tcW w:w="5164" w:type="dxa"/>
            <w:noWrap w:val="0"/>
            <w:vAlign w:val="center"/>
          </w:tcPr>
          <w:p w14:paraId="21BEA621">
            <w:pPr>
              <w:pStyle w:val="9"/>
              <w:spacing w:line="560" w:lineRule="exact"/>
              <w:jc w:val="center"/>
              <w:rPr>
                <w:rFonts w:ascii="仿宋" w:hAnsi="仿宋" w:eastAsia="仿宋"/>
                <w:sz w:val="24"/>
                <w:szCs w:val="24"/>
              </w:rPr>
            </w:pPr>
          </w:p>
        </w:tc>
      </w:tr>
    </w:tbl>
    <w:p w14:paraId="372AEA6C">
      <w:pPr>
        <w:pStyle w:val="9"/>
        <w:spacing w:line="56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合同金额及付款方式</w:t>
      </w:r>
    </w:p>
    <w:p w14:paraId="145FD92A">
      <w:pPr>
        <w:pStyle w:val="9"/>
        <w:spacing w:line="560" w:lineRule="exact"/>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.1</w:t>
      </w:r>
      <w:r>
        <w:rPr>
          <w:rFonts w:hint="eastAsia" w:ascii="仿宋" w:hAnsi="仿宋" w:eastAsia="仿宋"/>
          <w:sz w:val="28"/>
          <w:szCs w:val="28"/>
        </w:rPr>
        <w:t>合同金额</w:t>
      </w:r>
    </w:p>
    <w:p w14:paraId="220EFE3B">
      <w:pPr>
        <w:pStyle w:val="9"/>
        <w:spacing w:line="560" w:lineRule="exact"/>
        <w:ind w:firstLine="560" w:firstLineChars="200"/>
        <w:rPr>
          <w:rFonts w:ascii="仿宋" w:hAnsi="仿宋" w:eastAsia="仿宋"/>
          <w:sz w:val="28"/>
          <w:szCs w:val="28"/>
        </w:rPr>
      </w:pPr>
      <w:r>
        <w:rPr>
          <w:rFonts w:hint="eastAsia" w:ascii="仿宋" w:hAnsi="仿宋" w:eastAsia="仿宋"/>
          <w:sz w:val="28"/>
          <w:szCs w:val="28"/>
        </w:rPr>
        <w:t>本合同总金额为人民币</w:t>
      </w:r>
      <w:r>
        <w:rPr>
          <w:rFonts w:ascii="仿宋" w:hAnsi="仿宋" w:eastAsia="仿宋"/>
          <w:sz w:val="28"/>
          <w:szCs w:val="28"/>
        </w:rPr>
        <w:t>______</w:t>
      </w:r>
      <w:r>
        <w:rPr>
          <w:rFonts w:hint="eastAsia" w:ascii="仿宋" w:hAnsi="仿宋" w:eastAsia="仿宋"/>
          <w:sz w:val="28"/>
          <w:szCs w:val="28"/>
        </w:rPr>
        <w:t>元</w:t>
      </w:r>
      <w:r>
        <w:rPr>
          <w:rFonts w:ascii="仿宋" w:hAnsi="仿宋" w:eastAsia="仿宋"/>
          <w:sz w:val="28"/>
          <w:szCs w:val="28"/>
        </w:rPr>
        <w:t>(</w:t>
      </w:r>
      <w:r>
        <w:rPr>
          <w:rFonts w:hint="eastAsia" w:ascii="仿宋" w:hAnsi="仿宋" w:eastAsia="仿宋"/>
          <w:sz w:val="28"/>
          <w:szCs w:val="28"/>
        </w:rPr>
        <w:t>¥</w:t>
      </w:r>
      <w:r>
        <w:rPr>
          <w:rFonts w:ascii="仿宋" w:hAnsi="仿宋" w:eastAsia="仿宋"/>
          <w:sz w:val="28"/>
          <w:szCs w:val="28"/>
        </w:rPr>
        <w:t>______)</w:t>
      </w:r>
      <w:r>
        <w:rPr>
          <w:rFonts w:hint="eastAsia" w:ascii="仿宋" w:hAnsi="仿宋" w:eastAsia="仿宋"/>
          <w:sz w:val="28"/>
          <w:szCs w:val="28"/>
        </w:rPr>
        <w:t>。本合同额已包含但不限于乙方为提供服务所产生的全部成本、预期利益、售后服务、税费和合同中规定乙方应承担的其他义务的费用等。</w:t>
      </w:r>
    </w:p>
    <w:p w14:paraId="468A2471">
      <w:pPr>
        <w:pStyle w:val="9"/>
        <w:spacing w:line="560" w:lineRule="exact"/>
        <w:ind w:firstLine="560" w:firstLineChars="200"/>
        <w:rPr>
          <w:rFonts w:hint="default" w:ascii="仿宋" w:hAnsi="仿宋" w:eastAsia="仿宋"/>
          <w:sz w:val="28"/>
          <w:szCs w:val="28"/>
          <w:u w:val="single"/>
          <w:lang w:val="en-US" w:eastAsia="zh-CN"/>
        </w:rPr>
      </w:pPr>
      <w:r>
        <w:rPr>
          <w:rFonts w:hint="eastAsia" w:ascii="仿宋" w:hAnsi="仿宋" w:eastAsia="仿宋"/>
          <w:sz w:val="28"/>
          <w:szCs w:val="28"/>
        </w:rPr>
        <w:t>3</w:t>
      </w:r>
      <w:r>
        <w:rPr>
          <w:rFonts w:ascii="仿宋" w:hAnsi="仿宋" w:eastAsia="仿宋"/>
          <w:sz w:val="28"/>
          <w:szCs w:val="28"/>
        </w:rPr>
        <w:t>.2</w:t>
      </w:r>
      <w:r>
        <w:rPr>
          <w:rFonts w:hint="eastAsia" w:ascii="仿宋" w:hAnsi="仿宋" w:eastAsia="仿宋"/>
          <w:sz w:val="28"/>
          <w:szCs w:val="28"/>
        </w:rPr>
        <w:t>付款方式</w:t>
      </w:r>
      <w:r>
        <w:rPr>
          <w:rFonts w:hint="eastAsia" w:ascii="仿宋" w:hAnsi="仿宋" w:eastAsia="仿宋"/>
          <w:sz w:val="28"/>
          <w:szCs w:val="28"/>
          <w:lang w:eastAsia="zh-CN"/>
        </w:rPr>
        <w:t>：</w:t>
      </w:r>
      <w:r>
        <w:rPr>
          <w:rFonts w:hint="eastAsia" w:ascii="仿宋" w:hAnsi="仿宋" w:eastAsia="仿宋"/>
          <w:sz w:val="28"/>
          <w:szCs w:val="28"/>
          <w:u w:val="single"/>
          <w:lang w:val="en-US" w:eastAsia="zh-CN"/>
        </w:rPr>
        <w:t xml:space="preserve">                        </w:t>
      </w:r>
    </w:p>
    <w:p w14:paraId="6B2BEDE5">
      <w:pPr>
        <w:pStyle w:val="9"/>
        <w:spacing w:line="560" w:lineRule="exact"/>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合同签订地：</w:t>
      </w:r>
      <w:r>
        <w:rPr>
          <w:rFonts w:ascii="仿宋" w:hAnsi="仿宋" w:eastAsia="仿宋"/>
          <w:sz w:val="28"/>
          <w:szCs w:val="28"/>
          <w:u w:val="single"/>
        </w:rPr>
        <w:t xml:space="preserve">         </w:t>
      </w:r>
    </w:p>
    <w:p w14:paraId="000E9B6C">
      <w:pPr>
        <w:pStyle w:val="9"/>
        <w:spacing w:line="560" w:lineRule="exact"/>
        <w:ind w:firstLine="560" w:firstLineChars="200"/>
        <w:rPr>
          <w:rFonts w:hint="eastAsia" w:ascii="仿宋" w:hAnsi="仿宋" w:eastAsia="仿宋"/>
          <w:sz w:val="28"/>
          <w:szCs w:val="28"/>
        </w:rPr>
      </w:pPr>
      <w:r>
        <w:rPr>
          <w:rFonts w:hint="eastAsia" w:ascii="仿宋" w:hAnsi="仿宋" w:eastAsia="仿宋"/>
          <w:sz w:val="28"/>
          <w:szCs w:val="28"/>
        </w:rPr>
        <w:t>根据实际情况填写</w:t>
      </w:r>
    </w:p>
    <w:p w14:paraId="5E4B2AE3">
      <w:pPr>
        <w:pStyle w:val="9"/>
        <w:spacing w:line="56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合同生效</w:t>
      </w:r>
    </w:p>
    <w:p w14:paraId="2AA15BC7">
      <w:pPr>
        <w:pStyle w:val="9"/>
        <w:spacing w:line="560" w:lineRule="exact"/>
        <w:ind w:firstLine="560" w:firstLineChars="200"/>
        <w:rPr>
          <w:rFonts w:ascii="仿宋" w:hAnsi="仿宋" w:eastAsia="仿宋"/>
          <w:sz w:val="28"/>
          <w:szCs w:val="28"/>
        </w:rPr>
      </w:pPr>
      <w:r>
        <w:rPr>
          <w:rFonts w:hint="eastAsia" w:ascii="仿宋" w:hAnsi="仿宋" w:eastAsia="仿宋"/>
          <w:sz w:val="28"/>
          <w:szCs w:val="28"/>
        </w:rPr>
        <w:t>本合同一式肆份，甲方执贰份、乙方执壹份、采购代理机构（见证方）执壹份。在甲、乙及见证方签字盖章后生效。</w:t>
      </w:r>
    </w:p>
    <w:p w14:paraId="3A80238B">
      <w:pPr>
        <w:pStyle w:val="9"/>
        <w:spacing w:line="560" w:lineRule="exact"/>
        <w:ind w:firstLine="560" w:firstLineChars="20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w:t>
      </w:r>
      <w:r>
        <w:rPr>
          <w:rFonts w:hint="eastAsia" w:ascii="仿宋" w:hAnsi="仿宋" w:eastAsia="仿宋"/>
          <w:sz w:val="28"/>
          <w:szCs w:val="28"/>
        </w:rPr>
        <w:t>其他约定：见证方只见证合同金额。</w:t>
      </w:r>
    </w:p>
    <w:tbl>
      <w:tblPr>
        <w:tblStyle w:val="19"/>
        <w:tblW w:w="8819" w:type="dxa"/>
        <w:tblInd w:w="93" w:type="dxa"/>
        <w:tblLayout w:type="autofit"/>
        <w:tblCellMar>
          <w:top w:w="0" w:type="dxa"/>
          <w:left w:w="108" w:type="dxa"/>
          <w:bottom w:w="0" w:type="dxa"/>
          <w:right w:w="108" w:type="dxa"/>
        </w:tblCellMar>
      </w:tblPr>
      <w:tblGrid>
        <w:gridCol w:w="4559"/>
        <w:gridCol w:w="4260"/>
      </w:tblGrid>
      <w:tr w14:paraId="5217F0C9">
        <w:tblPrEx>
          <w:tblCellMar>
            <w:top w:w="0" w:type="dxa"/>
            <w:left w:w="108" w:type="dxa"/>
            <w:bottom w:w="0" w:type="dxa"/>
            <w:right w:w="108" w:type="dxa"/>
          </w:tblCellMar>
        </w:tblPrEx>
        <w:trPr>
          <w:trHeight w:val="325" w:hRule="atLeast"/>
        </w:trPr>
        <w:tc>
          <w:tcPr>
            <w:tcW w:w="4559" w:type="dxa"/>
            <w:tcBorders>
              <w:top w:val="single" w:color="auto" w:sz="8" w:space="0"/>
              <w:left w:val="single" w:color="auto" w:sz="8" w:space="0"/>
              <w:bottom w:val="single" w:color="auto" w:sz="8" w:space="0"/>
              <w:right w:val="single" w:color="auto" w:sz="8" w:space="0"/>
            </w:tcBorders>
            <w:noWrap w:val="0"/>
            <w:vAlign w:val="center"/>
          </w:tcPr>
          <w:p w14:paraId="14AD73D8">
            <w:pPr>
              <w:widowControl/>
              <w:spacing w:line="560" w:lineRule="exact"/>
              <w:jc w:val="left"/>
              <w:rPr>
                <w:rFonts w:ascii="仿宋" w:hAnsi="仿宋" w:eastAsia="仿宋" w:cs="宋体"/>
                <w:color w:val="000000"/>
                <w:kern w:val="0"/>
                <w:sz w:val="24"/>
              </w:rPr>
            </w:pPr>
            <w:r>
              <w:rPr>
                <w:rFonts w:hint="eastAsia" w:ascii="仿宋" w:hAnsi="仿宋" w:eastAsia="仿宋" w:cs="宋体"/>
                <w:color w:val="000000"/>
                <w:kern w:val="0"/>
                <w:sz w:val="24"/>
              </w:rPr>
              <w:t>甲  方</w:t>
            </w:r>
          </w:p>
        </w:tc>
        <w:tc>
          <w:tcPr>
            <w:tcW w:w="4260" w:type="dxa"/>
            <w:tcBorders>
              <w:top w:val="single" w:color="auto" w:sz="8" w:space="0"/>
              <w:left w:val="nil"/>
              <w:bottom w:val="single" w:color="auto" w:sz="8" w:space="0"/>
              <w:right w:val="single" w:color="auto" w:sz="8" w:space="0"/>
            </w:tcBorders>
            <w:noWrap w:val="0"/>
            <w:vAlign w:val="center"/>
          </w:tcPr>
          <w:p w14:paraId="701A8CF9">
            <w:pPr>
              <w:widowControl/>
              <w:spacing w:line="560" w:lineRule="exact"/>
              <w:jc w:val="left"/>
              <w:rPr>
                <w:rFonts w:ascii="仿宋" w:hAnsi="仿宋" w:eastAsia="仿宋" w:cs="宋体"/>
                <w:color w:val="000000"/>
                <w:kern w:val="0"/>
                <w:sz w:val="24"/>
              </w:rPr>
            </w:pPr>
            <w:r>
              <w:rPr>
                <w:rFonts w:hint="eastAsia" w:ascii="仿宋" w:hAnsi="仿宋" w:eastAsia="仿宋" w:cs="宋体"/>
                <w:color w:val="000000"/>
                <w:kern w:val="0"/>
                <w:sz w:val="24"/>
              </w:rPr>
              <w:t>乙  方</w:t>
            </w:r>
          </w:p>
        </w:tc>
      </w:tr>
      <w:tr w14:paraId="5EE6EA58">
        <w:tblPrEx>
          <w:tblCellMar>
            <w:top w:w="0" w:type="dxa"/>
            <w:left w:w="108" w:type="dxa"/>
            <w:bottom w:w="0" w:type="dxa"/>
            <w:right w:w="108" w:type="dxa"/>
          </w:tblCellMar>
        </w:tblPrEx>
        <w:trPr>
          <w:trHeight w:val="423" w:hRule="atLeast"/>
        </w:trPr>
        <w:tc>
          <w:tcPr>
            <w:tcW w:w="4559" w:type="dxa"/>
            <w:vMerge w:val="restart"/>
            <w:tcBorders>
              <w:top w:val="nil"/>
              <w:left w:val="single" w:color="auto" w:sz="8" w:space="0"/>
              <w:bottom w:val="single" w:color="000000" w:sz="8" w:space="0"/>
              <w:right w:val="single" w:color="auto" w:sz="8" w:space="0"/>
            </w:tcBorders>
            <w:noWrap w:val="0"/>
            <w:vAlign w:val="center"/>
          </w:tcPr>
          <w:p w14:paraId="28FB1635">
            <w:pPr>
              <w:widowControl/>
              <w:spacing w:line="560" w:lineRule="exact"/>
              <w:jc w:val="center"/>
              <w:rPr>
                <w:rFonts w:ascii="仿宋" w:hAnsi="仿宋" w:eastAsia="仿宋" w:cs="宋体"/>
                <w:color w:val="000000"/>
                <w:kern w:val="0"/>
                <w:sz w:val="24"/>
              </w:rPr>
            </w:pPr>
            <w:r>
              <w:rPr>
                <w:rFonts w:hint="eastAsia" w:ascii="仿宋" w:hAnsi="仿宋" w:eastAsia="仿宋" w:cs="宋体"/>
                <w:color w:val="000000"/>
                <w:kern w:val="0"/>
                <w:sz w:val="24"/>
              </w:rPr>
              <w:t>（盖章）</w:t>
            </w:r>
          </w:p>
        </w:tc>
        <w:tc>
          <w:tcPr>
            <w:tcW w:w="4260" w:type="dxa"/>
            <w:tcBorders>
              <w:top w:val="nil"/>
              <w:left w:val="nil"/>
              <w:bottom w:val="nil"/>
              <w:right w:val="single" w:color="auto" w:sz="8" w:space="0"/>
            </w:tcBorders>
            <w:noWrap w:val="0"/>
            <w:vAlign w:val="center"/>
          </w:tcPr>
          <w:p w14:paraId="3C2130B7">
            <w:pPr>
              <w:widowControl/>
              <w:spacing w:line="560" w:lineRule="exact"/>
              <w:jc w:val="center"/>
              <w:rPr>
                <w:rFonts w:ascii="仿宋" w:hAnsi="仿宋" w:eastAsia="仿宋" w:cs="宋体"/>
                <w:color w:val="000000"/>
                <w:kern w:val="0"/>
                <w:sz w:val="24"/>
              </w:rPr>
            </w:pPr>
            <w:r>
              <w:rPr>
                <w:rFonts w:hint="eastAsia" w:ascii="仿宋" w:hAnsi="仿宋" w:eastAsia="仿宋" w:cs="宋体"/>
                <w:color w:val="000000"/>
                <w:kern w:val="0"/>
                <w:sz w:val="24"/>
              </w:rPr>
              <w:t>（盖章）</w:t>
            </w:r>
          </w:p>
        </w:tc>
      </w:tr>
      <w:tr w14:paraId="1E4E8EE4">
        <w:tblPrEx>
          <w:tblCellMar>
            <w:top w:w="0" w:type="dxa"/>
            <w:left w:w="108" w:type="dxa"/>
            <w:bottom w:w="0" w:type="dxa"/>
            <w:right w:w="108" w:type="dxa"/>
          </w:tblCellMar>
        </w:tblPrEx>
        <w:trPr>
          <w:trHeight w:val="325" w:hRule="atLeast"/>
        </w:trPr>
        <w:tc>
          <w:tcPr>
            <w:tcW w:w="4559" w:type="dxa"/>
            <w:vMerge w:val="continue"/>
            <w:tcBorders>
              <w:top w:val="nil"/>
              <w:left w:val="single" w:color="auto" w:sz="8" w:space="0"/>
              <w:bottom w:val="single" w:color="000000" w:sz="8" w:space="0"/>
              <w:right w:val="single" w:color="auto" w:sz="8" w:space="0"/>
            </w:tcBorders>
            <w:noWrap w:val="0"/>
            <w:vAlign w:val="center"/>
          </w:tcPr>
          <w:p w14:paraId="2E2D245E">
            <w:pPr>
              <w:widowControl/>
              <w:spacing w:line="560" w:lineRule="exact"/>
              <w:jc w:val="left"/>
              <w:rPr>
                <w:rFonts w:ascii="仿宋" w:hAnsi="仿宋" w:eastAsia="仿宋" w:cs="宋体"/>
                <w:color w:val="000000"/>
                <w:kern w:val="0"/>
                <w:sz w:val="24"/>
              </w:rPr>
            </w:pPr>
          </w:p>
        </w:tc>
        <w:tc>
          <w:tcPr>
            <w:tcW w:w="4260" w:type="dxa"/>
            <w:tcBorders>
              <w:top w:val="nil"/>
              <w:left w:val="nil"/>
              <w:bottom w:val="single" w:color="auto" w:sz="8" w:space="0"/>
              <w:right w:val="single" w:color="auto" w:sz="8" w:space="0"/>
            </w:tcBorders>
            <w:noWrap w:val="0"/>
            <w:vAlign w:val="center"/>
          </w:tcPr>
          <w:p w14:paraId="79932135">
            <w:pPr>
              <w:widowControl/>
              <w:spacing w:line="560" w:lineRule="exact"/>
              <w:jc w:val="center"/>
              <w:rPr>
                <w:rFonts w:ascii="仿宋" w:hAnsi="仿宋" w:eastAsia="仿宋" w:cs="宋体"/>
                <w:color w:val="000000"/>
                <w:kern w:val="0"/>
                <w:sz w:val="24"/>
              </w:rPr>
            </w:pPr>
          </w:p>
        </w:tc>
      </w:tr>
      <w:tr w14:paraId="0AC0590B">
        <w:tblPrEx>
          <w:tblCellMar>
            <w:top w:w="0" w:type="dxa"/>
            <w:left w:w="108" w:type="dxa"/>
            <w:bottom w:w="0" w:type="dxa"/>
            <w:right w:w="108" w:type="dxa"/>
          </w:tblCellMar>
        </w:tblPrEx>
        <w:trPr>
          <w:trHeight w:val="325" w:hRule="atLeast"/>
        </w:trPr>
        <w:tc>
          <w:tcPr>
            <w:tcW w:w="4559" w:type="dxa"/>
            <w:tcBorders>
              <w:top w:val="nil"/>
              <w:left w:val="single" w:color="auto" w:sz="8" w:space="0"/>
              <w:bottom w:val="single" w:color="auto" w:sz="8" w:space="0"/>
              <w:right w:val="single" w:color="auto" w:sz="8" w:space="0"/>
            </w:tcBorders>
            <w:noWrap w:val="0"/>
            <w:vAlign w:val="center"/>
          </w:tcPr>
          <w:p w14:paraId="27178786">
            <w:pPr>
              <w:widowControl/>
              <w:spacing w:line="560" w:lineRule="exact"/>
              <w:jc w:val="left"/>
              <w:rPr>
                <w:rFonts w:ascii="仿宋" w:hAnsi="仿宋" w:eastAsia="仿宋" w:cs="宋体"/>
                <w:color w:val="000000"/>
                <w:kern w:val="0"/>
                <w:sz w:val="24"/>
              </w:rPr>
            </w:pPr>
            <w:r>
              <w:rPr>
                <w:rFonts w:hint="eastAsia" w:ascii="仿宋" w:hAnsi="仿宋" w:eastAsia="仿宋" w:cs="宋体"/>
                <w:color w:val="000000"/>
                <w:kern w:val="0"/>
                <w:sz w:val="24"/>
              </w:rPr>
              <w:t>地址：</w:t>
            </w:r>
          </w:p>
        </w:tc>
        <w:tc>
          <w:tcPr>
            <w:tcW w:w="4260" w:type="dxa"/>
            <w:tcBorders>
              <w:top w:val="nil"/>
              <w:left w:val="nil"/>
              <w:bottom w:val="single" w:color="auto" w:sz="8" w:space="0"/>
              <w:right w:val="single" w:color="auto" w:sz="8" w:space="0"/>
            </w:tcBorders>
            <w:noWrap w:val="0"/>
            <w:vAlign w:val="center"/>
          </w:tcPr>
          <w:p w14:paraId="293EFC37">
            <w:pPr>
              <w:widowControl/>
              <w:spacing w:line="560" w:lineRule="exact"/>
              <w:jc w:val="left"/>
              <w:rPr>
                <w:rFonts w:ascii="仿宋" w:hAnsi="仿宋" w:eastAsia="仿宋" w:cs="宋体"/>
                <w:color w:val="000000"/>
                <w:kern w:val="0"/>
                <w:sz w:val="24"/>
              </w:rPr>
            </w:pPr>
            <w:r>
              <w:rPr>
                <w:rFonts w:hint="eastAsia" w:ascii="仿宋" w:hAnsi="仿宋" w:eastAsia="仿宋" w:cs="宋体"/>
                <w:color w:val="000000"/>
                <w:kern w:val="0"/>
                <w:sz w:val="24"/>
              </w:rPr>
              <w:t>地址：</w:t>
            </w:r>
          </w:p>
        </w:tc>
      </w:tr>
      <w:tr w14:paraId="7BD59C52">
        <w:tblPrEx>
          <w:tblCellMar>
            <w:top w:w="0" w:type="dxa"/>
            <w:left w:w="108" w:type="dxa"/>
            <w:bottom w:w="0" w:type="dxa"/>
            <w:right w:w="108" w:type="dxa"/>
          </w:tblCellMar>
        </w:tblPrEx>
        <w:trPr>
          <w:trHeight w:val="325" w:hRule="atLeast"/>
        </w:trPr>
        <w:tc>
          <w:tcPr>
            <w:tcW w:w="4559" w:type="dxa"/>
            <w:tcBorders>
              <w:top w:val="nil"/>
              <w:left w:val="single" w:color="auto" w:sz="8" w:space="0"/>
              <w:bottom w:val="single" w:color="auto" w:sz="8" w:space="0"/>
              <w:right w:val="single" w:color="auto" w:sz="8" w:space="0"/>
            </w:tcBorders>
            <w:noWrap w:val="0"/>
            <w:vAlign w:val="center"/>
          </w:tcPr>
          <w:p w14:paraId="0DFBB9F3">
            <w:pPr>
              <w:widowControl/>
              <w:spacing w:line="560" w:lineRule="exact"/>
              <w:jc w:val="left"/>
              <w:rPr>
                <w:rFonts w:ascii="仿宋" w:hAnsi="仿宋" w:eastAsia="仿宋" w:cs="宋体"/>
                <w:color w:val="000000"/>
                <w:kern w:val="0"/>
                <w:sz w:val="24"/>
              </w:rPr>
            </w:pPr>
            <w:r>
              <w:rPr>
                <w:rFonts w:hint="eastAsia" w:ascii="仿宋" w:hAnsi="仿宋" w:eastAsia="仿宋" w:cs="宋体"/>
                <w:color w:val="000000"/>
                <w:kern w:val="0"/>
                <w:sz w:val="24"/>
              </w:rPr>
              <w:t>邮编：</w:t>
            </w:r>
          </w:p>
        </w:tc>
        <w:tc>
          <w:tcPr>
            <w:tcW w:w="4260" w:type="dxa"/>
            <w:tcBorders>
              <w:top w:val="nil"/>
              <w:left w:val="nil"/>
              <w:bottom w:val="single" w:color="auto" w:sz="8" w:space="0"/>
              <w:right w:val="single" w:color="auto" w:sz="8" w:space="0"/>
            </w:tcBorders>
            <w:noWrap w:val="0"/>
            <w:vAlign w:val="center"/>
          </w:tcPr>
          <w:p w14:paraId="0DA6A8D2">
            <w:pPr>
              <w:widowControl/>
              <w:spacing w:line="560" w:lineRule="exact"/>
              <w:jc w:val="left"/>
              <w:rPr>
                <w:rFonts w:ascii="仿宋" w:hAnsi="仿宋" w:eastAsia="仿宋" w:cs="宋体"/>
                <w:color w:val="000000"/>
                <w:kern w:val="0"/>
                <w:sz w:val="24"/>
              </w:rPr>
            </w:pPr>
            <w:r>
              <w:rPr>
                <w:rFonts w:hint="eastAsia" w:ascii="仿宋" w:hAnsi="仿宋" w:eastAsia="仿宋" w:cs="宋体"/>
                <w:color w:val="000000"/>
                <w:kern w:val="0"/>
                <w:sz w:val="24"/>
              </w:rPr>
              <w:t>邮编：</w:t>
            </w:r>
          </w:p>
        </w:tc>
      </w:tr>
      <w:tr w14:paraId="0F50D97D">
        <w:tblPrEx>
          <w:tblCellMar>
            <w:top w:w="0" w:type="dxa"/>
            <w:left w:w="108" w:type="dxa"/>
            <w:bottom w:w="0" w:type="dxa"/>
            <w:right w:w="108" w:type="dxa"/>
          </w:tblCellMar>
        </w:tblPrEx>
        <w:trPr>
          <w:trHeight w:val="334" w:hRule="atLeast"/>
        </w:trPr>
        <w:tc>
          <w:tcPr>
            <w:tcW w:w="4559" w:type="dxa"/>
            <w:vMerge w:val="restart"/>
            <w:tcBorders>
              <w:top w:val="nil"/>
              <w:left w:val="single" w:color="auto" w:sz="8" w:space="0"/>
              <w:bottom w:val="single" w:color="000000" w:sz="8" w:space="0"/>
              <w:right w:val="single" w:color="auto" w:sz="8" w:space="0"/>
            </w:tcBorders>
            <w:noWrap w:val="0"/>
            <w:vAlign w:val="center"/>
          </w:tcPr>
          <w:p w14:paraId="28477A98">
            <w:pPr>
              <w:widowControl/>
              <w:spacing w:line="560" w:lineRule="exact"/>
              <w:jc w:val="left"/>
              <w:rPr>
                <w:rFonts w:ascii="仿宋" w:hAnsi="仿宋" w:eastAsia="仿宋" w:cs="宋体"/>
                <w:color w:val="000000"/>
                <w:kern w:val="0"/>
                <w:sz w:val="24"/>
              </w:rPr>
            </w:pPr>
            <w:r>
              <w:rPr>
                <w:rFonts w:hint="eastAsia" w:ascii="仿宋" w:hAnsi="仿宋" w:eastAsia="仿宋" w:cs="宋体"/>
                <w:color w:val="000000"/>
                <w:kern w:val="0"/>
                <w:sz w:val="24"/>
              </w:rPr>
              <w:t>全权代表：（签字）</w:t>
            </w:r>
          </w:p>
        </w:tc>
        <w:tc>
          <w:tcPr>
            <w:tcW w:w="4260" w:type="dxa"/>
            <w:tcBorders>
              <w:top w:val="nil"/>
              <w:left w:val="nil"/>
              <w:bottom w:val="single" w:color="auto" w:sz="8" w:space="0"/>
              <w:right w:val="single" w:color="auto" w:sz="8" w:space="0"/>
            </w:tcBorders>
            <w:noWrap w:val="0"/>
            <w:vAlign w:val="center"/>
          </w:tcPr>
          <w:p w14:paraId="6CFE5631">
            <w:pPr>
              <w:widowControl/>
              <w:spacing w:line="560" w:lineRule="exact"/>
              <w:jc w:val="left"/>
              <w:rPr>
                <w:rFonts w:ascii="仿宋" w:hAnsi="仿宋" w:eastAsia="仿宋" w:cs="宋体"/>
                <w:color w:val="000000"/>
                <w:kern w:val="0"/>
                <w:sz w:val="24"/>
              </w:rPr>
            </w:pPr>
            <w:r>
              <w:rPr>
                <w:rFonts w:hint="eastAsia" w:ascii="仿宋" w:hAnsi="仿宋" w:eastAsia="仿宋" w:cs="宋体"/>
                <w:color w:val="000000"/>
                <w:kern w:val="0"/>
                <w:sz w:val="24"/>
              </w:rPr>
              <w:t>法定代表人：</w:t>
            </w:r>
          </w:p>
        </w:tc>
      </w:tr>
      <w:tr w14:paraId="46031017">
        <w:tblPrEx>
          <w:tblCellMar>
            <w:top w:w="0" w:type="dxa"/>
            <w:left w:w="108" w:type="dxa"/>
            <w:bottom w:w="0" w:type="dxa"/>
            <w:right w:w="108" w:type="dxa"/>
          </w:tblCellMar>
        </w:tblPrEx>
        <w:trPr>
          <w:trHeight w:val="325" w:hRule="atLeast"/>
        </w:trPr>
        <w:tc>
          <w:tcPr>
            <w:tcW w:w="4559" w:type="dxa"/>
            <w:vMerge w:val="continue"/>
            <w:tcBorders>
              <w:top w:val="nil"/>
              <w:left w:val="single" w:color="auto" w:sz="8" w:space="0"/>
              <w:bottom w:val="single" w:color="000000" w:sz="8" w:space="0"/>
              <w:right w:val="single" w:color="auto" w:sz="8" w:space="0"/>
            </w:tcBorders>
            <w:noWrap w:val="0"/>
            <w:vAlign w:val="center"/>
          </w:tcPr>
          <w:p w14:paraId="6A606FD6">
            <w:pPr>
              <w:widowControl/>
              <w:spacing w:line="560" w:lineRule="exact"/>
              <w:jc w:val="left"/>
              <w:rPr>
                <w:rFonts w:ascii="仿宋" w:hAnsi="仿宋" w:eastAsia="仿宋" w:cs="宋体"/>
                <w:color w:val="000000"/>
                <w:kern w:val="0"/>
                <w:sz w:val="24"/>
              </w:rPr>
            </w:pPr>
          </w:p>
        </w:tc>
        <w:tc>
          <w:tcPr>
            <w:tcW w:w="4260" w:type="dxa"/>
            <w:tcBorders>
              <w:top w:val="nil"/>
              <w:left w:val="nil"/>
              <w:bottom w:val="single" w:color="auto" w:sz="8" w:space="0"/>
              <w:right w:val="single" w:color="auto" w:sz="8" w:space="0"/>
            </w:tcBorders>
            <w:noWrap w:val="0"/>
            <w:vAlign w:val="center"/>
          </w:tcPr>
          <w:p w14:paraId="56C155E1">
            <w:pPr>
              <w:widowControl/>
              <w:spacing w:line="560" w:lineRule="exact"/>
              <w:jc w:val="left"/>
              <w:rPr>
                <w:rFonts w:ascii="仿宋" w:hAnsi="仿宋" w:eastAsia="仿宋" w:cs="宋体"/>
                <w:color w:val="000000"/>
                <w:kern w:val="0"/>
                <w:sz w:val="24"/>
              </w:rPr>
            </w:pPr>
            <w:r>
              <w:rPr>
                <w:rFonts w:hint="eastAsia" w:ascii="仿宋" w:hAnsi="仿宋" w:eastAsia="仿宋" w:cs="宋体"/>
                <w:color w:val="000000"/>
                <w:kern w:val="0"/>
                <w:sz w:val="24"/>
              </w:rPr>
              <w:t>被授权代表：（签字）</w:t>
            </w:r>
          </w:p>
        </w:tc>
      </w:tr>
      <w:tr w14:paraId="56FCA15C">
        <w:tblPrEx>
          <w:tblCellMar>
            <w:top w:w="0" w:type="dxa"/>
            <w:left w:w="108" w:type="dxa"/>
            <w:bottom w:w="0" w:type="dxa"/>
            <w:right w:w="108" w:type="dxa"/>
          </w:tblCellMar>
        </w:tblPrEx>
        <w:trPr>
          <w:trHeight w:val="325" w:hRule="atLeast"/>
        </w:trPr>
        <w:tc>
          <w:tcPr>
            <w:tcW w:w="4559" w:type="dxa"/>
            <w:tcBorders>
              <w:top w:val="nil"/>
              <w:left w:val="single" w:color="auto" w:sz="8" w:space="0"/>
              <w:bottom w:val="single" w:color="auto" w:sz="8" w:space="0"/>
              <w:right w:val="single" w:color="auto" w:sz="8" w:space="0"/>
            </w:tcBorders>
            <w:noWrap w:val="0"/>
            <w:vAlign w:val="center"/>
          </w:tcPr>
          <w:p w14:paraId="1BF73357">
            <w:pPr>
              <w:widowControl/>
              <w:spacing w:line="560" w:lineRule="exact"/>
              <w:jc w:val="left"/>
              <w:rPr>
                <w:rFonts w:ascii="仿宋" w:hAnsi="仿宋" w:eastAsia="仿宋" w:cs="宋体"/>
                <w:color w:val="000000"/>
                <w:kern w:val="0"/>
                <w:sz w:val="24"/>
              </w:rPr>
            </w:pPr>
            <w:r>
              <w:rPr>
                <w:rFonts w:hint="eastAsia" w:ascii="仿宋" w:hAnsi="仿宋" w:eastAsia="仿宋" w:cs="宋体"/>
                <w:color w:val="000000"/>
                <w:kern w:val="0"/>
                <w:sz w:val="24"/>
              </w:rPr>
              <w:t>电话：</w:t>
            </w:r>
          </w:p>
        </w:tc>
        <w:tc>
          <w:tcPr>
            <w:tcW w:w="4260" w:type="dxa"/>
            <w:tcBorders>
              <w:top w:val="nil"/>
              <w:left w:val="nil"/>
              <w:bottom w:val="single" w:color="auto" w:sz="8" w:space="0"/>
              <w:right w:val="single" w:color="auto" w:sz="8" w:space="0"/>
            </w:tcBorders>
            <w:noWrap w:val="0"/>
            <w:vAlign w:val="center"/>
          </w:tcPr>
          <w:p w14:paraId="5AEFA2D6">
            <w:pPr>
              <w:widowControl/>
              <w:spacing w:line="560" w:lineRule="exact"/>
              <w:jc w:val="left"/>
              <w:rPr>
                <w:rFonts w:ascii="仿宋" w:hAnsi="仿宋" w:eastAsia="仿宋" w:cs="宋体"/>
                <w:color w:val="000000"/>
                <w:kern w:val="0"/>
                <w:sz w:val="24"/>
              </w:rPr>
            </w:pPr>
            <w:r>
              <w:rPr>
                <w:rFonts w:hint="eastAsia" w:ascii="仿宋" w:hAnsi="仿宋" w:eastAsia="仿宋" w:cs="宋体"/>
                <w:color w:val="000000"/>
                <w:kern w:val="0"/>
                <w:sz w:val="24"/>
              </w:rPr>
              <w:t>电话：</w:t>
            </w:r>
          </w:p>
        </w:tc>
      </w:tr>
      <w:tr w14:paraId="1FB60F7A">
        <w:tblPrEx>
          <w:tblCellMar>
            <w:top w:w="0" w:type="dxa"/>
            <w:left w:w="108" w:type="dxa"/>
            <w:bottom w:w="0" w:type="dxa"/>
            <w:right w:w="108" w:type="dxa"/>
          </w:tblCellMar>
        </w:tblPrEx>
        <w:trPr>
          <w:trHeight w:val="325" w:hRule="atLeast"/>
        </w:trPr>
        <w:tc>
          <w:tcPr>
            <w:tcW w:w="4559" w:type="dxa"/>
            <w:vMerge w:val="restart"/>
            <w:tcBorders>
              <w:top w:val="nil"/>
              <w:left w:val="single" w:color="auto" w:sz="8" w:space="0"/>
              <w:bottom w:val="single" w:color="000000" w:sz="8" w:space="0"/>
              <w:right w:val="single" w:color="auto" w:sz="8" w:space="0"/>
            </w:tcBorders>
            <w:noWrap w:val="0"/>
            <w:vAlign w:val="center"/>
          </w:tcPr>
          <w:p w14:paraId="5B927F79">
            <w:pPr>
              <w:widowControl/>
              <w:spacing w:line="560" w:lineRule="exact"/>
              <w:jc w:val="left"/>
              <w:rPr>
                <w:rFonts w:ascii="仿宋" w:hAnsi="仿宋" w:eastAsia="仿宋" w:cs="宋体"/>
                <w:color w:val="000000"/>
                <w:kern w:val="0"/>
                <w:sz w:val="24"/>
              </w:rPr>
            </w:pPr>
            <w:r>
              <w:rPr>
                <w:rFonts w:hint="eastAsia" w:ascii="仿宋" w:hAnsi="仿宋" w:eastAsia="仿宋" w:cs="宋体"/>
                <w:color w:val="000000"/>
                <w:kern w:val="0"/>
                <w:sz w:val="24"/>
              </w:rPr>
              <w:t>传真：</w:t>
            </w:r>
          </w:p>
        </w:tc>
        <w:tc>
          <w:tcPr>
            <w:tcW w:w="4260" w:type="dxa"/>
            <w:tcBorders>
              <w:top w:val="nil"/>
              <w:left w:val="nil"/>
              <w:bottom w:val="single" w:color="auto" w:sz="8" w:space="0"/>
              <w:right w:val="single" w:color="auto" w:sz="8" w:space="0"/>
            </w:tcBorders>
            <w:noWrap w:val="0"/>
            <w:vAlign w:val="center"/>
          </w:tcPr>
          <w:p w14:paraId="6374CFEE">
            <w:pPr>
              <w:widowControl/>
              <w:spacing w:line="560" w:lineRule="exact"/>
              <w:jc w:val="left"/>
              <w:rPr>
                <w:rFonts w:ascii="仿宋" w:hAnsi="仿宋" w:eastAsia="仿宋" w:cs="宋体"/>
                <w:color w:val="000000"/>
                <w:kern w:val="0"/>
                <w:sz w:val="24"/>
              </w:rPr>
            </w:pPr>
            <w:r>
              <w:rPr>
                <w:rFonts w:hint="eastAsia" w:ascii="仿宋" w:hAnsi="仿宋" w:eastAsia="仿宋" w:cs="宋体"/>
                <w:color w:val="000000"/>
                <w:kern w:val="0"/>
                <w:sz w:val="24"/>
              </w:rPr>
              <w:t>传真：</w:t>
            </w:r>
          </w:p>
        </w:tc>
      </w:tr>
      <w:tr w14:paraId="2A43C4B7">
        <w:tblPrEx>
          <w:tblCellMar>
            <w:top w:w="0" w:type="dxa"/>
            <w:left w:w="108" w:type="dxa"/>
            <w:bottom w:w="0" w:type="dxa"/>
            <w:right w:w="108" w:type="dxa"/>
          </w:tblCellMar>
        </w:tblPrEx>
        <w:trPr>
          <w:trHeight w:val="325" w:hRule="atLeast"/>
        </w:trPr>
        <w:tc>
          <w:tcPr>
            <w:tcW w:w="4559" w:type="dxa"/>
            <w:vMerge w:val="continue"/>
            <w:tcBorders>
              <w:top w:val="nil"/>
              <w:left w:val="single" w:color="auto" w:sz="8" w:space="0"/>
              <w:bottom w:val="single" w:color="000000" w:sz="8" w:space="0"/>
              <w:right w:val="single" w:color="auto" w:sz="8" w:space="0"/>
            </w:tcBorders>
            <w:noWrap w:val="0"/>
            <w:vAlign w:val="center"/>
          </w:tcPr>
          <w:p w14:paraId="65975B67">
            <w:pPr>
              <w:widowControl/>
              <w:spacing w:line="560" w:lineRule="exact"/>
              <w:jc w:val="left"/>
              <w:rPr>
                <w:rFonts w:ascii="仿宋" w:hAnsi="仿宋" w:eastAsia="仿宋" w:cs="宋体"/>
                <w:color w:val="000000"/>
                <w:kern w:val="0"/>
                <w:sz w:val="24"/>
              </w:rPr>
            </w:pPr>
          </w:p>
        </w:tc>
        <w:tc>
          <w:tcPr>
            <w:tcW w:w="4260" w:type="dxa"/>
            <w:tcBorders>
              <w:top w:val="nil"/>
              <w:left w:val="nil"/>
              <w:bottom w:val="single" w:color="auto" w:sz="8" w:space="0"/>
              <w:right w:val="single" w:color="auto" w:sz="8" w:space="0"/>
            </w:tcBorders>
            <w:noWrap w:val="0"/>
            <w:vAlign w:val="center"/>
          </w:tcPr>
          <w:p w14:paraId="63CE8D6D">
            <w:pPr>
              <w:widowControl/>
              <w:spacing w:line="560" w:lineRule="exact"/>
              <w:jc w:val="left"/>
              <w:rPr>
                <w:rFonts w:ascii="仿宋" w:hAnsi="仿宋" w:eastAsia="仿宋" w:cs="宋体"/>
                <w:color w:val="000000"/>
                <w:kern w:val="0"/>
                <w:sz w:val="24"/>
              </w:rPr>
            </w:pPr>
            <w:r>
              <w:rPr>
                <w:rFonts w:hint="eastAsia" w:ascii="仿宋" w:hAnsi="仿宋" w:eastAsia="仿宋" w:cs="宋体"/>
                <w:color w:val="000000"/>
                <w:kern w:val="0"/>
                <w:sz w:val="24"/>
              </w:rPr>
              <w:t>开户银行：</w:t>
            </w:r>
          </w:p>
        </w:tc>
      </w:tr>
      <w:tr w14:paraId="56DB91EC">
        <w:tblPrEx>
          <w:tblCellMar>
            <w:top w:w="0" w:type="dxa"/>
            <w:left w:w="108" w:type="dxa"/>
            <w:bottom w:w="0" w:type="dxa"/>
            <w:right w:w="108" w:type="dxa"/>
          </w:tblCellMar>
        </w:tblPrEx>
        <w:trPr>
          <w:trHeight w:val="325" w:hRule="atLeast"/>
        </w:trPr>
        <w:tc>
          <w:tcPr>
            <w:tcW w:w="4559" w:type="dxa"/>
            <w:vMerge w:val="continue"/>
            <w:tcBorders>
              <w:top w:val="nil"/>
              <w:left w:val="single" w:color="auto" w:sz="8" w:space="0"/>
              <w:bottom w:val="single" w:color="000000" w:sz="8" w:space="0"/>
              <w:right w:val="single" w:color="auto" w:sz="8" w:space="0"/>
            </w:tcBorders>
            <w:noWrap w:val="0"/>
            <w:vAlign w:val="center"/>
          </w:tcPr>
          <w:p w14:paraId="450F8121">
            <w:pPr>
              <w:widowControl/>
              <w:spacing w:line="560" w:lineRule="exact"/>
              <w:jc w:val="left"/>
              <w:rPr>
                <w:rFonts w:ascii="仿宋" w:hAnsi="仿宋" w:eastAsia="仿宋" w:cs="宋体"/>
                <w:color w:val="000000"/>
                <w:kern w:val="0"/>
                <w:sz w:val="24"/>
              </w:rPr>
            </w:pPr>
          </w:p>
        </w:tc>
        <w:tc>
          <w:tcPr>
            <w:tcW w:w="4260" w:type="dxa"/>
            <w:tcBorders>
              <w:top w:val="nil"/>
              <w:left w:val="nil"/>
              <w:bottom w:val="single" w:color="auto" w:sz="8" w:space="0"/>
              <w:right w:val="single" w:color="auto" w:sz="8" w:space="0"/>
            </w:tcBorders>
            <w:noWrap w:val="0"/>
            <w:vAlign w:val="center"/>
          </w:tcPr>
          <w:p w14:paraId="3B109438">
            <w:pPr>
              <w:widowControl/>
              <w:spacing w:line="560" w:lineRule="exact"/>
              <w:jc w:val="left"/>
              <w:rPr>
                <w:rFonts w:ascii="仿宋" w:hAnsi="仿宋" w:eastAsia="仿宋" w:cs="宋体"/>
                <w:color w:val="000000"/>
                <w:kern w:val="0"/>
                <w:sz w:val="24"/>
              </w:rPr>
            </w:pPr>
            <w:r>
              <w:rPr>
                <w:rFonts w:hint="eastAsia" w:ascii="仿宋" w:hAnsi="仿宋" w:eastAsia="仿宋" w:cs="宋体"/>
                <w:color w:val="000000"/>
                <w:kern w:val="0"/>
                <w:sz w:val="24"/>
              </w:rPr>
              <w:t>账号:</w:t>
            </w:r>
          </w:p>
        </w:tc>
      </w:tr>
      <w:tr w14:paraId="05C80BE2">
        <w:tblPrEx>
          <w:tblCellMar>
            <w:top w:w="0" w:type="dxa"/>
            <w:left w:w="108" w:type="dxa"/>
            <w:bottom w:w="0" w:type="dxa"/>
            <w:right w:w="108" w:type="dxa"/>
          </w:tblCellMar>
        </w:tblPrEx>
        <w:trPr>
          <w:trHeight w:val="325" w:hRule="atLeast"/>
        </w:trPr>
        <w:tc>
          <w:tcPr>
            <w:tcW w:w="4559" w:type="dxa"/>
            <w:tcBorders>
              <w:top w:val="nil"/>
              <w:left w:val="single" w:color="auto" w:sz="8" w:space="0"/>
              <w:bottom w:val="single" w:color="auto" w:sz="8" w:space="0"/>
              <w:right w:val="single" w:color="auto" w:sz="8" w:space="0"/>
            </w:tcBorders>
            <w:noWrap w:val="0"/>
            <w:vAlign w:val="center"/>
          </w:tcPr>
          <w:p w14:paraId="5CFC0E73">
            <w:pPr>
              <w:widowControl/>
              <w:spacing w:line="560" w:lineRule="exact"/>
              <w:jc w:val="left"/>
              <w:rPr>
                <w:rFonts w:ascii="仿宋" w:hAnsi="仿宋" w:eastAsia="仿宋" w:cs="宋体"/>
                <w:color w:val="000000"/>
                <w:kern w:val="0"/>
                <w:sz w:val="24"/>
              </w:rPr>
            </w:pPr>
            <w:r>
              <w:rPr>
                <w:rFonts w:hint="eastAsia" w:ascii="仿宋" w:hAnsi="仿宋" w:eastAsia="仿宋" w:cs="宋体"/>
                <w:color w:val="000000"/>
                <w:kern w:val="0"/>
                <w:sz w:val="24"/>
              </w:rPr>
              <w:t>日期：     年   月   日</w:t>
            </w:r>
          </w:p>
        </w:tc>
        <w:tc>
          <w:tcPr>
            <w:tcW w:w="4260" w:type="dxa"/>
            <w:tcBorders>
              <w:top w:val="nil"/>
              <w:left w:val="nil"/>
              <w:bottom w:val="single" w:color="auto" w:sz="8" w:space="0"/>
              <w:right w:val="single" w:color="auto" w:sz="8" w:space="0"/>
            </w:tcBorders>
            <w:noWrap w:val="0"/>
            <w:vAlign w:val="center"/>
          </w:tcPr>
          <w:p w14:paraId="18A11828">
            <w:pPr>
              <w:widowControl/>
              <w:spacing w:line="560" w:lineRule="exact"/>
              <w:jc w:val="left"/>
              <w:rPr>
                <w:rFonts w:ascii="仿宋" w:hAnsi="仿宋" w:eastAsia="仿宋" w:cs="宋体"/>
                <w:color w:val="000000"/>
                <w:kern w:val="0"/>
                <w:sz w:val="24"/>
              </w:rPr>
            </w:pPr>
            <w:r>
              <w:rPr>
                <w:rFonts w:hint="eastAsia" w:ascii="仿宋" w:hAnsi="仿宋" w:eastAsia="仿宋" w:cs="宋体"/>
                <w:color w:val="000000"/>
                <w:kern w:val="0"/>
                <w:sz w:val="24"/>
              </w:rPr>
              <w:t>日期：     年   月   日</w:t>
            </w:r>
          </w:p>
        </w:tc>
      </w:tr>
    </w:tbl>
    <w:p w14:paraId="441E0690">
      <w:pPr>
        <w:pStyle w:val="9"/>
        <w:spacing w:line="560" w:lineRule="exact"/>
        <w:rPr>
          <w:rFonts w:hint="eastAsia" w:ascii="仿宋" w:hAnsi="仿宋" w:eastAsia="仿宋"/>
          <w:sz w:val="28"/>
          <w:szCs w:val="28"/>
        </w:rPr>
      </w:pPr>
    </w:p>
    <w:p w14:paraId="5A91F36A">
      <w:pPr>
        <w:pStyle w:val="9"/>
        <w:spacing w:line="560" w:lineRule="exact"/>
        <w:rPr>
          <w:rFonts w:hint="eastAsia" w:ascii="仿宋" w:hAnsi="仿宋" w:eastAsia="仿宋"/>
          <w:sz w:val="28"/>
          <w:szCs w:val="28"/>
        </w:rPr>
      </w:pPr>
    </w:p>
    <w:p w14:paraId="0D85F4A7">
      <w:pPr>
        <w:pStyle w:val="9"/>
        <w:spacing w:line="560" w:lineRule="exact"/>
        <w:rPr>
          <w:rFonts w:hint="eastAsia" w:ascii="仿宋" w:hAnsi="仿宋" w:eastAsia="仿宋"/>
          <w:sz w:val="28"/>
          <w:szCs w:val="28"/>
        </w:rPr>
      </w:pPr>
    </w:p>
    <w:p w14:paraId="499FB30B">
      <w:pPr>
        <w:pStyle w:val="9"/>
        <w:spacing w:line="560" w:lineRule="exact"/>
        <w:rPr>
          <w:rFonts w:hint="eastAsia" w:ascii="仿宋" w:hAnsi="仿宋" w:eastAsia="仿宋"/>
          <w:sz w:val="28"/>
          <w:szCs w:val="28"/>
        </w:rPr>
      </w:pPr>
    </w:p>
    <w:p w14:paraId="4A9590E2">
      <w:pPr>
        <w:pStyle w:val="9"/>
        <w:spacing w:line="560" w:lineRule="exact"/>
        <w:rPr>
          <w:rFonts w:hint="eastAsia" w:ascii="仿宋" w:hAnsi="仿宋" w:eastAsia="仿宋"/>
          <w:sz w:val="28"/>
          <w:szCs w:val="28"/>
        </w:rPr>
      </w:pPr>
    </w:p>
    <w:p w14:paraId="0BA0635C">
      <w:pPr>
        <w:pStyle w:val="9"/>
        <w:spacing w:line="560" w:lineRule="exact"/>
        <w:rPr>
          <w:rFonts w:hint="eastAsia" w:ascii="仿宋" w:hAnsi="仿宋" w:eastAsia="仿宋"/>
          <w:sz w:val="28"/>
          <w:szCs w:val="28"/>
        </w:rPr>
      </w:pPr>
    </w:p>
    <w:p w14:paraId="555E9934">
      <w:pPr>
        <w:pStyle w:val="9"/>
        <w:spacing w:line="560" w:lineRule="exact"/>
        <w:rPr>
          <w:rFonts w:ascii="仿宋" w:hAnsi="仿宋" w:eastAsia="仿宋"/>
          <w:sz w:val="28"/>
          <w:szCs w:val="28"/>
        </w:rPr>
      </w:pPr>
      <w:r>
        <w:rPr>
          <w:rFonts w:hint="eastAsia" w:ascii="仿宋" w:hAnsi="仿宋" w:eastAsia="仿宋"/>
          <w:sz w:val="28"/>
          <w:szCs w:val="28"/>
        </w:rPr>
        <w:t>一、合同条款</w:t>
      </w:r>
    </w:p>
    <w:p w14:paraId="133C13A6">
      <w:pPr>
        <w:pStyle w:val="9"/>
        <w:spacing w:line="560" w:lineRule="exact"/>
        <w:ind w:firstLine="560" w:firstLineChars="200"/>
        <w:jc w:val="center"/>
        <w:rPr>
          <w:rFonts w:hint="eastAsia" w:ascii="仿宋" w:hAnsi="仿宋" w:eastAsia="仿宋"/>
          <w:sz w:val="28"/>
          <w:szCs w:val="28"/>
        </w:rPr>
      </w:pPr>
    </w:p>
    <w:p w14:paraId="730B1178">
      <w:pPr>
        <w:pStyle w:val="9"/>
        <w:spacing w:line="560" w:lineRule="exact"/>
        <w:ind w:firstLine="560" w:firstLineChars="200"/>
        <w:jc w:val="center"/>
        <w:rPr>
          <w:rFonts w:ascii="仿宋" w:hAnsi="仿宋" w:eastAsia="仿宋" w:cs="MingLiU_HKSCS"/>
          <w:sz w:val="28"/>
          <w:szCs w:val="28"/>
        </w:rPr>
      </w:pPr>
      <w:r>
        <w:rPr>
          <w:rFonts w:hint="eastAsia" w:ascii="仿宋" w:hAnsi="仿宋" w:eastAsia="仿宋"/>
          <w:sz w:val="28"/>
          <w:szCs w:val="28"/>
        </w:rPr>
        <w:t>合同条款前附表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8663"/>
      </w:tblGrid>
      <w:tr w14:paraId="7D154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noWrap w:val="0"/>
            <w:vAlign w:val="center"/>
          </w:tcPr>
          <w:p w14:paraId="7B2AF05F">
            <w:pPr>
              <w:pStyle w:val="9"/>
              <w:spacing w:line="240" w:lineRule="auto"/>
              <w:jc w:val="center"/>
              <w:rPr>
                <w:rFonts w:ascii="仿宋" w:hAnsi="仿宋" w:eastAsia="仿宋"/>
                <w:sz w:val="28"/>
                <w:szCs w:val="28"/>
              </w:rPr>
            </w:pPr>
            <w:r>
              <w:rPr>
                <w:rFonts w:hint="eastAsia" w:ascii="仿宋" w:hAnsi="仿宋" w:eastAsia="仿宋"/>
                <w:sz w:val="28"/>
                <w:szCs w:val="28"/>
              </w:rPr>
              <w:t>序号</w:t>
            </w:r>
          </w:p>
        </w:tc>
        <w:tc>
          <w:tcPr>
            <w:tcW w:w="4607" w:type="pct"/>
            <w:noWrap w:val="0"/>
            <w:vAlign w:val="center"/>
          </w:tcPr>
          <w:p w14:paraId="2F88E250">
            <w:pPr>
              <w:pStyle w:val="9"/>
              <w:spacing w:line="240" w:lineRule="auto"/>
              <w:jc w:val="center"/>
              <w:rPr>
                <w:rFonts w:ascii="仿宋" w:hAnsi="仿宋" w:eastAsia="仿宋" w:cs="MingLiU_HKSCS"/>
                <w:sz w:val="28"/>
                <w:szCs w:val="28"/>
              </w:rPr>
            </w:pPr>
            <w:r>
              <w:rPr>
                <w:rFonts w:hint="eastAsia" w:ascii="仿宋" w:hAnsi="仿宋" w:eastAsia="仿宋"/>
                <w:sz w:val="28"/>
                <w:szCs w:val="28"/>
              </w:rPr>
              <w:t>内容</w:t>
            </w:r>
          </w:p>
        </w:tc>
      </w:tr>
      <w:tr w14:paraId="45B4A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392" w:type="pct"/>
            <w:noWrap w:val="0"/>
            <w:vAlign w:val="center"/>
          </w:tcPr>
          <w:p w14:paraId="59A00694">
            <w:pPr>
              <w:pStyle w:val="9"/>
              <w:spacing w:line="560" w:lineRule="exact"/>
              <w:jc w:val="center"/>
              <w:rPr>
                <w:rFonts w:ascii="仿宋" w:hAnsi="仿宋" w:eastAsia="仿宋"/>
                <w:sz w:val="28"/>
                <w:szCs w:val="28"/>
              </w:rPr>
            </w:pPr>
            <w:r>
              <w:rPr>
                <w:rFonts w:ascii="仿宋" w:hAnsi="仿宋" w:eastAsia="仿宋"/>
                <w:sz w:val="28"/>
                <w:szCs w:val="28"/>
              </w:rPr>
              <w:t>1</w:t>
            </w:r>
          </w:p>
        </w:tc>
        <w:tc>
          <w:tcPr>
            <w:tcW w:w="4607" w:type="pct"/>
            <w:noWrap w:val="0"/>
            <w:vAlign w:val="center"/>
          </w:tcPr>
          <w:p w14:paraId="5C2CC6DA">
            <w:pPr>
              <w:pStyle w:val="9"/>
              <w:spacing w:line="312" w:lineRule="auto"/>
              <w:jc w:val="left"/>
              <w:rPr>
                <w:rFonts w:ascii="仿宋" w:hAnsi="仿宋" w:eastAsia="仿宋"/>
                <w:sz w:val="28"/>
                <w:szCs w:val="28"/>
              </w:rPr>
            </w:pPr>
            <w:r>
              <w:rPr>
                <w:rFonts w:hint="eastAsia" w:ascii="仿宋" w:hAnsi="仿宋" w:eastAsia="仿宋"/>
                <w:sz w:val="28"/>
                <w:szCs w:val="28"/>
              </w:rPr>
              <w:t>合同名称：</w:t>
            </w:r>
          </w:p>
          <w:p w14:paraId="37D7BA71">
            <w:pPr>
              <w:pStyle w:val="9"/>
              <w:spacing w:line="312" w:lineRule="auto"/>
              <w:jc w:val="left"/>
              <w:rPr>
                <w:rFonts w:ascii="仿宋" w:hAnsi="仿宋" w:eastAsia="仿宋"/>
                <w:sz w:val="28"/>
                <w:szCs w:val="28"/>
              </w:rPr>
            </w:pPr>
            <w:r>
              <w:rPr>
                <w:rFonts w:hint="eastAsia" w:ascii="仿宋" w:hAnsi="仿宋" w:eastAsia="仿宋"/>
                <w:sz w:val="28"/>
                <w:szCs w:val="28"/>
              </w:rPr>
              <w:t>合同编号：</w:t>
            </w:r>
          </w:p>
        </w:tc>
      </w:tr>
      <w:tr w14:paraId="11545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Merge w:val="restart"/>
            <w:noWrap w:val="0"/>
            <w:vAlign w:val="center"/>
          </w:tcPr>
          <w:p w14:paraId="06315AAC">
            <w:pPr>
              <w:pStyle w:val="9"/>
              <w:spacing w:line="560" w:lineRule="exact"/>
              <w:jc w:val="center"/>
              <w:rPr>
                <w:rFonts w:ascii="仿宋" w:hAnsi="仿宋" w:eastAsia="仿宋"/>
                <w:sz w:val="28"/>
                <w:szCs w:val="28"/>
              </w:rPr>
            </w:pPr>
            <w:r>
              <w:rPr>
                <w:rFonts w:ascii="仿宋" w:hAnsi="仿宋" w:eastAsia="仿宋"/>
                <w:sz w:val="28"/>
                <w:szCs w:val="28"/>
              </w:rPr>
              <w:t>2</w:t>
            </w:r>
          </w:p>
        </w:tc>
        <w:tc>
          <w:tcPr>
            <w:tcW w:w="4607" w:type="pct"/>
            <w:noWrap w:val="0"/>
            <w:vAlign w:val="center"/>
          </w:tcPr>
          <w:p w14:paraId="1585EE5B">
            <w:pPr>
              <w:pStyle w:val="9"/>
              <w:spacing w:line="312" w:lineRule="auto"/>
              <w:jc w:val="left"/>
              <w:rPr>
                <w:rFonts w:ascii="仿宋" w:hAnsi="仿宋" w:eastAsia="仿宋"/>
                <w:sz w:val="28"/>
                <w:szCs w:val="28"/>
              </w:rPr>
            </w:pPr>
            <w:r>
              <w:rPr>
                <w:rFonts w:hint="eastAsia" w:ascii="仿宋" w:hAnsi="仿宋" w:eastAsia="仿宋"/>
                <w:sz w:val="28"/>
                <w:szCs w:val="28"/>
              </w:rPr>
              <w:t>甲方名称：</w:t>
            </w:r>
          </w:p>
        </w:tc>
      </w:tr>
      <w:tr w14:paraId="6DD0A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Merge w:val="continue"/>
            <w:noWrap w:val="0"/>
            <w:vAlign w:val="center"/>
          </w:tcPr>
          <w:p w14:paraId="006CA0F3">
            <w:pPr>
              <w:pStyle w:val="9"/>
              <w:spacing w:line="560" w:lineRule="exact"/>
              <w:jc w:val="center"/>
              <w:rPr>
                <w:rFonts w:ascii="仿宋" w:hAnsi="仿宋" w:eastAsia="仿宋"/>
                <w:sz w:val="28"/>
                <w:szCs w:val="28"/>
              </w:rPr>
            </w:pPr>
          </w:p>
        </w:tc>
        <w:tc>
          <w:tcPr>
            <w:tcW w:w="4607" w:type="pct"/>
            <w:noWrap w:val="0"/>
            <w:vAlign w:val="center"/>
          </w:tcPr>
          <w:p w14:paraId="397F71B7">
            <w:pPr>
              <w:pStyle w:val="9"/>
              <w:spacing w:line="312" w:lineRule="auto"/>
              <w:jc w:val="left"/>
              <w:rPr>
                <w:rFonts w:ascii="仿宋" w:hAnsi="仿宋" w:eastAsia="仿宋"/>
                <w:sz w:val="28"/>
                <w:szCs w:val="28"/>
              </w:rPr>
            </w:pPr>
            <w:r>
              <w:rPr>
                <w:rFonts w:hint="eastAsia" w:ascii="仿宋" w:hAnsi="仿宋" w:eastAsia="仿宋"/>
                <w:sz w:val="28"/>
                <w:szCs w:val="28"/>
              </w:rPr>
              <w:t>甲方地址：</w:t>
            </w:r>
          </w:p>
        </w:tc>
      </w:tr>
      <w:tr w14:paraId="2DE38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Merge w:val="continue"/>
            <w:noWrap w:val="0"/>
            <w:vAlign w:val="center"/>
          </w:tcPr>
          <w:p w14:paraId="795148FC">
            <w:pPr>
              <w:pStyle w:val="9"/>
              <w:spacing w:line="560" w:lineRule="exact"/>
              <w:jc w:val="center"/>
              <w:rPr>
                <w:rFonts w:ascii="仿宋" w:hAnsi="仿宋" w:eastAsia="仿宋"/>
                <w:sz w:val="28"/>
                <w:szCs w:val="28"/>
              </w:rPr>
            </w:pPr>
          </w:p>
        </w:tc>
        <w:tc>
          <w:tcPr>
            <w:tcW w:w="4607" w:type="pct"/>
            <w:noWrap w:val="0"/>
            <w:vAlign w:val="center"/>
          </w:tcPr>
          <w:p w14:paraId="4FE1C1A7">
            <w:pPr>
              <w:pStyle w:val="9"/>
              <w:spacing w:line="312" w:lineRule="auto"/>
              <w:jc w:val="left"/>
              <w:rPr>
                <w:rFonts w:ascii="仿宋" w:hAnsi="仿宋" w:eastAsia="仿宋" w:cs="MingLiU_HKSCS"/>
                <w:sz w:val="28"/>
                <w:szCs w:val="28"/>
              </w:rPr>
            </w:pPr>
            <w:r>
              <w:rPr>
                <w:rFonts w:hint="eastAsia" w:ascii="仿宋" w:hAnsi="仿宋" w:eastAsia="仿宋"/>
                <w:sz w:val="28"/>
                <w:szCs w:val="28"/>
              </w:rPr>
              <w:t>甲方联系人：　　　　电话：</w:t>
            </w:r>
          </w:p>
        </w:tc>
      </w:tr>
      <w:tr w14:paraId="30797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Merge w:val="restart"/>
            <w:noWrap w:val="0"/>
            <w:vAlign w:val="center"/>
          </w:tcPr>
          <w:p w14:paraId="50C93D1B">
            <w:pPr>
              <w:pStyle w:val="9"/>
              <w:spacing w:line="560" w:lineRule="exact"/>
              <w:jc w:val="center"/>
              <w:rPr>
                <w:rFonts w:ascii="仿宋" w:hAnsi="仿宋" w:eastAsia="仿宋"/>
                <w:sz w:val="28"/>
                <w:szCs w:val="28"/>
              </w:rPr>
            </w:pPr>
            <w:r>
              <w:rPr>
                <w:rFonts w:ascii="仿宋" w:hAnsi="仿宋" w:eastAsia="仿宋"/>
                <w:sz w:val="28"/>
                <w:szCs w:val="28"/>
              </w:rPr>
              <w:t>3</w:t>
            </w:r>
          </w:p>
        </w:tc>
        <w:tc>
          <w:tcPr>
            <w:tcW w:w="4607" w:type="pct"/>
            <w:noWrap w:val="0"/>
            <w:vAlign w:val="center"/>
          </w:tcPr>
          <w:p w14:paraId="4040DA1A">
            <w:pPr>
              <w:pStyle w:val="9"/>
              <w:spacing w:line="312" w:lineRule="auto"/>
              <w:jc w:val="left"/>
              <w:rPr>
                <w:rFonts w:ascii="仿宋" w:hAnsi="仿宋" w:eastAsia="仿宋"/>
                <w:sz w:val="28"/>
                <w:szCs w:val="28"/>
              </w:rPr>
            </w:pPr>
            <w:r>
              <w:rPr>
                <w:rFonts w:hint="eastAsia" w:ascii="仿宋" w:hAnsi="仿宋" w:eastAsia="仿宋"/>
                <w:sz w:val="28"/>
                <w:szCs w:val="28"/>
              </w:rPr>
              <w:t>乙方名称：</w:t>
            </w:r>
          </w:p>
        </w:tc>
      </w:tr>
      <w:tr w14:paraId="1B526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Merge w:val="continue"/>
            <w:noWrap w:val="0"/>
            <w:vAlign w:val="center"/>
          </w:tcPr>
          <w:p w14:paraId="10705E27">
            <w:pPr>
              <w:pStyle w:val="9"/>
              <w:spacing w:line="560" w:lineRule="exact"/>
              <w:jc w:val="center"/>
              <w:rPr>
                <w:rFonts w:ascii="仿宋" w:hAnsi="仿宋" w:eastAsia="仿宋"/>
                <w:sz w:val="28"/>
                <w:szCs w:val="28"/>
              </w:rPr>
            </w:pPr>
          </w:p>
        </w:tc>
        <w:tc>
          <w:tcPr>
            <w:tcW w:w="4607" w:type="pct"/>
            <w:noWrap w:val="0"/>
            <w:vAlign w:val="center"/>
          </w:tcPr>
          <w:p w14:paraId="202173EC">
            <w:pPr>
              <w:pStyle w:val="9"/>
              <w:spacing w:line="312" w:lineRule="auto"/>
              <w:jc w:val="left"/>
              <w:rPr>
                <w:rFonts w:ascii="仿宋" w:hAnsi="仿宋" w:eastAsia="仿宋"/>
                <w:sz w:val="28"/>
                <w:szCs w:val="28"/>
              </w:rPr>
            </w:pPr>
            <w:r>
              <w:rPr>
                <w:rFonts w:hint="eastAsia" w:ascii="仿宋" w:hAnsi="仿宋" w:eastAsia="仿宋"/>
                <w:sz w:val="28"/>
                <w:szCs w:val="28"/>
              </w:rPr>
              <w:t>乙方地址：</w:t>
            </w:r>
          </w:p>
        </w:tc>
      </w:tr>
      <w:tr w14:paraId="66E6D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Merge w:val="continue"/>
            <w:noWrap w:val="0"/>
            <w:vAlign w:val="center"/>
          </w:tcPr>
          <w:p w14:paraId="5F1E7CF2">
            <w:pPr>
              <w:pStyle w:val="9"/>
              <w:spacing w:line="560" w:lineRule="exact"/>
              <w:jc w:val="center"/>
              <w:rPr>
                <w:rFonts w:ascii="仿宋" w:hAnsi="仿宋" w:eastAsia="仿宋"/>
                <w:sz w:val="28"/>
                <w:szCs w:val="28"/>
              </w:rPr>
            </w:pPr>
          </w:p>
        </w:tc>
        <w:tc>
          <w:tcPr>
            <w:tcW w:w="4607" w:type="pct"/>
            <w:noWrap w:val="0"/>
            <w:vAlign w:val="center"/>
          </w:tcPr>
          <w:p w14:paraId="36A7E90D">
            <w:pPr>
              <w:pStyle w:val="9"/>
              <w:spacing w:line="312" w:lineRule="auto"/>
              <w:jc w:val="left"/>
              <w:rPr>
                <w:rFonts w:ascii="仿宋" w:hAnsi="仿宋" w:eastAsia="仿宋" w:cs="MingLiU_HKSCS"/>
                <w:sz w:val="28"/>
                <w:szCs w:val="28"/>
              </w:rPr>
            </w:pPr>
            <w:r>
              <w:rPr>
                <w:rFonts w:hint="eastAsia" w:ascii="仿宋" w:hAnsi="仿宋" w:eastAsia="仿宋"/>
                <w:sz w:val="28"/>
                <w:szCs w:val="28"/>
              </w:rPr>
              <w:t>乙方联系人：　　　　电话：</w:t>
            </w:r>
          </w:p>
        </w:tc>
      </w:tr>
      <w:tr w14:paraId="500B6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Merge w:val="continue"/>
            <w:noWrap w:val="0"/>
            <w:vAlign w:val="center"/>
          </w:tcPr>
          <w:p w14:paraId="584FD22B">
            <w:pPr>
              <w:pStyle w:val="9"/>
              <w:spacing w:line="560" w:lineRule="exact"/>
              <w:jc w:val="center"/>
              <w:rPr>
                <w:rFonts w:ascii="仿宋" w:hAnsi="仿宋" w:eastAsia="仿宋"/>
                <w:sz w:val="28"/>
                <w:szCs w:val="28"/>
              </w:rPr>
            </w:pPr>
          </w:p>
        </w:tc>
        <w:tc>
          <w:tcPr>
            <w:tcW w:w="4607" w:type="pct"/>
            <w:noWrap w:val="0"/>
            <w:vAlign w:val="center"/>
          </w:tcPr>
          <w:p w14:paraId="52F082FD">
            <w:pPr>
              <w:pStyle w:val="9"/>
              <w:spacing w:line="312" w:lineRule="auto"/>
              <w:jc w:val="left"/>
              <w:rPr>
                <w:rFonts w:ascii="仿宋" w:hAnsi="仿宋" w:eastAsia="仿宋"/>
                <w:sz w:val="28"/>
                <w:szCs w:val="28"/>
              </w:rPr>
            </w:pPr>
            <w:r>
              <w:rPr>
                <w:rFonts w:hint="eastAsia" w:ascii="仿宋" w:hAnsi="仿宋" w:eastAsia="仿宋"/>
                <w:sz w:val="28"/>
                <w:szCs w:val="28"/>
              </w:rPr>
              <w:t>乙方开户银行名称：</w:t>
            </w:r>
          </w:p>
          <w:p w14:paraId="6510943B">
            <w:pPr>
              <w:pStyle w:val="9"/>
              <w:spacing w:line="312" w:lineRule="auto"/>
              <w:jc w:val="left"/>
              <w:rPr>
                <w:rFonts w:hint="eastAsia" w:ascii="仿宋" w:hAnsi="仿宋" w:eastAsia="仿宋"/>
                <w:sz w:val="28"/>
                <w:szCs w:val="28"/>
              </w:rPr>
            </w:pPr>
            <w:r>
              <w:rPr>
                <w:rFonts w:hint="eastAsia" w:ascii="仿宋" w:hAnsi="仿宋" w:eastAsia="仿宋"/>
                <w:sz w:val="28"/>
                <w:szCs w:val="28"/>
              </w:rPr>
              <w:t>账号：</w:t>
            </w:r>
          </w:p>
        </w:tc>
      </w:tr>
      <w:tr w14:paraId="48434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noWrap w:val="0"/>
            <w:vAlign w:val="center"/>
          </w:tcPr>
          <w:p w14:paraId="0E88025B">
            <w:pPr>
              <w:pStyle w:val="9"/>
              <w:spacing w:line="560" w:lineRule="exact"/>
              <w:jc w:val="center"/>
              <w:rPr>
                <w:rFonts w:hint="eastAsia" w:ascii="仿宋" w:hAnsi="仿宋" w:eastAsia="仿宋"/>
                <w:sz w:val="28"/>
                <w:szCs w:val="28"/>
                <w:lang w:eastAsia="zh-CN"/>
              </w:rPr>
            </w:pPr>
            <w:r>
              <w:rPr>
                <w:rFonts w:hint="eastAsia" w:ascii="仿宋" w:hAnsi="仿宋" w:eastAsia="仿宋"/>
                <w:sz w:val="28"/>
                <w:szCs w:val="28"/>
                <w:lang w:val="en-US" w:eastAsia="zh-CN"/>
              </w:rPr>
              <w:t>4</w:t>
            </w:r>
          </w:p>
        </w:tc>
        <w:tc>
          <w:tcPr>
            <w:tcW w:w="4607" w:type="pct"/>
            <w:noWrap w:val="0"/>
            <w:vAlign w:val="center"/>
          </w:tcPr>
          <w:p w14:paraId="52F1B9ED">
            <w:pPr>
              <w:pStyle w:val="9"/>
              <w:spacing w:line="312" w:lineRule="auto"/>
              <w:jc w:val="left"/>
              <w:rPr>
                <w:rFonts w:ascii="仿宋" w:hAnsi="仿宋" w:eastAsia="仿宋" w:cs="MingLiU_HKSCS"/>
                <w:sz w:val="28"/>
                <w:szCs w:val="28"/>
              </w:rPr>
            </w:pPr>
            <w:r>
              <w:rPr>
                <w:rFonts w:hint="eastAsia" w:ascii="仿宋" w:hAnsi="仿宋" w:eastAsia="仿宋"/>
                <w:sz w:val="28"/>
                <w:szCs w:val="28"/>
              </w:rPr>
              <w:t>合同金额：</w:t>
            </w:r>
          </w:p>
        </w:tc>
      </w:tr>
      <w:tr w14:paraId="6293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noWrap w:val="0"/>
            <w:vAlign w:val="center"/>
          </w:tcPr>
          <w:p w14:paraId="18FCD83A">
            <w:pPr>
              <w:pStyle w:val="9"/>
              <w:spacing w:line="560" w:lineRule="exact"/>
              <w:jc w:val="center"/>
              <w:rPr>
                <w:rFonts w:hint="eastAsia" w:ascii="仿宋" w:hAnsi="仿宋" w:eastAsia="仿宋"/>
                <w:sz w:val="28"/>
                <w:szCs w:val="28"/>
                <w:lang w:eastAsia="zh-CN"/>
              </w:rPr>
            </w:pPr>
            <w:r>
              <w:rPr>
                <w:rFonts w:hint="eastAsia" w:ascii="仿宋" w:hAnsi="仿宋" w:eastAsia="仿宋"/>
                <w:sz w:val="28"/>
                <w:szCs w:val="28"/>
                <w:lang w:val="en-US" w:eastAsia="zh-CN"/>
              </w:rPr>
              <w:t>5</w:t>
            </w:r>
          </w:p>
        </w:tc>
        <w:tc>
          <w:tcPr>
            <w:tcW w:w="4607" w:type="pct"/>
            <w:noWrap w:val="0"/>
            <w:vAlign w:val="center"/>
          </w:tcPr>
          <w:p w14:paraId="65676E04">
            <w:pPr>
              <w:pStyle w:val="9"/>
              <w:spacing w:line="312" w:lineRule="auto"/>
              <w:jc w:val="left"/>
              <w:rPr>
                <w:rFonts w:ascii="仿宋" w:hAnsi="仿宋" w:eastAsia="仿宋"/>
                <w:sz w:val="28"/>
                <w:szCs w:val="28"/>
              </w:rPr>
            </w:pPr>
            <w:r>
              <w:rPr>
                <w:rFonts w:hint="eastAsia" w:ascii="仿宋" w:hAnsi="仿宋" w:eastAsia="仿宋"/>
                <w:sz w:val="28"/>
                <w:szCs w:val="28"/>
              </w:rPr>
              <w:t>服务时间、地点：</w:t>
            </w:r>
          </w:p>
        </w:tc>
      </w:tr>
      <w:tr w14:paraId="6EF33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noWrap w:val="0"/>
            <w:vAlign w:val="center"/>
          </w:tcPr>
          <w:p w14:paraId="36918E0D">
            <w:pPr>
              <w:pStyle w:val="9"/>
              <w:spacing w:line="560" w:lineRule="exact"/>
              <w:jc w:val="center"/>
              <w:rPr>
                <w:rFonts w:hint="eastAsia" w:ascii="仿宋" w:hAnsi="仿宋" w:eastAsia="仿宋"/>
                <w:sz w:val="28"/>
                <w:szCs w:val="28"/>
                <w:lang w:eastAsia="zh-CN"/>
              </w:rPr>
            </w:pPr>
            <w:r>
              <w:rPr>
                <w:rFonts w:hint="eastAsia" w:ascii="仿宋" w:hAnsi="仿宋" w:eastAsia="仿宋"/>
                <w:sz w:val="28"/>
                <w:szCs w:val="28"/>
                <w:lang w:val="en-US" w:eastAsia="zh-CN"/>
              </w:rPr>
              <w:t>6</w:t>
            </w:r>
          </w:p>
        </w:tc>
        <w:tc>
          <w:tcPr>
            <w:tcW w:w="4607" w:type="pct"/>
            <w:noWrap w:val="0"/>
            <w:vAlign w:val="center"/>
          </w:tcPr>
          <w:p w14:paraId="2FBAC1C2">
            <w:pPr>
              <w:pStyle w:val="9"/>
              <w:spacing w:line="312" w:lineRule="auto"/>
              <w:jc w:val="left"/>
              <w:rPr>
                <w:rFonts w:ascii="仿宋" w:hAnsi="仿宋" w:eastAsia="仿宋"/>
                <w:sz w:val="28"/>
                <w:szCs w:val="28"/>
              </w:rPr>
            </w:pPr>
            <w:r>
              <w:rPr>
                <w:rFonts w:hint="eastAsia" w:ascii="仿宋" w:hAnsi="仿宋" w:eastAsia="仿宋"/>
                <w:sz w:val="28"/>
                <w:szCs w:val="28"/>
              </w:rPr>
              <w:t>服务履行期：</w:t>
            </w:r>
          </w:p>
        </w:tc>
      </w:tr>
      <w:tr w14:paraId="1E14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noWrap w:val="0"/>
            <w:vAlign w:val="center"/>
          </w:tcPr>
          <w:p w14:paraId="0A0AE064">
            <w:pPr>
              <w:pStyle w:val="9"/>
              <w:spacing w:line="560" w:lineRule="exact"/>
              <w:jc w:val="center"/>
              <w:rPr>
                <w:rFonts w:hint="eastAsia" w:ascii="仿宋" w:hAnsi="仿宋" w:eastAsia="仿宋"/>
                <w:sz w:val="28"/>
                <w:szCs w:val="28"/>
                <w:lang w:eastAsia="zh-CN"/>
              </w:rPr>
            </w:pPr>
            <w:r>
              <w:rPr>
                <w:rFonts w:hint="eastAsia" w:ascii="仿宋" w:hAnsi="仿宋" w:eastAsia="仿宋"/>
                <w:sz w:val="28"/>
                <w:szCs w:val="28"/>
                <w:lang w:val="en-US" w:eastAsia="zh-CN"/>
              </w:rPr>
              <w:t>7</w:t>
            </w:r>
          </w:p>
        </w:tc>
        <w:tc>
          <w:tcPr>
            <w:tcW w:w="4607" w:type="pct"/>
            <w:noWrap w:val="0"/>
            <w:vAlign w:val="center"/>
          </w:tcPr>
          <w:p w14:paraId="03A31C4C">
            <w:pPr>
              <w:pStyle w:val="9"/>
              <w:spacing w:line="312" w:lineRule="auto"/>
              <w:jc w:val="left"/>
              <w:rPr>
                <w:rFonts w:ascii="仿宋" w:hAnsi="仿宋" w:eastAsia="仿宋"/>
                <w:sz w:val="28"/>
                <w:szCs w:val="28"/>
              </w:rPr>
            </w:pPr>
            <w:r>
              <w:rPr>
                <w:rFonts w:hint="eastAsia" w:ascii="仿宋" w:hAnsi="仿宋" w:eastAsia="仿宋"/>
                <w:sz w:val="28"/>
                <w:szCs w:val="28"/>
              </w:rPr>
              <w:t>验收方式及标准：</w:t>
            </w:r>
          </w:p>
        </w:tc>
      </w:tr>
      <w:tr w14:paraId="75C3E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noWrap w:val="0"/>
            <w:vAlign w:val="center"/>
          </w:tcPr>
          <w:p w14:paraId="264DAB18">
            <w:pPr>
              <w:pStyle w:val="9"/>
              <w:spacing w:line="560" w:lineRule="exact"/>
              <w:jc w:val="center"/>
              <w:rPr>
                <w:rFonts w:hint="eastAsia" w:ascii="仿宋" w:hAnsi="仿宋" w:eastAsia="仿宋"/>
                <w:sz w:val="28"/>
                <w:szCs w:val="28"/>
                <w:lang w:eastAsia="zh-CN"/>
              </w:rPr>
            </w:pPr>
            <w:r>
              <w:rPr>
                <w:rFonts w:hint="eastAsia" w:ascii="仿宋" w:hAnsi="仿宋" w:eastAsia="仿宋"/>
                <w:sz w:val="28"/>
                <w:szCs w:val="28"/>
                <w:lang w:val="en-US" w:eastAsia="zh-CN"/>
              </w:rPr>
              <w:t>8</w:t>
            </w:r>
          </w:p>
        </w:tc>
        <w:tc>
          <w:tcPr>
            <w:tcW w:w="4607" w:type="pct"/>
            <w:noWrap w:val="0"/>
            <w:vAlign w:val="center"/>
          </w:tcPr>
          <w:p w14:paraId="0A82CC82">
            <w:pPr>
              <w:pStyle w:val="9"/>
              <w:spacing w:line="312" w:lineRule="auto"/>
              <w:jc w:val="left"/>
              <w:rPr>
                <w:rFonts w:ascii="仿宋" w:hAnsi="仿宋" w:eastAsia="仿宋"/>
                <w:sz w:val="28"/>
                <w:szCs w:val="28"/>
              </w:rPr>
            </w:pPr>
            <w:r>
              <w:rPr>
                <w:rFonts w:hint="eastAsia" w:ascii="仿宋" w:hAnsi="仿宋" w:eastAsia="仿宋"/>
                <w:sz w:val="28"/>
                <w:szCs w:val="28"/>
              </w:rPr>
              <w:t>付款方式：</w:t>
            </w:r>
          </w:p>
        </w:tc>
      </w:tr>
      <w:tr w14:paraId="63C30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noWrap w:val="0"/>
            <w:vAlign w:val="center"/>
          </w:tcPr>
          <w:p w14:paraId="5A80B9D4">
            <w:pPr>
              <w:pStyle w:val="9"/>
              <w:spacing w:line="560" w:lineRule="exact"/>
              <w:jc w:val="center"/>
              <w:rPr>
                <w:rFonts w:hint="eastAsia" w:ascii="仿宋" w:hAnsi="仿宋" w:eastAsia="仿宋"/>
                <w:sz w:val="28"/>
                <w:szCs w:val="28"/>
                <w:lang w:eastAsia="zh-CN"/>
              </w:rPr>
            </w:pPr>
            <w:r>
              <w:rPr>
                <w:rFonts w:hint="eastAsia" w:ascii="仿宋" w:hAnsi="仿宋" w:eastAsia="仿宋"/>
                <w:sz w:val="28"/>
                <w:szCs w:val="28"/>
                <w:lang w:val="en-US" w:eastAsia="zh-CN"/>
              </w:rPr>
              <w:t>9</w:t>
            </w:r>
          </w:p>
        </w:tc>
        <w:tc>
          <w:tcPr>
            <w:tcW w:w="4607" w:type="pct"/>
            <w:noWrap w:val="0"/>
            <w:vAlign w:val="center"/>
          </w:tcPr>
          <w:p w14:paraId="49F314E4">
            <w:pPr>
              <w:pStyle w:val="9"/>
              <w:spacing w:line="312" w:lineRule="auto"/>
              <w:jc w:val="left"/>
              <w:rPr>
                <w:rFonts w:ascii="仿宋" w:hAnsi="仿宋" w:eastAsia="仿宋"/>
                <w:sz w:val="28"/>
                <w:szCs w:val="28"/>
              </w:rPr>
            </w:pPr>
            <w:r>
              <w:rPr>
                <w:rFonts w:hint="eastAsia" w:ascii="仿宋" w:hAnsi="仿宋" w:eastAsia="仿宋"/>
                <w:sz w:val="28"/>
                <w:szCs w:val="28"/>
              </w:rPr>
              <w:t>履约保证金及其返还：</w:t>
            </w:r>
          </w:p>
        </w:tc>
      </w:tr>
      <w:tr w14:paraId="0A669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392" w:type="pct"/>
            <w:noWrap w:val="0"/>
            <w:vAlign w:val="center"/>
          </w:tcPr>
          <w:p w14:paraId="6FFEAE35">
            <w:pPr>
              <w:pStyle w:val="9"/>
              <w:spacing w:line="560" w:lineRule="exact"/>
              <w:jc w:val="center"/>
              <w:rPr>
                <w:rFonts w:hint="eastAsia" w:ascii="仿宋" w:hAnsi="仿宋" w:eastAsia="仿宋"/>
                <w:sz w:val="28"/>
                <w:szCs w:val="28"/>
                <w:lang w:eastAsia="zh-CN"/>
              </w:rPr>
            </w:pPr>
            <w:r>
              <w:rPr>
                <w:rFonts w:ascii="仿宋" w:hAnsi="仿宋" w:eastAsia="仿宋"/>
                <w:sz w:val="28"/>
                <w:szCs w:val="28"/>
              </w:rPr>
              <w:t>1</w:t>
            </w:r>
            <w:r>
              <w:rPr>
                <w:rFonts w:hint="eastAsia" w:ascii="仿宋" w:hAnsi="仿宋" w:eastAsia="仿宋"/>
                <w:sz w:val="28"/>
                <w:szCs w:val="28"/>
                <w:lang w:val="en-US" w:eastAsia="zh-CN"/>
              </w:rPr>
              <w:t>0</w:t>
            </w:r>
          </w:p>
        </w:tc>
        <w:tc>
          <w:tcPr>
            <w:tcW w:w="4607" w:type="pct"/>
            <w:noWrap w:val="0"/>
            <w:vAlign w:val="center"/>
          </w:tcPr>
          <w:p w14:paraId="0EDC34F9">
            <w:pPr>
              <w:pStyle w:val="9"/>
              <w:spacing w:line="312" w:lineRule="auto"/>
              <w:jc w:val="left"/>
              <w:rPr>
                <w:rFonts w:ascii="仿宋" w:hAnsi="仿宋" w:eastAsia="仿宋"/>
                <w:sz w:val="28"/>
                <w:szCs w:val="28"/>
              </w:rPr>
            </w:pPr>
            <w:r>
              <w:rPr>
                <w:rFonts w:hint="eastAsia" w:ascii="仿宋" w:hAnsi="仿宋" w:eastAsia="仿宋"/>
                <w:sz w:val="28"/>
                <w:szCs w:val="28"/>
              </w:rPr>
              <w:t>□违约金约定：</w:t>
            </w:r>
          </w:p>
          <w:p w14:paraId="228AF5C6">
            <w:pPr>
              <w:pStyle w:val="9"/>
              <w:spacing w:line="312" w:lineRule="auto"/>
              <w:jc w:val="left"/>
              <w:rPr>
                <w:rFonts w:ascii="仿宋" w:hAnsi="仿宋" w:eastAsia="仿宋"/>
                <w:sz w:val="28"/>
                <w:szCs w:val="28"/>
              </w:rPr>
            </w:pPr>
            <w:r>
              <w:rPr>
                <w:rFonts w:hint="eastAsia" w:ascii="仿宋" w:hAnsi="仿宋" w:eastAsia="仿宋"/>
                <w:sz w:val="28"/>
                <w:szCs w:val="28"/>
              </w:rPr>
              <w:t>□损失赔偿约定：</w:t>
            </w:r>
          </w:p>
        </w:tc>
      </w:tr>
      <w:tr w14:paraId="02280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noWrap w:val="0"/>
            <w:vAlign w:val="center"/>
          </w:tcPr>
          <w:p w14:paraId="0A200871">
            <w:pPr>
              <w:pStyle w:val="9"/>
              <w:spacing w:line="560" w:lineRule="exact"/>
              <w:jc w:val="center"/>
              <w:rPr>
                <w:rFonts w:hint="eastAsia" w:ascii="仿宋" w:hAnsi="仿宋" w:eastAsia="仿宋"/>
                <w:sz w:val="28"/>
                <w:szCs w:val="28"/>
                <w:lang w:eastAsia="zh-CN"/>
              </w:rPr>
            </w:pPr>
            <w:r>
              <w:rPr>
                <w:rFonts w:ascii="仿宋" w:hAnsi="仿宋" w:eastAsia="仿宋"/>
                <w:sz w:val="28"/>
                <w:szCs w:val="28"/>
              </w:rPr>
              <w:t>1</w:t>
            </w:r>
            <w:r>
              <w:rPr>
                <w:rFonts w:hint="eastAsia" w:ascii="仿宋" w:hAnsi="仿宋" w:eastAsia="仿宋"/>
                <w:sz w:val="28"/>
                <w:szCs w:val="28"/>
                <w:lang w:val="en-US" w:eastAsia="zh-CN"/>
              </w:rPr>
              <w:t>1</w:t>
            </w:r>
          </w:p>
        </w:tc>
        <w:tc>
          <w:tcPr>
            <w:tcW w:w="4607" w:type="pct"/>
            <w:noWrap w:val="0"/>
            <w:vAlign w:val="center"/>
          </w:tcPr>
          <w:p w14:paraId="4B56A4A9">
            <w:pPr>
              <w:pStyle w:val="9"/>
              <w:spacing w:line="312" w:lineRule="auto"/>
              <w:jc w:val="left"/>
              <w:rPr>
                <w:rFonts w:ascii="仿宋" w:hAnsi="仿宋" w:eastAsia="仿宋" w:cs="MingLiU_HKSCS"/>
                <w:sz w:val="28"/>
                <w:szCs w:val="28"/>
              </w:rPr>
            </w:pPr>
            <w:r>
              <w:rPr>
                <w:rFonts w:hint="eastAsia" w:ascii="仿宋" w:hAnsi="仿宋" w:eastAsia="仿宋"/>
                <w:sz w:val="28"/>
                <w:szCs w:val="28"/>
              </w:rPr>
              <w:t>误期赔偿费约定：如果乙方没有按照合同规定的时间提供服务，甲方有权从货款中扣除误期赔偿费而不影响合同项下的其他补救方法。赔偿费按每日加收合同金额的</w:t>
            </w:r>
            <w:r>
              <w:rPr>
                <w:rFonts w:ascii="仿宋" w:hAnsi="仿宋" w:eastAsia="仿宋"/>
                <w:sz w:val="28"/>
                <w:szCs w:val="28"/>
              </w:rPr>
              <w:t>0.5%(</w:t>
            </w:r>
            <w:r>
              <w:rPr>
                <w:rFonts w:hint="eastAsia" w:ascii="仿宋" w:hAnsi="仿宋" w:eastAsia="仿宋"/>
                <w:sz w:val="28"/>
                <w:szCs w:val="28"/>
              </w:rPr>
              <w:t>各单位可根据实际情况重新设定</w:t>
            </w:r>
            <w:r>
              <w:rPr>
                <w:rFonts w:ascii="仿宋" w:hAnsi="仿宋" w:eastAsia="仿宋"/>
                <w:sz w:val="28"/>
                <w:szCs w:val="28"/>
              </w:rPr>
              <w:t>)</w:t>
            </w:r>
            <w:r>
              <w:rPr>
                <w:rFonts w:hint="eastAsia" w:ascii="仿宋" w:hAnsi="仿宋" w:eastAsia="仿宋"/>
                <w:sz w:val="28"/>
                <w:szCs w:val="28"/>
              </w:rPr>
              <w:t>计收，直至提供服务为止。但误期赔偿费的最高限额不超过合同价的</w:t>
            </w:r>
            <w:r>
              <w:rPr>
                <w:rFonts w:ascii="仿宋" w:hAnsi="仿宋" w:eastAsia="仿宋"/>
                <w:sz w:val="28"/>
                <w:szCs w:val="28"/>
              </w:rPr>
              <w:t>15%(</w:t>
            </w:r>
            <w:r>
              <w:rPr>
                <w:rFonts w:hint="eastAsia" w:ascii="仿宋" w:hAnsi="仿宋" w:eastAsia="仿宋"/>
                <w:sz w:val="28"/>
                <w:szCs w:val="28"/>
              </w:rPr>
              <w:t>各单位可根据实际情况重新设定</w:t>
            </w:r>
            <w:r>
              <w:rPr>
                <w:rFonts w:ascii="仿宋" w:hAnsi="仿宋" w:eastAsia="仿宋"/>
                <w:sz w:val="28"/>
                <w:szCs w:val="28"/>
              </w:rPr>
              <w:t>)</w:t>
            </w:r>
            <w:r>
              <w:rPr>
                <w:rFonts w:hint="eastAsia" w:ascii="仿宋" w:hAnsi="仿宋" w:eastAsia="仿宋"/>
                <w:sz w:val="28"/>
                <w:szCs w:val="28"/>
              </w:rPr>
              <w:t>。</w:t>
            </w:r>
          </w:p>
        </w:tc>
      </w:tr>
      <w:tr w14:paraId="5DF13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noWrap w:val="0"/>
            <w:vAlign w:val="center"/>
          </w:tcPr>
          <w:p w14:paraId="2BBDFD84">
            <w:pPr>
              <w:pStyle w:val="9"/>
              <w:spacing w:line="560" w:lineRule="exact"/>
              <w:jc w:val="center"/>
              <w:rPr>
                <w:rFonts w:hint="eastAsia" w:ascii="仿宋" w:hAnsi="仿宋" w:eastAsia="仿宋"/>
                <w:sz w:val="28"/>
                <w:szCs w:val="28"/>
                <w:lang w:eastAsia="zh-CN"/>
              </w:rPr>
            </w:pPr>
            <w:r>
              <w:rPr>
                <w:rFonts w:ascii="仿宋" w:hAnsi="仿宋" w:eastAsia="仿宋"/>
                <w:sz w:val="28"/>
                <w:szCs w:val="28"/>
              </w:rPr>
              <w:t>1</w:t>
            </w:r>
            <w:r>
              <w:rPr>
                <w:rFonts w:hint="eastAsia" w:ascii="仿宋" w:hAnsi="仿宋" w:eastAsia="仿宋"/>
                <w:sz w:val="28"/>
                <w:szCs w:val="28"/>
                <w:lang w:val="en-US" w:eastAsia="zh-CN"/>
              </w:rPr>
              <w:t>2</w:t>
            </w:r>
          </w:p>
        </w:tc>
        <w:tc>
          <w:tcPr>
            <w:tcW w:w="4607" w:type="pct"/>
            <w:noWrap w:val="0"/>
            <w:vAlign w:val="center"/>
          </w:tcPr>
          <w:p w14:paraId="5CF8B8EA">
            <w:pPr>
              <w:pStyle w:val="9"/>
              <w:spacing w:line="312" w:lineRule="auto"/>
              <w:jc w:val="left"/>
              <w:rPr>
                <w:rFonts w:ascii="仿宋" w:hAnsi="仿宋" w:eastAsia="仿宋" w:cs="MingLiU_HKSCS"/>
                <w:sz w:val="28"/>
                <w:szCs w:val="28"/>
              </w:rPr>
            </w:pPr>
            <w:r>
              <w:rPr>
                <w:rFonts w:hint="eastAsia" w:ascii="仿宋" w:hAnsi="仿宋" w:eastAsia="仿宋"/>
                <w:spacing w:val="-6"/>
                <w:sz w:val="28"/>
                <w:szCs w:val="28"/>
              </w:rPr>
              <w:t>合同履行期限：自合同生效之日起至合同全部权利义务履行完毕之日止</w:t>
            </w:r>
            <w:r>
              <w:rPr>
                <w:rFonts w:hint="eastAsia" w:ascii="仿宋" w:hAnsi="仿宋" w:eastAsia="仿宋"/>
                <w:sz w:val="28"/>
                <w:szCs w:val="28"/>
              </w:rPr>
              <w:t>。</w:t>
            </w:r>
          </w:p>
        </w:tc>
      </w:tr>
      <w:tr w14:paraId="28126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jc w:val="center"/>
        </w:trPr>
        <w:tc>
          <w:tcPr>
            <w:tcW w:w="392" w:type="pct"/>
            <w:noWrap w:val="0"/>
            <w:vAlign w:val="center"/>
          </w:tcPr>
          <w:p w14:paraId="0925F760">
            <w:pPr>
              <w:pStyle w:val="9"/>
              <w:spacing w:line="560" w:lineRule="exact"/>
              <w:jc w:val="center"/>
              <w:rPr>
                <w:rFonts w:hint="eastAsia" w:ascii="仿宋" w:hAnsi="仿宋" w:eastAsia="仿宋"/>
                <w:sz w:val="28"/>
                <w:szCs w:val="28"/>
                <w:lang w:eastAsia="zh-CN"/>
              </w:rPr>
            </w:pPr>
            <w:r>
              <w:rPr>
                <w:rFonts w:ascii="仿宋" w:hAnsi="仿宋" w:eastAsia="仿宋"/>
                <w:sz w:val="28"/>
                <w:szCs w:val="28"/>
              </w:rPr>
              <w:t>1</w:t>
            </w:r>
            <w:r>
              <w:rPr>
                <w:rFonts w:hint="eastAsia" w:ascii="仿宋" w:hAnsi="仿宋" w:eastAsia="仿宋"/>
                <w:sz w:val="28"/>
                <w:szCs w:val="28"/>
                <w:lang w:val="en-US" w:eastAsia="zh-CN"/>
              </w:rPr>
              <w:t>3</w:t>
            </w:r>
          </w:p>
        </w:tc>
        <w:tc>
          <w:tcPr>
            <w:tcW w:w="4607" w:type="pct"/>
            <w:noWrap w:val="0"/>
            <w:vAlign w:val="center"/>
          </w:tcPr>
          <w:p w14:paraId="782F2F51">
            <w:pPr>
              <w:pStyle w:val="9"/>
              <w:spacing w:line="312" w:lineRule="auto"/>
              <w:jc w:val="left"/>
              <w:rPr>
                <w:rFonts w:ascii="仿宋" w:hAnsi="仿宋" w:eastAsia="仿宋"/>
                <w:sz w:val="28"/>
                <w:szCs w:val="28"/>
              </w:rPr>
            </w:pPr>
            <w:r>
              <w:rPr>
                <w:rFonts w:hint="eastAsia" w:ascii="仿宋" w:hAnsi="仿宋" w:eastAsia="仿宋"/>
                <w:sz w:val="28"/>
                <w:szCs w:val="28"/>
              </w:rPr>
              <w:t>合同纠纷的解决方式：</w:t>
            </w:r>
          </w:p>
          <w:p w14:paraId="4F194C69">
            <w:pPr>
              <w:pStyle w:val="9"/>
              <w:spacing w:line="312" w:lineRule="auto"/>
              <w:jc w:val="left"/>
              <w:rPr>
                <w:rFonts w:ascii="仿宋" w:hAnsi="仿宋" w:eastAsia="仿宋"/>
                <w:sz w:val="28"/>
                <w:szCs w:val="28"/>
              </w:rPr>
            </w:pPr>
            <w:r>
              <w:rPr>
                <w:rFonts w:hint="eastAsia" w:ascii="仿宋" w:hAnsi="仿宋" w:eastAsia="仿宋"/>
                <w:sz w:val="28"/>
                <w:szCs w:val="28"/>
              </w:rPr>
              <w:t>首先通过双方协商解决，协商解决不成，则通过以下途径之一解决纠纷</w:t>
            </w:r>
            <w:r>
              <w:rPr>
                <w:rFonts w:ascii="仿宋" w:hAnsi="仿宋" w:eastAsia="仿宋"/>
                <w:sz w:val="28"/>
                <w:szCs w:val="28"/>
              </w:rPr>
              <w:t>(</w:t>
            </w:r>
            <w:r>
              <w:rPr>
                <w:rFonts w:hint="eastAsia" w:ascii="仿宋" w:hAnsi="仿宋" w:eastAsia="仿宋"/>
                <w:sz w:val="28"/>
                <w:szCs w:val="28"/>
              </w:rPr>
              <w:t>请在方框内画“√”选择</w:t>
            </w:r>
            <w:r>
              <w:rPr>
                <w:rFonts w:ascii="仿宋" w:hAnsi="仿宋" w:eastAsia="仿宋"/>
                <w:sz w:val="28"/>
                <w:szCs w:val="28"/>
              </w:rPr>
              <w:t>)</w:t>
            </w:r>
            <w:r>
              <w:rPr>
                <w:rFonts w:hint="eastAsia" w:ascii="仿宋" w:hAnsi="仿宋" w:eastAsia="仿宋"/>
                <w:sz w:val="28"/>
                <w:szCs w:val="28"/>
              </w:rPr>
              <w:t>：</w:t>
            </w:r>
          </w:p>
          <w:p w14:paraId="546116E6">
            <w:pPr>
              <w:pStyle w:val="9"/>
              <w:spacing w:line="312" w:lineRule="auto"/>
              <w:jc w:val="left"/>
              <w:rPr>
                <w:rFonts w:ascii="仿宋" w:hAnsi="仿宋" w:eastAsia="仿宋"/>
                <w:sz w:val="28"/>
                <w:szCs w:val="28"/>
              </w:rPr>
            </w:pPr>
            <w:r>
              <w:rPr>
                <w:rFonts w:hint="eastAsia" w:ascii="仿宋" w:hAnsi="仿宋" w:eastAsia="仿宋"/>
                <w:sz w:val="28"/>
                <w:szCs w:val="28"/>
              </w:rPr>
              <w:t>□提请</w:t>
            </w:r>
            <w:r>
              <w:rPr>
                <w:rFonts w:ascii="仿宋" w:hAnsi="仿宋" w:eastAsia="仿宋"/>
                <w:sz w:val="28"/>
                <w:szCs w:val="28"/>
              </w:rPr>
              <w:t>______</w:t>
            </w:r>
            <w:r>
              <w:rPr>
                <w:rFonts w:hint="eastAsia" w:ascii="仿宋" w:hAnsi="仿宋" w:eastAsia="仿宋"/>
                <w:sz w:val="28"/>
                <w:szCs w:val="28"/>
              </w:rPr>
              <w:t>仲裁委员会按照仲裁程序在</w:t>
            </w:r>
            <w:r>
              <w:rPr>
                <w:rFonts w:ascii="仿宋" w:hAnsi="仿宋" w:eastAsia="仿宋"/>
                <w:sz w:val="28"/>
                <w:szCs w:val="28"/>
              </w:rPr>
              <w:t>______(</w:t>
            </w:r>
            <w:r>
              <w:rPr>
                <w:rFonts w:hint="eastAsia" w:ascii="仿宋" w:hAnsi="仿宋" w:eastAsia="仿宋"/>
                <w:sz w:val="28"/>
                <w:szCs w:val="28"/>
              </w:rPr>
              <w:t>仲裁地</w:t>
            </w:r>
            <w:r>
              <w:rPr>
                <w:rFonts w:ascii="仿宋" w:hAnsi="仿宋" w:eastAsia="仿宋"/>
                <w:sz w:val="28"/>
                <w:szCs w:val="28"/>
              </w:rPr>
              <w:t>)</w:t>
            </w:r>
            <w:r>
              <w:rPr>
                <w:rFonts w:hint="eastAsia" w:ascii="仿宋" w:hAnsi="仿宋" w:eastAsia="仿宋"/>
                <w:sz w:val="28"/>
                <w:szCs w:val="28"/>
              </w:rPr>
              <w:t>仲裁</w:t>
            </w:r>
          </w:p>
          <w:p w14:paraId="5DDB07F9">
            <w:pPr>
              <w:pStyle w:val="9"/>
              <w:spacing w:line="312" w:lineRule="auto"/>
              <w:jc w:val="left"/>
              <w:rPr>
                <w:rFonts w:ascii="仿宋" w:hAnsi="仿宋" w:eastAsia="仿宋"/>
                <w:sz w:val="28"/>
                <w:szCs w:val="28"/>
              </w:rPr>
            </w:pPr>
            <w:r>
              <w:rPr>
                <w:rFonts w:hint="eastAsia" w:ascii="仿宋" w:hAnsi="仿宋" w:eastAsia="仿宋"/>
                <w:sz w:val="28"/>
                <w:szCs w:val="28"/>
              </w:rPr>
              <w:t>□向甲方住所地人民法院提起诉讼</w:t>
            </w:r>
          </w:p>
        </w:tc>
      </w:tr>
    </w:tbl>
    <w:p w14:paraId="77B5C9F0">
      <w:pPr>
        <w:pStyle w:val="9"/>
        <w:spacing w:line="56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定义</w:t>
      </w:r>
    </w:p>
    <w:p w14:paraId="485482F4">
      <w:pPr>
        <w:pStyle w:val="9"/>
        <w:spacing w:line="560" w:lineRule="exact"/>
        <w:ind w:firstLine="560" w:firstLineChars="200"/>
        <w:rPr>
          <w:rFonts w:ascii="仿宋" w:hAnsi="仿宋" w:eastAsia="仿宋"/>
          <w:sz w:val="28"/>
          <w:szCs w:val="28"/>
        </w:rPr>
      </w:pPr>
      <w:r>
        <w:rPr>
          <w:rFonts w:hint="eastAsia" w:ascii="仿宋" w:hAnsi="仿宋" w:eastAsia="仿宋"/>
          <w:sz w:val="28"/>
          <w:szCs w:val="28"/>
        </w:rPr>
        <w:t>本合同下列术语应解释为：</w:t>
      </w:r>
    </w:p>
    <w:p w14:paraId="4D885F5D">
      <w:pPr>
        <w:pStyle w:val="9"/>
        <w:spacing w:line="560" w:lineRule="exact"/>
        <w:ind w:firstLine="560" w:firstLineChars="200"/>
        <w:rPr>
          <w:rFonts w:ascii="仿宋" w:hAnsi="仿宋" w:eastAsia="仿宋"/>
          <w:sz w:val="28"/>
          <w:szCs w:val="28"/>
        </w:rPr>
      </w:pPr>
      <w:r>
        <w:rPr>
          <w:rFonts w:ascii="仿宋" w:hAnsi="仿宋" w:eastAsia="仿宋"/>
          <w:sz w:val="28"/>
          <w:szCs w:val="28"/>
        </w:rPr>
        <w:t>1.1</w:t>
      </w:r>
      <w:r>
        <w:rPr>
          <w:rFonts w:hint="eastAsia" w:ascii="仿宋" w:hAnsi="仿宋" w:eastAsia="仿宋"/>
          <w:sz w:val="28"/>
          <w:szCs w:val="28"/>
        </w:rPr>
        <w:t>　“甲方”是指采购人。</w:t>
      </w:r>
    </w:p>
    <w:p w14:paraId="3E9E8D86">
      <w:pPr>
        <w:pStyle w:val="9"/>
        <w:spacing w:line="560" w:lineRule="exact"/>
        <w:ind w:firstLine="560" w:firstLineChars="200"/>
        <w:rPr>
          <w:rFonts w:ascii="仿宋" w:hAnsi="仿宋" w:eastAsia="仿宋"/>
          <w:sz w:val="28"/>
          <w:szCs w:val="28"/>
        </w:rPr>
      </w:pPr>
      <w:r>
        <w:rPr>
          <w:rFonts w:ascii="仿宋" w:hAnsi="仿宋" w:eastAsia="仿宋"/>
          <w:sz w:val="28"/>
          <w:szCs w:val="28"/>
        </w:rPr>
        <w:t>1.2</w:t>
      </w:r>
      <w:r>
        <w:rPr>
          <w:rFonts w:hint="eastAsia" w:ascii="仿宋" w:hAnsi="仿宋" w:eastAsia="仿宋"/>
          <w:sz w:val="28"/>
          <w:szCs w:val="28"/>
        </w:rPr>
        <w:t>　“乙方”是指成交供应商。</w:t>
      </w:r>
    </w:p>
    <w:p w14:paraId="331C4960">
      <w:pPr>
        <w:pStyle w:val="9"/>
        <w:spacing w:line="56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lang w:val="en-US" w:eastAsia="zh-CN"/>
        </w:rPr>
        <w:t>3</w:t>
      </w:r>
      <w:r>
        <w:rPr>
          <w:rFonts w:hint="eastAsia" w:ascii="仿宋" w:hAnsi="仿宋" w:eastAsia="仿宋"/>
          <w:sz w:val="28"/>
          <w:szCs w:val="28"/>
        </w:rPr>
        <w:t>　“合同”系指甲乙双方签署的、合同中载明的甲乙双方所达成的协议，包括所有的附件、附录和上述文件所提到的构成合同的所有文件。</w:t>
      </w:r>
    </w:p>
    <w:p w14:paraId="5B399B8F">
      <w:pPr>
        <w:pStyle w:val="9"/>
        <w:spacing w:line="56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lang w:val="en-US" w:eastAsia="zh-CN"/>
        </w:rPr>
        <w:t>4</w:t>
      </w:r>
      <w:r>
        <w:rPr>
          <w:rFonts w:hint="eastAsia" w:ascii="仿宋" w:hAnsi="仿宋" w:eastAsia="仿宋"/>
          <w:sz w:val="28"/>
          <w:szCs w:val="28"/>
        </w:rPr>
        <w:t>　“服务”是指乙方按照招标</w:t>
      </w:r>
      <w:r>
        <w:rPr>
          <w:rFonts w:ascii="仿宋" w:hAnsi="仿宋" w:eastAsia="仿宋"/>
          <w:sz w:val="28"/>
          <w:szCs w:val="28"/>
        </w:rPr>
        <w:t>(</w:t>
      </w:r>
      <w:r>
        <w:rPr>
          <w:rFonts w:hint="eastAsia" w:ascii="仿宋" w:hAnsi="仿宋" w:eastAsia="仿宋"/>
          <w:sz w:val="28"/>
          <w:szCs w:val="28"/>
        </w:rPr>
        <w:t>采购</w:t>
      </w:r>
      <w:r>
        <w:rPr>
          <w:rFonts w:ascii="仿宋" w:hAnsi="仿宋" w:eastAsia="仿宋"/>
          <w:sz w:val="28"/>
          <w:szCs w:val="28"/>
        </w:rPr>
        <w:t>)</w:t>
      </w:r>
      <w:r>
        <w:rPr>
          <w:rFonts w:hint="eastAsia" w:ascii="仿宋" w:hAnsi="仿宋" w:eastAsia="仿宋"/>
          <w:sz w:val="28"/>
          <w:szCs w:val="28"/>
        </w:rPr>
        <w:t>、投标</w:t>
      </w:r>
      <w:r>
        <w:rPr>
          <w:rFonts w:ascii="仿宋" w:hAnsi="仿宋" w:eastAsia="仿宋"/>
          <w:sz w:val="28"/>
          <w:szCs w:val="28"/>
        </w:rPr>
        <w:t>(</w:t>
      </w:r>
      <w:r>
        <w:rPr>
          <w:rFonts w:hint="eastAsia" w:ascii="仿宋" w:hAnsi="仿宋" w:eastAsia="仿宋"/>
          <w:sz w:val="28"/>
          <w:szCs w:val="28"/>
        </w:rPr>
        <w:t>响应</w:t>
      </w:r>
      <w:r>
        <w:rPr>
          <w:rFonts w:ascii="仿宋" w:hAnsi="仿宋" w:eastAsia="仿宋"/>
          <w:sz w:val="28"/>
          <w:szCs w:val="28"/>
        </w:rPr>
        <w:t>)</w:t>
      </w:r>
      <w:r>
        <w:rPr>
          <w:rFonts w:hint="eastAsia" w:ascii="仿宋" w:hAnsi="仿宋" w:eastAsia="仿宋"/>
          <w:sz w:val="28"/>
          <w:szCs w:val="28"/>
        </w:rPr>
        <w:t>文件要求，向采购人提供的技术支持服务。</w:t>
      </w:r>
    </w:p>
    <w:p w14:paraId="2516877D">
      <w:pPr>
        <w:pStyle w:val="9"/>
        <w:spacing w:line="56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lang w:val="en-US" w:eastAsia="zh-CN"/>
        </w:rPr>
        <w:t>5</w:t>
      </w:r>
      <w:r>
        <w:rPr>
          <w:rFonts w:hint="eastAsia" w:ascii="仿宋" w:hAnsi="仿宋" w:eastAsia="仿宋"/>
          <w:sz w:val="28"/>
          <w:szCs w:val="28"/>
        </w:rPr>
        <w:t>　“项目现场”是指甲方指定的最终服务地点。</w:t>
      </w:r>
    </w:p>
    <w:p w14:paraId="01026A35">
      <w:pPr>
        <w:pStyle w:val="9"/>
        <w:spacing w:line="56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lang w:val="en-US" w:eastAsia="zh-CN"/>
        </w:rPr>
        <w:t>6</w:t>
      </w:r>
      <w:r>
        <w:rPr>
          <w:rFonts w:hint="eastAsia" w:ascii="仿宋" w:hAnsi="仿宋" w:eastAsia="仿宋"/>
          <w:sz w:val="28"/>
          <w:szCs w:val="28"/>
        </w:rPr>
        <w:t>　“天”除非特别指出，“天”均为自然天。</w:t>
      </w:r>
    </w:p>
    <w:p w14:paraId="1CE53097">
      <w:pPr>
        <w:pStyle w:val="9"/>
        <w:spacing w:line="56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服务标准</w:t>
      </w:r>
    </w:p>
    <w:p w14:paraId="37CEBB2E">
      <w:pPr>
        <w:pStyle w:val="9"/>
        <w:spacing w:line="560" w:lineRule="exact"/>
        <w:ind w:firstLine="560" w:firstLineChars="200"/>
        <w:rPr>
          <w:rFonts w:ascii="仿宋" w:hAnsi="仿宋" w:eastAsia="仿宋"/>
          <w:sz w:val="28"/>
          <w:szCs w:val="28"/>
        </w:rPr>
      </w:pPr>
      <w:r>
        <w:rPr>
          <w:rFonts w:ascii="仿宋" w:hAnsi="仿宋" w:eastAsia="仿宋"/>
          <w:sz w:val="28"/>
          <w:szCs w:val="28"/>
        </w:rPr>
        <w:t>2.1</w:t>
      </w:r>
      <w:r>
        <w:rPr>
          <w:rFonts w:hint="eastAsia" w:ascii="仿宋" w:hAnsi="仿宋" w:eastAsia="仿宋"/>
          <w:sz w:val="28"/>
          <w:szCs w:val="28"/>
        </w:rPr>
        <w:t>　乙方为甲方交付的服务应符合招标</w:t>
      </w:r>
      <w:r>
        <w:rPr>
          <w:rFonts w:ascii="仿宋" w:hAnsi="仿宋" w:eastAsia="仿宋"/>
          <w:sz w:val="28"/>
          <w:szCs w:val="28"/>
        </w:rPr>
        <w:t>(</w:t>
      </w:r>
      <w:r>
        <w:rPr>
          <w:rFonts w:hint="eastAsia" w:ascii="仿宋" w:hAnsi="仿宋" w:eastAsia="仿宋"/>
          <w:sz w:val="28"/>
          <w:szCs w:val="28"/>
        </w:rPr>
        <w:t>采购</w:t>
      </w:r>
      <w:r>
        <w:rPr>
          <w:rFonts w:ascii="仿宋" w:hAnsi="仿宋" w:eastAsia="仿宋"/>
          <w:sz w:val="28"/>
          <w:szCs w:val="28"/>
        </w:rPr>
        <w:t>)</w:t>
      </w:r>
      <w:r>
        <w:rPr>
          <w:rFonts w:hint="eastAsia" w:ascii="仿宋" w:hAnsi="仿宋" w:eastAsia="仿宋"/>
          <w:sz w:val="28"/>
          <w:szCs w:val="28"/>
        </w:rPr>
        <w:t>文件所述的内容，如果没有提及适用标准，则应符合相应的国家标准。这些标准必须是有关机构发布的最新版本的标准。</w:t>
      </w:r>
    </w:p>
    <w:p w14:paraId="0F1DB291">
      <w:pPr>
        <w:pStyle w:val="9"/>
        <w:spacing w:line="560" w:lineRule="exact"/>
        <w:ind w:firstLine="560" w:firstLineChars="200"/>
        <w:rPr>
          <w:rFonts w:ascii="仿宋" w:hAnsi="仿宋" w:eastAsia="仿宋"/>
          <w:sz w:val="28"/>
          <w:szCs w:val="28"/>
        </w:rPr>
      </w:pPr>
      <w:r>
        <w:rPr>
          <w:rFonts w:ascii="仿宋" w:hAnsi="仿宋" w:eastAsia="仿宋"/>
          <w:sz w:val="28"/>
          <w:szCs w:val="28"/>
        </w:rPr>
        <w:t>2.2</w:t>
      </w:r>
      <w:r>
        <w:rPr>
          <w:rFonts w:hint="eastAsia" w:ascii="仿宋" w:hAnsi="仿宋" w:eastAsia="仿宋"/>
          <w:sz w:val="28"/>
          <w:szCs w:val="28"/>
        </w:rPr>
        <w:t>　除非技术要求中另有规定，计量单位均采用中华人民共和国法定计量单位。</w:t>
      </w:r>
    </w:p>
    <w:p w14:paraId="4B403076">
      <w:pPr>
        <w:pStyle w:val="9"/>
        <w:spacing w:line="56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服务</w:t>
      </w:r>
    </w:p>
    <w:p w14:paraId="5C6C4D58">
      <w:pPr>
        <w:pStyle w:val="9"/>
        <w:spacing w:line="560" w:lineRule="exact"/>
        <w:ind w:firstLine="560" w:firstLineChars="200"/>
        <w:rPr>
          <w:rFonts w:ascii="仿宋" w:hAnsi="仿宋" w:eastAsia="仿宋"/>
          <w:sz w:val="28"/>
          <w:szCs w:val="28"/>
        </w:rPr>
      </w:pPr>
      <w:r>
        <w:rPr>
          <w:rFonts w:ascii="仿宋" w:hAnsi="仿宋" w:eastAsia="仿宋"/>
          <w:sz w:val="28"/>
          <w:szCs w:val="28"/>
        </w:rPr>
        <w:t>3.1</w:t>
      </w:r>
      <w:r>
        <w:rPr>
          <w:rFonts w:hint="eastAsia" w:ascii="仿宋" w:hAnsi="仿宋" w:eastAsia="仿宋"/>
          <w:sz w:val="28"/>
          <w:szCs w:val="28"/>
        </w:rPr>
        <w:t>乙方应按照合同的规定，提供下列服务甲方提供符合要求的服务。</w:t>
      </w:r>
    </w:p>
    <w:p w14:paraId="22FD622A">
      <w:pPr>
        <w:pStyle w:val="9"/>
        <w:spacing w:line="560" w:lineRule="exact"/>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知识产权</w:t>
      </w:r>
    </w:p>
    <w:p w14:paraId="143F996E">
      <w:pPr>
        <w:pStyle w:val="9"/>
        <w:spacing w:line="560" w:lineRule="exact"/>
        <w:ind w:firstLine="560" w:firstLineChars="200"/>
        <w:rPr>
          <w:rFonts w:ascii="仿宋" w:hAnsi="仿宋" w:eastAsia="仿宋"/>
          <w:sz w:val="28"/>
          <w:szCs w:val="28"/>
        </w:rPr>
      </w:pPr>
      <w:r>
        <w:rPr>
          <w:rFonts w:ascii="仿宋" w:hAnsi="仿宋" w:eastAsia="仿宋"/>
          <w:sz w:val="28"/>
          <w:szCs w:val="28"/>
        </w:rPr>
        <w:t>4.1</w:t>
      </w:r>
      <w:r>
        <w:rPr>
          <w:rFonts w:hint="eastAsia" w:ascii="仿宋" w:hAnsi="仿宋" w:eastAsia="仿宋"/>
          <w:sz w:val="28"/>
          <w:szCs w:val="28"/>
        </w:rPr>
        <w:t>　乙方应保证所提供的服务免受第三方提出侵犯其知识产权</w:t>
      </w:r>
      <w:r>
        <w:rPr>
          <w:rFonts w:ascii="仿宋" w:hAnsi="仿宋" w:eastAsia="仿宋"/>
          <w:sz w:val="28"/>
          <w:szCs w:val="28"/>
        </w:rPr>
        <w:t>(</w:t>
      </w:r>
      <w:r>
        <w:rPr>
          <w:rFonts w:hint="eastAsia" w:ascii="仿宋" w:hAnsi="仿宋" w:eastAsia="仿宋"/>
          <w:sz w:val="28"/>
          <w:szCs w:val="28"/>
        </w:rPr>
        <w:t>专利权、商标权、版权等</w:t>
      </w:r>
      <w:r>
        <w:rPr>
          <w:rFonts w:ascii="仿宋" w:hAnsi="仿宋" w:eastAsia="仿宋"/>
          <w:sz w:val="28"/>
          <w:szCs w:val="28"/>
        </w:rPr>
        <w:t>)</w:t>
      </w:r>
      <w:r>
        <w:rPr>
          <w:rFonts w:hint="eastAsia" w:ascii="仿宋" w:hAnsi="仿宋" w:eastAsia="仿宋"/>
          <w:sz w:val="28"/>
          <w:szCs w:val="28"/>
        </w:rPr>
        <w:t>的起诉。因侵害他人知识产权而产生的法律责任，全部由供应商承担。</w:t>
      </w:r>
    </w:p>
    <w:p w14:paraId="52A82B25">
      <w:pPr>
        <w:pStyle w:val="9"/>
        <w:spacing w:line="560" w:lineRule="exact"/>
        <w:ind w:firstLine="560" w:firstLineChars="200"/>
        <w:rPr>
          <w:rFonts w:ascii="仿宋" w:hAnsi="仿宋" w:eastAsia="仿宋"/>
          <w:sz w:val="28"/>
          <w:szCs w:val="28"/>
        </w:rPr>
      </w:pPr>
      <w:r>
        <w:rPr>
          <w:rFonts w:ascii="仿宋" w:hAnsi="仿宋" w:eastAsia="仿宋"/>
          <w:sz w:val="28"/>
          <w:szCs w:val="28"/>
        </w:rPr>
        <w:t>4.2</w:t>
      </w:r>
      <w:r>
        <w:rPr>
          <w:rFonts w:hint="eastAsia" w:ascii="仿宋" w:hAnsi="仿宋" w:eastAsia="仿宋"/>
          <w:sz w:val="28"/>
          <w:szCs w:val="28"/>
        </w:rPr>
        <w:t>　甲方委托乙方开发的产品，甲方享有知识产权，未经甲方许可不得转让任何第三人。</w:t>
      </w:r>
    </w:p>
    <w:p w14:paraId="33116AE3">
      <w:pPr>
        <w:pStyle w:val="9"/>
        <w:spacing w:line="56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保密条款</w:t>
      </w:r>
    </w:p>
    <w:p w14:paraId="139BA4CC">
      <w:pPr>
        <w:pStyle w:val="9"/>
        <w:spacing w:line="560" w:lineRule="exact"/>
        <w:ind w:firstLine="560" w:firstLineChars="200"/>
        <w:rPr>
          <w:rFonts w:ascii="仿宋" w:hAnsi="仿宋" w:eastAsia="仿宋"/>
          <w:sz w:val="28"/>
          <w:szCs w:val="28"/>
        </w:rPr>
      </w:pPr>
      <w:r>
        <w:rPr>
          <w:rFonts w:ascii="仿宋" w:hAnsi="仿宋" w:eastAsia="仿宋"/>
          <w:sz w:val="28"/>
          <w:szCs w:val="28"/>
        </w:rPr>
        <w:t>5.1</w:t>
      </w:r>
      <w:r>
        <w:rPr>
          <w:rFonts w:hint="eastAsia" w:ascii="仿宋" w:hAnsi="仿宋" w:eastAsia="仿宋"/>
          <w:sz w:val="28"/>
          <w:szCs w:val="28"/>
        </w:rPr>
        <w:t>　甲乙双方应对在本合同签订或履行过程中所接触的对方信息，包括但不限于知识产权、技术资料、技术诀窍、内部管理及其他相关信息，负有保密义务。</w:t>
      </w:r>
    </w:p>
    <w:p w14:paraId="48B030A0">
      <w:pPr>
        <w:pStyle w:val="9"/>
        <w:spacing w:line="560" w:lineRule="exact"/>
        <w:ind w:firstLine="560" w:firstLineChars="200"/>
        <w:rPr>
          <w:rFonts w:ascii="仿宋" w:hAnsi="仿宋" w:eastAsia="仿宋"/>
          <w:sz w:val="28"/>
          <w:szCs w:val="28"/>
        </w:rPr>
      </w:pPr>
      <w:r>
        <w:rPr>
          <w:rFonts w:ascii="仿宋" w:hAnsi="仿宋" w:eastAsia="仿宋"/>
          <w:sz w:val="28"/>
          <w:szCs w:val="28"/>
        </w:rPr>
        <w:t>5.2</w:t>
      </w:r>
      <w:r>
        <w:rPr>
          <w:rFonts w:hint="eastAsia" w:ascii="仿宋" w:hAnsi="仿宋" w:eastAsia="仿宋"/>
          <w:sz w:val="28"/>
          <w:szCs w:val="28"/>
        </w:rPr>
        <w:t>　乙方在使用甲方为乙方及其工作人员提供的数据、程序、用户名、口令、资料及甲方相关的业务和技术文档，包括税收政策、方案设计细节、程序文件、数据结构，以及相关业务系统的硬软件、文档、测试和测试产生的数据时，应遵循以下规定：</w:t>
      </w:r>
    </w:p>
    <w:p w14:paraId="57E24FBE">
      <w:pPr>
        <w:pStyle w:val="9"/>
        <w:spacing w:line="56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应以审慎态度避免泄露、公开或传播甲方的信息；</w:t>
      </w:r>
    </w:p>
    <w:p w14:paraId="03226B38">
      <w:pPr>
        <w:pStyle w:val="9"/>
        <w:spacing w:line="56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未经甲方书面许可，不得对有关信息进行修改、补充、复制；</w:t>
      </w:r>
    </w:p>
    <w:p w14:paraId="498134B1">
      <w:pPr>
        <w:pStyle w:val="9"/>
        <w:spacing w:line="56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未经甲方书面许可，不得将信息以任何方式</w:t>
      </w:r>
      <w:r>
        <w:rPr>
          <w:rFonts w:ascii="仿宋" w:hAnsi="仿宋" w:eastAsia="仿宋"/>
          <w:sz w:val="28"/>
          <w:szCs w:val="28"/>
        </w:rPr>
        <w:t>(</w:t>
      </w:r>
      <w:r>
        <w:rPr>
          <w:rFonts w:hint="eastAsia" w:ascii="仿宋" w:hAnsi="仿宋" w:eastAsia="仿宋"/>
          <w:sz w:val="28"/>
          <w:szCs w:val="28"/>
        </w:rPr>
        <w:t>如</w:t>
      </w:r>
      <w:r>
        <w:rPr>
          <w:rFonts w:ascii="仿宋" w:hAnsi="仿宋" w:eastAsia="仿宋"/>
          <w:sz w:val="28"/>
          <w:szCs w:val="28"/>
        </w:rPr>
        <w:t>E</w:t>
      </w:r>
      <w:r>
        <w:rPr>
          <w:rFonts w:hint="eastAsia" w:ascii="仿宋" w:hAnsi="仿宋" w:eastAsia="仿宋"/>
          <w:sz w:val="28"/>
          <w:szCs w:val="28"/>
        </w:rPr>
        <w:t>－</w:t>
      </w:r>
      <w:r>
        <w:rPr>
          <w:rFonts w:ascii="仿宋" w:hAnsi="仿宋" w:eastAsia="仿宋"/>
          <w:sz w:val="28"/>
          <w:szCs w:val="28"/>
        </w:rPr>
        <w:t>mail)</w:t>
      </w:r>
      <w:r>
        <w:rPr>
          <w:rFonts w:hint="eastAsia" w:ascii="仿宋" w:hAnsi="仿宋" w:eastAsia="仿宋"/>
          <w:sz w:val="28"/>
          <w:szCs w:val="28"/>
        </w:rPr>
        <w:t>携带出甲方场所；</w:t>
      </w:r>
    </w:p>
    <w:p w14:paraId="41D950CD">
      <w:pPr>
        <w:pStyle w:val="9"/>
        <w:spacing w:line="560" w:lineRule="exact"/>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未经甲方书面许可，不得将信息透露给任何其他人；</w:t>
      </w:r>
    </w:p>
    <w:p w14:paraId="37D56182">
      <w:pPr>
        <w:pStyle w:val="9"/>
        <w:spacing w:line="56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甲方以书面形式提出的其他保密措施。</w:t>
      </w:r>
    </w:p>
    <w:p w14:paraId="7A33A8E2">
      <w:pPr>
        <w:pStyle w:val="9"/>
        <w:spacing w:line="560" w:lineRule="exact"/>
        <w:ind w:firstLine="560" w:firstLineChars="200"/>
        <w:rPr>
          <w:rFonts w:ascii="仿宋" w:hAnsi="仿宋" w:eastAsia="仿宋"/>
          <w:sz w:val="28"/>
          <w:szCs w:val="28"/>
        </w:rPr>
      </w:pPr>
      <w:r>
        <w:rPr>
          <w:rFonts w:ascii="仿宋" w:hAnsi="仿宋" w:eastAsia="仿宋"/>
          <w:sz w:val="28"/>
          <w:szCs w:val="28"/>
        </w:rPr>
        <w:t>5.3</w:t>
      </w:r>
      <w:r>
        <w:rPr>
          <w:rFonts w:hint="eastAsia" w:ascii="仿宋" w:hAnsi="仿宋" w:eastAsia="仿宋"/>
          <w:sz w:val="28"/>
          <w:szCs w:val="28"/>
        </w:rPr>
        <w:t>　保密期限不受合同有效期的限制，在合同有效期结束后，信息接受方仍应承担保密义务，直至该等信息成为公开信息。</w:t>
      </w:r>
    </w:p>
    <w:p w14:paraId="7898C1C2">
      <w:pPr>
        <w:pStyle w:val="9"/>
        <w:spacing w:line="560" w:lineRule="exact"/>
        <w:ind w:firstLine="560" w:firstLineChars="200"/>
        <w:rPr>
          <w:rFonts w:ascii="仿宋" w:hAnsi="仿宋" w:eastAsia="仿宋"/>
          <w:sz w:val="28"/>
          <w:szCs w:val="28"/>
        </w:rPr>
      </w:pPr>
      <w:r>
        <w:rPr>
          <w:rFonts w:ascii="仿宋" w:hAnsi="仿宋" w:eastAsia="仿宋"/>
          <w:sz w:val="28"/>
          <w:szCs w:val="28"/>
        </w:rPr>
        <w:t>5.4</w:t>
      </w:r>
      <w:r>
        <w:rPr>
          <w:rFonts w:hint="eastAsia" w:ascii="仿宋" w:hAnsi="仿宋" w:eastAsia="仿宋"/>
          <w:sz w:val="28"/>
          <w:szCs w:val="28"/>
        </w:rPr>
        <w:t>　甲乙双方如出现泄密行为，泄密方应承担相关的法律责任，包括但是不限于对由此给对方造成的经济损失进行赔偿。</w:t>
      </w:r>
    </w:p>
    <w:p w14:paraId="47AD0575">
      <w:pPr>
        <w:pStyle w:val="9"/>
        <w:spacing w:line="56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服务质量保证</w:t>
      </w:r>
    </w:p>
    <w:p w14:paraId="57739976">
      <w:pPr>
        <w:pStyle w:val="9"/>
        <w:spacing w:line="560" w:lineRule="exact"/>
        <w:ind w:firstLine="560" w:firstLineChars="200"/>
        <w:rPr>
          <w:rFonts w:ascii="仿宋" w:hAnsi="仿宋" w:eastAsia="仿宋"/>
          <w:sz w:val="28"/>
          <w:szCs w:val="28"/>
        </w:rPr>
      </w:pPr>
      <w:r>
        <w:rPr>
          <w:rFonts w:ascii="仿宋" w:hAnsi="仿宋" w:eastAsia="仿宋"/>
          <w:sz w:val="28"/>
          <w:szCs w:val="28"/>
        </w:rPr>
        <w:t>6.1</w:t>
      </w:r>
      <w:r>
        <w:rPr>
          <w:rFonts w:hint="eastAsia" w:ascii="仿宋" w:hAnsi="仿宋" w:eastAsia="仿宋"/>
          <w:sz w:val="28"/>
          <w:szCs w:val="28"/>
        </w:rPr>
        <w:t>　乙方应保证所提供的服务，符合合同规定的技术要求。如不符时，乙方应负全责并尽快处理解决，由此造成的损失和相关费用由乙方负责，甲方保留终止合同及索赔的权利。</w:t>
      </w:r>
    </w:p>
    <w:p w14:paraId="3EFDC7E3">
      <w:pPr>
        <w:pStyle w:val="9"/>
        <w:spacing w:line="560" w:lineRule="exact"/>
        <w:ind w:firstLine="560" w:firstLineChars="200"/>
        <w:rPr>
          <w:rFonts w:ascii="仿宋" w:hAnsi="仿宋" w:eastAsia="仿宋"/>
          <w:sz w:val="28"/>
          <w:szCs w:val="28"/>
        </w:rPr>
      </w:pPr>
      <w:r>
        <w:rPr>
          <w:rFonts w:ascii="仿宋" w:hAnsi="仿宋" w:eastAsia="仿宋"/>
          <w:sz w:val="28"/>
          <w:szCs w:val="28"/>
        </w:rPr>
        <w:t>6.2</w:t>
      </w:r>
      <w:r>
        <w:rPr>
          <w:rFonts w:hint="eastAsia" w:ascii="仿宋" w:hAnsi="仿宋" w:eastAsia="仿宋"/>
          <w:sz w:val="28"/>
          <w:szCs w:val="28"/>
        </w:rPr>
        <w:t>　乙方应保证通过执行合同中全部方案后，可以取得本合同规定的结果，达到本合同规定的预期目标。对任何情况下出现问题的，应尽快提出解决方案。</w:t>
      </w:r>
    </w:p>
    <w:p w14:paraId="1C049B31">
      <w:pPr>
        <w:pStyle w:val="9"/>
        <w:spacing w:line="560" w:lineRule="exact"/>
        <w:ind w:firstLine="560" w:firstLineChars="200"/>
        <w:rPr>
          <w:rFonts w:ascii="仿宋" w:hAnsi="仿宋" w:eastAsia="仿宋"/>
          <w:sz w:val="28"/>
          <w:szCs w:val="28"/>
        </w:rPr>
      </w:pPr>
      <w:r>
        <w:rPr>
          <w:rFonts w:ascii="仿宋" w:hAnsi="仿宋" w:eastAsia="仿宋"/>
          <w:sz w:val="28"/>
          <w:szCs w:val="28"/>
        </w:rPr>
        <w:t>6.3</w:t>
      </w:r>
      <w:r>
        <w:rPr>
          <w:rFonts w:hint="eastAsia" w:ascii="仿宋" w:hAnsi="仿宋" w:eastAsia="仿宋"/>
          <w:sz w:val="28"/>
          <w:szCs w:val="28"/>
        </w:rPr>
        <w:t>　如果乙方提供的服务和解决方案不符合甲方要求，或在规定的时间内没有弥补缺陷，甲方有权采取一切必要的补救措施，由此产生的费用全部由乙方负责。</w:t>
      </w:r>
    </w:p>
    <w:p w14:paraId="639B335A">
      <w:pPr>
        <w:pStyle w:val="9"/>
        <w:spacing w:line="560" w:lineRule="exact"/>
        <w:ind w:firstLine="560" w:firstLineChars="20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履约保证金</w:t>
      </w:r>
    </w:p>
    <w:p w14:paraId="680D3712">
      <w:pPr>
        <w:pStyle w:val="9"/>
        <w:spacing w:line="560" w:lineRule="exact"/>
        <w:ind w:firstLine="560" w:firstLineChars="200"/>
        <w:rPr>
          <w:rFonts w:ascii="仿宋" w:hAnsi="仿宋" w:eastAsia="仿宋"/>
          <w:sz w:val="28"/>
          <w:szCs w:val="28"/>
        </w:rPr>
      </w:pPr>
      <w:r>
        <w:rPr>
          <w:rFonts w:ascii="仿宋" w:hAnsi="仿宋" w:eastAsia="仿宋"/>
          <w:sz w:val="28"/>
          <w:szCs w:val="28"/>
        </w:rPr>
        <w:t>7.1</w:t>
      </w:r>
      <w:r>
        <w:rPr>
          <w:rFonts w:hint="eastAsia" w:ascii="仿宋" w:hAnsi="仿宋" w:eastAsia="仿宋"/>
          <w:sz w:val="28"/>
          <w:szCs w:val="28"/>
        </w:rPr>
        <w:t>　履约保证金要求见合同条款前附表。</w:t>
      </w:r>
    </w:p>
    <w:p w14:paraId="11A8F067">
      <w:pPr>
        <w:pStyle w:val="9"/>
        <w:spacing w:line="560" w:lineRule="exact"/>
        <w:ind w:firstLine="560" w:firstLineChars="200"/>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服务时间、地点与验收</w:t>
      </w:r>
    </w:p>
    <w:p w14:paraId="3BFB0BA5">
      <w:pPr>
        <w:pStyle w:val="9"/>
        <w:spacing w:line="560" w:lineRule="exact"/>
        <w:ind w:firstLine="560" w:firstLineChars="200"/>
        <w:rPr>
          <w:rFonts w:ascii="仿宋" w:hAnsi="仿宋" w:eastAsia="仿宋"/>
          <w:sz w:val="28"/>
          <w:szCs w:val="28"/>
        </w:rPr>
      </w:pPr>
      <w:r>
        <w:rPr>
          <w:rFonts w:ascii="仿宋" w:hAnsi="仿宋" w:eastAsia="仿宋"/>
          <w:sz w:val="28"/>
          <w:szCs w:val="28"/>
        </w:rPr>
        <w:t>8.1</w:t>
      </w:r>
      <w:r>
        <w:rPr>
          <w:rFonts w:hint="eastAsia" w:ascii="仿宋" w:hAnsi="仿宋" w:eastAsia="仿宋"/>
          <w:sz w:val="28"/>
          <w:szCs w:val="28"/>
        </w:rPr>
        <w:t>　服务地点：合同条款前附表指定地点。</w:t>
      </w:r>
    </w:p>
    <w:p w14:paraId="24C9EE00">
      <w:pPr>
        <w:pStyle w:val="9"/>
        <w:spacing w:line="560" w:lineRule="exact"/>
        <w:ind w:firstLine="560" w:firstLineChars="200"/>
        <w:rPr>
          <w:rFonts w:ascii="仿宋" w:hAnsi="仿宋" w:eastAsia="仿宋"/>
          <w:sz w:val="28"/>
          <w:szCs w:val="28"/>
        </w:rPr>
      </w:pPr>
      <w:r>
        <w:rPr>
          <w:rFonts w:ascii="仿宋" w:hAnsi="仿宋" w:eastAsia="仿宋"/>
          <w:sz w:val="28"/>
          <w:szCs w:val="28"/>
        </w:rPr>
        <w:t>8.2</w:t>
      </w:r>
      <w:r>
        <w:rPr>
          <w:rFonts w:hint="eastAsia" w:ascii="仿宋" w:hAnsi="仿宋" w:eastAsia="仿宋"/>
          <w:sz w:val="28"/>
          <w:szCs w:val="28"/>
        </w:rPr>
        <w:t>　服务时间：合同条款前附表指定时间。</w:t>
      </w:r>
    </w:p>
    <w:p w14:paraId="35F8283F">
      <w:pPr>
        <w:pStyle w:val="9"/>
        <w:spacing w:line="560" w:lineRule="exact"/>
        <w:ind w:firstLine="560" w:firstLineChars="200"/>
        <w:rPr>
          <w:rFonts w:ascii="仿宋" w:hAnsi="仿宋" w:eastAsia="仿宋"/>
          <w:sz w:val="28"/>
          <w:szCs w:val="28"/>
        </w:rPr>
      </w:pPr>
      <w:r>
        <w:rPr>
          <w:rFonts w:ascii="仿宋" w:hAnsi="仿宋" w:eastAsia="仿宋"/>
          <w:sz w:val="28"/>
          <w:szCs w:val="28"/>
        </w:rPr>
        <w:t>8.3</w:t>
      </w:r>
      <w:r>
        <w:rPr>
          <w:rFonts w:hint="eastAsia" w:ascii="仿宋" w:hAnsi="仿宋" w:eastAsia="仿宋"/>
          <w:sz w:val="28"/>
          <w:szCs w:val="28"/>
        </w:rPr>
        <w:t>　甲方应在乙方完成相关服务工作后及时对服务质量、技术指标、服务成果进行验收。</w:t>
      </w:r>
    </w:p>
    <w:p w14:paraId="64E33192">
      <w:pPr>
        <w:pStyle w:val="9"/>
        <w:spacing w:line="560" w:lineRule="exact"/>
        <w:ind w:firstLine="560" w:firstLineChars="200"/>
        <w:rPr>
          <w:rFonts w:ascii="仿宋" w:hAnsi="仿宋" w:eastAsia="仿宋"/>
          <w:sz w:val="28"/>
          <w:szCs w:val="28"/>
        </w:rPr>
      </w:pPr>
      <w:r>
        <w:rPr>
          <w:rFonts w:ascii="仿宋" w:hAnsi="仿宋" w:eastAsia="仿宋"/>
          <w:sz w:val="28"/>
          <w:szCs w:val="28"/>
        </w:rPr>
        <w:t>9.</w:t>
      </w:r>
      <w:r>
        <w:rPr>
          <w:rFonts w:hint="eastAsia" w:ascii="仿宋" w:hAnsi="仿宋" w:eastAsia="仿宋"/>
          <w:sz w:val="28"/>
          <w:szCs w:val="28"/>
        </w:rPr>
        <w:t>违约责任</w:t>
      </w:r>
    </w:p>
    <w:p w14:paraId="4E959426">
      <w:pPr>
        <w:pStyle w:val="9"/>
        <w:spacing w:line="560" w:lineRule="exact"/>
        <w:ind w:firstLine="560" w:firstLineChars="200"/>
        <w:rPr>
          <w:rFonts w:ascii="仿宋" w:hAnsi="仿宋" w:eastAsia="仿宋"/>
          <w:sz w:val="28"/>
          <w:szCs w:val="28"/>
        </w:rPr>
      </w:pPr>
      <w:r>
        <w:rPr>
          <w:rFonts w:ascii="仿宋" w:hAnsi="仿宋" w:eastAsia="仿宋"/>
          <w:sz w:val="28"/>
          <w:szCs w:val="28"/>
        </w:rPr>
        <w:t>9.1</w:t>
      </w:r>
      <w:r>
        <w:rPr>
          <w:rFonts w:hint="eastAsia" w:ascii="仿宋" w:hAnsi="仿宋" w:eastAsia="仿宋"/>
          <w:sz w:val="28"/>
          <w:szCs w:val="28"/>
        </w:rPr>
        <w:t>　服务缺陷的补救措施和索赔</w:t>
      </w:r>
    </w:p>
    <w:p w14:paraId="32C63130">
      <w:pPr>
        <w:pStyle w:val="9"/>
        <w:spacing w:line="56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如果乙方提供的服务不符合本合同约定以及磋商文件、响应文件关于服务的要求和承诺，乙方应按照甲方同意的下列一种或几种方式结合起来解决索赔事宜：</w:t>
      </w:r>
    </w:p>
    <w:p w14:paraId="4A1F8956">
      <w:pPr>
        <w:pStyle w:val="9"/>
        <w:spacing w:line="560" w:lineRule="exact"/>
        <w:ind w:firstLine="560" w:firstLineChars="200"/>
        <w:rPr>
          <w:rFonts w:ascii="仿宋" w:hAnsi="仿宋" w:eastAsia="仿宋"/>
          <w:sz w:val="28"/>
          <w:szCs w:val="28"/>
        </w:rPr>
      </w:pPr>
      <w:r>
        <w:rPr>
          <w:rFonts w:hint="eastAsia" w:ascii="仿宋" w:hAnsi="仿宋" w:eastAsia="仿宋"/>
          <w:sz w:val="28"/>
          <w:szCs w:val="28"/>
        </w:rPr>
        <w:t>①乙方同意将服务款项目退还给甲方，由此发生的一切费用和损失由乙方承担。如甲方以适当的条件和方法购买与未履约标的相类似的服务，乙方应负担新购买类似服务所超出的费用。</w:t>
      </w:r>
    </w:p>
    <w:p w14:paraId="38502A1C">
      <w:pPr>
        <w:pStyle w:val="9"/>
        <w:spacing w:line="560" w:lineRule="exact"/>
        <w:ind w:firstLine="560" w:firstLineChars="200"/>
        <w:rPr>
          <w:rFonts w:ascii="仿宋" w:hAnsi="仿宋" w:eastAsia="仿宋"/>
          <w:sz w:val="28"/>
          <w:szCs w:val="28"/>
        </w:rPr>
      </w:pPr>
      <w:r>
        <w:rPr>
          <w:rFonts w:hint="eastAsia" w:ascii="仿宋" w:hAnsi="仿宋" w:eastAsia="仿宋"/>
          <w:sz w:val="28"/>
          <w:szCs w:val="28"/>
        </w:rPr>
        <w:t>②根据服务的质量状况以及甲方所遭受的损失，经过甲乙双方商定降低服务的价格。</w:t>
      </w:r>
    </w:p>
    <w:p w14:paraId="442F8C8E">
      <w:pPr>
        <w:pStyle w:val="9"/>
        <w:spacing w:line="56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如果在甲方发出索赔通知后</w:t>
      </w:r>
      <w:r>
        <w:rPr>
          <w:rFonts w:ascii="仿宋" w:hAnsi="仿宋" w:eastAsia="仿宋"/>
          <w:sz w:val="28"/>
          <w:szCs w:val="28"/>
        </w:rPr>
        <w:t>10</w:t>
      </w:r>
      <w:r>
        <w:rPr>
          <w:rFonts w:hint="eastAsia" w:ascii="仿宋" w:hAnsi="仿宋" w:eastAsia="仿宋"/>
          <w:sz w:val="28"/>
          <w:szCs w:val="28"/>
        </w:rPr>
        <w:t>日内乙方未作答复，上述索赔应视为已被乙方接受。如果乙方未能在甲方发出索赔通知后</w:t>
      </w:r>
      <w:r>
        <w:rPr>
          <w:rFonts w:ascii="仿宋" w:hAnsi="仿宋" w:eastAsia="仿宋"/>
          <w:sz w:val="28"/>
          <w:szCs w:val="28"/>
        </w:rPr>
        <w:t>10</w:t>
      </w:r>
      <w:r>
        <w:rPr>
          <w:rFonts w:hint="eastAsia" w:ascii="仿宋" w:hAnsi="仿宋" w:eastAsia="仿宋"/>
          <w:sz w:val="28"/>
          <w:szCs w:val="28"/>
        </w:rPr>
        <w:t>日内或甲方同意延长的期限内，按照上述规定的任何一种方法采取补救措施，甲方有权从应付服务款中扣除索赔金额，如不足以弥补甲方损失的，甲方有权进一步要求乙方赔偿。</w:t>
      </w:r>
    </w:p>
    <w:p w14:paraId="7594D1B8">
      <w:pPr>
        <w:pStyle w:val="9"/>
        <w:spacing w:line="560" w:lineRule="exact"/>
        <w:ind w:firstLine="560" w:firstLineChars="200"/>
        <w:rPr>
          <w:rFonts w:ascii="仿宋" w:hAnsi="仿宋" w:eastAsia="仿宋"/>
          <w:sz w:val="28"/>
          <w:szCs w:val="28"/>
        </w:rPr>
      </w:pPr>
      <w:r>
        <w:rPr>
          <w:rFonts w:ascii="仿宋" w:hAnsi="仿宋" w:eastAsia="仿宋"/>
          <w:sz w:val="28"/>
          <w:szCs w:val="28"/>
        </w:rPr>
        <w:t>9.2</w:t>
      </w:r>
      <w:r>
        <w:rPr>
          <w:rFonts w:hint="eastAsia" w:ascii="仿宋" w:hAnsi="仿宋" w:eastAsia="仿宋"/>
          <w:sz w:val="28"/>
          <w:szCs w:val="28"/>
        </w:rPr>
        <w:t>　迟延履约的违约责任</w:t>
      </w:r>
    </w:p>
    <w:p w14:paraId="1A3DDFC5">
      <w:pPr>
        <w:pStyle w:val="9"/>
        <w:spacing w:line="56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乙方应按照本合同规定的时间、地点提供服务。</w:t>
      </w:r>
    </w:p>
    <w:p w14:paraId="559026B7">
      <w:pPr>
        <w:pStyle w:val="9"/>
        <w:spacing w:line="56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在履行合同过程中，如果乙方遇到可能妨碍按时提供服务的情形时，应及时以书面形式将迟延的事实、可能迟延的期限和理由通知甲方。甲方在收到乙方通知后，应尽快对情况进行评价，并确定是否同意延期提供服务。</w:t>
      </w:r>
    </w:p>
    <w:p w14:paraId="72333A28">
      <w:pPr>
        <w:pStyle w:val="9"/>
        <w:spacing w:line="56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除甲乙双方另有约定外，如果乙方没有按照合同规定的时间提供服务，且没有在甲方同意的延长的期限内进行补救时，甲方有权从服务款、履约保证金中扣除或要求乙方另行支付误期赔偿费而不影响合同项下的其他补救方法。赔偿费每日按合同金额的</w:t>
      </w:r>
      <w:r>
        <w:rPr>
          <w:rFonts w:ascii="仿宋" w:hAnsi="仿宋" w:eastAsia="仿宋"/>
          <w:sz w:val="28"/>
          <w:szCs w:val="28"/>
        </w:rPr>
        <w:t>0.5%(</w:t>
      </w:r>
      <w:r>
        <w:rPr>
          <w:rFonts w:hint="eastAsia" w:ascii="仿宋" w:hAnsi="仿宋" w:eastAsia="仿宋"/>
          <w:sz w:val="28"/>
          <w:szCs w:val="28"/>
        </w:rPr>
        <w:t>各单位可根据实际情况重新设定</w:t>
      </w:r>
      <w:r>
        <w:rPr>
          <w:rFonts w:ascii="仿宋" w:hAnsi="仿宋" w:eastAsia="仿宋"/>
          <w:sz w:val="28"/>
          <w:szCs w:val="28"/>
        </w:rPr>
        <w:t>)</w:t>
      </w:r>
      <w:r>
        <w:rPr>
          <w:rFonts w:hint="eastAsia" w:ascii="仿宋" w:hAnsi="仿宋" w:eastAsia="仿宋"/>
          <w:sz w:val="28"/>
          <w:szCs w:val="28"/>
        </w:rPr>
        <w:t>计收，直至交货或提供服务为止。但误期赔偿费的最高限额不超过合同价的</w:t>
      </w:r>
      <w:r>
        <w:rPr>
          <w:rFonts w:ascii="仿宋" w:hAnsi="仿宋" w:eastAsia="仿宋"/>
          <w:sz w:val="28"/>
          <w:szCs w:val="28"/>
        </w:rPr>
        <w:t>15%(</w:t>
      </w:r>
      <w:r>
        <w:rPr>
          <w:rFonts w:hint="eastAsia" w:ascii="仿宋" w:hAnsi="仿宋" w:eastAsia="仿宋"/>
          <w:sz w:val="28"/>
          <w:szCs w:val="28"/>
        </w:rPr>
        <w:t>各单位可根据实际情况重新设定</w:t>
      </w:r>
      <w:r>
        <w:rPr>
          <w:rFonts w:ascii="仿宋" w:hAnsi="仿宋" w:eastAsia="仿宋"/>
          <w:sz w:val="28"/>
          <w:szCs w:val="28"/>
        </w:rPr>
        <w:t>)</w:t>
      </w:r>
      <w:r>
        <w:rPr>
          <w:rFonts w:hint="eastAsia" w:ascii="仿宋" w:hAnsi="仿宋" w:eastAsia="仿宋"/>
          <w:sz w:val="28"/>
          <w:szCs w:val="28"/>
        </w:rPr>
        <w:t>。</w:t>
      </w:r>
    </w:p>
    <w:p w14:paraId="1DF79D56">
      <w:pPr>
        <w:pStyle w:val="9"/>
        <w:spacing w:line="560" w:lineRule="exact"/>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如果乙方延迟履约超过</w:t>
      </w:r>
      <w:r>
        <w:rPr>
          <w:rFonts w:ascii="仿宋" w:hAnsi="仿宋" w:eastAsia="仿宋"/>
          <w:sz w:val="28"/>
          <w:szCs w:val="28"/>
        </w:rPr>
        <w:t>30</w:t>
      </w:r>
      <w:r>
        <w:rPr>
          <w:rFonts w:hint="eastAsia" w:ascii="仿宋" w:hAnsi="仿宋" w:eastAsia="仿宋"/>
          <w:sz w:val="28"/>
          <w:szCs w:val="28"/>
        </w:rPr>
        <w:t>日，甲方有权终止全部或部分合同，并依其认为适当的条件和方法购买与未履约类似的服务，乙方应负担购买类似服务所超出的费用。但是，乙方应继续执行合同中未终止的部分。</w:t>
      </w:r>
    </w:p>
    <w:p w14:paraId="4479B0D7">
      <w:pPr>
        <w:pStyle w:val="9"/>
        <w:spacing w:line="560" w:lineRule="exact"/>
        <w:ind w:firstLine="560" w:firstLineChars="200"/>
        <w:rPr>
          <w:rFonts w:ascii="仿宋" w:hAnsi="仿宋" w:eastAsia="仿宋"/>
          <w:sz w:val="28"/>
          <w:szCs w:val="28"/>
        </w:rPr>
      </w:pPr>
      <w:r>
        <w:rPr>
          <w:rFonts w:ascii="仿宋" w:hAnsi="仿宋" w:eastAsia="仿宋"/>
          <w:sz w:val="28"/>
          <w:szCs w:val="28"/>
        </w:rPr>
        <w:t>9.3</w:t>
      </w:r>
      <w:r>
        <w:rPr>
          <w:rFonts w:hint="eastAsia" w:ascii="仿宋" w:hAnsi="仿宋" w:eastAsia="仿宋"/>
          <w:sz w:val="28"/>
          <w:szCs w:val="28"/>
        </w:rPr>
        <w:t>　未履行合同义务的违约责任</w:t>
      </w:r>
    </w:p>
    <w:p w14:paraId="52D12ACF">
      <w:pPr>
        <w:pStyle w:val="9"/>
        <w:spacing w:line="56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守约方有权终止全部或部分合同。</w:t>
      </w:r>
    </w:p>
    <w:p w14:paraId="2AC3A2D2">
      <w:pPr>
        <w:pStyle w:val="9"/>
        <w:spacing w:line="56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乙方违约，甲方没收全额履约保证金。</w:t>
      </w:r>
    </w:p>
    <w:p w14:paraId="1E927B26">
      <w:pPr>
        <w:pStyle w:val="9"/>
        <w:spacing w:line="56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由违约一方支付违约金，违约金标准见合同条款前附表</w:t>
      </w:r>
      <w:r>
        <w:rPr>
          <w:rFonts w:ascii="仿宋" w:hAnsi="仿宋" w:eastAsia="仿宋"/>
          <w:sz w:val="28"/>
          <w:szCs w:val="28"/>
        </w:rPr>
        <w:t>(</w:t>
      </w:r>
      <w:r>
        <w:rPr>
          <w:rFonts w:hint="eastAsia" w:ascii="仿宋" w:hAnsi="仿宋" w:eastAsia="仿宋"/>
          <w:sz w:val="28"/>
          <w:szCs w:val="28"/>
        </w:rPr>
        <w:t>各单位可根据实际情况自行约定</w:t>
      </w:r>
      <w:r>
        <w:rPr>
          <w:rFonts w:ascii="仿宋" w:hAnsi="仿宋" w:eastAsia="仿宋"/>
          <w:sz w:val="28"/>
          <w:szCs w:val="28"/>
        </w:rPr>
        <w:t>)</w:t>
      </w:r>
      <w:r>
        <w:rPr>
          <w:rFonts w:hint="eastAsia" w:ascii="仿宋" w:hAnsi="仿宋" w:eastAsia="仿宋"/>
          <w:sz w:val="28"/>
          <w:szCs w:val="28"/>
        </w:rPr>
        <w:t>。</w:t>
      </w:r>
    </w:p>
    <w:p w14:paraId="285F812C">
      <w:pPr>
        <w:pStyle w:val="9"/>
        <w:spacing w:line="560" w:lineRule="exact"/>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违约金不足以弥补守约方实际损失、可预见或者应当预见的损失，由违约方全额予以赔偿。</w:t>
      </w:r>
    </w:p>
    <w:p w14:paraId="21D8D609">
      <w:pPr>
        <w:pStyle w:val="9"/>
        <w:spacing w:line="560" w:lineRule="exact"/>
        <w:ind w:firstLine="560" w:firstLineChars="200"/>
        <w:rPr>
          <w:rFonts w:ascii="仿宋" w:hAnsi="仿宋" w:eastAsia="仿宋"/>
          <w:sz w:val="28"/>
          <w:szCs w:val="28"/>
        </w:rPr>
      </w:pPr>
      <w:r>
        <w:rPr>
          <w:rFonts w:ascii="仿宋" w:hAnsi="仿宋" w:eastAsia="仿宋"/>
          <w:sz w:val="28"/>
          <w:szCs w:val="28"/>
        </w:rPr>
        <w:t>10.</w:t>
      </w:r>
      <w:r>
        <w:rPr>
          <w:rFonts w:hint="eastAsia" w:ascii="仿宋" w:hAnsi="仿宋" w:eastAsia="仿宋"/>
          <w:sz w:val="28"/>
          <w:szCs w:val="28"/>
        </w:rPr>
        <w:t>不可抗力</w:t>
      </w:r>
    </w:p>
    <w:p w14:paraId="3CA4EC92">
      <w:pPr>
        <w:pStyle w:val="9"/>
        <w:spacing w:line="560" w:lineRule="exact"/>
        <w:ind w:firstLine="560" w:firstLineChars="200"/>
        <w:rPr>
          <w:rFonts w:ascii="仿宋" w:hAnsi="仿宋" w:eastAsia="仿宋"/>
          <w:sz w:val="28"/>
          <w:szCs w:val="28"/>
        </w:rPr>
      </w:pPr>
      <w:r>
        <w:rPr>
          <w:rFonts w:ascii="仿宋" w:hAnsi="仿宋" w:eastAsia="仿宋"/>
          <w:sz w:val="28"/>
          <w:szCs w:val="28"/>
        </w:rPr>
        <w:t>10.1</w:t>
      </w:r>
      <w:r>
        <w:rPr>
          <w:rFonts w:hint="eastAsia" w:ascii="仿宋" w:hAnsi="仿宋" w:eastAsia="仿宋"/>
          <w:sz w:val="28"/>
          <w:szCs w:val="28"/>
        </w:rPr>
        <w:t>　如果合同双方因不可抗力而导致合同实施延误或合同无法实施，不应该承担误期赔偿或不能履行合同义务的责任。</w:t>
      </w:r>
    </w:p>
    <w:p w14:paraId="04B42B91">
      <w:pPr>
        <w:pStyle w:val="9"/>
        <w:spacing w:line="560" w:lineRule="exact"/>
        <w:ind w:firstLine="560" w:firstLineChars="200"/>
        <w:rPr>
          <w:rFonts w:ascii="仿宋" w:hAnsi="仿宋" w:eastAsia="仿宋"/>
          <w:sz w:val="28"/>
          <w:szCs w:val="28"/>
        </w:rPr>
      </w:pPr>
      <w:r>
        <w:rPr>
          <w:rFonts w:ascii="仿宋" w:hAnsi="仿宋" w:eastAsia="仿宋"/>
          <w:sz w:val="28"/>
          <w:szCs w:val="28"/>
        </w:rPr>
        <w:t>10.2</w:t>
      </w:r>
      <w:r>
        <w:rPr>
          <w:rFonts w:hint="eastAsia" w:ascii="仿宋" w:hAnsi="仿宋" w:eastAsia="仿宋"/>
          <w:sz w:val="28"/>
          <w:szCs w:val="28"/>
        </w:rPr>
        <w:t>　本条所述的“不可抗力”系指那些双方不可预见、不可避免、不可克服的客观情况，但不包括双方的违约或疏忽。这些事件包括但不限于：战争、严重火灾、洪水、台风、地震等。</w:t>
      </w:r>
    </w:p>
    <w:p w14:paraId="6FE96A24">
      <w:pPr>
        <w:pStyle w:val="9"/>
        <w:spacing w:line="560" w:lineRule="exact"/>
        <w:ind w:firstLine="560" w:firstLineChars="200"/>
        <w:rPr>
          <w:rFonts w:ascii="仿宋" w:hAnsi="仿宋" w:eastAsia="仿宋"/>
          <w:sz w:val="28"/>
          <w:szCs w:val="28"/>
        </w:rPr>
      </w:pPr>
      <w:r>
        <w:rPr>
          <w:rFonts w:ascii="仿宋" w:hAnsi="仿宋" w:eastAsia="仿宋"/>
          <w:sz w:val="28"/>
          <w:szCs w:val="28"/>
        </w:rPr>
        <w:t>10.3</w:t>
      </w:r>
      <w:r>
        <w:rPr>
          <w:rFonts w:hint="eastAsia" w:ascii="仿宋" w:hAnsi="仿宋" w:eastAsia="仿宋"/>
          <w:sz w:val="28"/>
          <w:szCs w:val="28"/>
        </w:rPr>
        <w:t>　在不可抗力事件发生后，当事方应及时将不可抗力情况通知合同对方，在不可抗力事件结束后</w:t>
      </w:r>
      <w:r>
        <w:rPr>
          <w:rFonts w:ascii="仿宋" w:hAnsi="仿宋" w:eastAsia="仿宋"/>
          <w:sz w:val="28"/>
          <w:szCs w:val="28"/>
        </w:rPr>
        <w:t>3</w:t>
      </w:r>
      <w:r>
        <w:rPr>
          <w:rFonts w:hint="eastAsia" w:ascii="仿宋" w:hAnsi="仿宋" w:eastAsia="仿宋"/>
          <w:sz w:val="28"/>
          <w:szCs w:val="28"/>
        </w:rPr>
        <w:t>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14:paraId="6A3E33B8">
      <w:pPr>
        <w:pStyle w:val="9"/>
        <w:spacing w:line="560" w:lineRule="exact"/>
        <w:ind w:firstLine="560" w:firstLineChars="200"/>
        <w:rPr>
          <w:rFonts w:ascii="仿宋" w:hAnsi="仿宋" w:eastAsia="仿宋"/>
          <w:sz w:val="28"/>
          <w:szCs w:val="28"/>
        </w:rPr>
      </w:pPr>
      <w:r>
        <w:rPr>
          <w:rFonts w:ascii="仿宋" w:hAnsi="仿宋" w:eastAsia="仿宋"/>
          <w:sz w:val="28"/>
          <w:szCs w:val="28"/>
        </w:rPr>
        <w:t>11.</w:t>
      </w:r>
      <w:r>
        <w:rPr>
          <w:rFonts w:hint="eastAsia" w:ascii="仿宋" w:hAnsi="仿宋" w:eastAsia="仿宋"/>
          <w:sz w:val="28"/>
          <w:szCs w:val="28"/>
        </w:rPr>
        <w:t>合同纠纷的解决方式</w:t>
      </w:r>
    </w:p>
    <w:p w14:paraId="73318043">
      <w:pPr>
        <w:pStyle w:val="9"/>
        <w:spacing w:line="560" w:lineRule="exact"/>
        <w:ind w:firstLine="560" w:firstLineChars="200"/>
        <w:rPr>
          <w:rFonts w:ascii="仿宋" w:hAnsi="仿宋" w:eastAsia="仿宋"/>
          <w:sz w:val="28"/>
          <w:szCs w:val="28"/>
        </w:rPr>
      </w:pPr>
      <w:r>
        <w:rPr>
          <w:rFonts w:ascii="仿宋" w:hAnsi="仿宋" w:eastAsia="仿宋"/>
          <w:sz w:val="28"/>
          <w:szCs w:val="28"/>
        </w:rPr>
        <w:t>11.1</w:t>
      </w:r>
      <w:r>
        <w:rPr>
          <w:rFonts w:hint="eastAsia" w:ascii="仿宋" w:hAnsi="仿宋" w:eastAsia="仿宋"/>
          <w:sz w:val="28"/>
          <w:szCs w:val="28"/>
        </w:rPr>
        <w:t>　合同各方应通过友好协商，解决在执行合同过程中所发生的或与合同有关的一切争端。如协商</w:t>
      </w:r>
      <w:r>
        <w:rPr>
          <w:rFonts w:ascii="仿宋" w:hAnsi="仿宋" w:eastAsia="仿宋"/>
          <w:sz w:val="28"/>
          <w:szCs w:val="28"/>
        </w:rPr>
        <w:t>30</w:t>
      </w:r>
      <w:r>
        <w:rPr>
          <w:rFonts w:hint="eastAsia" w:ascii="仿宋" w:hAnsi="仿宋" w:eastAsia="仿宋"/>
          <w:sz w:val="28"/>
          <w:szCs w:val="28"/>
        </w:rPr>
        <w:t>日内</w:t>
      </w:r>
      <w:r>
        <w:rPr>
          <w:rFonts w:ascii="仿宋" w:hAnsi="仿宋" w:eastAsia="仿宋"/>
          <w:sz w:val="28"/>
          <w:szCs w:val="28"/>
        </w:rPr>
        <w:t>(</w:t>
      </w:r>
      <w:r>
        <w:rPr>
          <w:rFonts w:hint="eastAsia" w:ascii="仿宋" w:hAnsi="仿宋" w:eastAsia="仿宋"/>
          <w:sz w:val="28"/>
          <w:szCs w:val="28"/>
        </w:rPr>
        <w:t>根据实际情况设定</w:t>
      </w:r>
      <w:r>
        <w:rPr>
          <w:rFonts w:ascii="仿宋" w:hAnsi="仿宋" w:eastAsia="仿宋"/>
          <w:sz w:val="28"/>
          <w:szCs w:val="28"/>
        </w:rPr>
        <w:t>)</w:t>
      </w:r>
      <w:r>
        <w:rPr>
          <w:rFonts w:hint="eastAsia" w:ascii="仿宋" w:hAnsi="仿宋" w:eastAsia="仿宋"/>
          <w:sz w:val="28"/>
          <w:szCs w:val="28"/>
        </w:rPr>
        <w:t>不能解决，可以按合同规定的方式提起仲裁或诉讼。</w:t>
      </w:r>
    </w:p>
    <w:p w14:paraId="5DE780BA">
      <w:pPr>
        <w:pStyle w:val="9"/>
        <w:spacing w:line="560" w:lineRule="exact"/>
        <w:ind w:firstLine="560" w:firstLineChars="200"/>
        <w:rPr>
          <w:rFonts w:ascii="仿宋" w:hAnsi="仿宋" w:eastAsia="仿宋"/>
          <w:sz w:val="28"/>
          <w:szCs w:val="28"/>
        </w:rPr>
      </w:pPr>
      <w:r>
        <w:rPr>
          <w:rFonts w:ascii="仿宋" w:hAnsi="仿宋" w:eastAsia="仿宋"/>
          <w:sz w:val="28"/>
          <w:szCs w:val="28"/>
        </w:rPr>
        <w:t>11.2</w:t>
      </w:r>
      <w:r>
        <w:rPr>
          <w:rFonts w:hint="eastAsia" w:ascii="仿宋" w:hAnsi="仿宋" w:eastAsia="仿宋"/>
          <w:sz w:val="28"/>
          <w:szCs w:val="28"/>
        </w:rPr>
        <w:t>　仲裁裁决应为最终裁决，对双方均具有约束力。</w:t>
      </w:r>
    </w:p>
    <w:p w14:paraId="4D746BF7">
      <w:pPr>
        <w:pStyle w:val="9"/>
        <w:spacing w:line="560" w:lineRule="exact"/>
        <w:ind w:firstLine="560" w:firstLineChars="200"/>
        <w:rPr>
          <w:rFonts w:ascii="仿宋" w:hAnsi="仿宋" w:eastAsia="仿宋"/>
          <w:sz w:val="28"/>
          <w:szCs w:val="28"/>
        </w:rPr>
      </w:pPr>
      <w:r>
        <w:rPr>
          <w:rFonts w:ascii="仿宋" w:hAnsi="仿宋" w:eastAsia="仿宋"/>
          <w:sz w:val="28"/>
          <w:szCs w:val="28"/>
        </w:rPr>
        <w:t>11.3</w:t>
      </w:r>
      <w:r>
        <w:rPr>
          <w:rFonts w:hint="eastAsia" w:ascii="仿宋" w:hAnsi="仿宋" w:eastAsia="仿宋"/>
          <w:sz w:val="28"/>
          <w:szCs w:val="28"/>
        </w:rPr>
        <w:t>　仲裁费除仲裁机关另有裁决外应由败诉方负担。</w:t>
      </w:r>
    </w:p>
    <w:p w14:paraId="79930183">
      <w:pPr>
        <w:pStyle w:val="9"/>
        <w:spacing w:line="560" w:lineRule="exact"/>
        <w:ind w:firstLine="560" w:firstLineChars="200"/>
        <w:rPr>
          <w:rFonts w:ascii="仿宋" w:hAnsi="仿宋" w:eastAsia="仿宋"/>
          <w:sz w:val="28"/>
          <w:szCs w:val="28"/>
        </w:rPr>
      </w:pPr>
      <w:r>
        <w:rPr>
          <w:rFonts w:ascii="仿宋" w:hAnsi="仿宋" w:eastAsia="仿宋"/>
          <w:sz w:val="28"/>
          <w:szCs w:val="28"/>
        </w:rPr>
        <w:t>11.4</w:t>
      </w:r>
      <w:r>
        <w:rPr>
          <w:rFonts w:hint="eastAsia" w:ascii="仿宋" w:hAnsi="仿宋" w:eastAsia="仿宋"/>
          <w:sz w:val="28"/>
          <w:szCs w:val="28"/>
        </w:rPr>
        <w:t>　诉讼应由甲方住所地人民法院管辖。财产保全担保保险费、财产保全申请费、律师代理费、差旅费、评估费、鉴定费诉讼费等与仲裁或诉讼活动相关费用应由败诉方负担。</w:t>
      </w:r>
    </w:p>
    <w:p w14:paraId="23DF0FD0">
      <w:pPr>
        <w:pStyle w:val="9"/>
        <w:spacing w:line="560" w:lineRule="exact"/>
        <w:ind w:firstLine="560" w:firstLineChars="200"/>
        <w:rPr>
          <w:rFonts w:ascii="仿宋" w:hAnsi="仿宋" w:eastAsia="仿宋"/>
          <w:sz w:val="28"/>
          <w:szCs w:val="28"/>
        </w:rPr>
      </w:pPr>
      <w:r>
        <w:rPr>
          <w:rFonts w:ascii="仿宋" w:hAnsi="仿宋" w:eastAsia="仿宋"/>
          <w:sz w:val="28"/>
          <w:szCs w:val="28"/>
        </w:rPr>
        <w:t>11.5</w:t>
      </w:r>
      <w:r>
        <w:rPr>
          <w:rFonts w:hint="eastAsia" w:ascii="仿宋" w:hAnsi="仿宋" w:eastAsia="仿宋"/>
          <w:sz w:val="28"/>
          <w:szCs w:val="28"/>
        </w:rPr>
        <w:t>　如仲裁或诉讼事项不影响合同其他部分的履行，则在仲裁或诉讼期间，除正在进行仲裁或诉讼的部分外，合同的其他部分应继续执行。</w:t>
      </w:r>
    </w:p>
    <w:p w14:paraId="7BA54634">
      <w:pPr>
        <w:pStyle w:val="9"/>
        <w:spacing w:line="560" w:lineRule="exact"/>
        <w:ind w:firstLine="560" w:firstLineChars="200"/>
        <w:rPr>
          <w:rFonts w:ascii="仿宋" w:hAnsi="仿宋" w:eastAsia="仿宋"/>
          <w:sz w:val="28"/>
          <w:szCs w:val="28"/>
        </w:rPr>
      </w:pPr>
      <w:r>
        <w:rPr>
          <w:rFonts w:ascii="仿宋" w:hAnsi="仿宋" w:eastAsia="仿宋"/>
          <w:sz w:val="28"/>
          <w:szCs w:val="28"/>
        </w:rPr>
        <w:t>12.</w:t>
      </w:r>
      <w:r>
        <w:rPr>
          <w:rFonts w:hint="eastAsia" w:ascii="仿宋" w:hAnsi="仿宋" w:eastAsia="仿宋"/>
          <w:sz w:val="28"/>
          <w:szCs w:val="28"/>
        </w:rPr>
        <w:t>合同修改或变更</w:t>
      </w:r>
    </w:p>
    <w:p w14:paraId="254239F2">
      <w:pPr>
        <w:pStyle w:val="9"/>
        <w:spacing w:line="560" w:lineRule="exact"/>
        <w:ind w:firstLine="560" w:firstLineChars="200"/>
        <w:rPr>
          <w:rFonts w:ascii="仿宋" w:hAnsi="仿宋" w:eastAsia="仿宋"/>
          <w:sz w:val="28"/>
          <w:szCs w:val="28"/>
        </w:rPr>
      </w:pPr>
      <w:r>
        <w:rPr>
          <w:rFonts w:ascii="仿宋" w:hAnsi="仿宋" w:eastAsia="仿宋"/>
          <w:sz w:val="28"/>
          <w:szCs w:val="28"/>
        </w:rPr>
        <w:t>12.1</w:t>
      </w:r>
      <w:r>
        <w:rPr>
          <w:rFonts w:hint="eastAsia" w:ascii="仿宋" w:hAnsi="仿宋" w:eastAsia="仿宋"/>
          <w:sz w:val="28"/>
          <w:szCs w:val="28"/>
        </w:rPr>
        <w:t>　如无重大变故，甲方双方不得擅自变更合同。</w:t>
      </w:r>
    </w:p>
    <w:p w14:paraId="225DD693">
      <w:pPr>
        <w:pStyle w:val="9"/>
        <w:spacing w:line="560" w:lineRule="exact"/>
        <w:ind w:firstLine="560" w:firstLineChars="200"/>
        <w:rPr>
          <w:rFonts w:ascii="仿宋" w:hAnsi="仿宋" w:eastAsia="仿宋"/>
          <w:sz w:val="28"/>
          <w:szCs w:val="28"/>
        </w:rPr>
      </w:pPr>
      <w:r>
        <w:rPr>
          <w:rFonts w:ascii="仿宋" w:hAnsi="仿宋" w:eastAsia="仿宋"/>
          <w:sz w:val="28"/>
          <w:szCs w:val="28"/>
        </w:rPr>
        <w:t>12.2</w:t>
      </w:r>
      <w:r>
        <w:rPr>
          <w:rFonts w:hint="eastAsia" w:ascii="仿宋" w:hAnsi="仿宋" w:eastAsia="仿宋"/>
          <w:sz w:val="28"/>
          <w:szCs w:val="28"/>
        </w:rPr>
        <w:t>　如确需变更合同，甲乙双方应签署书面变更协议。变更协议为本合同不可分割的一部分。</w:t>
      </w:r>
    </w:p>
    <w:p w14:paraId="797933CD">
      <w:pPr>
        <w:pStyle w:val="9"/>
        <w:spacing w:line="560" w:lineRule="exact"/>
        <w:ind w:firstLine="560" w:firstLineChars="200"/>
        <w:rPr>
          <w:rFonts w:ascii="仿宋" w:hAnsi="仿宋" w:eastAsia="仿宋"/>
          <w:sz w:val="28"/>
          <w:szCs w:val="28"/>
        </w:rPr>
      </w:pPr>
      <w:r>
        <w:rPr>
          <w:rFonts w:ascii="仿宋" w:hAnsi="仿宋" w:eastAsia="仿宋"/>
          <w:sz w:val="28"/>
          <w:szCs w:val="28"/>
        </w:rPr>
        <w:t>12.3</w:t>
      </w:r>
      <w:r>
        <w:rPr>
          <w:rFonts w:hint="eastAsia" w:ascii="仿宋" w:hAnsi="仿宋" w:eastAsia="仿宋"/>
          <w:sz w:val="28"/>
          <w:szCs w:val="28"/>
        </w:rPr>
        <w:t>　在不改变合同其他条款的前提下，甲方有权在合同价款</w:t>
      </w:r>
      <w:r>
        <w:rPr>
          <w:rFonts w:ascii="仿宋" w:hAnsi="仿宋" w:eastAsia="仿宋"/>
          <w:sz w:val="28"/>
          <w:szCs w:val="28"/>
        </w:rPr>
        <w:t>10%</w:t>
      </w:r>
      <w:r>
        <w:rPr>
          <w:rFonts w:hint="eastAsia" w:ascii="仿宋" w:hAnsi="仿宋" w:eastAsia="仿宋"/>
          <w:sz w:val="28"/>
          <w:szCs w:val="28"/>
        </w:rPr>
        <w:t>的范围内追加与合同标的相同的货物或服务，并就此与乙方签订补充合同，乙方不得拒绝。</w:t>
      </w:r>
    </w:p>
    <w:p w14:paraId="410C8D16">
      <w:pPr>
        <w:pStyle w:val="9"/>
        <w:spacing w:line="560" w:lineRule="exact"/>
        <w:ind w:firstLine="560" w:firstLineChars="200"/>
        <w:rPr>
          <w:rFonts w:ascii="仿宋" w:hAnsi="仿宋" w:eastAsia="仿宋"/>
          <w:sz w:val="28"/>
          <w:szCs w:val="28"/>
        </w:rPr>
      </w:pPr>
      <w:r>
        <w:rPr>
          <w:rFonts w:ascii="仿宋" w:hAnsi="仿宋" w:eastAsia="仿宋"/>
          <w:sz w:val="28"/>
          <w:szCs w:val="28"/>
        </w:rPr>
        <w:t>13.</w:t>
      </w:r>
      <w:r>
        <w:rPr>
          <w:rFonts w:hint="eastAsia" w:ascii="仿宋" w:hAnsi="仿宋" w:eastAsia="仿宋"/>
          <w:sz w:val="28"/>
          <w:szCs w:val="28"/>
        </w:rPr>
        <w:t>合同中止</w:t>
      </w:r>
    </w:p>
    <w:p w14:paraId="4CD09F03">
      <w:pPr>
        <w:pStyle w:val="9"/>
        <w:spacing w:line="560" w:lineRule="exact"/>
        <w:ind w:firstLine="560" w:firstLineChars="200"/>
        <w:rPr>
          <w:rFonts w:ascii="仿宋" w:hAnsi="仿宋" w:eastAsia="仿宋"/>
          <w:sz w:val="28"/>
          <w:szCs w:val="28"/>
        </w:rPr>
      </w:pPr>
      <w:r>
        <w:rPr>
          <w:rFonts w:ascii="仿宋" w:hAnsi="仿宋" w:eastAsia="仿宋"/>
          <w:sz w:val="28"/>
          <w:szCs w:val="28"/>
        </w:rPr>
        <w:t>13.1</w:t>
      </w:r>
      <w:r>
        <w:rPr>
          <w:rFonts w:hint="eastAsia" w:ascii="仿宋" w:hAnsi="仿宋" w:eastAsia="仿宋"/>
          <w:sz w:val="28"/>
          <w:szCs w:val="28"/>
        </w:rPr>
        <w:t>合同在履行过程中，因采购计划调整，甲方可以要求中止履行，待计划确定后继续履行；合同履行过程中因供应商就采购过程或结果提起投诉的，甲方认为有必要或财政部责令中止的，应当中止合同的履行。</w:t>
      </w:r>
    </w:p>
    <w:p w14:paraId="78BE5890">
      <w:pPr>
        <w:pStyle w:val="9"/>
        <w:spacing w:line="560" w:lineRule="exact"/>
        <w:ind w:firstLine="560" w:firstLineChars="200"/>
        <w:rPr>
          <w:rFonts w:ascii="仿宋" w:hAnsi="仿宋" w:eastAsia="仿宋"/>
          <w:sz w:val="28"/>
          <w:szCs w:val="28"/>
        </w:rPr>
      </w:pPr>
      <w:r>
        <w:rPr>
          <w:rFonts w:ascii="仿宋" w:hAnsi="仿宋" w:eastAsia="仿宋"/>
          <w:sz w:val="28"/>
          <w:szCs w:val="28"/>
        </w:rPr>
        <w:t>14.</w:t>
      </w:r>
      <w:r>
        <w:rPr>
          <w:rFonts w:hint="eastAsia" w:ascii="仿宋" w:hAnsi="仿宋" w:eastAsia="仿宋"/>
          <w:sz w:val="28"/>
          <w:szCs w:val="28"/>
        </w:rPr>
        <w:t>违约终止合同</w:t>
      </w:r>
    </w:p>
    <w:p w14:paraId="63E41DCC">
      <w:pPr>
        <w:pStyle w:val="9"/>
        <w:spacing w:line="560" w:lineRule="exact"/>
        <w:ind w:firstLine="560" w:firstLineChars="200"/>
        <w:rPr>
          <w:rFonts w:ascii="仿宋" w:hAnsi="仿宋" w:eastAsia="仿宋"/>
          <w:sz w:val="28"/>
          <w:szCs w:val="28"/>
        </w:rPr>
      </w:pPr>
      <w:r>
        <w:rPr>
          <w:rFonts w:ascii="仿宋" w:hAnsi="仿宋" w:eastAsia="仿宋"/>
          <w:sz w:val="28"/>
          <w:szCs w:val="28"/>
        </w:rPr>
        <w:t>14.1</w:t>
      </w:r>
      <w:r>
        <w:rPr>
          <w:rFonts w:hint="eastAsia" w:ascii="仿宋" w:hAnsi="仿宋" w:eastAsia="仿宋"/>
          <w:sz w:val="28"/>
          <w:szCs w:val="28"/>
        </w:rPr>
        <w:t>　若出现如下情况，在甲方对乙方违约行为而采取的任何补救措施不受影响的情况下，甲方可向乙方发出书面通知书，提出终止部分或全部合同。</w:t>
      </w:r>
    </w:p>
    <w:p w14:paraId="33C74DF2">
      <w:pPr>
        <w:pStyle w:val="9"/>
        <w:spacing w:line="560" w:lineRule="exact"/>
        <w:ind w:firstLine="560" w:firstLineChars="200"/>
        <w:rPr>
          <w:rFonts w:ascii="仿宋" w:hAnsi="仿宋" w:eastAsia="仿宋"/>
          <w:sz w:val="28"/>
          <w:szCs w:val="28"/>
        </w:rPr>
      </w:pPr>
      <w:r>
        <w:rPr>
          <w:rFonts w:ascii="仿宋" w:hAnsi="仿宋" w:eastAsia="仿宋"/>
          <w:sz w:val="28"/>
          <w:szCs w:val="28"/>
        </w:rPr>
        <w:t>14.1.1</w:t>
      </w:r>
      <w:r>
        <w:rPr>
          <w:rFonts w:hint="eastAsia" w:ascii="仿宋" w:hAnsi="仿宋" w:eastAsia="仿宋"/>
          <w:sz w:val="28"/>
          <w:szCs w:val="28"/>
        </w:rPr>
        <w:t>　如果乙方未能在合同规定的期限或甲方同意延长的期限内提供服务；</w:t>
      </w:r>
    </w:p>
    <w:p w14:paraId="43BB5CFF">
      <w:pPr>
        <w:pStyle w:val="9"/>
        <w:spacing w:line="560" w:lineRule="exact"/>
        <w:ind w:firstLine="560" w:firstLineChars="200"/>
        <w:rPr>
          <w:rFonts w:ascii="仿宋" w:hAnsi="仿宋" w:eastAsia="仿宋"/>
          <w:sz w:val="28"/>
          <w:szCs w:val="28"/>
        </w:rPr>
      </w:pPr>
      <w:r>
        <w:rPr>
          <w:rFonts w:ascii="仿宋" w:hAnsi="仿宋" w:eastAsia="仿宋"/>
          <w:sz w:val="28"/>
          <w:szCs w:val="28"/>
        </w:rPr>
        <w:t>14.1.2</w:t>
      </w:r>
      <w:r>
        <w:rPr>
          <w:rFonts w:hint="eastAsia" w:ascii="仿宋" w:hAnsi="仿宋" w:eastAsia="仿宋"/>
          <w:sz w:val="28"/>
          <w:szCs w:val="28"/>
        </w:rPr>
        <w:t>　因乙方技术人员自身技术能力、经验不足等原因造成甲方硬件设备、应用系统发生重大紧急故障或应用系统数据丢失，带来重大影响和损失的；</w:t>
      </w:r>
    </w:p>
    <w:p w14:paraId="6FAD313A">
      <w:pPr>
        <w:pStyle w:val="9"/>
        <w:spacing w:line="560" w:lineRule="exact"/>
        <w:ind w:firstLine="560" w:firstLineChars="200"/>
        <w:rPr>
          <w:rFonts w:ascii="仿宋" w:hAnsi="仿宋" w:eastAsia="仿宋"/>
          <w:sz w:val="28"/>
          <w:szCs w:val="28"/>
        </w:rPr>
      </w:pPr>
      <w:r>
        <w:rPr>
          <w:rFonts w:ascii="仿宋" w:hAnsi="仿宋" w:eastAsia="仿宋"/>
          <w:sz w:val="28"/>
          <w:szCs w:val="28"/>
        </w:rPr>
        <w:t>14.1.3</w:t>
      </w:r>
      <w:r>
        <w:rPr>
          <w:rFonts w:hint="eastAsia" w:ascii="仿宋" w:hAnsi="仿宋" w:eastAsia="仿宋"/>
          <w:sz w:val="28"/>
          <w:szCs w:val="28"/>
        </w:rPr>
        <w:t>　乙方对甲方硬件设备、应用系统重大紧急故障没有及时响应，或不能在规定时间内解决处理故障，恢复系统正常运行的；</w:t>
      </w:r>
    </w:p>
    <w:p w14:paraId="4255C56C">
      <w:pPr>
        <w:pStyle w:val="9"/>
        <w:spacing w:line="560" w:lineRule="exact"/>
        <w:ind w:firstLine="560" w:firstLineChars="200"/>
        <w:rPr>
          <w:rFonts w:ascii="仿宋" w:hAnsi="仿宋" w:eastAsia="仿宋"/>
          <w:sz w:val="28"/>
          <w:szCs w:val="28"/>
        </w:rPr>
      </w:pPr>
      <w:r>
        <w:rPr>
          <w:rFonts w:ascii="仿宋" w:hAnsi="仿宋" w:eastAsia="仿宋"/>
          <w:sz w:val="28"/>
          <w:szCs w:val="28"/>
        </w:rPr>
        <w:t>14.1.4</w:t>
      </w:r>
      <w:r>
        <w:rPr>
          <w:rFonts w:hint="eastAsia" w:ascii="仿宋" w:hAnsi="仿宋" w:eastAsia="仿宋"/>
          <w:sz w:val="28"/>
          <w:szCs w:val="28"/>
        </w:rPr>
        <w:t>　不能满足本项目技术需求的管理要求和规范，且经多次整改无明显改进的；</w:t>
      </w:r>
    </w:p>
    <w:p w14:paraId="6C80CD8A">
      <w:pPr>
        <w:pStyle w:val="9"/>
        <w:spacing w:line="560" w:lineRule="exact"/>
        <w:ind w:firstLine="560" w:firstLineChars="200"/>
        <w:rPr>
          <w:rFonts w:ascii="仿宋" w:hAnsi="仿宋" w:eastAsia="仿宋"/>
          <w:sz w:val="28"/>
          <w:szCs w:val="28"/>
        </w:rPr>
      </w:pPr>
      <w:r>
        <w:rPr>
          <w:rFonts w:ascii="仿宋" w:hAnsi="仿宋" w:eastAsia="仿宋"/>
          <w:sz w:val="28"/>
          <w:szCs w:val="28"/>
        </w:rPr>
        <w:t>14.1.5</w:t>
      </w:r>
      <w:r>
        <w:rPr>
          <w:rFonts w:hint="eastAsia" w:ascii="仿宋" w:hAnsi="仿宋" w:eastAsia="仿宋"/>
          <w:sz w:val="28"/>
          <w:szCs w:val="28"/>
        </w:rPr>
        <w:t>　在合同规定的每个服务年度</w:t>
      </w:r>
      <w:r>
        <w:rPr>
          <w:rFonts w:ascii="仿宋" w:hAnsi="仿宋" w:eastAsia="仿宋"/>
          <w:sz w:val="28"/>
          <w:szCs w:val="28"/>
        </w:rPr>
        <w:t>(12</w:t>
      </w:r>
      <w:r>
        <w:rPr>
          <w:rFonts w:hint="eastAsia" w:ascii="仿宋" w:hAnsi="仿宋" w:eastAsia="仿宋"/>
          <w:sz w:val="28"/>
          <w:szCs w:val="28"/>
        </w:rPr>
        <w:t>个自然月</w:t>
      </w:r>
      <w:r>
        <w:rPr>
          <w:rFonts w:ascii="仿宋" w:hAnsi="仿宋" w:eastAsia="仿宋"/>
          <w:sz w:val="28"/>
          <w:szCs w:val="28"/>
        </w:rPr>
        <w:t>)</w:t>
      </w:r>
      <w:r>
        <w:rPr>
          <w:rFonts w:hint="eastAsia" w:ascii="仿宋" w:hAnsi="仿宋" w:eastAsia="仿宋"/>
          <w:sz w:val="28"/>
          <w:szCs w:val="28"/>
        </w:rPr>
        <w:t>内，在运行维护支持服务过程中，出现</w:t>
      </w:r>
      <w:r>
        <w:rPr>
          <w:rFonts w:ascii="仿宋" w:hAnsi="仿宋" w:eastAsia="仿宋"/>
          <w:sz w:val="28"/>
          <w:szCs w:val="28"/>
        </w:rPr>
        <w:t>2</w:t>
      </w:r>
      <w:r>
        <w:rPr>
          <w:rFonts w:hint="eastAsia" w:ascii="仿宋" w:hAnsi="仿宋" w:eastAsia="仿宋"/>
          <w:sz w:val="28"/>
          <w:szCs w:val="28"/>
        </w:rPr>
        <w:t>次经甲乙双方确认的违规操作的。</w:t>
      </w:r>
    </w:p>
    <w:p w14:paraId="3E194357">
      <w:pPr>
        <w:pStyle w:val="9"/>
        <w:spacing w:line="560" w:lineRule="exact"/>
        <w:ind w:firstLine="560" w:firstLineChars="200"/>
        <w:rPr>
          <w:rFonts w:ascii="仿宋" w:hAnsi="仿宋" w:eastAsia="仿宋"/>
          <w:sz w:val="28"/>
          <w:szCs w:val="28"/>
        </w:rPr>
      </w:pPr>
      <w:r>
        <w:rPr>
          <w:rFonts w:ascii="仿宋" w:hAnsi="仿宋" w:eastAsia="仿宋"/>
          <w:sz w:val="28"/>
          <w:szCs w:val="28"/>
        </w:rPr>
        <w:t>14.2</w:t>
      </w:r>
      <w:r>
        <w:rPr>
          <w:rFonts w:hint="eastAsia" w:ascii="仿宋" w:hAnsi="仿宋" w:eastAsia="仿宋"/>
          <w:sz w:val="28"/>
          <w:szCs w:val="28"/>
        </w:rPr>
        <w:t>　如果甲方根据上述第</w:t>
      </w:r>
      <w:r>
        <w:rPr>
          <w:rFonts w:ascii="仿宋" w:hAnsi="仿宋" w:eastAsia="仿宋"/>
          <w:sz w:val="28"/>
          <w:szCs w:val="28"/>
        </w:rPr>
        <w:t>14.1</w:t>
      </w:r>
      <w:r>
        <w:rPr>
          <w:rFonts w:hint="eastAsia" w:ascii="仿宋" w:hAnsi="仿宋" w:eastAsia="仿宋"/>
          <w:sz w:val="28"/>
          <w:szCs w:val="28"/>
        </w:rPr>
        <w:t>条的规定，终止了全部或部分合同，甲方可以适当的条件和方法购买乙方未能提供的服务，乙方应对甲方购买类似服务所超出的费用负责。同时，乙方应继续执行合同中未终止的部分。</w:t>
      </w:r>
    </w:p>
    <w:p w14:paraId="74F38595">
      <w:pPr>
        <w:pStyle w:val="9"/>
        <w:spacing w:line="560" w:lineRule="exact"/>
        <w:ind w:firstLine="560" w:firstLineChars="200"/>
        <w:rPr>
          <w:rFonts w:ascii="仿宋" w:hAnsi="仿宋" w:eastAsia="仿宋"/>
          <w:sz w:val="28"/>
          <w:szCs w:val="28"/>
        </w:rPr>
      </w:pPr>
      <w:r>
        <w:rPr>
          <w:rFonts w:ascii="仿宋" w:hAnsi="仿宋" w:eastAsia="仿宋"/>
          <w:sz w:val="28"/>
          <w:szCs w:val="28"/>
        </w:rPr>
        <w:t>15.</w:t>
      </w:r>
      <w:r>
        <w:rPr>
          <w:rFonts w:hint="eastAsia" w:ascii="仿宋" w:hAnsi="仿宋" w:eastAsia="仿宋"/>
          <w:sz w:val="28"/>
          <w:szCs w:val="28"/>
        </w:rPr>
        <w:t>破产终止合同</w:t>
      </w:r>
    </w:p>
    <w:p w14:paraId="663D56EA">
      <w:pPr>
        <w:pStyle w:val="9"/>
        <w:spacing w:line="560" w:lineRule="exact"/>
        <w:ind w:firstLine="560" w:firstLineChars="200"/>
        <w:rPr>
          <w:rFonts w:ascii="仿宋" w:hAnsi="仿宋" w:eastAsia="仿宋"/>
          <w:sz w:val="28"/>
          <w:szCs w:val="28"/>
        </w:rPr>
      </w:pPr>
      <w:r>
        <w:rPr>
          <w:rFonts w:ascii="仿宋" w:hAnsi="仿宋" w:eastAsia="仿宋"/>
          <w:sz w:val="28"/>
          <w:szCs w:val="28"/>
        </w:rPr>
        <w:t>15.1</w:t>
      </w:r>
      <w:r>
        <w:rPr>
          <w:rFonts w:hint="eastAsia" w:ascii="仿宋" w:hAnsi="仿宋" w:eastAsia="仿宋"/>
          <w:sz w:val="28"/>
          <w:szCs w:val="28"/>
        </w:rPr>
        <w:t>　如果乙方破产或无清偿能力，甲方可在任何时候以书面形式通知乙方终止合同而不给乙方补偿。</w:t>
      </w:r>
    </w:p>
    <w:p w14:paraId="2F64B65C">
      <w:pPr>
        <w:pStyle w:val="9"/>
        <w:spacing w:line="560" w:lineRule="exact"/>
        <w:ind w:firstLine="560" w:firstLineChars="200"/>
        <w:rPr>
          <w:rFonts w:ascii="仿宋" w:hAnsi="仿宋" w:eastAsia="仿宋"/>
          <w:sz w:val="28"/>
          <w:szCs w:val="28"/>
        </w:rPr>
      </w:pPr>
      <w:r>
        <w:rPr>
          <w:rFonts w:ascii="仿宋" w:hAnsi="仿宋" w:eastAsia="仿宋"/>
          <w:sz w:val="28"/>
          <w:szCs w:val="28"/>
        </w:rPr>
        <w:t>15.2</w:t>
      </w:r>
      <w:r>
        <w:rPr>
          <w:rFonts w:hint="eastAsia" w:ascii="仿宋" w:hAnsi="仿宋" w:eastAsia="仿宋"/>
          <w:sz w:val="28"/>
          <w:szCs w:val="28"/>
        </w:rPr>
        <w:t>　该终止行为将不损害或影响甲方已经采取或将要采取的任何行动或补救措施的权利。</w:t>
      </w:r>
    </w:p>
    <w:p w14:paraId="1C7291D5">
      <w:pPr>
        <w:pStyle w:val="9"/>
        <w:spacing w:line="560" w:lineRule="exact"/>
        <w:ind w:firstLine="560" w:firstLineChars="200"/>
        <w:rPr>
          <w:rFonts w:ascii="仿宋" w:hAnsi="仿宋" w:eastAsia="仿宋"/>
          <w:sz w:val="28"/>
          <w:szCs w:val="28"/>
        </w:rPr>
      </w:pPr>
      <w:r>
        <w:rPr>
          <w:rFonts w:ascii="仿宋" w:hAnsi="仿宋" w:eastAsia="仿宋"/>
          <w:sz w:val="28"/>
          <w:szCs w:val="28"/>
        </w:rPr>
        <w:t>16.</w:t>
      </w:r>
      <w:r>
        <w:rPr>
          <w:rFonts w:hint="eastAsia" w:ascii="仿宋" w:hAnsi="仿宋" w:eastAsia="仿宋"/>
          <w:sz w:val="28"/>
          <w:szCs w:val="28"/>
        </w:rPr>
        <w:t>其他情况的终止合同</w:t>
      </w:r>
    </w:p>
    <w:p w14:paraId="7313F2F1">
      <w:pPr>
        <w:pStyle w:val="9"/>
        <w:spacing w:line="560" w:lineRule="exact"/>
        <w:ind w:firstLine="560" w:firstLineChars="200"/>
        <w:rPr>
          <w:rFonts w:ascii="仿宋" w:hAnsi="仿宋" w:eastAsia="仿宋"/>
          <w:sz w:val="28"/>
          <w:szCs w:val="28"/>
        </w:rPr>
      </w:pPr>
      <w:r>
        <w:rPr>
          <w:rFonts w:ascii="仿宋" w:hAnsi="仿宋" w:eastAsia="仿宋"/>
          <w:sz w:val="28"/>
          <w:szCs w:val="28"/>
        </w:rPr>
        <w:t>16.1</w:t>
      </w:r>
      <w:r>
        <w:rPr>
          <w:rFonts w:hint="eastAsia" w:ascii="仿宋" w:hAnsi="仿宋" w:eastAsia="仿宋"/>
          <w:sz w:val="28"/>
          <w:szCs w:val="28"/>
        </w:rPr>
        <w:t>　若合同继续履行将给甲方造成重大损失的，甲方可以终止合同而不给予乙方任何补偿。</w:t>
      </w:r>
    </w:p>
    <w:p w14:paraId="6C263910">
      <w:pPr>
        <w:pStyle w:val="9"/>
        <w:spacing w:line="560" w:lineRule="exact"/>
        <w:ind w:firstLine="560" w:firstLineChars="200"/>
        <w:rPr>
          <w:rFonts w:ascii="仿宋" w:hAnsi="仿宋" w:eastAsia="仿宋"/>
          <w:sz w:val="28"/>
          <w:szCs w:val="28"/>
        </w:rPr>
      </w:pPr>
      <w:r>
        <w:rPr>
          <w:rFonts w:ascii="仿宋" w:hAnsi="仿宋" w:eastAsia="仿宋"/>
          <w:sz w:val="28"/>
          <w:szCs w:val="28"/>
        </w:rPr>
        <w:t>16.2</w:t>
      </w:r>
      <w:r>
        <w:rPr>
          <w:rFonts w:hint="eastAsia" w:ascii="仿宋" w:hAnsi="仿宋" w:eastAsia="仿宋"/>
          <w:sz w:val="28"/>
          <w:szCs w:val="28"/>
        </w:rPr>
        <w:t>　乙方在执行合同的过程中发生重大事故，对履行合同有直接影响的，甲方可以终止合同而不给予乙方任何补偿。</w:t>
      </w:r>
    </w:p>
    <w:p w14:paraId="1DC70692">
      <w:pPr>
        <w:pStyle w:val="9"/>
        <w:spacing w:line="560" w:lineRule="exact"/>
        <w:ind w:firstLine="560" w:firstLineChars="200"/>
        <w:rPr>
          <w:rFonts w:ascii="仿宋" w:hAnsi="仿宋" w:eastAsia="仿宋"/>
          <w:sz w:val="28"/>
          <w:szCs w:val="28"/>
        </w:rPr>
      </w:pPr>
      <w:r>
        <w:rPr>
          <w:rFonts w:ascii="仿宋" w:hAnsi="仿宋" w:eastAsia="仿宋"/>
          <w:sz w:val="28"/>
          <w:szCs w:val="28"/>
        </w:rPr>
        <w:t>16.3</w:t>
      </w:r>
      <w:r>
        <w:rPr>
          <w:rFonts w:hint="eastAsia" w:ascii="仿宋" w:hAnsi="仿宋" w:eastAsia="仿宋"/>
          <w:sz w:val="28"/>
          <w:szCs w:val="28"/>
        </w:rPr>
        <w:t>　甲方因重大变故取消或部分取消原来的采购任务，导致合同全部或部分内容无须继续履行的，可以终止合同而不给予乙方任何补偿。</w:t>
      </w:r>
    </w:p>
    <w:p w14:paraId="47678C67">
      <w:pPr>
        <w:pStyle w:val="9"/>
        <w:spacing w:line="560" w:lineRule="exact"/>
        <w:ind w:firstLine="560" w:firstLineChars="200"/>
        <w:rPr>
          <w:rFonts w:ascii="仿宋" w:hAnsi="仿宋" w:eastAsia="仿宋"/>
          <w:sz w:val="28"/>
          <w:szCs w:val="28"/>
        </w:rPr>
      </w:pPr>
      <w:r>
        <w:rPr>
          <w:rFonts w:ascii="仿宋" w:hAnsi="仿宋" w:eastAsia="仿宋"/>
          <w:sz w:val="28"/>
          <w:szCs w:val="28"/>
        </w:rPr>
        <w:t>17.</w:t>
      </w:r>
      <w:r>
        <w:rPr>
          <w:rFonts w:hint="eastAsia" w:ascii="仿宋" w:hAnsi="仿宋" w:eastAsia="仿宋"/>
          <w:sz w:val="28"/>
          <w:szCs w:val="28"/>
        </w:rPr>
        <w:t>合同转让和分包</w:t>
      </w:r>
    </w:p>
    <w:p w14:paraId="2DFA6A04">
      <w:pPr>
        <w:pStyle w:val="9"/>
        <w:spacing w:line="560" w:lineRule="exact"/>
        <w:ind w:firstLine="560" w:firstLineChars="200"/>
        <w:rPr>
          <w:rFonts w:ascii="仿宋" w:hAnsi="仿宋" w:eastAsia="仿宋"/>
          <w:sz w:val="28"/>
          <w:szCs w:val="28"/>
        </w:rPr>
      </w:pPr>
      <w:r>
        <w:rPr>
          <w:rFonts w:ascii="仿宋" w:hAnsi="仿宋" w:eastAsia="仿宋"/>
          <w:sz w:val="28"/>
          <w:szCs w:val="28"/>
        </w:rPr>
        <w:t>17.1</w:t>
      </w:r>
      <w:r>
        <w:rPr>
          <w:rFonts w:hint="eastAsia" w:ascii="仿宋" w:hAnsi="仿宋" w:eastAsia="仿宋"/>
          <w:sz w:val="28"/>
          <w:szCs w:val="28"/>
        </w:rPr>
        <w:t>　乙方不得以任何形式将合同转包，或部分或全部转让其应履行的合同义务。</w:t>
      </w:r>
    </w:p>
    <w:p w14:paraId="2C23E656">
      <w:pPr>
        <w:pStyle w:val="9"/>
        <w:spacing w:line="560" w:lineRule="exact"/>
        <w:ind w:firstLine="560" w:firstLineChars="200"/>
        <w:rPr>
          <w:rFonts w:ascii="仿宋" w:hAnsi="仿宋" w:eastAsia="仿宋"/>
          <w:sz w:val="28"/>
          <w:szCs w:val="28"/>
        </w:rPr>
      </w:pPr>
      <w:r>
        <w:rPr>
          <w:rFonts w:ascii="仿宋" w:hAnsi="仿宋" w:eastAsia="仿宋"/>
          <w:sz w:val="28"/>
          <w:szCs w:val="28"/>
        </w:rPr>
        <w:t>17.2</w:t>
      </w:r>
      <w:r>
        <w:rPr>
          <w:rFonts w:hint="eastAsia" w:ascii="仿宋" w:hAnsi="仿宋" w:eastAsia="仿宋"/>
          <w:sz w:val="28"/>
          <w:szCs w:val="28"/>
        </w:rPr>
        <w:t>　除经甲方事先书面同意外，乙方不得以任何形式将合同分包。</w:t>
      </w:r>
    </w:p>
    <w:p w14:paraId="43CE4AF5">
      <w:pPr>
        <w:pStyle w:val="9"/>
        <w:spacing w:line="560" w:lineRule="exact"/>
        <w:ind w:firstLine="560" w:firstLineChars="200"/>
        <w:rPr>
          <w:rFonts w:ascii="仿宋" w:hAnsi="仿宋" w:eastAsia="仿宋"/>
          <w:sz w:val="28"/>
          <w:szCs w:val="28"/>
        </w:rPr>
      </w:pPr>
      <w:r>
        <w:rPr>
          <w:rFonts w:ascii="仿宋" w:hAnsi="仿宋" w:eastAsia="仿宋"/>
          <w:sz w:val="28"/>
          <w:szCs w:val="28"/>
        </w:rPr>
        <w:t>18.</w:t>
      </w:r>
      <w:r>
        <w:rPr>
          <w:rFonts w:hint="eastAsia" w:ascii="仿宋" w:hAnsi="仿宋" w:eastAsia="仿宋"/>
          <w:sz w:val="28"/>
          <w:szCs w:val="28"/>
        </w:rPr>
        <w:t>适用法律</w:t>
      </w:r>
    </w:p>
    <w:p w14:paraId="79C40234">
      <w:pPr>
        <w:pStyle w:val="9"/>
        <w:spacing w:line="560" w:lineRule="exact"/>
        <w:ind w:firstLine="560" w:firstLineChars="200"/>
        <w:rPr>
          <w:rFonts w:ascii="仿宋" w:hAnsi="仿宋" w:eastAsia="仿宋"/>
          <w:sz w:val="28"/>
          <w:szCs w:val="28"/>
        </w:rPr>
      </w:pPr>
      <w:r>
        <w:rPr>
          <w:rFonts w:ascii="仿宋" w:hAnsi="仿宋" w:eastAsia="仿宋"/>
          <w:sz w:val="28"/>
          <w:szCs w:val="28"/>
        </w:rPr>
        <w:t>18.1</w:t>
      </w:r>
      <w:r>
        <w:rPr>
          <w:rFonts w:hint="eastAsia" w:ascii="仿宋" w:hAnsi="仿宋" w:eastAsia="仿宋"/>
          <w:sz w:val="28"/>
          <w:szCs w:val="28"/>
        </w:rPr>
        <w:t>　本合同适用中华人民共和国现行法律、行政法规和规章，如合同条款与法律、行政法规和规章不一致的，按照法律、行政法规和规章修改本合同。</w:t>
      </w:r>
    </w:p>
    <w:p w14:paraId="318DC0A8">
      <w:pPr>
        <w:pStyle w:val="9"/>
        <w:spacing w:line="560" w:lineRule="exact"/>
        <w:ind w:firstLine="560" w:firstLineChars="200"/>
        <w:rPr>
          <w:rFonts w:ascii="仿宋" w:hAnsi="仿宋" w:eastAsia="仿宋"/>
          <w:sz w:val="28"/>
          <w:szCs w:val="28"/>
        </w:rPr>
      </w:pPr>
      <w:r>
        <w:rPr>
          <w:rFonts w:ascii="仿宋" w:hAnsi="仿宋" w:eastAsia="仿宋"/>
          <w:sz w:val="28"/>
          <w:szCs w:val="28"/>
        </w:rPr>
        <w:t>19.</w:t>
      </w:r>
      <w:r>
        <w:rPr>
          <w:rFonts w:hint="eastAsia" w:ascii="仿宋" w:hAnsi="仿宋" w:eastAsia="仿宋"/>
          <w:sz w:val="28"/>
          <w:szCs w:val="28"/>
        </w:rPr>
        <w:t>合同语言</w:t>
      </w:r>
    </w:p>
    <w:p w14:paraId="77545D44">
      <w:pPr>
        <w:pStyle w:val="9"/>
        <w:spacing w:line="560" w:lineRule="exact"/>
        <w:ind w:firstLine="560" w:firstLineChars="200"/>
        <w:rPr>
          <w:rFonts w:ascii="仿宋" w:hAnsi="仿宋" w:eastAsia="仿宋"/>
          <w:sz w:val="28"/>
          <w:szCs w:val="28"/>
        </w:rPr>
      </w:pPr>
      <w:r>
        <w:rPr>
          <w:rFonts w:ascii="仿宋" w:hAnsi="仿宋" w:eastAsia="仿宋"/>
          <w:sz w:val="28"/>
          <w:szCs w:val="28"/>
        </w:rPr>
        <w:t>19.1</w:t>
      </w:r>
      <w:r>
        <w:rPr>
          <w:rFonts w:hint="eastAsia" w:ascii="仿宋" w:hAnsi="仿宋" w:eastAsia="仿宋"/>
          <w:sz w:val="28"/>
          <w:szCs w:val="28"/>
        </w:rPr>
        <w:t>　本合同语言为中文。</w:t>
      </w:r>
    </w:p>
    <w:p w14:paraId="055B5D0E">
      <w:pPr>
        <w:pStyle w:val="9"/>
        <w:spacing w:line="560" w:lineRule="exact"/>
        <w:ind w:firstLine="560" w:firstLineChars="200"/>
        <w:rPr>
          <w:rFonts w:ascii="仿宋" w:hAnsi="仿宋" w:eastAsia="仿宋"/>
          <w:sz w:val="28"/>
          <w:szCs w:val="28"/>
        </w:rPr>
      </w:pPr>
      <w:r>
        <w:rPr>
          <w:rFonts w:ascii="仿宋" w:hAnsi="仿宋" w:eastAsia="仿宋"/>
          <w:sz w:val="28"/>
          <w:szCs w:val="28"/>
        </w:rPr>
        <w:t>19.2</w:t>
      </w:r>
      <w:r>
        <w:rPr>
          <w:rFonts w:hint="eastAsia" w:ascii="仿宋" w:hAnsi="仿宋" w:eastAsia="仿宋"/>
          <w:sz w:val="28"/>
          <w:szCs w:val="28"/>
        </w:rPr>
        <w:t>　双方交换的与合同有关的信件和其他文件应用合同语言书写。</w:t>
      </w:r>
    </w:p>
    <w:p w14:paraId="695E59F3">
      <w:pPr>
        <w:pStyle w:val="9"/>
        <w:spacing w:line="560" w:lineRule="exact"/>
        <w:ind w:firstLine="560" w:firstLineChars="200"/>
        <w:rPr>
          <w:rFonts w:ascii="仿宋" w:hAnsi="仿宋" w:eastAsia="仿宋"/>
          <w:sz w:val="28"/>
          <w:szCs w:val="28"/>
        </w:rPr>
      </w:pPr>
      <w:r>
        <w:rPr>
          <w:rFonts w:ascii="仿宋" w:hAnsi="仿宋" w:eastAsia="仿宋"/>
          <w:sz w:val="28"/>
          <w:szCs w:val="28"/>
        </w:rPr>
        <w:t>20.</w:t>
      </w:r>
      <w:r>
        <w:rPr>
          <w:rFonts w:hint="eastAsia" w:ascii="仿宋" w:hAnsi="仿宋" w:eastAsia="仿宋"/>
          <w:sz w:val="28"/>
          <w:szCs w:val="28"/>
        </w:rPr>
        <w:t>合同生效</w:t>
      </w:r>
    </w:p>
    <w:p w14:paraId="542E181D">
      <w:pPr>
        <w:pStyle w:val="9"/>
        <w:spacing w:line="560" w:lineRule="exact"/>
        <w:ind w:firstLine="560" w:firstLineChars="200"/>
        <w:rPr>
          <w:rFonts w:ascii="仿宋" w:hAnsi="仿宋" w:eastAsia="仿宋"/>
          <w:sz w:val="28"/>
          <w:szCs w:val="28"/>
        </w:rPr>
      </w:pPr>
      <w:r>
        <w:rPr>
          <w:rFonts w:ascii="仿宋" w:hAnsi="仿宋" w:eastAsia="仿宋"/>
          <w:sz w:val="28"/>
          <w:szCs w:val="28"/>
        </w:rPr>
        <w:t>20.1</w:t>
      </w:r>
      <w:r>
        <w:rPr>
          <w:rFonts w:hint="eastAsia" w:ascii="仿宋" w:hAnsi="仿宋" w:eastAsia="仿宋"/>
          <w:sz w:val="28"/>
          <w:szCs w:val="28"/>
        </w:rPr>
        <w:t>　本合同应在双方签字盖章和后生效。</w:t>
      </w:r>
    </w:p>
    <w:p w14:paraId="1FF6B82F">
      <w:pPr>
        <w:pStyle w:val="9"/>
        <w:spacing w:line="560" w:lineRule="exact"/>
        <w:ind w:firstLine="560" w:firstLineChars="200"/>
        <w:rPr>
          <w:rFonts w:ascii="仿宋" w:hAnsi="仿宋" w:eastAsia="仿宋"/>
          <w:sz w:val="28"/>
          <w:szCs w:val="28"/>
        </w:rPr>
      </w:pPr>
      <w:r>
        <w:rPr>
          <w:rFonts w:ascii="仿宋" w:hAnsi="仿宋" w:eastAsia="仿宋"/>
          <w:sz w:val="28"/>
          <w:szCs w:val="28"/>
        </w:rPr>
        <w:t>21.</w:t>
      </w:r>
      <w:r>
        <w:rPr>
          <w:rFonts w:hint="eastAsia" w:ascii="仿宋" w:hAnsi="仿宋" w:eastAsia="仿宋"/>
          <w:sz w:val="28"/>
          <w:szCs w:val="28"/>
        </w:rPr>
        <w:t>合同效力</w:t>
      </w:r>
    </w:p>
    <w:p w14:paraId="50DEB96B">
      <w:pPr>
        <w:pStyle w:val="9"/>
        <w:spacing w:line="560" w:lineRule="exact"/>
        <w:ind w:firstLine="560" w:firstLineChars="200"/>
        <w:rPr>
          <w:rFonts w:ascii="仿宋" w:hAnsi="仿宋" w:eastAsia="仿宋"/>
          <w:sz w:val="28"/>
          <w:szCs w:val="28"/>
        </w:rPr>
      </w:pPr>
      <w:r>
        <w:rPr>
          <w:rFonts w:ascii="仿宋" w:hAnsi="仿宋" w:eastAsia="仿宋"/>
          <w:sz w:val="28"/>
          <w:szCs w:val="28"/>
        </w:rPr>
        <w:t>21.1</w:t>
      </w:r>
      <w:r>
        <w:rPr>
          <w:rFonts w:hint="eastAsia" w:ascii="仿宋" w:hAnsi="仿宋" w:eastAsia="仿宋"/>
          <w:sz w:val="28"/>
          <w:szCs w:val="28"/>
        </w:rPr>
        <w:t>　除本合同和甲乙双方书面签署的补充协议外，其他任何形式的双方约定和往来函件均不具有法律效力，对本项目无约束力。</w:t>
      </w:r>
    </w:p>
    <w:p w14:paraId="65B4A9A8">
      <w:pPr>
        <w:pStyle w:val="9"/>
        <w:spacing w:line="560" w:lineRule="exact"/>
        <w:ind w:firstLine="560" w:firstLineChars="200"/>
        <w:rPr>
          <w:rFonts w:ascii="仿宋" w:hAnsi="仿宋" w:eastAsia="仿宋"/>
          <w:sz w:val="28"/>
          <w:szCs w:val="28"/>
        </w:rPr>
      </w:pPr>
      <w:r>
        <w:rPr>
          <w:rFonts w:ascii="仿宋" w:hAnsi="仿宋" w:eastAsia="仿宋"/>
          <w:sz w:val="28"/>
          <w:szCs w:val="28"/>
        </w:rPr>
        <w:t>22.</w:t>
      </w:r>
      <w:r>
        <w:rPr>
          <w:rFonts w:hint="eastAsia" w:ascii="仿宋" w:hAnsi="仿宋" w:eastAsia="仿宋"/>
          <w:sz w:val="28"/>
          <w:szCs w:val="28"/>
        </w:rPr>
        <w:t>检查和审计</w:t>
      </w:r>
    </w:p>
    <w:p w14:paraId="3E7DE727">
      <w:pPr>
        <w:pStyle w:val="9"/>
        <w:spacing w:line="560" w:lineRule="exact"/>
        <w:ind w:firstLine="560" w:firstLineChars="200"/>
        <w:rPr>
          <w:rFonts w:ascii="仿宋" w:hAnsi="仿宋" w:eastAsia="仿宋"/>
          <w:sz w:val="28"/>
          <w:szCs w:val="28"/>
        </w:rPr>
      </w:pPr>
      <w:r>
        <w:rPr>
          <w:rFonts w:ascii="仿宋" w:hAnsi="仿宋" w:eastAsia="仿宋"/>
          <w:sz w:val="28"/>
          <w:szCs w:val="28"/>
        </w:rPr>
        <w:t>22.1</w:t>
      </w:r>
      <w:r>
        <w:rPr>
          <w:rFonts w:hint="eastAsia" w:ascii="仿宋" w:hAnsi="仿宋" w:eastAsia="仿宋"/>
          <w:sz w:val="28"/>
          <w:szCs w:val="28"/>
        </w:rPr>
        <w:t>在本合同的履行过程中，甲方有权对乙方的合同履约情况进行阶段性检查，并对乙方磋商时提供的相关资料进行复核。</w:t>
      </w:r>
    </w:p>
    <w:p w14:paraId="6DDEE3AA">
      <w:pPr>
        <w:spacing w:line="560" w:lineRule="exact"/>
        <w:ind w:firstLine="420" w:firstLineChars="150"/>
        <w:jc w:val="left"/>
        <w:rPr>
          <w:rFonts w:hint="eastAsia" w:ascii="仿宋" w:hAnsi="仿宋" w:eastAsia="仿宋"/>
          <w:sz w:val="28"/>
          <w:szCs w:val="28"/>
        </w:rPr>
      </w:pPr>
      <w:r>
        <w:rPr>
          <w:rFonts w:ascii="仿宋" w:hAnsi="仿宋" w:eastAsia="仿宋"/>
          <w:sz w:val="28"/>
          <w:szCs w:val="28"/>
        </w:rPr>
        <w:t>22.2</w:t>
      </w:r>
      <w:r>
        <w:rPr>
          <w:rFonts w:hint="eastAsia" w:ascii="仿宋" w:hAnsi="仿宋" w:eastAsia="仿宋"/>
          <w:sz w:val="28"/>
          <w:szCs w:val="28"/>
        </w:rPr>
        <w:t>　在本合同的履行过程中，如果甲乙双方发生争议或者乙方没有按照合同约定履行义务，乙方应允许甲方检查乙方与实施本合同有关的账户和记录，并由甲方指定的审计人员对其进行审计。</w:t>
      </w:r>
    </w:p>
    <w:p w14:paraId="01384AD3"/>
    <w:p w14:paraId="399FBD84">
      <w:pPr>
        <w:pStyle w:val="11"/>
        <w:rPr>
          <w:rFonts w:hint="eastAsia"/>
        </w:rPr>
      </w:pPr>
    </w:p>
    <w:p w14:paraId="5267F3E3">
      <w:pPr>
        <w:pStyle w:val="11"/>
        <w:rPr>
          <w:rFonts w:hint="eastAsia"/>
        </w:rPr>
      </w:pPr>
    </w:p>
    <w:p w14:paraId="555D2AFF">
      <w:pPr>
        <w:pStyle w:val="2"/>
        <w:jc w:val="center"/>
        <w:rPr>
          <w:rFonts w:hint="eastAsia" w:hAnsi="宋体" w:cs="宋体"/>
          <w:b/>
          <w:bCs/>
          <w:color w:val="auto"/>
          <w:sz w:val="32"/>
          <w:szCs w:val="32"/>
          <w:highlight w:val="none"/>
          <w:lang w:eastAsia="zh-CN"/>
        </w:rPr>
      </w:pPr>
    </w:p>
    <w:p w14:paraId="5642C8FC">
      <w:pPr>
        <w:pStyle w:val="2"/>
        <w:jc w:val="both"/>
        <w:rPr>
          <w:rFonts w:hint="eastAsia" w:hAnsi="宋体" w:cs="宋体"/>
          <w:b/>
          <w:bCs/>
          <w:color w:val="auto"/>
          <w:sz w:val="32"/>
          <w:szCs w:val="32"/>
          <w:highlight w:val="none"/>
          <w:lang w:eastAsia="zh-CN"/>
        </w:rPr>
      </w:pPr>
      <w:r>
        <w:rPr>
          <w:rFonts w:hint="eastAsia" w:hAnsi="宋体" w:cs="宋体"/>
          <w:b/>
          <w:bCs/>
          <w:color w:val="auto"/>
          <w:sz w:val="32"/>
          <w:szCs w:val="32"/>
          <w:highlight w:val="none"/>
          <w:lang w:eastAsia="zh-CN"/>
        </w:rPr>
        <w:tab/>
      </w:r>
      <w:r>
        <w:rPr>
          <w:rFonts w:hint="eastAsia" w:hAnsi="宋体" w:cs="宋体"/>
          <w:b/>
          <w:bCs/>
          <w:color w:val="auto"/>
          <w:sz w:val="32"/>
          <w:szCs w:val="32"/>
          <w:highlight w:val="none"/>
          <w:lang w:eastAsia="zh-CN"/>
        </w:rPr>
        <w:tab/>
      </w:r>
      <w:r>
        <w:rPr>
          <w:rFonts w:hint="eastAsia" w:hAnsi="宋体" w:cs="宋体"/>
          <w:b/>
          <w:bCs/>
          <w:color w:val="auto"/>
          <w:sz w:val="32"/>
          <w:szCs w:val="32"/>
          <w:highlight w:val="none"/>
          <w:lang w:eastAsia="zh-CN"/>
        </w:rPr>
        <w:tab/>
      </w:r>
      <w:r>
        <w:rPr>
          <w:rFonts w:hint="eastAsia" w:hAnsi="宋体" w:cs="宋体"/>
          <w:b/>
          <w:bCs/>
          <w:color w:val="auto"/>
          <w:sz w:val="32"/>
          <w:szCs w:val="32"/>
          <w:highlight w:val="none"/>
          <w:lang w:eastAsia="zh-CN"/>
        </w:rPr>
        <w:tab/>
      </w:r>
      <w:bookmarkEnd w:id="41"/>
      <w:bookmarkEnd w:id="42"/>
      <w:bookmarkEnd w:id="43"/>
      <w:bookmarkEnd w:id="44"/>
      <w:bookmarkEnd w:id="45"/>
    </w:p>
    <w:p w14:paraId="3A1F5452">
      <w:pPr>
        <w:rPr>
          <w:rFonts w:hint="eastAsia"/>
        </w:rPr>
      </w:pPr>
    </w:p>
    <w:p w14:paraId="285AE0FA">
      <w:pPr>
        <w:pStyle w:val="2"/>
        <w:jc w:val="center"/>
      </w:pPr>
      <w:r>
        <w:rPr>
          <w:rFonts w:hint="eastAsia" w:ascii="宋体" w:eastAsia="宋体" w:cs="宋体"/>
          <w:bCs/>
          <w:color w:val="auto"/>
          <w:sz w:val="36"/>
          <w:szCs w:val="36"/>
          <w:highlight w:val="none"/>
        </w:rPr>
        <w:t>第四章  竞争性磋商内容及技术要求</w:t>
      </w:r>
      <w:bookmarkEnd w:id="46"/>
      <w:bookmarkStart w:id="51" w:name="_Toc20481"/>
      <w:bookmarkStart w:id="52" w:name="_Toc389582038"/>
      <w:bookmarkStart w:id="53" w:name="_Toc23856"/>
      <w:bookmarkStart w:id="54" w:name="_Toc4053"/>
      <w:bookmarkStart w:id="55" w:name="_Toc2711"/>
      <w:bookmarkStart w:id="56" w:name="_Toc1025"/>
      <w:bookmarkStart w:id="57" w:name="_Toc11450"/>
    </w:p>
    <w:p w14:paraId="42721980">
      <w:pPr>
        <w:pStyle w:val="8"/>
        <w:keepNext w:val="0"/>
        <w:keepLines w:val="0"/>
        <w:pageBreakBefore w:val="0"/>
        <w:widowControl w:val="0"/>
        <w:numPr>
          <w:ilvl w:val="0"/>
          <w:numId w:val="0"/>
        </w:numPr>
        <w:tabs>
          <w:tab w:val="left" w:pos="600"/>
        </w:tabs>
        <w:kinsoku/>
        <w:wordWrap/>
        <w:overflowPunct/>
        <w:topLinePunct w:val="0"/>
        <w:autoSpaceDE/>
        <w:autoSpaceDN/>
        <w:bidi w:val="0"/>
        <w:adjustRightInd/>
        <w:snapToGrid/>
        <w:spacing w:before="240" w:beforeLines="100" w:line="500" w:lineRule="exact"/>
        <w:jc w:val="left"/>
        <w:textAlignment w:val="auto"/>
        <w:rPr>
          <w:rFonts w:hint="eastAsia" w:ascii="仿宋" w:hAnsi="仿宋" w:eastAsia="仿宋"/>
          <w:b/>
          <w:sz w:val="28"/>
          <w:szCs w:val="28"/>
          <w:lang w:val="en-US" w:eastAsia="zh-CN"/>
        </w:rPr>
      </w:pPr>
      <w:r>
        <w:rPr>
          <w:rFonts w:hint="eastAsia" w:ascii="仿宋" w:hAnsi="仿宋" w:eastAsia="仿宋"/>
          <w:b/>
          <w:sz w:val="28"/>
          <w:szCs w:val="28"/>
          <w:lang w:val="en-US" w:eastAsia="zh-CN"/>
        </w:rPr>
        <w:t>一、项目概况：</w:t>
      </w:r>
    </w:p>
    <w:p w14:paraId="2E7CB5A3">
      <w:pPr>
        <w:pStyle w:val="8"/>
        <w:keepNext w:val="0"/>
        <w:keepLines w:val="0"/>
        <w:pageBreakBefore w:val="0"/>
        <w:numPr>
          <w:ilvl w:val="0"/>
          <w:numId w:val="0"/>
        </w:numPr>
        <w:tabs>
          <w:tab w:val="left" w:pos="600"/>
        </w:tabs>
        <w:kinsoku/>
        <w:wordWrap/>
        <w:overflowPunct/>
        <w:topLinePunct w:val="0"/>
        <w:autoSpaceDE/>
        <w:autoSpaceDN/>
        <w:bidi w:val="0"/>
        <w:adjustRightInd/>
        <w:snapToGrid/>
        <w:spacing w:before="240" w:beforeLines="100" w:line="640" w:lineRule="exact"/>
        <w:ind w:left="0" w:leftChars="0" w:firstLine="677" w:firstLineChars="242"/>
        <w:jc w:val="left"/>
        <w:textAlignment w:val="auto"/>
        <w:rPr>
          <w:rFonts w:hint="eastAsia" w:ascii="仿宋" w:hAnsi="仿宋" w:eastAsia="仿宋"/>
          <w:b w:val="0"/>
          <w:bCs/>
          <w:color w:val="auto"/>
          <w:sz w:val="28"/>
          <w:szCs w:val="28"/>
          <w:lang w:val="en-US" w:eastAsia="zh-CN"/>
        </w:rPr>
      </w:pPr>
      <w:r>
        <w:rPr>
          <w:rFonts w:hint="eastAsia" w:ascii="仿宋" w:hAnsi="仿宋" w:eastAsia="仿宋"/>
          <w:b w:val="0"/>
          <w:bCs/>
          <w:color w:val="auto"/>
          <w:sz w:val="28"/>
          <w:szCs w:val="28"/>
          <w:lang w:val="en-US" w:eastAsia="zh-CN"/>
        </w:rPr>
        <w:t>商南县 2025 年大气污染防治能力提升技术服务项目，主要建设内容包括大气环境巩固与提升技术服务和大气污染防治闭环管理系统建设服务两部分。通过提供精准有效的技术服务支撑和联防联治闭环管理，推动全县大气污染防治精细化水平快速提升，实现科学治污，精准治污，实现由单一部门治理向协同治理、共同治理转变，进一步推动全县环境空气治理持续改善。</w:t>
      </w:r>
    </w:p>
    <w:p w14:paraId="44B9A923">
      <w:pPr>
        <w:pStyle w:val="8"/>
        <w:keepNext w:val="0"/>
        <w:keepLines w:val="0"/>
        <w:pageBreakBefore w:val="0"/>
        <w:widowControl w:val="0"/>
        <w:numPr>
          <w:ilvl w:val="0"/>
          <w:numId w:val="0"/>
        </w:numPr>
        <w:tabs>
          <w:tab w:val="left" w:pos="600"/>
        </w:tabs>
        <w:kinsoku/>
        <w:wordWrap/>
        <w:overflowPunct/>
        <w:topLinePunct w:val="0"/>
        <w:autoSpaceDE/>
        <w:autoSpaceDN/>
        <w:bidi w:val="0"/>
        <w:adjustRightInd/>
        <w:snapToGrid/>
        <w:spacing w:before="240" w:beforeLines="100" w:line="500" w:lineRule="exact"/>
        <w:jc w:val="left"/>
        <w:textAlignment w:val="auto"/>
        <w:rPr>
          <w:rFonts w:hint="eastAsia" w:ascii="仿宋" w:hAnsi="仿宋" w:eastAsia="仿宋"/>
          <w:b/>
          <w:sz w:val="28"/>
          <w:szCs w:val="28"/>
          <w:lang w:val="en-US" w:eastAsia="zh-CN"/>
        </w:rPr>
      </w:pPr>
      <w:r>
        <w:rPr>
          <w:rFonts w:hint="eastAsia" w:ascii="仿宋" w:hAnsi="仿宋" w:eastAsia="仿宋"/>
          <w:b/>
          <w:sz w:val="28"/>
          <w:szCs w:val="28"/>
          <w:lang w:val="en-US" w:eastAsia="zh-CN"/>
        </w:rPr>
        <w:t>二、采购内容及技术要求</w:t>
      </w:r>
    </w:p>
    <w:tbl>
      <w:tblPr>
        <w:tblStyle w:val="19"/>
        <w:tblW w:w="9863" w:type="dxa"/>
        <w:tblInd w:w="-308" w:type="dxa"/>
        <w:tblLayout w:type="autofit"/>
        <w:tblCellMar>
          <w:top w:w="0" w:type="dxa"/>
          <w:left w:w="108" w:type="dxa"/>
          <w:bottom w:w="0" w:type="dxa"/>
          <w:right w:w="108" w:type="dxa"/>
        </w:tblCellMar>
      </w:tblPr>
      <w:tblGrid>
        <w:gridCol w:w="756"/>
        <w:gridCol w:w="757"/>
        <w:gridCol w:w="1068"/>
        <w:gridCol w:w="4947"/>
        <w:gridCol w:w="2335"/>
      </w:tblGrid>
      <w:tr w14:paraId="53D69722">
        <w:tblPrEx>
          <w:tblCellMar>
            <w:top w:w="0" w:type="dxa"/>
            <w:left w:w="108" w:type="dxa"/>
            <w:bottom w:w="0" w:type="dxa"/>
            <w:right w:w="108" w:type="dxa"/>
          </w:tblCellMar>
        </w:tblPrEx>
        <w:trPr>
          <w:trHeight w:val="505" w:hRule="atLeast"/>
          <w:tblHead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242AA00">
            <w:pPr>
              <w:widowControl/>
              <w:overflowPunct/>
              <w:snapToGrid/>
              <w:spacing w:line="240" w:lineRule="auto"/>
              <w:ind w:firstLine="0" w:firstLineChars="0"/>
              <w:jc w:val="center"/>
              <w:rPr>
                <w:rFonts w:hint="eastAsia" w:ascii="宋体" w:hAnsi="宋体" w:eastAsia="宋体" w:cs="宋体"/>
                <w:b/>
                <w:bCs/>
                <w:color w:val="000000"/>
                <w:kern w:val="0"/>
                <w:sz w:val="21"/>
                <w:szCs w:val="21"/>
                <w14:ligatures w14:val="none"/>
              </w:rPr>
            </w:pPr>
            <w:r>
              <w:rPr>
                <w:rFonts w:hint="eastAsia" w:ascii="宋体" w:hAnsi="宋体" w:eastAsia="宋体" w:cs="宋体"/>
                <w:b/>
                <w:bCs/>
                <w:color w:val="000000"/>
                <w:kern w:val="0"/>
                <w:sz w:val="21"/>
                <w:szCs w:val="21"/>
                <w14:ligatures w14:val="none"/>
              </w:rPr>
              <w:t>序号</w:t>
            </w:r>
          </w:p>
        </w:tc>
        <w:tc>
          <w:tcPr>
            <w:tcW w:w="6772" w:type="dxa"/>
            <w:gridSpan w:val="3"/>
            <w:tcBorders>
              <w:top w:val="single" w:color="auto" w:sz="4" w:space="0"/>
              <w:left w:val="nil"/>
              <w:bottom w:val="single" w:color="auto" w:sz="4" w:space="0"/>
              <w:right w:val="single" w:color="auto" w:sz="4" w:space="0"/>
            </w:tcBorders>
            <w:shd w:val="clear" w:color="auto" w:fill="auto"/>
            <w:vAlign w:val="center"/>
          </w:tcPr>
          <w:p w14:paraId="68186660">
            <w:pPr>
              <w:widowControl/>
              <w:overflowPunct/>
              <w:snapToGrid/>
              <w:spacing w:line="240" w:lineRule="auto"/>
              <w:ind w:firstLine="0" w:firstLineChars="0"/>
              <w:jc w:val="center"/>
              <w:rPr>
                <w:rFonts w:hint="eastAsia" w:ascii="宋体" w:hAnsi="宋体" w:eastAsia="宋体" w:cs="宋体"/>
                <w:b/>
                <w:bCs/>
                <w:color w:val="000000"/>
                <w:kern w:val="0"/>
                <w:sz w:val="21"/>
                <w:szCs w:val="21"/>
                <w14:ligatures w14:val="none"/>
              </w:rPr>
            </w:pPr>
            <w:r>
              <w:rPr>
                <w:rFonts w:hint="eastAsia" w:ascii="宋体" w:hAnsi="宋体" w:eastAsia="宋体" w:cs="宋体"/>
                <w:b/>
                <w:bCs/>
                <w:color w:val="000000"/>
                <w:kern w:val="0"/>
                <w:sz w:val="21"/>
                <w:szCs w:val="21"/>
                <w14:ligatures w14:val="none"/>
              </w:rPr>
              <w:t>实施内容</w:t>
            </w:r>
          </w:p>
        </w:tc>
        <w:tc>
          <w:tcPr>
            <w:tcW w:w="2335" w:type="dxa"/>
            <w:tcBorders>
              <w:top w:val="single" w:color="auto" w:sz="4" w:space="0"/>
              <w:left w:val="nil"/>
              <w:bottom w:val="single" w:color="auto" w:sz="4" w:space="0"/>
              <w:right w:val="single" w:color="auto" w:sz="4" w:space="0"/>
            </w:tcBorders>
            <w:shd w:val="clear" w:color="auto" w:fill="auto"/>
            <w:vAlign w:val="center"/>
          </w:tcPr>
          <w:p w14:paraId="1880A883">
            <w:pPr>
              <w:widowControl/>
              <w:overflowPunct/>
              <w:snapToGrid/>
              <w:spacing w:line="240" w:lineRule="auto"/>
              <w:ind w:firstLine="0" w:firstLineChars="0"/>
              <w:jc w:val="center"/>
              <w:rPr>
                <w:rFonts w:hint="eastAsia" w:ascii="宋体" w:hAnsi="宋体" w:eastAsia="宋体" w:cs="宋体"/>
                <w:b/>
                <w:bCs/>
                <w:color w:val="000000"/>
                <w:kern w:val="0"/>
                <w:sz w:val="21"/>
                <w:szCs w:val="21"/>
                <w14:ligatures w14:val="none"/>
              </w:rPr>
            </w:pPr>
            <w:r>
              <w:rPr>
                <w:rFonts w:hint="eastAsia" w:ascii="宋体" w:hAnsi="宋体" w:eastAsia="宋体" w:cs="宋体"/>
                <w:b/>
                <w:bCs/>
                <w:color w:val="000000"/>
                <w:kern w:val="0"/>
                <w:sz w:val="21"/>
                <w:szCs w:val="21"/>
                <w14:ligatures w14:val="none"/>
              </w:rPr>
              <w:t>成果规格</w:t>
            </w:r>
          </w:p>
        </w:tc>
      </w:tr>
      <w:tr w14:paraId="2E8DCC52">
        <w:tblPrEx>
          <w:tblCellMar>
            <w:top w:w="0" w:type="dxa"/>
            <w:left w:w="108" w:type="dxa"/>
            <w:bottom w:w="0" w:type="dxa"/>
            <w:right w:w="108" w:type="dxa"/>
          </w:tblCellMar>
        </w:tblPrEx>
        <w:trPr>
          <w:trHeight w:val="527" w:hRule="atLeast"/>
        </w:trPr>
        <w:tc>
          <w:tcPr>
            <w:tcW w:w="752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F89AE7C">
            <w:pPr>
              <w:widowControl/>
              <w:overflowPunct/>
              <w:snapToGrid/>
              <w:spacing w:line="240" w:lineRule="auto"/>
              <w:ind w:firstLine="0" w:firstLineChars="0"/>
              <w:jc w:val="center"/>
              <w:rPr>
                <w:rFonts w:hint="eastAsia" w:ascii="宋体" w:hAnsi="宋体" w:eastAsia="宋体" w:cs="宋体"/>
                <w:b/>
                <w:bCs/>
                <w:color w:val="000000"/>
                <w:kern w:val="0"/>
                <w:sz w:val="21"/>
                <w:szCs w:val="21"/>
                <w14:ligatures w14:val="none"/>
              </w:rPr>
            </w:pPr>
            <w:r>
              <w:rPr>
                <w:rFonts w:hint="eastAsia" w:ascii="宋体" w:hAnsi="宋体" w:eastAsia="宋体" w:cs="宋体"/>
                <w:b/>
                <w:bCs/>
                <w:color w:val="000000"/>
                <w:kern w:val="0"/>
                <w:sz w:val="21"/>
                <w:szCs w:val="21"/>
                <w14:ligatures w14:val="none"/>
              </w:rPr>
              <w:t>一、大气环境巩固与提升技术服务</w:t>
            </w:r>
          </w:p>
        </w:tc>
        <w:tc>
          <w:tcPr>
            <w:tcW w:w="2335" w:type="dxa"/>
            <w:tcBorders>
              <w:top w:val="nil"/>
              <w:left w:val="nil"/>
              <w:bottom w:val="single" w:color="auto" w:sz="4" w:space="0"/>
              <w:right w:val="single" w:color="auto" w:sz="4" w:space="0"/>
            </w:tcBorders>
            <w:shd w:val="clear" w:color="auto" w:fill="auto"/>
            <w:noWrap/>
            <w:vAlign w:val="center"/>
          </w:tcPr>
          <w:p w14:paraId="3B5EE388">
            <w:pPr>
              <w:widowControl/>
              <w:overflowPunct/>
              <w:snapToGrid/>
              <w:spacing w:line="240" w:lineRule="auto"/>
              <w:ind w:firstLine="0" w:firstLineChars="0"/>
              <w:jc w:val="center"/>
              <w:rPr>
                <w:rFonts w:hint="eastAsia" w:ascii="宋体" w:hAnsi="宋体" w:eastAsia="宋体" w:cs="宋体"/>
                <w:b/>
                <w:bCs/>
                <w:color w:val="000000"/>
                <w:kern w:val="0"/>
                <w:sz w:val="21"/>
                <w:szCs w:val="21"/>
                <w14:ligatures w14:val="none"/>
              </w:rPr>
            </w:pPr>
            <w:r>
              <w:rPr>
                <w:rFonts w:hint="eastAsia" w:ascii="宋体" w:hAnsi="宋体" w:eastAsia="宋体" w:cs="宋体"/>
                <w:b/>
                <w:bCs/>
                <w:color w:val="000000"/>
                <w:kern w:val="0"/>
                <w:sz w:val="21"/>
                <w:szCs w:val="21"/>
                <w14:ligatures w14:val="none"/>
              </w:rPr>
              <w:t>1项</w:t>
            </w:r>
          </w:p>
        </w:tc>
      </w:tr>
      <w:tr w14:paraId="6CB29F93">
        <w:tblPrEx>
          <w:tblCellMar>
            <w:top w:w="0" w:type="dxa"/>
            <w:left w:w="108" w:type="dxa"/>
            <w:bottom w:w="0" w:type="dxa"/>
            <w:right w:w="108" w:type="dxa"/>
          </w:tblCellMar>
        </w:tblPrEx>
        <w:trPr>
          <w:trHeight w:val="1227" w:hRule="atLeast"/>
        </w:trPr>
        <w:tc>
          <w:tcPr>
            <w:tcW w:w="756" w:type="dxa"/>
            <w:vMerge w:val="restart"/>
            <w:tcBorders>
              <w:top w:val="nil"/>
              <w:left w:val="single" w:color="auto" w:sz="4" w:space="0"/>
              <w:bottom w:val="single" w:color="auto" w:sz="4" w:space="0"/>
              <w:right w:val="single" w:color="auto" w:sz="4" w:space="0"/>
            </w:tcBorders>
            <w:shd w:val="clear" w:color="auto" w:fill="auto"/>
            <w:vAlign w:val="center"/>
          </w:tcPr>
          <w:p w14:paraId="27FF706C">
            <w:pPr>
              <w:widowControl/>
              <w:overflowPunct/>
              <w:snapToGrid/>
              <w:spacing w:line="240" w:lineRule="auto"/>
              <w:ind w:firstLine="0" w:firstLineChars="0"/>
              <w:jc w:val="center"/>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1</w:t>
            </w:r>
          </w:p>
        </w:tc>
        <w:tc>
          <w:tcPr>
            <w:tcW w:w="757" w:type="dxa"/>
            <w:vMerge w:val="restart"/>
            <w:tcBorders>
              <w:top w:val="nil"/>
              <w:left w:val="single" w:color="auto" w:sz="4" w:space="0"/>
              <w:bottom w:val="single" w:color="auto" w:sz="4" w:space="0"/>
              <w:right w:val="single" w:color="auto" w:sz="4" w:space="0"/>
            </w:tcBorders>
            <w:shd w:val="clear" w:color="auto" w:fill="auto"/>
            <w:vAlign w:val="center"/>
          </w:tcPr>
          <w:p w14:paraId="3BCECF8B">
            <w:pPr>
              <w:widowControl/>
              <w:overflowPunct/>
              <w:snapToGrid/>
              <w:spacing w:line="240" w:lineRule="auto"/>
              <w:ind w:firstLine="0" w:firstLineChars="0"/>
              <w:jc w:val="center"/>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多源数据融合分析服务</w:t>
            </w:r>
          </w:p>
        </w:tc>
        <w:tc>
          <w:tcPr>
            <w:tcW w:w="1068" w:type="dxa"/>
            <w:vMerge w:val="restart"/>
            <w:tcBorders>
              <w:top w:val="nil"/>
              <w:left w:val="single" w:color="auto" w:sz="4" w:space="0"/>
              <w:bottom w:val="single" w:color="auto" w:sz="4" w:space="0"/>
              <w:right w:val="single" w:color="auto" w:sz="4" w:space="0"/>
            </w:tcBorders>
            <w:shd w:val="clear" w:color="auto" w:fill="auto"/>
            <w:vAlign w:val="center"/>
          </w:tcPr>
          <w:p w14:paraId="49795D5B">
            <w:pPr>
              <w:widowControl/>
              <w:overflowPunct/>
              <w:snapToGrid/>
              <w:spacing w:line="240" w:lineRule="auto"/>
              <w:ind w:firstLine="0" w:firstLineChars="0"/>
              <w:jc w:val="center"/>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污染天气应对服务</w:t>
            </w:r>
          </w:p>
        </w:tc>
        <w:tc>
          <w:tcPr>
            <w:tcW w:w="4947" w:type="dxa"/>
            <w:tcBorders>
              <w:top w:val="nil"/>
              <w:left w:val="nil"/>
              <w:bottom w:val="single" w:color="auto" w:sz="4" w:space="0"/>
              <w:right w:val="single" w:color="auto" w:sz="4" w:space="0"/>
            </w:tcBorders>
            <w:shd w:val="clear" w:color="auto" w:fill="auto"/>
            <w:vAlign w:val="center"/>
          </w:tcPr>
          <w:p w14:paraId="0F05DD96">
            <w:pPr>
              <w:widowControl/>
              <w:overflowPunct/>
              <w:snapToGrid/>
              <w:spacing w:line="240" w:lineRule="auto"/>
              <w:ind w:firstLine="0" w:firstLineChars="0"/>
              <w:jc w:val="left"/>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依据气象、地形、监测数据等，对全年各个污染过程进行分析归纳，形成针对各个污染过程的分析报告；</w:t>
            </w:r>
          </w:p>
        </w:tc>
        <w:tc>
          <w:tcPr>
            <w:tcW w:w="2335" w:type="dxa"/>
            <w:tcBorders>
              <w:top w:val="nil"/>
              <w:left w:val="nil"/>
              <w:bottom w:val="single" w:color="auto" w:sz="4" w:space="0"/>
              <w:right w:val="single" w:color="auto" w:sz="4" w:space="0"/>
            </w:tcBorders>
            <w:shd w:val="clear" w:color="auto" w:fill="auto"/>
            <w:vAlign w:val="center"/>
          </w:tcPr>
          <w:p w14:paraId="3D0AF274">
            <w:pPr>
              <w:widowControl/>
              <w:overflowPunct/>
              <w:snapToGrid/>
              <w:spacing w:line="240" w:lineRule="auto"/>
              <w:ind w:firstLine="0" w:firstLineChars="0"/>
              <w:jc w:val="left"/>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≥15 份</w:t>
            </w:r>
          </w:p>
        </w:tc>
      </w:tr>
      <w:tr w14:paraId="69759DB8">
        <w:tblPrEx>
          <w:tblCellMar>
            <w:top w:w="0" w:type="dxa"/>
            <w:left w:w="108" w:type="dxa"/>
            <w:bottom w:w="0" w:type="dxa"/>
            <w:right w:w="108" w:type="dxa"/>
          </w:tblCellMar>
        </w:tblPrEx>
        <w:trPr>
          <w:trHeight w:val="1227" w:hRule="atLeast"/>
        </w:trPr>
        <w:tc>
          <w:tcPr>
            <w:tcW w:w="756" w:type="dxa"/>
            <w:vMerge w:val="continue"/>
            <w:tcBorders>
              <w:top w:val="nil"/>
              <w:left w:val="single" w:color="auto" w:sz="4" w:space="0"/>
              <w:bottom w:val="single" w:color="auto" w:sz="4" w:space="0"/>
              <w:right w:val="single" w:color="auto" w:sz="4" w:space="0"/>
            </w:tcBorders>
            <w:vAlign w:val="center"/>
          </w:tcPr>
          <w:p w14:paraId="00E08CB0">
            <w:pPr>
              <w:widowControl/>
              <w:overflowPunct/>
              <w:snapToGrid/>
              <w:spacing w:line="240" w:lineRule="auto"/>
              <w:ind w:firstLine="0" w:firstLineChars="0"/>
              <w:jc w:val="left"/>
              <w:rPr>
                <w:rFonts w:hint="eastAsia" w:ascii="宋体" w:hAnsi="宋体" w:eastAsia="宋体" w:cs="宋体"/>
                <w:color w:val="000000"/>
                <w:kern w:val="0"/>
                <w:sz w:val="21"/>
                <w:szCs w:val="21"/>
                <w14:ligatures w14:val="none"/>
              </w:rPr>
            </w:pPr>
          </w:p>
        </w:tc>
        <w:tc>
          <w:tcPr>
            <w:tcW w:w="757" w:type="dxa"/>
            <w:vMerge w:val="continue"/>
            <w:tcBorders>
              <w:top w:val="nil"/>
              <w:left w:val="single" w:color="auto" w:sz="4" w:space="0"/>
              <w:bottom w:val="single" w:color="auto" w:sz="4" w:space="0"/>
              <w:right w:val="single" w:color="auto" w:sz="4" w:space="0"/>
            </w:tcBorders>
            <w:vAlign w:val="center"/>
          </w:tcPr>
          <w:p w14:paraId="3A5A8AB7">
            <w:pPr>
              <w:widowControl/>
              <w:overflowPunct/>
              <w:snapToGrid/>
              <w:spacing w:line="240" w:lineRule="auto"/>
              <w:ind w:firstLine="0" w:firstLineChars="0"/>
              <w:jc w:val="left"/>
              <w:rPr>
                <w:rFonts w:hint="eastAsia" w:ascii="宋体" w:hAnsi="宋体" w:eastAsia="宋体" w:cs="宋体"/>
                <w:color w:val="000000"/>
                <w:kern w:val="0"/>
                <w:sz w:val="21"/>
                <w:szCs w:val="21"/>
                <w14:ligatures w14:val="none"/>
              </w:rPr>
            </w:pPr>
          </w:p>
        </w:tc>
        <w:tc>
          <w:tcPr>
            <w:tcW w:w="1068" w:type="dxa"/>
            <w:vMerge w:val="continue"/>
            <w:tcBorders>
              <w:top w:val="nil"/>
              <w:left w:val="single" w:color="auto" w:sz="4" w:space="0"/>
              <w:bottom w:val="single" w:color="auto" w:sz="4" w:space="0"/>
              <w:right w:val="single" w:color="auto" w:sz="4" w:space="0"/>
            </w:tcBorders>
            <w:vAlign w:val="center"/>
          </w:tcPr>
          <w:p w14:paraId="570673DA">
            <w:pPr>
              <w:widowControl/>
              <w:overflowPunct/>
              <w:snapToGrid/>
              <w:spacing w:line="240" w:lineRule="auto"/>
              <w:ind w:firstLine="0" w:firstLineChars="0"/>
              <w:jc w:val="left"/>
              <w:rPr>
                <w:rFonts w:hint="eastAsia" w:ascii="宋体" w:hAnsi="宋体" w:eastAsia="宋体" w:cs="宋体"/>
                <w:color w:val="000000"/>
                <w:kern w:val="0"/>
                <w:sz w:val="21"/>
                <w:szCs w:val="21"/>
                <w14:ligatures w14:val="none"/>
              </w:rPr>
            </w:pPr>
          </w:p>
        </w:tc>
        <w:tc>
          <w:tcPr>
            <w:tcW w:w="4947" w:type="dxa"/>
            <w:tcBorders>
              <w:top w:val="nil"/>
              <w:left w:val="nil"/>
              <w:bottom w:val="single" w:color="auto" w:sz="4" w:space="0"/>
              <w:right w:val="single" w:color="auto" w:sz="4" w:space="0"/>
            </w:tcBorders>
            <w:shd w:val="clear" w:color="auto" w:fill="auto"/>
            <w:vAlign w:val="center"/>
          </w:tcPr>
          <w:p w14:paraId="3B3EB16D">
            <w:pPr>
              <w:widowControl/>
              <w:overflowPunct/>
              <w:snapToGrid/>
              <w:spacing w:line="240" w:lineRule="auto"/>
              <w:ind w:firstLine="0" w:firstLineChars="0"/>
              <w:jc w:val="left"/>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归纳总结夏季臭氧与冬季颗粒物污染的规律，分别形成臭氧与颗粒物污染的发生条件及概率分析报告，指导污染管控；</w:t>
            </w:r>
          </w:p>
        </w:tc>
        <w:tc>
          <w:tcPr>
            <w:tcW w:w="2335" w:type="dxa"/>
            <w:tcBorders>
              <w:top w:val="nil"/>
              <w:left w:val="nil"/>
              <w:bottom w:val="single" w:color="auto" w:sz="4" w:space="0"/>
              <w:right w:val="single" w:color="auto" w:sz="4" w:space="0"/>
            </w:tcBorders>
            <w:shd w:val="clear" w:color="auto" w:fill="auto"/>
            <w:vAlign w:val="center"/>
          </w:tcPr>
          <w:p w14:paraId="5F5A4274">
            <w:pPr>
              <w:widowControl/>
              <w:overflowPunct/>
              <w:snapToGrid/>
              <w:spacing w:line="240" w:lineRule="auto"/>
              <w:ind w:firstLine="0" w:firstLineChars="0"/>
              <w:jc w:val="left"/>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规律性分析报告 2 份</w:t>
            </w:r>
          </w:p>
        </w:tc>
      </w:tr>
      <w:tr w14:paraId="007704F7">
        <w:tblPrEx>
          <w:tblCellMar>
            <w:top w:w="0" w:type="dxa"/>
            <w:left w:w="108" w:type="dxa"/>
            <w:bottom w:w="0" w:type="dxa"/>
            <w:right w:w="108" w:type="dxa"/>
          </w:tblCellMar>
        </w:tblPrEx>
        <w:trPr>
          <w:trHeight w:val="2266" w:hRule="atLeast"/>
        </w:trPr>
        <w:tc>
          <w:tcPr>
            <w:tcW w:w="756" w:type="dxa"/>
            <w:vMerge w:val="continue"/>
            <w:tcBorders>
              <w:top w:val="nil"/>
              <w:left w:val="single" w:color="auto" w:sz="4" w:space="0"/>
              <w:bottom w:val="single" w:color="auto" w:sz="4" w:space="0"/>
              <w:right w:val="single" w:color="auto" w:sz="4" w:space="0"/>
            </w:tcBorders>
            <w:vAlign w:val="center"/>
          </w:tcPr>
          <w:p w14:paraId="1E9507FD">
            <w:pPr>
              <w:widowControl/>
              <w:overflowPunct/>
              <w:snapToGrid/>
              <w:spacing w:line="240" w:lineRule="auto"/>
              <w:ind w:firstLine="0" w:firstLineChars="0"/>
              <w:jc w:val="left"/>
              <w:rPr>
                <w:rFonts w:hint="eastAsia" w:ascii="宋体" w:hAnsi="宋体" w:eastAsia="宋体" w:cs="宋体"/>
                <w:color w:val="000000"/>
                <w:kern w:val="0"/>
                <w:sz w:val="21"/>
                <w:szCs w:val="21"/>
                <w14:ligatures w14:val="none"/>
              </w:rPr>
            </w:pPr>
          </w:p>
        </w:tc>
        <w:tc>
          <w:tcPr>
            <w:tcW w:w="757" w:type="dxa"/>
            <w:vMerge w:val="continue"/>
            <w:tcBorders>
              <w:top w:val="nil"/>
              <w:left w:val="single" w:color="auto" w:sz="4" w:space="0"/>
              <w:bottom w:val="single" w:color="auto" w:sz="4" w:space="0"/>
              <w:right w:val="single" w:color="auto" w:sz="4" w:space="0"/>
            </w:tcBorders>
            <w:vAlign w:val="center"/>
          </w:tcPr>
          <w:p w14:paraId="400ECC04">
            <w:pPr>
              <w:widowControl/>
              <w:overflowPunct/>
              <w:snapToGrid/>
              <w:spacing w:line="240" w:lineRule="auto"/>
              <w:ind w:firstLine="0" w:firstLineChars="0"/>
              <w:jc w:val="left"/>
              <w:rPr>
                <w:rFonts w:hint="eastAsia" w:ascii="宋体" w:hAnsi="宋体" w:eastAsia="宋体" w:cs="宋体"/>
                <w:color w:val="000000"/>
                <w:kern w:val="0"/>
                <w:sz w:val="21"/>
                <w:szCs w:val="21"/>
                <w14:ligatures w14:val="none"/>
              </w:rPr>
            </w:pPr>
          </w:p>
        </w:tc>
        <w:tc>
          <w:tcPr>
            <w:tcW w:w="1068" w:type="dxa"/>
            <w:vMerge w:val="restart"/>
            <w:tcBorders>
              <w:top w:val="nil"/>
              <w:left w:val="single" w:color="auto" w:sz="4" w:space="0"/>
              <w:bottom w:val="single" w:color="auto" w:sz="4" w:space="0"/>
              <w:right w:val="single" w:color="auto" w:sz="4" w:space="0"/>
            </w:tcBorders>
            <w:shd w:val="clear" w:color="auto" w:fill="auto"/>
            <w:vAlign w:val="center"/>
          </w:tcPr>
          <w:p w14:paraId="02AE59AF">
            <w:pPr>
              <w:widowControl/>
              <w:overflowPunct/>
              <w:snapToGrid/>
              <w:spacing w:line="240" w:lineRule="auto"/>
              <w:ind w:firstLine="0" w:firstLineChars="0"/>
              <w:jc w:val="center"/>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数据分析服务</w:t>
            </w:r>
          </w:p>
        </w:tc>
        <w:tc>
          <w:tcPr>
            <w:tcW w:w="4947" w:type="dxa"/>
            <w:tcBorders>
              <w:top w:val="nil"/>
              <w:left w:val="nil"/>
              <w:bottom w:val="single" w:color="auto" w:sz="4" w:space="0"/>
              <w:right w:val="single" w:color="auto" w:sz="4" w:space="0"/>
            </w:tcBorders>
            <w:shd w:val="clear" w:color="auto" w:fill="auto"/>
            <w:vAlign w:val="center"/>
          </w:tcPr>
          <w:p w14:paraId="5FC61E9F">
            <w:pPr>
              <w:widowControl/>
              <w:overflowPunct/>
              <w:snapToGrid/>
              <w:spacing w:line="240" w:lineRule="auto"/>
              <w:ind w:firstLine="0" w:firstLineChars="0"/>
              <w:jc w:val="left"/>
              <w:rPr>
                <w:rFonts w:hint="eastAsia" w:ascii="宋体" w:hAnsi="宋体" w:eastAsia="宋体" w:cs="宋体"/>
                <w:color w:val="000000"/>
                <w:kern w:val="0"/>
                <w:sz w:val="21"/>
                <w:szCs w:val="21"/>
                <w:lang w:eastAsia="zh-CN"/>
                <w14:ligatures w14:val="none"/>
              </w:rPr>
            </w:pPr>
            <w:r>
              <w:rPr>
                <w:rFonts w:hint="eastAsia" w:ascii="宋体" w:hAnsi="宋体" w:eastAsia="宋体" w:cs="宋体"/>
                <w:color w:val="000000"/>
                <w:kern w:val="0"/>
                <w:sz w:val="21"/>
                <w:szCs w:val="21"/>
                <w14:ligatures w14:val="none"/>
              </w:rPr>
              <w:t>实时数据研判分析2个监测站点、4个空气质量微站的数据特征，对空气质量监测数据平台发布数据，常规数据统计分析（如排名），根据数据和当地情况，提供数据分析周报、月报。同时提供包括陕南32县的月度环境空气质量通报</w:t>
            </w:r>
            <w:r>
              <w:rPr>
                <w:rFonts w:hint="eastAsia" w:hAnsi="宋体" w:cs="宋体"/>
                <w:color w:val="000000"/>
                <w:kern w:val="0"/>
                <w:sz w:val="21"/>
                <w:szCs w:val="21"/>
                <w:lang w:eastAsia="zh-CN"/>
                <w14:ligatures w14:val="none"/>
              </w:rPr>
              <w:t>；</w:t>
            </w:r>
          </w:p>
        </w:tc>
        <w:tc>
          <w:tcPr>
            <w:tcW w:w="2335" w:type="dxa"/>
            <w:tcBorders>
              <w:top w:val="nil"/>
              <w:left w:val="nil"/>
              <w:bottom w:val="single" w:color="auto" w:sz="4" w:space="0"/>
              <w:right w:val="single" w:color="auto" w:sz="4" w:space="0"/>
            </w:tcBorders>
            <w:shd w:val="clear" w:color="auto" w:fill="auto"/>
            <w:vAlign w:val="center"/>
          </w:tcPr>
          <w:p w14:paraId="388A59C4">
            <w:pPr>
              <w:widowControl/>
              <w:overflowPunct/>
              <w:snapToGrid/>
              <w:spacing w:line="240" w:lineRule="auto"/>
              <w:ind w:firstLine="0" w:firstLineChars="0"/>
              <w:jc w:val="left"/>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周报52份</w:t>
            </w:r>
            <w:r>
              <w:rPr>
                <w:rFonts w:hint="eastAsia" w:ascii="宋体" w:hAnsi="宋体" w:eastAsia="宋体" w:cs="宋体"/>
                <w:color w:val="000000"/>
                <w:kern w:val="0"/>
                <w:sz w:val="21"/>
                <w:szCs w:val="21"/>
                <w14:ligatures w14:val="none"/>
              </w:rPr>
              <w:br w:type="textWrapping"/>
            </w:r>
            <w:r>
              <w:rPr>
                <w:rFonts w:hint="eastAsia" w:ascii="宋体" w:hAnsi="宋体" w:eastAsia="宋体" w:cs="宋体"/>
                <w:color w:val="000000"/>
                <w:kern w:val="0"/>
                <w:sz w:val="21"/>
                <w:szCs w:val="21"/>
                <w14:ligatures w14:val="none"/>
              </w:rPr>
              <w:t>月报12份</w:t>
            </w:r>
            <w:r>
              <w:rPr>
                <w:rFonts w:hint="eastAsia" w:ascii="宋体" w:hAnsi="宋体" w:eastAsia="宋体" w:cs="宋体"/>
                <w:color w:val="000000"/>
                <w:kern w:val="0"/>
                <w:sz w:val="21"/>
                <w:szCs w:val="21"/>
                <w14:ligatures w14:val="none"/>
              </w:rPr>
              <w:br w:type="textWrapping"/>
            </w:r>
            <w:r>
              <w:rPr>
                <w:rFonts w:hint="eastAsia" w:ascii="宋体" w:hAnsi="宋体" w:eastAsia="宋体" w:cs="宋体"/>
                <w:color w:val="000000"/>
                <w:kern w:val="0"/>
                <w:sz w:val="21"/>
                <w:szCs w:val="21"/>
                <w14:ligatures w14:val="none"/>
              </w:rPr>
              <w:t>空气质量通报 12份</w:t>
            </w:r>
          </w:p>
        </w:tc>
      </w:tr>
      <w:tr w14:paraId="08A7496C">
        <w:tblPrEx>
          <w:tblCellMar>
            <w:top w:w="0" w:type="dxa"/>
            <w:left w:w="108" w:type="dxa"/>
            <w:bottom w:w="0" w:type="dxa"/>
            <w:right w:w="108" w:type="dxa"/>
          </w:tblCellMar>
        </w:tblPrEx>
        <w:trPr>
          <w:trHeight w:val="1831" w:hRule="atLeast"/>
        </w:trPr>
        <w:tc>
          <w:tcPr>
            <w:tcW w:w="756" w:type="dxa"/>
            <w:vMerge w:val="continue"/>
            <w:tcBorders>
              <w:top w:val="nil"/>
              <w:left w:val="single" w:color="auto" w:sz="4" w:space="0"/>
              <w:bottom w:val="single" w:color="auto" w:sz="4" w:space="0"/>
              <w:right w:val="single" w:color="auto" w:sz="4" w:space="0"/>
            </w:tcBorders>
            <w:vAlign w:val="center"/>
          </w:tcPr>
          <w:p w14:paraId="5E5C989E">
            <w:pPr>
              <w:widowControl/>
              <w:overflowPunct/>
              <w:snapToGrid/>
              <w:spacing w:line="240" w:lineRule="auto"/>
              <w:ind w:firstLine="0" w:firstLineChars="0"/>
              <w:jc w:val="left"/>
              <w:rPr>
                <w:rFonts w:hint="eastAsia" w:ascii="宋体" w:hAnsi="宋体" w:eastAsia="宋体" w:cs="宋体"/>
                <w:color w:val="000000"/>
                <w:kern w:val="0"/>
                <w:sz w:val="21"/>
                <w:szCs w:val="21"/>
                <w14:ligatures w14:val="none"/>
              </w:rPr>
            </w:pPr>
          </w:p>
        </w:tc>
        <w:tc>
          <w:tcPr>
            <w:tcW w:w="757" w:type="dxa"/>
            <w:vMerge w:val="continue"/>
            <w:tcBorders>
              <w:top w:val="nil"/>
              <w:left w:val="single" w:color="auto" w:sz="4" w:space="0"/>
              <w:bottom w:val="single" w:color="auto" w:sz="4" w:space="0"/>
              <w:right w:val="single" w:color="auto" w:sz="4" w:space="0"/>
            </w:tcBorders>
            <w:vAlign w:val="center"/>
          </w:tcPr>
          <w:p w14:paraId="07049C42">
            <w:pPr>
              <w:widowControl/>
              <w:overflowPunct/>
              <w:snapToGrid/>
              <w:spacing w:line="240" w:lineRule="auto"/>
              <w:ind w:firstLine="0" w:firstLineChars="0"/>
              <w:jc w:val="left"/>
              <w:rPr>
                <w:rFonts w:hint="eastAsia" w:ascii="宋体" w:hAnsi="宋体" w:eastAsia="宋体" w:cs="宋体"/>
                <w:color w:val="000000"/>
                <w:kern w:val="0"/>
                <w:sz w:val="21"/>
                <w:szCs w:val="21"/>
                <w14:ligatures w14:val="none"/>
              </w:rPr>
            </w:pPr>
          </w:p>
        </w:tc>
        <w:tc>
          <w:tcPr>
            <w:tcW w:w="1068" w:type="dxa"/>
            <w:vMerge w:val="continue"/>
            <w:tcBorders>
              <w:top w:val="nil"/>
              <w:left w:val="single" w:color="auto" w:sz="4" w:space="0"/>
              <w:bottom w:val="single" w:color="auto" w:sz="4" w:space="0"/>
              <w:right w:val="single" w:color="auto" w:sz="4" w:space="0"/>
            </w:tcBorders>
            <w:vAlign w:val="center"/>
          </w:tcPr>
          <w:p w14:paraId="7B1C4489">
            <w:pPr>
              <w:widowControl/>
              <w:overflowPunct/>
              <w:snapToGrid/>
              <w:spacing w:line="240" w:lineRule="auto"/>
              <w:ind w:firstLine="0" w:firstLineChars="0"/>
              <w:jc w:val="left"/>
              <w:rPr>
                <w:rFonts w:hint="eastAsia" w:ascii="宋体" w:hAnsi="宋体" w:eastAsia="宋体" w:cs="宋体"/>
                <w:color w:val="000000"/>
                <w:kern w:val="0"/>
                <w:sz w:val="21"/>
                <w:szCs w:val="21"/>
                <w14:ligatures w14:val="none"/>
              </w:rPr>
            </w:pPr>
          </w:p>
        </w:tc>
        <w:tc>
          <w:tcPr>
            <w:tcW w:w="4947" w:type="dxa"/>
            <w:tcBorders>
              <w:top w:val="nil"/>
              <w:left w:val="nil"/>
              <w:bottom w:val="single" w:color="auto" w:sz="4" w:space="0"/>
              <w:right w:val="single" w:color="auto" w:sz="4" w:space="0"/>
            </w:tcBorders>
            <w:shd w:val="clear" w:color="auto" w:fill="auto"/>
            <w:vAlign w:val="center"/>
          </w:tcPr>
          <w:p w14:paraId="4D5CC182">
            <w:pPr>
              <w:widowControl/>
              <w:overflowPunct/>
              <w:snapToGrid/>
              <w:spacing w:line="240" w:lineRule="auto"/>
              <w:ind w:firstLine="0" w:firstLineChars="0"/>
              <w:jc w:val="left"/>
              <w:rPr>
                <w:rFonts w:hint="eastAsia" w:ascii="宋体" w:hAnsi="宋体" w:eastAsia="宋体" w:cs="宋体"/>
                <w:color w:val="000000"/>
                <w:kern w:val="0"/>
                <w:sz w:val="21"/>
                <w:szCs w:val="21"/>
                <w:lang w:eastAsia="zh-CN"/>
                <w14:ligatures w14:val="none"/>
              </w:rPr>
            </w:pPr>
            <w:r>
              <w:rPr>
                <w:rFonts w:hint="eastAsia" w:ascii="宋体" w:hAnsi="宋体" w:eastAsia="宋体" w:cs="宋体"/>
                <w:color w:val="000000"/>
                <w:kern w:val="0"/>
                <w:sz w:val="21"/>
                <w:szCs w:val="21"/>
                <w14:ligatures w14:val="none"/>
              </w:rPr>
              <w:t>年度空气质量综合分析，依据气象、地形、污染源清单、监测数据，分析年度空气质量情况，归纳总结，为区域环境空气质量管控提供数据支撑</w:t>
            </w:r>
            <w:r>
              <w:rPr>
                <w:rFonts w:hint="eastAsia" w:hAnsi="宋体" w:cs="宋体"/>
                <w:color w:val="000000"/>
                <w:kern w:val="0"/>
                <w:sz w:val="21"/>
                <w:szCs w:val="21"/>
                <w:lang w:eastAsia="zh-CN"/>
                <w14:ligatures w14:val="none"/>
              </w:rPr>
              <w:t>。</w:t>
            </w:r>
          </w:p>
        </w:tc>
        <w:tc>
          <w:tcPr>
            <w:tcW w:w="2335" w:type="dxa"/>
            <w:tcBorders>
              <w:top w:val="nil"/>
              <w:left w:val="nil"/>
              <w:bottom w:val="single" w:color="auto" w:sz="4" w:space="0"/>
              <w:right w:val="single" w:color="auto" w:sz="4" w:space="0"/>
            </w:tcBorders>
            <w:shd w:val="clear" w:color="auto" w:fill="auto"/>
            <w:vAlign w:val="center"/>
          </w:tcPr>
          <w:p w14:paraId="24F20F9C">
            <w:pPr>
              <w:widowControl/>
              <w:overflowPunct/>
              <w:snapToGrid/>
              <w:spacing w:line="240" w:lineRule="auto"/>
              <w:ind w:firstLine="0" w:firstLineChars="0"/>
              <w:jc w:val="left"/>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综合分析报告1份</w:t>
            </w:r>
          </w:p>
        </w:tc>
      </w:tr>
      <w:tr w14:paraId="6424733F">
        <w:tblPrEx>
          <w:tblCellMar>
            <w:top w:w="0" w:type="dxa"/>
            <w:left w:w="108" w:type="dxa"/>
            <w:bottom w:w="0" w:type="dxa"/>
            <w:right w:w="108" w:type="dxa"/>
          </w:tblCellMar>
        </w:tblPrEx>
        <w:trPr>
          <w:trHeight w:val="2114" w:hRule="atLeast"/>
        </w:trPr>
        <w:tc>
          <w:tcPr>
            <w:tcW w:w="756" w:type="dxa"/>
            <w:tcBorders>
              <w:top w:val="nil"/>
              <w:left w:val="single" w:color="auto" w:sz="4" w:space="0"/>
              <w:bottom w:val="single" w:color="auto" w:sz="4" w:space="0"/>
              <w:right w:val="single" w:color="auto" w:sz="4" w:space="0"/>
            </w:tcBorders>
            <w:shd w:val="clear" w:color="auto" w:fill="auto"/>
            <w:vAlign w:val="center"/>
          </w:tcPr>
          <w:p w14:paraId="5388CA8E">
            <w:pPr>
              <w:widowControl/>
              <w:overflowPunct/>
              <w:snapToGrid/>
              <w:spacing w:line="240" w:lineRule="auto"/>
              <w:ind w:firstLine="0" w:firstLineChars="0"/>
              <w:jc w:val="center"/>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2</w:t>
            </w:r>
          </w:p>
        </w:tc>
        <w:tc>
          <w:tcPr>
            <w:tcW w:w="757" w:type="dxa"/>
            <w:tcBorders>
              <w:top w:val="nil"/>
              <w:left w:val="nil"/>
              <w:bottom w:val="single" w:color="auto" w:sz="4" w:space="0"/>
              <w:right w:val="single" w:color="auto" w:sz="4" w:space="0"/>
            </w:tcBorders>
            <w:shd w:val="clear" w:color="auto" w:fill="auto"/>
            <w:vAlign w:val="center"/>
          </w:tcPr>
          <w:p w14:paraId="1B1B6EFD">
            <w:pPr>
              <w:widowControl/>
              <w:overflowPunct/>
              <w:snapToGrid/>
              <w:spacing w:line="240" w:lineRule="auto"/>
              <w:ind w:firstLine="0" w:firstLineChars="0"/>
              <w:jc w:val="left"/>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激光雷达走航监测溯源分析服务</w:t>
            </w:r>
          </w:p>
        </w:tc>
        <w:tc>
          <w:tcPr>
            <w:tcW w:w="6015" w:type="dxa"/>
            <w:gridSpan w:val="2"/>
            <w:tcBorders>
              <w:top w:val="single" w:color="auto" w:sz="4" w:space="0"/>
              <w:left w:val="nil"/>
              <w:bottom w:val="single" w:color="auto" w:sz="4" w:space="0"/>
              <w:right w:val="single" w:color="auto" w:sz="4" w:space="0"/>
            </w:tcBorders>
            <w:shd w:val="clear" w:color="auto" w:fill="auto"/>
            <w:vAlign w:val="center"/>
          </w:tcPr>
          <w:p w14:paraId="4E00ABAF">
            <w:pPr>
              <w:widowControl/>
              <w:overflowPunct/>
              <w:snapToGrid/>
              <w:spacing w:line="240" w:lineRule="auto"/>
              <w:ind w:firstLine="0" w:firstLineChars="0"/>
              <w:jc w:val="left"/>
              <w:rPr>
                <w:rFonts w:hint="eastAsia" w:ascii="宋体" w:hAnsi="宋体" w:eastAsia="宋体" w:cs="宋体"/>
                <w:color w:val="000000"/>
                <w:kern w:val="0"/>
                <w:sz w:val="21"/>
                <w:szCs w:val="21"/>
                <w:lang w:eastAsia="zh-CN"/>
                <w14:ligatures w14:val="none"/>
              </w:rPr>
            </w:pPr>
            <w:r>
              <w:rPr>
                <w:rFonts w:hint="eastAsia" w:ascii="宋体" w:hAnsi="宋体" w:eastAsia="宋体" w:cs="宋体"/>
                <w:color w:val="000000"/>
                <w:kern w:val="0"/>
                <w:sz w:val="21"/>
                <w:szCs w:val="21"/>
                <w14:ligatures w14:val="none"/>
              </w:rPr>
              <w:t>根据空气质量预警预报结果，提前规划，针对空气质量污染前、中、后三个过程，年度提供不少于4次的激光雷达走航监测分析服务，根据走航及监测数据，对 O3、PM2.5、PM10 等污染物进行源解析，提供走航溯源分析报告；完成县域涉气污染源清单与重污染应急减排清单的更新</w:t>
            </w:r>
            <w:r>
              <w:rPr>
                <w:rFonts w:hint="eastAsia" w:hAnsi="宋体" w:cs="宋体"/>
                <w:color w:val="000000"/>
                <w:kern w:val="0"/>
                <w:sz w:val="21"/>
                <w:szCs w:val="21"/>
                <w:lang w:eastAsia="zh-CN"/>
                <w14:ligatures w14:val="none"/>
              </w:rPr>
              <w:t>。</w:t>
            </w:r>
          </w:p>
        </w:tc>
        <w:tc>
          <w:tcPr>
            <w:tcW w:w="2335" w:type="dxa"/>
            <w:tcBorders>
              <w:top w:val="nil"/>
              <w:left w:val="nil"/>
              <w:bottom w:val="single" w:color="auto" w:sz="4" w:space="0"/>
              <w:right w:val="single" w:color="auto" w:sz="4" w:space="0"/>
            </w:tcBorders>
            <w:shd w:val="clear" w:color="auto" w:fill="auto"/>
            <w:vAlign w:val="center"/>
          </w:tcPr>
          <w:p w14:paraId="6925EA99">
            <w:pPr>
              <w:widowControl/>
              <w:overflowPunct/>
              <w:snapToGrid/>
              <w:spacing w:line="240" w:lineRule="auto"/>
              <w:ind w:firstLine="0" w:firstLineChars="0"/>
              <w:jc w:val="left"/>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走航溯源分析报告4份</w:t>
            </w:r>
            <w:r>
              <w:rPr>
                <w:rFonts w:hint="eastAsia" w:ascii="宋体" w:hAnsi="宋体" w:eastAsia="宋体" w:cs="宋体"/>
                <w:color w:val="000000"/>
                <w:kern w:val="0"/>
                <w:sz w:val="21"/>
                <w:szCs w:val="21"/>
                <w14:ligatures w14:val="none"/>
              </w:rPr>
              <w:br w:type="textWrapping"/>
            </w:r>
            <w:r>
              <w:rPr>
                <w:rFonts w:hint="eastAsia" w:ascii="宋体" w:hAnsi="宋体" w:eastAsia="宋体" w:cs="宋体"/>
                <w:color w:val="000000"/>
                <w:kern w:val="0"/>
                <w:sz w:val="21"/>
                <w:szCs w:val="21"/>
                <w14:ligatures w14:val="none"/>
              </w:rPr>
              <w:t>清单 2份</w:t>
            </w:r>
          </w:p>
        </w:tc>
      </w:tr>
      <w:tr w14:paraId="6DC70AFD">
        <w:tblPrEx>
          <w:tblCellMar>
            <w:top w:w="0" w:type="dxa"/>
            <w:left w:w="108" w:type="dxa"/>
            <w:bottom w:w="0" w:type="dxa"/>
            <w:right w:w="108" w:type="dxa"/>
          </w:tblCellMar>
        </w:tblPrEx>
        <w:trPr>
          <w:trHeight w:val="513" w:hRule="atLeast"/>
        </w:trPr>
        <w:tc>
          <w:tcPr>
            <w:tcW w:w="752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EEC3DE6">
            <w:pPr>
              <w:widowControl/>
              <w:overflowPunct/>
              <w:snapToGrid/>
              <w:spacing w:line="240" w:lineRule="auto"/>
              <w:ind w:firstLine="0" w:firstLineChars="0"/>
              <w:jc w:val="center"/>
              <w:rPr>
                <w:rFonts w:hint="eastAsia" w:ascii="宋体" w:hAnsi="宋体" w:eastAsia="宋体" w:cs="宋体"/>
                <w:b/>
                <w:bCs/>
                <w:color w:val="000000"/>
                <w:kern w:val="0"/>
                <w:sz w:val="21"/>
                <w:szCs w:val="21"/>
                <w14:ligatures w14:val="none"/>
              </w:rPr>
            </w:pPr>
            <w:r>
              <w:rPr>
                <w:rFonts w:hint="eastAsia" w:ascii="宋体" w:hAnsi="宋体" w:eastAsia="宋体" w:cs="宋体"/>
                <w:b/>
                <w:bCs/>
                <w:color w:val="000000"/>
                <w:kern w:val="0"/>
                <w:sz w:val="21"/>
                <w:szCs w:val="21"/>
                <w14:ligatures w14:val="none"/>
              </w:rPr>
              <w:t>二、大气污染防治闭环管理系统建设服务</w:t>
            </w:r>
          </w:p>
        </w:tc>
        <w:tc>
          <w:tcPr>
            <w:tcW w:w="2335" w:type="dxa"/>
            <w:tcBorders>
              <w:top w:val="nil"/>
              <w:left w:val="nil"/>
              <w:bottom w:val="single" w:color="auto" w:sz="4" w:space="0"/>
              <w:right w:val="single" w:color="auto" w:sz="4" w:space="0"/>
            </w:tcBorders>
            <w:shd w:val="clear" w:color="auto" w:fill="auto"/>
            <w:noWrap/>
            <w:vAlign w:val="center"/>
          </w:tcPr>
          <w:p w14:paraId="036F882C">
            <w:pPr>
              <w:widowControl/>
              <w:overflowPunct/>
              <w:snapToGrid/>
              <w:spacing w:line="240" w:lineRule="auto"/>
              <w:ind w:firstLine="0" w:firstLineChars="0"/>
              <w:jc w:val="center"/>
              <w:rPr>
                <w:rFonts w:hint="eastAsia" w:ascii="宋体" w:hAnsi="宋体" w:eastAsia="宋体" w:cs="宋体"/>
                <w:b/>
                <w:bCs/>
                <w:color w:val="000000"/>
                <w:kern w:val="0"/>
                <w:sz w:val="21"/>
                <w:szCs w:val="21"/>
                <w14:ligatures w14:val="none"/>
              </w:rPr>
            </w:pPr>
            <w:r>
              <w:rPr>
                <w:rFonts w:hint="eastAsia" w:ascii="宋体" w:hAnsi="宋体" w:eastAsia="宋体" w:cs="宋体"/>
                <w:b/>
                <w:bCs/>
                <w:color w:val="000000"/>
                <w:kern w:val="0"/>
                <w:sz w:val="21"/>
                <w:szCs w:val="21"/>
                <w14:ligatures w14:val="none"/>
              </w:rPr>
              <w:t>1项</w:t>
            </w:r>
          </w:p>
        </w:tc>
      </w:tr>
      <w:tr w14:paraId="444568C9">
        <w:tblPrEx>
          <w:tblCellMar>
            <w:top w:w="0" w:type="dxa"/>
            <w:left w:w="108" w:type="dxa"/>
            <w:bottom w:w="0" w:type="dxa"/>
            <w:right w:w="108" w:type="dxa"/>
          </w:tblCellMar>
        </w:tblPrEx>
        <w:trPr>
          <w:trHeight w:val="1810" w:hRule="atLeast"/>
        </w:trPr>
        <w:tc>
          <w:tcPr>
            <w:tcW w:w="756" w:type="dxa"/>
            <w:tcBorders>
              <w:top w:val="nil"/>
              <w:left w:val="single" w:color="auto" w:sz="4" w:space="0"/>
              <w:bottom w:val="single" w:color="auto" w:sz="4" w:space="0"/>
              <w:right w:val="single" w:color="auto" w:sz="4" w:space="0"/>
            </w:tcBorders>
            <w:shd w:val="clear" w:color="auto" w:fill="auto"/>
            <w:vAlign w:val="center"/>
          </w:tcPr>
          <w:p w14:paraId="54FAEDBD">
            <w:pPr>
              <w:widowControl/>
              <w:overflowPunct/>
              <w:snapToGrid/>
              <w:spacing w:line="240" w:lineRule="auto"/>
              <w:ind w:firstLine="0" w:firstLineChars="0"/>
              <w:jc w:val="center"/>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1</w:t>
            </w:r>
          </w:p>
        </w:tc>
        <w:tc>
          <w:tcPr>
            <w:tcW w:w="757" w:type="dxa"/>
            <w:tcBorders>
              <w:top w:val="nil"/>
              <w:left w:val="nil"/>
              <w:bottom w:val="single" w:color="auto" w:sz="4" w:space="0"/>
              <w:right w:val="single" w:color="auto" w:sz="4" w:space="0"/>
            </w:tcBorders>
            <w:shd w:val="clear" w:color="auto" w:fill="auto"/>
            <w:vAlign w:val="center"/>
          </w:tcPr>
          <w:p w14:paraId="5EA80C1F">
            <w:pPr>
              <w:widowControl/>
              <w:overflowPunct/>
              <w:snapToGrid/>
              <w:spacing w:line="240" w:lineRule="auto"/>
              <w:ind w:firstLine="0" w:firstLineChars="0"/>
              <w:jc w:val="left"/>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空气质量预警预报模块</w:t>
            </w:r>
          </w:p>
        </w:tc>
        <w:tc>
          <w:tcPr>
            <w:tcW w:w="6015" w:type="dxa"/>
            <w:gridSpan w:val="2"/>
            <w:tcBorders>
              <w:top w:val="single" w:color="auto" w:sz="4" w:space="0"/>
              <w:left w:val="nil"/>
              <w:bottom w:val="single" w:color="auto" w:sz="4" w:space="0"/>
              <w:right w:val="single" w:color="auto" w:sz="4" w:space="0"/>
            </w:tcBorders>
            <w:shd w:val="clear" w:color="auto" w:fill="auto"/>
            <w:vAlign w:val="center"/>
          </w:tcPr>
          <w:p w14:paraId="4259011A">
            <w:pPr>
              <w:widowControl/>
              <w:overflowPunct/>
              <w:snapToGrid/>
              <w:spacing w:line="240" w:lineRule="auto"/>
              <w:ind w:firstLine="0" w:firstLineChars="0"/>
              <w:jc w:val="left"/>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依托《商南县大气监管平台》，嵌入空气质量预报预测技术服务，提供未来3天逐小时的精准预报和未来15天逐三小时趋势预报，对未来的污染形势进行研判分析，为大气污染管控和重污染应急提供技术支持。</w:t>
            </w:r>
          </w:p>
        </w:tc>
        <w:tc>
          <w:tcPr>
            <w:tcW w:w="2335" w:type="dxa"/>
            <w:vMerge w:val="restart"/>
            <w:tcBorders>
              <w:top w:val="nil"/>
              <w:left w:val="single" w:color="auto" w:sz="4" w:space="0"/>
              <w:bottom w:val="single" w:color="auto" w:sz="4" w:space="0"/>
              <w:right w:val="single" w:color="auto" w:sz="4" w:space="0"/>
            </w:tcBorders>
            <w:shd w:val="clear" w:color="auto" w:fill="auto"/>
            <w:vAlign w:val="center"/>
          </w:tcPr>
          <w:p w14:paraId="57EAFBD7">
            <w:pPr>
              <w:widowControl/>
              <w:overflowPunct/>
              <w:snapToGrid/>
              <w:spacing w:line="240" w:lineRule="auto"/>
              <w:ind w:firstLine="0" w:firstLineChars="0"/>
              <w:jc w:val="center"/>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 xml:space="preserve">1 项 </w:t>
            </w:r>
          </w:p>
        </w:tc>
      </w:tr>
      <w:tr w14:paraId="6BFE4BCF">
        <w:tblPrEx>
          <w:tblCellMar>
            <w:top w:w="0" w:type="dxa"/>
            <w:left w:w="108" w:type="dxa"/>
            <w:bottom w:w="0" w:type="dxa"/>
            <w:right w:w="108" w:type="dxa"/>
          </w:tblCellMar>
        </w:tblPrEx>
        <w:trPr>
          <w:trHeight w:val="1634" w:hRule="atLeast"/>
        </w:trPr>
        <w:tc>
          <w:tcPr>
            <w:tcW w:w="756" w:type="dxa"/>
            <w:tcBorders>
              <w:top w:val="nil"/>
              <w:left w:val="single" w:color="auto" w:sz="4" w:space="0"/>
              <w:bottom w:val="single" w:color="auto" w:sz="4" w:space="0"/>
              <w:right w:val="single" w:color="auto" w:sz="4" w:space="0"/>
            </w:tcBorders>
            <w:shd w:val="clear" w:color="auto" w:fill="auto"/>
            <w:vAlign w:val="center"/>
          </w:tcPr>
          <w:p w14:paraId="55C9BC66">
            <w:pPr>
              <w:widowControl/>
              <w:overflowPunct/>
              <w:snapToGrid/>
              <w:spacing w:line="240" w:lineRule="auto"/>
              <w:ind w:firstLine="0" w:firstLineChars="0"/>
              <w:jc w:val="center"/>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2</w:t>
            </w:r>
          </w:p>
        </w:tc>
        <w:tc>
          <w:tcPr>
            <w:tcW w:w="757" w:type="dxa"/>
            <w:tcBorders>
              <w:top w:val="nil"/>
              <w:left w:val="nil"/>
              <w:bottom w:val="single" w:color="auto" w:sz="4" w:space="0"/>
              <w:right w:val="single" w:color="auto" w:sz="4" w:space="0"/>
            </w:tcBorders>
            <w:shd w:val="clear" w:color="auto" w:fill="auto"/>
            <w:vAlign w:val="center"/>
          </w:tcPr>
          <w:p w14:paraId="1E2B1E76">
            <w:pPr>
              <w:widowControl/>
              <w:overflowPunct/>
              <w:snapToGrid/>
              <w:spacing w:line="240" w:lineRule="auto"/>
              <w:ind w:firstLine="0" w:firstLineChars="0"/>
              <w:jc w:val="center"/>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协同治理中心模块</w:t>
            </w:r>
          </w:p>
        </w:tc>
        <w:tc>
          <w:tcPr>
            <w:tcW w:w="6015" w:type="dxa"/>
            <w:gridSpan w:val="2"/>
            <w:tcBorders>
              <w:top w:val="single" w:color="auto" w:sz="4" w:space="0"/>
              <w:left w:val="nil"/>
              <w:bottom w:val="single" w:color="auto" w:sz="4" w:space="0"/>
              <w:right w:val="single" w:color="auto" w:sz="4" w:space="0"/>
            </w:tcBorders>
            <w:shd w:val="clear" w:color="auto" w:fill="auto"/>
            <w:vAlign w:val="center"/>
          </w:tcPr>
          <w:p w14:paraId="2BAFF18B">
            <w:pPr>
              <w:widowControl/>
              <w:overflowPunct/>
              <w:snapToGrid/>
              <w:spacing w:line="240" w:lineRule="auto"/>
              <w:ind w:firstLine="0" w:firstLineChars="0"/>
              <w:jc w:val="left"/>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根据县域环境空气质量管控要求及业务流转，完成住建、城管、重点企业（中剑、鹿城）及执法队等单位和部门对交办事宜、执行情况、完成反馈等内容的信息化，形成县域大气环境管控的闭环管理。</w:t>
            </w:r>
          </w:p>
        </w:tc>
        <w:tc>
          <w:tcPr>
            <w:tcW w:w="2335" w:type="dxa"/>
            <w:vMerge w:val="continue"/>
            <w:tcBorders>
              <w:top w:val="nil"/>
              <w:left w:val="single" w:color="auto" w:sz="4" w:space="0"/>
              <w:bottom w:val="single" w:color="auto" w:sz="4" w:space="0"/>
              <w:right w:val="single" w:color="auto" w:sz="4" w:space="0"/>
            </w:tcBorders>
            <w:vAlign w:val="center"/>
          </w:tcPr>
          <w:p w14:paraId="1EC001CE">
            <w:pPr>
              <w:widowControl/>
              <w:overflowPunct/>
              <w:snapToGrid/>
              <w:spacing w:line="240" w:lineRule="auto"/>
              <w:ind w:firstLine="0" w:firstLineChars="0"/>
              <w:jc w:val="left"/>
              <w:rPr>
                <w:rFonts w:hint="eastAsia" w:ascii="宋体" w:hAnsi="宋体" w:eastAsia="宋体" w:cs="宋体"/>
                <w:color w:val="000000"/>
                <w:kern w:val="0"/>
                <w:sz w:val="21"/>
                <w:szCs w:val="21"/>
                <w14:ligatures w14:val="none"/>
              </w:rPr>
            </w:pPr>
          </w:p>
        </w:tc>
      </w:tr>
      <w:tr w14:paraId="3B483AB1">
        <w:tblPrEx>
          <w:tblCellMar>
            <w:top w:w="0" w:type="dxa"/>
            <w:left w:w="108" w:type="dxa"/>
            <w:bottom w:w="0" w:type="dxa"/>
            <w:right w:w="108" w:type="dxa"/>
          </w:tblCellMar>
        </w:tblPrEx>
        <w:trPr>
          <w:trHeight w:val="997" w:hRule="atLeast"/>
        </w:trPr>
        <w:tc>
          <w:tcPr>
            <w:tcW w:w="756" w:type="dxa"/>
            <w:tcBorders>
              <w:top w:val="nil"/>
              <w:left w:val="single" w:color="auto" w:sz="4" w:space="0"/>
              <w:bottom w:val="single" w:color="auto" w:sz="4" w:space="0"/>
              <w:right w:val="single" w:color="auto" w:sz="4" w:space="0"/>
            </w:tcBorders>
            <w:shd w:val="clear" w:color="auto" w:fill="auto"/>
            <w:vAlign w:val="center"/>
          </w:tcPr>
          <w:p w14:paraId="788B5B40">
            <w:pPr>
              <w:widowControl/>
              <w:overflowPunct/>
              <w:snapToGrid/>
              <w:spacing w:line="240" w:lineRule="auto"/>
              <w:ind w:firstLine="0" w:firstLineChars="0"/>
              <w:jc w:val="center"/>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3</w:t>
            </w:r>
          </w:p>
        </w:tc>
        <w:tc>
          <w:tcPr>
            <w:tcW w:w="757" w:type="dxa"/>
            <w:tcBorders>
              <w:top w:val="nil"/>
              <w:left w:val="nil"/>
              <w:bottom w:val="single" w:color="auto" w:sz="4" w:space="0"/>
              <w:right w:val="single" w:color="auto" w:sz="4" w:space="0"/>
            </w:tcBorders>
            <w:shd w:val="clear" w:color="auto" w:fill="auto"/>
            <w:vAlign w:val="center"/>
          </w:tcPr>
          <w:p w14:paraId="758F4210">
            <w:pPr>
              <w:widowControl/>
              <w:overflowPunct/>
              <w:snapToGrid/>
              <w:spacing w:line="240" w:lineRule="auto"/>
              <w:ind w:firstLine="0" w:firstLineChars="0"/>
              <w:jc w:val="left"/>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系统管理模块</w:t>
            </w:r>
          </w:p>
        </w:tc>
        <w:tc>
          <w:tcPr>
            <w:tcW w:w="6015" w:type="dxa"/>
            <w:gridSpan w:val="2"/>
            <w:tcBorders>
              <w:top w:val="single" w:color="auto" w:sz="4" w:space="0"/>
              <w:left w:val="nil"/>
              <w:bottom w:val="single" w:color="auto" w:sz="4" w:space="0"/>
              <w:right w:val="single" w:color="auto" w:sz="4" w:space="0"/>
            </w:tcBorders>
            <w:shd w:val="clear" w:color="auto" w:fill="auto"/>
            <w:vAlign w:val="center"/>
          </w:tcPr>
          <w:p w14:paraId="70049503">
            <w:pPr>
              <w:widowControl/>
              <w:overflowPunct/>
              <w:snapToGrid/>
              <w:spacing w:line="240" w:lineRule="auto"/>
              <w:ind w:firstLine="0" w:firstLineChars="0"/>
              <w:jc w:val="left"/>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针对不同的用户，根据工作需求，进行权限、角色的区分；结合用户的使用场景，完成电脑端和移动端的功能模块开发</w:t>
            </w:r>
          </w:p>
        </w:tc>
        <w:tc>
          <w:tcPr>
            <w:tcW w:w="2335" w:type="dxa"/>
            <w:vMerge w:val="continue"/>
            <w:tcBorders>
              <w:top w:val="nil"/>
              <w:left w:val="single" w:color="auto" w:sz="4" w:space="0"/>
              <w:bottom w:val="single" w:color="auto" w:sz="4" w:space="0"/>
              <w:right w:val="single" w:color="auto" w:sz="4" w:space="0"/>
            </w:tcBorders>
            <w:vAlign w:val="center"/>
          </w:tcPr>
          <w:p w14:paraId="7D657000">
            <w:pPr>
              <w:widowControl/>
              <w:overflowPunct/>
              <w:snapToGrid/>
              <w:spacing w:line="240" w:lineRule="auto"/>
              <w:ind w:firstLine="0" w:firstLineChars="0"/>
              <w:jc w:val="left"/>
              <w:rPr>
                <w:rFonts w:hint="eastAsia" w:ascii="宋体" w:hAnsi="宋体" w:eastAsia="宋体" w:cs="宋体"/>
                <w:color w:val="000000"/>
                <w:kern w:val="0"/>
                <w:sz w:val="21"/>
                <w:szCs w:val="21"/>
                <w14:ligatures w14:val="none"/>
              </w:rPr>
            </w:pPr>
          </w:p>
        </w:tc>
      </w:tr>
    </w:tbl>
    <w:p w14:paraId="29D1F57F">
      <w:pPr>
        <w:jc w:val="left"/>
        <w:rPr>
          <w:rFonts w:hint="eastAsia" w:hAnsi="宋体" w:cs="宋体"/>
          <w:b/>
          <w:bCs/>
          <w:szCs w:val="36"/>
        </w:rPr>
      </w:pPr>
    </w:p>
    <w:p w14:paraId="2CD006B7">
      <w:pPr>
        <w:pStyle w:val="8"/>
        <w:keepNext w:val="0"/>
        <w:keepLines w:val="0"/>
        <w:pageBreakBefore w:val="0"/>
        <w:widowControl w:val="0"/>
        <w:numPr>
          <w:ilvl w:val="0"/>
          <w:numId w:val="0"/>
        </w:numPr>
        <w:tabs>
          <w:tab w:val="left" w:pos="600"/>
        </w:tabs>
        <w:kinsoku/>
        <w:wordWrap/>
        <w:overflowPunct/>
        <w:topLinePunct w:val="0"/>
        <w:autoSpaceDE/>
        <w:autoSpaceDN/>
        <w:bidi w:val="0"/>
        <w:adjustRightInd/>
        <w:snapToGrid/>
        <w:spacing w:before="240" w:beforeLines="100" w:line="500" w:lineRule="exact"/>
        <w:ind w:leftChars="242"/>
        <w:jc w:val="left"/>
        <w:textAlignment w:val="auto"/>
        <w:rPr>
          <w:rFonts w:hint="eastAsia" w:ascii="仿宋" w:hAnsi="仿宋" w:eastAsia="仿宋"/>
          <w:b/>
          <w:sz w:val="28"/>
          <w:szCs w:val="28"/>
          <w:lang w:val="en-US" w:eastAsia="zh-CN"/>
        </w:rPr>
      </w:pPr>
    </w:p>
    <w:p w14:paraId="1CCA5950">
      <w:pPr>
        <w:pStyle w:val="2"/>
        <w:jc w:val="center"/>
        <w:rPr>
          <w:rStyle w:val="28"/>
          <w:rFonts w:hint="eastAsia" w:ascii="宋体" w:eastAsia="宋体" w:cs="宋体"/>
          <w:b/>
          <w:color w:val="auto"/>
          <w:sz w:val="36"/>
          <w:szCs w:val="36"/>
          <w:highlight w:val="none"/>
        </w:rPr>
      </w:pPr>
      <w:bookmarkStart w:id="58" w:name="_Toc17445"/>
    </w:p>
    <w:p w14:paraId="2A0FC0A4">
      <w:pPr>
        <w:pStyle w:val="2"/>
        <w:jc w:val="center"/>
        <w:rPr>
          <w:rStyle w:val="28"/>
          <w:rFonts w:hint="eastAsia" w:ascii="宋体" w:eastAsia="宋体" w:cs="宋体"/>
          <w:b/>
          <w:color w:val="auto"/>
          <w:sz w:val="36"/>
          <w:szCs w:val="36"/>
          <w:highlight w:val="none"/>
        </w:rPr>
      </w:pPr>
    </w:p>
    <w:p w14:paraId="5171C025">
      <w:pPr>
        <w:pStyle w:val="2"/>
        <w:jc w:val="center"/>
        <w:rPr>
          <w:rStyle w:val="28"/>
          <w:rFonts w:hint="eastAsia" w:ascii="宋体" w:eastAsia="宋体" w:cs="宋体"/>
          <w:b/>
          <w:color w:val="auto"/>
          <w:sz w:val="36"/>
          <w:szCs w:val="36"/>
          <w:highlight w:val="none"/>
        </w:rPr>
      </w:pPr>
    </w:p>
    <w:p w14:paraId="50843DBD">
      <w:pPr>
        <w:pStyle w:val="2"/>
        <w:jc w:val="center"/>
        <w:rPr>
          <w:rStyle w:val="28"/>
          <w:rFonts w:hint="eastAsia" w:ascii="宋体" w:eastAsia="宋体" w:cs="宋体"/>
          <w:b/>
          <w:color w:val="auto"/>
          <w:sz w:val="36"/>
          <w:szCs w:val="36"/>
          <w:highlight w:val="none"/>
        </w:rPr>
      </w:pPr>
    </w:p>
    <w:p w14:paraId="0D9E87AB">
      <w:pPr>
        <w:pStyle w:val="2"/>
        <w:jc w:val="both"/>
        <w:rPr>
          <w:rStyle w:val="28"/>
          <w:rFonts w:hint="eastAsia" w:ascii="宋体" w:eastAsia="宋体" w:cs="宋体"/>
          <w:b/>
          <w:color w:val="auto"/>
          <w:sz w:val="36"/>
          <w:szCs w:val="36"/>
          <w:highlight w:val="none"/>
        </w:rPr>
      </w:pPr>
    </w:p>
    <w:p w14:paraId="02C2024A">
      <w:pPr>
        <w:rPr>
          <w:rStyle w:val="28"/>
          <w:rFonts w:hint="eastAsia" w:ascii="宋体" w:eastAsia="宋体" w:cs="宋体"/>
          <w:b/>
          <w:color w:val="auto"/>
          <w:sz w:val="36"/>
          <w:szCs w:val="36"/>
          <w:highlight w:val="none"/>
        </w:rPr>
      </w:pPr>
    </w:p>
    <w:p w14:paraId="3CBADC11">
      <w:pPr>
        <w:pStyle w:val="7"/>
        <w:rPr>
          <w:rStyle w:val="28"/>
          <w:rFonts w:hint="eastAsia" w:ascii="宋体" w:eastAsia="宋体" w:cs="宋体"/>
          <w:b/>
          <w:color w:val="auto"/>
          <w:sz w:val="36"/>
          <w:szCs w:val="36"/>
          <w:highlight w:val="none"/>
        </w:rPr>
      </w:pPr>
    </w:p>
    <w:p w14:paraId="4909B2F0">
      <w:pPr>
        <w:pStyle w:val="7"/>
        <w:rPr>
          <w:rStyle w:val="28"/>
          <w:rFonts w:hint="eastAsia" w:ascii="宋体" w:eastAsia="宋体" w:cs="宋体"/>
          <w:b/>
          <w:color w:val="auto"/>
          <w:sz w:val="36"/>
          <w:szCs w:val="36"/>
          <w:highlight w:val="none"/>
        </w:rPr>
      </w:pPr>
    </w:p>
    <w:p w14:paraId="33145AF5">
      <w:pPr>
        <w:pStyle w:val="2"/>
        <w:jc w:val="center"/>
        <w:rPr>
          <w:rFonts w:ascii="宋体"/>
          <w:bCs/>
          <w:color w:val="auto"/>
          <w:szCs w:val="24"/>
          <w:highlight w:val="none"/>
        </w:rPr>
      </w:pPr>
      <w:r>
        <w:rPr>
          <w:rStyle w:val="28"/>
          <w:rFonts w:hint="eastAsia" w:ascii="宋体" w:eastAsia="宋体" w:cs="宋体"/>
          <w:b/>
          <w:color w:val="auto"/>
          <w:sz w:val="36"/>
          <w:szCs w:val="36"/>
          <w:highlight w:val="none"/>
        </w:rPr>
        <w:t>第五章  评审方法</w:t>
      </w:r>
      <w:bookmarkEnd w:id="58"/>
    </w:p>
    <w:p w14:paraId="5CE40063">
      <w:pPr>
        <w:spacing w:line="360" w:lineRule="auto"/>
        <w:rPr>
          <w:b/>
          <w:color w:val="auto"/>
          <w:szCs w:val="24"/>
          <w:highlight w:val="none"/>
        </w:rPr>
      </w:pPr>
      <w:r>
        <w:rPr>
          <w:rFonts w:hint="eastAsia"/>
          <w:b/>
          <w:color w:val="auto"/>
          <w:szCs w:val="24"/>
          <w:highlight w:val="none"/>
        </w:rPr>
        <w:t>一</w:t>
      </w:r>
      <w:r>
        <w:rPr>
          <w:rFonts w:hint="eastAsia"/>
          <w:b/>
          <w:color w:val="auto"/>
          <w:szCs w:val="24"/>
          <w:highlight w:val="none"/>
          <w:lang w:eastAsia="zh-CN"/>
        </w:rPr>
        <w:t>、</w:t>
      </w:r>
      <w:r>
        <w:rPr>
          <w:rFonts w:hint="eastAsia"/>
          <w:b/>
          <w:color w:val="auto"/>
          <w:szCs w:val="24"/>
          <w:highlight w:val="none"/>
        </w:rPr>
        <w:t>评审方法：</w:t>
      </w:r>
    </w:p>
    <w:p w14:paraId="0A539E1B">
      <w:pPr>
        <w:spacing w:line="500" w:lineRule="exact"/>
        <w:ind w:firstLine="520" w:firstLineChars="217"/>
        <w:rPr>
          <w:rFonts w:hAnsi="宋体"/>
          <w:color w:val="auto"/>
          <w:spacing w:val="4"/>
          <w:szCs w:val="24"/>
          <w:highlight w:val="none"/>
        </w:rPr>
      </w:pPr>
      <w:r>
        <w:rPr>
          <w:rFonts w:hAnsi="宋体"/>
          <w:color w:val="auto"/>
          <w:szCs w:val="24"/>
          <w:highlight w:val="none"/>
        </w:rPr>
        <w:t>按照《中华人民共和国政府采购法》</w:t>
      </w:r>
      <w:r>
        <w:rPr>
          <w:rFonts w:hint="eastAsia" w:hAnsi="宋体"/>
          <w:color w:val="auto"/>
          <w:szCs w:val="24"/>
          <w:highlight w:val="none"/>
        </w:rPr>
        <w:t>及实施条例和</w:t>
      </w:r>
      <w:r>
        <w:rPr>
          <w:rFonts w:hAnsi="宋体"/>
          <w:color w:val="auto"/>
          <w:szCs w:val="24"/>
          <w:highlight w:val="none"/>
        </w:rPr>
        <w:t>关于印发《政府采购竞争性磋商采购方式管理暂行办法》的通知</w:t>
      </w:r>
      <w:r>
        <w:rPr>
          <w:rFonts w:hint="eastAsia" w:hAnsi="宋体"/>
          <w:color w:val="auto"/>
          <w:szCs w:val="24"/>
          <w:highlight w:val="none"/>
        </w:rPr>
        <w:t>（</w:t>
      </w:r>
      <w:r>
        <w:rPr>
          <w:rFonts w:hAnsi="宋体"/>
          <w:color w:val="auto"/>
          <w:szCs w:val="24"/>
          <w:highlight w:val="none"/>
        </w:rPr>
        <w:t>财库【2014】214号</w:t>
      </w:r>
      <w:r>
        <w:rPr>
          <w:rFonts w:hint="eastAsia" w:hAnsi="宋体"/>
          <w:color w:val="auto"/>
          <w:szCs w:val="24"/>
          <w:highlight w:val="none"/>
        </w:rPr>
        <w:t>）</w:t>
      </w:r>
      <w:r>
        <w:rPr>
          <w:rFonts w:hint="eastAsia" w:hAnsi="宋体"/>
          <w:color w:val="auto"/>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3ECBAF29">
      <w:pPr>
        <w:spacing w:line="500" w:lineRule="exact"/>
        <w:rPr>
          <w:rFonts w:hAnsi="宋体"/>
          <w:b/>
          <w:color w:val="auto"/>
          <w:spacing w:val="4"/>
          <w:szCs w:val="24"/>
          <w:highlight w:val="none"/>
        </w:rPr>
      </w:pPr>
      <w:r>
        <w:rPr>
          <w:rFonts w:hint="eastAsia" w:hAnsi="宋体"/>
          <w:b/>
          <w:color w:val="auto"/>
          <w:spacing w:val="4"/>
          <w:szCs w:val="24"/>
          <w:highlight w:val="none"/>
        </w:rPr>
        <w:t>二、评审程序：</w:t>
      </w:r>
    </w:p>
    <w:p w14:paraId="1D2F402F">
      <w:pPr>
        <w:tabs>
          <w:tab w:val="left" w:pos="0"/>
        </w:tabs>
        <w:adjustRightInd w:val="0"/>
        <w:snapToGrid w:val="0"/>
        <w:spacing w:line="500" w:lineRule="exact"/>
        <w:ind w:firstLine="470" w:firstLineChars="196"/>
        <w:rPr>
          <w:rFonts w:hAnsi="宋体" w:cs="宋体"/>
          <w:color w:val="auto"/>
          <w:highlight w:val="none"/>
        </w:rPr>
      </w:pPr>
      <w:r>
        <w:rPr>
          <w:rFonts w:hint="eastAsia"/>
          <w:color w:val="auto"/>
          <w:szCs w:val="24"/>
          <w:highlight w:val="none"/>
        </w:rPr>
        <w:t>按照竞争性磋商响应文件初审、澄清有关问题、分别磋商、二次报价、比较与评审、推荐成交候选人名单。在上一步评审中被认定为无效磋商者，不进入下一步的评审。</w:t>
      </w:r>
    </w:p>
    <w:p w14:paraId="072AFE3E">
      <w:pPr>
        <w:numPr>
          <w:ilvl w:val="0"/>
          <w:numId w:val="4"/>
        </w:numPr>
        <w:spacing w:line="500" w:lineRule="exact"/>
        <w:ind w:firstLine="498" w:firstLineChars="200"/>
        <w:rPr>
          <w:rFonts w:hAnsi="宋体"/>
          <w:b/>
          <w:bCs/>
          <w:color w:val="auto"/>
          <w:spacing w:val="4"/>
          <w:szCs w:val="24"/>
          <w:highlight w:val="none"/>
        </w:rPr>
      </w:pPr>
      <w:r>
        <w:rPr>
          <w:rFonts w:hint="eastAsia" w:hAnsi="宋体"/>
          <w:b/>
          <w:bCs/>
          <w:color w:val="auto"/>
          <w:spacing w:val="4"/>
          <w:szCs w:val="24"/>
          <w:highlight w:val="none"/>
        </w:rPr>
        <w:t>对磋商响应文件的初审：</w:t>
      </w:r>
    </w:p>
    <w:p w14:paraId="2845A098">
      <w:pPr>
        <w:tabs>
          <w:tab w:val="left" w:pos="0"/>
        </w:tabs>
        <w:adjustRightInd w:val="0"/>
        <w:snapToGrid w:val="0"/>
        <w:spacing w:line="500" w:lineRule="exact"/>
        <w:ind w:firstLine="472" w:firstLineChars="196"/>
        <w:rPr>
          <w:color w:val="auto"/>
          <w:highlight w:val="none"/>
        </w:rPr>
      </w:pPr>
      <w:r>
        <w:rPr>
          <w:rFonts w:hint="eastAsia"/>
          <w:b/>
          <w:bCs/>
          <w:color w:val="auto"/>
          <w:highlight w:val="none"/>
        </w:rPr>
        <w:t>1.1</w:t>
      </w:r>
      <w:r>
        <w:rPr>
          <w:b/>
          <w:bCs/>
          <w:color w:val="auto"/>
          <w:highlight w:val="none"/>
        </w:rPr>
        <w:t>资格性审查。</w:t>
      </w:r>
      <w:r>
        <w:rPr>
          <w:rFonts w:hint="eastAsia"/>
          <w:color w:val="auto"/>
          <w:highlight w:val="none"/>
          <w:lang w:val="en-US" w:eastAsia="zh-CN"/>
        </w:rPr>
        <w:t>采购代理机构及采购人</w:t>
      </w:r>
      <w:r>
        <w:rPr>
          <w:color w:val="auto"/>
          <w:highlight w:val="none"/>
        </w:rPr>
        <w:t>将依据</w:t>
      </w:r>
      <w:r>
        <w:rPr>
          <w:rFonts w:hint="eastAsia"/>
          <w:color w:val="auto"/>
          <w:highlight w:val="none"/>
        </w:rPr>
        <w:t>磋商响应</w:t>
      </w:r>
      <w:r>
        <w:rPr>
          <w:color w:val="auto"/>
          <w:highlight w:val="none"/>
        </w:rPr>
        <w:t>文件，按照</w:t>
      </w:r>
      <w:r>
        <w:rPr>
          <w:rFonts w:hint="eastAsia"/>
          <w:color w:val="auto"/>
          <w:highlight w:val="none"/>
        </w:rPr>
        <w:t>磋商</w:t>
      </w:r>
      <w:r>
        <w:rPr>
          <w:color w:val="auto"/>
          <w:highlight w:val="none"/>
        </w:rPr>
        <w:t>文件第二章</w:t>
      </w:r>
      <w:r>
        <w:rPr>
          <w:rFonts w:hint="eastAsia"/>
          <w:color w:val="auto"/>
          <w:highlight w:val="none"/>
        </w:rPr>
        <w:t>供应商须知</w:t>
      </w:r>
      <w:r>
        <w:rPr>
          <w:rFonts w:hint="eastAsia" w:hAnsi="宋体" w:cs="宋体"/>
          <w:color w:val="auto"/>
          <w:highlight w:val="none"/>
        </w:rPr>
        <w:t>前附表12.1条所述资格要</w:t>
      </w:r>
      <w:r>
        <w:rPr>
          <w:rFonts w:hint="eastAsia"/>
          <w:color w:val="auto"/>
          <w:highlight w:val="none"/>
        </w:rPr>
        <w:t>求进行资格性审查，</w:t>
      </w:r>
      <w:r>
        <w:rPr>
          <w:color w:val="auto"/>
          <w:highlight w:val="none"/>
        </w:rPr>
        <w:t>如果</w:t>
      </w:r>
      <w:r>
        <w:rPr>
          <w:rFonts w:hint="eastAsia"/>
          <w:color w:val="auto"/>
          <w:highlight w:val="none"/>
        </w:rPr>
        <w:t>供应商</w:t>
      </w:r>
      <w:r>
        <w:rPr>
          <w:color w:val="auto"/>
          <w:highlight w:val="none"/>
        </w:rPr>
        <w:t>不满足</w:t>
      </w:r>
      <w:r>
        <w:rPr>
          <w:rFonts w:hint="eastAsia"/>
          <w:color w:val="auto"/>
          <w:highlight w:val="none"/>
        </w:rPr>
        <w:t>磋商</w:t>
      </w:r>
      <w:r>
        <w:rPr>
          <w:color w:val="auto"/>
          <w:highlight w:val="none"/>
        </w:rPr>
        <w:t>文件所规定的</w:t>
      </w:r>
      <w:r>
        <w:rPr>
          <w:rFonts w:hint="eastAsia"/>
          <w:color w:val="auto"/>
          <w:highlight w:val="none"/>
        </w:rPr>
        <w:t>资格要求</w:t>
      </w:r>
      <w:r>
        <w:rPr>
          <w:color w:val="auto"/>
          <w:highlight w:val="none"/>
        </w:rPr>
        <w:t>或提供</w:t>
      </w:r>
      <w:r>
        <w:rPr>
          <w:rFonts w:hint="eastAsia"/>
          <w:color w:val="auto"/>
          <w:highlight w:val="none"/>
        </w:rPr>
        <w:t>资格证明文件</w:t>
      </w:r>
      <w:r>
        <w:rPr>
          <w:color w:val="auto"/>
          <w:highlight w:val="none"/>
        </w:rPr>
        <w:t>不全,将被视为未实质性响应</w:t>
      </w:r>
      <w:r>
        <w:rPr>
          <w:rFonts w:hint="eastAsia"/>
          <w:color w:val="auto"/>
          <w:highlight w:val="none"/>
        </w:rPr>
        <w:t>磋商</w:t>
      </w:r>
      <w:r>
        <w:rPr>
          <w:color w:val="auto"/>
          <w:highlight w:val="none"/>
        </w:rPr>
        <w:t>文件。</w:t>
      </w:r>
    </w:p>
    <w:tbl>
      <w:tblPr>
        <w:tblStyle w:val="19"/>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4818"/>
        <w:gridCol w:w="1560"/>
        <w:gridCol w:w="1696"/>
      </w:tblGrid>
      <w:tr w14:paraId="2E9FF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88" w:type="dxa"/>
            <w:vAlign w:val="center"/>
          </w:tcPr>
          <w:p w14:paraId="700D6924">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818" w:type="dxa"/>
            <w:vAlign w:val="center"/>
          </w:tcPr>
          <w:p w14:paraId="1A087CAD">
            <w:pPr>
              <w:keepNext w:val="0"/>
              <w:keepLines w:val="0"/>
              <w:suppressLineNumbers w:val="0"/>
              <w:spacing w:before="0" w:beforeAutospacing="0" w:after="0" w:afterAutospacing="0" w:line="240" w:lineRule="auto"/>
              <w:ind w:left="0" w:right="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审查因素</w:t>
            </w:r>
          </w:p>
        </w:tc>
        <w:tc>
          <w:tcPr>
            <w:tcW w:w="1560" w:type="dxa"/>
            <w:vAlign w:val="center"/>
          </w:tcPr>
          <w:p w14:paraId="2DCAE6E2">
            <w:pPr>
              <w:keepNext w:val="0"/>
              <w:keepLines w:val="0"/>
              <w:suppressLineNumbers w:val="0"/>
              <w:spacing w:before="0" w:beforeAutospacing="0" w:after="0" w:afterAutospacing="0" w:line="240" w:lineRule="auto"/>
              <w:ind w:left="0" w:right="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审查标准</w:t>
            </w:r>
          </w:p>
        </w:tc>
        <w:tc>
          <w:tcPr>
            <w:tcW w:w="1696" w:type="dxa"/>
            <w:vAlign w:val="center"/>
          </w:tcPr>
          <w:p w14:paraId="2B318A05">
            <w:pPr>
              <w:keepNext w:val="0"/>
              <w:keepLines w:val="0"/>
              <w:suppressLineNumbers w:val="0"/>
              <w:spacing w:before="0" w:beforeAutospacing="0" w:after="0" w:afterAutospacing="0" w:line="24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18F71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Align w:val="center"/>
          </w:tcPr>
          <w:p w14:paraId="27758D3F">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818" w:type="dxa"/>
            <w:vAlign w:val="center"/>
          </w:tcPr>
          <w:p w14:paraId="588D5EE9">
            <w:pPr>
              <w:spacing w:line="240" w:lineRule="auto"/>
              <w:jc w:val="left"/>
              <w:rPr>
                <w:rFonts w:hint="eastAsia" w:ascii="宋体" w:hAnsi="宋体" w:eastAsia="宋体" w:cs="宋体"/>
                <w:color w:val="auto"/>
                <w:sz w:val="24"/>
                <w:szCs w:val="24"/>
                <w:highlight w:val="none"/>
                <w:lang w:val="zh-CN"/>
              </w:rPr>
            </w:pPr>
            <w:r>
              <w:rPr>
                <w:rFonts w:hint="eastAsia"/>
                <w:b w:val="0"/>
                <w:color w:val="auto"/>
                <w:kern w:val="2"/>
                <w:sz w:val="24"/>
                <w:szCs w:val="24"/>
                <w:highlight w:val="none"/>
              </w:rPr>
              <w:t>提供合格有效的法人或者其他组织的营业执照等证明文件，自然人的身份证明；</w:t>
            </w:r>
          </w:p>
        </w:tc>
        <w:tc>
          <w:tcPr>
            <w:tcW w:w="1560" w:type="dxa"/>
            <w:vAlign w:val="center"/>
          </w:tcPr>
          <w:p w14:paraId="46530E48">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合法有效</w:t>
            </w:r>
          </w:p>
        </w:tc>
        <w:tc>
          <w:tcPr>
            <w:tcW w:w="1696" w:type="dxa"/>
            <w:vAlign w:val="center"/>
          </w:tcPr>
          <w:p w14:paraId="00E7E0FB">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加盖单位</w:t>
            </w:r>
            <w:r>
              <w:rPr>
                <w:rFonts w:hint="eastAsia" w:hAnsi="宋体" w:cs="宋体"/>
                <w:color w:val="auto"/>
                <w:sz w:val="24"/>
                <w:szCs w:val="24"/>
                <w:highlight w:val="none"/>
                <w:lang w:val="en-US" w:eastAsia="zh-CN"/>
              </w:rPr>
              <w:t>鲜章</w:t>
            </w:r>
            <w:r>
              <w:rPr>
                <w:rFonts w:hint="eastAsia" w:ascii="宋体" w:hAnsi="宋体" w:eastAsia="宋体" w:cs="宋体"/>
                <w:color w:val="auto"/>
                <w:sz w:val="24"/>
                <w:szCs w:val="24"/>
                <w:highlight w:val="none"/>
              </w:rPr>
              <w:t>的复印件</w:t>
            </w:r>
          </w:p>
        </w:tc>
      </w:tr>
      <w:tr w14:paraId="7C8EF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88" w:type="dxa"/>
            <w:vAlign w:val="center"/>
          </w:tcPr>
          <w:p w14:paraId="6D83AF93">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818" w:type="dxa"/>
            <w:vAlign w:val="center"/>
          </w:tcPr>
          <w:p w14:paraId="17A59A03">
            <w:pPr>
              <w:spacing w:line="240" w:lineRule="auto"/>
              <w:jc w:val="left"/>
              <w:rPr>
                <w:rFonts w:hint="eastAsia" w:ascii="宋体" w:hAnsi="宋体" w:eastAsia="宋体" w:cs="宋体"/>
                <w:color w:val="auto"/>
                <w:sz w:val="24"/>
                <w:szCs w:val="24"/>
                <w:highlight w:val="none"/>
                <w:lang w:val="zh-CN"/>
              </w:rPr>
            </w:pPr>
            <w:r>
              <w:rPr>
                <w:rFonts w:hint="eastAsia" w:ascii="宋体" w:hAnsi="宋体" w:eastAsia="宋体" w:cs="Times New Roman"/>
                <w:b w:val="0"/>
                <w:color w:val="auto"/>
                <w:kern w:val="2"/>
                <w:sz w:val="24"/>
                <w:szCs w:val="24"/>
                <w:highlight w:val="none"/>
                <w:lang w:val="en-US" w:eastAsia="zh-CN"/>
              </w:rPr>
              <w:t>提供法定代表人授权书（附法定代表人、被授权人身份证复印件）及被授权人身份证原件（法定代表人直接参加投标，须提供法定代表人身份证明及身份证原件）</w:t>
            </w:r>
          </w:p>
        </w:tc>
        <w:tc>
          <w:tcPr>
            <w:tcW w:w="1560" w:type="dxa"/>
            <w:vAlign w:val="center"/>
          </w:tcPr>
          <w:p w14:paraId="1531BD68">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合法有效，按磋商文件格式提供</w:t>
            </w:r>
          </w:p>
        </w:tc>
        <w:tc>
          <w:tcPr>
            <w:tcW w:w="1696" w:type="dxa"/>
            <w:vAlign w:val="center"/>
          </w:tcPr>
          <w:p w14:paraId="192DC12A">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加盖单位</w:t>
            </w:r>
            <w:r>
              <w:rPr>
                <w:rFonts w:hint="eastAsia" w:hAnsi="宋体" w:cs="宋体"/>
                <w:color w:val="auto"/>
                <w:sz w:val="24"/>
                <w:szCs w:val="24"/>
                <w:highlight w:val="none"/>
                <w:lang w:val="en-US" w:eastAsia="zh-CN"/>
              </w:rPr>
              <w:t>鲜章</w:t>
            </w:r>
            <w:r>
              <w:rPr>
                <w:rFonts w:hint="eastAsia" w:ascii="宋体" w:hAnsi="宋体" w:eastAsia="宋体" w:cs="宋体"/>
                <w:color w:val="auto"/>
                <w:sz w:val="24"/>
                <w:szCs w:val="24"/>
                <w:highlight w:val="none"/>
              </w:rPr>
              <w:t>的复印件</w:t>
            </w:r>
          </w:p>
        </w:tc>
      </w:tr>
      <w:tr w14:paraId="3DC65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Align w:val="center"/>
          </w:tcPr>
          <w:p w14:paraId="40C9EFF0">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818" w:type="dxa"/>
            <w:vAlign w:val="center"/>
          </w:tcPr>
          <w:p w14:paraId="7A014918">
            <w:pPr>
              <w:pStyle w:val="17"/>
              <w:spacing w:before="0" w:beforeAutospacing="0" w:after="0" w:afterAutospacing="0" w:line="240" w:lineRule="auto"/>
              <w:rPr>
                <w:rFonts w:hint="eastAsia" w:ascii="宋体" w:hAnsi="宋体" w:eastAsia="宋体" w:cs="宋体"/>
                <w:color w:val="auto"/>
                <w:sz w:val="24"/>
                <w:szCs w:val="24"/>
                <w:highlight w:val="none"/>
              </w:rPr>
            </w:pPr>
            <w:r>
              <w:rPr>
                <w:rFonts w:hint="eastAsia"/>
                <w:b w:val="0"/>
                <w:color w:val="auto"/>
                <w:kern w:val="2"/>
                <w:sz w:val="24"/>
                <w:szCs w:val="24"/>
                <w:highlight w:val="none"/>
              </w:rPr>
              <w:t>提供202</w:t>
            </w:r>
            <w:r>
              <w:rPr>
                <w:rFonts w:hint="eastAsia"/>
                <w:b w:val="0"/>
                <w:color w:val="auto"/>
                <w:kern w:val="2"/>
                <w:sz w:val="24"/>
                <w:szCs w:val="24"/>
                <w:highlight w:val="none"/>
                <w:lang w:val="en-US" w:eastAsia="zh-CN"/>
              </w:rPr>
              <w:t>4</w:t>
            </w:r>
            <w:r>
              <w:rPr>
                <w:rFonts w:hint="eastAsia"/>
                <w:b w:val="0"/>
                <w:color w:val="auto"/>
                <w:kern w:val="2"/>
                <w:sz w:val="24"/>
                <w:szCs w:val="24"/>
                <w:highlight w:val="none"/>
              </w:rPr>
              <w:t>年度经审计的财务审计报告（成立时间至提交磋商响应文件截止时间不足一年的可提供成立后任意时段的资产负债表）或开标时间前六个月内银行出具的资信证明；</w:t>
            </w:r>
          </w:p>
        </w:tc>
        <w:tc>
          <w:tcPr>
            <w:tcW w:w="1560" w:type="dxa"/>
            <w:vAlign w:val="center"/>
          </w:tcPr>
          <w:p w14:paraId="64079D43">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合法有效</w:t>
            </w:r>
          </w:p>
        </w:tc>
        <w:tc>
          <w:tcPr>
            <w:tcW w:w="1696" w:type="dxa"/>
            <w:vAlign w:val="center"/>
          </w:tcPr>
          <w:p w14:paraId="278C9F5E">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加盖单位</w:t>
            </w:r>
            <w:r>
              <w:rPr>
                <w:rFonts w:hint="eastAsia" w:hAnsi="宋体" w:cs="宋体"/>
                <w:color w:val="auto"/>
                <w:sz w:val="24"/>
                <w:szCs w:val="24"/>
                <w:highlight w:val="none"/>
                <w:lang w:val="en-US" w:eastAsia="zh-CN"/>
              </w:rPr>
              <w:t>鲜章</w:t>
            </w:r>
            <w:r>
              <w:rPr>
                <w:rFonts w:hint="eastAsia" w:ascii="宋体" w:hAnsi="宋体" w:eastAsia="宋体" w:cs="宋体"/>
                <w:color w:val="auto"/>
                <w:sz w:val="24"/>
                <w:szCs w:val="24"/>
                <w:highlight w:val="none"/>
              </w:rPr>
              <w:t>的复印件</w:t>
            </w:r>
          </w:p>
        </w:tc>
      </w:tr>
      <w:tr w14:paraId="040C2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88" w:type="dxa"/>
            <w:vAlign w:val="center"/>
          </w:tcPr>
          <w:p w14:paraId="03243A81">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818" w:type="dxa"/>
            <w:vAlign w:val="center"/>
          </w:tcPr>
          <w:p w14:paraId="61CDD313">
            <w:pPr>
              <w:spacing w:line="240" w:lineRule="auto"/>
              <w:jc w:val="left"/>
              <w:rPr>
                <w:rFonts w:hint="eastAsia" w:ascii="宋体" w:hAnsi="宋体" w:eastAsia="宋体" w:cs="宋体"/>
                <w:color w:val="auto"/>
                <w:sz w:val="24"/>
                <w:szCs w:val="24"/>
                <w:highlight w:val="none"/>
                <w:lang w:val="zh-CN"/>
              </w:rPr>
            </w:pPr>
            <w:r>
              <w:rPr>
                <w:rFonts w:hint="eastAsia"/>
                <w:b w:val="0"/>
                <w:color w:val="auto"/>
                <w:kern w:val="2"/>
                <w:sz w:val="24"/>
                <w:szCs w:val="24"/>
                <w:highlight w:val="none"/>
                <w:lang w:eastAsia="zh-CN"/>
              </w:rPr>
              <w:t>提</w:t>
            </w:r>
            <w:r>
              <w:rPr>
                <w:rFonts w:hint="eastAsia"/>
                <w:b w:val="0"/>
                <w:color w:val="auto"/>
                <w:kern w:val="2"/>
                <w:sz w:val="24"/>
                <w:szCs w:val="24"/>
                <w:highlight w:val="none"/>
              </w:rPr>
              <w:t>供磋商</w:t>
            </w:r>
            <w:r>
              <w:rPr>
                <w:rFonts w:hint="eastAsia"/>
                <w:b w:val="0"/>
                <w:color w:val="auto"/>
                <w:kern w:val="2"/>
                <w:sz w:val="24"/>
                <w:szCs w:val="24"/>
                <w:highlight w:val="none"/>
                <w:lang w:eastAsia="zh-CN"/>
              </w:rPr>
              <w:t>截止日前</w:t>
            </w:r>
            <w:r>
              <w:rPr>
                <w:rFonts w:hint="eastAsia"/>
                <w:b w:val="0"/>
                <w:color w:val="auto"/>
                <w:kern w:val="2"/>
                <w:sz w:val="24"/>
                <w:szCs w:val="24"/>
                <w:highlight w:val="none"/>
              </w:rPr>
              <w:t>近一年内任意一个月的纳税证明或完税证明（任意税种），依法免税的单位应提供相关证明材料；</w:t>
            </w:r>
          </w:p>
        </w:tc>
        <w:tc>
          <w:tcPr>
            <w:tcW w:w="1560" w:type="dxa"/>
            <w:vAlign w:val="center"/>
          </w:tcPr>
          <w:p w14:paraId="63F3B959">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合法有效</w:t>
            </w:r>
          </w:p>
        </w:tc>
        <w:tc>
          <w:tcPr>
            <w:tcW w:w="1696" w:type="dxa"/>
            <w:vAlign w:val="center"/>
          </w:tcPr>
          <w:p w14:paraId="58D4CE5A">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加盖单位</w:t>
            </w:r>
            <w:r>
              <w:rPr>
                <w:rFonts w:hint="eastAsia" w:hAnsi="宋体" w:cs="宋体"/>
                <w:color w:val="auto"/>
                <w:sz w:val="24"/>
                <w:szCs w:val="24"/>
                <w:highlight w:val="none"/>
                <w:lang w:val="en-US" w:eastAsia="zh-CN"/>
              </w:rPr>
              <w:t>鲜章</w:t>
            </w:r>
            <w:r>
              <w:rPr>
                <w:rFonts w:hint="eastAsia" w:ascii="宋体" w:hAnsi="宋体" w:eastAsia="宋体" w:cs="宋体"/>
                <w:color w:val="auto"/>
                <w:sz w:val="24"/>
                <w:szCs w:val="24"/>
                <w:highlight w:val="none"/>
              </w:rPr>
              <w:t>的复印件</w:t>
            </w:r>
          </w:p>
        </w:tc>
      </w:tr>
      <w:tr w14:paraId="7FE0B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88" w:type="dxa"/>
            <w:vAlign w:val="center"/>
          </w:tcPr>
          <w:p w14:paraId="647A3BED">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818" w:type="dxa"/>
            <w:vAlign w:val="center"/>
          </w:tcPr>
          <w:p w14:paraId="72C81B8E">
            <w:pPr>
              <w:spacing w:line="24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提供磋商截止日前一年内已缴存的至少一个月的社会保障资金缴存单据或社保机构开具的社会保险参保缴费情况证明，依法不需要缴纳社会保障资金的单位应提供相关证明材料；</w:t>
            </w:r>
          </w:p>
        </w:tc>
        <w:tc>
          <w:tcPr>
            <w:tcW w:w="1560" w:type="dxa"/>
            <w:vAlign w:val="center"/>
          </w:tcPr>
          <w:p w14:paraId="3A8130B3">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合法有效</w:t>
            </w:r>
          </w:p>
        </w:tc>
        <w:tc>
          <w:tcPr>
            <w:tcW w:w="1696" w:type="dxa"/>
            <w:vAlign w:val="center"/>
          </w:tcPr>
          <w:p w14:paraId="21D6DF68">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加盖单位</w:t>
            </w:r>
            <w:r>
              <w:rPr>
                <w:rFonts w:hint="eastAsia" w:hAnsi="宋体" w:cs="宋体"/>
                <w:color w:val="auto"/>
                <w:sz w:val="24"/>
                <w:szCs w:val="24"/>
                <w:highlight w:val="none"/>
                <w:lang w:val="en-US" w:eastAsia="zh-CN"/>
              </w:rPr>
              <w:t>鲜章</w:t>
            </w:r>
            <w:r>
              <w:rPr>
                <w:rFonts w:hint="eastAsia" w:ascii="宋体" w:hAnsi="宋体" w:eastAsia="宋体" w:cs="宋体"/>
                <w:color w:val="auto"/>
                <w:sz w:val="24"/>
                <w:szCs w:val="24"/>
                <w:highlight w:val="none"/>
              </w:rPr>
              <w:t>的复印件</w:t>
            </w:r>
          </w:p>
        </w:tc>
      </w:tr>
      <w:tr w14:paraId="26818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88" w:type="dxa"/>
            <w:vAlign w:val="center"/>
          </w:tcPr>
          <w:p w14:paraId="6B1443C2">
            <w:pPr>
              <w:spacing w:line="24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p>
        </w:tc>
        <w:tc>
          <w:tcPr>
            <w:tcW w:w="4818" w:type="dxa"/>
            <w:vAlign w:val="center"/>
          </w:tcPr>
          <w:p w14:paraId="3858C5F6">
            <w:pPr>
              <w:spacing w:line="240" w:lineRule="auto"/>
              <w:jc w:val="left"/>
              <w:rPr>
                <w:rFonts w:hint="eastAsia"/>
                <w:color w:val="auto"/>
                <w:highlight w:val="none"/>
              </w:rPr>
            </w:pPr>
            <w:r>
              <w:rPr>
                <w:rFonts w:hint="eastAsia"/>
                <w:color w:val="auto"/>
                <w:highlight w:val="none"/>
              </w:rPr>
              <w:t>供应商通过“信用中国”网站</w:t>
            </w:r>
            <w:r>
              <w:rPr>
                <w:rFonts w:hint="eastAsia"/>
                <w:color w:val="auto"/>
                <w:highlight w:val="none"/>
                <w:lang w:eastAsia="zh-CN"/>
              </w:rPr>
              <w:t>（</w:t>
            </w:r>
            <w:r>
              <w:rPr>
                <w:rFonts w:hint="eastAsia"/>
                <w:color w:val="auto"/>
                <w:highlight w:val="none"/>
              </w:rPr>
              <w:t>www.credit</w:t>
            </w:r>
            <w:r>
              <w:rPr>
                <w:rFonts w:hint="eastAsia"/>
                <w:color w:val="auto"/>
                <w:highlight w:val="none"/>
                <w:lang w:val="en-US" w:eastAsia="zh-CN"/>
              </w:rPr>
              <w:t xml:space="preserve"> </w:t>
            </w:r>
            <w:r>
              <w:rPr>
                <w:rFonts w:hint="eastAsia"/>
                <w:color w:val="auto"/>
                <w:highlight w:val="none"/>
              </w:rPr>
              <w:t>china.gov.cn</w:t>
            </w:r>
            <w:r>
              <w:rPr>
                <w:rFonts w:hint="eastAsia"/>
                <w:color w:val="auto"/>
                <w:highlight w:val="none"/>
                <w:lang w:eastAsia="zh-CN"/>
              </w:rPr>
              <w:t>）</w:t>
            </w:r>
            <w:r>
              <w:rPr>
                <w:rFonts w:hint="eastAsia"/>
                <w:color w:val="auto"/>
                <w:highlight w:val="none"/>
              </w:rPr>
              <w:t>、中国政府采购网</w:t>
            </w:r>
            <w:r>
              <w:rPr>
                <w:rFonts w:hint="eastAsia"/>
                <w:color w:val="auto"/>
                <w:highlight w:val="none"/>
                <w:lang w:eastAsia="zh-CN"/>
              </w:rPr>
              <w:t>（</w:t>
            </w:r>
            <w:r>
              <w:rPr>
                <w:rFonts w:hint="eastAsia"/>
                <w:color w:val="auto"/>
                <w:highlight w:val="none"/>
              </w:rPr>
              <w:t>www.ccgp.</w:t>
            </w:r>
            <w:r>
              <w:rPr>
                <w:rFonts w:hint="eastAsia"/>
                <w:color w:val="auto"/>
                <w:highlight w:val="none"/>
                <w:lang w:val="en-US" w:eastAsia="zh-CN"/>
              </w:rPr>
              <w:t xml:space="preserve"> </w:t>
            </w:r>
            <w:r>
              <w:rPr>
                <w:rFonts w:hint="eastAsia"/>
                <w:color w:val="auto"/>
                <w:highlight w:val="none"/>
              </w:rPr>
              <w:t>gov.cn</w:t>
            </w:r>
            <w:r>
              <w:rPr>
                <w:rFonts w:hint="eastAsia"/>
                <w:color w:val="auto"/>
                <w:highlight w:val="none"/>
                <w:lang w:eastAsia="zh-CN"/>
              </w:rPr>
              <w:t>）</w:t>
            </w:r>
            <w:r>
              <w:rPr>
                <w:rFonts w:hint="eastAsia"/>
                <w:color w:val="auto"/>
                <w:highlight w:val="none"/>
              </w:rPr>
              <w:t>等查询相关主体信用记录；</w:t>
            </w:r>
          </w:p>
          <w:p w14:paraId="4D0B3E48">
            <w:pPr>
              <w:pStyle w:val="7"/>
              <w:rPr>
                <w:rFonts w:hint="eastAsia"/>
                <w:color w:val="auto"/>
                <w:highlight w:val="none"/>
              </w:rPr>
            </w:pPr>
            <w:r>
              <w:rPr>
                <w:rFonts w:hint="eastAsia" w:ascii="宋体" w:hAnsi="宋体" w:eastAsia="宋体" w:cs="宋体"/>
                <w:color w:val="auto"/>
                <w:sz w:val="24"/>
                <w:szCs w:val="24"/>
                <w:highlight w:val="none"/>
              </w:rPr>
              <w:t>查询截止时间：</w:t>
            </w:r>
            <w:r>
              <w:rPr>
                <w:rFonts w:hint="eastAsia" w:ascii="宋体" w:hAnsi="宋体" w:cs="宋体"/>
                <w:b/>
                <w:bCs/>
                <w:color w:val="auto"/>
                <w:sz w:val="24"/>
                <w:szCs w:val="24"/>
                <w:highlight w:val="none"/>
                <w:lang w:eastAsia="zh-CN"/>
              </w:rPr>
              <w:t>文件发售至</w:t>
            </w:r>
            <w:r>
              <w:rPr>
                <w:rFonts w:hint="eastAsia" w:ascii="宋体" w:hAnsi="宋体" w:eastAsia="宋体" w:cs="宋体"/>
                <w:b/>
                <w:bCs/>
                <w:color w:val="auto"/>
                <w:sz w:val="24"/>
                <w:szCs w:val="24"/>
                <w:highlight w:val="none"/>
              </w:rPr>
              <w:t>投标截止时间</w:t>
            </w:r>
            <w:r>
              <w:rPr>
                <w:rFonts w:hint="eastAsia" w:ascii="宋体" w:hAnsi="宋体" w:cs="宋体"/>
                <w:b/>
                <w:bCs/>
                <w:color w:val="auto"/>
                <w:sz w:val="24"/>
                <w:szCs w:val="24"/>
                <w:highlight w:val="none"/>
                <w:lang w:eastAsia="zh-CN"/>
              </w:rPr>
              <w:t>前</w:t>
            </w:r>
          </w:p>
        </w:tc>
        <w:tc>
          <w:tcPr>
            <w:tcW w:w="1560" w:type="dxa"/>
            <w:vAlign w:val="center"/>
          </w:tcPr>
          <w:p w14:paraId="0B0DA62C">
            <w:pPr>
              <w:spacing w:line="276" w:lineRule="auto"/>
              <w:jc w:val="center"/>
              <w:rPr>
                <w:rFonts w:hint="eastAsia" w:ascii="宋体" w:hAnsi="宋体" w:eastAsia="宋体" w:cs="宋体"/>
                <w:color w:val="auto"/>
                <w:sz w:val="24"/>
                <w:szCs w:val="24"/>
                <w:highlight w:val="none"/>
              </w:rPr>
            </w:pPr>
            <w:r>
              <w:rPr>
                <w:rFonts w:hint="eastAsia" w:cs="宋体" w:asciiTheme="minorEastAsia" w:hAnsiTheme="minorEastAsia" w:eastAsiaTheme="minorEastAsia"/>
                <w:color w:val="auto"/>
                <w:szCs w:val="21"/>
                <w:highlight w:val="none"/>
              </w:rPr>
              <w:t>合法有效</w:t>
            </w:r>
          </w:p>
        </w:tc>
        <w:tc>
          <w:tcPr>
            <w:tcW w:w="1696" w:type="dxa"/>
            <w:vAlign w:val="center"/>
          </w:tcPr>
          <w:p w14:paraId="7E0C0508">
            <w:pPr>
              <w:spacing w:line="276" w:lineRule="auto"/>
              <w:jc w:val="center"/>
              <w:rPr>
                <w:rFonts w:hint="eastAsia" w:ascii="宋体" w:hAnsi="宋体" w:eastAsia="宋体" w:cs="宋体"/>
                <w:color w:val="auto"/>
                <w:sz w:val="24"/>
                <w:szCs w:val="24"/>
                <w:highlight w:val="none"/>
              </w:rPr>
            </w:pPr>
            <w:r>
              <w:rPr>
                <w:rFonts w:hint="eastAsia" w:cs="宋体" w:asciiTheme="minorEastAsia" w:hAnsiTheme="minorEastAsia" w:eastAsiaTheme="minorEastAsia"/>
                <w:color w:val="auto"/>
                <w:szCs w:val="21"/>
                <w:highlight w:val="none"/>
              </w:rPr>
              <w:t>加盖单位</w:t>
            </w:r>
            <w:r>
              <w:rPr>
                <w:rFonts w:hint="eastAsia" w:hAnsi="宋体" w:cs="宋体"/>
                <w:color w:val="auto"/>
                <w:sz w:val="24"/>
                <w:szCs w:val="24"/>
                <w:highlight w:val="none"/>
                <w:lang w:val="en-US" w:eastAsia="zh-CN"/>
              </w:rPr>
              <w:t>鲜章</w:t>
            </w:r>
          </w:p>
        </w:tc>
      </w:tr>
      <w:tr w14:paraId="33842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88" w:type="dxa"/>
            <w:vAlign w:val="center"/>
          </w:tcPr>
          <w:p w14:paraId="735EB075">
            <w:pPr>
              <w:spacing w:line="24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4818" w:type="dxa"/>
            <w:vAlign w:val="center"/>
          </w:tcPr>
          <w:p w14:paraId="2B1A9644">
            <w:pPr>
              <w:pStyle w:val="7"/>
              <w:rPr>
                <w:rFonts w:hint="eastAsia" w:ascii="宋体" w:hAnsi="宋体" w:eastAsia="宋体" w:cs="宋体"/>
                <w:color w:val="auto"/>
                <w:sz w:val="24"/>
                <w:szCs w:val="24"/>
                <w:highlight w:val="none"/>
              </w:rPr>
            </w:pPr>
            <w:r>
              <w:rPr>
                <w:rFonts w:hint="eastAsia"/>
                <w:b w:val="0"/>
                <w:color w:val="auto"/>
                <w:kern w:val="2"/>
                <w:sz w:val="24"/>
                <w:szCs w:val="24"/>
                <w:highlight w:val="none"/>
              </w:rPr>
              <w:t>参加政府采购活动前3年内，在经营活动中没有重大违法记录的书面声明</w:t>
            </w:r>
            <w:r>
              <w:rPr>
                <w:rFonts w:hint="eastAsia"/>
                <w:b w:val="0"/>
                <w:color w:val="auto"/>
                <w:kern w:val="2"/>
                <w:sz w:val="24"/>
                <w:szCs w:val="24"/>
                <w:highlight w:val="none"/>
                <w:lang w:eastAsia="zh-CN"/>
              </w:rPr>
              <w:t>；</w:t>
            </w:r>
          </w:p>
        </w:tc>
        <w:tc>
          <w:tcPr>
            <w:tcW w:w="1560" w:type="dxa"/>
            <w:vAlign w:val="center"/>
          </w:tcPr>
          <w:p w14:paraId="1A405ADD">
            <w:pPr>
              <w:spacing w:line="240" w:lineRule="auto"/>
              <w:jc w:val="center"/>
              <w:rPr>
                <w:rFonts w:hint="eastAsia" w:cs="宋体" w:asciiTheme="minorEastAsia" w:hAnsiTheme="minorEastAsia" w:eastAsiaTheme="minorEastAsia"/>
                <w:color w:val="auto"/>
                <w:szCs w:val="21"/>
                <w:highlight w:val="none"/>
              </w:rPr>
            </w:pPr>
            <w:r>
              <w:rPr>
                <w:rFonts w:hint="eastAsia" w:ascii="宋体" w:hAnsi="宋体" w:eastAsia="宋体" w:cs="宋体"/>
                <w:color w:val="auto"/>
                <w:sz w:val="24"/>
                <w:szCs w:val="24"/>
                <w:highlight w:val="none"/>
              </w:rPr>
              <w:t>合法有效，按磋商文件格式提供</w:t>
            </w:r>
          </w:p>
        </w:tc>
        <w:tc>
          <w:tcPr>
            <w:tcW w:w="1696" w:type="dxa"/>
            <w:vAlign w:val="center"/>
          </w:tcPr>
          <w:p w14:paraId="4B92D18F">
            <w:pPr>
              <w:spacing w:line="240" w:lineRule="auto"/>
              <w:jc w:val="center"/>
              <w:rPr>
                <w:rFonts w:hint="eastAsia" w:cs="宋体" w:asciiTheme="minorEastAsia" w:hAnsiTheme="minorEastAsia" w:eastAsiaTheme="minorEastAsia"/>
                <w:color w:val="auto"/>
                <w:szCs w:val="21"/>
                <w:highlight w:val="none"/>
              </w:rPr>
            </w:pPr>
            <w:r>
              <w:rPr>
                <w:rFonts w:hint="eastAsia" w:ascii="宋体" w:hAnsi="宋体" w:eastAsia="宋体" w:cs="宋体"/>
                <w:color w:val="auto"/>
                <w:sz w:val="24"/>
                <w:szCs w:val="24"/>
                <w:highlight w:val="none"/>
              </w:rPr>
              <w:t>加盖单位</w:t>
            </w:r>
            <w:r>
              <w:rPr>
                <w:rFonts w:hint="eastAsia" w:hAnsi="宋体" w:cs="宋体"/>
                <w:color w:val="auto"/>
                <w:sz w:val="24"/>
                <w:szCs w:val="24"/>
                <w:highlight w:val="none"/>
                <w:lang w:val="en-US" w:eastAsia="zh-CN"/>
              </w:rPr>
              <w:t>鲜章</w:t>
            </w:r>
            <w:r>
              <w:rPr>
                <w:rFonts w:hint="eastAsia" w:ascii="宋体" w:hAnsi="宋体" w:eastAsia="宋体" w:cs="宋体"/>
                <w:color w:val="auto"/>
                <w:sz w:val="24"/>
                <w:szCs w:val="24"/>
                <w:highlight w:val="none"/>
              </w:rPr>
              <w:t>的复印件</w:t>
            </w:r>
          </w:p>
        </w:tc>
      </w:tr>
      <w:tr w14:paraId="5481B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88" w:type="dxa"/>
            <w:vAlign w:val="center"/>
          </w:tcPr>
          <w:p w14:paraId="30862136">
            <w:pPr>
              <w:spacing w:line="24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8</w:t>
            </w:r>
          </w:p>
        </w:tc>
        <w:tc>
          <w:tcPr>
            <w:tcW w:w="4818" w:type="dxa"/>
            <w:vAlign w:val="center"/>
          </w:tcPr>
          <w:p w14:paraId="37001C78">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具备履行合同所必需的设备和专业技术能力的证明材料</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由供应商根据项目需求提供说明材料或者承诺</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w:t>
            </w:r>
          </w:p>
        </w:tc>
        <w:tc>
          <w:tcPr>
            <w:tcW w:w="1560" w:type="dxa"/>
            <w:vAlign w:val="center"/>
          </w:tcPr>
          <w:p w14:paraId="4C966654">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合法有效，按磋商文件格式提供</w:t>
            </w:r>
          </w:p>
        </w:tc>
        <w:tc>
          <w:tcPr>
            <w:tcW w:w="1696" w:type="dxa"/>
            <w:vAlign w:val="center"/>
          </w:tcPr>
          <w:p w14:paraId="71B98360">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加盖单位</w:t>
            </w:r>
            <w:r>
              <w:rPr>
                <w:rFonts w:hint="eastAsia" w:hAnsi="宋体" w:cs="宋体"/>
                <w:color w:val="auto"/>
                <w:sz w:val="24"/>
                <w:szCs w:val="24"/>
                <w:highlight w:val="none"/>
                <w:lang w:val="en-US" w:eastAsia="zh-CN"/>
              </w:rPr>
              <w:t>鲜章</w:t>
            </w:r>
            <w:r>
              <w:rPr>
                <w:rFonts w:hint="eastAsia" w:ascii="宋体" w:hAnsi="宋体" w:eastAsia="宋体" w:cs="宋体"/>
                <w:color w:val="auto"/>
                <w:sz w:val="24"/>
                <w:szCs w:val="24"/>
                <w:highlight w:val="none"/>
              </w:rPr>
              <w:t>的复印件</w:t>
            </w:r>
          </w:p>
        </w:tc>
      </w:tr>
      <w:tr w14:paraId="71A29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788" w:type="dxa"/>
            <w:vAlign w:val="center"/>
          </w:tcPr>
          <w:p w14:paraId="335FD0E6">
            <w:pPr>
              <w:spacing w:line="24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9</w:t>
            </w:r>
          </w:p>
        </w:tc>
        <w:tc>
          <w:tcPr>
            <w:tcW w:w="4818" w:type="dxa"/>
            <w:vAlign w:val="center"/>
          </w:tcPr>
          <w:p w14:paraId="5FF240BD">
            <w:pPr>
              <w:spacing w:line="240" w:lineRule="auto"/>
              <w:jc w:val="left"/>
              <w:rPr>
                <w:rFonts w:hint="eastAsia" w:ascii="宋体" w:hAnsi="宋体" w:eastAsia="宋体" w:cs="宋体"/>
                <w:color w:val="auto"/>
                <w:sz w:val="24"/>
                <w:szCs w:val="24"/>
                <w:highlight w:val="none"/>
              </w:rPr>
            </w:pPr>
            <w:r>
              <w:rPr>
                <w:rFonts w:hint="eastAsia"/>
                <w:b w:val="0"/>
                <w:color w:val="auto"/>
                <w:kern w:val="2"/>
                <w:sz w:val="24"/>
                <w:szCs w:val="24"/>
                <w:highlight w:val="none"/>
                <w:lang w:val="en-US" w:eastAsia="zh-CN"/>
              </w:rPr>
              <w:t>中小企业声明函</w:t>
            </w:r>
            <w:r>
              <w:rPr>
                <w:rFonts w:hint="eastAsia"/>
                <w:b w:val="0"/>
                <w:color w:val="auto"/>
                <w:kern w:val="2"/>
                <w:sz w:val="24"/>
                <w:szCs w:val="24"/>
                <w:highlight w:val="none"/>
              </w:rPr>
              <w:t>（提供承诺书）</w:t>
            </w:r>
          </w:p>
        </w:tc>
        <w:tc>
          <w:tcPr>
            <w:tcW w:w="1560" w:type="dxa"/>
            <w:vAlign w:val="center"/>
          </w:tcPr>
          <w:p w14:paraId="5CDD40BA">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合法有效，</w:t>
            </w:r>
            <w:r>
              <w:rPr>
                <w:rFonts w:hint="eastAsia" w:hAnsi="宋体" w:cs="宋体"/>
                <w:color w:val="auto"/>
                <w:sz w:val="24"/>
                <w:szCs w:val="24"/>
                <w:highlight w:val="none"/>
                <w:lang w:val="en-US" w:eastAsia="zh-CN"/>
              </w:rPr>
              <w:t>按磋商文件格式提供</w:t>
            </w:r>
          </w:p>
        </w:tc>
        <w:tc>
          <w:tcPr>
            <w:tcW w:w="1696" w:type="dxa"/>
            <w:vAlign w:val="center"/>
          </w:tcPr>
          <w:p w14:paraId="691BBDD9">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加盖单位</w:t>
            </w:r>
            <w:r>
              <w:rPr>
                <w:rFonts w:hint="eastAsia" w:hAnsi="宋体" w:cs="宋体"/>
                <w:color w:val="auto"/>
                <w:sz w:val="24"/>
                <w:szCs w:val="24"/>
                <w:highlight w:val="none"/>
                <w:lang w:val="en-US" w:eastAsia="zh-CN"/>
              </w:rPr>
              <w:t>鲜章</w:t>
            </w:r>
            <w:r>
              <w:rPr>
                <w:rFonts w:hint="eastAsia" w:ascii="宋体" w:hAnsi="宋体" w:eastAsia="宋体" w:cs="宋体"/>
                <w:color w:val="auto"/>
                <w:sz w:val="24"/>
                <w:szCs w:val="24"/>
                <w:highlight w:val="none"/>
              </w:rPr>
              <w:t>的复印件</w:t>
            </w:r>
          </w:p>
        </w:tc>
      </w:tr>
    </w:tbl>
    <w:p w14:paraId="68AC9907">
      <w:pPr>
        <w:tabs>
          <w:tab w:val="left" w:pos="0"/>
        </w:tabs>
        <w:adjustRightInd w:val="0"/>
        <w:snapToGrid w:val="0"/>
        <w:spacing w:line="500" w:lineRule="exact"/>
        <w:ind w:firstLine="470" w:firstLineChars="196"/>
        <w:rPr>
          <w:color w:val="auto"/>
          <w:highlight w:val="none"/>
        </w:rPr>
      </w:pPr>
    </w:p>
    <w:p w14:paraId="382CB95C">
      <w:pPr>
        <w:tabs>
          <w:tab w:val="left" w:pos="0"/>
        </w:tabs>
        <w:adjustRightInd w:val="0"/>
        <w:snapToGrid w:val="0"/>
        <w:spacing w:line="500" w:lineRule="exact"/>
        <w:ind w:firstLine="472" w:firstLineChars="196"/>
        <w:rPr>
          <w:color w:val="auto"/>
          <w:highlight w:val="none"/>
        </w:rPr>
      </w:pPr>
      <w:r>
        <w:rPr>
          <w:rFonts w:hint="eastAsia"/>
          <w:b/>
          <w:bCs/>
          <w:color w:val="auto"/>
          <w:highlight w:val="none"/>
        </w:rPr>
        <w:t>1</w:t>
      </w:r>
      <w:r>
        <w:rPr>
          <w:b/>
          <w:bCs/>
          <w:color w:val="auto"/>
          <w:highlight w:val="none"/>
        </w:rPr>
        <w:t>.2符合性审查。</w:t>
      </w:r>
      <w:r>
        <w:rPr>
          <w:rFonts w:hint="eastAsia"/>
          <w:color w:val="auto"/>
          <w:highlight w:val="none"/>
        </w:rPr>
        <w:t>磋商小组</w:t>
      </w:r>
      <w:r>
        <w:rPr>
          <w:color w:val="auto"/>
          <w:highlight w:val="none"/>
        </w:rPr>
        <w:t>从</w:t>
      </w:r>
      <w:r>
        <w:rPr>
          <w:rFonts w:hint="eastAsia"/>
          <w:color w:val="auto"/>
          <w:highlight w:val="none"/>
        </w:rPr>
        <w:t>磋商响应</w:t>
      </w:r>
      <w:r>
        <w:rPr>
          <w:color w:val="auto"/>
          <w:highlight w:val="none"/>
        </w:rPr>
        <w:t>文件的完整性、有效性和对</w:t>
      </w:r>
      <w:r>
        <w:rPr>
          <w:rFonts w:hint="eastAsia"/>
          <w:color w:val="auto"/>
          <w:highlight w:val="none"/>
        </w:rPr>
        <w:t>磋商</w:t>
      </w:r>
      <w:r>
        <w:rPr>
          <w:color w:val="auto"/>
          <w:highlight w:val="none"/>
        </w:rPr>
        <w:t>文件的响应程度进行审查，以确定其是否对</w:t>
      </w:r>
      <w:r>
        <w:rPr>
          <w:rFonts w:hint="eastAsia"/>
          <w:color w:val="auto"/>
          <w:highlight w:val="none"/>
        </w:rPr>
        <w:t>磋商</w:t>
      </w:r>
      <w:r>
        <w:rPr>
          <w:color w:val="auto"/>
          <w:highlight w:val="none"/>
        </w:rPr>
        <w:t>文件实质性内容作出响应。</w:t>
      </w:r>
    </w:p>
    <w:tbl>
      <w:tblPr>
        <w:tblStyle w:val="19"/>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112"/>
        <w:gridCol w:w="3192"/>
        <w:gridCol w:w="3783"/>
      </w:tblGrid>
      <w:tr w14:paraId="0AAEA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Align w:val="center"/>
          </w:tcPr>
          <w:p w14:paraId="07D7827F">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序号</w:t>
            </w:r>
          </w:p>
        </w:tc>
        <w:tc>
          <w:tcPr>
            <w:tcW w:w="2439" w:type="pct"/>
            <w:gridSpan w:val="2"/>
            <w:vAlign w:val="center"/>
          </w:tcPr>
          <w:p w14:paraId="3BFF7F44">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评审</w:t>
            </w:r>
            <w:r>
              <w:rPr>
                <w:rFonts w:hint="eastAsia" w:hAnsi="宋体" w:cs="宋体"/>
                <w:b/>
                <w:color w:val="auto"/>
                <w:sz w:val="24"/>
                <w:szCs w:val="24"/>
                <w:highlight w:val="none"/>
                <w:lang w:val="en-US" w:eastAsia="zh-CN"/>
              </w:rPr>
              <w:t>因素</w:t>
            </w:r>
          </w:p>
        </w:tc>
        <w:tc>
          <w:tcPr>
            <w:tcW w:w="2144" w:type="pct"/>
            <w:vAlign w:val="center"/>
          </w:tcPr>
          <w:p w14:paraId="0A1E3469">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评审标准</w:t>
            </w:r>
          </w:p>
        </w:tc>
      </w:tr>
      <w:tr w14:paraId="608F0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restart"/>
            <w:vAlign w:val="center"/>
          </w:tcPr>
          <w:p w14:paraId="6432B1CE">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1</w:t>
            </w:r>
          </w:p>
        </w:tc>
        <w:tc>
          <w:tcPr>
            <w:tcW w:w="630" w:type="pct"/>
            <w:vMerge w:val="restart"/>
            <w:vAlign w:val="center"/>
          </w:tcPr>
          <w:p w14:paraId="6E506D3C">
            <w:pPr>
              <w:spacing w:line="276"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有效</w:t>
            </w:r>
          </w:p>
          <w:p w14:paraId="25AFCCA0">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cs="宋体" w:asciiTheme="minorEastAsia" w:hAnsiTheme="minorEastAsia" w:eastAsiaTheme="minorEastAsia"/>
                <w:color w:val="auto"/>
                <w:sz w:val="24"/>
                <w:highlight w:val="none"/>
              </w:rPr>
              <w:t>性审查</w:t>
            </w:r>
          </w:p>
        </w:tc>
        <w:tc>
          <w:tcPr>
            <w:tcW w:w="1809" w:type="pct"/>
            <w:vAlign w:val="center"/>
          </w:tcPr>
          <w:p w14:paraId="446EEB1A">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（1）响应文件的式样和签署</w:t>
            </w:r>
          </w:p>
        </w:tc>
        <w:tc>
          <w:tcPr>
            <w:tcW w:w="2144" w:type="pct"/>
            <w:vAlign w:val="center"/>
          </w:tcPr>
          <w:p w14:paraId="3D43E0B0">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符合磋商</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要求</w:t>
            </w:r>
          </w:p>
        </w:tc>
      </w:tr>
      <w:tr w14:paraId="50C7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continue"/>
            <w:vAlign w:val="center"/>
          </w:tcPr>
          <w:p w14:paraId="15818529">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630" w:type="pct"/>
            <w:vMerge w:val="continue"/>
            <w:vAlign w:val="center"/>
          </w:tcPr>
          <w:p w14:paraId="438C7532">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809" w:type="pct"/>
            <w:vAlign w:val="center"/>
          </w:tcPr>
          <w:p w14:paraId="001F3E47">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（2）响应文件格式、语言、计量单位、报价货币</w:t>
            </w:r>
          </w:p>
        </w:tc>
        <w:tc>
          <w:tcPr>
            <w:tcW w:w="2144" w:type="pct"/>
            <w:vAlign w:val="center"/>
          </w:tcPr>
          <w:p w14:paraId="2130B5B8">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应符合“响应文件格式”和磋商文件要求</w:t>
            </w:r>
          </w:p>
        </w:tc>
      </w:tr>
      <w:tr w14:paraId="050C8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continue"/>
            <w:vAlign w:val="center"/>
          </w:tcPr>
          <w:p w14:paraId="086E92B4">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630" w:type="pct"/>
            <w:vMerge w:val="continue"/>
            <w:vAlign w:val="center"/>
          </w:tcPr>
          <w:p w14:paraId="1088158C">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809" w:type="pct"/>
            <w:vAlign w:val="center"/>
          </w:tcPr>
          <w:p w14:paraId="6B3D43EB">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报价</w:t>
            </w:r>
          </w:p>
        </w:tc>
        <w:tc>
          <w:tcPr>
            <w:tcW w:w="2144" w:type="pct"/>
            <w:vAlign w:val="center"/>
          </w:tcPr>
          <w:p w14:paraId="7450F8D6">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符合磋商</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要求</w:t>
            </w:r>
          </w:p>
        </w:tc>
      </w:tr>
      <w:tr w14:paraId="00D1D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continue"/>
            <w:vAlign w:val="center"/>
          </w:tcPr>
          <w:p w14:paraId="224A8CF7">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630" w:type="pct"/>
            <w:vMerge w:val="continue"/>
            <w:vAlign w:val="center"/>
          </w:tcPr>
          <w:p w14:paraId="1331EF28">
            <w:pPr>
              <w:keepNext w:val="0"/>
              <w:keepLines w:val="0"/>
              <w:suppressLineNumbers w:val="0"/>
              <w:tabs>
                <w:tab w:val="left" w:pos="0"/>
              </w:tabs>
              <w:adjustRightInd w:val="0"/>
              <w:snapToGrid w:val="0"/>
              <w:spacing w:before="0" w:beforeAutospacing="0" w:after="0" w:afterAutospacing="0" w:line="360" w:lineRule="auto"/>
              <w:ind w:left="0" w:right="0"/>
              <w:rPr>
                <w:rFonts w:hint="eastAsia" w:hAnsi="宋体" w:cs="宋体"/>
                <w:bCs/>
                <w:color w:val="auto"/>
                <w:spacing w:val="4"/>
                <w:szCs w:val="24"/>
                <w:highlight w:val="none"/>
              </w:rPr>
            </w:pPr>
          </w:p>
        </w:tc>
        <w:tc>
          <w:tcPr>
            <w:tcW w:w="1809" w:type="pct"/>
            <w:vAlign w:val="center"/>
          </w:tcPr>
          <w:p w14:paraId="60C152CB">
            <w:pPr>
              <w:keepNext w:val="0"/>
              <w:keepLines w:val="0"/>
              <w:suppressLineNumbers w:val="0"/>
              <w:tabs>
                <w:tab w:val="left" w:pos="0"/>
              </w:tabs>
              <w:adjustRightInd w:val="0"/>
              <w:snapToGrid w:val="0"/>
              <w:spacing w:before="0" w:beforeAutospacing="0" w:after="0" w:afterAutospacing="0" w:line="360" w:lineRule="auto"/>
              <w:ind w:left="0" w:leftChars="0" w:right="0"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服务期</w:t>
            </w:r>
          </w:p>
        </w:tc>
        <w:tc>
          <w:tcPr>
            <w:tcW w:w="2144" w:type="pct"/>
            <w:vAlign w:val="center"/>
          </w:tcPr>
          <w:p w14:paraId="52069611">
            <w:pPr>
              <w:keepNext w:val="0"/>
              <w:keepLines w:val="0"/>
              <w:suppressLineNumbers w:val="0"/>
              <w:tabs>
                <w:tab w:val="left" w:pos="0"/>
              </w:tabs>
              <w:adjustRightInd w:val="0"/>
              <w:snapToGrid w:val="0"/>
              <w:spacing w:before="0" w:beforeAutospacing="0" w:after="0" w:afterAutospacing="0" w:line="360" w:lineRule="auto"/>
              <w:ind w:left="0" w:leftChars="0" w:right="0"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应满足磋商文件中要求的</w:t>
            </w:r>
            <w:r>
              <w:rPr>
                <w:rFonts w:hint="eastAsia" w:hAnsi="宋体" w:cs="宋体"/>
                <w:color w:val="auto"/>
                <w:sz w:val="24"/>
                <w:szCs w:val="24"/>
                <w:highlight w:val="none"/>
                <w:lang w:val="en-US" w:eastAsia="zh-CN"/>
              </w:rPr>
              <w:t>服务</w:t>
            </w:r>
            <w:r>
              <w:rPr>
                <w:rFonts w:hint="eastAsia" w:ascii="宋体" w:hAnsi="宋体" w:eastAsia="宋体" w:cs="宋体"/>
                <w:color w:val="auto"/>
                <w:sz w:val="24"/>
                <w:szCs w:val="24"/>
                <w:highlight w:val="none"/>
                <w:lang w:val="en-US" w:eastAsia="zh-CN"/>
              </w:rPr>
              <w:t>期</w:t>
            </w:r>
          </w:p>
        </w:tc>
      </w:tr>
      <w:tr w14:paraId="1752A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restart"/>
            <w:vAlign w:val="center"/>
          </w:tcPr>
          <w:p w14:paraId="4B7B797C">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2</w:t>
            </w:r>
          </w:p>
        </w:tc>
        <w:tc>
          <w:tcPr>
            <w:tcW w:w="630" w:type="pct"/>
            <w:vMerge w:val="restart"/>
            <w:vAlign w:val="center"/>
          </w:tcPr>
          <w:p w14:paraId="7C10CCC3">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hAnsi="宋体" w:cs="宋体"/>
                <w:bCs/>
                <w:color w:val="auto"/>
                <w:spacing w:val="4"/>
                <w:szCs w:val="24"/>
                <w:highlight w:val="none"/>
              </w:rPr>
              <w:t>完整性</w:t>
            </w:r>
            <w:r>
              <w:rPr>
                <w:rFonts w:hint="eastAsia" w:hAnsi="宋体" w:cs="宋体"/>
                <w:bCs/>
                <w:color w:val="auto"/>
                <w:spacing w:val="4"/>
                <w:szCs w:val="24"/>
                <w:highlight w:val="none"/>
                <w:lang w:val="en-US" w:eastAsia="zh-CN"/>
              </w:rPr>
              <w:t>审查</w:t>
            </w:r>
          </w:p>
        </w:tc>
        <w:tc>
          <w:tcPr>
            <w:tcW w:w="1809" w:type="pct"/>
            <w:vAlign w:val="center"/>
          </w:tcPr>
          <w:p w14:paraId="13491833">
            <w:pPr>
              <w:spacing w:line="276" w:lineRule="auto"/>
              <w:rPr>
                <w:rFonts w:hint="eastAsia" w:ascii="宋体" w:hAnsi="宋体" w:eastAsia="宋体" w:cs="宋体"/>
                <w:color w:val="auto"/>
                <w:sz w:val="24"/>
                <w:szCs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响应</w:t>
            </w:r>
            <w:r>
              <w:rPr>
                <w:rFonts w:hint="eastAsia" w:cs="宋体" w:asciiTheme="minorEastAsia" w:hAnsiTheme="minorEastAsia" w:eastAsiaTheme="minorEastAsia"/>
                <w:color w:val="auto"/>
                <w:sz w:val="24"/>
                <w:highlight w:val="none"/>
              </w:rPr>
              <w:t>文件份数</w:t>
            </w:r>
          </w:p>
        </w:tc>
        <w:tc>
          <w:tcPr>
            <w:tcW w:w="2144" w:type="pct"/>
            <w:vAlign w:val="center"/>
          </w:tcPr>
          <w:p w14:paraId="27C28504">
            <w:pPr>
              <w:spacing w:line="276" w:lineRule="auto"/>
              <w:rPr>
                <w:rFonts w:hint="eastAsia" w:ascii="宋体" w:hAnsi="宋体" w:eastAsia="宋体" w:cs="宋体"/>
                <w:color w:val="auto"/>
                <w:sz w:val="24"/>
                <w:szCs w:val="24"/>
                <w:highlight w:val="none"/>
              </w:rPr>
            </w:pPr>
            <w:r>
              <w:rPr>
                <w:rFonts w:hint="eastAsia" w:cs="宋体" w:asciiTheme="minorEastAsia" w:hAnsiTheme="minorEastAsia" w:eastAsiaTheme="minorEastAsia"/>
                <w:color w:val="auto"/>
                <w:sz w:val="24"/>
                <w:highlight w:val="none"/>
              </w:rPr>
              <w:t>应符合“供应商须知前附表”规定的正本、副本、电子文件数量</w:t>
            </w:r>
          </w:p>
        </w:tc>
      </w:tr>
      <w:tr w14:paraId="6F174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416" w:type="pct"/>
            <w:vMerge w:val="continue"/>
            <w:vAlign w:val="center"/>
          </w:tcPr>
          <w:p w14:paraId="0E9B38F7">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630" w:type="pct"/>
            <w:vMerge w:val="continue"/>
            <w:vAlign w:val="center"/>
          </w:tcPr>
          <w:p w14:paraId="36CC181C">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809" w:type="pct"/>
            <w:vAlign w:val="center"/>
          </w:tcPr>
          <w:p w14:paraId="1DF5A31B">
            <w:pPr>
              <w:spacing w:line="276" w:lineRule="auto"/>
              <w:rPr>
                <w:rFonts w:hint="eastAsia" w:ascii="宋体" w:hAnsi="宋体" w:eastAsia="宋体" w:cs="宋体"/>
                <w:color w:val="auto"/>
                <w:sz w:val="24"/>
                <w:szCs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6</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响应</w:t>
            </w:r>
            <w:r>
              <w:rPr>
                <w:rFonts w:hint="eastAsia" w:cs="宋体" w:asciiTheme="minorEastAsia" w:hAnsiTheme="minorEastAsia" w:eastAsiaTheme="minorEastAsia"/>
                <w:color w:val="auto"/>
                <w:sz w:val="24"/>
                <w:highlight w:val="none"/>
              </w:rPr>
              <w:t>文件内容</w:t>
            </w:r>
          </w:p>
        </w:tc>
        <w:tc>
          <w:tcPr>
            <w:tcW w:w="2144" w:type="pct"/>
            <w:vAlign w:val="center"/>
          </w:tcPr>
          <w:p w14:paraId="12A731E6">
            <w:pPr>
              <w:spacing w:line="276" w:lineRule="auto"/>
              <w:rPr>
                <w:rFonts w:hint="eastAsia" w:ascii="宋体" w:hAnsi="宋体" w:eastAsia="宋体" w:cs="宋体"/>
                <w:color w:val="auto"/>
                <w:sz w:val="24"/>
                <w:szCs w:val="24"/>
                <w:highlight w:val="none"/>
              </w:rPr>
            </w:pPr>
            <w:r>
              <w:rPr>
                <w:rFonts w:hint="eastAsia" w:cs="宋体" w:asciiTheme="minorEastAsia" w:hAnsiTheme="minorEastAsia" w:eastAsiaTheme="minorEastAsia"/>
                <w:color w:val="auto"/>
                <w:sz w:val="24"/>
                <w:highlight w:val="none"/>
                <w:lang w:val="en-US" w:eastAsia="zh-CN"/>
              </w:rPr>
              <w:t>响应</w:t>
            </w:r>
            <w:r>
              <w:rPr>
                <w:rFonts w:hint="eastAsia" w:cs="宋体" w:asciiTheme="minorEastAsia" w:hAnsiTheme="minorEastAsia" w:eastAsiaTheme="minorEastAsia"/>
                <w:color w:val="auto"/>
                <w:sz w:val="24"/>
                <w:highlight w:val="none"/>
              </w:rPr>
              <w:t>文件内容齐全、无遗漏</w:t>
            </w:r>
          </w:p>
        </w:tc>
      </w:tr>
      <w:tr w14:paraId="3BE8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restart"/>
            <w:vAlign w:val="center"/>
          </w:tcPr>
          <w:p w14:paraId="53591160">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3</w:t>
            </w:r>
          </w:p>
        </w:tc>
        <w:tc>
          <w:tcPr>
            <w:tcW w:w="630" w:type="pct"/>
            <w:vMerge w:val="restart"/>
            <w:vAlign w:val="center"/>
          </w:tcPr>
          <w:p w14:paraId="3D48B50D">
            <w:pPr>
              <w:keepNext w:val="0"/>
              <w:keepLines w:val="0"/>
              <w:suppressLineNumbers w:val="0"/>
              <w:tabs>
                <w:tab w:val="left" w:pos="0"/>
              </w:tabs>
              <w:adjustRightInd w:val="0"/>
              <w:snapToGrid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响应性审查</w:t>
            </w:r>
          </w:p>
        </w:tc>
        <w:tc>
          <w:tcPr>
            <w:tcW w:w="1809" w:type="pct"/>
            <w:vAlign w:val="center"/>
          </w:tcPr>
          <w:p w14:paraId="53E4098B">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7</w:t>
            </w:r>
            <w:r>
              <w:rPr>
                <w:rFonts w:hint="eastAsia" w:ascii="宋体" w:hAnsi="宋体" w:eastAsia="宋体" w:cs="宋体"/>
                <w:color w:val="auto"/>
                <w:sz w:val="24"/>
                <w:szCs w:val="24"/>
                <w:highlight w:val="none"/>
              </w:rPr>
              <w:t>）响应有效期</w:t>
            </w:r>
          </w:p>
        </w:tc>
        <w:tc>
          <w:tcPr>
            <w:tcW w:w="2144" w:type="pct"/>
            <w:vAlign w:val="center"/>
          </w:tcPr>
          <w:p w14:paraId="3C6A4028">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应满足磋商文件中的规定</w:t>
            </w:r>
          </w:p>
        </w:tc>
      </w:tr>
      <w:tr w14:paraId="3EA3C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continue"/>
            <w:vAlign w:val="center"/>
          </w:tcPr>
          <w:p w14:paraId="0806CE11">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lang w:eastAsia="zh-CN"/>
              </w:rPr>
            </w:pPr>
          </w:p>
        </w:tc>
        <w:tc>
          <w:tcPr>
            <w:tcW w:w="630" w:type="pct"/>
            <w:vMerge w:val="continue"/>
            <w:vAlign w:val="center"/>
          </w:tcPr>
          <w:p w14:paraId="2484F05A">
            <w:pPr>
              <w:keepNext w:val="0"/>
              <w:keepLines w:val="0"/>
              <w:suppressLineNumbers w:val="0"/>
              <w:tabs>
                <w:tab w:val="left" w:pos="0"/>
              </w:tabs>
              <w:adjustRightInd w:val="0"/>
              <w:snapToGrid w:val="0"/>
              <w:spacing w:before="0" w:beforeAutospacing="0" w:after="0" w:afterAutospacing="0" w:line="360" w:lineRule="auto"/>
              <w:ind w:left="0" w:right="0"/>
              <w:rPr>
                <w:rFonts w:hint="default" w:ascii="宋体" w:hAnsi="宋体" w:eastAsia="宋体" w:cs="宋体"/>
                <w:color w:val="auto"/>
                <w:sz w:val="24"/>
                <w:szCs w:val="24"/>
                <w:highlight w:val="none"/>
                <w:lang w:val="en-US" w:eastAsia="zh-CN"/>
              </w:rPr>
            </w:pPr>
          </w:p>
        </w:tc>
        <w:tc>
          <w:tcPr>
            <w:tcW w:w="1809" w:type="pct"/>
            <w:vAlign w:val="center"/>
          </w:tcPr>
          <w:p w14:paraId="4FF2D79C">
            <w:pPr>
              <w:spacing w:line="276" w:lineRule="auto"/>
              <w:rPr>
                <w:rFonts w:hint="eastAsia" w:ascii="宋体" w:hAnsi="宋体" w:eastAsia="宋体" w:cs="宋体"/>
                <w:color w:val="auto"/>
                <w:sz w:val="24"/>
                <w:szCs w:val="24"/>
                <w:highlight w:val="none"/>
                <w:lang w:eastAsia="zh-CN"/>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8</w:t>
            </w:r>
            <w:r>
              <w:rPr>
                <w:rFonts w:hint="eastAsia" w:cs="宋体" w:asciiTheme="minorEastAsia" w:hAnsiTheme="minorEastAsia" w:eastAsiaTheme="minorEastAsia"/>
                <w:color w:val="auto"/>
                <w:sz w:val="24"/>
                <w:highlight w:val="none"/>
              </w:rPr>
              <w:t>）对</w:t>
            </w:r>
            <w:r>
              <w:rPr>
                <w:rFonts w:hint="eastAsia" w:ascii="宋体" w:hAnsi="宋体" w:eastAsia="宋体" w:cs="宋体"/>
                <w:color w:val="auto"/>
                <w:sz w:val="24"/>
                <w:szCs w:val="24"/>
                <w:highlight w:val="none"/>
                <w:lang w:eastAsia="zh-CN"/>
              </w:rPr>
              <w:t>磋商</w:t>
            </w:r>
            <w:r>
              <w:rPr>
                <w:rFonts w:hint="eastAsia" w:cs="宋体" w:asciiTheme="minorEastAsia" w:hAnsiTheme="minorEastAsia" w:eastAsiaTheme="minorEastAsia"/>
                <w:color w:val="auto"/>
                <w:sz w:val="24"/>
                <w:highlight w:val="none"/>
              </w:rPr>
              <w:t>文件技术响应程度</w:t>
            </w:r>
          </w:p>
        </w:tc>
        <w:tc>
          <w:tcPr>
            <w:tcW w:w="2144" w:type="pct"/>
            <w:vAlign w:val="center"/>
          </w:tcPr>
          <w:p w14:paraId="2763A093">
            <w:pPr>
              <w:spacing w:line="276" w:lineRule="auto"/>
              <w:rPr>
                <w:rFonts w:hint="eastAsia" w:ascii="宋体" w:hAnsi="宋体" w:eastAsia="宋体" w:cs="宋体"/>
                <w:color w:val="auto"/>
                <w:sz w:val="24"/>
                <w:szCs w:val="24"/>
                <w:highlight w:val="none"/>
              </w:rPr>
            </w:pPr>
            <w:r>
              <w:rPr>
                <w:rFonts w:hint="eastAsia" w:cs="宋体" w:asciiTheme="minorEastAsia" w:hAnsiTheme="minorEastAsia" w:eastAsiaTheme="minorEastAsia"/>
                <w:color w:val="auto"/>
                <w:sz w:val="24"/>
                <w:highlight w:val="none"/>
              </w:rPr>
              <w:t>要求全面响应，不能有任何采购人不能接受的附加条件</w:t>
            </w:r>
          </w:p>
        </w:tc>
      </w:tr>
      <w:tr w14:paraId="7E59A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continue"/>
            <w:vAlign w:val="center"/>
          </w:tcPr>
          <w:p w14:paraId="01A8FC37">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lang w:eastAsia="zh-CN"/>
              </w:rPr>
            </w:pPr>
          </w:p>
        </w:tc>
        <w:tc>
          <w:tcPr>
            <w:tcW w:w="630" w:type="pct"/>
            <w:vMerge w:val="continue"/>
            <w:vAlign w:val="center"/>
          </w:tcPr>
          <w:p w14:paraId="0DEDE481">
            <w:pPr>
              <w:keepNext w:val="0"/>
              <w:keepLines w:val="0"/>
              <w:suppressLineNumbers w:val="0"/>
              <w:tabs>
                <w:tab w:val="left" w:pos="0"/>
              </w:tabs>
              <w:adjustRightInd w:val="0"/>
              <w:snapToGrid w:val="0"/>
              <w:spacing w:before="0" w:beforeAutospacing="0" w:after="0" w:afterAutospacing="0" w:line="360" w:lineRule="auto"/>
              <w:ind w:left="0" w:right="0"/>
              <w:rPr>
                <w:rFonts w:hint="default" w:ascii="宋体" w:hAnsi="宋体" w:eastAsia="宋体" w:cs="宋体"/>
                <w:color w:val="auto"/>
                <w:sz w:val="24"/>
                <w:szCs w:val="24"/>
                <w:highlight w:val="none"/>
                <w:lang w:val="en-US" w:eastAsia="zh-CN"/>
              </w:rPr>
            </w:pPr>
          </w:p>
        </w:tc>
        <w:tc>
          <w:tcPr>
            <w:tcW w:w="1809" w:type="pct"/>
            <w:vAlign w:val="center"/>
          </w:tcPr>
          <w:p w14:paraId="3B36E875">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hAnsi="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付款方式</w:t>
            </w:r>
          </w:p>
        </w:tc>
        <w:tc>
          <w:tcPr>
            <w:tcW w:w="2144" w:type="pct"/>
            <w:vAlign w:val="center"/>
          </w:tcPr>
          <w:p w14:paraId="6DCA4D52">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应满足磋商文件中的规定</w:t>
            </w:r>
          </w:p>
        </w:tc>
      </w:tr>
      <w:tr w14:paraId="33B5D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continue"/>
            <w:vAlign w:val="center"/>
          </w:tcPr>
          <w:p w14:paraId="4401D592">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lang w:eastAsia="zh-CN"/>
              </w:rPr>
            </w:pPr>
          </w:p>
        </w:tc>
        <w:tc>
          <w:tcPr>
            <w:tcW w:w="630" w:type="pct"/>
            <w:vMerge w:val="continue"/>
            <w:vAlign w:val="center"/>
          </w:tcPr>
          <w:p w14:paraId="30E66A29">
            <w:pPr>
              <w:keepNext w:val="0"/>
              <w:keepLines w:val="0"/>
              <w:suppressLineNumbers w:val="0"/>
              <w:tabs>
                <w:tab w:val="left" w:pos="0"/>
              </w:tabs>
              <w:adjustRightInd w:val="0"/>
              <w:snapToGrid w:val="0"/>
              <w:spacing w:before="0" w:beforeAutospacing="0" w:after="0" w:afterAutospacing="0" w:line="360" w:lineRule="auto"/>
              <w:ind w:left="0" w:right="0"/>
              <w:rPr>
                <w:rFonts w:hint="default" w:ascii="宋体" w:hAnsi="宋体" w:eastAsia="宋体" w:cs="宋体"/>
                <w:color w:val="auto"/>
                <w:sz w:val="24"/>
                <w:szCs w:val="24"/>
                <w:highlight w:val="none"/>
                <w:lang w:val="en-US" w:eastAsia="zh-CN"/>
              </w:rPr>
            </w:pPr>
          </w:p>
        </w:tc>
        <w:tc>
          <w:tcPr>
            <w:tcW w:w="1809" w:type="pct"/>
            <w:vAlign w:val="center"/>
          </w:tcPr>
          <w:p w14:paraId="58C3EDF2">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(10)投标保证金</w:t>
            </w:r>
          </w:p>
        </w:tc>
        <w:tc>
          <w:tcPr>
            <w:tcW w:w="2144" w:type="pct"/>
            <w:vAlign w:val="center"/>
          </w:tcPr>
          <w:p w14:paraId="49B0C75F">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eastAsia="zh-CN"/>
              </w:rPr>
              <w:t>足额按时缴纳</w:t>
            </w:r>
          </w:p>
        </w:tc>
      </w:tr>
    </w:tbl>
    <w:p w14:paraId="2BD937C4">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1.2.1竞争性磋商响应文件的完整性。竞争性磋商响应文件构成是否有重大缺项，是否按照竞争性磋商文件要求的格式编写竞争性磋商响应文件。</w:t>
      </w:r>
    </w:p>
    <w:p w14:paraId="05FBC444">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1.2.2竞争性磋商响应文件的有效性。竞争性磋商响应文件的签署、加盖印章是否合格、有效；提供的各种证明文件、数据、资料是否真实、有效。</w:t>
      </w:r>
    </w:p>
    <w:p w14:paraId="20A7ED06">
      <w:pPr>
        <w:spacing w:line="500" w:lineRule="exact"/>
        <w:ind w:firstLine="496" w:firstLineChars="200"/>
        <w:rPr>
          <w:rFonts w:hAnsi="宋体" w:cs="宋体"/>
          <w:color w:val="auto"/>
          <w:szCs w:val="24"/>
          <w:highlight w:val="none"/>
        </w:rPr>
      </w:pPr>
      <w:r>
        <w:rPr>
          <w:rFonts w:hint="eastAsia" w:hAnsi="宋体" w:cs="宋体"/>
          <w:bCs/>
          <w:color w:val="auto"/>
          <w:spacing w:val="4"/>
          <w:szCs w:val="24"/>
          <w:highlight w:val="none"/>
        </w:rPr>
        <w:t>1.2.3竞争性磋商</w:t>
      </w:r>
      <w:r>
        <w:rPr>
          <w:rFonts w:hint="eastAsia" w:hAnsi="宋体" w:cs="宋体"/>
          <w:color w:val="auto"/>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14:paraId="243C592A">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1.2.4报价是否超过采购预算。</w:t>
      </w:r>
    </w:p>
    <w:p w14:paraId="4CEDD2A4">
      <w:pPr>
        <w:spacing w:after="156" w:afterLines="50" w:line="500" w:lineRule="exact"/>
        <w:ind w:firstLine="482" w:firstLineChars="200"/>
        <w:rPr>
          <w:rFonts w:hAnsi="宋体" w:cs="宋体"/>
          <w:b/>
          <w:color w:val="auto"/>
          <w:highlight w:val="none"/>
        </w:rPr>
      </w:pPr>
      <w:r>
        <w:rPr>
          <w:rFonts w:hint="eastAsia" w:hAnsi="宋体" w:cs="宋体"/>
          <w:b/>
          <w:color w:val="auto"/>
          <w:highlight w:val="none"/>
        </w:rPr>
        <w:t>2、磋商响应文件的澄清</w:t>
      </w:r>
    </w:p>
    <w:p w14:paraId="5ABF6101">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14:paraId="147895DE">
      <w:pPr>
        <w:spacing w:line="500" w:lineRule="exact"/>
        <w:ind w:firstLine="480" w:firstLineChars="200"/>
        <w:rPr>
          <w:rFonts w:hAnsi="宋体" w:cs="宋体"/>
          <w:bCs/>
          <w:color w:val="auto"/>
          <w:spacing w:val="4"/>
          <w:szCs w:val="24"/>
          <w:highlight w:val="none"/>
        </w:rPr>
      </w:pPr>
      <w:r>
        <w:rPr>
          <w:rFonts w:hint="eastAsia" w:hAnsi="宋体" w:cs="宋体"/>
          <w:color w:val="auto"/>
          <w:szCs w:val="24"/>
          <w:highlight w:val="none"/>
        </w:rPr>
        <w:t>1.3.2有效的书面澄清材料，是磋商响应文件的补充材料，成为磋商响应文件的组成部分。</w:t>
      </w:r>
    </w:p>
    <w:p w14:paraId="0F5A3796">
      <w:pPr>
        <w:spacing w:line="500" w:lineRule="exact"/>
        <w:ind w:firstLine="482" w:firstLineChars="200"/>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3、磋商：</w:t>
      </w:r>
      <w:r>
        <w:rPr>
          <w:rFonts w:hint="eastAsia" w:ascii="宋体" w:hAnsi="宋体" w:eastAsia="宋体" w:cs="宋体"/>
          <w:color w:val="auto"/>
          <w:szCs w:val="24"/>
          <w:highlight w:val="none"/>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w:t>
      </w:r>
      <w:r>
        <w:rPr>
          <w:rFonts w:hint="eastAsia" w:hAnsi="宋体" w:cs="宋体"/>
          <w:color w:val="auto"/>
          <w:szCs w:val="24"/>
          <w:highlight w:val="none"/>
          <w:lang w:eastAsia="zh-CN"/>
        </w:rPr>
        <w:t>的其他内容</w:t>
      </w:r>
      <w:r>
        <w:rPr>
          <w:rFonts w:hint="eastAsia" w:ascii="宋体" w:hAnsi="宋体" w:eastAsia="宋体" w:cs="宋体"/>
          <w:color w:val="auto"/>
          <w:szCs w:val="24"/>
          <w:highlight w:val="none"/>
        </w:rPr>
        <w:t>。实质性变动</w:t>
      </w:r>
      <w:r>
        <w:rPr>
          <w:rFonts w:hint="eastAsia" w:hAnsi="宋体" w:cs="宋体"/>
          <w:color w:val="auto"/>
          <w:szCs w:val="24"/>
          <w:highlight w:val="none"/>
          <w:lang w:eastAsia="zh-CN"/>
        </w:rPr>
        <w:t>的</w:t>
      </w:r>
      <w:r>
        <w:rPr>
          <w:rFonts w:hint="eastAsia" w:ascii="宋体" w:hAnsi="宋体" w:eastAsia="宋体" w:cs="宋体"/>
          <w:color w:val="auto"/>
          <w:szCs w:val="24"/>
          <w:highlight w:val="none"/>
        </w:rPr>
        <w:t>内容，需经采购人代表确认。</w:t>
      </w:r>
    </w:p>
    <w:p w14:paraId="10CC358E">
      <w:pPr>
        <w:pStyle w:val="7"/>
        <w:spacing w:line="500" w:lineRule="exact"/>
        <w:ind w:firstLine="482" w:firstLineChars="200"/>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4、综合评审：</w:t>
      </w:r>
      <w:r>
        <w:rPr>
          <w:rFonts w:hint="eastAsia" w:ascii="宋体" w:hAnsi="宋体" w:eastAsia="宋体" w:cs="宋体"/>
          <w:color w:val="auto"/>
          <w:kern w:val="0"/>
          <w:sz w:val="24"/>
          <w:szCs w:val="24"/>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14:paraId="13A956BD">
      <w:pPr>
        <w:spacing w:line="500" w:lineRule="exact"/>
        <w:jc w:val="left"/>
        <w:rPr>
          <w:rFonts w:hAnsi="宋体"/>
          <w:b/>
          <w:color w:val="auto"/>
          <w:szCs w:val="24"/>
          <w:highlight w:val="none"/>
        </w:rPr>
      </w:pPr>
      <w:r>
        <w:rPr>
          <w:rFonts w:hint="eastAsia" w:hAnsi="宋体"/>
          <w:b/>
          <w:color w:val="auto"/>
          <w:szCs w:val="24"/>
          <w:highlight w:val="none"/>
        </w:rPr>
        <w:t>三</w:t>
      </w:r>
      <w:r>
        <w:rPr>
          <w:rFonts w:hAnsi="宋体"/>
          <w:b/>
          <w:color w:val="auto"/>
          <w:szCs w:val="24"/>
          <w:highlight w:val="none"/>
        </w:rPr>
        <w:t>、政策性扣减</w:t>
      </w:r>
    </w:p>
    <w:p w14:paraId="6FA8211E">
      <w:pPr>
        <w:spacing w:line="500" w:lineRule="exact"/>
        <w:ind w:firstLine="482" w:firstLineChars="200"/>
        <w:jc w:val="left"/>
        <w:rPr>
          <w:rFonts w:hAnsi="宋体"/>
          <w:b/>
          <w:bCs/>
          <w:color w:val="auto"/>
          <w:szCs w:val="24"/>
          <w:highlight w:val="none"/>
        </w:rPr>
      </w:pPr>
      <w:r>
        <w:rPr>
          <w:rFonts w:hint="eastAsia" w:hAnsi="宋体"/>
          <w:b/>
          <w:bCs/>
          <w:color w:val="auto"/>
          <w:szCs w:val="24"/>
          <w:highlight w:val="none"/>
        </w:rPr>
        <w:t>1</w:t>
      </w:r>
      <w:r>
        <w:rPr>
          <w:rFonts w:hAnsi="宋体"/>
          <w:b/>
          <w:bCs/>
          <w:color w:val="auto"/>
          <w:szCs w:val="24"/>
          <w:highlight w:val="none"/>
        </w:rPr>
        <w:t>政策性扣减范围</w:t>
      </w:r>
    </w:p>
    <w:p w14:paraId="7508A157">
      <w:pPr>
        <w:spacing w:line="500" w:lineRule="exact"/>
        <w:ind w:firstLine="480" w:firstLineChars="200"/>
        <w:jc w:val="left"/>
        <w:rPr>
          <w:rFonts w:hAnsi="宋体"/>
          <w:color w:val="auto"/>
          <w:szCs w:val="24"/>
          <w:highlight w:val="none"/>
        </w:rPr>
      </w:pPr>
      <w:r>
        <w:rPr>
          <w:rFonts w:hAnsi="宋体"/>
          <w:color w:val="auto"/>
          <w:szCs w:val="24"/>
          <w:highlight w:val="none"/>
        </w:rPr>
        <w:t>1.1供应商符合小型、微型企业或监狱企业</w:t>
      </w:r>
      <w:r>
        <w:rPr>
          <w:rFonts w:hint="eastAsia" w:hAnsi="宋体"/>
          <w:color w:val="auto"/>
          <w:szCs w:val="24"/>
          <w:highlight w:val="none"/>
        </w:rPr>
        <w:t>、残疾人福利性单位</w:t>
      </w:r>
      <w:r>
        <w:rPr>
          <w:rFonts w:hAnsi="宋体"/>
          <w:color w:val="auto"/>
          <w:szCs w:val="24"/>
          <w:highlight w:val="none"/>
        </w:rPr>
        <w:t>条件的，其</w:t>
      </w:r>
      <w:r>
        <w:rPr>
          <w:rFonts w:hint="eastAsia" w:hAnsi="宋体"/>
          <w:color w:val="auto"/>
          <w:szCs w:val="24"/>
          <w:highlight w:val="none"/>
        </w:rPr>
        <w:t>磋商</w:t>
      </w:r>
      <w:r>
        <w:rPr>
          <w:rFonts w:hAnsi="宋体"/>
          <w:color w:val="auto"/>
          <w:szCs w:val="24"/>
          <w:highlight w:val="none"/>
        </w:rPr>
        <w:t>报价价格评审时将按相应比例进行扣减。</w:t>
      </w:r>
    </w:p>
    <w:p w14:paraId="7300FEF4">
      <w:pPr>
        <w:spacing w:line="500" w:lineRule="exact"/>
        <w:ind w:firstLine="480" w:firstLineChars="200"/>
        <w:jc w:val="left"/>
        <w:rPr>
          <w:rFonts w:hAnsi="宋体"/>
          <w:color w:val="auto"/>
          <w:szCs w:val="24"/>
          <w:highlight w:val="none"/>
        </w:rPr>
      </w:pPr>
      <w:r>
        <w:rPr>
          <w:rFonts w:hAnsi="宋体"/>
          <w:color w:val="auto"/>
          <w:szCs w:val="24"/>
          <w:highlight w:val="none"/>
        </w:rPr>
        <w:t>1.2依照&lt;关于印发《政府采购促进中小企业发展暂行办法》的通知&gt;（财库</w:t>
      </w:r>
      <w:r>
        <w:rPr>
          <w:rFonts w:hint="eastAsia" w:hAnsi="宋体"/>
          <w:color w:val="auto"/>
          <w:szCs w:val="24"/>
          <w:highlight w:val="none"/>
        </w:rPr>
        <w:t>(</w:t>
      </w:r>
      <w:r>
        <w:rPr>
          <w:rFonts w:hAnsi="宋体"/>
          <w:color w:val="auto"/>
          <w:szCs w:val="24"/>
          <w:highlight w:val="none"/>
        </w:rPr>
        <w:t>2011〕181号）的规定，小型、微型企业应当同时符合以下条件：</w:t>
      </w:r>
    </w:p>
    <w:p w14:paraId="3BF78D0A">
      <w:pPr>
        <w:spacing w:line="500" w:lineRule="exact"/>
        <w:ind w:firstLine="480" w:firstLineChars="200"/>
        <w:jc w:val="left"/>
        <w:rPr>
          <w:rFonts w:hAnsi="宋体"/>
          <w:color w:val="auto"/>
          <w:szCs w:val="24"/>
          <w:highlight w:val="none"/>
        </w:rPr>
      </w:pPr>
      <w:r>
        <w:rPr>
          <w:rFonts w:hAnsi="宋体"/>
          <w:color w:val="auto"/>
          <w:szCs w:val="24"/>
          <w:highlight w:val="none"/>
        </w:rPr>
        <w:t>1.2.1符合中小企业划分标准（中小企业划分标准是指国务院有关部门根据企业从业人员、营业收入、资产总额等指标制定的中小企业划型标准（工信部联企业〔2011〕300号））。</w:t>
      </w:r>
    </w:p>
    <w:p w14:paraId="66DC9018">
      <w:pPr>
        <w:spacing w:line="500" w:lineRule="exact"/>
        <w:ind w:firstLine="480" w:firstLineChars="200"/>
        <w:jc w:val="left"/>
        <w:rPr>
          <w:rFonts w:hAnsi="宋体"/>
          <w:color w:val="auto"/>
          <w:szCs w:val="24"/>
          <w:highlight w:val="none"/>
        </w:rPr>
      </w:pPr>
      <w:r>
        <w:rPr>
          <w:rFonts w:hAnsi="宋体"/>
          <w:color w:val="auto"/>
          <w:szCs w:val="24"/>
          <w:highlight w:val="none"/>
        </w:rPr>
        <w:t>1.2.2提供本企业制造的货物、承担的工程或者服务，或者提供其他中小企业制造的货物，不包括提供或使用大型企业注册商标的货物。</w:t>
      </w:r>
    </w:p>
    <w:p w14:paraId="2FD434E2">
      <w:pPr>
        <w:spacing w:line="500" w:lineRule="exact"/>
        <w:ind w:firstLine="480" w:firstLineChars="200"/>
        <w:jc w:val="left"/>
        <w:rPr>
          <w:rFonts w:hAnsi="宋体"/>
          <w:color w:val="auto"/>
          <w:szCs w:val="24"/>
          <w:highlight w:val="none"/>
        </w:rPr>
      </w:pPr>
      <w:r>
        <w:rPr>
          <w:rFonts w:hAnsi="宋体"/>
          <w:color w:val="auto"/>
          <w:szCs w:val="24"/>
          <w:highlight w:val="none"/>
        </w:rPr>
        <w:t>1.2.3小型、微型企业提供中型企业制造的货物的，视同为中型企业；小型、微型、中型企业提供大型企业制造的货物的，视同为大型企业。</w:t>
      </w:r>
    </w:p>
    <w:p w14:paraId="16094333">
      <w:pPr>
        <w:spacing w:line="500" w:lineRule="exact"/>
        <w:ind w:firstLine="480" w:firstLineChars="200"/>
        <w:jc w:val="left"/>
        <w:rPr>
          <w:rFonts w:hAnsi="宋体"/>
          <w:color w:val="auto"/>
          <w:szCs w:val="24"/>
          <w:highlight w:val="none"/>
        </w:rPr>
      </w:pPr>
      <w:r>
        <w:rPr>
          <w:rFonts w:hAnsi="宋体"/>
          <w:color w:val="auto"/>
          <w:szCs w:val="24"/>
          <w:highlight w:val="none"/>
        </w:rPr>
        <w:t>1.3采购人拟采购产品属于优先采购节能</w:t>
      </w:r>
      <w:r>
        <w:rPr>
          <w:rFonts w:hint="eastAsia" w:hAnsi="宋体"/>
          <w:color w:val="auto"/>
          <w:szCs w:val="24"/>
          <w:highlight w:val="none"/>
        </w:rPr>
        <w:t>环境标志</w:t>
      </w:r>
      <w:r>
        <w:rPr>
          <w:rFonts w:hAnsi="宋体"/>
          <w:color w:val="auto"/>
          <w:szCs w:val="24"/>
          <w:highlight w:val="none"/>
        </w:rPr>
        <w:t>产品范围的，应当优先采购节能</w:t>
      </w:r>
      <w:r>
        <w:rPr>
          <w:rFonts w:hint="eastAsia" w:hAnsi="宋体"/>
          <w:color w:val="auto"/>
          <w:szCs w:val="24"/>
          <w:highlight w:val="none"/>
        </w:rPr>
        <w:t>环境标志</w:t>
      </w:r>
      <w:r>
        <w:rPr>
          <w:rFonts w:hAnsi="宋体"/>
          <w:color w:val="auto"/>
          <w:szCs w:val="24"/>
          <w:highlight w:val="none"/>
        </w:rPr>
        <w:t>产品，节能产品以财政部国家发展改革委关于调整公布第十七期节能产品政府采购清单所列产品为准。环保产品以财政部环境保护部关于调整公布第十五期环境标志产品政府采购清单所列产品为准。</w:t>
      </w:r>
    </w:p>
    <w:p w14:paraId="1A0071CC">
      <w:pPr>
        <w:spacing w:line="500" w:lineRule="exact"/>
        <w:ind w:firstLine="480" w:firstLineChars="200"/>
        <w:jc w:val="left"/>
        <w:rPr>
          <w:rFonts w:hAnsi="宋体"/>
          <w:color w:val="auto"/>
          <w:szCs w:val="24"/>
          <w:highlight w:val="none"/>
        </w:rPr>
      </w:pPr>
      <w:r>
        <w:rPr>
          <w:rFonts w:hint="eastAsia" w:hAnsi="宋体"/>
          <w:color w:val="auto"/>
          <w:szCs w:val="24"/>
          <w:highlight w:val="none"/>
        </w:rPr>
        <w:t>1.3.1</w:t>
      </w:r>
      <w:r>
        <w:rPr>
          <w:rFonts w:hAnsi="宋体"/>
          <w:color w:val="auto"/>
          <w:szCs w:val="24"/>
          <w:highlight w:val="none"/>
        </w:rPr>
        <w:t>“节能产品政府采购清单”：符合政府采购优先采购政策的，所投产品属于“节能产品政府采购清单”中品目的产品，需提供最新一期“节能产品政府采购清单”中</w:t>
      </w:r>
      <w:r>
        <w:rPr>
          <w:rFonts w:hint="eastAsia" w:hAnsi="宋体"/>
          <w:color w:val="auto"/>
          <w:szCs w:val="24"/>
          <w:highlight w:val="none"/>
        </w:rPr>
        <w:t>磋商</w:t>
      </w:r>
      <w:r>
        <w:rPr>
          <w:rFonts w:hAnsi="宋体"/>
          <w:color w:val="auto"/>
          <w:szCs w:val="24"/>
          <w:highlight w:val="none"/>
        </w:rPr>
        <w:t>产品所在清单页并加盖</w:t>
      </w:r>
      <w:r>
        <w:rPr>
          <w:rFonts w:hint="eastAsia" w:hAnsi="宋体"/>
          <w:color w:val="auto"/>
          <w:szCs w:val="24"/>
          <w:highlight w:val="none"/>
        </w:rPr>
        <w:t>供应商</w:t>
      </w:r>
      <w:r>
        <w:rPr>
          <w:rFonts w:hAnsi="宋体"/>
          <w:color w:val="auto"/>
          <w:szCs w:val="24"/>
          <w:highlight w:val="none"/>
        </w:rPr>
        <w:t>公章。该清单可在中国政府采购网（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color w:val="auto"/>
          <w:szCs w:val="24"/>
          <w:highlight w:val="none"/>
        </w:rPr>
        <w:t>http://www.ccgp.gov.cn/</w:t>
      </w:r>
      <w:r>
        <w:rPr>
          <w:color w:val="auto"/>
          <w:szCs w:val="24"/>
          <w:highlight w:val="none"/>
        </w:rPr>
        <w:fldChar w:fldCharType="end"/>
      </w:r>
      <w:r>
        <w:rPr>
          <w:rFonts w:hAnsi="宋体"/>
          <w:color w:val="auto"/>
          <w:szCs w:val="24"/>
          <w:highlight w:val="none"/>
        </w:rPr>
        <w:t>）上查找</w:t>
      </w:r>
      <w:r>
        <w:rPr>
          <w:rFonts w:hint="eastAsia" w:hAnsi="宋体"/>
          <w:color w:val="auto"/>
          <w:szCs w:val="24"/>
          <w:highlight w:val="none"/>
        </w:rPr>
        <w:t>。</w:t>
      </w:r>
    </w:p>
    <w:p w14:paraId="4CE75C41">
      <w:pPr>
        <w:spacing w:line="500" w:lineRule="exact"/>
        <w:ind w:firstLine="480" w:firstLineChars="200"/>
        <w:jc w:val="left"/>
        <w:rPr>
          <w:rFonts w:hAnsi="宋体"/>
          <w:color w:val="auto"/>
          <w:szCs w:val="24"/>
          <w:highlight w:val="none"/>
        </w:rPr>
      </w:pPr>
      <w:r>
        <w:rPr>
          <w:rFonts w:hAnsi="宋体"/>
          <w:color w:val="auto"/>
          <w:szCs w:val="24"/>
          <w:highlight w:val="none"/>
        </w:rPr>
        <w:t>1</w:t>
      </w:r>
      <w:r>
        <w:rPr>
          <w:rFonts w:hint="eastAsia" w:hAnsi="宋体"/>
          <w:color w:val="auto"/>
          <w:szCs w:val="24"/>
          <w:highlight w:val="none"/>
        </w:rPr>
        <w:t>.3.</w:t>
      </w:r>
      <w:r>
        <w:rPr>
          <w:rFonts w:hAnsi="宋体"/>
          <w:color w:val="auto"/>
          <w:szCs w:val="24"/>
          <w:highlight w:val="none"/>
        </w:rPr>
        <w:t>2 “环境标志产品政府采购清单”：所投产品属于“环境标志产品政府采购清单”中品目的产品，需提供最新一期“环境标志产品政府采购清单”中</w:t>
      </w:r>
      <w:r>
        <w:rPr>
          <w:rFonts w:hint="eastAsia" w:hAnsi="宋体"/>
          <w:color w:val="auto"/>
          <w:szCs w:val="24"/>
          <w:highlight w:val="none"/>
        </w:rPr>
        <w:t>磋商</w:t>
      </w:r>
      <w:r>
        <w:rPr>
          <w:rFonts w:hAnsi="宋体"/>
          <w:color w:val="auto"/>
          <w:szCs w:val="24"/>
          <w:highlight w:val="none"/>
        </w:rPr>
        <w:t>产品所在清单页并加盖</w:t>
      </w:r>
      <w:r>
        <w:rPr>
          <w:rFonts w:hint="eastAsia" w:hAnsi="宋体"/>
          <w:color w:val="auto"/>
          <w:szCs w:val="24"/>
          <w:highlight w:val="none"/>
        </w:rPr>
        <w:t>供应商</w:t>
      </w:r>
      <w:r>
        <w:rPr>
          <w:rFonts w:hAnsi="宋体"/>
          <w:color w:val="auto"/>
          <w:szCs w:val="24"/>
          <w:highlight w:val="none"/>
        </w:rPr>
        <w:t>公章。该清单可在中国政府采购网（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color w:val="auto"/>
          <w:szCs w:val="24"/>
          <w:highlight w:val="none"/>
        </w:rPr>
        <w:t>http://www.ccgp.gov.cn/</w:t>
      </w:r>
      <w:r>
        <w:rPr>
          <w:color w:val="auto"/>
          <w:szCs w:val="24"/>
          <w:highlight w:val="none"/>
        </w:rPr>
        <w:fldChar w:fldCharType="end"/>
      </w:r>
      <w:r>
        <w:rPr>
          <w:rFonts w:hAnsi="宋体"/>
          <w:color w:val="auto"/>
          <w:szCs w:val="24"/>
          <w:highlight w:val="none"/>
        </w:rPr>
        <w:t>）上查找。</w:t>
      </w:r>
    </w:p>
    <w:p w14:paraId="14B9BE0B">
      <w:pPr>
        <w:spacing w:line="500" w:lineRule="exact"/>
        <w:ind w:firstLine="480" w:firstLineChars="200"/>
        <w:jc w:val="left"/>
        <w:rPr>
          <w:rFonts w:hAnsi="宋体"/>
          <w:color w:val="auto"/>
          <w:szCs w:val="24"/>
          <w:highlight w:val="none"/>
        </w:rPr>
      </w:pPr>
      <w:r>
        <w:rPr>
          <w:rFonts w:hint="eastAsia" w:hAnsi="宋体"/>
          <w:color w:val="auto"/>
          <w:szCs w:val="24"/>
          <w:highlight w:val="none"/>
        </w:rPr>
        <w:t>1.4监狱企业参加政府采购活动时，应当提供由省级以上监狱管理局、戒毒管理局(含新疆生产建设兵团)出具的属于监狱企业的证明文件。监狱企业参加政府采购活动时，视同小型、微型企业。</w:t>
      </w:r>
    </w:p>
    <w:p w14:paraId="4E9373B8">
      <w:pPr>
        <w:spacing w:line="500" w:lineRule="exact"/>
        <w:ind w:firstLine="600" w:firstLineChars="250"/>
        <w:rPr>
          <w:rFonts w:hAnsi="宋体"/>
          <w:color w:val="auto"/>
          <w:szCs w:val="24"/>
          <w:highlight w:val="none"/>
        </w:rPr>
      </w:pPr>
      <w:r>
        <w:rPr>
          <w:rFonts w:hint="eastAsia" w:hAnsi="宋体"/>
          <w:color w:val="auto"/>
          <w:szCs w:val="24"/>
          <w:highlight w:val="none"/>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2CA38F54">
      <w:pPr>
        <w:spacing w:line="500" w:lineRule="exact"/>
        <w:ind w:firstLine="482" w:firstLineChars="200"/>
        <w:jc w:val="left"/>
        <w:rPr>
          <w:rFonts w:hAnsi="宋体"/>
          <w:b/>
          <w:bCs/>
          <w:color w:val="auto"/>
          <w:szCs w:val="24"/>
          <w:highlight w:val="none"/>
        </w:rPr>
      </w:pPr>
      <w:r>
        <w:rPr>
          <w:rFonts w:hAnsi="宋体"/>
          <w:b/>
          <w:bCs/>
          <w:color w:val="auto"/>
          <w:szCs w:val="24"/>
          <w:highlight w:val="none"/>
        </w:rPr>
        <w:t>2、政策性扣减方式：</w:t>
      </w:r>
    </w:p>
    <w:p w14:paraId="4DB3734B">
      <w:pPr>
        <w:pStyle w:val="7"/>
        <w:spacing w:before="304" w:line="218" w:lineRule="auto"/>
        <w:ind w:left="568"/>
        <w:rPr>
          <w:sz w:val="24"/>
          <w:szCs w:val="24"/>
        </w:rPr>
      </w:pPr>
      <w:r>
        <w:rPr>
          <w:rFonts w:hint="eastAsia"/>
          <w:spacing w:val="-1"/>
          <w:sz w:val="24"/>
          <w:szCs w:val="24"/>
          <w:lang w:val="en-US" w:eastAsia="zh-CN"/>
        </w:rPr>
        <w:t>2.1</w:t>
      </w:r>
      <w:r>
        <w:rPr>
          <w:spacing w:val="-1"/>
          <w:sz w:val="24"/>
          <w:szCs w:val="24"/>
        </w:rPr>
        <w:t>、中小微企业的价格评分标准</w:t>
      </w:r>
    </w:p>
    <w:p w14:paraId="0168EB7E">
      <w:pPr>
        <w:pStyle w:val="7"/>
        <w:spacing w:before="206" w:line="323" w:lineRule="auto"/>
        <w:ind w:firstLine="574"/>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（1）根据《政府采购促进中小企业发展管理办法》（财库〔2020〕46 号）的办法， 对于非专门面向中小企业的项目，对小型和微型企业的价格给予 6%的扣除，用扣除后的 价格参与评审，其评审价=最终磋商报价*（1-6%）。</w:t>
      </w:r>
    </w:p>
    <w:p w14:paraId="686DA4FD">
      <w:pPr>
        <w:pStyle w:val="7"/>
        <w:spacing w:before="206" w:line="324" w:lineRule="auto"/>
        <w:ind w:left="8" w:right="61" w:firstLine="565"/>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（2）联合体共同参加非专门面向中小企业的政府采购活动，联合协议中约定，小 型和微型企业的协议合同金额占到联合体协议合同金额的 30%以上的，可给予联合体 2% 的价格扣除，用扣除后的价格参与评审，其评审价=最终磋商报价*（1-2%）。</w:t>
      </w:r>
    </w:p>
    <w:p w14:paraId="59EEC336">
      <w:pPr>
        <w:pStyle w:val="7"/>
        <w:spacing w:before="203" w:line="324" w:lineRule="auto"/>
        <w:ind w:left="1" w:right="59" w:firstLine="572"/>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（3）中小企业参加政府采购活动，须提供《中小企业声明函》（式样见竞争性磋 商响应文件格式），否则不得享受相关中小企业扶持政策。供应商须保证真实性，如有 虚假，将依法承担相应责任。</w:t>
      </w:r>
    </w:p>
    <w:p w14:paraId="443AD5EB">
      <w:pPr>
        <w:pStyle w:val="7"/>
        <w:spacing w:before="287" w:line="219" w:lineRule="auto"/>
        <w:ind w:left="492"/>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（4）小微企业按《政府采购促进中小企业发展管理办法》（财库〔2020〕46 号）</w:t>
      </w:r>
    </w:p>
    <w:p w14:paraId="0D2C9927">
      <w:pPr>
        <w:pStyle w:val="7"/>
        <w:spacing w:before="79" w:line="471" w:lineRule="auto"/>
        <w:ind w:right="61" w:firstLine="1"/>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和《工业和信息化部、国家统计局、国家发展和改革委员会、财政部关于印发&lt;中小企 业划型标准规定&gt;的通知》（工信部联企业【2011】300 号）文件规定标准确认。</w:t>
      </w:r>
    </w:p>
    <w:p w14:paraId="421930BF">
      <w:pPr>
        <w:pStyle w:val="7"/>
        <w:spacing w:before="1" w:line="217" w:lineRule="auto"/>
        <w:ind w:left="492"/>
        <w:rPr>
          <w:sz w:val="24"/>
          <w:szCs w:val="24"/>
        </w:rPr>
      </w:pPr>
      <w:r>
        <w:rPr>
          <w:b/>
          <w:bCs/>
          <w:spacing w:val="-3"/>
          <w:sz w:val="24"/>
          <w:szCs w:val="24"/>
        </w:rPr>
        <w:t>（5）专门面向中小企业采购的项目不再享受价格优惠政策</w:t>
      </w:r>
    </w:p>
    <w:p w14:paraId="071D8BC7">
      <w:pPr>
        <w:spacing w:line="244" w:lineRule="auto"/>
        <w:rPr>
          <w:rFonts w:ascii="Arial"/>
          <w:sz w:val="21"/>
        </w:rPr>
      </w:pPr>
    </w:p>
    <w:p w14:paraId="4677DD51">
      <w:pPr>
        <w:pStyle w:val="7"/>
        <w:spacing w:before="78" w:line="218" w:lineRule="auto"/>
        <w:ind w:left="568"/>
        <w:rPr>
          <w:sz w:val="24"/>
          <w:szCs w:val="24"/>
        </w:rPr>
      </w:pPr>
      <w:r>
        <w:rPr>
          <w:rFonts w:hint="eastAsia"/>
          <w:spacing w:val="-2"/>
          <w:sz w:val="24"/>
          <w:szCs w:val="24"/>
          <w:lang w:val="en-US" w:eastAsia="zh-CN"/>
        </w:rPr>
        <w:t>2.2</w:t>
      </w:r>
      <w:r>
        <w:rPr>
          <w:spacing w:val="-2"/>
          <w:sz w:val="24"/>
          <w:szCs w:val="24"/>
        </w:rPr>
        <w:t>、监狱企业的价格评分标准</w:t>
      </w:r>
    </w:p>
    <w:p w14:paraId="3AEE6CD2">
      <w:pPr>
        <w:pStyle w:val="7"/>
        <w:spacing w:before="205" w:line="363" w:lineRule="auto"/>
        <w:ind w:left="1" w:right="61" w:firstLine="572"/>
        <w:rPr>
          <w:rFonts w:ascii="Arial"/>
          <w:sz w:val="21"/>
        </w:rPr>
      </w:pPr>
      <w:r>
        <w:rPr>
          <w:spacing w:val="-1"/>
          <w:sz w:val="24"/>
          <w:szCs w:val="24"/>
        </w:rPr>
        <w:t>（1）在政府采购活动中，监狱企业视同小型、微型企业，享受预留份额、评审中</w:t>
      </w:r>
      <w:r>
        <w:rPr>
          <w:spacing w:val="4"/>
          <w:sz w:val="24"/>
          <w:szCs w:val="24"/>
        </w:rPr>
        <w:t xml:space="preserve"> </w:t>
      </w:r>
      <w:r>
        <w:rPr>
          <w:spacing w:val="-2"/>
          <w:sz w:val="24"/>
          <w:szCs w:val="24"/>
        </w:rPr>
        <w:t>价格扣除等政府采购促进中小企业发展的政府采购政策。对监狱企业产品的价格给予6%</w:t>
      </w:r>
    </w:p>
    <w:p w14:paraId="1FC72F27">
      <w:pPr>
        <w:pStyle w:val="7"/>
        <w:spacing w:before="78" w:line="218" w:lineRule="auto"/>
        <w:ind w:left="21"/>
        <w:rPr>
          <w:sz w:val="24"/>
          <w:szCs w:val="24"/>
        </w:rPr>
      </w:pPr>
      <w:r>
        <w:rPr>
          <w:spacing w:val="-1"/>
          <w:sz w:val="24"/>
          <w:szCs w:val="24"/>
        </w:rPr>
        <w:t>的扣除，用扣除后的价格参与评审，其评审价=磋商报价*（1-6%）。</w:t>
      </w:r>
    </w:p>
    <w:p w14:paraId="5560F35C">
      <w:pPr>
        <w:pStyle w:val="7"/>
        <w:spacing w:before="206" w:line="219" w:lineRule="auto"/>
        <w:ind w:left="575"/>
        <w:rPr>
          <w:sz w:val="24"/>
          <w:szCs w:val="24"/>
        </w:rPr>
      </w:pPr>
      <w:r>
        <w:rPr>
          <w:spacing w:val="-1"/>
          <w:sz w:val="24"/>
          <w:szCs w:val="24"/>
        </w:rPr>
        <w:t>（2）监狱企业属于小型、微型企业的，不重复享受政策。</w:t>
      </w:r>
    </w:p>
    <w:p w14:paraId="0A1DD38C">
      <w:pPr>
        <w:pStyle w:val="7"/>
        <w:spacing w:before="201" w:line="298" w:lineRule="auto"/>
        <w:ind w:left="4" w:right="82" w:firstLine="570"/>
        <w:rPr>
          <w:sz w:val="24"/>
          <w:szCs w:val="24"/>
        </w:rPr>
      </w:pPr>
      <w:r>
        <w:rPr>
          <w:spacing w:val="-1"/>
          <w:sz w:val="24"/>
          <w:szCs w:val="24"/>
        </w:rPr>
        <w:t>（3）监狱企业参加政府采购活动时，应当提供由省级以上监狱管理局、戒毒管理</w:t>
      </w:r>
      <w:r>
        <w:rPr>
          <w:spacing w:val="4"/>
          <w:sz w:val="24"/>
          <w:szCs w:val="24"/>
        </w:rPr>
        <w:t xml:space="preserve"> </w:t>
      </w:r>
      <w:r>
        <w:rPr>
          <w:spacing w:val="-1"/>
          <w:sz w:val="24"/>
          <w:szCs w:val="24"/>
        </w:rPr>
        <w:t>局（含新疆生产建设兵团）出具的属于监狱企业的证明文件。</w:t>
      </w:r>
    </w:p>
    <w:p w14:paraId="6C4FBB9D">
      <w:pPr>
        <w:pStyle w:val="7"/>
        <w:spacing w:before="204" w:line="298" w:lineRule="auto"/>
        <w:ind w:left="6" w:right="82" w:firstLine="568"/>
        <w:rPr>
          <w:sz w:val="24"/>
          <w:szCs w:val="24"/>
        </w:rPr>
      </w:pPr>
      <w:r>
        <w:rPr>
          <w:spacing w:val="-1"/>
          <w:sz w:val="24"/>
          <w:szCs w:val="24"/>
        </w:rPr>
        <w:t>（4）监狱企业按《财政部、司法部关于政府采购支持监狱企业发展有关问题的通</w:t>
      </w:r>
      <w:r>
        <w:rPr>
          <w:spacing w:val="4"/>
          <w:sz w:val="24"/>
          <w:szCs w:val="24"/>
        </w:rPr>
        <w:t xml:space="preserve"> </w:t>
      </w:r>
      <w:r>
        <w:rPr>
          <w:spacing w:val="-2"/>
          <w:sz w:val="24"/>
          <w:szCs w:val="24"/>
        </w:rPr>
        <w:t>知》（财库〔2014〕68</w:t>
      </w:r>
      <w:r>
        <w:rPr>
          <w:spacing w:val="-28"/>
          <w:sz w:val="24"/>
          <w:szCs w:val="24"/>
        </w:rPr>
        <w:t xml:space="preserve"> </w:t>
      </w:r>
      <w:r>
        <w:rPr>
          <w:spacing w:val="-2"/>
          <w:sz w:val="24"/>
          <w:szCs w:val="24"/>
        </w:rPr>
        <w:t>号）文件规定标准执行。</w:t>
      </w:r>
    </w:p>
    <w:p w14:paraId="150009DA">
      <w:pPr>
        <w:pStyle w:val="7"/>
        <w:spacing w:before="202" w:line="218" w:lineRule="auto"/>
        <w:ind w:left="569"/>
        <w:rPr>
          <w:sz w:val="24"/>
          <w:szCs w:val="24"/>
        </w:rPr>
      </w:pPr>
      <w:r>
        <w:rPr>
          <w:rFonts w:hint="eastAsia"/>
          <w:spacing w:val="-1"/>
          <w:sz w:val="24"/>
          <w:szCs w:val="24"/>
          <w:lang w:val="en-US" w:eastAsia="zh-CN"/>
        </w:rPr>
        <w:t>2.3</w:t>
      </w:r>
      <w:r>
        <w:rPr>
          <w:spacing w:val="-1"/>
          <w:sz w:val="24"/>
          <w:szCs w:val="24"/>
        </w:rPr>
        <w:t>、残疾人福利性单位的价格评分标准</w:t>
      </w:r>
    </w:p>
    <w:p w14:paraId="2D28E373">
      <w:pPr>
        <w:pStyle w:val="7"/>
        <w:spacing w:before="205" w:line="324" w:lineRule="auto"/>
        <w:ind w:firstLine="574"/>
        <w:rPr>
          <w:sz w:val="24"/>
          <w:szCs w:val="24"/>
        </w:rPr>
      </w:pPr>
      <w:r>
        <w:rPr>
          <w:spacing w:val="-5"/>
          <w:sz w:val="24"/>
          <w:szCs w:val="24"/>
        </w:rPr>
        <w:t>（1）在政府采购活动中，残疾人福利性单位视同小型、微型企业，享受预</w:t>
      </w:r>
      <w:r>
        <w:rPr>
          <w:spacing w:val="-6"/>
          <w:sz w:val="24"/>
          <w:szCs w:val="24"/>
        </w:rPr>
        <w:t>留份额、</w:t>
      </w:r>
      <w:r>
        <w:rPr>
          <w:sz w:val="24"/>
          <w:szCs w:val="24"/>
        </w:rPr>
        <w:t xml:space="preserve"> </w:t>
      </w:r>
      <w:r>
        <w:rPr>
          <w:spacing w:val="-2"/>
          <w:sz w:val="24"/>
          <w:szCs w:val="24"/>
        </w:rPr>
        <w:t>评审中价格扣除等政府采购促进中小企业发展的政府采购政策。对残疾人福利性单位产</w:t>
      </w:r>
      <w:r>
        <w:rPr>
          <w:spacing w:val="18"/>
          <w:sz w:val="24"/>
          <w:szCs w:val="24"/>
        </w:rPr>
        <w:t xml:space="preserve"> </w:t>
      </w:r>
      <w:r>
        <w:rPr>
          <w:sz w:val="24"/>
          <w:szCs w:val="24"/>
        </w:rPr>
        <w:t>品的价格给予</w:t>
      </w:r>
      <w:r>
        <w:rPr>
          <w:spacing w:val="-49"/>
          <w:sz w:val="24"/>
          <w:szCs w:val="24"/>
        </w:rPr>
        <w:t xml:space="preserve"> </w:t>
      </w:r>
      <w:r>
        <w:rPr>
          <w:sz w:val="24"/>
          <w:szCs w:val="24"/>
        </w:rPr>
        <w:t>6%的扣除，用扣除后的价格参</w:t>
      </w:r>
      <w:r>
        <w:rPr>
          <w:spacing w:val="-1"/>
          <w:sz w:val="24"/>
          <w:szCs w:val="24"/>
        </w:rPr>
        <w:t>与评审，其评审价=磋商报价*（1-6%）。</w:t>
      </w:r>
    </w:p>
    <w:p w14:paraId="3997A30B">
      <w:pPr>
        <w:pStyle w:val="7"/>
        <w:spacing w:before="205" w:line="219" w:lineRule="auto"/>
        <w:ind w:left="575"/>
        <w:rPr>
          <w:sz w:val="24"/>
          <w:szCs w:val="24"/>
        </w:rPr>
      </w:pPr>
      <w:r>
        <w:rPr>
          <w:spacing w:val="-1"/>
          <w:sz w:val="24"/>
          <w:szCs w:val="24"/>
        </w:rPr>
        <w:t>（2）残疾人福利性单位属于小型、微型企业的，不重复享受政策。</w:t>
      </w:r>
    </w:p>
    <w:p w14:paraId="543C7800">
      <w:pPr>
        <w:pStyle w:val="7"/>
        <w:spacing w:before="206" w:line="324" w:lineRule="auto"/>
        <w:ind w:left="1" w:right="77" w:firstLine="573"/>
        <w:rPr>
          <w:sz w:val="24"/>
          <w:szCs w:val="24"/>
        </w:rPr>
      </w:pPr>
      <w:r>
        <w:rPr>
          <w:spacing w:val="-1"/>
          <w:sz w:val="24"/>
          <w:szCs w:val="24"/>
        </w:rPr>
        <w:t>（3）符合条件的残疾人福利性单位在参加政府采购活动时，应当提供本通知规定</w:t>
      </w:r>
      <w:r>
        <w:rPr>
          <w:spacing w:val="4"/>
          <w:sz w:val="24"/>
          <w:szCs w:val="24"/>
        </w:rPr>
        <w:t xml:space="preserve"> </w:t>
      </w:r>
      <w:r>
        <w:rPr>
          <w:spacing w:val="-1"/>
          <w:sz w:val="24"/>
          <w:szCs w:val="24"/>
        </w:rPr>
        <w:t>的《残疾人福利性单位声明函》（见附件），并对</w:t>
      </w:r>
      <w:r>
        <w:rPr>
          <w:spacing w:val="-2"/>
          <w:sz w:val="24"/>
          <w:szCs w:val="24"/>
        </w:rPr>
        <w:t>声明的真实性负责，未提供的不视为</w:t>
      </w:r>
      <w:r>
        <w:rPr>
          <w:sz w:val="24"/>
          <w:szCs w:val="24"/>
        </w:rPr>
        <w:t xml:space="preserve"> </w:t>
      </w:r>
      <w:r>
        <w:rPr>
          <w:spacing w:val="-2"/>
          <w:sz w:val="24"/>
          <w:szCs w:val="24"/>
        </w:rPr>
        <w:t>残疾人福利性单位。</w:t>
      </w:r>
    </w:p>
    <w:p w14:paraId="4CC36EDB">
      <w:pPr>
        <w:pStyle w:val="7"/>
        <w:spacing w:before="201" w:line="219" w:lineRule="auto"/>
        <w:ind w:left="569"/>
        <w:rPr>
          <w:sz w:val="24"/>
          <w:szCs w:val="24"/>
        </w:rPr>
      </w:pPr>
      <w:r>
        <w:rPr>
          <w:rFonts w:hint="eastAsia"/>
          <w:spacing w:val="-1"/>
          <w:sz w:val="24"/>
          <w:szCs w:val="24"/>
          <w:lang w:val="en-US" w:eastAsia="zh-CN"/>
        </w:rPr>
        <w:t>2.4</w:t>
      </w:r>
      <w:r>
        <w:rPr>
          <w:spacing w:val="-1"/>
          <w:sz w:val="24"/>
          <w:szCs w:val="24"/>
        </w:rPr>
        <w:t>、节能产品、环境标志产品政策</w:t>
      </w:r>
    </w:p>
    <w:p w14:paraId="0C216228">
      <w:pPr>
        <w:pStyle w:val="7"/>
        <w:spacing w:before="202" w:line="372" w:lineRule="auto"/>
        <w:ind w:right="80" w:firstLine="575"/>
        <w:rPr>
          <w:sz w:val="24"/>
          <w:szCs w:val="24"/>
        </w:rPr>
      </w:pPr>
      <w:r>
        <w:rPr>
          <w:spacing w:val="2"/>
          <w:sz w:val="24"/>
          <w:szCs w:val="24"/>
        </w:rPr>
        <w:t>（1）节能产品根据《财政部、国家发展和改革委员会关于印发&lt;节能产品政府采</w:t>
      </w:r>
      <w:r>
        <w:rPr>
          <w:spacing w:val="16"/>
          <w:sz w:val="24"/>
          <w:szCs w:val="24"/>
        </w:rPr>
        <w:t xml:space="preserve"> </w:t>
      </w:r>
      <w:r>
        <w:rPr>
          <w:spacing w:val="-3"/>
          <w:sz w:val="24"/>
          <w:szCs w:val="24"/>
        </w:rPr>
        <w:t>购实施意见&gt;的通知》（财库【2004】185</w:t>
      </w:r>
      <w:r>
        <w:rPr>
          <w:spacing w:val="-45"/>
          <w:sz w:val="24"/>
          <w:szCs w:val="24"/>
        </w:rPr>
        <w:t xml:space="preserve"> </w:t>
      </w:r>
      <w:r>
        <w:rPr>
          <w:spacing w:val="-3"/>
          <w:sz w:val="24"/>
          <w:szCs w:val="24"/>
        </w:rPr>
        <w:t>号）、《国务院办公厅关于建立政府</w:t>
      </w:r>
      <w:r>
        <w:rPr>
          <w:spacing w:val="-4"/>
          <w:sz w:val="24"/>
          <w:szCs w:val="24"/>
        </w:rPr>
        <w:t>强制采购</w:t>
      </w:r>
      <w:r>
        <w:rPr>
          <w:sz w:val="24"/>
          <w:szCs w:val="24"/>
        </w:rPr>
        <w:t xml:space="preserve"> </w:t>
      </w:r>
      <w:r>
        <w:rPr>
          <w:spacing w:val="8"/>
          <w:sz w:val="24"/>
          <w:szCs w:val="24"/>
        </w:rPr>
        <w:t>节能产品制度的通知》</w:t>
      </w:r>
      <w:r>
        <w:rPr>
          <w:spacing w:val="-75"/>
          <w:sz w:val="24"/>
          <w:szCs w:val="24"/>
        </w:rPr>
        <w:t xml:space="preserve"> </w:t>
      </w:r>
      <w:r>
        <w:rPr>
          <w:spacing w:val="8"/>
          <w:sz w:val="24"/>
          <w:szCs w:val="24"/>
        </w:rPr>
        <w:t>（国办发〔2007〕</w:t>
      </w:r>
      <w:r>
        <w:rPr>
          <w:spacing w:val="-69"/>
          <w:sz w:val="24"/>
          <w:szCs w:val="24"/>
        </w:rPr>
        <w:t xml:space="preserve"> </w:t>
      </w:r>
      <w:r>
        <w:rPr>
          <w:spacing w:val="8"/>
          <w:sz w:val="24"/>
          <w:szCs w:val="24"/>
        </w:rPr>
        <w:t>51</w:t>
      </w:r>
      <w:r>
        <w:rPr>
          <w:spacing w:val="-26"/>
          <w:sz w:val="24"/>
          <w:szCs w:val="24"/>
        </w:rPr>
        <w:t xml:space="preserve"> </w:t>
      </w:r>
      <w:r>
        <w:rPr>
          <w:spacing w:val="8"/>
          <w:sz w:val="24"/>
          <w:szCs w:val="24"/>
        </w:rPr>
        <w:t>号）</w:t>
      </w:r>
      <w:r>
        <w:rPr>
          <w:spacing w:val="-55"/>
          <w:sz w:val="24"/>
          <w:szCs w:val="24"/>
        </w:rPr>
        <w:t xml:space="preserve"> </w:t>
      </w:r>
      <w:r>
        <w:rPr>
          <w:spacing w:val="8"/>
          <w:sz w:val="24"/>
          <w:szCs w:val="24"/>
        </w:rPr>
        <w:t>的有关规定</w:t>
      </w:r>
      <w:r>
        <w:rPr>
          <w:spacing w:val="-72"/>
          <w:sz w:val="24"/>
          <w:szCs w:val="24"/>
        </w:rPr>
        <w:t xml:space="preserve"> </w:t>
      </w:r>
      <w:r>
        <w:rPr>
          <w:spacing w:val="8"/>
          <w:sz w:val="24"/>
          <w:szCs w:val="24"/>
        </w:rPr>
        <w:t>，</w:t>
      </w:r>
      <w:r>
        <w:rPr>
          <w:spacing w:val="-64"/>
          <w:sz w:val="24"/>
          <w:szCs w:val="24"/>
        </w:rPr>
        <w:t xml:space="preserve"> </w:t>
      </w:r>
      <w:r>
        <w:rPr>
          <w:spacing w:val="8"/>
          <w:sz w:val="24"/>
          <w:szCs w:val="24"/>
        </w:rPr>
        <w:t>以中国政府采购网</w:t>
      </w:r>
      <w:r>
        <w:rPr>
          <w:sz w:val="24"/>
          <w:szCs w:val="24"/>
        </w:rPr>
        <w:t xml:space="preserve"> </w:t>
      </w:r>
      <w:r>
        <w:rPr>
          <w:spacing w:val="2"/>
          <w:sz w:val="24"/>
          <w:szCs w:val="24"/>
        </w:rPr>
        <w:t>（</w:t>
      </w:r>
      <w:r>
        <w:fldChar w:fldCharType="begin"/>
      </w:r>
      <w:r>
        <w:instrText xml:space="preserve"> HYPERLINK "http://www.ccgp.gov.cn/" </w:instrText>
      </w:r>
      <w:r>
        <w:fldChar w:fldCharType="separate"/>
      </w:r>
      <w:r>
        <w:rPr>
          <w:sz w:val="24"/>
          <w:szCs w:val="24"/>
        </w:rPr>
        <w:t>http</w:t>
      </w:r>
      <w:r>
        <w:rPr>
          <w:spacing w:val="2"/>
          <w:sz w:val="24"/>
          <w:szCs w:val="24"/>
        </w:rPr>
        <w:t>://</w:t>
      </w:r>
      <w:r>
        <w:rPr>
          <w:sz w:val="24"/>
          <w:szCs w:val="24"/>
        </w:rPr>
        <w:t>www</w:t>
      </w:r>
      <w:r>
        <w:rPr>
          <w:spacing w:val="2"/>
          <w:sz w:val="24"/>
          <w:szCs w:val="24"/>
        </w:rPr>
        <w:t>.</w:t>
      </w:r>
      <w:r>
        <w:rPr>
          <w:sz w:val="24"/>
          <w:szCs w:val="24"/>
        </w:rPr>
        <w:t>ccgp</w:t>
      </w:r>
      <w:r>
        <w:rPr>
          <w:spacing w:val="2"/>
          <w:sz w:val="24"/>
          <w:szCs w:val="24"/>
        </w:rPr>
        <w:t>.</w:t>
      </w:r>
      <w:r>
        <w:rPr>
          <w:sz w:val="24"/>
          <w:szCs w:val="24"/>
        </w:rPr>
        <w:t>gov</w:t>
      </w:r>
      <w:r>
        <w:rPr>
          <w:spacing w:val="2"/>
          <w:sz w:val="24"/>
          <w:szCs w:val="24"/>
        </w:rPr>
        <w:t>.</w:t>
      </w:r>
      <w:r>
        <w:rPr>
          <w:sz w:val="24"/>
          <w:szCs w:val="24"/>
        </w:rPr>
        <w:t>cn</w:t>
      </w:r>
      <w:r>
        <w:rPr>
          <w:spacing w:val="2"/>
          <w:sz w:val="24"/>
          <w:szCs w:val="24"/>
        </w:rPr>
        <w:t>/</w:t>
      </w:r>
      <w:r>
        <w:rPr>
          <w:spacing w:val="2"/>
          <w:sz w:val="24"/>
          <w:szCs w:val="24"/>
        </w:rPr>
        <w:fldChar w:fldCharType="end"/>
      </w:r>
      <w:r>
        <w:rPr>
          <w:spacing w:val="2"/>
          <w:sz w:val="24"/>
          <w:szCs w:val="24"/>
        </w:rPr>
        <w:t>）公布的最新一期节能产品政府采购清单为</w:t>
      </w:r>
      <w:r>
        <w:rPr>
          <w:spacing w:val="1"/>
          <w:sz w:val="24"/>
          <w:szCs w:val="24"/>
        </w:rPr>
        <w:t>准。节能清单</w:t>
      </w:r>
      <w:r>
        <w:rPr>
          <w:sz w:val="24"/>
          <w:szCs w:val="24"/>
        </w:rPr>
        <w:t xml:space="preserve"> </w:t>
      </w:r>
      <w:r>
        <w:rPr>
          <w:spacing w:val="-2"/>
          <w:sz w:val="24"/>
          <w:szCs w:val="24"/>
        </w:rPr>
        <w:t>所列产品包括政府强制采购和优先采购的节能产品，标注</w:t>
      </w:r>
      <w:r>
        <w:rPr>
          <w:spacing w:val="-3"/>
          <w:sz w:val="24"/>
          <w:szCs w:val="24"/>
        </w:rPr>
        <w:t>“★</w:t>
      </w:r>
      <w:r>
        <w:rPr>
          <w:spacing w:val="-88"/>
          <w:sz w:val="24"/>
          <w:szCs w:val="24"/>
        </w:rPr>
        <w:t xml:space="preserve"> </w:t>
      </w:r>
      <w:r>
        <w:rPr>
          <w:spacing w:val="-3"/>
          <w:sz w:val="24"/>
          <w:szCs w:val="24"/>
        </w:rPr>
        <w:t>”的品目为政府强制采购</w:t>
      </w:r>
      <w:r>
        <w:rPr>
          <w:sz w:val="24"/>
          <w:szCs w:val="24"/>
        </w:rPr>
        <w:t xml:space="preserve"> </w:t>
      </w:r>
      <w:r>
        <w:rPr>
          <w:spacing w:val="-1"/>
          <w:sz w:val="24"/>
          <w:szCs w:val="24"/>
        </w:rPr>
        <w:t>的节能产品，其他品目为政府优先采购的节能产品。</w:t>
      </w:r>
    </w:p>
    <w:p w14:paraId="6A9C87FE">
      <w:pPr>
        <w:pStyle w:val="7"/>
        <w:spacing w:before="37" w:line="369" w:lineRule="auto"/>
        <w:ind w:right="82" w:firstLine="574"/>
        <w:rPr>
          <w:sz w:val="24"/>
          <w:szCs w:val="24"/>
        </w:rPr>
      </w:pPr>
      <w:r>
        <w:rPr>
          <w:spacing w:val="2"/>
          <w:sz w:val="24"/>
          <w:szCs w:val="24"/>
        </w:rPr>
        <w:t>（2）环境标志产品根据《财政部、国家环保总局联合印发&lt;关于环境标志产品政</w:t>
      </w:r>
      <w:r>
        <w:rPr>
          <w:spacing w:val="16"/>
          <w:sz w:val="24"/>
          <w:szCs w:val="24"/>
        </w:rPr>
        <w:t xml:space="preserve"> </w:t>
      </w:r>
      <w:r>
        <w:rPr>
          <w:spacing w:val="-15"/>
          <w:sz w:val="24"/>
          <w:szCs w:val="24"/>
        </w:rPr>
        <w:t>府</w:t>
      </w:r>
      <w:r>
        <w:rPr>
          <w:spacing w:val="-63"/>
          <w:sz w:val="24"/>
          <w:szCs w:val="24"/>
        </w:rPr>
        <w:t xml:space="preserve"> </w:t>
      </w:r>
      <w:r>
        <w:rPr>
          <w:spacing w:val="-15"/>
          <w:sz w:val="24"/>
          <w:szCs w:val="24"/>
        </w:rPr>
        <w:t>采</w:t>
      </w:r>
      <w:r>
        <w:rPr>
          <w:spacing w:val="-65"/>
          <w:sz w:val="24"/>
          <w:szCs w:val="24"/>
        </w:rPr>
        <w:t xml:space="preserve"> </w:t>
      </w:r>
      <w:r>
        <w:rPr>
          <w:spacing w:val="-15"/>
          <w:sz w:val="24"/>
          <w:szCs w:val="24"/>
        </w:rPr>
        <w:t>购</w:t>
      </w:r>
      <w:r>
        <w:rPr>
          <w:spacing w:val="-57"/>
          <w:sz w:val="24"/>
          <w:szCs w:val="24"/>
        </w:rPr>
        <w:t xml:space="preserve"> </w:t>
      </w:r>
      <w:r>
        <w:rPr>
          <w:spacing w:val="-15"/>
          <w:sz w:val="24"/>
          <w:szCs w:val="24"/>
        </w:rPr>
        <w:t>实</w:t>
      </w:r>
      <w:r>
        <w:rPr>
          <w:spacing w:val="-61"/>
          <w:sz w:val="24"/>
          <w:szCs w:val="24"/>
        </w:rPr>
        <w:t xml:space="preserve"> </w:t>
      </w:r>
      <w:r>
        <w:rPr>
          <w:spacing w:val="-15"/>
          <w:sz w:val="24"/>
          <w:szCs w:val="24"/>
        </w:rPr>
        <w:t>施</w:t>
      </w:r>
      <w:r>
        <w:rPr>
          <w:spacing w:val="-43"/>
          <w:sz w:val="24"/>
          <w:szCs w:val="24"/>
        </w:rPr>
        <w:t xml:space="preserve"> </w:t>
      </w:r>
      <w:r>
        <w:rPr>
          <w:spacing w:val="-15"/>
          <w:sz w:val="24"/>
          <w:szCs w:val="24"/>
        </w:rPr>
        <w:t>的</w:t>
      </w:r>
      <w:r>
        <w:rPr>
          <w:spacing w:val="-56"/>
          <w:sz w:val="24"/>
          <w:szCs w:val="24"/>
        </w:rPr>
        <w:t xml:space="preserve"> </w:t>
      </w:r>
      <w:r>
        <w:rPr>
          <w:spacing w:val="-15"/>
          <w:sz w:val="24"/>
          <w:szCs w:val="24"/>
        </w:rPr>
        <w:t>意</w:t>
      </w:r>
      <w:r>
        <w:rPr>
          <w:spacing w:val="-59"/>
          <w:sz w:val="24"/>
          <w:szCs w:val="24"/>
        </w:rPr>
        <w:t xml:space="preserve"> </w:t>
      </w:r>
      <w:r>
        <w:rPr>
          <w:spacing w:val="-15"/>
          <w:sz w:val="24"/>
          <w:szCs w:val="24"/>
        </w:rPr>
        <w:t>见&gt;</w:t>
      </w:r>
      <w:r>
        <w:rPr>
          <w:spacing w:val="-47"/>
          <w:sz w:val="24"/>
          <w:szCs w:val="24"/>
        </w:rPr>
        <w:t xml:space="preserve"> </w:t>
      </w:r>
      <w:r>
        <w:rPr>
          <w:spacing w:val="-15"/>
          <w:sz w:val="24"/>
          <w:szCs w:val="24"/>
        </w:rPr>
        <w:t>》</w:t>
      </w:r>
      <w:r>
        <w:rPr>
          <w:spacing w:val="-72"/>
          <w:sz w:val="24"/>
          <w:szCs w:val="24"/>
        </w:rPr>
        <w:t xml:space="preserve"> </w:t>
      </w:r>
      <w:r>
        <w:rPr>
          <w:spacing w:val="-15"/>
          <w:sz w:val="24"/>
          <w:szCs w:val="24"/>
        </w:rPr>
        <w:t>（ 财</w:t>
      </w:r>
      <w:r>
        <w:rPr>
          <w:spacing w:val="-62"/>
          <w:sz w:val="24"/>
          <w:szCs w:val="24"/>
        </w:rPr>
        <w:t xml:space="preserve"> </w:t>
      </w:r>
      <w:r>
        <w:rPr>
          <w:spacing w:val="-15"/>
          <w:sz w:val="24"/>
          <w:szCs w:val="24"/>
        </w:rPr>
        <w:t>库</w:t>
      </w:r>
      <w:r>
        <w:rPr>
          <w:spacing w:val="-69"/>
          <w:sz w:val="24"/>
          <w:szCs w:val="24"/>
        </w:rPr>
        <w:t xml:space="preserve"> </w:t>
      </w:r>
      <w:r>
        <w:rPr>
          <w:spacing w:val="-15"/>
          <w:sz w:val="24"/>
          <w:szCs w:val="24"/>
        </w:rPr>
        <w:t>【 2006</w:t>
      </w:r>
      <w:r>
        <w:rPr>
          <w:spacing w:val="-39"/>
          <w:sz w:val="24"/>
          <w:szCs w:val="24"/>
        </w:rPr>
        <w:t xml:space="preserve"> </w:t>
      </w:r>
      <w:r>
        <w:rPr>
          <w:spacing w:val="-15"/>
          <w:sz w:val="24"/>
          <w:szCs w:val="24"/>
        </w:rPr>
        <w:t>】</w:t>
      </w:r>
      <w:r>
        <w:rPr>
          <w:spacing w:val="-62"/>
          <w:sz w:val="24"/>
          <w:szCs w:val="24"/>
        </w:rPr>
        <w:t xml:space="preserve"> </w:t>
      </w:r>
      <w:r>
        <w:rPr>
          <w:spacing w:val="-15"/>
          <w:sz w:val="24"/>
          <w:szCs w:val="24"/>
        </w:rPr>
        <w:t>90 号</w:t>
      </w:r>
      <w:r>
        <w:rPr>
          <w:spacing w:val="-37"/>
          <w:sz w:val="24"/>
          <w:szCs w:val="24"/>
        </w:rPr>
        <w:t xml:space="preserve"> </w:t>
      </w:r>
      <w:r>
        <w:rPr>
          <w:spacing w:val="-15"/>
          <w:sz w:val="24"/>
          <w:szCs w:val="24"/>
        </w:rPr>
        <w:t>）</w:t>
      </w:r>
      <w:r>
        <w:rPr>
          <w:spacing w:val="-43"/>
          <w:sz w:val="24"/>
          <w:szCs w:val="24"/>
        </w:rPr>
        <w:t xml:space="preserve"> </w:t>
      </w:r>
      <w:r>
        <w:rPr>
          <w:spacing w:val="-15"/>
          <w:sz w:val="24"/>
          <w:szCs w:val="24"/>
        </w:rPr>
        <w:t>的</w:t>
      </w:r>
      <w:r>
        <w:rPr>
          <w:spacing w:val="-62"/>
          <w:sz w:val="24"/>
          <w:szCs w:val="24"/>
        </w:rPr>
        <w:t xml:space="preserve"> </w:t>
      </w:r>
      <w:r>
        <w:rPr>
          <w:spacing w:val="-15"/>
          <w:sz w:val="24"/>
          <w:szCs w:val="24"/>
        </w:rPr>
        <w:t>规</w:t>
      </w:r>
      <w:r>
        <w:rPr>
          <w:spacing w:val="-54"/>
          <w:sz w:val="24"/>
          <w:szCs w:val="24"/>
        </w:rPr>
        <w:t xml:space="preserve"> </w:t>
      </w:r>
      <w:r>
        <w:rPr>
          <w:spacing w:val="-15"/>
          <w:sz w:val="24"/>
          <w:szCs w:val="24"/>
        </w:rPr>
        <w:t>定</w:t>
      </w:r>
      <w:r>
        <w:rPr>
          <w:spacing w:val="-43"/>
          <w:sz w:val="24"/>
          <w:szCs w:val="24"/>
        </w:rPr>
        <w:t xml:space="preserve"> </w:t>
      </w:r>
      <w:r>
        <w:rPr>
          <w:spacing w:val="-15"/>
          <w:sz w:val="24"/>
          <w:szCs w:val="24"/>
        </w:rPr>
        <w:t>，</w:t>
      </w:r>
      <w:r>
        <w:rPr>
          <w:spacing w:val="-36"/>
          <w:sz w:val="24"/>
          <w:szCs w:val="24"/>
        </w:rPr>
        <w:t xml:space="preserve"> </w:t>
      </w:r>
      <w:r>
        <w:rPr>
          <w:spacing w:val="-15"/>
          <w:sz w:val="24"/>
          <w:szCs w:val="24"/>
        </w:rPr>
        <w:t>以</w:t>
      </w:r>
      <w:r>
        <w:rPr>
          <w:spacing w:val="-40"/>
          <w:sz w:val="24"/>
          <w:szCs w:val="24"/>
        </w:rPr>
        <w:t xml:space="preserve"> </w:t>
      </w:r>
      <w:r>
        <w:rPr>
          <w:spacing w:val="-15"/>
          <w:sz w:val="24"/>
          <w:szCs w:val="24"/>
        </w:rPr>
        <w:t>中</w:t>
      </w:r>
      <w:r>
        <w:rPr>
          <w:spacing w:val="-39"/>
          <w:sz w:val="24"/>
          <w:szCs w:val="24"/>
        </w:rPr>
        <w:t xml:space="preserve"> </w:t>
      </w:r>
      <w:r>
        <w:rPr>
          <w:spacing w:val="-15"/>
          <w:sz w:val="24"/>
          <w:szCs w:val="24"/>
        </w:rPr>
        <w:t>国</w:t>
      </w:r>
      <w:r>
        <w:rPr>
          <w:spacing w:val="-64"/>
          <w:sz w:val="24"/>
          <w:szCs w:val="24"/>
        </w:rPr>
        <w:t xml:space="preserve"> </w:t>
      </w:r>
      <w:r>
        <w:rPr>
          <w:spacing w:val="-15"/>
          <w:sz w:val="24"/>
          <w:szCs w:val="24"/>
        </w:rPr>
        <w:t>政</w:t>
      </w:r>
      <w:r>
        <w:rPr>
          <w:spacing w:val="-61"/>
          <w:sz w:val="24"/>
          <w:szCs w:val="24"/>
        </w:rPr>
        <w:t xml:space="preserve"> </w:t>
      </w:r>
      <w:r>
        <w:rPr>
          <w:spacing w:val="-15"/>
          <w:sz w:val="24"/>
          <w:szCs w:val="24"/>
        </w:rPr>
        <w:t>府</w:t>
      </w:r>
      <w:r>
        <w:rPr>
          <w:spacing w:val="-63"/>
          <w:sz w:val="24"/>
          <w:szCs w:val="24"/>
        </w:rPr>
        <w:t xml:space="preserve"> </w:t>
      </w:r>
      <w:r>
        <w:rPr>
          <w:spacing w:val="-15"/>
          <w:sz w:val="24"/>
          <w:szCs w:val="24"/>
        </w:rPr>
        <w:t>采</w:t>
      </w:r>
      <w:r>
        <w:rPr>
          <w:spacing w:val="-65"/>
          <w:sz w:val="24"/>
          <w:szCs w:val="24"/>
        </w:rPr>
        <w:t xml:space="preserve"> </w:t>
      </w:r>
      <w:r>
        <w:rPr>
          <w:spacing w:val="-16"/>
          <w:sz w:val="24"/>
          <w:szCs w:val="24"/>
        </w:rPr>
        <w:t>购</w:t>
      </w:r>
      <w:r>
        <w:rPr>
          <w:spacing w:val="-44"/>
          <w:sz w:val="24"/>
          <w:szCs w:val="24"/>
        </w:rPr>
        <w:t xml:space="preserve"> </w:t>
      </w:r>
      <w:r>
        <w:rPr>
          <w:spacing w:val="-16"/>
          <w:sz w:val="24"/>
          <w:szCs w:val="24"/>
        </w:rPr>
        <w:t>网</w:t>
      </w:r>
      <w:r>
        <w:rPr>
          <w:sz w:val="24"/>
          <w:szCs w:val="24"/>
        </w:rPr>
        <w:t xml:space="preserve"> </w:t>
      </w:r>
      <w:r>
        <w:rPr>
          <w:spacing w:val="2"/>
          <w:sz w:val="24"/>
          <w:szCs w:val="24"/>
        </w:rPr>
        <w:t>（</w:t>
      </w:r>
      <w:r>
        <w:fldChar w:fldCharType="begin"/>
      </w:r>
      <w:r>
        <w:instrText xml:space="preserve"> HYPERLINK "http://www.ccgp.gov.cn/" </w:instrText>
      </w:r>
      <w:r>
        <w:fldChar w:fldCharType="separate"/>
      </w:r>
      <w:r>
        <w:rPr>
          <w:sz w:val="24"/>
          <w:szCs w:val="24"/>
        </w:rPr>
        <w:t>http</w:t>
      </w:r>
      <w:r>
        <w:rPr>
          <w:spacing w:val="2"/>
          <w:sz w:val="24"/>
          <w:szCs w:val="24"/>
        </w:rPr>
        <w:t>://</w:t>
      </w:r>
      <w:r>
        <w:rPr>
          <w:sz w:val="24"/>
          <w:szCs w:val="24"/>
        </w:rPr>
        <w:t>www</w:t>
      </w:r>
      <w:r>
        <w:rPr>
          <w:spacing w:val="2"/>
          <w:sz w:val="24"/>
          <w:szCs w:val="24"/>
        </w:rPr>
        <w:t>.</w:t>
      </w:r>
      <w:r>
        <w:rPr>
          <w:sz w:val="24"/>
          <w:szCs w:val="24"/>
        </w:rPr>
        <w:t>ccgp</w:t>
      </w:r>
      <w:r>
        <w:rPr>
          <w:spacing w:val="2"/>
          <w:sz w:val="24"/>
          <w:szCs w:val="24"/>
        </w:rPr>
        <w:t>.</w:t>
      </w:r>
      <w:r>
        <w:rPr>
          <w:sz w:val="24"/>
          <w:szCs w:val="24"/>
        </w:rPr>
        <w:t>gov</w:t>
      </w:r>
      <w:r>
        <w:rPr>
          <w:spacing w:val="2"/>
          <w:sz w:val="24"/>
          <w:szCs w:val="24"/>
        </w:rPr>
        <w:t>.</w:t>
      </w:r>
      <w:r>
        <w:rPr>
          <w:sz w:val="24"/>
          <w:szCs w:val="24"/>
        </w:rPr>
        <w:t>cn</w:t>
      </w:r>
      <w:r>
        <w:rPr>
          <w:spacing w:val="2"/>
          <w:sz w:val="24"/>
          <w:szCs w:val="24"/>
        </w:rPr>
        <w:t>/</w:t>
      </w:r>
      <w:r>
        <w:rPr>
          <w:spacing w:val="2"/>
          <w:sz w:val="24"/>
          <w:szCs w:val="24"/>
        </w:rPr>
        <w:fldChar w:fldCharType="end"/>
      </w:r>
      <w:r>
        <w:rPr>
          <w:spacing w:val="2"/>
          <w:sz w:val="24"/>
          <w:szCs w:val="24"/>
        </w:rPr>
        <w:t>）公布的最新一期环境标志产品政府采购清</w:t>
      </w:r>
      <w:r>
        <w:rPr>
          <w:spacing w:val="1"/>
          <w:sz w:val="24"/>
          <w:szCs w:val="24"/>
        </w:rPr>
        <w:t>单为准。环保</w:t>
      </w:r>
      <w:r>
        <w:rPr>
          <w:sz w:val="24"/>
          <w:szCs w:val="24"/>
        </w:rPr>
        <w:t xml:space="preserve"> </w:t>
      </w:r>
      <w:r>
        <w:rPr>
          <w:spacing w:val="-1"/>
          <w:sz w:val="24"/>
          <w:szCs w:val="24"/>
        </w:rPr>
        <w:t>清单所列产品为政府优先采购产品。</w:t>
      </w:r>
    </w:p>
    <w:p w14:paraId="100B26CF">
      <w:pPr>
        <w:spacing w:line="500" w:lineRule="exact"/>
        <w:ind w:firstLine="482" w:firstLineChars="200"/>
        <w:jc w:val="left"/>
        <w:rPr>
          <w:rFonts w:hint="eastAsia" w:ascii="宋体" w:hAnsi="宋体" w:eastAsia="宋体" w:cs="宋体"/>
          <w:szCs w:val="24"/>
          <w:highlight w:val="none"/>
        </w:rPr>
      </w:pPr>
      <w:r>
        <w:rPr>
          <w:rFonts w:hint="eastAsia" w:ascii="宋体" w:hAnsi="宋体" w:eastAsia="宋体" w:cs="宋体"/>
          <w:b/>
          <w:bCs/>
          <w:szCs w:val="24"/>
          <w:highlight w:val="none"/>
        </w:rPr>
        <w:t>3、</w:t>
      </w:r>
      <w:r>
        <w:rPr>
          <w:rFonts w:hint="eastAsia" w:ascii="宋体" w:hAnsi="宋体" w:eastAsia="宋体" w:cs="宋体"/>
          <w:szCs w:val="24"/>
          <w:highlight w:val="none"/>
        </w:rPr>
        <w:t>成交价格=成交供应商的有效磋商报价。</w:t>
      </w:r>
    </w:p>
    <w:p w14:paraId="7CE6A4D2">
      <w:pPr>
        <w:spacing w:line="360" w:lineRule="auto"/>
        <w:jc w:val="both"/>
        <w:rPr>
          <w:rFonts w:hint="eastAsia" w:hAnsi="宋体"/>
          <w:b/>
          <w:color w:val="auto"/>
          <w:szCs w:val="24"/>
          <w:highlight w:val="none"/>
        </w:rPr>
      </w:pPr>
      <w:r>
        <w:rPr>
          <w:rFonts w:hint="eastAsia" w:hAnsi="宋体"/>
          <w:b/>
          <w:color w:val="auto"/>
          <w:spacing w:val="4"/>
          <w:szCs w:val="24"/>
          <w:highlight w:val="none"/>
        </w:rPr>
        <w:br w:type="page"/>
      </w:r>
      <w:r>
        <w:rPr>
          <w:rFonts w:hint="eastAsia" w:hAnsi="宋体"/>
          <w:b/>
          <w:color w:val="auto"/>
          <w:spacing w:val="4"/>
          <w:szCs w:val="24"/>
          <w:highlight w:val="none"/>
        </w:rPr>
        <w:t>四、</w:t>
      </w:r>
      <w:r>
        <w:rPr>
          <w:rFonts w:hint="eastAsia" w:hAnsi="宋体"/>
          <w:b/>
          <w:color w:val="auto"/>
          <w:szCs w:val="24"/>
          <w:highlight w:val="none"/>
        </w:rPr>
        <w:t>评审要素和分值分解表</w:t>
      </w:r>
    </w:p>
    <w:tbl>
      <w:tblPr>
        <w:tblStyle w:val="19"/>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50"/>
        <w:gridCol w:w="7025"/>
      </w:tblGrid>
      <w:tr w14:paraId="57CB9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560" w:type="dxa"/>
            <w:noWrap/>
            <w:vAlign w:val="center"/>
          </w:tcPr>
          <w:p w14:paraId="11BA2675">
            <w:pPr>
              <w:spacing w:line="360" w:lineRule="auto"/>
              <w:jc w:val="center"/>
              <w:rPr>
                <w:rFonts w:hint="eastAsia" w:hAnsi="宋体" w:cs="宋体"/>
                <w:bCs/>
                <w:sz w:val="21"/>
                <w:szCs w:val="21"/>
              </w:rPr>
            </w:pPr>
            <w:r>
              <w:rPr>
                <w:rFonts w:hint="eastAsia" w:hAnsi="宋体" w:cs="宋体"/>
                <w:bCs/>
                <w:sz w:val="21"/>
                <w:szCs w:val="21"/>
              </w:rPr>
              <w:t>评标内容</w:t>
            </w:r>
          </w:p>
        </w:tc>
        <w:tc>
          <w:tcPr>
            <w:tcW w:w="850" w:type="dxa"/>
            <w:noWrap/>
            <w:vAlign w:val="center"/>
          </w:tcPr>
          <w:p w14:paraId="5006571F">
            <w:pPr>
              <w:spacing w:line="360" w:lineRule="auto"/>
              <w:jc w:val="center"/>
              <w:rPr>
                <w:rFonts w:hint="eastAsia" w:hAnsi="宋体" w:cs="宋体"/>
                <w:bCs/>
                <w:sz w:val="21"/>
                <w:szCs w:val="21"/>
              </w:rPr>
            </w:pPr>
            <w:r>
              <w:rPr>
                <w:rFonts w:hint="eastAsia" w:hAnsi="宋体" w:cs="宋体"/>
                <w:bCs/>
                <w:sz w:val="21"/>
                <w:szCs w:val="21"/>
              </w:rPr>
              <w:t>分数</w:t>
            </w:r>
          </w:p>
        </w:tc>
        <w:tc>
          <w:tcPr>
            <w:tcW w:w="7025" w:type="dxa"/>
            <w:noWrap/>
            <w:vAlign w:val="center"/>
          </w:tcPr>
          <w:p w14:paraId="5D9BEE6A">
            <w:pPr>
              <w:spacing w:line="360" w:lineRule="auto"/>
              <w:ind w:firstLine="480"/>
              <w:jc w:val="center"/>
              <w:rPr>
                <w:rFonts w:hint="eastAsia" w:hAnsi="宋体" w:cs="宋体"/>
                <w:bCs/>
                <w:sz w:val="21"/>
                <w:szCs w:val="21"/>
              </w:rPr>
            </w:pPr>
            <w:r>
              <w:rPr>
                <w:rFonts w:hint="eastAsia" w:hAnsi="宋体" w:cs="宋体"/>
                <w:bCs/>
                <w:sz w:val="21"/>
                <w:szCs w:val="21"/>
              </w:rPr>
              <w:t>评标原则与标准</w:t>
            </w:r>
          </w:p>
        </w:tc>
      </w:tr>
      <w:tr w14:paraId="69F3D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1560" w:type="dxa"/>
            <w:noWrap/>
            <w:vAlign w:val="center"/>
          </w:tcPr>
          <w:p w14:paraId="590D3635">
            <w:pPr>
              <w:spacing w:line="360" w:lineRule="auto"/>
              <w:jc w:val="center"/>
              <w:rPr>
                <w:rFonts w:hint="eastAsia" w:hAnsi="宋体" w:cs="宋体"/>
                <w:bCs/>
                <w:sz w:val="21"/>
                <w:szCs w:val="21"/>
              </w:rPr>
            </w:pPr>
            <w:r>
              <w:rPr>
                <w:rFonts w:hint="eastAsia" w:hAnsi="宋体" w:cs="宋体"/>
                <w:bCs/>
                <w:sz w:val="21"/>
                <w:szCs w:val="21"/>
              </w:rPr>
              <w:t>投标报价</w:t>
            </w:r>
          </w:p>
          <w:p w14:paraId="05EAE2C3">
            <w:pPr>
              <w:spacing w:line="360" w:lineRule="auto"/>
              <w:jc w:val="center"/>
              <w:rPr>
                <w:rFonts w:hint="eastAsia" w:hAnsi="宋体" w:cs="宋体"/>
                <w:bCs/>
                <w:sz w:val="21"/>
                <w:szCs w:val="21"/>
              </w:rPr>
            </w:pPr>
            <w:r>
              <w:rPr>
                <w:rFonts w:hint="eastAsia" w:hAnsi="宋体" w:cs="宋体"/>
                <w:bCs/>
                <w:sz w:val="21"/>
                <w:szCs w:val="21"/>
              </w:rPr>
              <w:t>（20分）</w:t>
            </w:r>
          </w:p>
        </w:tc>
        <w:tc>
          <w:tcPr>
            <w:tcW w:w="850" w:type="dxa"/>
            <w:noWrap/>
            <w:vAlign w:val="center"/>
          </w:tcPr>
          <w:p w14:paraId="623BA562">
            <w:pPr>
              <w:spacing w:line="360" w:lineRule="auto"/>
              <w:jc w:val="center"/>
              <w:rPr>
                <w:rFonts w:hint="eastAsia" w:hAnsi="宋体" w:cs="宋体"/>
                <w:bCs/>
                <w:sz w:val="21"/>
                <w:szCs w:val="21"/>
              </w:rPr>
            </w:pPr>
            <w:r>
              <w:rPr>
                <w:rFonts w:hint="eastAsia" w:hAnsi="宋体" w:cs="宋体"/>
                <w:bCs/>
                <w:sz w:val="21"/>
                <w:szCs w:val="21"/>
              </w:rPr>
              <w:t>20分</w:t>
            </w:r>
          </w:p>
        </w:tc>
        <w:tc>
          <w:tcPr>
            <w:tcW w:w="7025" w:type="dxa"/>
            <w:noWrap/>
            <w:vAlign w:val="center"/>
          </w:tcPr>
          <w:p w14:paraId="4852DE8B">
            <w:pPr>
              <w:spacing w:line="360" w:lineRule="auto"/>
              <w:rPr>
                <w:rFonts w:hint="eastAsia" w:hAnsi="宋体" w:cs="宋体"/>
                <w:bCs/>
                <w:sz w:val="21"/>
                <w:szCs w:val="21"/>
              </w:rPr>
            </w:pPr>
            <w:r>
              <w:rPr>
                <w:rFonts w:hint="eastAsia" w:hAnsi="宋体" w:cs="宋体"/>
                <w:bCs/>
                <w:sz w:val="21"/>
                <w:szCs w:val="21"/>
              </w:rPr>
              <w:t>采用低价优先法计算，即满足招标文件要求且投标价格最低的投标报价为评标基准价，其价格分为满分。</w:t>
            </w:r>
          </w:p>
          <w:p w14:paraId="00FFBF28">
            <w:pPr>
              <w:spacing w:line="360" w:lineRule="auto"/>
              <w:rPr>
                <w:rFonts w:hint="eastAsia" w:hAnsi="宋体" w:cs="宋体"/>
                <w:bCs/>
                <w:sz w:val="21"/>
                <w:szCs w:val="21"/>
              </w:rPr>
            </w:pPr>
            <w:r>
              <w:rPr>
                <w:rFonts w:hint="eastAsia" w:hAnsi="宋体" w:cs="宋体"/>
                <w:bCs/>
                <w:sz w:val="21"/>
                <w:szCs w:val="21"/>
              </w:rPr>
              <w:t xml:space="preserve">投标报价得分＝（评标基准价/投标报价）×20  </w:t>
            </w:r>
          </w:p>
          <w:p w14:paraId="5E150C8B">
            <w:pPr>
              <w:pStyle w:val="11"/>
              <w:rPr>
                <w:rFonts w:hint="eastAsia" w:ascii="宋体" w:hAnsi="宋体" w:cs="宋体"/>
                <w:sz w:val="21"/>
                <w:szCs w:val="21"/>
              </w:rPr>
            </w:pPr>
            <w:r>
              <w:rPr>
                <w:rFonts w:hint="eastAsia" w:ascii="宋体" w:hAnsi="宋体" w:cs="宋体"/>
                <w:sz w:val="21"/>
                <w:szCs w:val="21"/>
              </w:rPr>
              <w:t>符合招标文件规定的小型、微型企业，价格给予6%的扣除，用扣除后的价格参与评审。</w:t>
            </w:r>
          </w:p>
        </w:tc>
      </w:tr>
      <w:tr w14:paraId="0EDFB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560" w:type="dxa"/>
            <w:vMerge w:val="restart"/>
            <w:noWrap/>
            <w:vAlign w:val="center"/>
          </w:tcPr>
          <w:p w14:paraId="32C965F3">
            <w:pPr>
              <w:spacing w:line="360" w:lineRule="auto"/>
              <w:jc w:val="center"/>
              <w:rPr>
                <w:rFonts w:hint="eastAsia" w:hAnsi="宋体" w:cs="宋体"/>
                <w:bCs/>
                <w:sz w:val="21"/>
                <w:szCs w:val="21"/>
              </w:rPr>
            </w:pPr>
            <w:r>
              <w:rPr>
                <w:rFonts w:hint="eastAsia" w:hAnsi="宋体" w:cs="宋体"/>
                <w:bCs/>
                <w:sz w:val="21"/>
                <w:szCs w:val="21"/>
              </w:rPr>
              <w:t>技术方案</w:t>
            </w:r>
          </w:p>
          <w:p w14:paraId="2FB905EC">
            <w:pPr>
              <w:spacing w:line="360" w:lineRule="auto"/>
              <w:jc w:val="center"/>
              <w:rPr>
                <w:rFonts w:hint="eastAsia" w:hAnsi="宋体" w:cs="宋体"/>
                <w:bCs/>
                <w:sz w:val="21"/>
                <w:szCs w:val="21"/>
              </w:rPr>
            </w:pPr>
            <w:r>
              <w:rPr>
                <w:rFonts w:hint="eastAsia" w:hAnsi="宋体" w:cs="宋体"/>
                <w:bCs/>
                <w:sz w:val="21"/>
                <w:szCs w:val="21"/>
              </w:rPr>
              <w:t>(</w:t>
            </w:r>
            <w:r>
              <w:rPr>
                <w:rFonts w:hint="eastAsia" w:hAnsi="宋体" w:cs="宋体"/>
                <w:bCs/>
                <w:sz w:val="21"/>
                <w:szCs w:val="21"/>
                <w:lang w:val="en-US" w:eastAsia="zh-CN"/>
              </w:rPr>
              <w:t>60</w:t>
            </w:r>
            <w:r>
              <w:rPr>
                <w:rFonts w:hint="eastAsia" w:hAnsi="宋体" w:cs="宋体"/>
                <w:bCs/>
                <w:sz w:val="21"/>
                <w:szCs w:val="21"/>
              </w:rPr>
              <w:t>分)</w:t>
            </w:r>
          </w:p>
        </w:tc>
        <w:tc>
          <w:tcPr>
            <w:tcW w:w="850" w:type="dxa"/>
            <w:noWrap/>
            <w:vAlign w:val="center"/>
          </w:tcPr>
          <w:p w14:paraId="4585061A">
            <w:pPr>
              <w:spacing w:line="360" w:lineRule="auto"/>
              <w:jc w:val="center"/>
              <w:rPr>
                <w:rFonts w:hint="eastAsia" w:hAnsi="宋体" w:cs="宋体"/>
                <w:bCs/>
                <w:sz w:val="21"/>
                <w:szCs w:val="21"/>
                <w:highlight w:val="yellow"/>
              </w:rPr>
            </w:pPr>
            <w:r>
              <w:rPr>
                <w:rFonts w:hAnsi="宋体" w:cs="宋体"/>
                <w:bCs/>
                <w:sz w:val="21"/>
                <w:szCs w:val="21"/>
                <w:highlight w:val="yellow"/>
              </w:rPr>
              <w:t>1</w:t>
            </w:r>
            <w:r>
              <w:rPr>
                <w:rFonts w:hint="eastAsia" w:hAnsi="宋体" w:cs="宋体"/>
                <w:bCs/>
                <w:sz w:val="21"/>
                <w:szCs w:val="21"/>
                <w:highlight w:val="yellow"/>
                <w:lang w:val="en-US" w:eastAsia="zh-CN"/>
              </w:rPr>
              <w:t>0</w:t>
            </w:r>
            <w:r>
              <w:rPr>
                <w:rFonts w:hint="eastAsia" w:hAnsi="宋体" w:cs="宋体"/>
                <w:bCs/>
                <w:sz w:val="21"/>
                <w:szCs w:val="21"/>
                <w:highlight w:val="yellow"/>
              </w:rPr>
              <w:t>分</w:t>
            </w:r>
          </w:p>
        </w:tc>
        <w:tc>
          <w:tcPr>
            <w:tcW w:w="7025" w:type="dxa"/>
            <w:noWrap/>
            <w:vAlign w:val="center"/>
          </w:tcPr>
          <w:p w14:paraId="56217E8C">
            <w:pPr>
              <w:spacing w:line="360" w:lineRule="auto"/>
              <w:rPr>
                <w:rFonts w:hint="eastAsia" w:hAnsi="宋体" w:cs="宋体"/>
                <w:bCs/>
                <w:sz w:val="21"/>
                <w:szCs w:val="21"/>
                <w:highlight w:val="yellow"/>
              </w:rPr>
            </w:pPr>
            <w:r>
              <w:rPr>
                <w:rFonts w:hint="eastAsia" w:hAnsi="宋体" w:cs="宋体"/>
                <w:bCs/>
                <w:sz w:val="21"/>
                <w:szCs w:val="21"/>
                <w:highlight w:val="yellow"/>
              </w:rPr>
              <w:t>投标人提供针对本项目的服务实施方案，方案需包含但不限于：项目概况、实施计划、</w:t>
            </w:r>
            <w:r>
              <w:rPr>
                <w:rFonts w:hint="eastAsia" w:hAnsi="宋体" w:cs="宋体"/>
                <w:bCs/>
                <w:sz w:val="21"/>
                <w:szCs w:val="21"/>
                <w:highlight w:val="yellow"/>
                <w:lang w:val="en-US" w:eastAsia="zh-CN"/>
              </w:rPr>
              <w:t>服务内容、</w:t>
            </w:r>
            <w:r>
              <w:rPr>
                <w:rFonts w:hint="eastAsia" w:hAnsi="宋体" w:cs="宋体"/>
                <w:bCs/>
                <w:sz w:val="21"/>
                <w:szCs w:val="21"/>
                <w:highlight w:val="yellow"/>
              </w:rPr>
              <w:t>人员保障、质量保证、成果说明等方面，对投标人提供的实施方案内容进行评审。</w:t>
            </w:r>
          </w:p>
          <w:p w14:paraId="3524DA2F">
            <w:pPr>
              <w:spacing w:line="360" w:lineRule="auto"/>
              <w:rPr>
                <w:rFonts w:hint="eastAsia" w:hAnsi="宋体" w:cs="宋体"/>
                <w:bCs/>
                <w:sz w:val="21"/>
                <w:szCs w:val="21"/>
                <w:highlight w:val="yellow"/>
              </w:rPr>
            </w:pPr>
            <w:r>
              <w:rPr>
                <w:rFonts w:hint="eastAsia" w:hAnsi="宋体" w:cs="宋体"/>
                <w:bCs/>
                <w:sz w:val="21"/>
                <w:szCs w:val="21"/>
                <w:highlight w:val="yellow"/>
              </w:rPr>
              <w:t>（1）项目实施方案内容全面，结构完整，明确项目概况，有完善的实施计划、人员保障和质量保证措施以及成果说明的，得</w:t>
            </w:r>
            <w:r>
              <w:rPr>
                <w:rFonts w:hint="eastAsia" w:hAnsi="宋体" w:cs="宋体"/>
                <w:bCs/>
                <w:sz w:val="21"/>
                <w:szCs w:val="21"/>
                <w:highlight w:val="yellow"/>
                <w:lang w:val="en-US" w:eastAsia="zh-CN"/>
              </w:rPr>
              <w:t>7</w:t>
            </w:r>
            <w:r>
              <w:rPr>
                <w:rFonts w:hint="eastAsia" w:hAnsi="宋体" w:cs="宋体"/>
                <w:bCs/>
                <w:sz w:val="21"/>
                <w:szCs w:val="21"/>
                <w:highlight w:val="yellow"/>
              </w:rPr>
              <w:t>-</w:t>
            </w:r>
            <w:r>
              <w:rPr>
                <w:rFonts w:hAnsi="宋体" w:cs="宋体"/>
                <w:bCs/>
                <w:sz w:val="21"/>
                <w:szCs w:val="21"/>
                <w:highlight w:val="yellow"/>
              </w:rPr>
              <w:t>1</w:t>
            </w:r>
            <w:r>
              <w:rPr>
                <w:rFonts w:hint="eastAsia" w:hAnsi="宋体" w:cs="宋体"/>
                <w:bCs/>
                <w:sz w:val="21"/>
                <w:szCs w:val="21"/>
                <w:highlight w:val="yellow"/>
                <w:lang w:val="en-US" w:eastAsia="zh-CN"/>
              </w:rPr>
              <w:t>0</w:t>
            </w:r>
            <w:r>
              <w:rPr>
                <w:rFonts w:hint="eastAsia" w:hAnsi="宋体" w:cs="宋体"/>
                <w:bCs/>
                <w:sz w:val="21"/>
                <w:szCs w:val="21"/>
                <w:highlight w:val="yellow"/>
              </w:rPr>
              <w:t>分；</w:t>
            </w:r>
          </w:p>
          <w:p w14:paraId="10835A66">
            <w:pPr>
              <w:spacing w:line="360" w:lineRule="auto"/>
              <w:rPr>
                <w:rFonts w:hint="eastAsia" w:hAnsi="宋体" w:cs="宋体"/>
                <w:bCs/>
                <w:sz w:val="21"/>
                <w:szCs w:val="21"/>
                <w:highlight w:val="yellow"/>
              </w:rPr>
            </w:pPr>
            <w:r>
              <w:rPr>
                <w:rFonts w:hint="eastAsia" w:hAnsi="宋体" w:cs="宋体"/>
                <w:bCs/>
                <w:sz w:val="21"/>
                <w:szCs w:val="21"/>
                <w:highlight w:val="yellow"/>
              </w:rPr>
              <w:t>（2）项目实施方案内容较全面，结构较完整，对项目概况有一定了解，有较完善实施计划、人员保障和质量保证措施及成果说明的，得</w:t>
            </w:r>
            <w:r>
              <w:rPr>
                <w:rFonts w:hAnsi="宋体" w:cs="宋体"/>
                <w:bCs/>
                <w:sz w:val="21"/>
                <w:szCs w:val="21"/>
                <w:highlight w:val="yellow"/>
              </w:rPr>
              <w:t>4</w:t>
            </w:r>
            <w:r>
              <w:rPr>
                <w:rFonts w:hint="eastAsia" w:hAnsi="宋体" w:cs="宋体"/>
                <w:bCs/>
                <w:sz w:val="21"/>
                <w:szCs w:val="21"/>
                <w:highlight w:val="yellow"/>
              </w:rPr>
              <w:t>-</w:t>
            </w:r>
            <w:r>
              <w:rPr>
                <w:rFonts w:hint="eastAsia" w:hAnsi="宋体" w:cs="宋体"/>
                <w:bCs/>
                <w:sz w:val="21"/>
                <w:szCs w:val="21"/>
                <w:highlight w:val="yellow"/>
                <w:lang w:val="en-US" w:eastAsia="zh-CN"/>
              </w:rPr>
              <w:t>7</w:t>
            </w:r>
            <w:r>
              <w:rPr>
                <w:rFonts w:hint="eastAsia" w:hAnsi="宋体" w:cs="宋体"/>
                <w:bCs/>
                <w:sz w:val="21"/>
                <w:szCs w:val="21"/>
                <w:highlight w:val="yellow"/>
              </w:rPr>
              <w:t>分；</w:t>
            </w:r>
          </w:p>
          <w:p w14:paraId="7F0E4859">
            <w:pPr>
              <w:spacing w:line="360" w:lineRule="auto"/>
              <w:rPr>
                <w:rFonts w:hint="eastAsia" w:hAnsi="宋体" w:cs="宋体"/>
                <w:bCs/>
                <w:sz w:val="21"/>
                <w:szCs w:val="21"/>
                <w:highlight w:val="yellow"/>
              </w:rPr>
            </w:pPr>
            <w:r>
              <w:rPr>
                <w:rFonts w:hint="eastAsia" w:hAnsi="宋体" w:cs="宋体"/>
                <w:bCs/>
                <w:sz w:val="21"/>
                <w:szCs w:val="21"/>
                <w:highlight w:val="yellow"/>
              </w:rPr>
              <w:t>（3）项目实施方案内容一般，项目概况不明确，没有完善的实施计划、人员保障和质量保证措施及成果说明的，或实施计划、保障措施不完善的，得0-</w:t>
            </w:r>
            <w:r>
              <w:rPr>
                <w:rFonts w:hAnsi="宋体" w:cs="宋体"/>
                <w:bCs/>
                <w:sz w:val="21"/>
                <w:szCs w:val="21"/>
                <w:highlight w:val="yellow"/>
              </w:rPr>
              <w:t>4</w:t>
            </w:r>
            <w:r>
              <w:rPr>
                <w:rFonts w:hint="eastAsia" w:hAnsi="宋体" w:cs="宋体"/>
                <w:bCs/>
                <w:sz w:val="21"/>
                <w:szCs w:val="21"/>
                <w:highlight w:val="yellow"/>
              </w:rPr>
              <w:t>分。</w:t>
            </w:r>
          </w:p>
        </w:tc>
      </w:tr>
      <w:tr w14:paraId="42608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560" w:type="dxa"/>
            <w:vMerge w:val="continue"/>
            <w:noWrap/>
            <w:vAlign w:val="center"/>
          </w:tcPr>
          <w:p w14:paraId="63640DCB">
            <w:pPr>
              <w:spacing w:line="360" w:lineRule="auto"/>
              <w:jc w:val="center"/>
              <w:rPr>
                <w:rFonts w:hint="eastAsia" w:hAnsi="宋体" w:cs="宋体"/>
                <w:bCs/>
                <w:sz w:val="21"/>
                <w:szCs w:val="21"/>
              </w:rPr>
            </w:pPr>
          </w:p>
        </w:tc>
        <w:tc>
          <w:tcPr>
            <w:tcW w:w="850" w:type="dxa"/>
            <w:noWrap/>
            <w:vAlign w:val="center"/>
          </w:tcPr>
          <w:p w14:paraId="57F62573">
            <w:pPr>
              <w:spacing w:line="360" w:lineRule="auto"/>
              <w:jc w:val="center"/>
              <w:rPr>
                <w:rFonts w:hint="default" w:hAnsi="宋体" w:eastAsia="宋体" w:cs="宋体"/>
                <w:bCs/>
                <w:sz w:val="21"/>
                <w:szCs w:val="21"/>
                <w:highlight w:val="green"/>
                <w:lang w:val="en-US" w:eastAsia="zh-CN"/>
              </w:rPr>
            </w:pPr>
            <w:r>
              <w:rPr>
                <w:rFonts w:hint="eastAsia" w:hAnsi="宋体" w:cs="宋体"/>
                <w:bCs/>
                <w:sz w:val="21"/>
                <w:szCs w:val="21"/>
                <w:highlight w:val="green"/>
                <w:lang w:val="en-US" w:eastAsia="zh-CN"/>
              </w:rPr>
              <w:t>5分</w:t>
            </w:r>
          </w:p>
        </w:tc>
        <w:tc>
          <w:tcPr>
            <w:tcW w:w="7025" w:type="dxa"/>
            <w:noWrap/>
            <w:vAlign w:val="center"/>
          </w:tcPr>
          <w:p w14:paraId="6303FA9C">
            <w:pPr>
              <w:numPr>
                <w:ilvl w:val="0"/>
                <w:numId w:val="0"/>
              </w:numPr>
              <w:spacing w:line="360" w:lineRule="auto"/>
              <w:rPr>
                <w:rFonts w:hint="eastAsia" w:ascii="宋体" w:hAnsi="宋体" w:eastAsia="宋体" w:cs="仿宋_GB2312"/>
                <w:kern w:val="0"/>
                <w:sz w:val="21"/>
                <w:szCs w:val="21"/>
                <w:highlight w:val="green"/>
                <w:lang w:eastAsia="zh-CN"/>
              </w:rPr>
            </w:pPr>
            <w:r>
              <w:rPr>
                <w:rFonts w:hint="eastAsia" w:ascii="宋体" w:hAnsi="宋体" w:eastAsia="宋体" w:cs="仿宋_GB2312"/>
                <w:kern w:val="0"/>
                <w:sz w:val="21"/>
                <w:szCs w:val="21"/>
                <w:highlight w:val="green"/>
                <w:lang w:eastAsia="zh-CN"/>
              </w:rPr>
              <w:t>投标人提供</w:t>
            </w:r>
            <w:r>
              <w:rPr>
                <w:rFonts w:hint="eastAsia" w:hAnsi="宋体" w:cs="仿宋_GB2312"/>
                <w:kern w:val="0"/>
                <w:sz w:val="21"/>
                <w:szCs w:val="21"/>
                <w:highlight w:val="green"/>
                <w:lang w:val="en-US" w:eastAsia="zh-CN"/>
              </w:rPr>
              <w:t>针对本项目的</w:t>
            </w:r>
            <w:r>
              <w:rPr>
                <w:rFonts w:hint="eastAsia" w:ascii="宋体" w:hAnsi="宋体" w:eastAsia="宋体" w:cs="仿宋_GB2312"/>
                <w:kern w:val="0"/>
                <w:sz w:val="21"/>
                <w:szCs w:val="21"/>
                <w:highlight w:val="green"/>
                <w:lang w:eastAsia="zh-CN"/>
              </w:rPr>
              <w:t>重难点分析及解决方案</w:t>
            </w:r>
            <w:r>
              <w:rPr>
                <w:rFonts w:hint="eastAsia" w:hAnsi="宋体" w:cs="仿宋_GB2312"/>
                <w:kern w:val="0"/>
                <w:sz w:val="21"/>
                <w:szCs w:val="21"/>
                <w:highlight w:val="green"/>
                <w:lang w:eastAsia="zh-CN"/>
              </w:rPr>
              <w:t>，评标委员会综合评审后</w:t>
            </w:r>
            <w:r>
              <w:rPr>
                <w:rFonts w:hint="eastAsia" w:ascii="宋体" w:hAnsi="宋体" w:eastAsia="宋体" w:cs="仿宋_GB2312"/>
                <w:kern w:val="0"/>
                <w:sz w:val="21"/>
                <w:szCs w:val="21"/>
                <w:highlight w:val="green"/>
                <w:lang w:eastAsia="zh-CN"/>
              </w:rPr>
              <w:t>将从以下几个方面进行评审：</w:t>
            </w:r>
          </w:p>
          <w:p w14:paraId="1910CFF5">
            <w:pPr>
              <w:numPr>
                <w:ilvl w:val="0"/>
                <w:numId w:val="0"/>
              </w:numPr>
              <w:spacing w:line="360" w:lineRule="auto"/>
              <w:rPr>
                <w:rFonts w:hint="eastAsia" w:ascii="宋体" w:hAnsi="宋体" w:eastAsia="宋体" w:cs="仿宋_GB2312"/>
                <w:kern w:val="0"/>
                <w:sz w:val="21"/>
                <w:szCs w:val="21"/>
                <w:highlight w:val="green"/>
                <w:lang w:eastAsia="zh-CN"/>
              </w:rPr>
            </w:pPr>
            <w:r>
              <w:rPr>
                <w:rFonts w:hint="eastAsia" w:ascii="宋体" w:hAnsi="宋体" w:eastAsia="宋体" w:cs="仿宋_GB2312"/>
                <w:kern w:val="0"/>
                <w:sz w:val="21"/>
                <w:szCs w:val="21"/>
                <w:highlight w:val="green"/>
                <w:lang w:eastAsia="zh-CN"/>
              </w:rPr>
              <w:t>（1）重难点分析准确且解决方案完善，能够全面识别项目中的关键问题，并提出具体、可行的应对措施，同时对风险进行有效评估并制定合理的应对策略，得</w:t>
            </w:r>
            <w:r>
              <w:rPr>
                <w:rFonts w:hint="eastAsia" w:hAnsi="宋体" w:cs="仿宋_GB2312"/>
                <w:kern w:val="0"/>
                <w:sz w:val="21"/>
                <w:szCs w:val="21"/>
                <w:highlight w:val="green"/>
                <w:lang w:val="en-US" w:eastAsia="zh-CN"/>
              </w:rPr>
              <w:t>3</w:t>
            </w:r>
            <w:r>
              <w:rPr>
                <w:rFonts w:hint="eastAsia" w:ascii="宋体" w:hAnsi="宋体" w:eastAsia="宋体" w:cs="仿宋_GB2312"/>
                <w:kern w:val="0"/>
                <w:sz w:val="21"/>
                <w:szCs w:val="21"/>
                <w:highlight w:val="green"/>
                <w:lang w:eastAsia="zh-CN"/>
              </w:rPr>
              <w:t xml:space="preserve">- </w:t>
            </w:r>
            <w:r>
              <w:rPr>
                <w:rFonts w:hint="eastAsia" w:hAnsi="宋体" w:cs="仿宋_GB2312"/>
                <w:kern w:val="0"/>
                <w:sz w:val="21"/>
                <w:szCs w:val="21"/>
                <w:highlight w:val="green"/>
                <w:lang w:val="en-US" w:eastAsia="zh-CN"/>
              </w:rPr>
              <w:t>5</w:t>
            </w:r>
            <w:r>
              <w:rPr>
                <w:rFonts w:hint="eastAsia" w:ascii="宋体" w:hAnsi="宋体" w:eastAsia="宋体" w:cs="仿宋_GB2312"/>
                <w:kern w:val="0"/>
                <w:sz w:val="21"/>
                <w:szCs w:val="21"/>
                <w:highlight w:val="green"/>
                <w:lang w:eastAsia="zh-CN"/>
              </w:rPr>
              <w:t>分；</w:t>
            </w:r>
          </w:p>
          <w:p w14:paraId="3BCF555C">
            <w:pPr>
              <w:numPr>
                <w:ilvl w:val="0"/>
                <w:numId w:val="0"/>
              </w:numPr>
              <w:spacing w:line="360" w:lineRule="auto"/>
              <w:rPr>
                <w:rFonts w:hint="eastAsia" w:ascii="宋体" w:hAnsi="宋体" w:eastAsia="宋体" w:cs="仿宋_GB2312"/>
                <w:kern w:val="0"/>
                <w:sz w:val="21"/>
                <w:szCs w:val="21"/>
                <w:highlight w:val="green"/>
                <w:lang w:eastAsia="zh-CN"/>
              </w:rPr>
            </w:pPr>
            <w:r>
              <w:rPr>
                <w:rFonts w:hint="eastAsia" w:ascii="宋体" w:hAnsi="宋体" w:eastAsia="宋体" w:cs="仿宋_GB2312"/>
                <w:kern w:val="0"/>
                <w:sz w:val="21"/>
                <w:szCs w:val="21"/>
                <w:highlight w:val="green"/>
                <w:lang w:eastAsia="zh-CN"/>
              </w:rPr>
              <w:t>（2）重难点分析较为全面，解决方案基本可行，对项目中的主要问题有一定认识，提出的应对措施和风险评估较为合理，但存在部分不足之处，得</w:t>
            </w:r>
            <w:r>
              <w:rPr>
                <w:rFonts w:hint="eastAsia" w:hAnsi="宋体" w:cs="仿宋_GB2312"/>
                <w:kern w:val="0"/>
                <w:sz w:val="21"/>
                <w:szCs w:val="21"/>
                <w:highlight w:val="green"/>
                <w:lang w:val="en-US" w:eastAsia="zh-CN"/>
              </w:rPr>
              <w:t>2</w:t>
            </w:r>
            <w:r>
              <w:rPr>
                <w:rFonts w:hint="eastAsia" w:ascii="宋体" w:hAnsi="宋体" w:eastAsia="宋体" w:cs="仿宋_GB2312"/>
                <w:kern w:val="0"/>
                <w:sz w:val="21"/>
                <w:szCs w:val="21"/>
                <w:highlight w:val="green"/>
                <w:lang w:eastAsia="zh-CN"/>
              </w:rPr>
              <w:t xml:space="preserve">- </w:t>
            </w:r>
            <w:r>
              <w:rPr>
                <w:rFonts w:hint="eastAsia" w:hAnsi="宋体" w:cs="仿宋_GB2312"/>
                <w:kern w:val="0"/>
                <w:sz w:val="21"/>
                <w:szCs w:val="21"/>
                <w:highlight w:val="green"/>
                <w:lang w:val="en-US" w:eastAsia="zh-CN"/>
              </w:rPr>
              <w:t>3</w:t>
            </w:r>
            <w:r>
              <w:rPr>
                <w:rFonts w:hint="eastAsia" w:ascii="宋体" w:hAnsi="宋体" w:eastAsia="宋体" w:cs="仿宋_GB2312"/>
                <w:kern w:val="0"/>
                <w:sz w:val="21"/>
                <w:szCs w:val="21"/>
                <w:highlight w:val="green"/>
                <w:lang w:eastAsia="zh-CN"/>
              </w:rPr>
              <w:t>分；</w:t>
            </w:r>
          </w:p>
          <w:p w14:paraId="2C7D5A66">
            <w:pPr>
              <w:numPr>
                <w:ilvl w:val="0"/>
                <w:numId w:val="0"/>
              </w:numPr>
              <w:spacing w:line="360" w:lineRule="auto"/>
              <w:rPr>
                <w:rFonts w:hint="eastAsia" w:ascii="宋体" w:hAnsi="宋体" w:eastAsia="宋体" w:cs="仿宋_GB2312"/>
                <w:kern w:val="0"/>
                <w:sz w:val="24"/>
                <w:szCs w:val="24"/>
                <w:highlight w:val="green"/>
                <w:lang w:eastAsia="zh-CN"/>
              </w:rPr>
            </w:pPr>
            <w:r>
              <w:rPr>
                <w:rFonts w:hint="eastAsia" w:ascii="宋体" w:hAnsi="宋体" w:eastAsia="宋体" w:cs="仿宋_GB2312"/>
                <w:kern w:val="0"/>
                <w:sz w:val="21"/>
                <w:szCs w:val="21"/>
                <w:highlight w:val="green"/>
                <w:lang w:eastAsia="zh-CN"/>
              </w:rPr>
              <w:t xml:space="preserve">（3）重难点分析不够全面或不够准确，解决方案缺乏针对性和可行性，风险评估和应对措施不够完善，得0 - </w:t>
            </w:r>
            <w:r>
              <w:rPr>
                <w:rFonts w:hint="eastAsia" w:hAnsi="宋体" w:cs="仿宋_GB2312"/>
                <w:kern w:val="0"/>
                <w:sz w:val="21"/>
                <w:szCs w:val="21"/>
                <w:highlight w:val="green"/>
                <w:lang w:val="en-US" w:eastAsia="zh-CN"/>
              </w:rPr>
              <w:t>2</w:t>
            </w:r>
            <w:r>
              <w:rPr>
                <w:rFonts w:hint="eastAsia" w:ascii="宋体" w:hAnsi="宋体" w:eastAsia="宋体" w:cs="仿宋_GB2312"/>
                <w:kern w:val="0"/>
                <w:sz w:val="21"/>
                <w:szCs w:val="21"/>
                <w:highlight w:val="green"/>
                <w:lang w:eastAsia="zh-CN"/>
              </w:rPr>
              <w:t>分。</w:t>
            </w:r>
          </w:p>
        </w:tc>
      </w:tr>
      <w:tr w14:paraId="63451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560" w:type="dxa"/>
            <w:vMerge w:val="continue"/>
            <w:noWrap/>
            <w:vAlign w:val="center"/>
          </w:tcPr>
          <w:p w14:paraId="7E9DB964">
            <w:pPr>
              <w:spacing w:line="360" w:lineRule="auto"/>
              <w:jc w:val="center"/>
              <w:rPr>
                <w:rFonts w:hint="eastAsia" w:hAnsi="宋体" w:cs="宋体"/>
                <w:bCs/>
                <w:sz w:val="21"/>
                <w:szCs w:val="21"/>
              </w:rPr>
            </w:pPr>
          </w:p>
        </w:tc>
        <w:tc>
          <w:tcPr>
            <w:tcW w:w="850" w:type="dxa"/>
            <w:noWrap/>
            <w:vAlign w:val="center"/>
          </w:tcPr>
          <w:p w14:paraId="232D8015">
            <w:pPr>
              <w:spacing w:line="360" w:lineRule="auto"/>
              <w:jc w:val="center"/>
              <w:rPr>
                <w:rFonts w:hint="eastAsia" w:hAnsi="宋体" w:cs="宋体"/>
                <w:bCs/>
                <w:sz w:val="21"/>
                <w:szCs w:val="21"/>
                <w:highlight w:val="yellow"/>
              </w:rPr>
            </w:pPr>
            <w:r>
              <w:rPr>
                <w:rFonts w:hint="eastAsia" w:hAnsi="宋体" w:cs="宋体"/>
                <w:bCs/>
                <w:sz w:val="21"/>
                <w:szCs w:val="21"/>
                <w:highlight w:val="yellow"/>
              </w:rPr>
              <w:t>10分</w:t>
            </w:r>
          </w:p>
        </w:tc>
        <w:tc>
          <w:tcPr>
            <w:tcW w:w="7025" w:type="dxa"/>
            <w:noWrap/>
            <w:vAlign w:val="center"/>
          </w:tcPr>
          <w:p w14:paraId="21479834">
            <w:pPr>
              <w:spacing w:line="360" w:lineRule="auto"/>
              <w:rPr>
                <w:rFonts w:hint="eastAsia" w:hAnsi="宋体" w:cs="宋体"/>
                <w:bCs/>
                <w:sz w:val="21"/>
                <w:szCs w:val="21"/>
                <w:highlight w:val="yellow"/>
              </w:rPr>
            </w:pPr>
            <w:r>
              <w:rPr>
                <w:rFonts w:hint="eastAsia" w:hAnsi="宋体" w:cs="宋体"/>
                <w:bCs/>
                <w:sz w:val="21"/>
                <w:szCs w:val="21"/>
                <w:highlight w:val="yellow"/>
              </w:rPr>
              <w:t>工作进度计划及保障措施:工作进度计划结合实际情况科学、合理,并具有相应的确保项目顺利实施的技术组织措施,由评标委员会综合评审后自主打分(1-10分)</w:t>
            </w:r>
          </w:p>
        </w:tc>
      </w:tr>
      <w:tr w14:paraId="3D7B3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1560" w:type="dxa"/>
            <w:vMerge w:val="continue"/>
            <w:noWrap/>
            <w:vAlign w:val="center"/>
          </w:tcPr>
          <w:p w14:paraId="77F3CDFB">
            <w:pPr>
              <w:spacing w:line="360" w:lineRule="auto"/>
              <w:jc w:val="center"/>
              <w:rPr>
                <w:rFonts w:hint="eastAsia" w:hAnsi="宋体" w:cs="宋体"/>
                <w:bCs/>
                <w:sz w:val="21"/>
                <w:szCs w:val="21"/>
              </w:rPr>
            </w:pPr>
          </w:p>
        </w:tc>
        <w:tc>
          <w:tcPr>
            <w:tcW w:w="850" w:type="dxa"/>
            <w:noWrap/>
            <w:vAlign w:val="center"/>
          </w:tcPr>
          <w:p w14:paraId="752039D9">
            <w:pPr>
              <w:spacing w:line="360" w:lineRule="auto"/>
              <w:jc w:val="center"/>
              <w:rPr>
                <w:rFonts w:hint="eastAsia" w:hAnsi="宋体" w:cs="宋体"/>
                <w:bCs/>
                <w:sz w:val="21"/>
                <w:szCs w:val="21"/>
                <w:highlight w:val="yellow"/>
              </w:rPr>
            </w:pPr>
            <w:r>
              <w:rPr>
                <w:rFonts w:hint="eastAsia" w:hAnsi="宋体" w:cs="宋体"/>
                <w:bCs/>
                <w:sz w:val="21"/>
                <w:szCs w:val="21"/>
                <w:highlight w:val="yellow"/>
              </w:rPr>
              <w:t>15分</w:t>
            </w:r>
          </w:p>
        </w:tc>
        <w:tc>
          <w:tcPr>
            <w:tcW w:w="7025" w:type="dxa"/>
            <w:noWrap/>
            <w:vAlign w:val="center"/>
          </w:tcPr>
          <w:p w14:paraId="75A64D9C">
            <w:pPr>
              <w:widowControl/>
              <w:rPr>
                <w:rFonts w:hint="eastAsia" w:hAnsi="宋体" w:cs="宋体"/>
                <w:sz w:val="21"/>
                <w:szCs w:val="21"/>
                <w:highlight w:val="yellow"/>
              </w:rPr>
            </w:pPr>
            <w:r>
              <w:rPr>
                <w:rFonts w:hint="eastAsia" w:hAnsi="宋体" w:cs="宋体"/>
                <w:sz w:val="21"/>
                <w:szCs w:val="21"/>
                <w:highlight w:val="yellow"/>
              </w:rPr>
              <w:t>投标人提供针对本项目的人员配备设计方案，对成员资质、专业进行评审。</w:t>
            </w:r>
          </w:p>
          <w:p w14:paraId="74500192">
            <w:pPr>
              <w:widowControl/>
              <w:spacing w:line="300" w:lineRule="exact"/>
              <w:rPr>
                <w:rFonts w:hint="eastAsia" w:hAnsi="宋体" w:cs="宋体"/>
                <w:sz w:val="21"/>
                <w:szCs w:val="21"/>
                <w:highlight w:val="yellow"/>
              </w:rPr>
            </w:pPr>
            <w:r>
              <w:rPr>
                <w:rFonts w:hint="eastAsia" w:hAnsi="宋体" w:cs="宋体"/>
                <w:sz w:val="21"/>
                <w:szCs w:val="21"/>
                <w:highlight w:val="yellow"/>
              </w:rPr>
              <w:t>针对本项目拟派项目负责人具备PMP证书且获得中级及以上职称，得3分，未提供不计分；</w:t>
            </w:r>
          </w:p>
          <w:p w14:paraId="48EE6815">
            <w:pPr>
              <w:widowControl/>
              <w:rPr>
                <w:rFonts w:hint="eastAsia" w:hAnsi="宋体" w:cs="宋体"/>
                <w:color w:val="000000"/>
                <w:sz w:val="21"/>
                <w:szCs w:val="21"/>
                <w:highlight w:val="yellow"/>
              </w:rPr>
            </w:pPr>
            <w:r>
              <w:rPr>
                <w:rFonts w:hint="eastAsia" w:hAnsi="宋体" w:cs="宋体"/>
                <w:color w:val="000000"/>
                <w:sz w:val="21"/>
                <w:szCs w:val="21"/>
                <w:highlight w:val="yellow"/>
              </w:rPr>
              <w:t>针对本项目拟配项目团队人员（项目负责人除外）</w:t>
            </w:r>
            <w:r>
              <w:rPr>
                <w:rFonts w:hAnsi="宋体" w:cs="宋体"/>
                <w:color w:val="000000"/>
                <w:sz w:val="21"/>
                <w:szCs w:val="21"/>
                <w:highlight w:val="yellow"/>
              </w:rPr>
              <w:t>，</w:t>
            </w:r>
            <w:r>
              <w:rPr>
                <w:rFonts w:hint="eastAsia" w:hAnsi="宋体" w:cs="宋体"/>
                <w:color w:val="000000"/>
                <w:sz w:val="21"/>
                <w:szCs w:val="21"/>
                <w:highlight w:val="yellow"/>
                <w:lang w:eastAsia="zh-Hans"/>
              </w:rPr>
              <w:t>项目团队人员中至少一名具有中高级职称</w:t>
            </w:r>
            <w:r>
              <w:rPr>
                <w:rFonts w:hint="eastAsia" w:hAnsi="宋体" w:cs="宋体"/>
                <w:color w:val="000000"/>
                <w:sz w:val="21"/>
                <w:szCs w:val="21"/>
                <w:highlight w:val="yellow"/>
              </w:rPr>
              <w:t>，团队职责分工详细明确、拟派人员具有丰富的同类项目经验</w:t>
            </w:r>
            <w:r>
              <w:rPr>
                <w:rFonts w:hAnsi="宋体" w:cs="宋体"/>
                <w:color w:val="000000"/>
                <w:sz w:val="21"/>
                <w:szCs w:val="21"/>
                <w:highlight w:val="yellow"/>
              </w:rPr>
              <w:t>，</w:t>
            </w:r>
            <w:r>
              <w:rPr>
                <w:rFonts w:hint="eastAsia" w:hAnsi="宋体" w:cs="宋体"/>
                <w:color w:val="000000"/>
                <w:sz w:val="21"/>
                <w:szCs w:val="21"/>
                <w:highlight w:val="yellow"/>
              </w:rPr>
              <w:t>完全满足项目需求计6-7分；人员安排基本合理，职责分工较为明确</w:t>
            </w:r>
            <w:r>
              <w:rPr>
                <w:rFonts w:hAnsi="宋体" w:cs="宋体"/>
                <w:color w:val="000000"/>
                <w:sz w:val="21"/>
                <w:szCs w:val="21"/>
                <w:highlight w:val="yellow"/>
              </w:rPr>
              <w:t>，</w:t>
            </w:r>
            <w:r>
              <w:rPr>
                <w:rFonts w:hint="eastAsia" w:hAnsi="宋体" w:cs="宋体"/>
                <w:color w:val="000000"/>
                <w:sz w:val="21"/>
                <w:szCs w:val="21"/>
                <w:highlight w:val="yellow"/>
                <w:lang w:eastAsia="zh-Hans"/>
              </w:rPr>
              <w:t>项目团队人员中没有中高级职称人员</w:t>
            </w:r>
            <w:r>
              <w:rPr>
                <w:rFonts w:hAnsi="宋体" w:cs="宋体"/>
                <w:color w:val="000000"/>
                <w:sz w:val="21"/>
                <w:szCs w:val="21"/>
                <w:highlight w:val="yellow"/>
                <w:lang w:eastAsia="zh-Hans"/>
              </w:rPr>
              <w:t>，</w:t>
            </w:r>
            <w:r>
              <w:rPr>
                <w:rFonts w:hint="eastAsia" w:hAnsi="宋体" w:cs="宋体"/>
                <w:color w:val="000000"/>
                <w:sz w:val="21"/>
                <w:szCs w:val="21"/>
                <w:highlight w:val="yellow"/>
              </w:rPr>
              <w:t>计3-5分；人员安排欠缺，分工不明确且不能完全满足项目需求的计1-2分，未提供不计分。</w:t>
            </w:r>
          </w:p>
          <w:p w14:paraId="17B277AE">
            <w:pPr>
              <w:spacing w:line="360" w:lineRule="auto"/>
              <w:rPr>
                <w:rFonts w:hint="eastAsia" w:hAnsi="宋体" w:cs="宋体"/>
                <w:bCs/>
                <w:sz w:val="21"/>
                <w:szCs w:val="21"/>
                <w:highlight w:val="yellow"/>
              </w:rPr>
            </w:pPr>
            <w:r>
              <w:rPr>
                <w:rFonts w:hint="eastAsia" w:hAnsi="宋体" w:cs="宋体"/>
                <w:color w:val="000000"/>
                <w:sz w:val="21"/>
                <w:szCs w:val="21"/>
                <w:highlight w:val="yellow"/>
              </w:rPr>
              <w:t>（上述人员需提供人员名单、毕业证书、学历证书、技术职称、社保缴纳等证明材料复印件加盖公章，未提供证明材料的视同未提供相关人员，不计分。）</w:t>
            </w:r>
          </w:p>
        </w:tc>
      </w:tr>
      <w:tr w14:paraId="261C2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560" w:type="dxa"/>
            <w:vMerge w:val="continue"/>
            <w:noWrap/>
            <w:vAlign w:val="center"/>
          </w:tcPr>
          <w:p w14:paraId="3A538062">
            <w:pPr>
              <w:spacing w:line="360" w:lineRule="auto"/>
              <w:jc w:val="center"/>
              <w:rPr>
                <w:rFonts w:hint="eastAsia" w:hAnsi="宋体" w:cs="宋体"/>
                <w:bCs/>
                <w:sz w:val="21"/>
                <w:szCs w:val="21"/>
              </w:rPr>
            </w:pPr>
          </w:p>
        </w:tc>
        <w:tc>
          <w:tcPr>
            <w:tcW w:w="850" w:type="dxa"/>
            <w:noWrap/>
            <w:vAlign w:val="center"/>
          </w:tcPr>
          <w:p w14:paraId="7F02B731">
            <w:pPr>
              <w:spacing w:line="360" w:lineRule="auto"/>
              <w:jc w:val="center"/>
              <w:rPr>
                <w:rFonts w:hint="eastAsia" w:hAnsi="宋体" w:cs="宋体"/>
                <w:bCs/>
                <w:sz w:val="21"/>
                <w:szCs w:val="21"/>
                <w:highlight w:val="yellow"/>
              </w:rPr>
            </w:pPr>
            <w:r>
              <w:rPr>
                <w:rFonts w:hint="eastAsia" w:hAnsi="宋体" w:cs="宋体"/>
                <w:bCs/>
                <w:sz w:val="21"/>
                <w:szCs w:val="21"/>
                <w:highlight w:val="yellow"/>
              </w:rPr>
              <w:t>5分</w:t>
            </w:r>
          </w:p>
        </w:tc>
        <w:tc>
          <w:tcPr>
            <w:tcW w:w="7025" w:type="dxa"/>
            <w:noWrap/>
            <w:vAlign w:val="center"/>
          </w:tcPr>
          <w:p w14:paraId="5E77F662">
            <w:pPr>
              <w:spacing w:line="360" w:lineRule="auto"/>
              <w:rPr>
                <w:rFonts w:hint="eastAsia" w:hAnsi="宋体" w:cs="宋体"/>
                <w:bCs/>
                <w:sz w:val="21"/>
                <w:szCs w:val="21"/>
                <w:highlight w:val="yellow"/>
              </w:rPr>
            </w:pPr>
            <w:r>
              <w:rPr>
                <w:rFonts w:hint="eastAsia" w:hAnsi="宋体" w:cs="宋体"/>
                <w:bCs/>
                <w:sz w:val="21"/>
                <w:szCs w:val="21"/>
                <w:highlight w:val="yellow"/>
              </w:rPr>
              <w:t>确保安全、质量的技术组织措施,由评标委员会综合评审自主打分(1-5分)</w:t>
            </w:r>
          </w:p>
        </w:tc>
      </w:tr>
      <w:tr w14:paraId="68351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560" w:type="dxa"/>
            <w:vMerge w:val="continue"/>
            <w:noWrap/>
            <w:vAlign w:val="center"/>
          </w:tcPr>
          <w:p w14:paraId="19C6E515">
            <w:pPr>
              <w:spacing w:line="360" w:lineRule="auto"/>
              <w:jc w:val="center"/>
              <w:rPr>
                <w:rFonts w:hint="eastAsia" w:hAnsi="宋体" w:cs="宋体"/>
                <w:bCs/>
                <w:sz w:val="21"/>
                <w:szCs w:val="21"/>
              </w:rPr>
            </w:pPr>
          </w:p>
        </w:tc>
        <w:tc>
          <w:tcPr>
            <w:tcW w:w="850" w:type="dxa"/>
            <w:noWrap/>
            <w:vAlign w:val="center"/>
          </w:tcPr>
          <w:p w14:paraId="39F0BEAC">
            <w:pPr>
              <w:spacing w:line="360" w:lineRule="auto"/>
              <w:jc w:val="center"/>
              <w:rPr>
                <w:rFonts w:hint="default" w:hAnsi="宋体" w:eastAsia="宋体" w:cs="宋体"/>
                <w:bCs/>
                <w:sz w:val="21"/>
                <w:szCs w:val="21"/>
                <w:highlight w:val="green"/>
                <w:lang w:val="en-US" w:eastAsia="zh-CN"/>
              </w:rPr>
            </w:pPr>
            <w:r>
              <w:rPr>
                <w:rFonts w:hint="eastAsia" w:hAnsi="宋体" w:cs="宋体"/>
                <w:bCs/>
                <w:sz w:val="21"/>
                <w:szCs w:val="21"/>
                <w:highlight w:val="green"/>
                <w:lang w:val="en-US" w:eastAsia="zh-CN"/>
              </w:rPr>
              <w:t>5分</w:t>
            </w:r>
          </w:p>
        </w:tc>
        <w:tc>
          <w:tcPr>
            <w:tcW w:w="7025" w:type="dxa"/>
            <w:noWrap/>
            <w:vAlign w:val="center"/>
          </w:tcPr>
          <w:p w14:paraId="50D91362">
            <w:pPr>
              <w:spacing w:line="360" w:lineRule="auto"/>
              <w:rPr>
                <w:rFonts w:hint="eastAsia" w:hAnsi="宋体" w:eastAsia="宋体" w:cs="宋体"/>
                <w:bCs/>
                <w:sz w:val="21"/>
                <w:szCs w:val="21"/>
                <w:highlight w:val="green"/>
                <w:lang w:eastAsia="zh-CN"/>
              </w:rPr>
            </w:pPr>
            <w:r>
              <w:rPr>
                <w:rFonts w:hint="eastAsia" w:hAnsi="宋体" w:cs="宋体"/>
                <w:bCs/>
                <w:sz w:val="21"/>
                <w:szCs w:val="21"/>
                <w:highlight w:val="green"/>
                <w:lang w:val="en-US" w:eastAsia="zh-CN"/>
              </w:rPr>
              <w:t>保密制度：针对本项目的</w:t>
            </w:r>
            <w:r>
              <w:rPr>
                <w:rFonts w:hint="eastAsia" w:hAnsi="宋体" w:cs="宋体"/>
                <w:bCs/>
                <w:sz w:val="21"/>
                <w:szCs w:val="21"/>
                <w:highlight w:val="green"/>
              </w:rPr>
              <w:t>保密制度</w:t>
            </w:r>
            <w:r>
              <w:rPr>
                <w:rFonts w:hint="eastAsia" w:hAnsi="宋体" w:cs="宋体"/>
                <w:bCs/>
                <w:sz w:val="21"/>
                <w:szCs w:val="21"/>
                <w:highlight w:val="green"/>
                <w:lang w:val="en-US" w:eastAsia="zh-CN"/>
              </w:rPr>
              <w:t>制定</w:t>
            </w:r>
            <w:r>
              <w:rPr>
                <w:rFonts w:hint="eastAsia" w:hAnsi="宋体" w:cs="宋体"/>
                <w:bCs/>
                <w:sz w:val="21"/>
                <w:szCs w:val="21"/>
                <w:highlight w:val="green"/>
              </w:rPr>
              <w:t>，由评标委员会综合评审后自主打分(1-</w:t>
            </w:r>
            <w:r>
              <w:rPr>
                <w:rFonts w:hint="eastAsia" w:hAnsi="宋体" w:cs="宋体"/>
                <w:bCs/>
                <w:sz w:val="21"/>
                <w:szCs w:val="21"/>
                <w:highlight w:val="green"/>
                <w:lang w:val="en-US" w:eastAsia="zh-CN"/>
              </w:rPr>
              <w:t>5</w:t>
            </w:r>
            <w:r>
              <w:rPr>
                <w:rFonts w:hint="eastAsia" w:hAnsi="宋体" w:cs="宋体"/>
                <w:bCs/>
                <w:sz w:val="21"/>
                <w:szCs w:val="21"/>
                <w:highlight w:val="green"/>
              </w:rPr>
              <w:t>分)</w:t>
            </w:r>
            <w:r>
              <w:rPr>
                <w:rFonts w:hint="eastAsia" w:hAnsi="宋体" w:cs="宋体"/>
                <w:bCs/>
                <w:sz w:val="21"/>
                <w:szCs w:val="21"/>
                <w:highlight w:val="green"/>
                <w:lang w:eastAsia="zh-CN"/>
              </w:rPr>
              <w:t>。</w:t>
            </w:r>
          </w:p>
        </w:tc>
      </w:tr>
      <w:tr w14:paraId="01D19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560" w:type="dxa"/>
            <w:vMerge w:val="continue"/>
            <w:noWrap/>
            <w:vAlign w:val="center"/>
          </w:tcPr>
          <w:p w14:paraId="142EB96D">
            <w:pPr>
              <w:spacing w:line="360" w:lineRule="auto"/>
              <w:jc w:val="center"/>
              <w:rPr>
                <w:rFonts w:hint="eastAsia" w:hAnsi="宋体" w:cs="宋体"/>
                <w:bCs/>
                <w:sz w:val="21"/>
                <w:szCs w:val="21"/>
              </w:rPr>
            </w:pPr>
          </w:p>
        </w:tc>
        <w:tc>
          <w:tcPr>
            <w:tcW w:w="850" w:type="dxa"/>
            <w:noWrap/>
            <w:vAlign w:val="center"/>
          </w:tcPr>
          <w:p w14:paraId="1FF351DB">
            <w:pPr>
              <w:spacing w:line="360" w:lineRule="auto"/>
              <w:jc w:val="center"/>
              <w:rPr>
                <w:rFonts w:hint="eastAsia" w:hAnsi="宋体" w:cs="宋体"/>
                <w:bCs/>
                <w:sz w:val="21"/>
                <w:szCs w:val="21"/>
                <w:highlight w:val="yellow"/>
              </w:rPr>
            </w:pPr>
            <w:r>
              <w:rPr>
                <w:rFonts w:hint="eastAsia" w:hAnsi="宋体" w:cs="宋体"/>
                <w:bCs/>
                <w:sz w:val="21"/>
                <w:szCs w:val="21"/>
                <w:highlight w:val="yellow"/>
              </w:rPr>
              <w:t>5分</w:t>
            </w:r>
          </w:p>
        </w:tc>
        <w:tc>
          <w:tcPr>
            <w:tcW w:w="7025" w:type="dxa"/>
            <w:noWrap/>
            <w:vAlign w:val="center"/>
          </w:tcPr>
          <w:p w14:paraId="0271B784">
            <w:pPr>
              <w:spacing w:line="360" w:lineRule="auto"/>
              <w:rPr>
                <w:rFonts w:hint="eastAsia" w:hAnsi="宋体" w:cs="宋体"/>
                <w:bCs/>
                <w:sz w:val="21"/>
                <w:szCs w:val="21"/>
                <w:highlight w:val="yellow"/>
              </w:rPr>
            </w:pPr>
            <w:r>
              <w:rPr>
                <w:rFonts w:hint="eastAsia" w:hAnsi="宋体" w:cs="宋体"/>
                <w:bCs/>
                <w:sz w:val="21"/>
                <w:szCs w:val="21"/>
                <w:highlight w:val="yellow"/>
              </w:rPr>
              <w:t>项目承诺及后期服务:针对本项目的相关承诺及后期服务,由评标委员会综合评审后自主打分(1-5分)</w:t>
            </w:r>
          </w:p>
        </w:tc>
      </w:tr>
      <w:tr w14:paraId="69581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560" w:type="dxa"/>
            <w:vMerge w:val="continue"/>
            <w:noWrap/>
            <w:vAlign w:val="center"/>
          </w:tcPr>
          <w:p w14:paraId="53B933EC">
            <w:pPr>
              <w:spacing w:line="360" w:lineRule="auto"/>
              <w:jc w:val="center"/>
              <w:rPr>
                <w:rFonts w:hint="eastAsia" w:hAnsi="宋体" w:cs="宋体"/>
                <w:bCs/>
                <w:sz w:val="21"/>
                <w:szCs w:val="21"/>
              </w:rPr>
            </w:pPr>
          </w:p>
        </w:tc>
        <w:tc>
          <w:tcPr>
            <w:tcW w:w="850" w:type="dxa"/>
            <w:noWrap/>
            <w:vAlign w:val="center"/>
          </w:tcPr>
          <w:p w14:paraId="77AF7A5F">
            <w:pPr>
              <w:spacing w:line="360" w:lineRule="auto"/>
              <w:jc w:val="center"/>
              <w:rPr>
                <w:rFonts w:hint="eastAsia" w:hAnsi="宋体" w:cs="宋体"/>
                <w:bCs/>
                <w:sz w:val="21"/>
                <w:szCs w:val="21"/>
                <w:highlight w:val="yellow"/>
              </w:rPr>
            </w:pPr>
            <w:r>
              <w:rPr>
                <w:rFonts w:hint="eastAsia" w:hAnsi="宋体" w:cs="宋体"/>
                <w:bCs/>
                <w:sz w:val="21"/>
                <w:szCs w:val="21"/>
                <w:highlight w:val="yellow"/>
              </w:rPr>
              <w:t>5分</w:t>
            </w:r>
          </w:p>
        </w:tc>
        <w:tc>
          <w:tcPr>
            <w:tcW w:w="7025" w:type="dxa"/>
            <w:noWrap/>
            <w:vAlign w:val="center"/>
          </w:tcPr>
          <w:p w14:paraId="72E0B728">
            <w:pPr>
              <w:spacing w:line="360" w:lineRule="auto"/>
              <w:rPr>
                <w:rFonts w:hint="eastAsia" w:hAnsi="宋体" w:cs="宋体"/>
                <w:bCs/>
                <w:sz w:val="21"/>
                <w:szCs w:val="21"/>
                <w:highlight w:val="yellow"/>
              </w:rPr>
            </w:pPr>
            <w:r>
              <w:rPr>
                <w:rFonts w:hint="eastAsia" w:hAnsi="宋体" w:cs="宋体"/>
                <w:bCs/>
                <w:sz w:val="21"/>
                <w:szCs w:val="21"/>
                <w:highlight w:val="yellow"/>
              </w:rPr>
              <w:t>为更好的服务于本项目,供应商提出针对本项目实施的合理化建议,具体、合理可行,由评标委员会综合评审后自主打分(1-5分)</w:t>
            </w:r>
          </w:p>
        </w:tc>
      </w:tr>
      <w:tr w14:paraId="49C75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560" w:type="dxa"/>
            <w:vMerge w:val="restart"/>
            <w:noWrap/>
            <w:vAlign w:val="center"/>
          </w:tcPr>
          <w:p w14:paraId="661CB90C">
            <w:pPr>
              <w:spacing w:line="360" w:lineRule="auto"/>
              <w:jc w:val="center"/>
              <w:rPr>
                <w:rFonts w:hint="eastAsia" w:hAnsi="宋体" w:cs="宋体"/>
                <w:sz w:val="21"/>
                <w:szCs w:val="21"/>
                <w:highlight w:val="yellow"/>
                <w:lang w:eastAsia="zh-Hans"/>
              </w:rPr>
            </w:pPr>
            <w:r>
              <w:rPr>
                <w:rFonts w:hint="eastAsia" w:hAnsi="宋体" w:cs="宋体"/>
                <w:sz w:val="21"/>
                <w:szCs w:val="21"/>
                <w:highlight w:val="yellow"/>
                <w:lang w:eastAsia="zh-Hans"/>
              </w:rPr>
              <w:t>商务部分</w:t>
            </w:r>
          </w:p>
          <w:p w14:paraId="7EB657A3">
            <w:pPr>
              <w:pStyle w:val="11"/>
              <w:ind w:firstLine="210" w:firstLineChars="100"/>
              <w:rPr>
                <w:rFonts w:hint="eastAsia" w:ascii="宋体" w:hAnsi="宋体" w:cs="宋体"/>
                <w:sz w:val="21"/>
                <w:szCs w:val="21"/>
                <w:highlight w:val="yellow"/>
                <w:lang w:eastAsia="zh-Hans"/>
              </w:rPr>
            </w:pPr>
            <w:r>
              <w:rPr>
                <w:rFonts w:hint="eastAsia" w:ascii="宋体" w:hAnsi="宋体" w:cs="宋体"/>
                <w:bCs/>
                <w:sz w:val="21"/>
                <w:szCs w:val="21"/>
                <w:highlight w:val="yellow"/>
              </w:rPr>
              <w:t>(2</w:t>
            </w:r>
            <w:r>
              <w:rPr>
                <w:rFonts w:hint="eastAsia" w:ascii="宋体" w:hAnsi="宋体" w:cs="宋体"/>
                <w:bCs/>
                <w:sz w:val="21"/>
                <w:szCs w:val="21"/>
                <w:highlight w:val="yellow"/>
                <w:lang w:val="en-US" w:eastAsia="zh-CN"/>
              </w:rPr>
              <w:t>0</w:t>
            </w:r>
            <w:r>
              <w:rPr>
                <w:rFonts w:hint="eastAsia" w:ascii="宋体" w:hAnsi="宋体" w:cs="宋体"/>
                <w:bCs/>
                <w:sz w:val="21"/>
                <w:szCs w:val="21"/>
                <w:highlight w:val="yellow"/>
              </w:rPr>
              <w:t>分)</w:t>
            </w:r>
          </w:p>
        </w:tc>
        <w:tc>
          <w:tcPr>
            <w:tcW w:w="850" w:type="dxa"/>
            <w:noWrap/>
            <w:vAlign w:val="center"/>
          </w:tcPr>
          <w:p w14:paraId="21114CDB">
            <w:pPr>
              <w:spacing w:line="360" w:lineRule="auto"/>
              <w:jc w:val="center"/>
              <w:rPr>
                <w:rFonts w:hint="eastAsia" w:hAnsi="宋体" w:cs="宋体"/>
                <w:bCs/>
                <w:sz w:val="21"/>
                <w:szCs w:val="21"/>
                <w:highlight w:val="yellow"/>
              </w:rPr>
            </w:pPr>
            <w:r>
              <w:rPr>
                <w:rFonts w:hint="eastAsia" w:hAnsi="宋体" w:cs="宋体"/>
                <w:bCs/>
                <w:sz w:val="21"/>
                <w:szCs w:val="21"/>
                <w:highlight w:val="yellow"/>
              </w:rPr>
              <w:t>10分</w:t>
            </w:r>
          </w:p>
        </w:tc>
        <w:tc>
          <w:tcPr>
            <w:tcW w:w="7025" w:type="dxa"/>
            <w:noWrap/>
            <w:vAlign w:val="center"/>
          </w:tcPr>
          <w:p w14:paraId="329B21C4">
            <w:pPr>
              <w:widowControl/>
              <w:rPr>
                <w:rFonts w:hint="eastAsia" w:hAnsi="宋体" w:cs="宋体"/>
                <w:color w:val="000000"/>
                <w:sz w:val="21"/>
                <w:szCs w:val="21"/>
                <w:highlight w:val="yellow"/>
              </w:rPr>
            </w:pPr>
            <w:r>
              <w:rPr>
                <w:rFonts w:hint="eastAsia" w:hAnsi="宋体" w:cs="宋体"/>
                <w:color w:val="000000"/>
                <w:sz w:val="21"/>
                <w:szCs w:val="21"/>
                <w:highlight w:val="yellow"/>
              </w:rPr>
              <w:t>投标人提供20</w:t>
            </w:r>
            <w:r>
              <w:rPr>
                <w:rFonts w:hint="eastAsia" w:hAnsi="宋体" w:cs="宋体"/>
                <w:color w:val="000000"/>
                <w:sz w:val="21"/>
                <w:szCs w:val="21"/>
                <w:highlight w:val="yellow"/>
                <w:lang w:val="en-US" w:eastAsia="zh-CN"/>
              </w:rPr>
              <w:t>23</w:t>
            </w:r>
            <w:r>
              <w:rPr>
                <w:rFonts w:hint="eastAsia" w:hAnsi="宋体" w:cs="宋体"/>
                <w:color w:val="000000"/>
                <w:sz w:val="21"/>
                <w:szCs w:val="21"/>
                <w:highlight w:val="yellow"/>
              </w:rPr>
              <w:t>年1月1日至今</w:t>
            </w:r>
            <w:r>
              <w:rPr>
                <w:rFonts w:hint="eastAsia" w:hAnsi="宋体" w:cs="宋体"/>
                <w:color w:val="000000"/>
                <w:sz w:val="21"/>
                <w:szCs w:val="21"/>
                <w:highlight w:val="yellow"/>
                <w:lang w:val="en-US" w:eastAsia="zh-CN"/>
              </w:rPr>
              <w:t>大气污染溯源或管控类</w:t>
            </w:r>
            <w:r>
              <w:rPr>
                <w:rFonts w:hint="eastAsia" w:hAnsi="宋体" w:cs="宋体"/>
                <w:color w:val="000000"/>
                <w:sz w:val="21"/>
                <w:szCs w:val="21"/>
                <w:highlight w:val="yellow"/>
              </w:rPr>
              <w:t>业绩</w:t>
            </w:r>
            <w:r>
              <w:rPr>
                <w:rFonts w:hint="eastAsia" w:hAnsi="宋体" w:cs="宋体"/>
                <w:color w:val="000000"/>
                <w:sz w:val="21"/>
                <w:szCs w:val="21"/>
                <w:highlight w:val="yellow"/>
                <w:lang w:eastAsia="zh-Hans"/>
              </w:rPr>
              <w:t>合同</w:t>
            </w:r>
            <w:r>
              <w:rPr>
                <w:rFonts w:hint="eastAsia" w:hAnsi="宋体" w:cs="宋体"/>
                <w:color w:val="000000"/>
                <w:sz w:val="21"/>
                <w:szCs w:val="21"/>
                <w:highlight w:val="yellow"/>
              </w:rPr>
              <w:t>(以合同签订日期为准)，每提供1个得2分，最高得 10分；未提供不计分；</w:t>
            </w:r>
          </w:p>
          <w:p w14:paraId="0E581567">
            <w:pPr>
              <w:spacing w:line="360" w:lineRule="auto"/>
              <w:rPr>
                <w:rFonts w:hint="eastAsia" w:hAnsi="宋体" w:cs="宋体"/>
                <w:bCs/>
                <w:sz w:val="21"/>
                <w:szCs w:val="21"/>
                <w:highlight w:val="yellow"/>
              </w:rPr>
            </w:pPr>
            <w:r>
              <w:rPr>
                <w:rFonts w:hint="eastAsia" w:hAnsi="宋体" w:cs="宋体"/>
                <w:color w:val="000000"/>
                <w:sz w:val="21"/>
                <w:szCs w:val="21"/>
                <w:highlight w:val="yellow"/>
              </w:rPr>
              <w:t>（备注：响应文件中提供合同复印件加盖公章。）</w:t>
            </w:r>
          </w:p>
        </w:tc>
      </w:tr>
      <w:tr w14:paraId="082F8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560" w:type="dxa"/>
            <w:vMerge w:val="continue"/>
            <w:noWrap/>
            <w:vAlign w:val="center"/>
          </w:tcPr>
          <w:p w14:paraId="74C76EA1">
            <w:pPr>
              <w:spacing w:line="360" w:lineRule="auto"/>
              <w:jc w:val="center"/>
              <w:rPr>
                <w:rFonts w:hint="eastAsia" w:hAnsi="宋体" w:cs="宋体"/>
                <w:bCs/>
                <w:sz w:val="21"/>
                <w:szCs w:val="21"/>
                <w:highlight w:val="yellow"/>
              </w:rPr>
            </w:pPr>
          </w:p>
        </w:tc>
        <w:tc>
          <w:tcPr>
            <w:tcW w:w="850" w:type="dxa"/>
            <w:noWrap/>
            <w:vAlign w:val="center"/>
          </w:tcPr>
          <w:p w14:paraId="234A2893">
            <w:pPr>
              <w:spacing w:line="360" w:lineRule="auto"/>
              <w:jc w:val="center"/>
              <w:rPr>
                <w:rFonts w:hint="default" w:hAnsi="宋体" w:eastAsia="宋体" w:cs="宋体"/>
                <w:bCs/>
                <w:sz w:val="21"/>
                <w:szCs w:val="21"/>
                <w:highlight w:val="green"/>
                <w:lang w:val="en-US" w:eastAsia="zh-CN"/>
              </w:rPr>
            </w:pPr>
            <w:r>
              <w:rPr>
                <w:rFonts w:hint="eastAsia" w:hAnsi="宋体" w:cs="宋体"/>
                <w:bCs/>
                <w:sz w:val="21"/>
                <w:szCs w:val="21"/>
                <w:highlight w:val="green"/>
                <w:lang w:val="en-US" w:eastAsia="zh-CN"/>
              </w:rPr>
              <w:t>5分</w:t>
            </w:r>
          </w:p>
        </w:tc>
        <w:tc>
          <w:tcPr>
            <w:tcW w:w="7025" w:type="dxa"/>
            <w:noWrap/>
            <w:vAlign w:val="center"/>
          </w:tcPr>
          <w:p w14:paraId="6E850150">
            <w:pPr>
              <w:spacing w:line="360" w:lineRule="auto"/>
              <w:rPr>
                <w:rFonts w:hint="eastAsia" w:hAnsi="宋体" w:cs="宋体"/>
                <w:color w:val="000000"/>
                <w:sz w:val="21"/>
                <w:szCs w:val="21"/>
                <w:highlight w:val="green"/>
              </w:rPr>
            </w:pPr>
            <w:r>
              <w:rPr>
                <w:rFonts w:hint="eastAsia" w:hAnsi="宋体"/>
                <w:sz w:val="21"/>
                <w:szCs w:val="21"/>
                <w:highlight w:val="green"/>
                <w:lang w:val="en-US" w:eastAsia="zh-CN"/>
              </w:rPr>
              <w:t>供应商</w:t>
            </w:r>
            <w:r>
              <w:rPr>
                <w:rFonts w:hint="eastAsia" w:ascii="宋体" w:hAnsi="宋体" w:eastAsia="宋体"/>
                <w:sz w:val="21"/>
                <w:szCs w:val="21"/>
                <w:highlight w:val="green"/>
              </w:rPr>
              <w:t>具有</w:t>
            </w:r>
            <w:r>
              <w:rPr>
                <w:rFonts w:hint="eastAsia" w:hAnsi="宋体"/>
                <w:sz w:val="21"/>
                <w:szCs w:val="21"/>
                <w:highlight w:val="green"/>
                <w:lang w:val="en-US" w:eastAsia="zh-CN"/>
              </w:rPr>
              <w:t>大气污染防治方面的软著或软件产品</w:t>
            </w:r>
            <w:r>
              <w:rPr>
                <w:rFonts w:hint="eastAsia" w:ascii="宋体" w:hAnsi="宋体" w:eastAsia="宋体"/>
                <w:sz w:val="21"/>
                <w:szCs w:val="21"/>
                <w:highlight w:val="green"/>
              </w:rPr>
              <w:t>，</w:t>
            </w:r>
            <w:r>
              <w:rPr>
                <w:rFonts w:hint="eastAsia" w:hAnsi="宋体"/>
                <w:sz w:val="21"/>
                <w:szCs w:val="21"/>
                <w:highlight w:val="green"/>
                <w:lang w:val="en-US" w:eastAsia="zh-CN"/>
              </w:rPr>
              <w:t>软著</w:t>
            </w:r>
            <w:r>
              <w:rPr>
                <w:rFonts w:hint="eastAsia" w:ascii="宋体" w:hAnsi="宋体" w:eastAsia="宋体"/>
                <w:sz w:val="21"/>
                <w:szCs w:val="21"/>
                <w:highlight w:val="green"/>
              </w:rPr>
              <w:t>提供 1份得</w:t>
            </w:r>
            <w:r>
              <w:rPr>
                <w:rFonts w:hint="eastAsia" w:hAnsi="宋体"/>
                <w:sz w:val="21"/>
                <w:szCs w:val="21"/>
                <w:highlight w:val="green"/>
                <w:lang w:val="en-US" w:eastAsia="zh-CN"/>
              </w:rPr>
              <w:t>1</w:t>
            </w:r>
            <w:r>
              <w:rPr>
                <w:rFonts w:hint="eastAsia" w:ascii="宋体" w:hAnsi="宋体" w:eastAsia="宋体"/>
                <w:sz w:val="21"/>
                <w:szCs w:val="21"/>
                <w:highlight w:val="green"/>
              </w:rPr>
              <w:t>分</w:t>
            </w:r>
            <w:r>
              <w:rPr>
                <w:rFonts w:hint="eastAsia" w:hAnsi="宋体"/>
                <w:sz w:val="21"/>
                <w:szCs w:val="21"/>
                <w:highlight w:val="green"/>
                <w:lang w:eastAsia="zh-CN"/>
              </w:rPr>
              <w:t>，</w:t>
            </w:r>
            <w:r>
              <w:rPr>
                <w:rFonts w:hint="eastAsia" w:hAnsi="宋体"/>
                <w:sz w:val="21"/>
                <w:szCs w:val="21"/>
                <w:highlight w:val="green"/>
                <w:lang w:val="en-US" w:eastAsia="zh-CN"/>
              </w:rPr>
              <w:t>软件产品提供一个得2分，</w:t>
            </w:r>
            <w:r>
              <w:rPr>
                <w:rFonts w:hint="eastAsia" w:ascii="宋体" w:hAnsi="宋体" w:eastAsia="宋体"/>
                <w:sz w:val="21"/>
                <w:szCs w:val="21"/>
                <w:highlight w:val="green"/>
              </w:rPr>
              <w:t>本项最多得</w:t>
            </w:r>
            <w:r>
              <w:rPr>
                <w:rFonts w:hint="eastAsia" w:hAnsi="宋体"/>
                <w:sz w:val="21"/>
                <w:szCs w:val="21"/>
                <w:highlight w:val="green"/>
                <w:lang w:val="en-US" w:eastAsia="zh-CN"/>
              </w:rPr>
              <w:t>5</w:t>
            </w:r>
            <w:r>
              <w:rPr>
                <w:rFonts w:hint="eastAsia" w:ascii="宋体" w:hAnsi="宋体" w:eastAsia="宋体"/>
                <w:sz w:val="21"/>
                <w:szCs w:val="21"/>
                <w:highlight w:val="green"/>
              </w:rPr>
              <w:t>分;未提供不计分。</w:t>
            </w:r>
          </w:p>
        </w:tc>
      </w:tr>
      <w:tr w14:paraId="0929C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560" w:type="dxa"/>
            <w:vMerge w:val="continue"/>
            <w:noWrap/>
            <w:vAlign w:val="center"/>
          </w:tcPr>
          <w:p w14:paraId="1171FF82">
            <w:pPr>
              <w:spacing w:line="360" w:lineRule="auto"/>
              <w:jc w:val="center"/>
              <w:rPr>
                <w:rFonts w:hint="eastAsia" w:hAnsi="宋体" w:cs="宋体"/>
                <w:bCs/>
                <w:sz w:val="21"/>
                <w:szCs w:val="21"/>
                <w:highlight w:val="yellow"/>
              </w:rPr>
            </w:pPr>
          </w:p>
        </w:tc>
        <w:tc>
          <w:tcPr>
            <w:tcW w:w="850" w:type="dxa"/>
            <w:noWrap/>
            <w:vAlign w:val="center"/>
          </w:tcPr>
          <w:p w14:paraId="7E0776E4">
            <w:pPr>
              <w:spacing w:line="360" w:lineRule="auto"/>
              <w:jc w:val="center"/>
              <w:rPr>
                <w:rFonts w:hint="eastAsia" w:hAnsi="宋体" w:cs="宋体"/>
                <w:bCs/>
                <w:sz w:val="21"/>
                <w:szCs w:val="21"/>
                <w:highlight w:val="yellow"/>
                <w:lang w:eastAsia="zh-Hans"/>
              </w:rPr>
            </w:pPr>
            <w:r>
              <w:rPr>
                <w:rFonts w:hint="eastAsia" w:hAnsi="宋体" w:cs="宋体"/>
                <w:bCs/>
                <w:sz w:val="21"/>
                <w:szCs w:val="21"/>
                <w:highlight w:val="yellow"/>
                <w:lang w:val="en-US" w:eastAsia="zh-CN"/>
              </w:rPr>
              <w:t>5</w:t>
            </w:r>
            <w:r>
              <w:rPr>
                <w:rFonts w:hint="eastAsia" w:hAnsi="宋体" w:cs="宋体"/>
                <w:bCs/>
                <w:sz w:val="21"/>
                <w:szCs w:val="21"/>
                <w:highlight w:val="yellow"/>
                <w:lang w:eastAsia="zh-Hans"/>
              </w:rPr>
              <w:t>分</w:t>
            </w:r>
          </w:p>
        </w:tc>
        <w:tc>
          <w:tcPr>
            <w:tcW w:w="7025" w:type="dxa"/>
            <w:noWrap/>
            <w:vAlign w:val="center"/>
          </w:tcPr>
          <w:p w14:paraId="675D6887">
            <w:pPr>
              <w:widowControl/>
              <w:spacing w:line="300" w:lineRule="exact"/>
              <w:rPr>
                <w:rFonts w:hint="eastAsia" w:hAnsi="宋体" w:cs="宋体"/>
                <w:color w:val="000000"/>
                <w:sz w:val="21"/>
                <w:szCs w:val="21"/>
                <w:highlight w:val="yellow"/>
              </w:rPr>
            </w:pPr>
            <w:r>
              <w:rPr>
                <w:rFonts w:hint="eastAsia" w:hAnsi="宋体" w:cs="宋体"/>
                <w:color w:val="000000"/>
                <w:sz w:val="21"/>
                <w:szCs w:val="21"/>
                <w:highlight w:val="yellow"/>
              </w:rPr>
              <w:t>供应商具备IS09001质量管理体系认证证书、IS020000信息技术服务管理体系认证、IS027001信息安全管理体系认证、IS14001环境管理体系认证证书、IS045001职业健康安全管理体系认证证书，每提供1个得</w:t>
            </w:r>
            <w:r>
              <w:rPr>
                <w:rFonts w:hint="eastAsia" w:hAnsi="宋体" w:cs="宋体"/>
                <w:color w:val="000000"/>
                <w:sz w:val="21"/>
                <w:szCs w:val="21"/>
                <w:highlight w:val="yellow"/>
                <w:lang w:val="en-US" w:eastAsia="zh-CN"/>
              </w:rPr>
              <w:t>1</w:t>
            </w:r>
            <w:r>
              <w:rPr>
                <w:rFonts w:hint="eastAsia" w:hAnsi="宋体" w:cs="宋体"/>
                <w:color w:val="000000"/>
                <w:sz w:val="21"/>
                <w:szCs w:val="21"/>
                <w:highlight w:val="yellow"/>
              </w:rPr>
              <w:t>分，最高得</w:t>
            </w:r>
            <w:r>
              <w:rPr>
                <w:rFonts w:hint="eastAsia" w:hAnsi="宋体" w:cs="宋体"/>
                <w:color w:val="000000"/>
                <w:sz w:val="21"/>
                <w:szCs w:val="21"/>
                <w:highlight w:val="yellow"/>
                <w:lang w:val="en-US" w:eastAsia="zh-CN"/>
              </w:rPr>
              <w:t>5</w:t>
            </w:r>
            <w:r>
              <w:rPr>
                <w:rFonts w:hint="eastAsia" w:hAnsi="宋体" w:cs="宋体"/>
                <w:color w:val="000000"/>
                <w:sz w:val="21"/>
                <w:szCs w:val="21"/>
                <w:highlight w:val="yellow"/>
              </w:rPr>
              <w:t>分。</w:t>
            </w:r>
          </w:p>
          <w:p w14:paraId="100FAB35">
            <w:pPr>
              <w:spacing w:line="360" w:lineRule="auto"/>
              <w:rPr>
                <w:rFonts w:hint="eastAsia" w:hAnsi="宋体" w:cs="宋体"/>
                <w:color w:val="000000"/>
                <w:sz w:val="21"/>
                <w:szCs w:val="21"/>
                <w:highlight w:val="yellow"/>
              </w:rPr>
            </w:pPr>
            <w:r>
              <w:rPr>
                <w:rFonts w:hint="eastAsia" w:hAnsi="宋体" w:cs="宋体"/>
                <w:color w:val="000000"/>
                <w:sz w:val="21"/>
                <w:szCs w:val="21"/>
                <w:highlight w:val="yellow"/>
              </w:rPr>
              <w:t>(备注：需同时提供证书的复印件及全国认证认可信息公共服务平台官网证书信息查询截图并加盖单位公章。)</w:t>
            </w:r>
          </w:p>
        </w:tc>
      </w:tr>
    </w:tbl>
    <w:p w14:paraId="45960031">
      <w:pPr>
        <w:pStyle w:val="7"/>
      </w:pPr>
    </w:p>
    <w:p w14:paraId="19E01127">
      <w:pPr>
        <w:spacing w:line="360" w:lineRule="auto"/>
        <w:jc w:val="both"/>
        <w:rPr>
          <w:rFonts w:hint="eastAsia" w:ascii="宋体" w:hAnsi="宋体" w:eastAsia="宋体" w:cs="Times New Roman"/>
          <w:b/>
          <w:color w:val="auto"/>
          <w:spacing w:val="4"/>
          <w:szCs w:val="24"/>
          <w:highlight w:val="none"/>
        </w:rPr>
      </w:pPr>
      <w:r>
        <w:rPr>
          <w:rFonts w:hint="eastAsia" w:ascii="宋体" w:hAnsi="宋体" w:eastAsia="宋体" w:cs="Times New Roman"/>
          <w:b/>
          <w:color w:val="auto"/>
          <w:spacing w:val="4"/>
          <w:szCs w:val="24"/>
          <w:highlight w:val="none"/>
        </w:rPr>
        <w:t>五、定标：</w:t>
      </w:r>
    </w:p>
    <w:p w14:paraId="6FA77D51">
      <w:pPr>
        <w:spacing w:line="460" w:lineRule="exact"/>
        <w:ind w:firstLine="496" w:firstLineChars="200"/>
        <w:rPr>
          <w:rFonts w:hAnsi="宋体" w:cs="宋体"/>
          <w:color w:val="auto"/>
          <w:spacing w:val="4"/>
          <w:szCs w:val="24"/>
          <w:highlight w:val="none"/>
        </w:rPr>
      </w:pPr>
      <w:r>
        <w:rPr>
          <w:rFonts w:hint="eastAsia" w:hAnsi="宋体" w:cs="宋体"/>
          <w:color w:val="auto"/>
          <w:spacing w:val="4"/>
          <w:szCs w:val="24"/>
          <w:highlight w:val="none"/>
        </w:rPr>
        <w:t>1、评标结果由</w:t>
      </w:r>
      <w:r>
        <w:rPr>
          <w:rFonts w:hint="eastAsia" w:hAnsi="宋体" w:cs="宋体"/>
          <w:color w:val="auto"/>
          <w:szCs w:val="24"/>
          <w:highlight w:val="none"/>
        </w:rPr>
        <w:t>磋商小组</w:t>
      </w:r>
      <w:r>
        <w:rPr>
          <w:rFonts w:hint="eastAsia" w:hAnsi="宋体" w:cs="宋体"/>
          <w:color w:val="auto"/>
          <w:spacing w:val="4"/>
          <w:szCs w:val="24"/>
          <w:highlight w:val="none"/>
        </w:rPr>
        <w:t>全体</w:t>
      </w:r>
      <w:r>
        <w:rPr>
          <w:rFonts w:hint="eastAsia" w:hAnsi="宋体" w:cs="宋体"/>
          <w:color w:val="auto"/>
          <w:szCs w:val="24"/>
          <w:highlight w:val="none"/>
        </w:rPr>
        <w:t>成员</w:t>
      </w:r>
      <w:r>
        <w:rPr>
          <w:rFonts w:hint="eastAsia" w:hAnsi="宋体" w:cs="宋体"/>
          <w:color w:val="auto"/>
          <w:spacing w:val="4"/>
          <w:szCs w:val="24"/>
          <w:highlight w:val="none"/>
        </w:rPr>
        <w:t>签字确认。</w:t>
      </w:r>
    </w:p>
    <w:p w14:paraId="5D682F24">
      <w:pPr>
        <w:spacing w:line="460" w:lineRule="exact"/>
        <w:ind w:firstLine="496" w:firstLineChars="200"/>
        <w:rPr>
          <w:b/>
          <w:color w:val="auto"/>
          <w:sz w:val="24"/>
          <w:szCs w:val="24"/>
          <w:highlight w:val="none"/>
        </w:rPr>
      </w:pPr>
      <w:r>
        <w:rPr>
          <w:rFonts w:hint="eastAsia" w:hAnsi="宋体" w:cs="宋体"/>
          <w:color w:val="auto"/>
          <w:spacing w:val="4"/>
          <w:szCs w:val="24"/>
          <w:highlight w:val="none"/>
        </w:rPr>
        <w:t>2、采购人根据评标报告中推荐的成交候选人排列顺序确定供应商，以复函通知招标代理机构。</w:t>
      </w:r>
    </w:p>
    <w:bookmarkEnd w:id="51"/>
    <w:bookmarkEnd w:id="52"/>
    <w:bookmarkEnd w:id="53"/>
    <w:bookmarkEnd w:id="54"/>
    <w:bookmarkEnd w:id="55"/>
    <w:bookmarkEnd w:id="56"/>
    <w:bookmarkEnd w:id="57"/>
    <w:p w14:paraId="37F22CD0">
      <w:pPr>
        <w:pStyle w:val="2"/>
        <w:keepNext w:val="0"/>
        <w:keepLines/>
        <w:pageBreakBefore/>
        <w:spacing w:before="156" w:beforeLines="50" w:after="156" w:afterLines="50"/>
        <w:jc w:val="center"/>
        <w:rPr>
          <w:rFonts w:ascii="宋体" w:eastAsia="宋体"/>
          <w:bCs/>
          <w:color w:val="auto"/>
          <w:sz w:val="36"/>
          <w:szCs w:val="36"/>
          <w:highlight w:val="none"/>
        </w:rPr>
      </w:pPr>
      <w:bookmarkStart w:id="59" w:name="_Toc22487"/>
      <w:r>
        <w:rPr>
          <w:rFonts w:hint="eastAsia" w:ascii="宋体" w:eastAsia="宋体"/>
          <w:bCs/>
          <w:color w:val="auto"/>
          <w:sz w:val="36"/>
          <w:szCs w:val="36"/>
          <w:highlight w:val="none"/>
        </w:rPr>
        <w:t>第六章  竞争性磋商响应文件格式</w:t>
      </w:r>
      <w:bookmarkEnd w:id="47"/>
      <w:bookmarkEnd w:id="48"/>
      <w:bookmarkEnd w:id="49"/>
      <w:bookmarkEnd w:id="50"/>
      <w:bookmarkEnd w:id="59"/>
    </w:p>
    <w:p w14:paraId="3231B597">
      <w:pPr>
        <w:rPr>
          <w:color w:val="auto"/>
          <w:highlight w:val="none"/>
        </w:rPr>
      </w:pPr>
    </w:p>
    <w:p w14:paraId="6A9EBA9C">
      <w:pPr>
        <w:rPr>
          <w:color w:val="auto"/>
          <w:highlight w:val="none"/>
        </w:rPr>
      </w:pPr>
    </w:p>
    <w:p w14:paraId="6CAB915D">
      <w:pPr>
        <w:rPr>
          <w:rFonts w:hint="eastAsia" w:hAnsi="宋体"/>
          <w:b/>
          <w:color w:val="auto"/>
          <w:sz w:val="32"/>
          <w:szCs w:val="32"/>
          <w:highlight w:val="none"/>
        </w:rPr>
      </w:pPr>
      <w:r>
        <w:rPr>
          <w:rFonts w:hint="eastAsia" w:hAnsi="宋体" w:cs="宋体"/>
          <w:b/>
          <w:bCs/>
          <w:color w:val="auto"/>
          <w:sz w:val="32"/>
          <w:szCs w:val="32"/>
          <w:highlight w:val="none"/>
        </w:rPr>
        <w:t>项目编号：THSN-2025-0604</w:t>
      </w:r>
    </w:p>
    <w:p w14:paraId="6BD1944A">
      <w:pPr>
        <w:jc w:val="right"/>
        <w:rPr>
          <w:rFonts w:hAnsi="宋体"/>
          <w:b/>
          <w:color w:val="auto"/>
          <w:sz w:val="32"/>
          <w:szCs w:val="32"/>
          <w:highlight w:val="none"/>
        </w:rPr>
      </w:pPr>
      <w:r>
        <w:rPr>
          <w:rFonts w:hint="eastAsia" w:hAnsi="宋体"/>
          <w:b/>
          <w:color w:val="auto"/>
          <w:sz w:val="32"/>
          <w:szCs w:val="32"/>
          <w:highlight w:val="none"/>
        </w:rPr>
        <w:t>（正本或副本）</w:t>
      </w:r>
    </w:p>
    <w:p w14:paraId="64363322">
      <w:pPr>
        <w:jc w:val="right"/>
        <w:rPr>
          <w:rFonts w:hAnsi="宋体"/>
          <w:b/>
          <w:color w:val="auto"/>
          <w:sz w:val="32"/>
          <w:szCs w:val="32"/>
          <w:highlight w:val="none"/>
        </w:rPr>
      </w:pPr>
    </w:p>
    <w:p w14:paraId="77B1F427">
      <w:pPr>
        <w:jc w:val="right"/>
        <w:rPr>
          <w:rFonts w:hAnsi="宋体"/>
          <w:b/>
          <w:color w:val="auto"/>
          <w:sz w:val="32"/>
          <w:szCs w:val="32"/>
          <w:highlight w:val="none"/>
        </w:rPr>
      </w:pPr>
    </w:p>
    <w:p w14:paraId="487BD031">
      <w:pPr>
        <w:jc w:val="center"/>
        <w:rPr>
          <w:rFonts w:hint="eastAsia" w:hAnsi="宋体"/>
          <w:b/>
          <w:color w:val="auto"/>
          <w:sz w:val="56"/>
          <w:szCs w:val="56"/>
          <w:highlight w:val="none"/>
        </w:rPr>
      </w:pPr>
      <w:r>
        <w:rPr>
          <w:rFonts w:hint="eastAsia" w:hAnsi="宋体"/>
          <w:b/>
          <w:color w:val="auto"/>
          <w:sz w:val="56"/>
          <w:szCs w:val="56"/>
          <w:highlight w:val="none"/>
        </w:rPr>
        <w:t>商南县2025年大气污染防治能力提升技术服务项目</w:t>
      </w:r>
    </w:p>
    <w:p w14:paraId="59BAB768">
      <w:pPr>
        <w:jc w:val="center"/>
        <w:rPr>
          <w:rFonts w:hint="eastAsia" w:hAnsi="宋体"/>
          <w:b/>
          <w:color w:val="auto"/>
          <w:sz w:val="56"/>
          <w:szCs w:val="56"/>
          <w:highlight w:val="none"/>
        </w:rPr>
      </w:pPr>
    </w:p>
    <w:p w14:paraId="5B4848A9">
      <w:pPr>
        <w:pStyle w:val="7"/>
        <w:rPr>
          <w:rFonts w:hint="eastAsia"/>
        </w:rPr>
      </w:pPr>
    </w:p>
    <w:p w14:paraId="6BA3A470">
      <w:pPr>
        <w:jc w:val="center"/>
        <w:rPr>
          <w:rFonts w:hAnsi="宋体"/>
          <w:b/>
          <w:color w:val="auto"/>
          <w:sz w:val="56"/>
          <w:szCs w:val="56"/>
          <w:highlight w:val="none"/>
        </w:rPr>
      </w:pPr>
      <w:r>
        <w:rPr>
          <w:rFonts w:hint="eastAsia" w:hAnsi="宋体"/>
          <w:b/>
          <w:color w:val="auto"/>
          <w:sz w:val="56"/>
          <w:szCs w:val="56"/>
          <w:highlight w:val="none"/>
        </w:rPr>
        <w:t>竞争性磋商响应文件</w:t>
      </w:r>
    </w:p>
    <w:p w14:paraId="6AD77DD5">
      <w:pPr>
        <w:jc w:val="center"/>
        <w:rPr>
          <w:rFonts w:hAnsi="宋体"/>
          <w:b/>
          <w:color w:val="auto"/>
          <w:sz w:val="36"/>
          <w:szCs w:val="36"/>
          <w:highlight w:val="none"/>
        </w:rPr>
      </w:pPr>
    </w:p>
    <w:p w14:paraId="378734E3">
      <w:pPr>
        <w:rPr>
          <w:rFonts w:hAnsi="宋体"/>
          <w:b/>
          <w:color w:val="auto"/>
          <w:sz w:val="36"/>
          <w:szCs w:val="36"/>
          <w:highlight w:val="none"/>
        </w:rPr>
      </w:pPr>
    </w:p>
    <w:p w14:paraId="7EEA2E6E">
      <w:pPr>
        <w:rPr>
          <w:rFonts w:hAnsi="宋体"/>
          <w:b/>
          <w:color w:val="auto"/>
          <w:sz w:val="36"/>
          <w:szCs w:val="36"/>
          <w:highlight w:val="none"/>
        </w:rPr>
      </w:pPr>
    </w:p>
    <w:p w14:paraId="0297B916">
      <w:pPr>
        <w:tabs>
          <w:tab w:val="center" w:pos="5346"/>
        </w:tabs>
        <w:spacing w:line="480" w:lineRule="auto"/>
        <w:jc w:val="center"/>
        <w:rPr>
          <w:rFonts w:hint="eastAsia" w:hAnsi="宋体"/>
          <w:b/>
          <w:color w:val="auto"/>
          <w:sz w:val="32"/>
          <w:szCs w:val="32"/>
          <w:highlight w:val="none"/>
        </w:rPr>
      </w:pPr>
    </w:p>
    <w:p w14:paraId="5153020D">
      <w:pPr>
        <w:tabs>
          <w:tab w:val="center" w:pos="5346"/>
        </w:tabs>
        <w:spacing w:line="480" w:lineRule="auto"/>
        <w:jc w:val="center"/>
        <w:rPr>
          <w:rFonts w:hAnsi="宋体"/>
          <w:b/>
          <w:color w:val="auto"/>
          <w:sz w:val="32"/>
          <w:szCs w:val="32"/>
          <w:highlight w:val="none"/>
        </w:rPr>
      </w:pPr>
      <w:r>
        <w:rPr>
          <w:rFonts w:hint="eastAsia" w:hAnsi="宋体"/>
          <w:b/>
          <w:color w:val="auto"/>
          <w:sz w:val="32"/>
          <w:szCs w:val="32"/>
          <w:highlight w:val="none"/>
        </w:rPr>
        <w:t>供应商名称（公章）</w:t>
      </w:r>
    </w:p>
    <w:p w14:paraId="408F0420">
      <w:pPr>
        <w:jc w:val="center"/>
        <w:rPr>
          <w:b/>
          <w:color w:val="auto"/>
          <w:sz w:val="44"/>
          <w:highlight w:val="none"/>
        </w:rPr>
      </w:pPr>
      <w:r>
        <w:rPr>
          <w:rFonts w:hint="eastAsia" w:hAnsi="宋体"/>
          <w:b/>
          <w:color w:val="auto"/>
          <w:sz w:val="32"/>
          <w:szCs w:val="32"/>
          <w:highlight w:val="none"/>
        </w:rPr>
        <w:t xml:space="preserve"> 年   月</w:t>
      </w:r>
      <w:r>
        <w:rPr>
          <w:rFonts w:hAnsi="宋体"/>
          <w:b/>
          <w:color w:val="auto"/>
          <w:sz w:val="36"/>
          <w:szCs w:val="36"/>
          <w:highlight w:val="none"/>
        </w:rPr>
        <w:br w:type="page"/>
      </w:r>
      <w:bookmarkStart w:id="60" w:name="_Toc344572156"/>
    </w:p>
    <w:p w14:paraId="74FD6AB5">
      <w:pPr>
        <w:jc w:val="center"/>
        <w:rPr>
          <w:b/>
          <w:color w:val="auto"/>
          <w:sz w:val="44"/>
          <w:highlight w:val="none"/>
        </w:rPr>
      </w:pPr>
      <w:r>
        <w:rPr>
          <w:rFonts w:hint="eastAsia"/>
          <w:b/>
          <w:color w:val="auto"/>
          <w:sz w:val="44"/>
          <w:highlight w:val="none"/>
        </w:rPr>
        <w:t>目  录</w:t>
      </w:r>
    </w:p>
    <w:p w14:paraId="0024855F">
      <w:pPr>
        <w:pStyle w:val="7"/>
        <w:rPr>
          <w:color w:val="auto"/>
          <w:highlight w:val="none"/>
        </w:rPr>
      </w:pPr>
    </w:p>
    <w:p w14:paraId="4E08907D">
      <w:pPr>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rPr>
        <w:t>一、磋商响应函</w:t>
      </w:r>
    </w:p>
    <w:p w14:paraId="7E41E4B1">
      <w:pPr>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rPr>
        <w:t>二、磋商报价表</w:t>
      </w:r>
    </w:p>
    <w:p w14:paraId="6DC4EB7C">
      <w:pPr>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rPr>
        <w:t>三、磋商方案说明书</w:t>
      </w:r>
    </w:p>
    <w:p w14:paraId="002D8CCD">
      <w:pPr>
        <w:spacing w:line="360" w:lineRule="auto"/>
        <w:ind w:firstLine="496" w:firstLineChars="200"/>
        <w:jc w:val="left"/>
        <w:rPr>
          <w:rFonts w:hint="eastAsia" w:hAnsi="宋体" w:eastAsia="宋体"/>
          <w:color w:val="auto"/>
          <w:spacing w:val="4"/>
          <w:szCs w:val="24"/>
          <w:highlight w:val="none"/>
          <w:lang w:eastAsia="zh-CN"/>
        </w:rPr>
      </w:pPr>
      <w:r>
        <w:rPr>
          <w:rFonts w:hint="eastAsia" w:hAnsi="宋体"/>
          <w:color w:val="auto"/>
          <w:spacing w:val="4"/>
          <w:szCs w:val="24"/>
          <w:highlight w:val="none"/>
        </w:rPr>
        <w:t>四、商务</w:t>
      </w:r>
      <w:r>
        <w:rPr>
          <w:rFonts w:hint="eastAsia" w:hAnsi="宋体"/>
          <w:color w:val="auto"/>
          <w:spacing w:val="4"/>
          <w:szCs w:val="24"/>
          <w:highlight w:val="none"/>
          <w:lang w:eastAsia="zh-CN"/>
        </w:rPr>
        <w:t>条款偏离表</w:t>
      </w:r>
    </w:p>
    <w:p w14:paraId="644601D9">
      <w:pPr>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rPr>
        <w:t>五、</w:t>
      </w:r>
      <w:r>
        <w:rPr>
          <w:rFonts w:hAnsi="宋体"/>
          <w:color w:val="auto"/>
          <w:spacing w:val="4"/>
          <w:szCs w:val="24"/>
          <w:highlight w:val="none"/>
        </w:rPr>
        <w:t>陕西省政府采购供应商拒绝政府采购领域商业贿赂承诺书</w:t>
      </w:r>
    </w:p>
    <w:p w14:paraId="1F074F95">
      <w:pPr>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rPr>
        <w:t>六、特定资格证明文件</w:t>
      </w:r>
    </w:p>
    <w:p w14:paraId="026452C6">
      <w:pPr>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rPr>
        <w:t>七、其它</w:t>
      </w:r>
    </w:p>
    <w:p w14:paraId="5EA166F9">
      <w:pPr>
        <w:pStyle w:val="6"/>
        <w:spacing w:line="360" w:lineRule="auto"/>
        <w:rPr>
          <w:color w:val="auto"/>
          <w:highlight w:val="none"/>
        </w:rPr>
      </w:pPr>
    </w:p>
    <w:p w14:paraId="4F1649B2">
      <w:pPr>
        <w:pStyle w:val="6"/>
        <w:ind w:firstLine="880"/>
        <w:rPr>
          <w:rFonts w:ascii="仿宋_GB2312" w:eastAsia="仿宋_GB2312"/>
          <w:bCs/>
          <w:color w:val="auto"/>
          <w:sz w:val="44"/>
          <w:highlight w:val="none"/>
        </w:rPr>
      </w:pPr>
    </w:p>
    <w:p w14:paraId="289E82C7">
      <w:pPr>
        <w:pStyle w:val="6"/>
        <w:ind w:firstLine="880"/>
        <w:rPr>
          <w:rFonts w:ascii="仿宋_GB2312" w:eastAsia="仿宋_GB2312"/>
          <w:bCs/>
          <w:color w:val="auto"/>
          <w:sz w:val="44"/>
          <w:highlight w:val="none"/>
        </w:rPr>
      </w:pPr>
    </w:p>
    <w:bookmarkEnd w:id="60"/>
    <w:p w14:paraId="0C3E3198">
      <w:pPr>
        <w:pStyle w:val="7"/>
        <w:rPr>
          <w:b/>
          <w:color w:val="auto"/>
          <w:sz w:val="32"/>
          <w:szCs w:val="32"/>
          <w:highlight w:val="none"/>
        </w:rPr>
      </w:pPr>
      <w:bookmarkStart w:id="61" w:name="_Toc403077648"/>
      <w:bookmarkStart w:id="62" w:name="_Toc363474027"/>
      <w:bookmarkStart w:id="63" w:name="_Toc204524343"/>
    </w:p>
    <w:p w14:paraId="3769B2D5">
      <w:pPr>
        <w:pStyle w:val="7"/>
        <w:rPr>
          <w:b/>
          <w:color w:val="auto"/>
          <w:sz w:val="32"/>
          <w:szCs w:val="32"/>
          <w:highlight w:val="none"/>
        </w:rPr>
      </w:pPr>
    </w:p>
    <w:p w14:paraId="3AB0E7C8">
      <w:pPr>
        <w:pStyle w:val="7"/>
        <w:rPr>
          <w:b/>
          <w:color w:val="auto"/>
          <w:sz w:val="32"/>
          <w:szCs w:val="32"/>
          <w:highlight w:val="none"/>
        </w:rPr>
      </w:pPr>
    </w:p>
    <w:p w14:paraId="4845087E">
      <w:pPr>
        <w:spacing w:line="520" w:lineRule="exact"/>
        <w:jc w:val="center"/>
        <w:outlineLvl w:val="2"/>
        <w:rPr>
          <w:b/>
          <w:color w:val="auto"/>
          <w:sz w:val="32"/>
          <w:szCs w:val="32"/>
          <w:highlight w:val="none"/>
        </w:rPr>
      </w:pPr>
      <w:r>
        <w:rPr>
          <w:rFonts w:hint="eastAsia"/>
          <w:b/>
          <w:color w:val="auto"/>
          <w:sz w:val="32"/>
          <w:szCs w:val="32"/>
          <w:highlight w:val="none"/>
        </w:rPr>
        <w:br w:type="page"/>
      </w:r>
      <w:r>
        <w:rPr>
          <w:rFonts w:hint="eastAsia"/>
          <w:b/>
          <w:color w:val="auto"/>
          <w:sz w:val="32"/>
          <w:szCs w:val="32"/>
          <w:highlight w:val="none"/>
        </w:rPr>
        <w:t>一、磋商</w:t>
      </w:r>
      <w:bookmarkEnd w:id="61"/>
      <w:bookmarkEnd w:id="62"/>
      <w:r>
        <w:rPr>
          <w:rFonts w:hint="eastAsia"/>
          <w:b/>
          <w:color w:val="auto"/>
          <w:sz w:val="32"/>
          <w:szCs w:val="32"/>
          <w:highlight w:val="none"/>
        </w:rPr>
        <w:t>响应函</w:t>
      </w:r>
    </w:p>
    <w:p w14:paraId="42ECBC47">
      <w:pPr>
        <w:spacing w:line="360" w:lineRule="auto"/>
        <w:jc w:val="left"/>
        <w:rPr>
          <w:rFonts w:hint="eastAsia" w:hAnsi="宋体" w:eastAsia="宋体"/>
          <w:color w:val="auto"/>
          <w:spacing w:val="4"/>
          <w:szCs w:val="24"/>
          <w:highlight w:val="none"/>
          <w:u w:val="single"/>
          <w:lang w:eastAsia="zh-CN"/>
        </w:rPr>
      </w:pPr>
      <w:r>
        <w:rPr>
          <w:rFonts w:hint="eastAsia" w:hAnsi="宋体"/>
          <w:color w:val="auto"/>
          <w:spacing w:val="4"/>
          <w:szCs w:val="24"/>
          <w:highlight w:val="none"/>
        </w:rPr>
        <w:t>致：</w:t>
      </w:r>
      <w:r>
        <w:rPr>
          <w:rFonts w:hint="eastAsia" w:hAnsi="宋体"/>
          <w:color w:val="auto"/>
          <w:spacing w:val="4"/>
          <w:szCs w:val="24"/>
          <w:highlight w:val="none"/>
          <w:u w:val="single"/>
        </w:rPr>
        <w:t>西安天合建设项目管理有限公司</w:t>
      </w:r>
    </w:p>
    <w:p w14:paraId="4F1ABD1E">
      <w:pPr>
        <w:spacing w:line="360" w:lineRule="auto"/>
        <w:ind w:firstLine="496" w:firstLineChars="200"/>
        <w:rPr>
          <w:rFonts w:hAnsi="宋体"/>
          <w:color w:val="auto"/>
          <w:spacing w:val="4"/>
          <w:szCs w:val="24"/>
          <w:highlight w:val="none"/>
        </w:rPr>
      </w:pPr>
      <w:r>
        <w:rPr>
          <w:rFonts w:hint="eastAsia" w:hAnsi="宋体"/>
          <w:color w:val="auto"/>
          <w:spacing w:val="4"/>
          <w:szCs w:val="24"/>
          <w:highlight w:val="none"/>
        </w:rPr>
        <w:t>根据贵方“</w:t>
      </w:r>
      <w:r>
        <w:rPr>
          <w:rFonts w:hint="eastAsia" w:hAnsi="宋体"/>
          <w:color w:val="auto"/>
          <w:spacing w:val="4"/>
          <w:szCs w:val="24"/>
          <w:highlight w:val="none"/>
          <w:u w:val="single"/>
        </w:rPr>
        <w:t xml:space="preserve">                      </w:t>
      </w:r>
      <w:r>
        <w:rPr>
          <w:rFonts w:hint="eastAsia" w:hAnsi="宋体"/>
          <w:color w:val="auto"/>
          <w:spacing w:val="4"/>
          <w:szCs w:val="24"/>
          <w:highlight w:val="none"/>
        </w:rPr>
        <w:t>”项目的磋商邀请</w:t>
      </w:r>
      <w:r>
        <w:rPr>
          <w:rFonts w:hint="eastAsia" w:hAnsi="宋体"/>
          <w:color w:val="auto"/>
          <w:spacing w:val="4"/>
          <w:szCs w:val="24"/>
          <w:highlight w:val="none"/>
          <w:u w:val="single"/>
        </w:rPr>
        <w:t>(项目编号：           )</w:t>
      </w:r>
      <w:r>
        <w:rPr>
          <w:rFonts w:hint="eastAsia" w:hAnsi="宋体"/>
          <w:color w:val="auto"/>
          <w:spacing w:val="4"/>
          <w:szCs w:val="24"/>
          <w:highlight w:val="none"/>
        </w:rPr>
        <w:t>，签字代表</w:t>
      </w:r>
      <w:r>
        <w:rPr>
          <w:rFonts w:hint="eastAsia" w:hAnsi="宋体"/>
          <w:color w:val="auto"/>
          <w:spacing w:val="4"/>
          <w:szCs w:val="24"/>
          <w:highlight w:val="none"/>
          <w:u w:val="single"/>
        </w:rPr>
        <w:t>（全名、职务）</w:t>
      </w:r>
      <w:r>
        <w:rPr>
          <w:rFonts w:hint="eastAsia" w:hAnsi="宋体"/>
          <w:color w:val="auto"/>
          <w:spacing w:val="4"/>
          <w:szCs w:val="24"/>
          <w:highlight w:val="none"/>
        </w:rPr>
        <w:t>经正式授权并代表供应商</w:t>
      </w:r>
      <w:r>
        <w:rPr>
          <w:rFonts w:hint="eastAsia" w:hAnsi="宋体"/>
          <w:color w:val="auto"/>
          <w:spacing w:val="4"/>
          <w:szCs w:val="24"/>
          <w:highlight w:val="none"/>
          <w:u w:val="single"/>
        </w:rPr>
        <w:t>(供应商名称、地址)</w:t>
      </w:r>
      <w:r>
        <w:rPr>
          <w:rFonts w:hint="eastAsia" w:hAnsi="宋体"/>
          <w:color w:val="auto"/>
          <w:spacing w:val="4"/>
          <w:szCs w:val="24"/>
          <w:highlight w:val="none"/>
        </w:rPr>
        <w:t xml:space="preserve"> 提交竞争性磋商响应文件正本壹份、副本一式</w:t>
      </w:r>
      <w:r>
        <w:rPr>
          <w:rFonts w:hint="eastAsia" w:hAnsi="宋体"/>
          <w:color w:val="auto"/>
          <w:spacing w:val="4"/>
          <w:szCs w:val="24"/>
          <w:highlight w:val="none"/>
          <w:u w:val="single"/>
        </w:rPr>
        <w:t xml:space="preserve">   </w:t>
      </w:r>
      <w:r>
        <w:rPr>
          <w:rFonts w:hint="eastAsia" w:hAnsi="宋体"/>
          <w:color w:val="auto"/>
          <w:spacing w:val="4"/>
          <w:szCs w:val="24"/>
          <w:highlight w:val="none"/>
        </w:rPr>
        <w:t>份、报价一览表</w:t>
      </w:r>
      <w:r>
        <w:rPr>
          <w:rFonts w:hint="eastAsia" w:hAnsi="宋体"/>
          <w:color w:val="auto"/>
          <w:spacing w:val="4"/>
          <w:szCs w:val="24"/>
          <w:highlight w:val="none"/>
          <w:u w:val="single"/>
        </w:rPr>
        <w:t xml:space="preserve">   </w:t>
      </w:r>
      <w:r>
        <w:rPr>
          <w:rFonts w:hint="eastAsia" w:hAnsi="宋体"/>
          <w:color w:val="auto"/>
          <w:spacing w:val="4"/>
          <w:szCs w:val="24"/>
          <w:highlight w:val="none"/>
        </w:rPr>
        <w:t>份、电子版</w:t>
      </w:r>
      <w:r>
        <w:rPr>
          <w:rFonts w:hint="eastAsia" w:hAnsi="宋体"/>
          <w:color w:val="auto"/>
          <w:spacing w:val="4"/>
          <w:szCs w:val="24"/>
          <w:highlight w:val="none"/>
          <w:u w:val="single"/>
        </w:rPr>
        <w:t xml:space="preserve">    </w:t>
      </w:r>
      <w:r>
        <w:rPr>
          <w:rFonts w:hint="eastAsia" w:hAnsi="宋体"/>
          <w:color w:val="auto"/>
          <w:spacing w:val="4"/>
          <w:szCs w:val="24"/>
          <w:highlight w:val="none"/>
        </w:rPr>
        <w:t>份。</w:t>
      </w:r>
    </w:p>
    <w:p w14:paraId="1E86EBFD">
      <w:pPr>
        <w:spacing w:line="360" w:lineRule="auto"/>
        <w:ind w:left="624" w:leftChars="251" w:hanging="22" w:hangingChars="9"/>
        <w:jc w:val="left"/>
        <w:rPr>
          <w:rFonts w:hAnsi="宋体"/>
          <w:color w:val="auto"/>
          <w:spacing w:val="4"/>
          <w:szCs w:val="24"/>
          <w:highlight w:val="none"/>
        </w:rPr>
      </w:pPr>
      <w:r>
        <w:rPr>
          <w:rFonts w:hint="eastAsia" w:hAnsi="宋体"/>
          <w:color w:val="auto"/>
          <w:spacing w:val="4"/>
          <w:szCs w:val="24"/>
          <w:highlight w:val="none"/>
        </w:rPr>
        <w:t>我方承诺如下：</w:t>
      </w:r>
    </w:p>
    <w:p w14:paraId="155169BE">
      <w:pPr>
        <w:numPr>
          <w:ilvl w:val="0"/>
          <w:numId w:val="0"/>
        </w:numPr>
        <w:tabs>
          <w:tab w:val="left" w:pos="2160"/>
        </w:tabs>
        <w:spacing w:line="360" w:lineRule="auto"/>
        <w:ind w:firstLine="496" w:firstLineChars="200"/>
        <w:jc w:val="left"/>
        <w:rPr>
          <w:rFonts w:hAnsi="宋体"/>
          <w:color w:val="auto"/>
          <w:spacing w:val="4"/>
          <w:highlight w:val="none"/>
        </w:rPr>
      </w:pPr>
      <w:r>
        <w:rPr>
          <w:rFonts w:hint="eastAsia" w:hAnsi="宋体"/>
          <w:color w:val="auto"/>
          <w:spacing w:val="4"/>
          <w:szCs w:val="24"/>
          <w:highlight w:val="none"/>
          <w:lang w:val="en-US" w:eastAsia="zh-CN"/>
        </w:rPr>
        <w:t>1）</w:t>
      </w:r>
      <w:r>
        <w:rPr>
          <w:rFonts w:hint="eastAsia" w:hAnsi="宋体"/>
          <w:color w:val="auto"/>
          <w:spacing w:val="4"/>
          <w:szCs w:val="24"/>
          <w:highlight w:val="none"/>
        </w:rPr>
        <w:t>磋商报价</w:t>
      </w:r>
      <w:r>
        <w:rPr>
          <w:rFonts w:hint="eastAsia" w:hAnsi="宋体"/>
          <w:color w:val="auto"/>
          <w:spacing w:val="4"/>
          <w:highlight w:val="none"/>
        </w:rPr>
        <w:t>为小写：</w:t>
      </w:r>
      <w:r>
        <w:rPr>
          <w:rFonts w:hint="eastAsia" w:hAnsi="宋体"/>
          <w:color w:val="auto"/>
          <w:spacing w:val="4"/>
          <w:highlight w:val="none"/>
          <w:u w:val="single"/>
        </w:rPr>
        <w:t xml:space="preserve">         </w:t>
      </w:r>
      <w:r>
        <w:rPr>
          <w:rFonts w:hint="eastAsia" w:hAnsi="宋体"/>
          <w:color w:val="auto"/>
          <w:spacing w:val="4"/>
          <w:highlight w:val="none"/>
        </w:rPr>
        <w:t>（大写：</w:t>
      </w:r>
      <w:r>
        <w:rPr>
          <w:rFonts w:hint="eastAsia" w:hAnsi="宋体"/>
          <w:color w:val="auto"/>
          <w:spacing w:val="4"/>
          <w:highlight w:val="none"/>
          <w:u w:val="single"/>
        </w:rPr>
        <w:t xml:space="preserve">         </w:t>
      </w:r>
      <w:r>
        <w:rPr>
          <w:rFonts w:hint="eastAsia" w:hAnsi="宋体"/>
          <w:color w:val="auto"/>
          <w:spacing w:val="4"/>
          <w:highlight w:val="none"/>
        </w:rPr>
        <w:t>）。</w:t>
      </w:r>
    </w:p>
    <w:p w14:paraId="1FD75263">
      <w:pPr>
        <w:numPr>
          <w:ilvl w:val="0"/>
          <w:numId w:val="0"/>
        </w:numPr>
        <w:tabs>
          <w:tab w:val="left" w:pos="2160"/>
        </w:tabs>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lang w:val="en-US" w:eastAsia="zh-CN"/>
        </w:rPr>
        <w:t>2）</w:t>
      </w:r>
      <w:r>
        <w:rPr>
          <w:rFonts w:hint="eastAsia" w:hAnsi="宋体"/>
          <w:color w:val="auto"/>
          <w:spacing w:val="4"/>
          <w:szCs w:val="24"/>
          <w:highlight w:val="none"/>
        </w:rPr>
        <w:t>如果成交，我们根据竞争性磋商文件的规定，履行合同的责任和义务。</w:t>
      </w:r>
    </w:p>
    <w:p w14:paraId="2E05CF74">
      <w:pPr>
        <w:tabs>
          <w:tab w:val="left" w:pos="2160"/>
        </w:tabs>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rPr>
        <w:t>3）我们已详细阅读和审核全部竞争性磋商文件（含修改部分，如有的话），及有关附件，我们知道必须放弃提出含糊不清或误解的问题的权利。</w:t>
      </w:r>
    </w:p>
    <w:p w14:paraId="7618BF4F">
      <w:pPr>
        <w:tabs>
          <w:tab w:val="left" w:pos="2160"/>
        </w:tabs>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rPr>
        <w:t>4）我们同意在磋商有效期内（</w:t>
      </w:r>
      <w:r>
        <w:rPr>
          <w:rFonts w:hint="eastAsia" w:hAnsi="宋体"/>
          <w:color w:val="auto"/>
          <w:spacing w:val="4"/>
          <w:szCs w:val="24"/>
          <w:highlight w:val="none"/>
          <w:u w:val="single"/>
        </w:rPr>
        <w:t>自磋商之日起   天</w:t>
      </w:r>
      <w:r>
        <w:rPr>
          <w:rFonts w:hint="eastAsia" w:hAnsi="宋体"/>
          <w:color w:val="auto"/>
          <w:spacing w:val="4"/>
          <w:szCs w:val="24"/>
          <w:highlight w:val="none"/>
        </w:rPr>
        <w:t>），本磋商响应函对我方具有约束力。</w:t>
      </w:r>
    </w:p>
    <w:p w14:paraId="75C2A1C0">
      <w:pPr>
        <w:tabs>
          <w:tab w:val="left" w:pos="2160"/>
        </w:tabs>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lang w:val="en-US" w:eastAsia="zh-CN"/>
        </w:rPr>
        <w:t>5</w:t>
      </w:r>
      <w:r>
        <w:rPr>
          <w:rFonts w:hint="eastAsia" w:hAnsi="宋体"/>
          <w:color w:val="auto"/>
          <w:spacing w:val="4"/>
          <w:szCs w:val="24"/>
          <w:highlight w:val="none"/>
        </w:rPr>
        <w:t xml:space="preserve">）同意提供贵方可能另外要求的与本磋商有关的任何证据和资料。 </w:t>
      </w:r>
    </w:p>
    <w:p w14:paraId="526F9C2D">
      <w:pPr>
        <w:tabs>
          <w:tab w:val="left" w:pos="2160"/>
        </w:tabs>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lang w:val="en-US" w:eastAsia="zh-CN"/>
        </w:rPr>
        <w:t>6</w:t>
      </w:r>
      <w:r>
        <w:rPr>
          <w:rFonts w:hint="eastAsia" w:hAnsi="宋体"/>
          <w:color w:val="auto"/>
          <w:spacing w:val="4"/>
          <w:szCs w:val="24"/>
          <w:highlight w:val="none"/>
        </w:rPr>
        <w:t>）我们同意，如果成交，向</w:t>
      </w:r>
      <w:r>
        <w:rPr>
          <w:rFonts w:hint="eastAsia" w:hAnsi="宋体"/>
          <w:color w:val="auto"/>
          <w:spacing w:val="4"/>
          <w:szCs w:val="24"/>
          <w:highlight w:val="none"/>
          <w:lang w:eastAsia="zh-CN"/>
        </w:rPr>
        <w:t>西安天合建设项目管理有限公司商南分公司</w:t>
      </w:r>
      <w:r>
        <w:rPr>
          <w:rFonts w:hint="eastAsia" w:hAnsi="宋体"/>
          <w:color w:val="auto"/>
          <w:spacing w:val="4"/>
          <w:szCs w:val="24"/>
          <w:highlight w:val="none"/>
        </w:rPr>
        <w:t>交纳招标代理服务费。</w:t>
      </w:r>
    </w:p>
    <w:p w14:paraId="25ECA60D">
      <w:pPr>
        <w:tabs>
          <w:tab w:val="left" w:pos="2160"/>
        </w:tabs>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lang w:val="en-US" w:eastAsia="zh-CN"/>
        </w:rPr>
        <w:t>7</w:t>
      </w:r>
      <w:r>
        <w:rPr>
          <w:rFonts w:hint="eastAsia" w:hAnsi="宋体"/>
          <w:color w:val="auto"/>
          <w:spacing w:val="4"/>
          <w:szCs w:val="24"/>
          <w:highlight w:val="none"/>
        </w:rPr>
        <w:t>）与本磋商有关的一切正式往来通讯为：</w:t>
      </w:r>
    </w:p>
    <w:p w14:paraId="207593E0">
      <w:pPr>
        <w:spacing w:line="360" w:lineRule="auto"/>
        <w:ind w:firstLine="1240" w:firstLineChars="500"/>
        <w:jc w:val="left"/>
        <w:rPr>
          <w:rFonts w:hAnsi="宋体"/>
          <w:color w:val="auto"/>
          <w:spacing w:val="4"/>
          <w:szCs w:val="24"/>
          <w:highlight w:val="none"/>
        </w:rPr>
      </w:pPr>
      <w:r>
        <w:rPr>
          <w:rFonts w:hint="eastAsia" w:hAnsi="宋体"/>
          <w:color w:val="auto"/>
          <w:spacing w:val="4"/>
          <w:szCs w:val="24"/>
          <w:highlight w:val="none"/>
        </w:rPr>
        <w:t>联系地址：</w:t>
      </w:r>
    </w:p>
    <w:p w14:paraId="135B4743">
      <w:pPr>
        <w:spacing w:line="360" w:lineRule="auto"/>
        <w:ind w:firstLine="1240" w:firstLineChars="500"/>
        <w:jc w:val="left"/>
        <w:rPr>
          <w:rFonts w:hAnsi="宋体"/>
          <w:color w:val="auto"/>
          <w:spacing w:val="4"/>
          <w:szCs w:val="24"/>
          <w:highlight w:val="none"/>
        </w:rPr>
      </w:pPr>
      <w:r>
        <w:rPr>
          <w:rFonts w:hint="eastAsia" w:hAnsi="宋体"/>
          <w:color w:val="auto"/>
          <w:spacing w:val="4"/>
          <w:szCs w:val="24"/>
          <w:highlight w:val="none"/>
        </w:rPr>
        <w:t>邮政编码：</w:t>
      </w:r>
    </w:p>
    <w:p w14:paraId="72FDDD38">
      <w:pPr>
        <w:spacing w:line="360" w:lineRule="auto"/>
        <w:ind w:firstLine="1240" w:firstLineChars="500"/>
        <w:jc w:val="left"/>
        <w:rPr>
          <w:rFonts w:hAnsi="宋体"/>
          <w:color w:val="auto"/>
          <w:spacing w:val="4"/>
          <w:szCs w:val="24"/>
          <w:highlight w:val="none"/>
        </w:rPr>
      </w:pPr>
      <w:r>
        <w:rPr>
          <w:rFonts w:hint="eastAsia" w:hAnsi="宋体"/>
          <w:color w:val="auto"/>
          <w:spacing w:val="4"/>
          <w:szCs w:val="24"/>
          <w:highlight w:val="none"/>
        </w:rPr>
        <w:t>电    话：</w:t>
      </w:r>
    </w:p>
    <w:p w14:paraId="5F9232A6">
      <w:pPr>
        <w:spacing w:line="360" w:lineRule="auto"/>
        <w:ind w:firstLine="1240" w:firstLineChars="500"/>
        <w:jc w:val="left"/>
        <w:rPr>
          <w:rFonts w:hAnsi="宋体"/>
          <w:color w:val="auto"/>
          <w:spacing w:val="4"/>
          <w:szCs w:val="24"/>
          <w:highlight w:val="none"/>
        </w:rPr>
      </w:pPr>
      <w:r>
        <w:rPr>
          <w:rFonts w:hint="eastAsia" w:hAnsi="宋体"/>
          <w:color w:val="auto"/>
          <w:spacing w:val="4"/>
          <w:szCs w:val="24"/>
          <w:highlight w:val="none"/>
        </w:rPr>
        <w:t>传    真：</w:t>
      </w:r>
    </w:p>
    <w:p w14:paraId="4CD9BAF5">
      <w:pPr>
        <w:spacing w:line="360" w:lineRule="auto"/>
        <w:ind w:firstLine="1240" w:firstLineChars="500"/>
        <w:jc w:val="left"/>
        <w:rPr>
          <w:rFonts w:hAnsi="宋体"/>
          <w:color w:val="auto"/>
          <w:spacing w:val="4"/>
          <w:szCs w:val="24"/>
          <w:highlight w:val="none"/>
        </w:rPr>
      </w:pPr>
      <w:r>
        <w:rPr>
          <w:rFonts w:hint="eastAsia" w:hAnsi="宋体"/>
          <w:color w:val="auto"/>
          <w:spacing w:val="4"/>
          <w:szCs w:val="24"/>
          <w:highlight w:val="none"/>
        </w:rPr>
        <w:t>供应商名称（盖章）：</w:t>
      </w:r>
    </w:p>
    <w:p w14:paraId="3C1A4BB7">
      <w:pPr>
        <w:spacing w:line="360" w:lineRule="auto"/>
        <w:ind w:firstLine="1240" w:firstLineChars="500"/>
        <w:jc w:val="left"/>
        <w:rPr>
          <w:rFonts w:hAnsi="宋体"/>
          <w:color w:val="auto"/>
          <w:spacing w:val="4"/>
          <w:szCs w:val="24"/>
          <w:highlight w:val="none"/>
        </w:rPr>
      </w:pPr>
      <w:r>
        <w:rPr>
          <w:rFonts w:hint="eastAsia" w:hAnsi="宋体"/>
          <w:color w:val="auto"/>
          <w:spacing w:val="4"/>
          <w:szCs w:val="24"/>
          <w:highlight w:val="none"/>
        </w:rPr>
        <w:t>供应商法定代表人</w:t>
      </w:r>
      <w:r>
        <w:rPr>
          <w:rFonts w:hint="eastAsia" w:hAnsi="宋体"/>
          <w:color w:val="auto"/>
          <w:spacing w:val="4"/>
          <w:highlight w:val="none"/>
        </w:rPr>
        <w:t>/被授权人</w:t>
      </w:r>
      <w:r>
        <w:rPr>
          <w:rFonts w:hint="eastAsia" w:hAnsi="宋体"/>
          <w:color w:val="auto"/>
          <w:spacing w:val="4"/>
          <w:szCs w:val="24"/>
          <w:highlight w:val="none"/>
        </w:rPr>
        <w:t>签字</w:t>
      </w:r>
      <w:r>
        <w:rPr>
          <w:rFonts w:hint="eastAsia" w:hAnsi="宋体" w:cs="宋体"/>
          <w:color w:val="auto"/>
          <w:spacing w:val="4"/>
          <w:highlight w:val="none"/>
        </w:rPr>
        <w:t>或盖章</w:t>
      </w:r>
      <w:r>
        <w:rPr>
          <w:rFonts w:hint="eastAsia" w:hAnsi="宋体" w:cs="宋体"/>
          <w:color w:val="auto"/>
          <w:szCs w:val="24"/>
          <w:highlight w:val="none"/>
        </w:rPr>
        <w:t>：</w:t>
      </w:r>
    </w:p>
    <w:p w14:paraId="62A6D253">
      <w:pPr>
        <w:spacing w:line="360" w:lineRule="auto"/>
        <w:ind w:firstLine="1240" w:firstLineChars="500"/>
        <w:jc w:val="left"/>
        <w:rPr>
          <w:rFonts w:hAnsi="宋体"/>
          <w:color w:val="auto"/>
          <w:spacing w:val="4"/>
          <w:szCs w:val="24"/>
          <w:highlight w:val="none"/>
        </w:rPr>
      </w:pPr>
      <w:r>
        <w:rPr>
          <w:rFonts w:hint="eastAsia" w:hAnsi="宋体"/>
          <w:color w:val="auto"/>
          <w:spacing w:val="4"/>
          <w:szCs w:val="24"/>
          <w:highlight w:val="none"/>
        </w:rPr>
        <w:t>日    期：</w:t>
      </w:r>
    </w:p>
    <w:p w14:paraId="0CAF4778">
      <w:pPr>
        <w:pStyle w:val="4"/>
        <w:spacing w:before="312" w:beforeLines="100" w:line="360" w:lineRule="auto"/>
        <w:rPr>
          <w:color w:val="auto"/>
          <w:sz w:val="32"/>
          <w:szCs w:val="32"/>
          <w:highlight w:val="none"/>
        </w:rPr>
      </w:pPr>
      <w:r>
        <w:rPr>
          <w:rFonts w:hint="eastAsia"/>
          <w:color w:val="auto"/>
          <w:highlight w:val="none"/>
        </w:rPr>
        <w:br w:type="page"/>
      </w:r>
      <w:bookmarkStart w:id="64" w:name="_Toc403077651"/>
      <w:bookmarkStart w:id="65" w:name="_Toc363474030"/>
      <w:r>
        <w:rPr>
          <w:rFonts w:hint="eastAsia"/>
          <w:color w:val="auto"/>
          <w:sz w:val="32"/>
          <w:szCs w:val="32"/>
          <w:highlight w:val="none"/>
        </w:rPr>
        <w:t>二、磋商报价表</w:t>
      </w:r>
      <w:bookmarkEnd w:id="64"/>
      <w:bookmarkEnd w:id="65"/>
    </w:p>
    <w:p w14:paraId="09AF2EB8">
      <w:pPr>
        <w:jc w:val="center"/>
        <w:outlineLvl w:val="1"/>
        <w:rPr>
          <w:rFonts w:hint="eastAsia" w:ascii="宋体" w:hAnsi="宋体" w:eastAsia="宋体" w:cs="宋体"/>
          <w:b/>
          <w:color w:val="auto"/>
          <w:sz w:val="30"/>
          <w:szCs w:val="30"/>
          <w:highlight w:val="none"/>
        </w:rPr>
      </w:pPr>
      <w:bookmarkStart w:id="66" w:name="_Toc29008"/>
      <w:bookmarkStart w:id="67" w:name="_Toc7982"/>
      <w:bookmarkStart w:id="68" w:name="_Toc12732"/>
      <w:bookmarkStart w:id="69" w:name="_Toc11518"/>
      <w:bookmarkStart w:id="70" w:name="_Toc32277"/>
      <w:r>
        <w:rPr>
          <w:rFonts w:hint="eastAsia" w:ascii="宋体" w:hAnsi="宋体" w:eastAsia="宋体" w:cs="宋体"/>
          <w:b/>
          <w:color w:val="auto"/>
          <w:sz w:val="30"/>
          <w:szCs w:val="30"/>
          <w:highlight w:val="none"/>
        </w:rPr>
        <w:t>2.1报价一览表</w:t>
      </w:r>
      <w:bookmarkEnd w:id="66"/>
      <w:bookmarkEnd w:id="67"/>
      <w:bookmarkEnd w:id="68"/>
      <w:bookmarkEnd w:id="69"/>
      <w:bookmarkEnd w:id="70"/>
    </w:p>
    <w:p w14:paraId="5C0A61B4">
      <w:pPr>
        <w:spacing w:line="360" w:lineRule="auto"/>
        <w:jc w:val="center"/>
        <w:rPr>
          <w:rFonts w:hAnsi="宋体" w:cs="宋体"/>
          <w:color w:val="auto"/>
          <w:szCs w:val="24"/>
          <w:highlight w:val="none"/>
        </w:rPr>
      </w:pPr>
    </w:p>
    <w:p w14:paraId="7953A90C">
      <w:pPr>
        <w:jc w:val="left"/>
        <w:rPr>
          <w:rFonts w:hAnsi="宋体" w:cs="宋体"/>
          <w:color w:val="auto"/>
          <w:highlight w:val="none"/>
        </w:rPr>
      </w:pPr>
      <w:r>
        <w:rPr>
          <w:rFonts w:hint="eastAsia" w:hAnsi="宋体" w:cs="宋体"/>
          <w:color w:val="auto"/>
          <w:highlight w:val="none"/>
        </w:rPr>
        <w:t xml:space="preserve">项目名称：                                                 </w:t>
      </w:r>
    </w:p>
    <w:p w14:paraId="7AD92EF6">
      <w:pPr>
        <w:jc w:val="left"/>
        <w:rPr>
          <w:rFonts w:hAnsi="宋体" w:cs="宋体"/>
          <w:color w:val="auto"/>
          <w:highlight w:val="none"/>
        </w:rPr>
      </w:pPr>
      <w:r>
        <w:rPr>
          <w:rFonts w:hint="eastAsia" w:hAnsi="宋体" w:cs="宋体"/>
          <w:color w:val="auto"/>
          <w:highlight w:val="none"/>
        </w:rPr>
        <w:t xml:space="preserve">项目编号：                                               </w:t>
      </w:r>
    </w:p>
    <w:tbl>
      <w:tblPr>
        <w:tblStyle w:val="19"/>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3"/>
        <w:gridCol w:w="4627"/>
        <w:gridCol w:w="2139"/>
      </w:tblGrid>
      <w:tr w14:paraId="6FEB0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397" w:type="pct"/>
            <w:vAlign w:val="center"/>
          </w:tcPr>
          <w:p w14:paraId="5B7A775A">
            <w:pPr>
              <w:jc w:val="center"/>
              <w:rPr>
                <w:rFonts w:hAnsi="宋体" w:cs="宋体"/>
                <w:color w:val="auto"/>
                <w:szCs w:val="24"/>
                <w:highlight w:val="none"/>
              </w:rPr>
            </w:pPr>
            <w:r>
              <w:rPr>
                <w:rFonts w:hint="eastAsia" w:hAnsi="宋体" w:cs="宋体"/>
                <w:color w:val="auto"/>
                <w:szCs w:val="24"/>
                <w:highlight w:val="none"/>
              </w:rPr>
              <w:t>磋商总报价</w:t>
            </w:r>
          </w:p>
          <w:p w14:paraId="652FB4BE">
            <w:pPr>
              <w:jc w:val="center"/>
              <w:rPr>
                <w:rFonts w:hAnsi="宋体" w:cs="宋体"/>
                <w:color w:val="auto"/>
                <w:szCs w:val="24"/>
                <w:highlight w:val="none"/>
              </w:rPr>
            </w:pPr>
            <w:r>
              <w:rPr>
                <w:rFonts w:hint="eastAsia" w:hAnsi="宋体" w:cs="宋体"/>
                <w:color w:val="auto"/>
                <w:szCs w:val="24"/>
                <w:highlight w:val="none"/>
              </w:rPr>
              <w:t>（元）</w:t>
            </w:r>
          </w:p>
        </w:tc>
        <w:tc>
          <w:tcPr>
            <w:tcW w:w="2464" w:type="pct"/>
            <w:vAlign w:val="center"/>
          </w:tcPr>
          <w:p w14:paraId="03D0E20F">
            <w:pPr>
              <w:jc w:val="center"/>
              <w:rPr>
                <w:rFonts w:hAnsi="宋体" w:cs="宋体"/>
                <w:color w:val="auto"/>
                <w:szCs w:val="24"/>
                <w:highlight w:val="none"/>
              </w:rPr>
            </w:pPr>
            <w:r>
              <w:rPr>
                <w:rFonts w:hint="eastAsia" w:hAnsi="宋体" w:cs="宋体"/>
                <w:color w:val="auto"/>
                <w:szCs w:val="24"/>
                <w:highlight w:val="none"/>
              </w:rPr>
              <w:t>服务期限</w:t>
            </w:r>
          </w:p>
        </w:tc>
        <w:tc>
          <w:tcPr>
            <w:tcW w:w="1137" w:type="pct"/>
            <w:vAlign w:val="center"/>
          </w:tcPr>
          <w:p w14:paraId="1ADE850F">
            <w:pPr>
              <w:jc w:val="center"/>
              <w:rPr>
                <w:rFonts w:hAnsi="宋体" w:cs="宋体"/>
                <w:color w:val="auto"/>
                <w:szCs w:val="24"/>
                <w:highlight w:val="none"/>
              </w:rPr>
            </w:pPr>
            <w:r>
              <w:rPr>
                <w:rFonts w:hint="eastAsia" w:hAnsi="宋体" w:cs="宋体"/>
                <w:color w:val="auto"/>
                <w:szCs w:val="24"/>
                <w:highlight w:val="none"/>
              </w:rPr>
              <w:t>备注</w:t>
            </w:r>
          </w:p>
        </w:tc>
      </w:tr>
      <w:tr w14:paraId="79E52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397" w:type="pct"/>
            <w:vAlign w:val="center"/>
          </w:tcPr>
          <w:p w14:paraId="38707F09">
            <w:pPr>
              <w:jc w:val="center"/>
              <w:rPr>
                <w:rFonts w:hAnsi="宋体" w:cs="宋体"/>
                <w:color w:val="auto"/>
                <w:szCs w:val="24"/>
                <w:highlight w:val="none"/>
              </w:rPr>
            </w:pPr>
          </w:p>
        </w:tc>
        <w:tc>
          <w:tcPr>
            <w:tcW w:w="2464" w:type="pct"/>
            <w:vAlign w:val="center"/>
          </w:tcPr>
          <w:p w14:paraId="255AE29D">
            <w:pPr>
              <w:jc w:val="center"/>
              <w:rPr>
                <w:rFonts w:hAnsi="宋体" w:cs="宋体"/>
                <w:color w:val="auto"/>
                <w:szCs w:val="24"/>
                <w:highlight w:val="none"/>
              </w:rPr>
            </w:pPr>
          </w:p>
        </w:tc>
        <w:tc>
          <w:tcPr>
            <w:tcW w:w="1137" w:type="pct"/>
            <w:vAlign w:val="center"/>
          </w:tcPr>
          <w:p w14:paraId="43CAE7DE">
            <w:pPr>
              <w:jc w:val="center"/>
              <w:rPr>
                <w:rFonts w:hAnsi="宋体" w:cs="宋体"/>
                <w:color w:val="auto"/>
                <w:szCs w:val="24"/>
                <w:highlight w:val="none"/>
              </w:rPr>
            </w:pPr>
          </w:p>
        </w:tc>
      </w:tr>
      <w:tr w14:paraId="6A7BC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5000" w:type="pct"/>
            <w:gridSpan w:val="3"/>
            <w:vAlign w:val="center"/>
          </w:tcPr>
          <w:p w14:paraId="3CC6D48B">
            <w:pPr>
              <w:jc w:val="center"/>
              <w:rPr>
                <w:rFonts w:hAnsi="宋体" w:cs="宋体"/>
                <w:color w:val="auto"/>
                <w:szCs w:val="24"/>
                <w:highlight w:val="none"/>
              </w:rPr>
            </w:pPr>
            <w:r>
              <w:rPr>
                <w:rFonts w:hint="eastAsia" w:hAnsi="宋体" w:cs="宋体"/>
                <w:color w:val="auto"/>
                <w:szCs w:val="24"/>
                <w:highlight w:val="none"/>
              </w:rPr>
              <w:t>磋商报价（大写）：                             （小写：￥       ）</w:t>
            </w:r>
          </w:p>
        </w:tc>
      </w:tr>
      <w:tr w14:paraId="32CC0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5000" w:type="pct"/>
            <w:gridSpan w:val="3"/>
            <w:vAlign w:val="center"/>
          </w:tcPr>
          <w:p w14:paraId="4043D401">
            <w:pPr>
              <w:rPr>
                <w:rFonts w:hAnsi="宋体" w:cs="宋体"/>
                <w:color w:val="auto"/>
                <w:szCs w:val="24"/>
                <w:highlight w:val="none"/>
              </w:rPr>
            </w:pPr>
            <w:r>
              <w:rPr>
                <w:rFonts w:hint="eastAsia" w:hAnsi="宋体" w:cs="宋体"/>
                <w:color w:val="auto"/>
                <w:szCs w:val="24"/>
                <w:highlight w:val="none"/>
              </w:rPr>
              <w:t>备注：表内报价内容以元为单位，保留小数点后（</w:t>
            </w:r>
            <w:r>
              <w:rPr>
                <w:rFonts w:hint="eastAsia" w:hAnsi="宋体" w:cs="宋体"/>
                <w:b/>
                <w:color w:val="auto"/>
                <w:szCs w:val="24"/>
                <w:highlight w:val="none"/>
              </w:rPr>
              <w:t>两位</w:t>
            </w:r>
            <w:r>
              <w:rPr>
                <w:rFonts w:hint="eastAsia" w:hAnsi="宋体" w:cs="宋体"/>
                <w:color w:val="auto"/>
                <w:szCs w:val="24"/>
                <w:highlight w:val="none"/>
              </w:rPr>
              <w:t>）。</w:t>
            </w:r>
          </w:p>
        </w:tc>
      </w:tr>
    </w:tbl>
    <w:p w14:paraId="3ABE844E">
      <w:pPr>
        <w:rPr>
          <w:rFonts w:hAnsi="宋体" w:cs="宋体"/>
          <w:color w:val="auto"/>
          <w:szCs w:val="24"/>
          <w:highlight w:val="none"/>
        </w:rPr>
      </w:pPr>
    </w:p>
    <w:p w14:paraId="7622A377">
      <w:pPr>
        <w:rPr>
          <w:rFonts w:hAnsi="宋体" w:cs="宋体"/>
          <w:color w:val="auto"/>
          <w:szCs w:val="24"/>
          <w:highlight w:val="none"/>
        </w:rPr>
      </w:pPr>
    </w:p>
    <w:p w14:paraId="23EABE6C">
      <w:pPr>
        <w:rPr>
          <w:rFonts w:hAnsi="宋体" w:cs="宋体"/>
          <w:color w:val="auto"/>
          <w:szCs w:val="24"/>
          <w:highlight w:val="none"/>
        </w:rPr>
      </w:pPr>
    </w:p>
    <w:p w14:paraId="0D80133A">
      <w:pPr>
        <w:spacing w:line="280" w:lineRule="exact"/>
        <w:ind w:right="617" w:rightChars="257"/>
        <w:jc w:val="left"/>
        <w:rPr>
          <w:rFonts w:hAnsi="宋体" w:cs="宋体"/>
          <w:color w:val="auto"/>
          <w:szCs w:val="24"/>
          <w:highlight w:val="none"/>
        </w:rPr>
      </w:pPr>
      <w:r>
        <w:rPr>
          <w:rFonts w:hint="eastAsia" w:hAnsi="宋体" w:cs="宋体"/>
          <w:color w:val="auto"/>
          <w:szCs w:val="24"/>
          <w:highlight w:val="none"/>
        </w:rPr>
        <w:t>供应商名称：</w:t>
      </w:r>
      <w:r>
        <w:rPr>
          <w:rFonts w:hint="eastAsia" w:hAnsi="宋体" w:cs="宋体"/>
          <w:color w:val="auto"/>
          <w:szCs w:val="24"/>
          <w:highlight w:val="none"/>
          <w:u w:val="single"/>
        </w:rPr>
        <w:t xml:space="preserve">      （加盖单位公章）      </w:t>
      </w:r>
    </w:p>
    <w:p w14:paraId="6EA6EFF3">
      <w:pPr>
        <w:spacing w:line="280" w:lineRule="exact"/>
        <w:ind w:right="617" w:rightChars="257"/>
        <w:jc w:val="left"/>
        <w:rPr>
          <w:rFonts w:hAnsi="宋体" w:cs="宋体"/>
          <w:color w:val="auto"/>
          <w:szCs w:val="24"/>
          <w:highlight w:val="none"/>
        </w:rPr>
      </w:pPr>
    </w:p>
    <w:p w14:paraId="3A3C8EC9">
      <w:pPr>
        <w:spacing w:line="280" w:lineRule="exact"/>
        <w:ind w:right="617" w:rightChars="257"/>
        <w:jc w:val="left"/>
        <w:rPr>
          <w:rFonts w:hAnsi="宋体" w:cs="宋体"/>
          <w:color w:val="auto"/>
          <w:szCs w:val="24"/>
          <w:highlight w:val="none"/>
        </w:rPr>
      </w:pPr>
      <w:r>
        <w:rPr>
          <w:rFonts w:hint="eastAsia" w:hAnsi="宋体" w:cs="宋体"/>
          <w:color w:val="auto"/>
          <w:szCs w:val="24"/>
          <w:highlight w:val="none"/>
        </w:rPr>
        <w:t>法定代表人/授权代表签字</w:t>
      </w:r>
      <w:r>
        <w:rPr>
          <w:rFonts w:hint="eastAsia" w:hAnsi="宋体" w:cs="宋体"/>
          <w:color w:val="auto"/>
          <w:spacing w:val="4"/>
          <w:highlight w:val="none"/>
        </w:rPr>
        <w:t>或盖章</w:t>
      </w:r>
      <w:r>
        <w:rPr>
          <w:rFonts w:hint="eastAsia" w:hAnsi="宋体" w:cs="宋体"/>
          <w:color w:val="auto"/>
          <w:szCs w:val="24"/>
          <w:highlight w:val="none"/>
        </w:rPr>
        <w:t>：</w:t>
      </w:r>
    </w:p>
    <w:p w14:paraId="1AB80EB7">
      <w:pPr>
        <w:spacing w:line="280" w:lineRule="exact"/>
        <w:ind w:right="617" w:rightChars="257"/>
        <w:jc w:val="left"/>
        <w:rPr>
          <w:rFonts w:hAnsi="宋体" w:cs="宋体"/>
          <w:color w:val="auto"/>
          <w:szCs w:val="24"/>
          <w:highlight w:val="none"/>
        </w:rPr>
      </w:pPr>
    </w:p>
    <w:p w14:paraId="6C147731">
      <w:pPr>
        <w:spacing w:line="280" w:lineRule="exact"/>
        <w:ind w:right="617" w:rightChars="257"/>
        <w:rPr>
          <w:rFonts w:hAnsi="宋体" w:cs="宋体"/>
          <w:color w:val="auto"/>
          <w:szCs w:val="24"/>
          <w:highlight w:val="none"/>
        </w:rPr>
      </w:pPr>
      <w:r>
        <w:rPr>
          <w:rFonts w:hint="eastAsia" w:hAnsi="宋体" w:cs="宋体"/>
          <w:color w:val="auto"/>
          <w:szCs w:val="24"/>
          <w:highlight w:val="none"/>
        </w:rPr>
        <w:t>日    期：</w:t>
      </w:r>
    </w:p>
    <w:p w14:paraId="49A5D04A">
      <w:pPr>
        <w:jc w:val="center"/>
        <w:rPr>
          <w:rFonts w:hAnsi="宋体" w:cs="宋体"/>
          <w:color w:val="auto"/>
          <w:szCs w:val="24"/>
          <w:highlight w:val="none"/>
        </w:rPr>
      </w:pPr>
    </w:p>
    <w:p w14:paraId="6069713C">
      <w:pPr>
        <w:spacing w:beforeLines="50" w:afterLines="50" w:line="400" w:lineRule="atLeast"/>
        <w:rPr>
          <w:rFonts w:hAnsi="宋体" w:cs="宋体"/>
          <w:color w:val="auto"/>
          <w:szCs w:val="24"/>
          <w:highlight w:val="none"/>
          <w:u w:val="single"/>
        </w:rPr>
      </w:pPr>
      <w:r>
        <w:rPr>
          <w:rFonts w:hint="eastAsia" w:hAnsi="宋体" w:cs="宋体"/>
          <w:color w:val="auto"/>
          <w:szCs w:val="24"/>
          <w:highlight w:val="none"/>
        </w:rPr>
        <w:t>注：本表应按“供应商须知”的规定密封单独提交。若有折扣声明，请与本表一并装订和密封。严格按照表格格式报价。</w:t>
      </w:r>
    </w:p>
    <w:p w14:paraId="7968905C">
      <w:pPr>
        <w:jc w:val="both"/>
        <w:rPr>
          <w:b/>
          <w:color w:val="auto"/>
          <w:sz w:val="30"/>
          <w:szCs w:val="30"/>
          <w:highlight w:val="none"/>
        </w:rPr>
      </w:pPr>
    </w:p>
    <w:p w14:paraId="6666C101">
      <w:pPr>
        <w:jc w:val="center"/>
        <w:outlineLvl w:val="1"/>
        <w:rPr>
          <w:rFonts w:hAnsi="宋体" w:cs="宋体"/>
          <w:b/>
          <w:color w:val="auto"/>
          <w:sz w:val="30"/>
          <w:szCs w:val="30"/>
          <w:highlight w:val="none"/>
        </w:rPr>
      </w:pPr>
      <w:r>
        <w:rPr>
          <w:rFonts w:hint="eastAsia"/>
          <w:b/>
          <w:color w:val="auto"/>
          <w:sz w:val="30"/>
          <w:szCs w:val="30"/>
          <w:highlight w:val="none"/>
        </w:rPr>
        <w:br w:type="page"/>
      </w:r>
      <w:bookmarkEnd w:id="63"/>
      <w:bookmarkStart w:id="71" w:name="_Toc9760"/>
      <w:bookmarkStart w:id="72" w:name="_Toc9220"/>
      <w:bookmarkStart w:id="73" w:name="_Toc11197"/>
      <w:bookmarkStart w:id="74" w:name="_Toc8017"/>
      <w:bookmarkStart w:id="75" w:name="_Toc19127"/>
      <w:bookmarkStart w:id="76" w:name="_Toc344572163"/>
      <w:r>
        <w:rPr>
          <w:rFonts w:hint="eastAsia" w:hAnsi="宋体" w:cs="宋体"/>
          <w:b/>
          <w:color w:val="auto"/>
          <w:sz w:val="30"/>
          <w:szCs w:val="30"/>
          <w:highlight w:val="none"/>
        </w:rPr>
        <w:t>2.2分项报价表</w:t>
      </w:r>
      <w:bookmarkEnd w:id="71"/>
      <w:bookmarkEnd w:id="72"/>
      <w:bookmarkEnd w:id="73"/>
      <w:bookmarkEnd w:id="74"/>
      <w:bookmarkEnd w:id="75"/>
    </w:p>
    <w:p w14:paraId="207108B6">
      <w:pPr>
        <w:pStyle w:val="7"/>
        <w:rPr>
          <w:color w:val="auto"/>
          <w:highlight w:val="none"/>
        </w:rPr>
      </w:pPr>
    </w:p>
    <w:p w14:paraId="6128E1DF">
      <w:pPr>
        <w:pStyle w:val="7"/>
        <w:rPr>
          <w:color w:val="auto"/>
          <w:highlight w:val="none"/>
        </w:rPr>
      </w:pPr>
      <w:r>
        <w:rPr>
          <w:rFonts w:hint="eastAsia"/>
          <w:color w:val="auto"/>
          <w:highlight w:val="none"/>
        </w:rPr>
        <w:t>供应商自行拟定格式，用于说明磋商报价各报价的组成。</w:t>
      </w:r>
    </w:p>
    <w:p w14:paraId="0D27EC6B">
      <w:pPr>
        <w:pStyle w:val="7"/>
        <w:rPr>
          <w:color w:val="auto"/>
          <w:highlight w:val="none"/>
        </w:rPr>
      </w:pPr>
    </w:p>
    <w:p w14:paraId="351137BB">
      <w:pPr>
        <w:ind w:firstLine="420"/>
        <w:rPr>
          <w:rFonts w:hAnsi="宋体" w:cs="宋体"/>
          <w:color w:val="auto"/>
          <w:highlight w:val="none"/>
        </w:rPr>
      </w:pPr>
    </w:p>
    <w:p w14:paraId="6B04D280">
      <w:pPr>
        <w:pStyle w:val="7"/>
        <w:rPr>
          <w:color w:val="auto"/>
          <w:highlight w:val="none"/>
        </w:rPr>
      </w:pPr>
    </w:p>
    <w:p w14:paraId="5C9EF0D4">
      <w:pPr>
        <w:rPr>
          <w:rFonts w:hAnsi="宋体" w:cs="宋体"/>
          <w:color w:val="auto"/>
          <w:highlight w:val="none"/>
        </w:rPr>
      </w:pPr>
    </w:p>
    <w:p w14:paraId="789319B6">
      <w:pPr>
        <w:jc w:val="center"/>
        <w:outlineLvl w:val="2"/>
        <w:rPr>
          <w:color w:val="auto"/>
          <w:sz w:val="32"/>
          <w:szCs w:val="32"/>
          <w:highlight w:val="none"/>
        </w:rPr>
      </w:pPr>
      <w:r>
        <w:rPr>
          <w:rFonts w:hint="eastAsia"/>
          <w:color w:val="auto"/>
          <w:sz w:val="32"/>
          <w:szCs w:val="32"/>
          <w:highlight w:val="none"/>
        </w:rPr>
        <w:br w:type="page"/>
      </w:r>
      <w:r>
        <w:rPr>
          <w:rFonts w:hint="eastAsia"/>
          <w:b/>
          <w:bCs/>
          <w:color w:val="auto"/>
          <w:sz w:val="32"/>
          <w:szCs w:val="32"/>
          <w:highlight w:val="none"/>
        </w:rPr>
        <w:t>三、磋商方案说明书</w:t>
      </w:r>
    </w:p>
    <w:p w14:paraId="76F47927">
      <w:pPr>
        <w:spacing w:line="480" w:lineRule="auto"/>
        <w:ind w:firstLine="480" w:firstLineChars="200"/>
        <w:rPr>
          <w:rFonts w:hAnsi="宋体" w:cs="宋体"/>
          <w:b/>
          <w:bCs/>
          <w:color w:val="auto"/>
          <w:szCs w:val="24"/>
          <w:highlight w:val="none"/>
        </w:rPr>
      </w:pPr>
      <w:r>
        <w:rPr>
          <w:rFonts w:hint="eastAsia" w:hAnsi="宋体" w:cs="宋体"/>
          <w:color w:val="auto"/>
          <w:szCs w:val="24"/>
          <w:highlight w:val="none"/>
        </w:rPr>
        <w:t>按照磋商文件的要求编制的磋商方案说明书</w:t>
      </w:r>
      <w:r>
        <w:rPr>
          <w:rFonts w:hint="eastAsia" w:hAnsi="宋体" w:cs="宋体"/>
          <w:b/>
          <w:bCs/>
          <w:color w:val="auto"/>
          <w:szCs w:val="24"/>
          <w:highlight w:val="none"/>
        </w:rPr>
        <w:t>（可参照第三章评审办法进行响应）。</w:t>
      </w:r>
    </w:p>
    <w:p w14:paraId="4D372464">
      <w:pPr>
        <w:pStyle w:val="7"/>
        <w:rPr>
          <w:color w:val="auto"/>
          <w:highlight w:val="none"/>
        </w:rPr>
      </w:pPr>
    </w:p>
    <w:p w14:paraId="4268DD78">
      <w:pPr>
        <w:pStyle w:val="7"/>
        <w:rPr>
          <w:color w:val="auto"/>
          <w:highlight w:val="none"/>
        </w:rPr>
      </w:pPr>
    </w:p>
    <w:p w14:paraId="4A4CCB19">
      <w:pPr>
        <w:rPr>
          <w:rFonts w:hAnsi="宋体" w:cs="宋体"/>
          <w:color w:val="auto"/>
          <w:highlight w:val="none"/>
        </w:rPr>
      </w:pPr>
    </w:p>
    <w:p w14:paraId="1B1A3455">
      <w:pPr>
        <w:pStyle w:val="7"/>
        <w:rPr>
          <w:color w:val="auto"/>
          <w:highlight w:val="none"/>
        </w:rPr>
      </w:pPr>
    </w:p>
    <w:p w14:paraId="22A3BEEE">
      <w:pPr>
        <w:spacing w:after="120" w:line="480" w:lineRule="auto"/>
        <w:rPr>
          <w:rFonts w:hAnsi="宋体" w:cs="宋体"/>
          <w:b/>
          <w:color w:val="auto"/>
          <w:szCs w:val="24"/>
          <w:highlight w:val="none"/>
        </w:rPr>
      </w:pPr>
    </w:p>
    <w:p w14:paraId="4C9D240A">
      <w:pPr>
        <w:spacing w:after="120"/>
        <w:rPr>
          <w:rFonts w:hAnsi="宋体" w:cs="宋体"/>
          <w:b/>
          <w:color w:val="auto"/>
          <w:szCs w:val="24"/>
          <w:highlight w:val="none"/>
        </w:rPr>
      </w:pPr>
    </w:p>
    <w:p w14:paraId="07A4EAE7">
      <w:pPr>
        <w:spacing w:after="120"/>
        <w:rPr>
          <w:rFonts w:hAnsi="宋体" w:cs="宋体"/>
          <w:b/>
          <w:color w:val="auto"/>
          <w:szCs w:val="24"/>
          <w:highlight w:val="none"/>
        </w:rPr>
      </w:pPr>
    </w:p>
    <w:p w14:paraId="62D20052">
      <w:pPr>
        <w:spacing w:after="120"/>
        <w:rPr>
          <w:rFonts w:hAnsi="宋体" w:cs="宋体"/>
          <w:b/>
          <w:color w:val="auto"/>
          <w:szCs w:val="24"/>
          <w:highlight w:val="none"/>
        </w:rPr>
      </w:pPr>
    </w:p>
    <w:p w14:paraId="43178EE1">
      <w:pPr>
        <w:spacing w:after="120"/>
        <w:jc w:val="center"/>
        <w:rPr>
          <w:color w:val="auto"/>
          <w:sz w:val="32"/>
          <w:szCs w:val="32"/>
          <w:highlight w:val="none"/>
        </w:rPr>
      </w:pPr>
      <w:r>
        <w:rPr>
          <w:rFonts w:hint="eastAsia" w:hAnsi="宋体"/>
          <w:b/>
          <w:color w:val="auto"/>
          <w:sz w:val="36"/>
          <w:highlight w:val="none"/>
        </w:rPr>
        <w:br w:type="page"/>
      </w:r>
      <w:bookmarkStart w:id="77" w:name="_Toc2621"/>
      <w:bookmarkStart w:id="78" w:name="_Toc23455"/>
      <w:bookmarkStart w:id="79" w:name="_Toc21284"/>
      <w:bookmarkStart w:id="80" w:name="_Toc1379"/>
      <w:bookmarkStart w:id="81" w:name="_Toc9218"/>
      <w:r>
        <w:rPr>
          <w:rFonts w:hint="eastAsia"/>
          <w:b/>
          <w:bCs/>
          <w:color w:val="auto"/>
          <w:sz w:val="32"/>
          <w:szCs w:val="32"/>
          <w:highlight w:val="none"/>
        </w:rPr>
        <w:t>四、</w:t>
      </w:r>
      <w:bookmarkEnd w:id="77"/>
      <w:bookmarkEnd w:id="78"/>
      <w:bookmarkEnd w:id="79"/>
      <w:bookmarkEnd w:id="80"/>
      <w:bookmarkEnd w:id="81"/>
      <w:r>
        <w:rPr>
          <w:rFonts w:hint="eastAsia" w:hAnsi="宋体" w:cs="宋体"/>
          <w:b/>
          <w:bCs/>
          <w:color w:val="auto"/>
          <w:sz w:val="32"/>
          <w:szCs w:val="32"/>
          <w:highlight w:val="none"/>
        </w:rPr>
        <w:t>商务条款偏离表</w:t>
      </w:r>
    </w:p>
    <w:p w14:paraId="28DAAB46">
      <w:pPr>
        <w:pStyle w:val="17"/>
        <w:widowControl w:val="0"/>
        <w:spacing w:before="0" w:beforeAutospacing="0" w:after="0" w:afterAutospacing="0"/>
        <w:jc w:val="both"/>
        <w:rPr>
          <w:rFonts w:cs="宋体"/>
          <w:color w:val="auto"/>
          <w:highlight w:val="none"/>
        </w:rPr>
      </w:pPr>
    </w:p>
    <w:p w14:paraId="6DBFCEAB">
      <w:pPr>
        <w:pStyle w:val="17"/>
        <w:widowControl w:val="0"/>
        <w:spacing w:before="156" w:beforeLines="50" w:beforeAutospacing="0" w:after="156" w:afterLines="50" w:afterAutospacing="0"/>
        <w:rPr>
          <w:rFonts w:cs="宋体"/>
          <w:color w:val="auto"/>
          <w:highlight w:val="none"/>
        </w:rPr>
      </w:pPr>
      <w:r>
        <w:rPr>
          <w:rFonts w:hint="eastAsia" w:cs="宋体"/>
          <w:color w:val="auto"/>
          <w:highlight w:val="none"/>
        </w:rPr>
        <w:t>项目编号：</w:t>
      </w:r>
    </w:p>
    <w:p w14:paraId="25DB076B">
      <w:pPr>
        <w:pStyle w:val="17"/>
        <w:widowControl w:val="0"/>
        <w:spacing w:before="156" w:beforeLines="50" w:beforeAutospacing="0" w:after="156" w:afterLines="50" w:afterAutospacing="0"/>
        <w:rPr>
          <w:rFonts w:cs="宋体"/>
          <w:color w:val="auto"/>
          <w:highlight w:val="none"/>
          <w:u w:val="single"/>
        </w:rPr>
      </w:pPr>
      <w:r>
        <w:rPr>
          <w:rFonts w:hint="eastAsia" w:cs="宋体"/>
          <w:color w:val="auto"/>
          <w:highlight w:val="none"/>
        </w:rPr>
        <w:t>项目名称：</w:t>
      </w:r>
    </w:p>
    <w:p w14:paraId="46D72766">
      <w:pPr>
        <w:pStyle w:val="17"/>
        <w:widowControl w:val="0"/>
        <w:spacing w:before="0" w:beforeAutospacing="0" w:after="0" w:afterAutospacing="0"/>
        <w:ind w:firstLine="480" w:firstLineChars="200"/>
        <w:jc w:val="center"/>
        <w:rPr>
          <w:rFonts w:cs="宋体"/>
          <w:color w:val="auto"/>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935"/>
        <w:gridCol w:w="1995"/>
        <w:gridCol w:w="2085"/>
        <w:gridCol w:w="1260"/>
        <w:gridCol w:w="944"/>
      </w:tblGrid>
      <w:tr w14:paraId="35BA9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678AA640">
            <w:pPr>
              <w:pStyle w:val="17"/>
              <w:widowControl w:val="0"/>
              <w:spacing w:before="0" w:beforeAutospacing="0" w:after="0" w:afterAutospacing="0"/>
              <w:jc w:val="center"/>
              <w:rPr>
                <w:rFonts w:cs="宋体"/>
                <w:color w:val="auto"/>
                <w:highlight w:val="none"/>
              </w:rPr>
            </w:pPr>
            <w:r>
              <w:rPr>
                <w:rFonts w:hint="eastAsia" w:cs="宋体"/>
                <w:color w:val="auto"/>
                <w:highlight w:val="none"/>
              </w:rPr>
              <w:t>序号</w:t>
            </w:r>
          </w:p>
        </w:tc>
        <w:tc>
          <w:tcPr>
            <w:tcW w:w="1935" w:type="dxa"/>
            <w:tcBorders>
              <w:top w:val="single" w:color="auto" w:sz="4" w:space="0"/>
              <w:left w:val="single" w:color="auto" w:sz="4" w:space="0"/>
              <w:bottom w:val="single" w:color="auto" w:sz="4" w:space="0"/>
              <w:right w:val="single" w:color="auto" w:sz="4" w:space="0"/>
            </w:tcBorders>
            <w:vAlign w:val="center"/>
          </w:tcPr>
          <w:p w14:paraId="5A1AC225">
            <w:pPr>
              <w:pStyle w:val="17"/>
              <w:widowControl w:val="0"/>
              <w:spacing w:before="0" w:beforeAutospacing="0" w:after="0" w:afterAutospacing="0"/>
              <w:jc w:val="center"/>
              <w:rPr>
                <w:rFonts w:cs="宋体"/>
                <w:color w:val="auto"/>
                <w:highlight w:val="none"/>
              </w:rPr>
            </w:pPr>
            <w:r>
              <w:rPr>
                <w:rFonts w:hint="eastAsia" w:cs="宋体"/>
                <w:color w:val="auto"/>
                <w:highlight w:val="none"/>
              </w:rPr>
              <w:t>磋商文件条目号</w:t>
            </w:r>
          </w:p>
        </w:tc>
        <w:tc>
          <w:tcPr>
            <w:tcW w:w="1995" w:type="dxa"/>
            <w:tcBorders>
              <w:top w:val="single" w:color="auto" w:sz="4" w:space="0"/>
              <w:left w:val="single" w:color="auto" w:sz="4" w:space="0"/>
              <w:bottom w:val="single" w:color="auto" w:sz="4" w:space="0"/>
              <w:right w:val="single" w:color="auto" w:sz="4" w:space="0"/>
            </w:tcBorders>
            <w:vAlign w:val="center"/>
          </w:tcPr>
          <w:p w14:paraId="308771A6">
            <w:pPr>
              <w:pStyle w:val="17"/>
              <w:widowControl w:val="0"/>
              <w:spacing w:before="0" w:beforeAutospacing="0" w:after="0" w:afterAutospacing="0"/>
              <w:jc w:val="center"/>
              <w:rPr>
                <w:rFonts w:cs="宋体"/>
                <w:color w:val="auto"/>
                <w:highlight w:val="none"/>
              </w:rPr>
            </w:pPr>
            <w:r>
              <w:rPr>
                <w:rFonts w:hint="eastAsia" w:cs="宋体"/>
                <w:color w:val="auto"/>
                <w:highlight w:val="none"/>
              </w:rPr>
              <w:t>磋商文件的商务条款</w:t>
            </w:r>
          </w:p>
        </w:tc>
        <w:tc>
          <w:tcPr>
            <w:tcW w:w="2085" w:type="dxa"/>
            <w:tcBorders>
              <w:top w:val="single" w:color="auto" w:sz="4" w:space="0"/>
              <w:left w:val="single" w:color="auto" w:sz="4" w:space="0"/>
              <w:bottom w:val="single" w:color="auto" w:sz="4" w:space="0"/>
              <w:right w:val="single" w:color="auto" w:sz="4" w:space="0"/>
            </w:tcBorders>
            <w:vAlign w:val="center"/>
          </w:tcPr>
          <w:p w14:paraId="223C9D2A">
            <w:pPr>
              <w:pStyle w:val="17"/>
              <w:widowControl w:val="0"/>
              <w:spacing w:before="0" w:beforeAutospacing="0" w:after="0" w:afterAutospacing="0"/>
              <w:jc w:val="center"/>
              <w:rPr>
                <w:rFonts w:cs="宋体"/>
                <w:color w:val="auto"/>
                <w:highlight w:val="none"/>
              </w:rPr>
            </w:pPr>
            <w:r>
              <w:rPr>
                <w:rFonts w:hint="eastAsia" w:cs="宋体"/>
                <w:color w:val="auto"/>
                <w:highlight w:val="none"/>
              </w:rPr>
              <w:t>磋商响应文件的商务条款</w:t>
            </w:r>
          </w:p>
        </w:tc>
        <w:tc>
          <w:tcPr>
            <w:tcW w:w="1260" w:type="dxa"/>
            <w:tcBorders>
              <w:top w:val="single" w:color="auto" w:sz="4" w:space="0"/>
              <w:left w:val="single" w:color="auto" w:sz="4" w:space="0"/>
              <w:bottom w:val="single" w:color="auto" w:sz="4" w:space="0"/>
              <w:right w:val="single" w:color="auto" w:sz="4" w:space="0"/>
            </w:tcBorders>
            <w:vAlign w:val="center"/>
          </w:tcPr>
          <w:p w14:paraId="6AA7F555">
            <w:pPr>
              <w:pStyle w:val="17"/>
              <w:widowControl w:val="0"/>
              <w:spacing w:before="0" w:beforeAutospacing="0" w:after="0" w:afterAutospacing="0"/>
              <w:jc w:val="center"/>
              <w:rPr>
                <w:rFonts w:cs="宋体"/>
                <w:color w:val="auto"/>
                <w:highlight w:val="none"/>
              </w:rPr>
            </w:pPr>
            <w:r>
              <w:rPr>
                <w:rFonts w:hint="eastAsia" w:cs="宋体"/>
                <w:color w:val="auto"/>
                <w:highlight w:val="none"/>
              </w:rPr>
              <w:t>偏离</w:t>
            </w:r>
          </w:p>
        </w:tc>
        <w:tc>
          <w:tcPr>
            <w:tcW w:w="944" w:type="dxa"/>
            <w:tcBorders>
              <w:top w:val="single" w:color="auto" w:sz="4" w:space="0"/>
              <w:left w:val="single" w:color="auto" w:sz="4" w:space="0"/>
              <w:bottom w:val="single" w:color="auto" w:sz="4" w:space="0"/>
              <w:right w:val="single" w:color="auto" w:sz="4" w:space="0"/>
            </w:tcBorders>
            <w:vAlign w:val="center"/>
          </w:tcPr>
          <w:p w14:paraId="312AB9A8">
            <w:pPr>
              <w:pStyle w:val="17"/>
              <w:widowControl w:val="0"/>
              <w:spacing w:before="0" w:beforeAutospacing="0" w:after="0" w:afterAutospacing="0"/>
              <w:jc w:val="center"/>
              <w:rPr>
                <w:rFonts w:cs="宋体"/>
                <w:color w:val="auto"/>
                <w:highlight w:val="none"/>
              </w:rPr>
            </w:pPr>
            <w:r>
              <w:rPr>
                <w:rFonts w:hint="eastAsia" w:cs="宋体"/>
                <w:color w:val="auto"/>
                <w:highlight w:val="none"/>
              </w:rPr>
              <w:t>说明</w:t>
            </w:r>
          </w:p>
        </w:tc>
      </w:tr>
      <w:tr w14:paraId="003D1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02CE3F1E">
            <w:pPr>
              <w:pStyle w:val="17"/>
              <w:widowControl w:val="0"/>
              <w:spacing w:before="0" w:beforeAutospacing="0" w:after="0" w:afterAutospacing="0"/>
              <w:ind w:firstLine="480" w:firstLineChars="200"/>
              <w:jc w:val="center"/>
              <w:rPr>
                <w:rFonts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4DFBA5AC">
            <w:pPr>
              <w:pStyle w:val="17"/>
              <w:widowControl w:val="0"/>
              <w:spacing w:before="0" w:beforeAutospacing="0" w:after="0" w:afterAutospacing="0"/>
              <w:ind w:firstLine="480" w:firstLineChars="200"/>
              <w:jc w:val="center"/>
              <w:rPr>
                <w:rFonts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2219D72C">
            <w:pPr>
              <w:pStyle w:val="17"/>
              <w:widowControl w:val="0"/>
              <w:spacing w:before="0" w:beforeAutospacing="0" w:after="0" w:afterAutospacing="0"/>
              <w:ind w:firstLine="480" w:firstLineChars="200"/>
              <w:jc w:val="center"/>
              <w:rPr>
                <w:rFonts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3A5FFABF">
            <w:pPr>
              <w:pStyle w:val="17"/>
              <w:widowControl w:val="0"/>
              <w:spacing w:before="0" w:beforeAutospacing="0" w:after="0" w:afterAutospacing="0"/>
              <w:ind w:firstLine="480" w:firstLineChars="200"/>
              <w:jc w:val="center"/>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97C10AD">
            <w:pPr>
              <w:pStyle w:val="17"/>
              <w:widowControl w:val="0"/>
              <w:spacing w:before="0" w:beforeAutospacing="0" w:after="0" w:afterAutospacing="0"/>
              <w:ind w:firstLine="480" w:firstLineChars="200"/>
              <w:jc w:val="center"/>
              <w:rPr>
                <w:rFonts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5372D1B4">
            <w:pPr>
              <w:pStyle w:val="17"/>
              <w:widowControl w:val="0"/>
              <w:spacing w:before="0" w:beforeAutospacing="0" w:after="0" w:afterAutospacing="0"/>
              <w:ind w:firstLine="480" w:firstLineChars="200"/>
              <w:jc w:val="center"/>
              <w:rPr>
                <w:rFonts w:cs="宋体"/>
                <w:color w:val="auto"/>
                <w:highlight w:val="none"/>
              </w:rPr>
            </w:pPr>
          </w:p>
        </w:tc>
      </w:tr>
      <w:tr w14:paraId="72A7F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3E16E439">
            <w:pPr>
              <w:pStyle w:val="17"/>
              <w:widowControl w:val="0"/>
              <w:spacing w:before="0" w:beforeAutospacing="0" w:after="0" w:afterAutospacing="0"/>
              <w:ind w:firstLine="480" w:firstLineChars="200"/>
              <w:jc w:val="center"/>
              <w:rPr>
                <w:rFonts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34DCEBBA">
            <w:pPr>
              <w:pStyle w:val="17"/>
              <w:widowControl w:val="0"/>
              <w:spacing w:before="0" w:beforeAutospacing="0" w:after="0" w:afterAutospacing="0"/>
              <w:ind w:firstLine="480" w:firstLineChars="200"/>
              <w:jc w:val="center"/>
              <w:rPr>
                <w:rFonts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7AFD65BB">
            <w:pPr>
              <w:pStyle w:val="17"/>
              <w:widowControl w:val="0"/>
              <w:spacing w:before="0" w:beforeAutospacing="0" w:after="0" w:afterAutospacing="0"/>
              <w:ind w:firstLine="480" w:firstLineChars="200"/>
              <w:jc w:val="center"/>
              <w:rPr>
                <w:rFonts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19946FEE">
            <w:pPr>
              <w:pStyle w:val="17"/>
              <w:widowControl w:val="0"/>
              <w:spacing w:before="0" w:beforeAutospacing="0" w:after="0" w:afterAutospacing="0"/>
              <w:ind w:firstLine="480" w:firstLineChars="200"/>
              <w:jc w:val="center"/>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FD46EA0">
            <w:pPr>
              <w:pStyle w:val="17"/>
              <w:widowControl w:val="0"/>
              <w:spacing w:before="0" w:beforeAutospacing="0" w:after="0" w:afterAutospacing="0"/>
              <w:ind w:firstLine="480" w:firstLineChars="200"/>
              <w:jc w:val="center"/>
              <w:rPr>
                <w:rFonts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0F9943F8">
            <w:pPr>
              <w:pStyle w:val="17"/>
              <w:widowControl w:val="0"/>
              <w:spacing w:before="0" w:beforeAutospacing="0" w:after="0" w:afterAutospacing="0"/>
              <w:ind w:firstLine="480" w:firstLineChars="200"/>
              <w:jc w:val="center"/>
              <w:rPr>
                <w:rFonts w:cs="宋体"/>
                <w:color w:val="auto"/>
                <w:highlight w:val="none"/>
              </w:rPr>
            </w:pPr>
          </w:p>
        </w:tc>
      </w:tr>
      <w:tr w14:paraId="5E9F2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0FBAE569">
            <w:pPr>
              <w:pStyle w:val="17"/>
              <w:widowControl w:val="0"/>
              <w:spacing w:before="0" w:beforeAutospacing="0" w:after="0" w:afterAutospacing="0"/>
              <w:ind w:firstLine="480" w:firstLineChars="200"/>
              <w:jc w:val="center"/>
              <w:rPr>
                <w:rFonts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489C62C6">
            <w:pPr>
              <w:pStyle w:val="17"/>
              <w:widowControl w:val="0"/>
              <w:spacing w:before="0" w:beforeAutospacing="0" w:after="0" w:afterAutospacing="0"/>
              <w:ind w:firstLine="480" w:firstLineChars="200"/>
              <w:jc w:val="center"/>
              <w:rPr>
                <w:rFonts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7C0A553B">
            <w:pPr>
              <w:pStyle w:val="17"/>
              <w:widowControl w:val="0"/>
              <w:spacing w:before="0" w:beforeAutospacing="0" w:after="0" w:afterAutospacing="0"/>
              <w:ind w:firstLine="480" w:firstLineChars="200"/>
              <w:jc w:val="center"/>
              <w:rPr>
                <w:rFonts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76FD86A7">
            <w:pPr>
              <w:pStyle w:val="17"/>
              <w:widowControl w:val="0"/>
              <w:spacing w:before="0" w:beforeAutospacing="0" w:after="0" w:afterAutospacing="0"/>
              <w:ind w:firstLine="480" w:firstLineChars="200"/>
              <w:jc w:val="center"/>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9A4EB8B">
            <w:pPr>
              <w:pStyle w:val="17"/>
              <w:widowControl w:val="0"/>
              <w:spacing w:before="0" w:beforeAutospacing="0" w:after="0" w:afterAutospacing="0"/>
              <w:ind w:firstLine="480" w:firstLineChars="200"/>
              <w:jc w:val="center"/>
              <w:rPr>
                <w:rFonts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15944B6B">
            <w:pPr>
              <w:pStyle w:val="17"/>
              <w:widowControl w:val="0"/>
              <w:spacing w:before="0" w:beforeAutospacing="0" w:after="0" w:afterAutospacing="0"/>
              <w:ind w:firstLine="480" w:firstLineChars="200"/>
              <w:jc w:val="center"/>
              <w:rPr>
                <w:rFonts w:cs="宋体"/>
                <w:color w:val="auto"/>
                <w:highlight w:val="none"/>
              </w:rPr>
            </w:pPr>
          </w:p>
        </w:tc>
      </w:tr>
      <w:tr w14:paraId="6858D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53F7A647">
            <w:pPr>
              <w:pStyle w:val="17"/>
              <w:widowControl w:val="0"/>
              <w:spacing w:before="0" w:beforeAutospacing="0" w:after="0" w:afterAutospacing="0"/>
              <w:ind w:firstLine="480" w:firstLineChars="200"/>
              <w:jc w:val="center"/>
              <w:rPr>
                <w:rFonts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67293193">
            <w:pPr>
              <w:pStyle w:val="17"/>
              <w:widowControl w:val="0"/>
              <w:spacing w:before="0" w:beforeAutospacing="0" w:after="0" w:afterAutospacing="0"/>
              <w:ind w:firstLine="480" w:firstLineChars="200"/>
              <w:jc w:val="center"/>
              <w:rPr>
                <w:rFonts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2A44C1A1">
            <w:pPr>
              <w:pStyle w:val="17"/>
              <w:widowControl w:val="0"/>
              <w:spacing w:before="0" w:beforeAutospacing="0" w:after="0" w:afterAutospacing="0"/>
              <w:ind w:firstLine="480" w:firstLineChars="200"/>
              <w:jc w:val="center"/>
              <w:rPr>
                <w:rFonts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7FE01116">
            <w:pPr>
              <w:pStyle w:val="17"/>
              <w:widowControl w:val="0"/>
              <w:spacing w:before="0" w:beforeAutospacing="0" w:after="0" w:afterAutospacing="0"/>
              <w:ind w:firstLine="480" w:firstLineChars="200"/>
              <w:jc w:val="center"/>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D1AE2CB">
            <w:pPr>
              <w:pStyle w:val="17"/>
              <w:widowControl w:val="0"/>
              <w:spacing w:before="0" w:beforeAutospacing="0" w:after="0" w:afterAutospacing="0"/>
              <w:ind w:firstLine="480" w:firstLineChars="200"/>
              <w:jc w:val="center"/>
              <w:rPr>
                <w:rFonts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192C2FCB">
            <w:pPr>
              <w:pStyle w:val="17"/>
              <w:widowControl w:val="0"/>
              <w:spacing w:before="0" w:beforeAutospacing="0" w:after="0" w:afterAutospacing="0"/>
              <w:ind w:firstLine="480" w:firstLineChars="200"/>
              <w:jc w:val="center"/>
              <w:rPr>
                <w:rFonts w:cs="宋体"/>
                <w:color w:val="auto"/>
                <w:highlight w:val="none"/>
              </w:rPr>
            </w:pPr>
          </w:p>
        </w:tc>
      </w:tr>
      <w:tr w14:paraId="72CE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34B9BCA2">
            <w:pPr>
              <w:pStyle w:val="17"/>
              <w:widowControl w:val="0"/>
              <w:spacing w:before="0" w:beforeAutospacing="0" w:after="0" w:afterAutospacing="0"/>
              <w:ind w:firstLine="480" w:firstLineChars="200"/>
              <w:jc w:val="center"/>
              <w:rPr>
                <w:rFonts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04A964A2">
            <w:pPr>
              <w:pStyle w:val="17"/>
              <w:widowControl w:val="0"/>
              <w:spacing w:before="0" w:beforeAutospacing="0" w:after="0" w:afterAutospacing="0"/>
              <w:ind w:firstLine="480" w:firstLineChars="200"/>
              <w:jc w:val="center"/>
              <w:rPr>
                <w:rFonts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34803780">
            <w:pPr>
              <w:pStyle w:val="17"/>
              <w:widowControl w:val="0"/>
              <w:spacing w:before="0" w:beforeAutospacing="0" w:after="0" w:afterAutospacing="0"/>
              <w:ind w:firstLine="480" w:firstLineChars="200"/>
              <w:jc w:val="center"/>
              <w:rPr>
                <w:rFonts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5E58F1D7">
            <w:pPr>
              <w:pStyle w:val="17"/>
              <w:widowControl w:val="0"/>
              <w:spacing w:before="0" w:beforeAutospacing="0" w:after="0" w:afterAutospacing="0"/>
              <w:ind w:firstLine="480" w:firstLineChars="200"/>
              <w:jc w:val="center"/>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FB86C76">
            <w:pPr>
              <w:pStyle w:val="17"/>
              <w:widowControl w:val="0"/>
              <w:spacing w:before="0" w:beforeAutospacing="0" w:after="0" w:afterAutospacing="0"/>
              <w:ind w:firstLine="480" w:firstLineChars="200"/>
              <w:jc w:val="center"/>
              <w:rPr>
                <w:rFonts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0E668E84">
            <w:pPr>
              <w:pStyle w:val="17"/>
              <w:widowControl w:val="0"/>
              <w:spacing w:before="0" w:beforeAutospacing="0" w:after="0" w:afterAutospacing="0"/>
              <w:ind w:firstLine="480" w:firstLineChars="200"/>
              <w:jc w:val="center"/>
              <w:rPr>
                <w:rFonts w:cs="宋体"/>
                <w:color w:val="auto"/>
                <w:highlight w:val="none"/>
              </w:rPr>
            </w:pPr>
          </w:p>
        </w:tc>
      </w:tr>
      <w:tr w14:paraId="050D9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6A5CA001">
            <w:pPr>
              <w:pStyle w:val="17"/>
              <w:widowControl w:val="0"/>
              <w:spacing w:before="0" w:beforeAutospacing="0" w:after="0" w:afterAutospacing="0"/>
              <w:ind w:firstLine="480" w:firstLineChars="200"/>
              <w:jc w:val="center"/>
              <w:rPr>
                <w:rFonts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239F50A0">
            <w:pPr>
              <w:pStyle w:val="17"/>
              <w:widowControl w:val="0"/>
              <w:spacing w:before="0" w:beforeAutospacing="0" w:after="0" w:afterAutospacing="0"/>
              <w:ind w:firstLine="480" w:firstLineChars="200"/>
              <w:jc w:val="center"/>
              <w:rPr>
                <w:rFonts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68C79260">
            <w:pPr>
              <w:pStyle w:val="17"/>
              <w:widowControl w:val="0"/>
              <w:spacing w:before="0" w:beforeAutospacing="0" w:after="0" w:afterAutospacing="0"/>
              <w:ind w:firstLine="480" w:firstLineChars="200"/>
              <w:jc w:val="center"/>
              <w:rPr>
                <w:rFonts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2AC06D20">
            <w:pPr>
              <w:pStyle w:val="17"/>
              <w:widowControl w:val="0"/>
              <w:spacing w:before="0" w:beforeAutospacing="0" w:after="0" w:afterAutospacing="0"/>
              <w:ind w:firstLine="480" w:firstLineChars="200"/>
              <w:jc w:val="center"/>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9852A3B">
            <w:pPr>
              <w:pStyle w:val="17"/>
              <w:widowControl w:val="0"/>
              <w:spacing w:before="0" w:beforeAutospacing="0" w:after="0" w:afterAutospacing="0"/>
              <w:ind w:firstLine="480" w:firstLineChars="200"/>
              <w:jc w:val="center"/>
              <w:rPr>
                <w:rFonts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1D118BD5">
            <w:pPr>
              <w:pStyle w:val="17"/>
              <w:widowControl w:val="0"/>
              <w:spacing w:before="0" w:beforeAutospacing="0" w:after="0" w:afterAutospacing="0"/>
              <w:ind w:firstLine="480" w:firstLineChars="200"/>
              <w:jc w:val="center"/>
              <w:rPr>
                <w:rFonts w:cs="宋体"/>
                <w:color w:val="auto"/>
                <w:highlight w:val="none"/>
              </w:rPr>
            </w:pPr>
          </w:p>
        </w:tc>
      </w:tr>
      <w:tr w14:paraId="2904F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2D5B4A45">
            <w:pPr>
              <w:pStyle w:val="17"/>
              <w:widowControl w:val="0"/>
              <w:spacing w:before="0" w:beforeAutospacing="0" w:after="0" w:afterAutospacing="0"/>
              <w:ind w:firstLine="480" w:firstLineChars="200"/>
              <w:jc w:val="center"/>
              <w:rPr>
                <w:rFonts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642F2343">
            <w:pPr>
              <w:pStyle w:val="17"/>
              <w:widowControl w:val="0"/>
              <w:spacing w:before="0" w:beforeAutospacing="0" w:after="0" w:afterAutospacing="0"/>
              <w:ind w:firstLine="480" w:firstLineChars="200"/>
              <w:jc w:val="center"/>
              <w:rPr>
                <w:rFonts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1D986FB9">
            <w:pPr>
              <w:pStyle w:val="17"/>
              <w:widowControl w:val="0"/>
              <w:spacing w:before="0" w:beforeAutospacing="0" w:after="0" w:afterAutospacing="0"/>
              <w:ind w:firstLine="480" w:firstLineChars="200"/>
              <w:jc w:val="center"/>
              <w:rPr>
                <w:rFonts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40F09B00">
            <w:pPr>
              <w:pStyle w:val="17"/>
              <w:widowControl w:val="0"/>
              <w:spacing w:before="0" w:beforeAutospacing="0" w:after="0" w:afterAutospacing="0"/>
              <w:ind w:firstLine="480" w:firstLineChars="200"/>
              <w:jc w:val="center"/>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950389E">
            <w:pPr>
              <w:pStyle w:val="17"/>
              <w:widowControl w:val="0"/>
              <w:spacing w:before="0" w:beforeAutospacing="0" w:after="0" w:afterAutospacing="0"/>
              <w:ind w:firstLine="480" w:firstLineChars="200"/>
              <w:jc w:val="center"/>
              <w:rPr>
                <w:rFonts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5EBC86F5">
            <w:pPr>
              <w:pStyle w:val="17"/>
              <w:widowControl w:val="0"/>
              <w:spacing w:before="0" w:beforeAutospacing="0" w:after="0" w:afterAutospacing="0"/>
              <w:ind w:firstLine="480" w:firstLineChars="200"/>
              <w:jc w:val="center"/>
              <w:rPr>
                <w:rFonts w:cs="宋体"/>
                <w:color w:val="auto"/>
                <w:highlight w:val="none"/>
              </w:rPr>
            </w:pPr>
          </w:p>
        </w:tc>
      </w:tr>
    </w:tbl>
    <w:p w14:paraId="1B967347">
      <w:pPr>
        <w:pStyle w:val="17"/>
        <w:widowControl w:val="0"/>
        <w:spacing w:before="0" w:beforeAutospacing="0" w:after="0" w:afterAutospacing="0"/>
        <w:rPr>
          <w:rFonts w:cs="宋体"/>
          <w:color w:val="auto"/>
          <w:highlight w:val="none"/>
        </w:rPr>
      </w:pPr>
      <w:r>
        <w:rPr>
          <w:rFonts w:hint="eastAsia" w:cs="宋体"/>
          <w:color w:val="auto"/>
          <w:highlight w:val="none"/>
        </w:rPr>
        <w:t>说明：</w:t>
      </w:r>
    </w:p>
    <w:p w14:paraId="0E867170">
      <w:pPr>
        <w:pStyle w:val="17"/>
        <w:widowControl w:val="0"/>
        <w:spacing w:before="0" w:beforeAutospacing="0" w:after="0" w:afterAutospacing="0"/>
        <w:ind w:firstLine="480" w:firstLineChars="200"/>
        <w:jc w:val="both"/>
        <w:rPr>
          <w:rFonts w:cs="宋体"/>
          <w:color w:val="auto"/>
          <w:highlight w:val="none"/>
        </w:rPr>
      </w:pPr>
      <w:r>
        <w:rPr>
          <w:rFonts w:hint="eastAsia" w:cs="宋体"/>
          <w:color w:val="auto"/>
          <w:highlight w:val="none"/>
        </w:rPr>
        <w:t>1.本表只填写磋商响应文件中与磋商文件有偏离（包括正偏离和负偏离）的内容，磋商响应文件中商务响应与磋商文件要求完全一致的，不用在此表中列出，但必须提交空白表。</w:t>
      </w:r>
    </w:p>
    <w:p w14:paraId="145C784E">
      <w:pPr>
        <w:pStyle w:val="17"/>
        <w:widowControl w:val="0"/>
        <w:spacing w:before="0" w:beforeAutospacing="0" w:after="0" w:afterAutospacing="0"/>
        <w:ind w:firstLine="480" w:firstLineChars="200"/>
        <w:rPr>
          <w:rFonts w:cs="宋体"/>
          <w:color w:val="auto"/>
          <w:highlight w:val="none"/>
        </w:rPr>
      </w:pPr>
      <w:r>
        <w:rPr>
          <w:rFonts w:hint="eastAsia" w:cs="宋体"/>
          <w:color w:val="auto"/>
          <w:highlight w:val="none"/>
        </w:rPr>
        <w:t>2.供应商必须据实填写，不得虚假响应，否则将取消其磋商或成交资格，并按有关规定</w:t>
      </w:r>
      <w:r>
        <w:rPr>
          <w:rFonts w:hint="eastAsia" w:cs="宋体"/>
          <w:color w:val="auto"/>
          <w:highlight w:val="none"/>
          <w:lang w:eastAsia="zh-CN"/>
        </w:rPr>
        <w:t>进行处罚</w:t>
      </w:r>
      <w:r>
        <w:rPr>
          <w:rFonts w:hint="eastAsia" w:cs="宋体"/>
          <w:color w:val="auto"/>
          <w:highlight w:val="none"/>
        </w:rPr>
        <w:t>。</w:t>
      </w:r>
    </w:p>
    <w:p w14:paraId="59ED83FE">
      <w:pPr>
        <w:pStyle w:val="17"/>
        <w:widowControl w:val="0"/>
        <w:spacing w:before="0" w:beforeAutospacing="0" w:after="0" w:afterAutospacing="0"/>
        <w:ind w:firstLine="480" w:firstLineChars="200"/>
        <w:jc w:val="center"/>
        <w:rPr>
          <w:rFonts w:cs="宋体"/>
          <w:color w:val="auto"/>
          <w:highlight w:val="none"/>
        </w:rPr>
      </w:pPr>
    </w:p>
    <w:p w14:paraId="35A8BE06">
      <w:pPr>
        <w:pStyle w:val="17"/>
        <w:widowControl w:val="0"/>
        <w:spacing w:before="0" w:beforeAutospacing="0" w:after="0" w:afterAutospacing="0"/>
        <w:ind w:firstLine="480" w:firstLineChars="200"/>
        <w:rPr>
          <w:rFonts w:cs="宋体"/>
          <w:color w:val="auto"/>
          <w:highlight w:val="none"/>
        </w:rPr>
      </w:pPr>
      <w:r>
        <w:rPr>
          <w:rFonts w:hint="eastAsia" w:cs="宋体"/>
          <w:color w:val="auto"/>
          <w:highlight w:val="none"/>
        </w:rPr>
        <w:t>供应商名称：                       （单位公章）</w:t>
      </w:r>
    </w:p>
    <w:p w14:paraId="491BDE76">
      <w:pPr>
        <w:pStyle w:val="17"/>
        <w:widowControl w:val="0"/>
        <w:spacing w:before="0" w:beforeAutospacing="0" w:after="0" w:afterAutospacing="0"/>
        <w:ind w:firstLine="480" w:firstLineChars="200"/>
        <w:jc w:val="center"/>
        <w:rPr>
          <w:rFonts w:cs="宋体"/>
          <w:color w:val="auto"/>
          <w:highlight w:val="none"/>
        </w:rPr>
      </w:pPr>
    </w:p>
    <w:p w14:paraId="15032126">
      <w:pPr>
        <w:spacing w:line="400" w:lineRule="exact"/>
        <w:ind w:firstLine="480" w:firstLineChars="200"/>
        <w:rPr>
          <w:rFonts w:hAnsi="宋体"/>
          <w:color w:val="auto"/>
          <w:szCs w:val="24"/>
          <w:highlight w:val="none"/>
        </w:rPr>
      </w:pPr>
      <w:r>
        <w:rPr>
          <w:rFonts w:hint="eastAsia" w:hAnsi="宋体" w:cs="宋体"/>
          <w:color w:val="auto"/>
          <w:highlight w:val="none"/>
        </w:rPr>
        <w:t xml:space="preserve">法定代表人或委托代理人：              （签字或盖章） </w:t>
      </w:r>
    </w:p>
    <w:p w14:paraId="7BCBA697">
      <w:pPr>
        <w:spacing w:line="360" w:lineRule="auto"/>
        <w:ind w:left="600" w:leftChars="250"/>
        <w:rPr>
          <w:rFonts w:hAnsi="宋体"/>
          <w:b/>
          <w:bCs/>
          <w:color w:val="auto"/>
          <w:sz w:val="28"/>
          <w:szCs w:val="28"/>
          <w:highlight w:val="none"/>
        </w:rPr>
      </w:pPr>
    </w:p>
    <w:p w14:paraId="5FEE0D49">
      <w:pPr>
        <w:spacing w:line="440" w:lineRule="exact"/>
        <w:ind w:left="3725" w:leftChars="1552"/>
        <w:rPr>
          <w:rFonts w:hAnsi="宋体"/>
          <w:color w:val="auto"/>
          <w:szCs w:val="24"/>
          <w:highlight w:val="none"/>
        </w:rPr>
      </w:pPr>
    </w:p>
    <w:p w14:paraId="7108A952">
      <w:pPr>
        <w:spacing w:line="440" w:lineRule="exact"/>
        <w:ind w:left="3725" w:leftChars="1552"/>
        <w:rPr>
          <w:rFonts w:hAnsi="宋体"/>
          <w:color w:val="auto"/>
          <w:szCs w:val="24"/>
          <w:highlight w:val="none"/>
        </w:rPr>
      </w:pPr>
    </w:p>
    <w:p w14:paraId="0D77988E">
      <w:pPr>
        <w:spacing w:line="440" w:lineRule="exact"/>
        <w:ind w:left="3725" w:leftChars="1552"/>
        <w:rPr>
          <w:rFonts w:hAnsi="宋体"/>
          <w:color w:val="auto"/>
          <w:szCs w:val="24"/>
          <w:highlight w:val="none"/>
        </w:rPr>
      </w:pPr>
    </w:p>
    <w:bookmarkEnd w:id="76"/>
    <w:p w14:paraId="2CA3556D">
      <w:pPr>
        <w:spacing w:line="360" w:lineRule="auto"/>
        <w:jc w:val="center"/>
        <w:outlineLvl w:val="2"/>
        <w:rPr>
          <w:b/>
          <w:bCs/>
          <w:color w:val="auto"/>
          <w:sz w:val="30"/>
          <w:szCs w:val="30"/>
          <w:highlight w:val="none"/>
        </w:rPr>
      </w:pPr>
      <w:bookmarkStart w:id="82" w:name="_Toc363474033"/>
      <w:bookmarkStart w:id="83" w:name="_Toc403077656"/>
      <w:r>
        <w:rPr>
          <w:rFonts w:hint="eastAsia"/>
          <w:b/>
          <w:bCs/>
          <w:color w:val="auto"/>
          <w:sz w:val="30"/>
          <w:szCs w:val="30"/>
          <w:highlight w:val="none"/>
        </w:rPr>
        <w:br w:type="page"/>
      </w:r>
      <w:r>
        <w:rPr>
          <w:rFonts w:hint="eastAsia"/>
          <w:b/>
          <w:bCs/>
          <w:color w:val="auto"/>
          <w:sz w:val="30"/>
          <w:szCs w:val="30"/>
          <w:highlight w:val="none"/>
        </w:rPr>
        <w:t>五、</w:t>
      </w:r>
      <w:r>
        <w:rPr>
          <w:b/>
          <w:bCs/>
          <w:color w:val="auto"/>
          <w:sz w:val="30"/>
          <w:szCs w:val="30"/>
          <w:highlight w:val="none"/>
        </w:rPr>
        <w:t>陕西省政府采购供应商拒绝政府采购领域商业贿赂承诺书</w:t>
      </w:r>
      <w:bookmarkEnd w:id="82"/>
      <w:bookmarkEnd w:id="83"/>
    </w:p>
    <w:p w14:paraId="1726BFBC">
      <w:pPr>
        <w:spacing w:line="600" w:lineRule="exact"/>
        <w:ind w:firstLine="480" w:firstLineChars="200"/>
        <w:jc w:val="left"/>
        <w:rPr>
          <w:rFonts w:hAnsi="宋体" w:cs="宋体"/>
          <w:color w:val="auto"/>
          <w:szCs w:val="24"/>
          <w:highlight w:val="none"/>
        </w:rPr>
      </w:pPr>
      <w:r>
        <w:rPr>
          <w:rFonts w:hAnsi="宋体" w:cs="宋体"/>
          <w:color w:val="auto"/>
          <w:szCs w:val="24"/>
          <w:highlight w:val="none"/>
        </w:rPr>
        <w:t>为响应党中央、国务院关于治理政府采购领域商业贿赂行为的号召，我公司在此庄严承诺：</w:t>
      </w:r>
    </w:p>
    <w:p w14:paraId="216BCDB0">
      <w:pPr>
        <w:spacing w:line="600" w:lineRule="exact"/>
        <w:ind w:firstLine="480" w:firstLineChars="200"/>
        <w:jc w:val="left"/>
        <w:rPr>
          <w:rFonts w:hAnsi="宋体" w:cs="宋体"/>
          <w:color w:val="auto"/>
          <w:szCs w:val="24"/>
          <w:highlight w:val="none"/>
        </w:rPr>
      </w:pPr>
      <w:r>
        <w:rPr>
          <w:rFonts w:hAnsi="宋体" w:cs="宋体"/>
          <w:color w:val="auto"/>
          <w:szCs w:val="24"/>
          <w:highlight w:val="none"/>
        </w:rPr>
        <w:t>1、在参与政府采购活动中遵纪守法、诚信经营、公平竞标。</w:t>
      </w:r>
    </w:p>
    <w:p w14:paraId="0C5AD9EB">
      <w:pPr>
        <w:spacing w:line="600" w:lineRule="exact"/>
        <w:ind w:firstLine="480" w:firstLineChars="200"/>
        <w:jc w:val="left"/>
        <w:rPr>
          <w:rFonts w:hAnsi="宋体" w:cs="宋体"/>
          <w:color w:val="auto"/>
          <w:szCs w:val="24"/>
          <w:highlight w:val="none"/>
        </w:rPr>
      </w:pPr>
      <w:r>
        <w:rPr>
          <w:rFonts w:hAnsi="宋体" w:cs="宋体"/>
          <w:color w:val="auto"/>
          <w:szCs w:val="24"/>
          <w:highlight w:val="none"/>
        </w:rPr>
        <w:t>2、不向政府采购人、采购代理机构和政府采购评审专家进行任何形式的商业贿赂以谋取交易机会。</w:t>
      </w:r>
    </w:p>
    <w:p w14:paraId="0B53C1C6">
      <w:pPr>
        <w:spacing w:line="600" w:lineRule="exact"/>
        <w:ind w:firstLine="480" w:firstLineChars="200"/>
        <w:jc w:val="left"/>
        <w:rPr>
          <w:rFonts w:hAnsi="宋体" w:cs="宋体"/>
          <w:color w:val="auto"/>
          <w:szCs w:val="24"/>
          <w:highlight w:val="none"/>
        </w:rPr>
      </w:pPr>
      <w:r>
        <w:rPr>
          <w:rFonts w:hAnsi="宋体" w:cs="宋体"/>
          <w:color w:val="auto"/>
          <w:szCs w:val="24"/>
          <w:highlight w:val="none"/>
        </w:rPr>
        <w:t>3、不向政府采购代理机构和采购人提供虚假资质文件或采用虚假应标方式参与政府采购市场竞争并谋取中标、成交。</w:t>
      </w:r>
    </w:p>
    <w:p w14:paraId="1930BF57">
      <w:pPr>
        <w:spacing w:line="600" w:lineRule="exact"/>
        <w:ind w:firstLine="480" w:firstLineChars="200"/>
        <w:jc w:val="left"/>
        <w:rPr>
          <w:rFonts w:hAnsi="宋体" w:cs="宋体"/>
          <w:color w:val="auto"/>
          <w:szCs w:val="24"/>
          <w:highlight w:val="none"/>
        </w:rPr>
      </w:pPr>
      <w:r>
        <w:rPr>
          <w:rFonts w:hAnsi="宋体" w:cs="宋体"/>
          <w:color w:val="auto"/>
          <w:szCs w:val="24"/>
          <w:highlight w:val="none"/>
        </w:rPr>
        <w:t>4、不采取“围标、陪标”等商业欺诈手段获得政府采购定单。</w:t>
      </w:r>
    </w:p>
    <w:p w14:paraId="2B05F929">
      <w:pPr>
        <w:spacing w:line="600" w:lineRule="exact"/>
        <w:ind w:firstLine="480" w:firstLineChars="200"/>
        <w:jc w:val="left"/>
        <w:rPr>
          <w:rFonts w:hAnsi="宋体" w:cs="宋体"/>
          <w:color w:val="auto"/>
          <w:szCs w:val="24"/>
          <w:highlight w:val="none"/>
        </w:rPr>
      </w:pPr>
      <w:r>
        <w:rPr>
          <w:rFonts w:hAnsi="宋体" w:cs="宋体"/>
          <w:color w:val="auto"/>
          <w:szCs w:val="24"/>
          <w:highlight w:val="none"/>
        </w:rPr>
        <w:t>5、不采取不正当手段诋毁、排挤其他供应商。</w:t>
      </w:r>
    </w:p>
    <w:p w14:paraId="22D63191">
      <w:pPr>
        <w:spacing w:line="600" w:lineRule="exact"/>
        <w:ind w:firstLine="480" w:firstLineChars="200"/>
        <w:jc w:val="left"/>
        <w:rPr>
          <w:rFonts w:hAnsi="宋体" w:cs="宋体"/>
          <w:color w:val="auto"/>
          <w:szCs w:val="24"/>
          <w:highlight w:val="none"/>
        </w:rPr>
      </w:pPr>
      <w:r>
        <w:rPr>
          <w:rFonts w:hAnsi="宋体" w:cs="宋体"/>
          <w:color w:val="auto"/>
          <w:szCs w:val="24"/>
          <w:highlight w:val="none"/>
        </w:rPr>
        <w:t>6、不在提供商品和服务时“偷梁换柱、以次充好”损害采购人的合法权益。</w:t>
      </w:r>
    </w:p>
    <w:p w14:paraId="750A6AAA">
      <w:pPr>
        <w:spacing w:line="600" w:lineRule="exact"/>
        <w:ind w:firstLine="480" w:firstLineChars="200"/>
        <w:jc w:val="left"/>
        <w:rPr>
          <w:rFonts w:hAnsi="宋体" w:cs="宋体"/>
          <w:color w:val="auto"/>
          <w:szCs w:val="24"/>
          <w:highlight w:val="none"/>
        </w:rPr>
      </w:pPr>
      <w:r>
        <w:rPr>
          <w:rFonts w:hAnsi="宋体" w:cs="宋体"/>
          <w:color w:val="auto"/>
          <w:szCs w:val="24"/>
          <w:highlight w:val="none"/>
        </w:rPr>
        <w:t>7、不与采购人、采购代理机构政府采购评审专家或其它供应商恶意串通，进行质疑和投诉，维护政府采购市场秩序。</w:t>
      </w:r>
    </w:p>
    <w:p w14:paraId="44C83FF7">
      <w:pPr>
        <w:spacing w:line="600" w:lineRule="exact"/>
        <w:ind w:firstLine="480" w:firstLineChars="200"/>
        <w:jc w:val="left"/>
        <w:rPr>
          <w:rFonts w:hAnsi="宋体" w:cs="宋体"/>
          <w:color w:val="auto"/>
          <w:szCs w:val="24"/>
          <w:highlight w:val="none"/>
        </w:rPr>
      </w:pPr>
      <w:r>
        <w:rPr>
          <w:rFonts w:hAnsi="宋体" w:cs="宋体"/>
          <w:color w:val="auto"/>
          <w:szCs w:val="24"/>
          <w:highlight w:val="none"/>
        </w:rPr>
        <w:t>8、尊重和接受政府采购监督管理部门的监督和政府采购代理机构招标采购要求，承担因违约行为给采购人造成的损失。</w:t>
      </w:r>
    </w:p>
    <w:p w14:paraId="681B8FA1">
      <w:pPr>
        <w:spacing w:line="600" w:lineRule="exact"/>
        <w:ind w:left="761" w:leftChars="267" w:hanging="120" w:hangingChars="50"/>
        <w:jc w:val="left"/>
        <w:rPr>
          <w:rFonts w:hAnsi="宋体" w:cs="宋体"/>
          <w:color w:val="auto"/>
          <w:szCs w:val="24"/>
          <w:highlight w:val="none"/>
        </w:rPr>
      </w:pPr>
      <w:r>
        <w:rPr>
          <w:rFonts w:hAnsi="宋体" w:cs="宋体"/>
          <w:color w:val="auto"/>
          <w:szCs w:val="24"/>
          <w:highlight w:val="none"/>
        </w:rPr>
        <w:t>9、不发生其他有悖于政府采购公开、公平、公正和诚信原则的行为。</w:t>
      </w:r>
    </w:p>
    <w:p w14:paraId="2007E99D">
      <w:pPr>
        <w:spacing w:line="600" w:lineRule="exact"/>
        <w:ind w:firstLine="720" w:firstLineChars="300"/>
        <w:jc w:val="left"/>
        <w:rPr>
          <w:rFonts w:hAnsi="宋体" w:cs="宋体"/>
          <w:color w:val="auto"/>
          <w:szCs w:val="24"/>
          <w:highlight w:val="none"/>
        </w:rPr>
      </w:pPr>
      <w:r>
        <w:rPr>
          <w:rFonts w:hAnsi="宋体" w:cs="宋体"/>
          <w:color w:val="auto"/>
          <w:szCs w:val="24"/>
          <w:highlight w:val="none"/>
        </w:rPr>
        <w:t>承诺单位（盖章）：</w:t>
      </w:r>
    </w:p>
    <w:p w14:paraId="671F2501">
      <w:pPr>
        <w:spacing w:line="600" w:lineRule="exact"/>
        <w:ind w:firstLine="720" w:firstLineChars="300"/>
        <w:jc w:val="left"/>
        <w:rPr>
          <w:rFonts w:hAnsi="宋体" w:cs="宋体"/>
          <w:color w:val="auto"/>
          <w:szCs w:val="24"/>
          <w:highlight w:val="none"/>
        </w:rPr>
      </w:pPr>
      <w:r>
        <w:rPr>
          <w:rFonts w:hint="eastAsia" w:hAnsi="宋体" w:cs="宋体"/>
          <w:color w:val="auto"/>
          <w:szCs w:val="24"/>
          <w:highlight w:val="none"/>
        </w:rPr>
        <w:t>被授权代表</w:t>
      </w:r>
      <w:r>
        <w:rPr>
          <w:rFonts w:hAnsi="宋体" w:cs="宋体"/>
          <w:color w:val="auto"/>
          <w:szCs w:val="24"/>
          <w:highlight w:val="none"/>
        </w:rPr>
        <w:t>（签字）：</w:t>
      </w:r>
    </w:p>
    <w:p w14:paraId="3F080C5C">
      <w:pPr>
        <w:spacing w:line="600" w:lineRule="exact"/>
        <w:ind w:firstLine="720" w:firstLineChars="300"/>
        <w:rPr>
          <w:rFonts w:hAnsi="宋体" w:cs="宋体"/>
          <w:color w:val="auto"/>
          <w:szCs w:val="24"/>
          <w:highlight w:val="none"/>
        </w:rPr>
      </w:pPr>
      <w:r>
        <w:rPr>
          <w:rFonts w:hAnsi="宋体" w:cs="宋体"/>
          <w:color w:val="auto"/>
          <w:szCs w:val="24"/>
          <w:highlight w:val="none"/>
        </w:rPr>
        <w:t>地</w:t>
      </w:r>
      <w:r>
        <w:rPr>
          <w:rFonts w:hint="eastAsia" w:hAnsi="宋体" w:cs="宋体"/>
          <w:color w:val="auto"/>
          <w:szCs w:val="24"/>
          <w:highlight w:val="none"/>
        </w:rPr>
        <w:t xml:space="preserve">    </w:t>
      </w:r>
      <w:r>
        <w:rPr>
          <w:rFonts w:hAnsi="宋体" w:cs="宋体"/>
          <w:color w:val="auto"/>
          <w:szCs w:val="24"/>
          <w:highlight w:val="none"/>
        </w:rPr>
        <w:t>址：</w:t>
      </w:r>
      <w:r>
        <w:rPr>
          <w:rFonts w:hint="eastAsia" w:hAnsi="宋体" w:cs="宋体"/>
          <w:color w:val="auto"/>
          <w:szCs w:val="24"/>
          <w:highlight w:val="none"/>
        </w:rPr>
        <w:t xml:space="preserve">                                                       </w:t>
      </w:r>
    </w:p>
    <w:p w14:paraId="61DBBD79">
      <w:pPr>
        <w:spacing w:line="600" w:lineRule="exact"/>
        <w:ind w:firstLine="720" w:firstLineChars="300"/>
        <w:rPr>
          <w:rFonts w:hAnsi="宋体" w:cs="宋体"/>
          <w:color w:val="auto"/>
          <w:szCs w:val="24"/>
          <w:highlight w:val="none"/>
        </w:rPr>
      </w:pPr>
      <w:r>
        <w:rPr>
          <w:rFonts w:hAnsi="宋体" w:cs="宋体"/>
          <w:color w:val="auto"/>
          <w:szCs w:val="24"/>
          <w:highlight w:val="none"/>
        </w:rPr>
        <w:t>邮</w:t>
      </w:r>
      <w:r>
        <w:rPr>
          <w:rFonts w:hint="eastAsia" w:hAnsi="宋体" w:cs="宋体"/>
          <w:color w:val="auto"/>
          <w:szCs w:val="24"/>
          <w:highlight w:val="none"/>
        </w:rPr>
        <w:t xml:space="preserve">    </w:t>
      </w:r>
      <w:r>
        <w:rPr>
          <w:rFonts w:hAnsi="宋体" w:cs="宋体"/>
          <w:color w:val="auto"/>
          <w:szCs w:val="24"/>
          <w:highlight w:val="none"/>
        </w:rPr>
        <w:t>编：</w:t>
      </w:r>
      <w:r>
        <w:rPr>
          <w:rFonts w:hint="eastAsia" w:hAnsi="宋体" w:cs="宋体"/>
          <w:color w:val="auto"/>
          <w:szCs w:val="24"/>
          <w:highlight w:val="none"/>
        </w:rPr>
        <w:t xml:space="preserve">                                                       </w:t>
      </w:r>
    </w:p>
    <w:p w14:paraId="406D93F6">
      <w:pPr>
        <w:spacing w:line="600" w:lineRule="exact"/>
        <w:ind w:left="240" w:leftChars="100" w:firstLine="480" w:firstLineChars="200"/>
        <w:rPr>
          <w:rFonts w:hAnsi="宋体" w:cs="宋体"/>
          <w:color w:val="auto"/>
          <w:szCs w:val="24"/>
          <w:highlight w:val="none"/>
        </w:rPr>
      </w:pPr>
      <w:r>
        <w:rPr>
          <w:rFonts w:hAnsi="宋体" w:cs="宋体"/>
          <w:color w:val="auto"/>
          <w:szCs w:val="24"/>
          <w:highlight w:val="none"/>
        </w:rPr>
        <w:t>电</w:t>
      </w:r>
      <w:r>
        <w:rPr>
          <w:rFonts w:hint="eastAsia" w:hAnsi="宋体" w:cs="宋体"/>
          <w:color w:val="auto"/>
          <w:szCs w:val="24"/>
          <w:highlight w:val="none"/>
        </w:rPr>
        <w:t xml:space="preserve">    </w:t>
      </w:r>
      <w:r>
        <w:rPr>
          <w:rFonts w:hAnsi="宋体" w:cs="宋体"/>
          <w:color w:val="auto"/>
          <w:szCs w:val="24"/>
          <w:highlight w:val="none"/>
        </w:rPr>
        <w:t>话：</w:t>
      </w:r>
      <w:r>
        <w:rPr>
          <w:rFonts w:hint="eastAsia" w:hAnsi="宋体" w:cs="宋体"/>
          <w:color w:val="auto"/>
          <w:szCs w:val="24"/>
          <w:highlight w:val="none"/>
        </w:rPr>
        <w:t xml:space="preserve">                                                       </w:t>
      </w:r>
    </w:p>
    <w:p w14:paraId="7A43BC06">
      <w:pPr>
        <w:spacing w:line="600" w:lineRule="exact"/>
        <w:ind w:left="754" w:leftChars="314" w:firstLine="5280" w:firstLineChars="2200"/>
        <w:jc w:val="left"/>
        <w:rPr>
          <w:rFonts w:hAnsi="宋体" w:cs="宋体"/>
          <w:color w:val="auto"/>
          <w:szCs w:val="24"/>
          <w:highlight w:val="none"/>
        </w:rPr>
      </w:pPr>
      <w:r>
        <w:rPr>
          <w:rFonts w:hAnsi="宋体" w:cs="宋体"/>
          <w:color w:val="auto"/>
          <w:szCs w:val="24"/>
          <w:highlight w:val="none"/>
        </w:rPr>
        <w:t>年</w:t>
      </w:r>
      <w:r>
        <w:rPr>
          <w:rFonts w:hint="eastAsia" w:hAnsi="宋体" w:cs="宋体"/>
          <w:color w:val="auto"/>
          <w:szCs w:val="24"/>
          <w:highlight w:val="none"/>
        </w:rPr>
        <w:t xml:space="preserve">    </w:t>
      </w:r>
      <w:r>
        <w:rPr>
          <w:rFonts w:hAnsi="宋体" w:cs="宋体"/>
          <w:color w:val="auto"/>
          <w:szCs w:val="24"/>
          <w:highlight w:val="none"/>
        </w:rPr>
        <w:t>月</w:t>
      </w:r>
      <w:r>
        <w:rPr>
          <w:rFonts w:hint="eastAsia" w:hAnsi="宋体" w:cs="宋体"/>
          <w:color w:val="auto"/>
          <w:szCs w:val="24"/>
          <w:highlight w:val="none"/>
        </w:rPr>
        <w:t xml:space="preserve">    </w:t>
      </w:r>
      <w:r>
        <w:rPr>
          <w:rFonts w:hAnsi="宋体" w:cs="宋体"/>
          <w:color w:val="auto"/>
          <w:szCs w:val="24"/>
          <w:highlight w:val="none"/>
        </w:rPr>
        <w:t>日</w:t>
      </w:r>
    </w:p>
    <w:p w14:paraId="4E9D6143">
      <w:pPr>
        <w:jc w:val="center"/>
        <w:outlineLvl w:val="2"/>
        <w:rPr>
          <w:b/>
          <w:bCs/>
          <w:color w:val="auto"/>
          <w:sz w:val="30"/>
          <w:szCs w:val="30"/>
          <w:highlight w:val="none"/>
        </w:rPr>
      </w:pPr>
      <w:bookmarkStart w:id="84" w:name="_Toc403077657"/>
      <w:bookmarkStart w:id="85" w:name="_Toc363474034"/>
      <w:r>
        <w:rPr>
          <w:rFonts w:hint="eastAsia"/>
          <w:b/>
          <w:bCs/>
          <w:color w:val="auto"/>
          <w:sz w:val="30"/>
          <w:szCs w:val="30"/>
          <w:highlight w:val="none"/>
        </w:rPr>
        <w:br w:type="page"/>
      </w:r>
      <w:r>
        <w:rPr>
          <w:rFonts w:hint="eastAsia"/>
          <w:b/>
          <w:bCs/>
          <w:color w:val="auto"/>
          <w:sz w:val="30"/>
          <w:szCs w:val="30"/>
          <w:highlight w:val="none"/>
        </w:rPr>
        <w:t>六、特定资格证明文件</w:t>
      </w:r>
      <w:bookmarkEnd w:id="84"/>
      <w:bookmarkEnd w:id="85"/>
    </w:p>
    <w:p w14:paraId="18D7C9B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（1）提供合格有效的法人或者其他组织的营业执照等证明文件，自然人的身份证明；</w:t>
      </w:r>
    </w:p>
    <w:p w14:paraId="789E96C8">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hAnsi="宋体"/>
          <w:color w:val="auto"/>
          <w:szCs w:val="24"/>
          <w:highlight w:val="none"/>
          <w:lang w:eastAsia="zh-CN"/>
        </w:rPr>
      </w:pPr>
      <w:r>
        <w:rPr>
          <w:rFonts w:hint="eastAsia" w:ascii="宋体" w:hAnsi="宋体" w:eastAsia="宋体" w:cs="宋体"/>
          <w:color w:val="auto"/>
          <w:sz w:val="24"/>
          <w:szCs w:val="24"/>
          <w:highlight w:val="none"/>
        </w:rPr>
        <w:t>（2）</w:t>
      </w:r>
      <w:r>
        <w:rPr>
          <w:rFonts w:hint="eastAsia" w:hAnsi="宋体"/>
          <w:color w:val="auto"/>
          <w:szCs w:val="24"/>
          <w:highlight w:val="none"/>
          <w:lang w:val="en-US" w:eastAsia="zh-CN"/>
        </w:rPr>
        <w:t>提供法定代表人授权书（附法定代表人、被授权人身份证复印件）及被授权人身份证原件（法定代表人直接参加投标，须提供法定代表人身份证明及身份证原件）</w:t>
      </w:r>
      <w:r>
        <w:rPr>
          <w:rFonts w:hint="eastAsia" w:hAnsi="宋体"/>
          <w:color w:val="auto"/>
          <w:szCs w:val="24"/>
          <w:highlight w:val="none"/>
          <w:lang w:eastAsia="zh-CN"/>
        </w:rPr>
        <w:t>；</w:t>
      </w:r>
    </w:p>
    <w:p w14:paraId="4D45973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（3）财务状况报告：提供202</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rPr>
        <w:t>年度的财务审计报告（成立时间至提交磋商响应文件截止时间不足一年的可提供成立后任意时段的资产负债表），或开标时间前六个月内银行出具的资信证明；</w:t>
      </w:r>
    </w:p>
    <w:p w14:paraId="71BA1E3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（4）税收缴纳证明：提供磋商响应文件截止日前一年内已缴纳的至少一个月的纳税证明或完税证明（任意税种），依法免税的单位应提供相关证明材料;</w:t>
      </w:r>
    </w:p>
    <w:p w14:paraId="799CDC6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社会保障资金缴纳证明：提供磋商响应文件截止日前一年内已缴存的至少一个月的社会保障资金缴存单据或社保机构开具的社会保险参保缴费情况证明，依法不需要缴纳社会保障资金的单位应提供相关证明材料；</w:t>
      </w:r>
    </w:p>
    <w:p w14:paraId="2D433AF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Times New Roman"/>
          <w:b w:val="0"/>
          <w:color w:val="auto"/>
          <w:kern w:val="2"/>
          <w:sz w:val="24"/>
          <w:szCs w:val="24"/>
          <w:highlight w:val="none"/>
          <w:lang w:val="en-US" w:eastAsia="zh-CN" w:bidi="ar-SA"/>
        </w:rPr>
        <w:t>提供具有履行合同所必需的设备和专业技术能力的书面承诺</w:t>
      </w:r>
      <w:r>
        <w:rPr>
          <w:rFonts w:hint="eastAsia" w:ascii="宋体" w:hAnsi="宋体" w:eastAsia="宋体" w:cs="宋体"/>
          <w:color w:val="auto"/>
          <w:sz w:val="24"/>
          <w:szCs w:val="24"/>
          <w:highlight w:val="none"/>
        </w:rPr>
        <w:t>；</w:t>
      </w:r>
    </w:p>
    <w:p w14:paraId="438D728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（7）供应商应通过“信用中国”网站(www.creditchina.gov.cn)、中国政府采购网(www.ccgp.gov.cn)查询相关主体信用记录；</w:t>
      </w:r>
    </w:p>
    <w:p w14:paraId="39B7FAC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（8）参加政府采购活动前3年内，在经营活动中没有重大违法记录的书面声明；</w:t>
      </w:r>
    </w:p>
    <w:p w14:paraId="37E6028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（9）提供中小企业声明函；</w:t>
      </w:r>
    </w:p>
    <w:p w14:paraId="2421A948">
      <w:pPr>
        <w:spacing w:line="560" w:lineRule="exact"/>
        <w:rPr>
          <w:rFonts w:hAnsi="宋体" w:cs="宋体"/>
          <w:b/>
          <w:bCs/>
          <w:color w:val="auto"/>
          <w:sz w:val="28"/>
          <w:szCs w:val="28"/>
          <w:highlight w:val="none"/>
        </w:rPr>
      </w:pPr>
      <w:r>
        <w:rPr>
          <w:rFonts w:hint="eastAsia" w:hAnsi="宋体" w:cs="宋体"/>
          <w:b/>
          <w:bCs/>
          <w:color w:val="auto"/>
          <w:sz w:val="28"/>
          <w:szCs w:val="28"/>
          <w:highlight w:val="none"/>
        </w:rPr>
        <w:t>后附</w:t>
      </w:r>
      <w:r>
        <w:rPr>
          <w:rFonts w:hint="eastAsia" w:hAnsi="宋体" w:cs="宋体"/>
          <w:b/>
          <w:bCs/>
          <w:color w:val="auto"/>
          <w:sz w:val="28"/>
          <w:szCs w:val="28"/>
          <w:highlight w:val="none"/>
          <w:lang w:eastAsia="zh-CN"/>
        </w:rPr>
        <w:t>（</w:t>
      </w:r>
      <w:r>
        <w:rPr>
          <w:rFonts w:hint="eastAsia" w:hAnsi="宋体" w:cs="宋体"/>
          <w:b/>
          <w:bCs/>
          <w:color w:val="auto"/>
          <w:sz w:val="28"/>
          <w:szCs w:val="28"/>
          <w:highlight w:val="none"/>
          <w:lang w:val="en-US" w:eastAsia="zh-CN"/>
        </w:rPr>
        <w:t>2</w:t>
      </w:r>
      <w:r>
        <w:rPr>
          <w:rFonts w:hint="eastAsia" w:hAnsi="宋体" w:cs="宋体"/>
          <w:b/>
          <w:bCs/>
          <w:color w:val="auto"/>
          <w:sz w:val="28"/>
          <w:szCs w:val="28"/>
          <w:highlight w:val="none"/>
          <w:lang w:eastAsia="zh-CN"/>
        </w:rPr>
        <w:t>）、（</w:t>
      </w:r>
      <w:r>
        <w:rPr>
          <w:rFonts w:hint="eastAsia" w:hAnsi="宋体" w:cs="宋体"/>
          <w:b/>
          <w:bCs/>
          <w:color w:val="auto"/>
          <w:sz w:val="28"/>
          <w:szCs w:val="28"/>
          <w:highlight w:val="none"/>
          <w:lang w:val="en-US" w:eastAsia="zh-CN"/>
        </w:rPr>
        <w:t>6</w:t>
      </w:r>
      <w:r>
        <w:rPr>
          <w:rFonts w:hint="eastAsia" w:hAnsi="宋体" w:cs="宋体"/>
          <w:b/>
          <w:bCs/>
          <w:color w:val="auto"/>
          <w:sz w:val="28"/>
          <w:szCs w:val="28"/>
          <w:highlight w:val="none"/>
          <w:lang w:eastAsia="zh-CN"/>
        </w:rPr>
        <w:t>）、（</w:t>
      </w:r>
      <w:r>
        <w:rPr>
          <w:rFonts w:hint="eastAsia" w:hAnsi="宋体" w:cs="宋体"/>
          <w:b/>
          <w:bCs/>
          <w:color w:val="auto"/>
          <w:sz w:val="28"/>
          <w:szCs w:val="28"/>
          <w:highlight w:val="none"/>
          <w:lang w:val="en-US" w:eastAsia="zh-CN"/>
        </w:rPr>
        <w:t>8</w:t>
      </w:r>
      <w:r>
        <w:rPr>
          <w:rFonts w:hint="eastAsia" w:hAnsi="宋体" w:cs="宋体"/>
          <w:b/>
          <w:bCs/>
          <w:color w:val="auto"/>
          <w:sz w:val="28"/>
          <w:szCs w:val="28"/>
          <w:highlight w:val="none"/>
          <w:lang w:eastAsia="zh-CN"/>
        </w:rPr>
        <w:t>）、（</w:t>
      </w:r>
      <w:r>
        <w:rPr>
          <w:rFonts w:hint="eastAsia" w:hAnsi="宋体" w:cs="宋体"/>
          <w:b/>
          <w:bCs/>
          <w:color w:val="auto"/>
          <w:sz w:val="28"/>
          <w:szCs w:val="28"/>
          <w:highlight w:val="none"/>
          <w:lang w:val="en-US" w:eastAsia="zh-CN"/>
        </w:rPr>
        <w:t>9</w:t>
      </w:r>
      <w:r>
        <w:rPr>
          <w:rFonts w:hint="eastAsia" w:hAnsi="宋体" w:cs="宋体"/>
          <w:b/>
          <w:bCs/>
          <w:color w:val="auto"/>
          <w:sz w:val="28"/>
          <w:szCs w:val="28"/>
          <w:highlight w:val="none"/>
          <w:lang w:eastAsia="zh-CN"/>
        </w:rPr>
        <w:t>）</w:t>
      </w:r>
      <w:r>
        <w:rPr>
          <w:rFonts w:hint="eastAsia" w:hAnsi="宋体" w:cs="宋体"/>
          <w:b/>
          <w:bCs/>
          <w:color w:val="auto"/>
          <w:sz w:val="28"/>
          <w:szCs w:val="28"/>
          <w:highlight w:val="none"/>
        </w:rPr>
        <w:t>相关格式：</w:t>
      </w:r>
    </w:p>
    <w:p w14:paraId="7F949D3A">
      <w:pPr>
        <w:rPr>
          <w:rFonts w:hint="eastAsia"/>
          <w:b/>
          <w:bCs/>
          <w:color w:val="auto"/>
          <w:sz w:val="30"/>
          <w:szCs w:val="30"/>
          <w:highlight w:val="none"/>
        </w:rPr>
      </w:pPr>
      <w:r>
        <w:rPr>
          <w:rFonts w:hint="eastAsia"/>
          <w:b/>
          <w:bCs/>
          <w:color w:val="auto"/>
          <w:sz w:val="30"/>
          <w:szCs w:val="30"/>
          <w:highlight w:val="none"/>
        </w:rPr>
        <w:br w:type="page"/>
      </w:r>
    </w:p>
    <w:p w14:paraId="13A53E39">
      <w:pPr>
        <w:jc w:val="center"/>
        <w:outlineLvl w:val="2"/>
        <w:rPr>
          <w:b/>
          <w:bCs/>
          <w:color w:val="auto"/>
          <w:sz w:val="30"/>
          <w:szCs w:val="30"/>
          <w:highlight w:val="none"/>
        </w:rPr>
      </w:pPr>
      <w:r>
        <w:rPr>
          <w:rFonts w:hint="eastAsia"/>
          <w:b/>
          <w:bCs/>
          <w:color w:val="auto"/>
          <w:sz w:val="30"/>
          <w:szCs w:val="30"/>
          <w:highlight w:val="none"/>
        </w:rPr>
        <w:t>七、其它</w:t>
      </w:r>
    </w:p>
    <w:p w14:paraId="69B60A50">
      <w:pPr>
        <w:pStyle w:val="7"/>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1、依据竞争性磋商文件要求，供应商认为有必要说明的其他内容</w:t>
      </w:r>
      <w:r>
        <w:rPr>
          <w:rFonts w:hint="eastAsia" w:ascii="宋体" w:hAnsi="宋体" w:cs="宋体"/>
          <w:color w:val="auto"/>
          <w:sz w:val="24"/>
          <w:szCs w:val="24"/>
          <w:highlight w:val="none"/>
          <w:lang w:eastAsia="zh-CN"/>
        </w:rPr>
        <w:t>；</w:t>
      </w:r>
    </w:p>
    <w:p w14:paraId="2999AAC8">
      <w:pPr>
        <w:pStyle w:val="7"/>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、其他可以证明供应商实力的文件。</w:t>
      </w:r>
    </w:p>
    <w:p w14:paraId="56D7823C">
      <w:pPr>
        <w:rPr>
          <w:rFonts w:hAnsi="宋体"/>
          <w:b/>
          <w:color w:val="auto"/>
          <w:sz w:val="28"/>
          <w:szCs w:val="28"/>
          <w:highlight w:val="none"/>
        </w:rPr>
      </w:pPr>
      <w:r>
        <w:rPr>
          <w:rFonts w:hint="eastAsia" w:hAnsi="宋体"/>
          <w:b/>
          <w:color w:val="auto"/>
          <w:sz w:val="28"/>
          <w:szCs w:val="28"/>
          <w:highlight w:val="none"/>
        </w:rPr>
        <w:br w:type="page"/>
      </w:r>
    </w:p>
    <w:p w14:paraId="216B2058">
      <w:pPr>
        <w:spacing w:before="156" w:beforeLines="50" w:after="156" w:afterLines="50" w:line="500" w:lineRule="exact"/>
        <w:rPr>
          <w:rFonts w:hAnsi="宋体"/>
          <w:b/>
          <w:color w:val="auto"/>
          <w:sz w:val="28"/>
          <w:szCs w:val="28"/>
          <w:highlight w:val="none"/>
        </w:rPr>
      </w:pPr>
      <w:r>
        <w:rPr>
          <w:rFonts w:hint="eastAsia" w:hAnsi="宋体"/>
          <w:b/>
          <w:color w:val="auto"/>
          <w:sz w:val="28"/>
          <w:szCs w:val="28"/>
          <w:highlight w:val="none"/>
        </w:rPr>
        <w:t>附件1：</w:t>
      </w:r>
    </w:p>
    <w:p w14:paraId="3CB5C1AD">
      <w:pPr>
        <w:keepNext/>
        <w:spacing w:before="312" w:beforeLines="100" w:line="360" w:lineRule="auto"/>
        <w:rPr>
          <w:color w:val="auto"/>
          <w:sz w:val="32"/>
          <w:szCs w:val="32"/>
          <w:highlight w:val="none"/>
        </w:rPr>
      </w:pPr>
      <w:bookmarkStart w:id="86" w:name="_Toc363474028"/>
      <w:bookmarkStart w:id="87" w:name="_Toc403077649"/>
      <w:r>
        <w:rPr>
          <w:rFonts w:hint="eastAsia"/>
          <w:color w:val="auto"/>
          <w:sz w:val="32"/>
          <w:szCs w:val="32"/>
          <w:highlight w:val="none"/>
        </w:rPr>
        <w:t>法定代表人身份证明/法定代表人授权书</w:t>
      </w:r>
      <w:bookmarkEnd w:id="86"/>
      <w:bookmarkEnd w:id="87"/>
    </w:p>
    <w:p w14:paraId="72483E70">
      <w:pPr>
        <w:rPr>
          <w:b/>
          <w:bCs/>
          <w:color w:val="auto"/>
          <w:szCs w:val="32"/>
          <w:highlight w:val="none"/>
        </w:rPr>
      </w:pPr>
      <w:r>
        <w:rPr>
          <w:rFonts w:hint="eastAsia"/>
          <w:color w:val="auto"/>
          <w:highlight w:val="none"/>
        </w:rPr>
        <w:t xml:space="preserve">      </w:t>
      </w:r>
      <w:r>
        <w:rPr>
          <w:rFonts w:hint="eastAsia"/>
          <w:color w:val="auto"/>
          <w:szCs w:val="32"/>
          <w:highlight w:val="none"/>
        </w:rPr>
        <w:t xml:space="preserve"> </w:t>
      </w:r>
    </w:p>
    <w:p w14:paraId="718CB4F6">
      <w:pPr>
        <w:pStyle w:val="7"/>
        <w:jc w:val="center"/>
        <w:rPr>
          <w:rFonts w:hAnsi="宋体"/>
          <w:b/>
          <w:bCs/>
          <w:color w:val="auto"/>
          <w:sz w:val="32"/>
          <w:szCs w:val="32"/>
          <w:highlight w:val="none"/>
        </w:rPr>
      </w:pPr>
      <w:r>
        <w:rPr>
          <w:rFonts w:hint="eastAsia" w:hAnsi="宋体"/>
          <w:b/>
          <w:bCs/>
          <w:color w:val="auto"/>
          <w:sz w:val="32"/>
          <w:szCs w:val="32"/>
          <w:highlight w:val="none"/>
        </w:rPr>
        <w:t>法定代表人身份证明</w:t>
      </w:r>
    </w:p>
    <w:p w14:paraId="76C8E794">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olor w:val="auto"/>
          <w:highlight w:val="none"/>
        </w:rPr>
        <w:t>供应商</w:t>
      </w:r>
      <w:r>
        <w:rPr>
          <w:rFonts w:hint="eastAsia" w:hAnsi="宋体" w:cs="宋体"/>
          <w:color w:val="auto"/>
          <w:highlight w:val="none"/>
        </w:rPr>
        <w:t>名称：</w:t>
      </w:r>
      <w:r>
        <w:rPr>
          <w:rFonts w:hint="eastAsia" w:hAnsi="宋体" w:cs="宋体"/>
          <w:color w:val="auto"/>
          <w:highlight w:val="none"/>
          <w:u w:val="single"/>
        </w:rPr>
        <w:t xml:space="preserve">                  </w:t>
      </w:r>
      <w:r>
        <w:rPr>
          <w:rFonts w:hint="eastAsia" w:hAnsi="宋体" w:cs="宋体"/>
          <w:color w:val="auto"/>
          <w:highlight w:val="none"/>
        </w:rPr>
        <w:t xml:space="preserve"> </w:t>
      </w:r>
    </w:p>
    <w:p w14:paraId="187E9EC3">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统一社会信用代码：</w:t>
      </w:r>
      <w:r>
        <w:rPr>
          <w:rFonts w:hint="eastAsia" w:hAnsi="宋体" w:cs="宋体"/>
          <w:color w:val="auto"/>
          <w:highlight w:val="none"/>
          <w:u w:val="single"/>
        </w:rPr>
        <w:t xml:space="preserve">                </w:t>
      </w:r>
    </w:p>
    <w:p w14:paraId="4B736F7D">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注册地址：</w:t>
      </w:r>
      <w:r>
        <w:rPr>
          <w:rFonts w:hint="eastAsia" w:hAnsi="宋体" w:cs="宋体"/>
          <w:color w:val="auto"/>
          <w:highlight w:val="none"/>
          <w:u w:val="single"/>
        </w:rPr>
        <w:t xml:space="preserve">                        </w:t>
      </w:r>
    </w:p>
    <w:p w14:paraId="5F60FCB9">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成立时间：</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月</w:t>
      </w:r>
      <w:r>
        <w:rPr>
          <w:rFonts w:hint="eastAsia" w:hAnsi="宋体" w:cs="宋体"/>
          <w:color w:val="auto"/>
          <w:highlight w:val="none"/>
          <w:u w:val="single"/>
        </w:rPr>
        <w:t xml:space="preserve">  </w:t>
      </w:r>
      <w:r>
        <w:rPr>
          <w:rFonts w:hint="eastAsia" w:hAnsi="宋体" w:cs="宋体"/>
          <w:color w:val="auto"/>
          <w:highlight w:val="none"/>
        </w:rPr>
        <w:t>日</w:t>
      </w:r>
    </w:p>
    <w:p w14:paraId="11FDB58F">
      <w:pPr>
        <w:autoSpaceDE w:val="0"/>
        <w:autoSpaceDN w:val="0"/>
        <w:adjustRightInd w:val="0"/>
        <w:snapToGrid w:val="0"/>
        <w:spacing w:before="156" w:beforeLines="50" w:line="360" w:lineRule="auto"/>
        <w:jc w:val="left"/>
        <w:rPr>
          <w:rFonts w:hAnsi="宋体" w:cs="宋体"/>
          <w:color w:val="auto"/>
          <w:highlight w:val="none"/>
          <w:u w:val="single"/>
        </w:rPr>
      </w:pPr>
      <w:r>
        <w:rPr>
          <w:rFonts w:hint="eastAsia" w:hAnsi="宋体" w:cs="宋体"/>
          <w:color w:val="auto"/>
          <w:highlight w:val="none"/>
        </w:rPr>
        <w:t>经营期限：</w:t>
      </w:r>
      <w:r>
        <w:rPr>
          <w:rFonts w:hint="eastAsia" w:hAnsi="宋体" w:cs="宋体"/>
          <w:color w:val="auto"/>
          <w:highlight w:val="none"/>
          <w:u w:val="single"/>
        </w:rPr>
        <w:t xml:space="preserve">                  </w:t>
      </w:r>
    </w:p>
    <w:p w14:paraId="38444465">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姓名：</w:t>
      </w:r>
      <w:r>
        <w:rPr>
          <w:rFonts w:hint="eastAsia" w:hAnsi="宋体" w:cs="宋体"/>
          <w:color w:val="auto"/>
          <w:highlight w:val="none"/>
          <w:u w:val="single"/>
        </w:rPr>
        <w:t xml:space="preserve">       </w:t>
      </w:r>
      <w:r>
        <w:rPr>
          <w:rFonts w:hint="eastAsia" w:hAnsi="宋体" w:cs="宋体"/>
          <w:color w:val="auto"/>
          <w:highlight w:val="none"/>
        </w:rPr>
        <w:t>性别：</w:t>
      </w:r>
      <w:r>
        <w:rPr>
          <w:rFonts w:hint="eastAsia" w:hAnsi="宋体" w:cs="宋体"/>
          <w:color w:val="auto"/>
          <w:highlight w:val="none"/>
          <w:u w:val="single"/>
        </w:rPr>
        <w:t xml:space="preserve">   </w:t>
      </w:r>
      <w:r>
        <w:rPr>
          <w:rFonts w:hint="eastAsia" w:hAnsi="宋体" w:cs="宋体"/>
          <w:color w:val="auto"/>
          <w:highlight w:val="none"/>
        </w:rPr>
        <w:t>年龄：</w:t>
      </w:r>
      <w:r>
        <w:rPr>
          <w:rFonts w:hint="eastAsia" w:hAnsi="宋体" w:cs="宋体"/>
          <w:color w:val="auto"/>
          <w:highlight w:val="none"/>
          <w:u w:val="single"/>
        </w:rPr>
        <w:t xml:space="preserve">   </w:t>
      </w:r>
      <w:r>
        <w:rPr>
          <w:rFonts w:hint="eastAsia" w:hAnsi="宋体" w:cs="宋体"/>
          <w:color w:val="auto"/>
          <w:highlight w:val="none"/>
        </w:rPr>
        <w:t>系</w:t>
      </w:r>
      <w:r>
        <w:rPr>
          <w:rFonts w:hint="eastAsia" w:hAnsi="宋体" w:cs="宋体"/>
          <w:color w:val="auto"/>
          <w:highlight w:val="none"/>
          <w:u w:val="single"/>
        </w:rPr>
        <w:t xml:space="preserve">            </w:t>
      </w:r>
      <w:r>
        <w:rPr>
          <w:rFonts w:hint="eastAsia" w:hAnsi="宋体" w:cs="宋体"/>
          <w:color w:val="auto"/>
          <w:highlight w:val="none"/>
        </w:rPr>
        <w:t>（供应商名称）的法定代表人。</w:t>
      </w:r>
    </w:p>
    <w:p w14:paraId="0B4D1543">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特此证明。</w:t>
      </w:r>
    </w:p>
    <w:p w14:paraId="4CE6465E">
      <w:pPr>
        <w:autoSpaceDE w:val="0"/>
        <w:autoSpaceDN w:val="0"/>
        <w:adjustRightInd w:val="0"/>
        <w:snapToGrid w:val="0"/>
        <w:spacing w:before="156" w:beforeLines="50" w:line="360" w:lineRule="auto"/>
        <w:jc w:val="left"/>
        <w:rPr>
          <w:rFonts w:hAnsi="宋体" w:cs="宋体"/>
          <w:color w:val="auto"/>
          <w:szCs w:val="21"/>
          <w:highlight w:val="none"/>
        </w:rPr>
      </w:pPr>
      <w:r>
        <w:rPr>
          <w:rFonts w:hint="eastAsia" w:hAnsi="宋体"/>
          <w:color w:val="auto"/>
          <w:szCs w:val="21"/>
          <w:highlight w:val="none"/>
        </w:rPr>
        <w:t>附：法定代表人身份证复印件</w:t>
      </w:r>
    </w:p>
    <w:tbl>
      <w:tblPr>
        <w:tblStyle w:val="19"/>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509C1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14:paraId="07D6A117">
            <w:pPr>
              <w:snapToGrid w:val="0"/>
              <w:spacing w:line="480" w:lineRule="auto"/>
              <w:jc w:val="center"/>
              <w:rPr>
                <w:rFonts w:hAnsi="宋体"/>
                <w:color w:val="auto"/>
                <w:szCs w:val="21"/>
                <w:highlight w:val="none"/>
              </w:rPr>
            </w:pPr>
          </w:p>
          <w:p w14:paraId="6A3E2937">
            <w:pPr>
              <w:snapToGrid w:val="0"/>
              <w:spacing w:line="480" w:lineRule="auto"/>
              <w:jc w:val="center"/>
              <w:rPr>
                <w:rFonts w:hAnsi="宋体"/>
                <w:color w:val="auto"/>
                <w:szCs w:val="21"/>
                <w:highlight w:val="none"/>
              </w:rPr>
            </w:pPr>
          </w:p>
          <w:p w14:paraId="7CD17031">
            <w:pPr>
              <w:autoSpaceDE w:val="0"/>
              <w:autoSpaceDN w:val="0"/>
              <w:adjustRightInd w:val="0"/>
              <w:snapToGrid w:val="0"/>
              <w:spacing w:before="156" w:beforeLines="50" w:line="360" w:lineRule="auto"/>
              <w:jc w:val="center"/>
              <w:rPr>
                <w:rFonts w:hAnsi="宋体"/>
                <w:color w:val="auto"/>
                <w:szCs w:val="21"/>
                <w:highlight w:val="none"/>
              </w:rPr>
            </w:pPr>
            <w:r>
              <w:rPr>
                <w:rFonts w:hint="eastAsia" w:hAnsi="宋体"/>
                <w:color w:val="auto"/>
                <w:szCs w:val="21"/>
                <w:highlight w:val="none"/>
              </w:rPr>
              <w:t>法定代表人身份证复印件粘贴处</w:t>
            </w:r>
          </w:p>
          <w:p w14:paraId="205141B3">
            <w:pPr>
              <w:pStyle w:val="7"/>
              <w:jc w:val="center"/>
              <w:rPr>
                <w:color w:val="auto"/>
                <w:highlight w:val="none"/>
              </w:rPr>
            </w:pPr>
            <w:r>
              <w:rPr>
                <w:rFonts w:hint="eastAsia" w:ascii="宋体" w:hAnsi="宋体"/>
                <w:color w:val="auto"/>
                <w:szCs w:val="21"/>
                <w:highlight w:val="none"/>
              </w:rPr>
              <w:t>（正反面）</w:t>
            </w:r>
          </w:p>
          <w:p w14:paraId="4DA56DEE">
            <w:pPr>
              <w:snapToGrid w:val="0"/>
              <w:spacing w:line="480" w:lineRule="auto"/>
              <w:jc w:val="center"/>
              <w:rPr>
                <w:rFonts w:hAnsi="宋体"/>
                <w:color w:val="auto"/>
                <w:szCs w:val="21"/>
                <w:highlight w:val="none"/>
              </w:rPr>
            </w:pPr>
          </w:p>
          <w:p w14:paraId="71DF021A">
            <w:pPr>
              <w:snapToGrid w:val="0"/>
              <w:spacing w:line="480" w:lineRule="auto"/>
              <w:jc w:val="center"/>
              <w:rPr>
                <w:rFonts w:hAnsi="宋体"/>
                <w:color w:val="auto"/>
                <w:szCs w:val="21"/>
                <w:highlight w:val="none"/>
              </w:rPr>
            </w:pPr>
          </w:p>
        </w:tc>
      </w:tr>
    </w:tbl>
    <w:p w14:paraId="79DD38B1">
      <w:pPr>
        <w:snapToGrid w:val="0"/>
        <w:spacing w:line="480" w:lineRule="auto"/>
        <w:rPr>
          <w:rFonts w:hAnsi="宋体"/>
          <w:color w:val="auto"/>
          <w:szCs w:val="21"/>
          <w:highlight w:val="none"/>
        </w:rPr>
      </w:pPr>
    </w:p>
    <w:p w14:paraId="71DF138F">
      <w:pPr>
        <w:snapToGrid w:val="0"/>
        <w:rPr>
          <w:rFonts w:hAnsi="宋体"/>
          <w:color w:val="auto"/>
          <w:szCs w:val="21"/>
          <w:highlight w:val="none"/>
        </w:rPr>
      </w:pPr>
    </w:p>
    <w:p w14:paraId="7B7410C3">
      <w:pPr>
        <w:snapToGrid w:val="0"/>
        <w:rPr>
          <w:rFonts w:hAnsi="宋体"/>
          <w:color w:val="auto"/>
          <w:szCs w:val="21"/>
          <w:highlight w:val="none"/>
        </w:rPr>
      </w:pPr>
    </w:p>
    <w:p w14:paraId="09ACEF7F">
      <w:pPr>
        <w:snapToGrid w:val="0"/>
        <w:rPr>
          <w:rFonts w:hAnsi="宋体"/>
          <w:color w:val="auto"/>
          <w:szCs w:val="21"/>
          <w:highlight w:val="none"/>
        </w:rPr>
      </w:pPr>
    </w:p>
    <w:p w14:paraId="131D3A22">
      <w:pPr>
        <w:snapToGrid w:val="0"/>
        <w:rPr>
          <w:rFonts w:hAnsi="宋体"/>
          <w:color w:val="auto"/>
          <w:szCs w:val="21"/>
          <w:highlight w:val="none"/>
        </w:rPr>
      </w:pPr>
    </w:p>
    <w:p w14:paraId="7BD91E64">
      <w:pPr>
        <w:adjustRightInd w:val="0"/>
        <w:snapToGrid w:val="0"/>
        <w:spacing w:line="360" w:lineRule="auto"/>
        <w:rPr>
          <w:rFonts w:hAnsi="宋体"/>
          <w:color w:val="auto"/>
          <w:highlight w:val="none"/>
        </w:rPr>
      </w:pPr>
    </w:p>
    <w:p w14:paraId="5F670CF9">
      <w:pPr>
        <w:adjustRightInd w:val="0"/>
        <w:snapToGrid w:val="0"/>
        <w:spacing w:line="360" w:lineRule="auto"/>
        <w:ind w:right="420"/>
        <w:rPr>
          <w:rFonts w:hAnsi="宋体"/>
          <w:color w:val="auto"/>
          <w:highlight w:val="none"/>
        </w:rPr>
      </w:pPr>
    </w:p>
    <w:p w14:paraId="38F39E47">
      <w:pPr>
        <w:adjustRightInd w:val="0"/>
        <w:snapToGrid w:val="0"/>
        <w:spacing w:line="360" w:lineRule="auto"/>
        <w:ind w:right="420"/>
        <w:rPr>
          <w:rFonts w:hAnsi="宋体"/>
          <w:color w:val="auto"/>
          <w:highlight w:val="none"/>
        </w:rPr>
      </w:pPr>
    </w:p>
    <w:p w14:paraId="4C6A3C9A">
      <w:pPr>
        <w:adjustRightInd w:val="0"/>
        <w:snapToGrid w:val="0"/>
        <w:spacing w:line="360" w:lineRule="auto"/>
        <w:ind w:right="420"/>
        <w:rPr>
          <w:rFonts w:hAnsi="宋体"/>
          <w:color w:val="auto"/>
          <w:highlight w:val="none"/>
        </w:rPr>
      </w:pPr>
    </w:p>
    <w:p w14:paraId="0FAA688C">
      <w:pPr>
        <w:adjustRightInd w:val="0"/>
        <w:snapToGrid w:val="0"/>
        <w:spacing w:line="360" w:lineRule="auto"/>
        <w:ind w:right="420"/>
        <w:rPr>
          <w:rFonts w:hAnsi="宋体"/>
          <w:color w:val="auto"/>
          <w:highlight w:val="none"/>
        </w:rPr>
      </w:pPr>
    </w:p>
    <w:p w14:paraId="6D19F19A">
      <w:pPr>
        <w:adjustRightInd w:val="0"/>
        <w:snapToGrid w:val="0"/>
        <w:spacing w:line="360" w:lineRule="auto"/>
        <w:ind w:right="420"/>
        <w:rPr>
          <w:rFonts w:hAnsi="宋体"/>
          <w:color w:val="auto"/>
          <w:highlight w:val="none"/>
        </w:rPr>
      </w:pPr>
      <w:r>
        <w:rPr>
          <w:rFonts w:hint="eastAsia" w:hAnsi="宋体"/>
          <w:color w:val="auto"/>
          <w:highlight w:val="none"/>
        </w:rPr>
        <w:t>供应商名称（公章）：</w:t>
      </w:r>
    </w:p>
    <w:p w14:paraId="1B23C274">
      <w:pPr>
        <w:adjustRightInd w:val="0"/>
        <w:snapToGrid w:val="0"/>
        <w:spacing w:line="360" w:lineRule="auto"/>
        <w:ind w:right="420"/>
        <w:rPr>
          <w:rFonts w:hAnsi="宋体"/>
          <w:color w:val="auto"/>
          <w:highlight w:val="none"/>
        </w:rPr>
      </w:pPr>
      <w:r>
        <w:rPr>
          <w:rFonts w:hint="eastAsia" w:hAnsi="宋体"/>
          <w:color w:val="auto"/>
          <w:highlight w:val="none"/>
        </w:rPr>
        <w:t>日期：    年  月  日</w:t>
      </w:r>
    </w:p>
    <w:p w14:paraId="4EEB3E77">
      <w:pPr>
        <w:spacing w:line="360" w:lineRule="auto"/>
        <w:jc w:val="left"/>
        <w:rPr>
          <w:rFonts w:hAnsi="宋体"/>
          <w:color w:val="auto"/>
          <w:spacing w:val="4"/>
          <w:szCs w:val="24"/>
          <w:highlight w:val="none"/>
        </w:rPr>
      </w:pPr>
    </w:p>
    <w:p w14:paraId="395B50D3">
      <w:pPr>
        <w:keepNext/>
        <w:spacing w:before="312" w:beforeLines="100"/>
        <w:jc w:val="center"/>
        <w:rPr>
          <w:b/>
          <w:bCs/>
          <w:color w:val="auto"/>
          <w:sz w:val="32"/>
          <w:szCs w:val="32"/>
          <w:highlight w:val="none"/>
        </w:rPr>
      </w:pPr>
      <w:r>
        <w:rPr>
          <w:rFonts w:hint="eastAsia" w:hAnsi="宋体"/>
          <w:b/>
          <w:bCs/>
          <w:color w:val="auto"/>
          <w:sz w:val="32"/>
          <w:szCs w:val="32"/>
          <w:highlight w:val="none"/>
        </w:rPr>
        <w:t>法定代表人</w:t>
      </w:r>
      <w:r>
        <w:rPr>
          <w:rFonts w:hint="eastAsia"/>
          <w:b/>
          <w:bCs/>
          <w:color w:val="auto"/>
          <w:sz w:val="32"/>
          <w:szCs w:val="32"/>
          <w:highlight w:val="none"/>
        </w:rPr>
        <w:t>授权书</w:t>
      </w:r>
    </w:p>
    <w:p w14:paraId="10056E3C">
      <w:pPr>
        <w:spacing w:line="500" w:lineRule="exact"/>
        <w:jc w:val="left"/>
        <w:rPr>
          <w:rFonts w:hAnsi="宋体"/>
          <w:color w:val="auto"/>
          <w:spacing w:val="4"/>
          <w:szCs w:val="24"/>
          <w:highlight w:val="none"/>
          <w:u w:val="single"/>
        </w:rPr>
      </w:pPr>
      <w:r>
        <w:rPr>
          <w:rFonts w:hint="eastAsia" w:hAnsi="宋体"/>
          <w:color w:val="auto"/>
          <w:spacing w:val="4"/>
          <w:szCs w:val="24"/>
          <w:highlight w:val="none"/>
        </w:rPr>
        <w:t>致：</w:t>
      </w:r>
      <w:r>
        <w:rPr>
          <w:rFonts w:hint="eastAsia" w:hAnsi="宋体"/>
          <w:color w:val="auto"/>
          <w:spacing w:val="4"/>
          <w:szCs w:val="24"/>
          <w:highlight w:val="none"/>
          <w:u w:val="single"/>
        </w:rPr>
        <w:t xml:space="preserve">西安天合建设项目管理有限公司 </w:t>
      </w:r>
    </w:p>
    <w:p w14:paraId="2728943C">
      <w:pPr>
        <w:spacing w:line="500" w:lineRule="exact"/>
        <w:ind w:firstLine="496" w:firstLineChars="200"/>
        <w:jc w:val="left"/>
        <w:rPr>
          <w:rFonts w:hAnsi="宋体"/>
          <w:color w:val="auto"/>
          <w:spacing w:val="4"/>
          <w:szCs w:val="24"/>
          <w:highlight w:val="none"/>
        </w:rPr>
      </w:pPr>
      <w:r>
        <w:rPr>
          <w:rFonts w:hint="eastAsia" w:hAnsi="宋体"/>
          <w:color w:val="auto"/>
          <w:spacing w:val="4"/>
          <w:szCs w:val="24"/>
          <w:highlight w:val="none"/>
          <w:u w:val="single"/>
        </w:rPr>
        <w:t>(供应商名称)</w:t>
      </w:r>
      <w:r>
        <w:rPr>
          <w:rFonts w:hint="eastAsia" w:hAnsi="宋体"/>
          <w:color w:val="auto"/>
          <w:spacing w:val="4"/>
          <w:szCs w:val="24"/>
          <w:highlight w:val="none"/>
        </w:rPr>
        <w:t>按中华人民共和国法律于</w:t>
      </w:r>
      <w:r>
        <w:rPr>
          <w:rFonts w:hint="eastAsia" w:hAnsi="宋体"/>
          <w:color w:val="auto"/>
          <w:spacing w:val="4"/>
          <w:szCs w:val="24"/>
          <w:highlight w:val="none"/>
          <w:u w:val="single"/>
        </w:rPr>
        <w:t>（  年  月  日 ）</w:t>
      </w:r>
      <w:r>
        <w:rPr>
          <w:rFonts w:hint="eastAsia" w:hAnsi="宋体"/>
          <w:color w:val="auto"/>
          <w:spacing w:val="4"/>
          <w:szCs w:val="24"/>
          <w:highlight w:val="none"/>
        </w:rPr>
        <w:t>成立。</w:t>
      </w:r>
      <w:r>
        <w:rPr>
          <w:rFonts w:hint="eastAsia" w:hAnsi="宋体"/>
          <w:color w:val="auto"/>
          <w:spacing w:val="4"/>
          <w:szCs w:val="24"/>
          <w:highlight w:val="none"/>
          <w:u w:val="single"/>
        </w:rPr>
        <w:t>(法定代表人姓名)</w:t>
      </w:r>
      <w:r>
        <w:rPr>
          <w:rFonts w:hint="eastAsia" w:hAnsi="宋体"/>
          <w:color w:val="auto"/>
          <w:spacing w:val="4"/>
          <w:szCs w:val="24"/>
          <w:highlight w:val="none"/>
        </w:rPr>
        <w:t>特授权</w:t>
      </w:r>
      <w:r>
        <w:rPr>
          <w:rFonts w:hint="eastAsia" w:hAnsi="宋体"/>
          <w:color w:val="auto"/>
          <w:spacing w:val="4"/>
          <w:szCs w:val="24"/>
          <w:highlight w:val="none"/>
          <w:u w:val="single"/>
        </w:rPr>
        <w:t xml:space="preserve">（ </w:t>
      </w:r>
      <w:r>
        <w:rPr>
          <w:rFonts w:hint="eastAsia" w:hAnsi="宋体" w:cs="宋体"/>
          <w:color w:val="auto"/>
          <w:szCs w:val="24"/>
          <w:highlight w:val="none"/>
          <w:u w:val="single"/>
        </w:rPr>
        <w:t>授权代表</w:t>
      </w:r>
      <w:r>
        <w:rPr>
          <w:rFonts w:hint="eastAsia" w:hAnsi="宋体"/>
          <w:color w:val="auto"/>
          <w:spacing w:val="4"/>
          <w:szCs w:val="24"/>
          <w:highlight w:val="none"/>
          <w:u w:val="single"/>
        </w:rPr>
        <w:t>姓名 ）</w:t>
      </w:r>
      <w:r>
        <w:rPr>
          <w:rFonts w:hint="eastAsia" w:hAnsi="宋体"/>
          <w:color w:val="auto"/>
          <w:spacing w:val="4"/>
          <w:szCs w:val="24"/>
          <w:highlight w:val="none"/>
        </w:rPr>
        <w:t xml:space="preserve">代表我公司全权办理针对本次 </w:t>
      </w:r>
      <w:r>
        <w:rPr>
          <w:rFonts w:hint="eastAsia" w:hAnsi="宋体"/>
          <w:color w:val="auto"/>
          <w:spacing w:val="4"/>
          <w:szCs w:val="24"/>
          <w:highlight w:val="none"/>
          <w:u w:val="single"/>
        </w:rPr>
        <w:t>（项目编号</w:t>
      </w:r>
      <w:r>
        <w:rPr>
          <w:rFonts w:hint="eastAsia" w:hAnsi="宋体"/>
          <w:color w:val="auto"/>
          <w:spacing w:val="4"/>
          <w:szCs w:val="24"/>
          <w:highlight w:val="none"/>
          <w:u w:val="single"/>
          <w:lang w:eastAsia="zh-CN"/>
        </w:rPr>
        <w:t>：</w:t>
      </w:r>
      <w:r>
        <w:rPr>
          <w:rFonts w:hint="eastAsia" w:hAnsi="宋体"/>
          <w:color w:val="auto"/>
          <w:spacing w:val="4"/>
          <w:szCs w:val="24"/>
          <w:highlight w:val="none"/>
          <w:u w:val="single"/>
        </w:rPr>
        <w:t xml:space="preserve"> ）</w:t>
      </w:r>
      <w:r>
        <w:rPr>
          <w:rFonts w:hint="eastAsia" w:hAnsi="宋体"/>
          <w:color w:val="auto"/>
          <w:spacing w:val="4"/>
          <w:szCs w:val="24"/>
          <w:highlight w:val="none"/>
        </w:rPr>
        <w:t>项目的磋商、签约等具体工作，并签署全部有关的文件、协议及合同。</w:t>
      </w:r>
    </w:p>
    <w:p w14:paraId="365F0F97">
      <w:pPr>
        <w:spacing w:line="500" w:lineRule="exact"/>
        <w:ind w:firstLine="496" w:firstLineChars="200"/>
        <w:jc w:val="left"/>
        <w:rPr>
          <w:rFonts w:hAnsi="宋体"/>
          <w:color w:val="auto"/>
          <w:spacing w:val="4"/>
          <w:szCs w:val="24"/>
          <w:highlight w:val="none"/>
        </w:rPr>
      </w:pPr>
      <w:r>
        <w:rPr>
          <w:rFonts w:hint="eastAsia" w:hAnsi="宋体"/>
          <w:color w:val="auto"/>
          <w:spacing w:val="4"/>
          <w:szCs w:val="24"/>
          <w:highlight w:val="none"/>
        </w:rPr>
        <w:t>我公司对</w:t>
      </w:r>
      <w:r>
        <w:rPr>
          <w:rFonts w:hint="eastAsia" w:hAnsi="宋体" w:cs="宋体"/>
          <w:color w:val="auto"/>
          <w:szCs w:val="24"/>
          <w:highlight w:val="none"/>
        </w:rPr>
        <w:t>授权代表</w:t>
      </w:r>
      <w:r>
        <w:rPr>
          <w:rFonts w:hint="eastAsia" w:hAnsi="宋体"/>
          <w:color w:val="auto"/>
          <w:spacing w:val="4"/>
          <w:szCs w:val="24"/>
          <w:highlight w:val="none"/>
        </w:rPr>
        <w:t>的签名负全部责任。</w:t>
      </w:r>
    </w:p>
    <w:p w14:paraId="71BF2031">
      <w:pPr>
        <w:spacing w:line="500" w:lineRule="exact"/>
        <w:ind w:right="617" w:rightChars="257" w:firstLine="480" w:firstLineChars="200"/>
        <w:jc w:val="left"/>
        <w:rPr>
          <w:rFonts w:hAnsi="宋体"/>
          <w:color w:val="auto"/>
          <w:spacing w:val="4"/>
          <w:szCs w:val="24"/>
          <w:highlight w:val="none"/>
        </w:rPr>
      </w:pPr>
      <w:r>
        <w:rPr>
          <w:rFonts w:hint="eastAsia" w:hAnsi="宋体"/>
          <w:color w:val="auto"/>
          <w:szCs w:val="24"/>
          <w:highlight w:val="none"/>
        </w:rPr>
        <w:t>委托期限：</w:t>
      </w:r>
      <w:r>
        <w:rPr>
          <w:rFonts w:hint="eastAsia" w:hAnsi="宋体"/>
          <w:color w:val="auto"/>
          <w:szCs w:val="24"/>
          <w:highlight w:val="none"/>
          <w:lang w:val="zh-CN"/>
        </w:rPr>
        <w:t>自磋商之日起</w:t>
      </w:r>
      <w:r>
        <w:rPr>
          <w:rFonts w:hint="eastAsia" w:hAnsi="宋体"/>
          <w:color w:val="auto"/>
          <w:szCs w:val="24"/>
          <w:highlight w:val="none"/>
          <w:u w:val="single"/>
        </w:rPr>
        <w:t>90</w:t>
      </w:r>
      <w:r>
        <w:rPr>
          <w:rFonts w:hint="eastAsia" w:hAnsi="宋体"/>
          <w:color w:val="auto"/>
          <w:szCs w:val="24"/>
          <w:highlight w:val="none"/>
          <w:lang w:val="zh-CN"/>
        </w:rPr>
        <w:t>天。</w:t>
      </w:r>
    </w:p>
    <w:tbl>
      <w:tblPr>
        <w:tblStyle w:val="19"/>
        <w:tblW w:w="0" w:type="auto"/>
        <w:tblInd w:w="633" w:type="dxa"/>
        <w:tblLayout w:type="fixed"/>
        <w:tblCellMar>
          <w:top w:w="0" w:type="dxa"/>
          <w:left w:w="108" w:type="dxa"/>
          <w:bottom w:w="0" w:type="dxa"/>
          <w:right w:w="108" w:type="dxa"/>
        </w:tblCellMar>
      </w:tblPr>
      <w:tblGrid>
        <w:gridCol w:w="4200"/>
        <w:gridCol w:w="3990"/>
      </w:tblGrid>
      <w:tr w14:paraId="60AD204E">
        <w:tblPrEx>
          <w:tblCellMar>
            <w:top w:w="0" w:type="dxa"/>
            <w:left w:w="108" w:type="dxa"/>
            <w:bottom w:w="0" w:type="dxa"/>
            <w:right w:w="108" w:type="dxa"/>
          </w:tblCellMar>
        </w:tblPrEx>
        <w:trPr>
          <w:trHeight w:val="600" w:hRule="atLeast"/>
        </w:trPr>
        <w:tc>
          <w:tcPr>
            <w:tcW w:w="4200" w:type="dxa"/>
          </w:tcPr>
          <w:p w14:paraId="0318CFC1">
            <w:pPr>
              <w:spacing w:line="360" w:lineRule="auto"/>
              <w:jc w:val="left"/>
              <w:rPr>
                <w:rFonts w:hAnsi="宋体"/>
                <w:color w:val="auto"/>
                <w:spacing w:val="4"/>
                <w:szCs w:val="24"/>
                <w:highlight w:val="none"/>
              </w:rPr>
            </w:pPr>
            <w:r>
              <w:rPr>
                <w:rFonts w:hint="eastAsia" w:hAnsi="宋体"/>
                <w:color w:val="auto"/>
                <w:spacing w:val="4"/>
                <w:szCs w:val="24"/>
                <w:highlight w:val="none"/>
              </w:rPr>
              <w:t>被授权人签字或盖章：</w:t>
            </w:r>
          </w:p>
        </w:tc>
        <w:tc>
          <w:tcPr>
            <w:tcW w:w="3990" w:type="dxa"/>
          </w:tcPr>
          <w:p w14:paraId="28E3831E">
            <w:pPr>
              <w:spacing w:line="360" w:lineRule="auto"/>
              <w:jc w:val="left"/>
              <w:rPr>
                <w:rFonts w:hAnsi="宋体"/>
                <w:color w:val="auto"/>
                <w:spacing w:val="4"/>
                <w:szCs w:val="24"/>
                <w:highlight w:val="none"/>
              </w:rPr>
            </w:pPr>
            <w:r>
              <w:rPr>
                <w:rFonts w:hint="eastAsia" w:hAnsi="宋体"/>
                <w:color w:val="auto"/>
                <w:spacing w:val="4"/>
                <w:szCs w:val="24"/>
                <w:highlight w:val="none"/>
              </w:rPr>
              <w:t>法定代表人签字或盖章：</w:t>
            </w:r>
          </w:p>
        </w:tc>
      </w:tr>
      <w:tr w14:paraId="05A1E709">
        <w:tblPrEx>
          <w:tblCellMar>
            <w:top w:w="0" w:type="dxa"/>
            <w:left w:w="108" w:type="dxa"/>
            <w:bottom w:w="0" w:type="dxa"/>
            <w:right w:w="108" w:type="dxa"/>
          </w:tblCellMar>
        </w:tblPrEx>
        <w:trPr>
          <w:trHeight w:val="600" w:hRule="atLeast"/>
        </w:trPr>
        <w:tc>
          <w:tcPr>
            <w:tcW w:w="4200" w:type="dxa"/>
          </w:tcPr>
          <w:p w14:paraId="29F6CEB6">
            <w:pPr>
              <w:spacing w:line="360" w:lineRule="auto"/>
              <w:jc w:val="left"/>
              <w:rPr>
                <w:rFonts w:hAnsi="宋体"/>
                <w:color w:val="auto"/>
                <w:spacing w:val="4"/>
                <w:szCs w:val="24"/>
                <w:highlight w:val="none"/>
              </w:rPr>
            </w:pPr>
            <w:r>
              <w:rPr>
                <w:rFonts w:hint="eastAsia" w:hAnsi="宋体"/>
                <w:color w:val="auto"/>
                <w:spacing w:val="4"/>
                <w:szCs w:val="24"/>
                <w:highlight w:val="none"/>
              </w:rPr>
              <w:t>职务：</w:t>
            </w:r>
          </w:p>
        </w:tc>
        <w:tc>
          <w:tcPr>
            <w:tcW w:w="3990" w:type="dxa"/>
          </w:tcPr>
          <w:p w14:paraId="211F8032">
            <w:pPr>
              <w:spacing w:line="360" w:lineRule="auto"/>
              <w:jc w:val="left"/>
              <w:rPr>
                <w:rFonts w:hAnsi="宋体"/>
                <w:color w:val="auto"/>
                <w:spacing w:val="4"/>
                <w:szCs w:val="24"/>
                <w:highlight w:val="none"/>
              </w:rPr>
            </w:pPr>
            <w:r>
              <w:rPr>
                <w:rFonts w:hint="eastAsia" w:hAnsi="宋体"/>
                <w:color w:val="auto"/>
                <w:spacing w:val="4"/>
                <w:szCs w:val="24"/>
                <w:highlight w:val="none"/>
              </w:rPr>
              <w:t>职务：</w:t>
            </w:r>
          </w:p>
        </w:tc>
      </w:tr>
      <w:tr w14:paraId="1E05F793">
        <w:tblPrEx>
          <w:tblCellMar>
            <w:top w:w="0" w:type="dxa"/>
            <w:left w:w="108" w:type="dxa"/>
            <w:bottom w:w="0" w:type="dxa"/>
            <w:right w:w="108" w:type="dxa"/>
          </w:tblCellMar>
        </w:tblPrEx>
        <w:trPr>
          <w:trHeight w:val="600" w:hRule="atLeast"/>
        </w:trPr>
        <w:tc>
          <w:tcPr>
            <w:tcW w:w="4200" w:type="dxa"/>
          </w:tcPr>
          <w:p w14:paraId="0198A5CA">
            <w:pPr>
              <w:spacing w:line="360" w:lineRule="auto"/>
              <w:jc w:val="left"/>
              <w:rPr>
                <w:rFonts w:hAnsi="宋体"/>
                <w:color w:val="auto"/>
                <w:spacing w:val="4"/>
                <w:szCs w:val="24"/>
                <w:highlight w:val="none"/>
              </w:rPr>
            </w:pPr>
            <w:r>
              <w:rPr>
                <w:rFonts w:hint="eastAsia" w:hAnsi="宋体"/>
                <w:color w:val="auto"/>
                <w:spacing w:val="4"/>
                <w:szCs w:val="24"/>
                <w:highlight w:val="none"/>
              </w:rPr>
              <w:t>身份证号：</w:t>
            </w:r>
          </w:p>
        </w:tc>
        <w:tc>
          <w:tcPr>
            <w:tcW w:w="3990" w:type="dxa"/>
          </w:tcPr>
          <w:p w14:paraId="508BA809">
            <w:pPr>
              <w:spacing w:line="360" w:lineRule="auto"/>
              <w:jc w:val="left"/>
              <w:rPr>
                <w:rFonts w:hAnsi="宋体"/>
                <w:color w:val="auto"/>
                <w:spacing w:val="4"/>
                <w:szCs w:val="24"/>
                <w:highlight w:val="none"/>
              </w:rPr>
            </w:pPr>
            <w:r>
              <w:rPr>
                <w:rFonts w:hint="eastAsia" w:hAnsi="宋体"/>
                <w:color w:val="auto"/>
                <w:spacing w:val="4"/>
                <w:szCs w:val="24"/>
                <w:highlight w:val="none"/>
              </w:rPr>
              <w:t>身份证号：</w:t>
            </w:r>
          </w:p>
        </w:tc>
      </w:tr>
      <w:tr w14:paraId="19C8A28B">
        <w:tblPrEx>
          <w:tblCellMar>
            <w:top w:w="0" w:type="dxa"/>
            <w:left w:w="108" w:type="dxa"/>
            <w:bottom w:w="0" w:type="dxa"/>
            <w:right w:w="108" w:type="dxa"/>
          </w:tblCellMar>
        </w:tblPrEx>
        <w:trPr>
          <w:trHeight w:val="600" w:hRule="atLeast"/>
        </w:trPr>
        <w:tc>
          <w:tcPr>
            <w:tcW w:w="4200" w:type="dxa"/>
          </w:tcPr>
          <w:p w14:paraId="28910614">
            <w:pPr>
              <w:spacing w:line="360" w:lineRule="auto"/>
              <w:jc w:val="left"/>
              <w:rPr>
                <w:rFonts w:hAnsi="宋体"/>
                <w:color w:val="auto"/>
                <w:spacing w:val="4"/>
                <w:szCs w:val="24"/>
                <w:highlight w:val="none"/>
              </w:rPr>
            </w:pPr>
            <w:r>
              <w:rPr>
                <w:rFonts w:hint="eastAsia" w:hAnsi="宋体"/>
                <w:color w:val="auto"/>
                <w:spacing w:val="4"/>
                <w:szCs w:val="24"/>
                <w:highlight w:val="none"/>
              </w:rPr>
              <w:t>所在部门：</w:t>
            </w:r>
          </w:p>
        </w:tc>
        <w:tc>
          <w:tcPr>
            <w:tcW w:w="3990" w:type="dxa"/>
          </w:tcPr>
          <w:p w14:paraId="298EC344">
            <w:pPr>
              <w:spacing w:line="360" w:lineRule="auto"/>
              <w:jc w:val="left"/>
              <w:rPr>
                <w:rFonts w:hAnsi="宋体"/>
                <w:color w:val="auto"/>
                <w:spacing w:val="4"/>
                <w:szCs w:val="24"/>
                <w:highlight w:val="none"/>
              </w:rPr>
            </w:pPr>
          </w:p>
        </w:tc>
      </w:tr>
    </w:tbl>
    <w:p w14:paraId="6D64381C">
      <w:pPr>
        <w:spacing w:line="360" w:lineRule="auto"/>
        <w:ind w:firstLine="505" w:firstLineChars="204"/>
        <w:rPr>
          <w:rFonts w:hAnsi="宋体"/>
          <w:color w:val="auto"/>
          <w:spacing w:val="4"/>
          <w:szCs w:val="24"/>
          <w:highlight w:val="none"/>
        </w:rPr>
      </w:pPr>
      <w:r>
        <w:rPr>
          <w:rFonts w:hint="eastAsia" w:hAnsi="宋体"/>
          <w:color w:val="auto"/>
          <w:spacing w:val="4"/>
          <w:szCs w:val="24"/>
          <w:highlight w:val="none"/>
        </w:rPr>
        <w:t>附：法定代表人、被授权人身份证复印件</w:t>
      </w:r>
    </w:p>
    <w:p w14:paraId="26C9D4EA">
      <w:pPr>
        <w:spacing w:line="360" w:lineRule="auto"/>
        <w:rPr>
          <w:rFonts w:hAnsi="宋体"/>
          <w:color w:val="auto"/>
          <w:spacing w:val="4"/>
          <w:szCs w:val="24"/>
          <w:highlight w:val="none"/>
        </w:rPr>
      </w:pPr>
    </w:p>
    <w:tbl>
      <w:tblPr>
        <w:tblStyle w:val="19"/>
        <w:tblW w:w="0" w:type="auto"/>
        <w:tblInd w:w="540" w:type="dxa"/>
        <w:tblLayout w:type="fixed"/>
        <w:tblCellMar>
          <w:top w:w="0" w:type="dxa"/>
          <w:left w:w="108" w:type="dxa"/>
          <w:bottom w:w="0" w:type="dxa"/>
          <w:right w:w="108" w:type="dxa"/>
        </w:tblCellMar>
      </w:tblPr>
      <w:tblGrid>
        <w:gridCol w:w="4246"/>
        <w:gridCol w:w="4111"/>
      </w:tblGrid>
      <w:tr w14:paraId="33CC251D">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14:paraId="67430DB0">
            <w:pPr>
              <w:spacing w:line="360" w:lineRule="auto"/>
              <w:jc w:val="center"/>
              <w:rPr>
                <w:color w:val="auto"/>
                <w:szCs w:val="21"/>
                <w:highlight w:val="none"/>
                <w:lang w:val="zh-CN"/>
              </w:rPr>
            </w:pPr>
            <w:r>
              <w:rPr>
                <w:color w:val="auto"/>
                <w:szCs w:val="21"/>
                <w:highlight w:val="none"/>
                <w:lang w:val="zh-CN"/>
              </w:rPr>
              <w:t>法定代表人身份证复印件粘贴处</w:t>
            </w:r>
          </w:p>
          <w:p w14:paraId="267762ED">
            <w:pPr>
              <w:spacing w:line="360" w:lineRule="auto"/>
              <w:jc w:val="center"/>
              <w:rPr>
                <w:color w:val="auto"/>
                <w:szCs w:val="21"/>
                <w:highlight w:val="none"/>
                <w:u w:val="single"/>
              </w:rPr>
            </w:pPr>
            <w:r>
              <w:rPr>
                <w:color w:val="auto"/>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14:paraId="1884552B">
            <w:pPr>
              <w:spacing w:line="360" w:lineRule="auto"/>
              <w:jc w:val="center"/>
              <w:rPr>
                <w:color w:val="auto"/>
                <w:szCs w:val="21"/>
                <w:highlight w:val="none"/>
                <w:lang w:val="zh-CN"/>
              </w:rPr>
            </w:pPr>
            <w:r>
              <w:rPr>
                <w:rFonts w:hint="eastAsia"/>
                <w:color w:val="auto"/>
                <w:szCs w:val="21"/>
                <w:highlight w:val="none"/>
                <w:lang w:val="zh-CN"/>
              </w:rPr>
              <w:t>授权代表</w:t>
            </w:r>
            <w:r>
              <w:rPr>
                <w:color w:val="auto"/>
                <w:szCs w:val="21"/>
                <w:highlight w:val="none"/>
                <w:lang w:val="zh-CN"/>
              </w:rPr>
              <w:t>身份证复印件粘贴处</w:t>
            </w:r>
          </w:p>
          <w:p w14:paraId="00250411">
            <w:pPr>
              <w:spacing w:line="360" w:lineRule="auto"/>
              <w:jc w:val="center"/>
              <w:rPr>
                <w:color w:val="auto"/>
                <w:highlight w:val="none"/>
                <w:u w:val="single"/>
              </w:rPr>
            </w:pPr>
            <w:r>
              <w:rPr>
                <w:color w:val="auto"/>
                <w:szCs w:val="21"/>
                <w:highlight w:val="none"/>
                <w:lang w:val="zh-CN"/>
              </w:rPr>
              <w:t>（正反面）</w:t>
            </w:r>
          </w:p>
        </w:tc>
      </w:tr>
    </w:tbl>
    <w:p w14:paraId="49C24051">
      <w:pPr>
        <w:spacing w:line="360" w:lineRule="auto"/>
        <w:ind w:firstLine="510"/>
        <w:rPr>
          <w:rFonts w:hAnsi="宋体"/>
          <w:color w:val="auto"/>
          <w:spacing w:val="4"/>
          <w:szCs w:val="24"/>
          <w:highlight w:val="none"/>
        </w:rPr>
      </w:pPr>
    </w:p>
    <w:p w14:paraId="1941BD9D">
      <w:pPr>
        <w:spacing w:before="156" w:beforeLines="50" w:after="156" w:afterLines="50" w:line="360" w:lineRule="auto"/>
        <w:rPr>
          <w:rFonts w:hAnsi="宋体"/>
          <w:color w:val="auto"/>
          <w:spacing w:val="4"/>
          <w:szCs w:val="24"/>
          <w:highlight w:val="none"/>
        </w:rPr>
      </w:pPr>
      <w:r>
        <w:rPr>
          <w:rFonts w:hint="eastAsia" w:hAnsi="宋体"/>
          <w:color w:val="auto"/>
          <w:spacing w:val="4"/>
          <w:szCs w:val="24"/>
          <w:highlight w:val="none"/>
        </w:rPr>
        <w:t>供应商名称：</w:t>
      </w:r>
      <w:r>
        <w:rPr>
          <w:rFonts w:hint="eastAsia"/>
          <w:color w:val="auto"/>
          <w:highlight w:val="none"/>
          <w:u w:val="single"/>
        </w:rPr>
        <w:t xml:space="preserve">      </w:t>
      </w:r>
      <w:r>
        <w:rPr>
          <w:color w:val="auto"/>
          <w:highlight w:val="none"/>
          <w:u w:val="single"/>
        </w:rPr>
        <w:t>（</w:t>
      </w:r>
      <w:r>
        <w:rPr>
          <w:rFonts w:hint="eastAsia"/>
          <w:color w:val="auto"/>
          <w:highlight w:val="none"/>
          <w:u w:val="single"/>
        </w:rPr>
        <w:t>加盖单位</w:t>
      </w:r>
      <w:r>
        <w:rPr>
          <w:color w:val="auto"/>
          <w:highlight w:val="none"/>
          <w:u w:val="single"/>
        </w:rPr>
        <w:t>公章）</w:t>
      </w:r>
      <w:r>
        <w:rPr>
          <w:rFonts w:hint="eastAsia"/>
          <w:color w:val="auto"/>
          <w:highlight w:val="none"/>
          <w:u w:val="single"/>
        </w:rPr>
        <w:t xml:space="preserve">       </w:t>
      </w:r>
    </w:p>
    <w:p w14:paraId="7EFE0475">
      <w:pPr>
        <w:spacing w:before="156" w:beforeLines="50" w:after="156" w:afterLines="50" w:line="360" w:lineRule="auto"/>
        <w:rPr>
          <w:color w:val="auto"/>
          <w:highlight w:val="none"/>
        </w:rPr>
      </w:pPr>
      <w:r>
        <w:rPr>
          <w:rFonts w:hint="eastAsia" w:hAnsi="宋体"/>
          <w:color w:val="auto"/>
          <w:spacing w:val="4"/>
          <w:szCs w:val="24"/>
          <w:highlight w:val="none"/>
        </w:rPr>
        <w:t>日期：</w:t>
      </w:r>
    </w:p>
    <w:p w14:paraId="574E257D">
      <w:pPr>
        <w:rPr>
          <w:rFonts w:hint="eastAsia" w:hAnsi="宋体" w:cs="宋体"/>
          <w:color w:val="auto"/>
          <w:spacing w:val="4"/>
          <w:szCs w:val="30"/>
          <w:highlight w:val="none"/>
        </w:rPr>
      </w:pPr>
      <w:r>
        <w:rPr>
          <w:rFonts w:hAnsi="宋体"/>
          <w:color w:val="auto"/>
          <w:sz w:val="28"/>
          <w:szCs w:val="28"/>
          <w:highlight w:val="none"/>
          <w:u w:val="single"/>
        </w:rPr>
        <w:br w:type="page"/>
      </w:r>
    </w:p>
    <w:p w14:paraId="63C1537E">
      <w:pPr>
        <w:widowControl/>
        <w:spacing w:line="360" w:lineRule="auto"/>
        <w:ind w:left="1" w:firstLine="281" w:firstLineChars="100"/>
        <w:rPr>
          <w:rFonts w:hint="eastAsia" w:ascii="宋体" w:hAnsi="宋体" w:eastAsia="宋体" w:cs="宋体"/>
          <w:b/>
          <w:color w:val="auto"/>
          <w:kern w:val="0"/>
          <w:sz w:val="28"/>
          <w:szCs w:val="28"/>
          <w:highlight w:val="none"/>
        </w:rPr>
      </w:pPr>
    </w:p>
    <w:p w14:paraId="12D56C2C">
      <w:pPr>
        <w:widowControl/>
        <w:spacing w:line="360" w:lineRule="auto"/>
        <w:ind w:left="1" w:firstLine="321" w:firstLineChars="1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参加政府采购活动前3年内在经营活动中没有重大违法</w:t>
      </w:r>
      <w:r>
        <w:rPr>
          <w:rFonts w:hint="eastAsia" w:hAnsi="宋体" w:cs="宋体"/>
          <w:b/>
          <w:color w:val="auto"/>
          <w:kern w:val="0"/>
          <w:sz w:val="32"/>
          <w:szCs w:val="32"/>
          <w:highlight w:val="none"/>
          <w:lang w:eastAsia="zh-CN"/>
        </w:rPr>
        <w:t>记录</w:t>
      </w:r>
      <w:r>
        <w:rPr>
          <w:rFonts w:hint="eastAsia" w:ascii="宋体" w:hAnsi="宋体" w:eastAsia="宋体" w:cs="宋体"/>
          <w:b/>
          <w:color w:val="auto"/>
          <w:kern w:val="0"/>
          <w:sz w:val="32"/>
          <w:szCs w:val="32"/>
          <w:highlight w:val="none"/>
        </w:rPr>
        <w:t>的书面声明</w:t>
      </w:r>
    </w:p>
    <w:p w14:paraId="37C6D381">
      <w:pPr>
        <w:widowControl/>
        <w:spacing w:line="360" w:lineRule="auto"/>
        <w:ind w:left="1"/>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（格式）</w:t>
      </w:r>
    </w:p>
    <w:p w14:paraId="468E60EF">
      <w:pPr>
        <w:pStyle w:val="17"/>
        <w:wordWrap w:val="0"/>
        <w:spacing w:beforeAutospacing="0" w:afterAutospacing="0" w:line="560" w:lineRule="exact"/>
        <w:rPr>
          <w:rFonts w:hint="eastAsia" w:ascii="宋体" w:hAnsi="宋体" w:eastAsia="宋体" w:cs="宋体"/>
          <w:color w:val="auto"/>
          <w:highlight w:val="none"/>
          <w:u w:val="single"/>
          <w:shd w:val="clear" w:color="auto" w:fill="FFFFFF"/>
        </w:rPr>
      </w:pPr>
    </w:p>
    <w:p w14:paraId="5065EA5C">
      <w:pPr>
        <w:pStyle w:val="17"/>
        <w:wordWrap w:val="0"/>
        <w:spacing w:beforeAutospacing="0" w:afterAutospacing="0" w:line="560" w:lineRule="exact"/>
        <w:rPr>
          <w:rFonts w:hint="eastAsia" w:ascii="宋体" w:hAnsi="宋体" w:eastAsia="宋体" w:cs="宋体"/>
          <w:color w:val="auto"/>
          <w:highlight w:val="none"/>
          <w:u w:val="single"/>
          <w:shd w:val="clear" w:color="auto" w:fill="FFFFFF"/>
        </w:rPr>
      </w:pPr>
      <w:r>
        <w:rPr>
          <w:rFonts w:hint="eastAsia" w:ascii="宋体" w:hAnsi="宋体" w:eastAsia="宋体" w:cs="宋体"/>
          <w:color w:val="auto"/>
          <w:highlight w:val="none"/>
          <w:u w:val="single"/>
          <w:shd w:val="clear" w:color="auto" w:fill="FFFFFF"/>
        </w:rPr>
        <w:t xml:space="preserve">      （采购人）     ：</w:t>
      </w:r>
    </w:p>
    <w:p w14:paraId="17402D19">
      <w:pPr>
        <w:pStyle w:val="17"/>
        <w:wordWrap w:val="0"/>
        <w:spacing w:beforeAutospacing="0" w:afterAutospacing="0" w:line="560" w:lineRule="exact"/>
        <w:ind w:firstLine="640"/>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我方作为项目名称</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color w:val="auto"/>
          <w:highlight w:val="none"/>
          <w:shd w:val="clear" w:color="auto" w:fill="FFFFFF"/>
        </w:rPr>
        <w:t>（项目编号：</w:t>
      </w:r>
      <w:r>
        <w:rPr>
          <w:rFonts w:hint="eastAsia" w:ascii="宋体" w:hAnsi="宋体" w:eastAsia="宋体" w:cs="宋体"/>
          <w:i/>
          <w:iCs/>
          <w:color w:val="auto"/>
          <w:highlight w:val="none"/>
          <w:u w:val="single"/>
          <w:shd w:val="clear" w:color="auto" w:fill="FFFFFF"/>
        </w:rPr>
        <w:t xml:space="preserve">          </w:t>
      </w:r>
      <w:r>
        <w:rPr>
          <w:rFonts w:hint="eastAsia" w:ascii="宋体" w:hAnsi="宋体" w:eastAsia="宋体" w:cs="宋体"/>
          <w:color w:val="auto"/>
          <w:highlight w:val="none"/>
          <w:shd w:val="clear" w:color="auto" w:fill="FFFFFF"/>
        </w:rPr>
        <w:t xml:space="preserve">）的供应商，在此郑重声明： </w:t>
      </w:r>
    </w:p>
    <w:p w14:paraId="5055A3BB">
      <w:pPr>
        <w:pStyle w:val="17"/>
        <w:wordWrap w:val="0"/>
        <w:spacing w:beforeAutospacing="0" w:afterAutospacing="0" w:line="5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在参加本次政府采购活动前3年内的经营活动中</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color w:val="auto"/>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3683A7A9">
      <w:pPr>
        <w:pStyle w:val="17"/>
        <w:wordWrap w:val="0"/>
        <w:spacing w:beforeAutospacing="0" w:afterAutospacing="0" w:line="5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 xml:space="preserve">如有不实，我方将无条件地退出本项目的采购活动，并遵照《政府采购法》有关“提供虚假材料的规定”接受处罚。 </w:t>
      </w:r>
    </w:p>
    <w:p w14:paraId="787BF05D">
      <w:pPr>
        <w:pStyle w:val="17"/>
        <w:wordWrap w:val="0"/>
        <w:spacing w:beforeAutospacing="0" w:afterAutospacing="0" w:line="560" w:lineRule="exact"/>
        <w:ind w:firstLine="42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特此声明！</w:t>
      </w:r>
    </w:p>
    <w:p w14:paraId="6A7EFB2C">
      <w:pPr>
        <w:pStyle w:val="17"/>
        <w:wordWrap w:val="0"/>
        <w:spacing w:beforeAutospacing="0" w:afterAutospacing="0" w:line="560" w:lineRule="exact"/>
        <w:ind w:firstLine="420"/>
        <w:rPr>
          <w:rFonts w:hint="eastAsia" w:ascii="宋体" w:hAnsi="宋体" w:eastAsia="宋体" w:cs="宋体"/>
          <w:color w:val="auto"/>
          <w:highlight w:val="none"/>
          <w:shd w:val="clear" w:color="auto" w:fill="FFFFFF"/>
        </w:rPr>
      </w:pPr>
    </w:p>
    <w:p w14:paraId="44757AAA">
      <w:pPr>
        <w:spacing w:line="480" w:lineRule="auto"/>
        <w:ind w:firstLine="3360" w:firstLineChars="1400"/>
        <w:rPr>
          <w:rFonts w:hint="eastAsia" w:ascii="宋体" w:hAnsi="宋体" w:eastAsia="宋体" w:cs="宋体"/>
          <w:color w:val="auto"/>
          <w:sz w:val="24"/>
          <w:highlight w:val="none"/>
        </w:rPr>
      </w:pPr>
      <w:r>
        <w:rPr>
          <w:rFonts w:hint="eastAsia" w:hAnsi="宋体" w:cs="宋体"/>
          <w:color w:val="auto"/>
          <w:sz w:val="24"/>
          <w:highlight w:val="none"/>
          <w:lang w:val="en-US" w:eastAsia="zh-CN"/>
        </w:rPr>
        <w:t>供应商</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（盖章）</w:t>
      </w:r>
    </w:p>
    <w:p w14:paraId="4EF0F28D">
      <w:pPr>
        <w:pStyle w:val="29"/>
        <w:spacing w:before="156" w:beforeLines="50"/>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1BE03F3">
      <w:pPr>
        <w:adjustRightInd w:val="0"/>
        <w:snapToGrid w:val="0"/>
        <w:spacing w:line="36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46F71400">
      <w:pPr>
        <w:adjustRightInd w:val="0"/>
        <w:snapToGrid w:val="0"/>
        <w:spacing w:line="360" w:lineRule="auto"/>
        <w:jc w:val="center"/>
        <w:rPr>
          <w:rFonts w:hint="eastAsia" w:asciiTheme="minorEastAsia" w:hAnsiTheme="minorEastAsia" w:eastAsiaTheme="minorEastAsia" w:cstheme="minorEastAsia"/>
          <w:b/>
          <w:color w:val="auto"/>
          <w:sz w:val="28"/>
          <w:szCs w:val="28"/>
          <w:highlight w:val="none"/>
        </w:rPr>
      </w:pPr>
    </w:p>
    <w:p w14:paraId="7279B1BF">
      <w:pPr>
        <w:pStyle w:val="6"/>
        <w:rPr>
          <w:rFonts w:hint="eastAsia"/>
          <w:color w:val="auto"/>
          <w:highlight w:val="none"/>
        </w:rPr>
      </w:pPr>
    </w:p>
    <w:p w14:paraId="66E5DC64">
      <w:pPr>
        <w:adjustRightInd w:val="0"/>
        <w:snapToGrid w:val="0"/>
        <w:spacing w:line="360" w:lineRule="auto"/>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32"/>
          <w:szCs w:val="32"/>
          <w:highlight w:val="none"/>
        </w:rPr>
        <w:t>具有履行本合同所必需的设备和专业技术能力的书面</w:t>
      </w:r>
      <w:r>
        <w:rPr>
          <w:rFonts w:hint="eastAsia" w:hAnsi="宋体" w:cs="宋体"/>
          <w:b/>
          <w:color w:val="auto"/>
          <w:sz w:val="32"/>
          <w:szCs w:val="32"/>
          <w:highlight w:val="none"/>
          <w:lang w:eastAsia="zh-CN"/>
        </w:rPr>
        <w:t>承诺</w:t>
      </w:r>
    </w:p>
    <w:p w14:paraId="23B16D31">
      <w:pPr>
        <w:widowControl/>
        <w:spacing w:line="360" w:lineRule="auto"/>
        <w:ind w:left="1"/>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（格式）</w:t>
      </w:r>
    </w:p>
    <w:p w14:paraId="019BF4B9">
      <w:pPr>
        <w:bidi w:val="0"/>
        <w:rPr>
          <w:rFonts w:hint="eastAsia"/>
          <w:color w:val="auto"/>
          <w:highlight w:val="none"/>
        </w:rPr>
      </w:pPr>
    </w:p>
    <w:p w14:paraId="56808A39">
      <w:pPr>
        <w:pStyle w:val="9"/>
        <w:adjustRightInd w:val="0"/>
        <w:snapToGrid w:val="0"/>
        <w:spacing w:line="720" w:lineRule="exact"/>
        <w:jc w:val="center"/>
        <w:rPr>
          <w:rFonts w:hint="eastAsia" w:ascii="宋体" w:hAnsi="宋体" w:eastAsia="宋体" w:cs="宋体"/>
          <w:b/>
          <w:color w:val="auto"/>
          <w:sz w:val="28"/>
          <w:szCs w:val="28"/>
          <w:highlight w:val="none"/>
        </w:rPr>
      </w:pPr>
    </w:p>
    <w:p w14:paraId="31245559">
      <w:pPr>
        <w:spacing w:line="720" w:lineRule="exact"/>
        <w:rPr>
          <w:rFonts w:hint="eastAsia" w:ascii="宋体" w:hAnsi="宋体" w:eastAsia="宋体" w:cs="宋体"/>
          <w:color w:val="auto"/>
          <w:spacing w:val="4"/>
          <w:sz w:val="24"/>
          <w:highlight w:val="none"/>
          <w:u w:val="single"/>
        </w:rPr>
      </w:pPr>
      <w:r>
        <w:rPr>
          <w:rFonts w:hint="eastAsia" w:ascii="宋体" w:hAnsi="宋体" w:eastAsia="宋体" w:cs="宋体"/>
          <w:color w:val="auto"/>
          <w:spacing w:val="4"/>
          <w:sz w:val="24"/>
          <w:highlight w:val="none"/>
          <w:u w:val="single"/>
        </w:rPr>
        <w:t xml:space="preserve">     （采购人）    ：</w:t>
      </w:r>
    </w:p>
    <w:p w14:paraId="448F485A">
      <w:pPr>
        <w:pStyle w:val="9"/>
        <w:adjustRightInd w:val="0"/>
        <w:snapToGrid w:val="0"/>
        <w:spacing w:line="720" w:lineRule="exact"/>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4"/>
          <w:sz w:val="24"/>
          <w:szCs w:val="24"/>
          <w:highlight w:val="none"/>
          <w:u w:val="single"/>
        </w:rPr>
        <w:t xml:space="preserve">      （供应商名称）    </w:t>
      </w:r>
      <w:r>
        <w:rPr>
          <w:rFonts w:hint="eastAsia" w:ascii="宋体" w:hAnsi="宋体" w:eastAsia="宋体" w:cs="宋体"/>
          <w:color w:val="auto"/>
          <w:spacing w:val="4"/>
          <w:sz w:val="24"/>
          <w:szCs w:val="24"/>
          <w:highlight w:val="none"/>
        </w:rPr>
        <w:t xml:space="preserve"> 于</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日在中华人民共和国境内</w:t>
      </w:r>
      <w:r>
        <w:rPr>
          <w:rFonts w:hint="eastAsia" w:ascii="宋体" w:hAnsi="宋体" w:eastAsia="宋体" w:cs="宋体"/>
          <w:color w:val="auto"/>
          <w:spacing w:val="4"/>
          <w:sz w:val="24"/>
          <w:szCs w:val="24"/>
          <w:highlight w:val="none"/>
          <w:u w:val="single"/>
        </w:rPr>
        <w:t xml:space="preserve">               （详细注册地址）     </w:t>
      </w:r>
      <w:r>
        <w:rPr>
          <w:rFonts w:hint="eastAsia" w:ascii="宋体" w:hAnsi="宋体" w:eastAsia="宋体" w:cs="宋体"/>
          <w:color w:val="auto"/>
          <w:spacing w:val="4"/>
          <w:sz w:val="24"/>
          <w:szCs w:val="24"/>
          <w:highlight w:val="none"/>
        </w:rPr>
        <w:t>合法注册并经营，公司主营业务为</w:t>
      </w:r>
      <w:r>
        <w:rPr>
          <w:rFonts w:hint="eastAsia" w:ascii="宋体" w:hAnsi="宋体" w:eastAsia="宋体" w:cs="宋体"/>
          <w:color w:val="auto"/>
          <w:spacing w:val="4"/>
          <w:sz w:val="24"/>
          <w:szCs w:val="24"/>
          <w:highlight w:val="none"/>
          <w:u w:val="single"/>
        </w:rPr>
        <w:t xml:space="preserve">                        </w:t>
      </w:r>
      <w:r>
        <w:rPr>
          <w:rFonts w:hint="eastAsia" w:hAnsi="宋体" w:cs="宋体"/>
          <w:color w:val="auto"/>
          <w:spacing w:val="4"/>
          <w:sz w:val="24"/>
          <w:szCs w:val="24"/>
          <w:highlight w:val="none"/>
          <w:u w:val="none"/>
          <w:lang w:eastAsia="zh-CN"/>
        </w:rPr>
        <w:t>。</w:t>
      </w:r>
    </w:p>
    <w:p w14:paraId="369DA68F">
      <w:pPr>
        <w:pStyle w:val="9"/>
        <w:adjustRightInd w:val="0"/>
        <w:snapToGrid w:val="0"/>
        <w:spacing w:line="720" w:lineRule="exact"/>
        <w:ind w:firstLine="550" w:firstLineChars="222"/>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我公司郑重承诺，我公司具有履行本合同所必需的设备和专业技术能力，合同履约中将无条件增加相关设备、人员，直至满足项目需求。</w:t>
      </w:r>
    </w:p>
    <w:p w14:paraId="4F9DDEAC">
      <w:pPr>
        <w:pStyle w:val="9"/>
        <w:adjustRightInd w:val="0"/>
        <w:snapToGrid w:val="0"/>
        <w:spacing w:line="720" w:lineRule="exact"/>
        <w:rPr>
          <w:rFonts w:hint="eastAsia" w:ascii="宋体" w:hAnsi="宋体" w:eastAsia="宋体" w:cs="宋体"/>
          <w:color w:val="auto"/>
          <w:spacing w:val="4"/>
          <w:sz w:val="24"/>
          <w:szCs w:val="24"/>
          <w:highlight w:val="none"/>
        </w:rPr>
      </w:pPr>
    </w:p>
    <w:p w14:paraId="4EF6B1B6">
      <w:pPr>
        <w:pStyle w:val="9"/>
        <w:adjustRightInd w:val="0"/>
        <w:snapToGrid w:val="0"/>
        <w:spacing w:line="720" w:lineRule="exact"/>
        <w:rPr>
          <w:rFonts w:hint="eastAsia" w:ascii="宋体" w:hAnsi="宋体" w:eastAsia="宋体" w:cs="宋体"/>
          <w:color w:val="auto"/>
          <w:spacing w:val="4"/>
          <w:sz w:val="24"/>
          <w:szCs w:val="24"/>
          <w:highlight w:val="none"/>
        </w:rPr>
      </w:pPr>
    </w:p>
    <w:p w14:paraId="0AAF8D90">
      <w:pPr>
        <w:pStyle w:val="9"/>
        <w:adjustRightInd w:val="0"/>
        <w:snapToGrid w:val="0"/>
        <w:spacing w:line="720" w:lineRule="exact"/>
        <w:rPr>
          <w:rFonts w:hint="eastAsia" w:ascii="宋体" w:hAnsi="宋体" w:eastAsia="宋体" w:cs="宋体"/>
          <w:color w:val="auto"/>
          <w:spacing w:val="4"/>
          <w:sz w:val="24"/>
          <w:szCs w:val="24"/>
          <w:highlight w:val="none"/>
        </w:rPr>
      </w:pPr>
    </w:p>
    <w:p w14:paraId="679C6E9E">
      <w:pPr>
        <w:spacing w:line="480" w:lineRule="auto"/>
        <w:ind w:firstLine="3360" w:firstLineChars="14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（盖章）</w:t>
      </w:r>
    </w:p>
    <w:p w14:paraId="71A2305E">
      <w:pPr>
        <w:pStyle w:val="29"/>
        <w:spacing w:before="156" w:beforeLines="50"/>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F0A3A3B">
      <w:pPr>
        <w:rPr>
          <w:rFonts w:hAnsi="宋体"/>
          <w:color w:val="auto"/>
          <w:sz w:val="28"/>
          <w:szCs w:val="28"/>
          <w:highlight w:val="none"/>
          <w:u w:val="single"/>
        </w:rPr>
      </w:pPr>
      <w:r>
        <w:rPr>
          <w:rFonts w:hAnsi="宋体"/>
          <w:color w:val="auto"/>
          <w:sz w:val="28"/>
          <w:szCs w:val="28"/>
          <w:highlight w:val="none"/>
          <w:u w:val="single"/>
        </w:rPr>
        <w:br w:type="page"/>
      </w:r>
    </w:p>
    <w:p w14:paraId="5B67E0B7">
      <w:pPr>
        <w:spacing w:before="100" w:beforeAutospacing="1" w:afterLines="50" w:line="360" w:lineRule="auto"/>
        <w:jc w:val="left"/>
        <w:outlineLvl w:val="2"/>
        <w:rPr>
          <w:rFonts w:hint="eastAsia" w:ascii="宋体" w:hAnsi="宋体" w:eastAsia="宋体" w:cs="宋体"/>
          <w:b/>
          <w:sz w:val="28"/>
          <w:szCs w:val="28"/>
          <w:highlight w:val="none"/>
          <w:lang w:val="en-US" w:eastAsia="zh-CN"/>
        </w:rPr>
      </w:pPr>
      <w:bookmarkStart w:id="88" w:name="_Toc29482"/>
      <w:r>
        <w:rPr>
          <w:rFonts w:hint="eastAsia" w:ascii="宋体" w:hAnsi="宋体" w:eastAsia="宋体" w:cs="宋体"/>
          <w:b/>
          <w:sz w:val="28"/>
          <w:szCs w:val="28"/>
          <w:highlight w:val="none"/>
          <w:lang w:val="en-US" w:eastAsia="zh-CN"/>
        </w:rPr>
        <w:t>附件2：中小企业声明函</w:t>
      </w:r>
      <w:bookmarkEnd w:id="88"/>
    </w:p>
    <w:p w14:paraId="76FD9F1F">
      <w:pPr>
        <w:spacing w:before="156" w:beforeLines="50" w:after="156" w:afterLines="50" w:line="360" w:lineRule="auto"/>
        <w:jc w:val="center"/>
        <w:rPr>
          <w:rFonts w:hint="eastAsia" w:hAnsi="宋体" w:cs="宋体"/>
          <w:b/>
          <w:sz w:val="28"/>
          <w:szCs w:val="28"/>
          <w:highlight w:val="none"/>
        </w:rPr>
      </w:pPr>
      <w:bookmarkStart w:id="89" w:name="_Toc13836"/>
    </w:p>
    <w:p w14:paraId="2079745E">
      <w:pPr>
        <w:spacing w:before="156" w:beforeLines="50" w:after="156" w:afterLines="50" w:line="360" w:lineRule="auto"/>
        <w:jc w:val="center"/>
        <w:rPr>
          <w:rFonts w:hint="eastAsia" w:hAnsi="宋体" w:cs="宋体"/>
          <w:szCs w:val="24"/>
          <w:highlight w:val="none"/>
        </w:rPr>
      </w:pPr>
      <w:r>
        <w:rPr>
          <w:rFonts w:hint="eastAsia" w:hAnsi="宋体" w:cs="宋体"/>
          <w:b/>
          <w:sz w:val="28"/>
          <w:szCs w:val="28"/>
          <w:highlight w:val="none"/>
        </w:rPr>
        <w:t>中小企业声明函</w:t>
      </w:r>
    </w:p>
    <w:p w14:paraId="4D336452">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本公司郑重声明，根据《政府采购促进中小企业发展管理办法》（财库﹝2020﹞46 号）的规定，本公司参加</w:t>
      </w:r>
      <w:r>
        <w:rPr>
          <w:rFonts w:hint="eastAsia" w:hAnsi="宋体" w:cs="宋体"/>
          <w:szCs w:val="24"/>
          <w:highlight w:val="none"/>
          <w:u w:val="single"/>
        </w:rPr>
        <w:t>（单位名称）</w:t>
      </w:r>
      <w:r>
        <w:rPr>
          <w:rFonts w:hint="eastAsia" w:hAnsi="宋体" w:cs="宋体"/>
          <w:szCs w:val="24"/>
          <w:highlight w:val="none"/>
        </w:rPr>
        <w:t>的</w:t>
      </w:r>
      <w:r>
        <w:rPr>
          <w:rFonts w:hint="eastAsia" w:hAnsi="宋体" w:cs="宋体"/>
          <w:szCs w:val="24"/>
          <w:highlight w:val="none"/>
          <w:u w:val="single"/>
        </w:rPr>
        <w:t>（项目名称）</w:t>
      </w:r>
      <w:r>
        <w:rPr>
          <w:rFonts w:hint="eastAsia" w:hAnsi="宋体" w:cs="宋体"/>
          <w:szCs w:val="24"/>
          <w:highlight w:val="none"/>
        </w:rPr>
        <w:t>采购活动，工程的施工单位全部为符合政策要求的中小企业（或者：服务全部由符合政策要求的中小企业承接）。相关企业的具体情况如下：</w:t>
      </w:r>
    </w:p>
    <w:p w14:paraId="7F5DC73E">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1.</w:t>
      </w:r>
      <w:r>
        <w:rPr>
          <w:rFonts w:hint="eastAsia" w:hAnsi="宋体" w:cs="宋体"/>
          <w:szCs w:val="24"/>
          <w:highlight w:val="none"/>
          <w:u w:val="single"/>
        </w:rPr>
        <w:t>（标的名称）</w:t>
      </w:r>
      <w:r>
        <w:rPr>
          <w:rFonts w:hint="eastAsia" w:hAnsi="宋体" w:cs="宋体"/>
          <w:szCs w:val="24"/>
          <w:highlight w:val="none"/>
        </w:rPr>
        <w:t>，属于</w:t>
      </w:r>
      <w:r>
        <w:rPr>
          <w:rFonts w:hint="eastAsia" w:hAnsi="宋体" w:cs="宋体"/>
          <w:szCs w:val="24"/>
          <w:highlight w:val="none"/>
          <w:u w:val="single"/>
        </w:rPr>
        <w:t>（采购文件中明确的所属行业）</w:t>
      </w:r>
      <w:r>
        <w:rPr>
          <w:rFonts w:hint="eastAsia" w:hAnsi="宋体" w:cs="宋体"/>
          <w:szCs w:val="24"/>
          <w:highlight w:val="none"/>
        </w:rPr>
        <w:t>；承建（承接）企业为</w:t>
      </w:r>
      <w:r>
        <w:rPr>
          <w:rFonts w:hint="eastAsia" w:hAnsi="宋体" w:cs="宋体"/>
          <w:szCs w:val="24"/>
          <w:highlight w:val="none"/>
          <w:u w:val="single"/>
        </w:rPr>
        <w:t>（企业名称）</w:t>
      </w:r>
      <w:r>
        <w:rPr>
          <w:rFonts w:hint="eastAsia" w:hAnsi="宋体" w:cs="宋体"/>
          <w:szCs w:val="24"/>
          <w:highlight w:val="none"/>
        </w:rPr>
        <w:t>，从业人员</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人，营业收入</w:t>
      </w:r>
      <w:r>
        <w:rPr>
          <w:rFonts w:hint="eastAsia" w:hAnsi="宋体" w:cs="宋体"/>
          <w:szCs w:val="24"/>
          <w:highlight w:val="none"/>
          <w:u w:val="none"/>
        </w:rPr>
        <w:t>为</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万元，资产总额为</w:t>
      </w:r>
      <w:r>
        <w:rPr>
          <w:rFonts w:hint="eastAsia" w:hAnsi="宋体" w:eastAsia="宋体" w:cs="宋体"/>
          <w:szCs w:val="24"/>
          <w:highlight w:val="none"/>
          <w:u w:val="single"/>
          <w:lang w:val="en-US" w:eastAsia="zh-CN"/>
        </w:rPr>
        <w:t xml:space="preserve">      </w:t>
      </w:r>
      <w:r>
        <w:rPr>
          <w:rFonts w:hint="eastAsia" w:hAnsi="宋体" w:cs="宋体"/>
          <w:szCs w:val="24"/>
          <w:highlight w:val="none"/>
        </w:rPr>
        <w:t>万元，属于</w:t>
      </w:r>
      <w:r>
        <w:rPr>
          <w:rFonts w:hint="eastAsia" w:hAnsi="宋体" w:cs="宋体"/>
          <w:szCs w:val="24"/>
          <w:highlight w:val="none"/>
          <w:u w:val="single"/>
        </w:rPr>
        <w:t>（中型企业、小型企业、微型企业）</w:t>
      </w:r>
      <w:r>
        <w:rPr>
          <w:rFonts w:hint="eastAsia" w:hAnsi="宋体" w:cs="宋体"/>
          <w:szCs w:val="24"/>
          <w:highlight w:val="none"/>
        </w:rPr>
        <w:t>；</w:t>
      </w:r>
    </w:p>
    <w:p w14:paraId="78FACBF0">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2.</w:t>
      </w:r>
      <w:r>
        <w:rPr>
          <w:rFonts w:hint="eastAsia" w:hAnsi="宋体" w:cs="宋体"/>
          <w:szCs w:val="24"/>
          <w:highlight w:val="none"/>
          <w:u w:val="single"/>
        </w:rPr>
        <w:t>（标的名称）</w:t>
      </w:r>
      <w:r>
        <w:rPr>
          <w:rFonts w:hint="eastAsia" w:hAnsi="宋体" w:cs="宋体"/>
          <w:szCs w:val="24"/>
          <w:highlight w:val="none"/>
        </w:rPr>
        <w:t>，属于</w:t>
      </w:r>
      <w:r>
        <w:rPr>
          <w:rFonts w:hint="eastAsia" w:hAnsi="宋体" w:cs="宋体"/>
          <w:szCs w:val="24"/>
          <w:highlight w:val="none"/>
          <w:u w:val="single"/>
        </w:rPr>
        <w:t>（采购文件中明确的所属行业</w:t>
      </w:r>
      <w:r>
        <w:rPr>
          <w:rFonts w:hint="eastAsia" w:hAnsi="宋体" w:cs="宋体"/>
          <w:szCs w:val="24"/>
          <w:highlight w:val="none"/>
        </w:rPr>
        <w:t>）；承建（承接）企业为</w:t>
      </w:r>
      <w:r>
        <w:rPr>
          <w:rFonts w:hint="eastAsia" w:hAnsi="宋体" w:cs="宋体"/>
          <w:szCs w:val="24"/>
          <w:highlight w:val="none"/>
          <w:u w:val="single"/>
        </w:rPr>
        <w:t>（企业名称）</w:t>
      </w:r>
      <w:r>
        <w:rPr>
          <w:rFonts w:hint="eastAsia" w:hAnsi="宋体" w:cs="宋体"/>
          <w:szCs w:val="24"/>
          <w:highlight w:val="none"/>
        </w:rPr>
        <w:t>，从业人员</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人，营业收入为</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万元，资产总额为</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eastAsia="宋体" w:cs="宋体"/>
          <w:szCs w:val="24"/>
          <w:highlight w:val="none"/>
          <w:u w:val="single"/>
          <w:lang w:val="en-US" w:eastAsia="zh-CN"/>
        </w:rPr>
        <w:t xml:space="preserve">   </w:t>
      </w:r>
      <w:r>
        <w:rPr>
          <w:rFonts w:hint="eastAsia" w:hAnsi="宋体" w:cs="宋体"/>
          <w:szCs w:val="24"/>
          <w:highlight w:val="none"/>
        </w:rPr>
        <w:t>万元，属于</w:t>
      </w:r>
      <w:r>
        <w:rPr>
          <w:rFonts w:hint="eastAsia" w:hAnsi="宋体" w:cs="宋体"/>
          <w:szCs w:val="24"/>
          <w:highlight w:val="none"/>
          <w:u w:val="single"/>
        </w:rPr>
        <w:t>（中型企业、小型企业、微型企业）</w:t>
      </w:r>
      <w:r>
        <w:rPr>
          <w:rFonts w:hint="eastAsia" w:hAnsi="宋体" w:cs="宋体"/>
          <w:szCs w:val="24"/>
          <w:highlight w:val="none"/>
        </w:rPr>
        <w:t>；</w:t>
      </w:r>
    </w:p>
    <w:p w14:paraId="795E9895">
      <w:pPr>
        <w:tabs>
          <w:tab w:val="left" w:pos="1620"/>
          <w:tab w:val="left" w:pos="1800"/>
        </w:tabs>
        <w:spacing w:line="500" w:lineRule="exact"/>
        <w:rPr>
          <w:rFonts w:hint="eastAsia" w:hAnsi="宋体" w:cs="宋体"/>
          <w:szCs w:val="24"/>
          <w:highlight w:val="none"/>
        </w:rPr>
      </w:pPr>
      <w:r>
        <w:rPr>
          <w:rFonts w:hint="eastAsia" w:hAnsi="宋体" w:cs="宋体"/>
          <w:szCs w:val="24"/>
          <w:highlight w:val="none"/>
        </w:rPr>
        <w:t>……</w:t>
      </w:r>
    </w:p>
    <w:p w14:paraId="77CA0EAC">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以上企业，不属于大企业的分支机构，不存在控股股东为大企业的情形，也不存在与大企业的负责人为同一人的情形。</w:t>
      </w:r>
    </w:p>
    <w:p w14:paraId="7D4AD605">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本企业对上述声明内容的真实性负责。如有虚假，将依法承担相应责任。</w:t>
      </w:r>
    </w:p>
    <w:p w14:paraId="076505FA">
      <w:pPr>
        <w:tabs>
          <w:tab w:val="left" w:pos="1620"/>
          <w:tab w:val="left" w:pos="1800"/>
        </w:tabs>
        <w:spacing w:line="500" w:lineRule="exact"/>
        <w:rPr>
          <w:rFonts w:hint="eastAsia" w:hAnsi="宋体" w:cs="宋体"/>
          <w:szCs w:val="24"/>
          <w:highlight w:val="none"/>
        </w:rPr>
      </w:pPr>
    </w:p>
    <w:p w14:paraId="0C12F3FF">
      <w:pPr>
        <w:tabs>
          <w:tab w:val="left" w:pos="1620"/>
          <w:tab w:val="left" w:pos="1800"/>
        </w:tabs>
        <w:spacing w:line="500" w:lineRule="exact"/>
        <w:rPr>
          <w:rFonts w:hint="eastAsia" w:hAnsi="宋体" w:cs="宋体"/>
          <w:szCs w:val="24"/>
          <w:highlight w:val="none"/>
        </w:rPr>
      </w:pPr>
    </w:p>
    <w:p w14:paraId="61A9837F">
      <w:pPr>
        <w:tabs>
          <w:tab w:val="left" w:pos="1620"/>
          <w:tab w:val="left" w:pos="1800"/>
        </w:tabs>
        <w:spacing w:line="500" w:lineRule="exact"/>
        <w:ind w:firstLine="4800" w:firstLineChars="2000"/>
        <w:rPr>
          <w:rFonts w:hint="eastAsia" w:hAnsi="宋体" w:cs="宋体"/>
          <w:szCs w:val="24"/>
          <w:highlight w:val="none"/>
        </w:rPr>
      </w:pPr>
      <w:r>
        <w:rPr>
          <w:rFonts w:hint="eastAsia" w:hAnsi="宋体" w:cs="宋体"/>
          <w:szCs w:val="24"/>
          <w:highlight w:val="none"/>
        </w:rPr>
        <w:t>企业名称（盖章）：</w:t>
      </w:r>
    </w:p>
    <w:p w14:paraId="74A39FB3">
      <w:pPr>
        <w:tabs>
          <w:tab w:val="left" w:pos="1620"/>
          <w:tab w:val="left" w:pos="1800"/>
        </w:tabs>
        <w:spacing w:line="500" w:lineRule="exact"/>
        <w:ind w:firstLine="4800" w:firstLineChars="2000"/>
        <w:rPr>
          <w:rFonts w:hint="eastAsia" w:hAnsi="宋体" w:cs="宋体"/>
          <w:szCs w:val="24"/>
          <w:highlight w:val="none"/>
        </w:rPr>
      </w:pPr>
      <w:r>
        <w:rPr>
          <w:rFonts w:hint="eastAsia" w:hAnsi="宋体" w:cs="宋体"/>
          <w:szCs w:val="24"/>
          <w:highlight w:val="none"/>
        </w:rPr>
        <w:t>日期：</w:t>
      </w:r>
    </w:p>
    <w:bookmarkEnd w:id="89"/>
    <w:p w14:paraId="3DF2C3F6"/>
    <w:sectPr>
      <w:footerReference r:id="rId8" w:type="default"/>
      <w:pgSz w:w="11906" w:h="16838"/>
      <w:pgMar w:top="1304" w:right="1361" w:bottom="1304" w:left="136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阿里巴巴普惠体 R">
    <w:altName w:val="宋体"/>
    <w:panose1 w:val="00020600040101010101"/>
    <w:charset w:val="86"/>
    <w:family w:val="roman"/>
    <w:pitch w:val="default"/>
    <w:sig w:usb0="00000000" w:usb1="00000000" w:usb2="0000001E" w:usb3="00000000" w:csb0="0004009F" w:csb1="00000000"/>
  </w:font>
  <w:font w:name="AGYXIQ+Frutiger-Cn">
    <w:altName w:val="宋体"/>
    <w:panose1 w:val="00000000000000000000"/>
    <w:charset w:val="86"/>
    <w:family w:val="swiss"/>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MingLiU_HKSCS">
    <w:panose1 w:val="02020500000000000000"/>
    <w:charset w:val="88"/>
    <w:family w:val="roman"/>
    <w:pitch w:val="default"/>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AE1A4">
    <w:pPr>
      <w:pStyle w:val="11"/>
      <w:rPr>
        <w:rFonts w:hint="eastAsia" w:eastAsia="宋体"/>
        <w:lang w:eastAsia="zh-CN"/>
      </w:rPr>
    </w:pPr>
    <w:r>
      <w:rPr>
        <w:rFonts w:hint="eastAsia"/>
      </w:rPr>
      <w:t xml:space="preserve">                      </w: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A7D3C">
    <w:pPr>
      <w:pStyle w:val="11"/>
      <w:rPr>
        <w:rFonts w:hint="eastAsia" w:eastAsia="宋体"/>
        <w:lang w:eastAsia="zh-CN"/>
      </w:rPr>
    </w:pPr>
    <w:r>
      <w:rPr>
        <w:rFonts w:hint="eastAsia"/>
        <w:lang w:eastAsia="zh-CN"/>
      </w:rPr>
      <w:t>陕西至诚项目管理集团有限公司</w:t>
    </w:r>
    <w:r>
      <w:rPr>
        <w:rFonts w:hint="eastAsia"/>
      </w:rPr>
      <w:t xml:space="preserve">                         </w: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910F4">
    <w:pPr>
      <w:pStyle w:val="11"/>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DD403">
    <w:pPr>
      <w:pStyle w:val="11"/>
      <w:jc w:val="both"/>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7EEE52">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97EEE52">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FA9C4">
    <w:pPr>
      <w:spacing w:line="500" w:lineRule="exact"/>
      <w:ind w:left="1530" w:hanging="1530" w:hangingChars="850"/>
      <w:rPr>
        <w:rFonts w:hAnsi="宋体" w:cs="宋体"/>
        <w:szCs w:val="24"/>
      </w:rPr>
    </w:pPr>
    <w:r>
      <w:rPr>
        <w:rFonts w:hint="eastAsia" w:hAnsi="宋体"/>
        <w:bCs/>
        <w:sz w:val="18"/>
        <w:szCs w:val="18"/>
        <w:u w:val="single"/>
      </w:rPr>
      <w:t xml:space="preserve"> </w:t>
    </w:r>
    <w:r>
      <w:rPr>
        <w:rFonts w:ascii="微软雅黑" w:hAnsi="微软雅黑" w:eastAsia="微软雅黑" w:cs="微软雅黑"/>
        <w:i w:val="0"/>
        <w:iCs w:val="0"/>
        <w:caps w:val="0"/>
        <w:color w:val="333333"/>
        <w:spacing w:val="0"/>
        <w:sz w:val="21"/>
        <w:szCs w:val="21"/>
        <w:u w:val="single"/>
        <w:shd w:val="clear" w:fill="FFFFFF"/>
      </w:rPr>
      <w:t>商南县2025年大气污染防治能力提升技术服务项目</w:t>
    </w:r>
    <w:r>
      <w:rPr>
        <w:rFonts w:hint="eastAsia" w:hAnsi="宋体"/>
        <w:bCs/>
        <w:sz w:val="18"/>
        <w:szCs w:val="18"/>
        <w:u w:val="single"/>
      </w:rPr>
      <w:t xml:space="preserve">        </w:t>
    </w:r>
    <w:r>
      <w:rPr>
        <w:rFonts w:hint="eastAsia" w:hAnsi="宋体"/>
        <w:bCs/>
        <w:sz w:val="18"/>
        <w:szCs w:val="18"/>
        <w:u w:val="single"/>
        <w:lang w:val="en-US" w:eastAsia="zh-CN"/>
      </w:rPr>
      <w:t xml:space="preserve">                         </w:t>
    </w:r>
    <w:r>
      <w:rPr>
        <w:rFonts w:hint="eastAsia" w:hAnsi="宋体"/>
        <w:bCs/>
        <w:sz w:val="18"/>
        <w:szCs w:val="18"/>
        <w:u w:val="single"/>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8DA3A">
    <w:pPr>
      <w:pStyle w:val="12"/>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30F5E9"/>
    <w:multiLevelType w:val="singleLevel"/>
    <w:tmpl w:val="C430F5E9"/>
    <w:lvl w:ilvl="0" w:tentative="0">
      <w:start w:val="1"/>
      <w:numFmt w:val="decimal"/>
      <w:suff w:val="nothing"/>
      <w:lvlText w:val="%1、"/>
      <w:lvlJc w:val="left"/>
    </w:lvl>
  </w:abstractNum>
  <w:abstractNum w:abstractNumId="1">
    <w:nsid w:val="590049E8"/>
    <w:multiLevelType w:val="singleLevel"/>
    <w:tmpl w:val="590049E8"/>
    <w:lvl w:ilvl="0" w:tentative="0">
      <w:start w:val="30"/>
      <w:numFmt w:val="decimal"/>
      <w:suff w:val="nothing"/>
      <w:lvlText w:val="%1."/>
      <w:lvlJc w:val="left"/>
    </w:lvl>
  </w:abstractNum>
  <w:abstractNum w:abstractNumId="2">
    <w:nsid w:val="59B2460E"/>
    <w:multiLevelType w:val="singleLevel"/>
    <w:tmpl w:val="59B2460E"/>
    <w:lvl w:ilvl="0" w:tentative="0">
      <w:start w:val="2"/>
      <w:numFmt w:val="decimal"/>
      <w:suff w:val="nothing"/>
      <w:lvlText w:val="%1."/>
      <w:lvlJc w:val="left"/>
    </w:lvl>
  </w:abstractNum>
  <w:abstractNum w:abstractNumId="3">
    <w:nsid w:val="59CF0981"/>
    <w:multiLevelType w:val="singleLevel"/>
    <w:tmpl w:val="59CF0981"/>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lNzNhNDgxYzlmZTM3ODE0MGFlNDFkMmFiMWRmZDMifQ=="/>
  </w:docVars>
  <w:rsids>
    <w:rsidRoot w:val="79C3304D"/>
    <w:rsid w:val="00E43475"/>
    <w:rsid w:val="011D5CDE"/>
    <w:rsid w:val="01CC7C92"/>
    <w:rsid w:val="01F66ABD"/>
    <w:rsid w:val="0237617C"/>
    <w:rsid w:val="033C49A3"/>
    <w:rsid w:val="05C25634"/>
    <w:rsid w:val="07036991"/>
    <w:rsid w:val="07367CDE"/>
    <w:rsid w:val="07A86AAB"/>
    <w:rsid w:val="08807182"/>
    <w:rsid w:val="0AB85257"/>
    <w:rsid w:val="0EBE4E06"/>
    <w:rsid w:val="0F323AB7"/>
    <w:rsid w:val="10545A59"/>
    <w:rsid w:val="10B045AA"/>
    <w:rsid w:val="10F93ED3"/>
    <w:rsid w:val="127E3DE4"/>
    <w:rsid w:val="12C022CF"/>
    <w:rsid w:val="14011A1D"/>
    <w:rsid w:val="140432BB"/>
    <w:rsid w:val="16823248"/>
    <w:rsid w:val="169721C5"/>
    <w:rsid w:val="171D76E1"/>
    <w:rsid w:val="17393322"/>
    <w:rsid w:val="18F03E0E"/>
    <w:rsid w:val="1A134678"/>
    <w:rsid w:val="1A1E6D69"/>
    <w:rsid w:val="1AC15A62"/>
    <w:rsid w:val="1B617813"/>
    <w:rsid w:val="1FF356DA"/>
    <w:rsid w:val="213F5933"/>
    <w:rsid w:val="21C803E4"/>
    <w:rsid w:val="22077B64"/>
    <w:rsid w:val="23445706"/>
    <w:rsid w:val="25760785"/>
    <w:rsid w:val="25CB4696"/>
    <w:rsid w:val="261C6242"/>
    <w:rsid w:val="267F1F01"/>
    <w:rsid w:val="27962024"/>
    <w:rsid w:val="28005C30"/>
    <w:rsid w:val="28285372"/>
    <w:rsid w:val="28AD1A21"/>
    <w:rsid w:val="2973228F"/>
    <w:rsid w:val="2A1118C9"/>
    <w:rsid w:val="2A280AB9"/>
    <w:rsid w:val="2AC5334C"/>
    <w:rsid w:val="2B49700E"/>
    <w:rsid w:val="2C46226B"/>
    <w:rsid w:val="2C4B162F"/>
    <w:rsid w:val="2C941625"/>
    <w:rsid w:val="2CE51A84"/>
    <w:rsid w:val="2D327369"/>
    <w:rsid w:val="2D7B4196"/>
    <w:rsid w:val="30662EDC"/>
    <w:rsid w:val="30A6777C"/>
    <w:rsid w:val="30E1446E"/>
    <w:rsid w:val="312C033C"/>
    <w:rsid w:val="330F26D0"/>
    <w:rsid w:val="33F507CF"/>
    <w:rsid w:val="347F27BE"/>
    <w:rsid w:val="34AB40F2"/>
    <w:rsid w:val="34B87A7E"/>
    <w:rsid w:val="34F767F8"/>
    <w:rsid w:val="35740C40"/>
    <w:rsid w:val="35B91D00"/>
    <w:rsid w:val="36563827"/>
    <w:rsid w:val="373412E8"/>
    <w:rsid w:val="393D2C48"/>
    <w:rsid w:val="3ABC6887"/>
    <w:rsid w:val="3ACC4283"/>
    <w:rsid w:val="3B111C96"/>
    <w:rsid w:val="3B2F036E"/>
    <w:rsid w:val="3B4C7172"/>
    <w:rsid w:val="3B4E1CDB"/>
    <w:rsid w:val="3B4E3233"/>
    <w:rsid w:val="3B575571"/>
    <w:rsid w:val="3BA50630"/>
    <w:rsid w:val="3C3E2F5F"/>
    <w:rsid w:val="3CE358B4"/>
    <w:rsid w:val="3E0B50C2"/>
    <w:rsid w:val="3E29379B"/>
    <w:rsid w:val="3E6A66F5"/>
    <w:rsid w:val="3EF913BF"/>
    <w:rsid w:val="3F7B170F"/>
    <w:rsid w:val="40015512"/>
    <w:rsid w:val="4061546E"/>
    <w:rsid w:val="40BC08F6"/>
    <w:rsid w:val="41314E40"/>
    <w:rsid w:val="420958E7"/>
    <w:rsid w:val="4250605B"/>
    <w:rsid w:val="432B48D8"/>
    <w:rsid w:val="43EB387E"/>
    <w:rsid w:val="45240818"/>
    <w:rsid w:val="45880D21"/>
    <w:rsid w:val="46667414"/>
    <w:rsid w:val="47513B8F"/>
    <w:rsid w:val="49D105EC"/>
    <w:rsid w:val="4A897A9B"/>
    <w:rsid w:val="4B773D97"/>
    <w:rsid w:val="4BA74AAE"/>
    <w:rsid w:val="4C9B3AB5"/>
    <w:rsid w:val="4D355CB8"/>
    <w:rsid w:val="4D5B7CDE"/>
    <w:rsid w:val="4F6C34E7"/>
    <w:rsid w:val="514209A3"/>
    <w:rsid w:val="5269094B"/>
    <w:rsid w:val="5510701F"/>
    <w:rsid w:val="55114AA0"/>
    <w:rsid w:val="554E3DBB"/>
    <w:rsid w:val="564E5862"/>
    <w:rsid w:val="56BC4ADC"/>
    <w:rsid w:val="58C44394"/>
    <w:rsid w:val="58F307D5"/>
    <w:rsid w:val="5A0A227A"/>
    <w:rsid w:val="5AB70B64"/>
    <w:rsid w:val="5D3259F5"/>
    <w:rsid w:val="5E3E24F3"/>
    <w:rsid w:val="5F3C12CD"/>
    <w:rsid w:val="5FB75393"/>
    <w:rsid w:val="6039376E"/>
    <w:rsid w:val="60D13AF2"/>
    <w:rsid w:val="61483DB4"/>
    <w:rsid w:val="628031F9"/>
    <w:rsid w:val="62892270"/>
    <w:rsid w:val="635221A7"/>
    <w:rsid w:val="63B514A9"/>
    <w:rsid w:val="65177DE9"/>
    <w:rsid w:val="65B31E66"/>
    <w:rsid w:val="65E052B4"/>
    <w:rsid w:val="66491460"/>
    <w:rsid w:val="666A1995"/>
    <w:rsid w:val="674768BC"/>
    <w:rsid w:val="683F54F2"/>
    <w:rsid w:val="69904740"/>
    <w:rsid w:val="69CC03FD"/>
    <w:rsid w:val="6A0B4089"/>
    <w:rsid w:val="6A8770C0"/>
    <w:rsid w:val="6CB32CE3"/>
    <w:rsid w:val="6DD62748"/>
    <w:rsid w:val="6ECA36D3"/>
    <w:rsid w:val="6FF67B5D"/>
    <w:rsid w:val="6FFB1846"/>
    <w:rsid w:val="71935EFB"/>
    <w:rsid w:val="725400DF"/>
    <w:rsid w:val="72541E8D"/>
    <w:rsid w:val="7265409A"/>
    <w:rsid w:val="731627B9"/>
    <w:rsid w:val="74212243"/>
    <w:rsid w:val="748C4F59"/>
    <w:rsid w:val="7571063E"/>
    <w:rsid w:val="75846F2D"/>
    <w:rsid w:val="765D1540"/>
    <w:rsid w:val="76654669"/>
    <w:rsid w:val="77040EF1"/>
    <w:rsid w:val="77AE203F"/>
    <w:rsid w:val="7842045C"/>
    <w:rsid w:val="796B11C3"/>
    <w:rsid w:val="79C3304D"/>
    <w:rsid w:val="7C0C676A"/>
    <w:rsid w:val="7C460A98"/>
    <w:rsid w:val="7D6961D0"/>
    <w:rsid w:val="7DDD367E"/>
    <w:rsid w:val="7E6A7F71"/>
    <w:rsid w:val="7F2B7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link w:val="28"/>
    <w:qFormat/>
    <w:uiPriority w:val="0"/>
    <w:pPr>
      <w:keepNext/>
      <w:outlineLvl w:val="0"/>
    </w:pPr>
    <w:rPr>
      <w:rFonts w:ascii="仿宋_GB2312" w:hAnsi="宋体" w:eastAsia="仿宋_GB2312"/>
      <w:b/>
      <w:kern w:val="2"/>
      <w:sz w:val="32"/>
    </w:rPr>
  </w:style>
  <w:style w:type="paragraph" w:styleId="3">
    <w:name w:val="heading 2"/>
    <w:basedOn w:val="1"/>
    <w:next w:val="1"/>
    <w:qFormat/>
    <w:uiPriority w:val="9"/>
    <w:pPr>
      <w:keepNext/>
      <w:keepLines/>
      <w:widowControl/>
      <w:spacing w:before="260" w:after="260"/>
      <w:ind w:left="284"/>
      <w:jc w:val="left"/>
      <w:outlineLvl w:val="1"/>
    </w:pPr>
    <w:rPr>
      <w:rFonts w:ascii="Arial" w:hAnsi="Arial"/>
      <w:b/>
      <w:bCs/>
      <w:sz w:val="28"/>
      <w:szCs w:val="32"/>
    </w:rPr>
  </w:style>
  <w:style w:type="paragraph" w:styleId="4">
    <w:name w:val="heading 3"/>
    <w:basedOn w:val="1"/>
    <w:next w:val="1"/>
    <w:qFormat/>
    <w:uiPriority w:val="0"/>
    <w:pPr>
      <w:keepNext/>
      <w:spacing w:before="624" w:beforeLines="200" w:line="400" w:lineRule="exact"/>
      <w:jc w:val="center"/>
      <w:outlineLvl w:val="2"/>
    </w:pPr>
    <w:rPr>
      <w:rFonts w:ascii="Times New Roman"/>
      <w:b/>
      <w:bCs/>
      <w:kern w:val="2"/>
      <w:szCs w:val="24"/>
    </w:rPr>
  </w:style>
  <w:style w:type="paragraph" w:styleId="5">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spacing w:line="300" w:lineRule="auto"/>
      <w:ind w:firstLine="420" w:firstLineChars="200"/>
    </w:pPr>
    <w:rPr>
      <w:rFonts w:ascii="Times New Roman"/>
      <w:kern w:val="2"/>
      <w:sz w:val="21"/>
      <w:szCs w:val="24"/>
    </w:rPr>
  </w:style>
  <w:style w:type="paragraph" w:styleId="7">
    <w:name w:val="Body Text"/>
    <w:basedOn w:val="1"/>
    <w:qFormat/>
    <w:uiPriority w:val="0"/>
    <w:pPr>
      <w:spacing w:after="120"/>
    </w:pPr>
    <w:rPr>
      <w:rFonts w:ascii="Times New Roman"/>
      <w:kern w:val="2"/>
      <w:sz w:val="21"/>
    </w:rPr>
  </w:style>
  <w:style w:type="paragraph" w:styleId="8">
    <w:name w:val="Body Text Indent"/>
    <w:basedOn w:val="1"/>
    <w:qFormat/>
    <w:uiPriority w:val="0"/>
    <w:pPr>
      <w:ind w:firstLine="630"/>
    </w:pPr>
    <w:rPr>
      <w:rFonts w:asciiTheme="minorHAnsi" w:hAnsiTheme="minorHAnsi" w:eastAsiaTheme="minorEastAsia" w:cstheme="minorBidi"/>
      <w:kern w:val="2"/>
      <w:sz w:val="32"/>
      <w:szCs w:val="22"/>
    </w:rPr>
  </w:style>
  <w:style w:type="paragraph" w:styleId="9">
    <w:name w:val="Plain Text"/>
    <w:basedOn w:val="1"/>
    <w:qFormat/>
    <w:uiPriority w:val="0"/>
    <w:rPr>
      <w:rFonts w:hAnsi="Courier New"/>
      <w:kern w:val="2"/>
      <w:sz w:val="21"/>
    </w:rPr>
  </w:style>
  <w:style w:type="paragraph" w:styleId="10">
    <w:name w:val="Date"/>
    <w:basedOn w:val="1"/>
    <w:next w:val="1"/>
    <w:qFormat/>
    <w:uiPriority w:val="0"/>
    <w:rPr>
      <w:rFonts w:ascii="Times New Roman"/>
      <w:kern w:val="2"/>
      <w:sz w:val="28"/>
    </w:rPr>
  </w:style>
  <w:style w:type="paragraph" w:styleId="11">
    <w:name w:val="footer"/>
    <w:basedOn w:val="1"/>
    <w:qFormat/>
    <w:uiPriority w:val="99"/>
    <w:pPr>
      <w:tabs>
        <w:tab w:val="center" w:pos="4153"/>
        <w:tab w:val="right" w:pos="8306"/>
      </w:tabs>
      <w:snapToGrid w:val="0"/>
      <w:jc w:val="left"/>
    </w:pPr>
    <w:rPr>
      <w:rFonts w:ascii="Times New Roman"/>
      <w:kern w:val="2"/>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rFonts w:ascii="Times New Roman"/>
      <w:kern w:val="2"/>
      <w:sz w:val="18"/>
      <w:szCs w:val="18"/>
    </w:rPr>
  </w:style>
  <w:style w:type="paragraph" w:styleId="13">
    <w:name w:val="toc 1"/>
    <w:basedOn w:val="1"/>
    <w:next w:val="1"/>
    <w:unhideWhenUsed/>
    <w:qFormat/>
    <w:uiPriority w:val="39"/>
  </w:style>
  <w:style w:type="paragraph" w:styleId="14">
    <w:name w:val="footnote text"/>
    <w:basedOn w:val="1"/>
    <w:unhideWhenUsed/>
    <w:qFormat/>
    <w:uiPriority w:val="99"/>
    <w:pPr>
      <w:snapToGrid w:val="0"/>
      <w:spacing w:line="360" w:lineRule="auto"/>
      <w:ind w:firstLine="200" w:firstLineChars="200"/>
      <w:jc w:val="left"/>
    </w:pPr>
    <w:rPr>
      <w:kern w:val="0"/>
      <w:sz w:val="18"/>
      <w:szCs w:val="18"/>
    </w:rPr>
  </w:style>
  <w:style w:type="paragraph" w:styleId="15">
    <w:name w:val="Body Text Indent 3"/>
    <w:basedOn w:val="1"/>
    <w:qFormat/>
    <w:uiPriority w:val="0"/>
    <w:pPr>
      <w:spacing w:line="410" w:lineRule="exact"/>
      <w:ind w:left="619" w:leftChars="295" w:firstLine="390" w:firstLineChars="179"/>
    </w:pPr>
    <w:rPr>
      <w:rFonts w:hAnsi="宋体"/>
      <w:spacing w:val="4"/>
      <w:kern w:val="2"/>
      <w:sz w:val="21"/>
    </w:rPr>
  </w:style>
  <w:style w:type="paragraph" w:styleId="16">
    <w:name w:val="toc 2"/>
    <w:basedOn w:val="1"/>
    <w:next w:val="1"/>
    <w:unhideWhenUsed/>
    <w:qFormat/>
    <w:uiPriority w:val="39"/>
    <w:pPr>
      <w:ind w:left="420" w:leftChars="200"/>
    </w:pPr>
  </w:style>
  <w:style w:type="paragraph" w:styleId="17">
    <w:name w:val="Normal (Web)"/>
    <w:basedOn w:val="1"/>
    <w:qFormat/>
    <w:uiPriority w:val="0"/>
    <w:pPr>
      <w:widowControl/>
      <w:spacing w:before="100" w:beforeAutospacing="1" w:after="100" w:afterAutospacing="1"/>
      <w:jc w:val="left"/>
    </w:pPr>
    <w:rPr>
      <w:rFonts w:hAnsi="宋体"/>
      <w:szCs w:val="24"/>
    </w:rPr>
  </w:style>
  <w:style w:type="paragraph" w:styleId="18">
    <w:name w:val="Body Text First Indent"/>
    <w:basedOn w:val="7"/>
    <w:next w:val="1"/>
    <w:qFormat/>
    <w:uiPriority w:val="0"/>
    <w:pPr>
      <w:spacing w:after="120"/>
      <w:ind w:firstLine="420" w:firstLineChars="100"/>
    </w:pPr>
    <w:rPr>
      <w:rFonts w:ascii="Times New Roman" w:hAnsi="Times New Roman" w:cs="Times New Roman"/>
      <w:sz w:val="21"/>
      <w:szCs w:val="20"/>
      <w:lang w:val="en-US" w:bidi="ar-SA"/>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paragraph" w:customStyle="1" w:styleId="23">
    <w:name w:val="正文1"/>
    <w:autoRedefine/>
    <w:qFormat/>
    <w:uiPriority w:val="0"/>
    <w:pPr>
      <w:widowControl w:val="0"/>
      <w:adjustRightInd w:val="0"/>
      <w:spacing w:line="315" w:lineRule="atLeast"/>
      <w:textAlignment w:val="baseline"/>
    </w:pPr>
    <w:rPr>
      <w:rFonts w:ascii="宋体" w:hAnsi="Calibri" w:eastAsia="宋体" w:cs="Times New Roman"/>
      <w:color w:val="FF0000"/>
      <w:sz w:val="24"/>
      <w:lang w:val="en-US" w:eastAsia="zh-CN" w:bidi="ar-SA"/>
    </w:rPr>
  </w:style>
  <w:style w:type="paragraph" w:customStyle="1" w:styleId="24">
    <w:name w:val="样式 10 磅"/>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5">
    <w:name w:val="列表段落1"/>
    <w:basedOn w:val="1"/>
    <w:qFormat/>
    <w:uiPriority w:val="34"/>
    <w:pPr>
      <w:ind w:firstLine="420" w:firstLineChars="200"/>
    </w:pPr>
  </w:style>
  <w:style w:type="paragraph" w:customStyle="1" w:styleId="26">
    <w:name w:val="表格CXH"/>
    <w:basedOn w:val="1"/>
    <w:qFormat/>
    <w:uiPriority w:val="0"/>
    <w:pPr>
      <w:snapToGrid w:val="0"/>
      <w:spacing w:after="0" w:afterLines="0" w:line="276" w:lineRule="auto"/>
      <w:jc w:val="both"/>
    </w:pPr>
    <w:rPr>
      <w:rFonts w:ascii="等线" w:hAnsi="等线" w:eastAsia="阿里巴巴普惠体 R"/>
      <w:spacing w:val="0"/>
      <w:kern w:val="2"/>
      <w:sz w:val="24"/>
      <w:szCs w:val="24"/>
    </w:rPr>
  </w:style>
  <w:style w:type="paragraph" w:styleId="27">
    <w:name w:val="List Paragraph"/>
    <w:basedOn w:val="1"/>
    <w:qFormat/>
    <w:uiPriority w:val="1"/>
    <w:pPr>
      <w:ind w:left="205" w:right="169" w:firstLine="655"/>
    </w:pPr>
    <w:rPr>
      <w:rFonts w:ascii="仿宋" w:hAnsi="仿宋" w:eastAsia="仿宋" w:cs="仿宋"/>
      <w:u w:val="single" w:color="000000"/>
      <w:lang w:val="zh-CN" w:eastAsia="zh-CN" w:bidi="zh-CN"/>
    </w:rPr>
  </w:style>
  <w:style w:type="character" w:customStyle="1" w:styleId="28">
    <w:name w:val="标题 1 字符"/>
    <w:link w:val="2"/>
    <w:qFormat/>
    <w:uiPriority w:val="0"/>
    <w:rPr>
      <w:rFonts w:ascii="仿宋_GB2312" w:hAnsi="宋体" w:eastAsia="仿宋_GB2312"/>
      <w:b/>
      <w:kern w:val="2"/>
      <w:sz w:val="32"/>
    </w:rPr>
  </w:style>
  <w:style w:type="paragraph" w:customStyle="1" w:styleId="29">
    <w:name w:val="列出段落11"/>
    <w:basedOn w:val="1"/>
    <w:qFormat/>
    <w:uiPriority w:val="34"/>
    <w:pPr>
      <w:ind w:firstLine="420" w:firstLineChars="200"/>
    </w:pPr>
    <w:rPr>
      <w:rFonts w:ascii="Calibri" w:hAnsi="Calibri"/>
      <w:szCs w:val="22"/>
    </w:rPr>
  </w:style>
  <w:style w:type="paragraph" w:customStyle="1" w:styleId="30">
    <w:name w:val="Default"/>
    <w:qFormat/>
    <w:uiPriority w:val="0"/>
    <w:pPr>
      <w:widowControl w:val="0"/>
      <w:autoSpaceDE w:val="0"/>
      <w:autoSpaceDN w:val="0"/>
      <w:adjustRightInd w:val="0"/>
    </w:pPr>
    <w:rPr>
      <w:rFonts w:ascii="AGYXIQ+Frutiger-Cn" w:hAnsi="Times New Roman" w:eastAsia="AGYXIQ+Frutiger-Cn" w:cs="AGYXIQ+Frutiger-Cn"/>
      <w:color w:val="000000"/>
      <w:kern w:val="0"/>
      <w:sz w:val="24"/>
      <w:szCs w:val="24"/>
      <w:lang w:val="en-US" w:eastAsia="zh-CN" w:bidi="ar-SA"/>
    </w:rPr>
  </w:style>
  <w:style w:type="paragraph" w:customStyle="1" w:styleId="31">
    <w:name w:val="正文缩进1"/>
    <w:basedOn w:val="1"/>
    <w:qFormat/>
    <w:uiPriority w:val="0"/>
    <w:pPr>
      <w:ind w:firstLine="420" w:firstLineChars="200"/>
    </w:pPr>
    <w:rPr>
      <w:rFonts w:ascii="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10045</Words>
  <Characters>10963</Characters>
  <Lines>0</Lines>
  <Paragraphs>0</Paragraphs>
  <TotalTime>4</TotalTime>
  <ScaleCrop>false</ScaleCrop>
  <LinksUpToDate>false</LinksUpToDate>
  <CharactersWithSpaces>11106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2024-09-05T00:31:00Z</dcterms:created>
  <dc:creator>至诚商洛分公司</dc:creator>
  <cp:lastModifiedBy>东东包</cp:lastModifiedBy>
  <cp:lastPrinted>2025-03-17T00:17:00Z</cp:lastPrinted>
  <dcterms:modified xsi:type="dcterms:W3CDTF">2025-06-23T03:15:16Z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58AC9E944D1D4B7BAD7B1CFF1EA3A5B7_13</vt:lpwstr>
  </property>
  <property fmtid="{D5CDD505-2E9C-101B-9397-08002B2CF9AE}" pid="4" name="KSOTemplateDocerSaveRecord">
    <vt:lpwstr>eyJoZGlkIjoiYzhkOTQ1OWE4Mzk4YWQ1ZjA0OWM0YmYzYTZkYTVjOTciLCJ1c2VySWQiOiIzNTQ0MDkwMjgifQ==</vt:lpwstr>
  </property>
</Properties>
</file>