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666C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采购需求</w:t>
      </w:r>
    </w:p>
    <w:bookmarkEnd w:id="0"/>
    <w:p w14:paraId="5F21C53A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适应省委、省政府机构改革的要求，项目建设必须紧密贴合省科技项目管理的实际工作，通过对陕西省科技业务综合服务信息系统适应性改造，充分利用信息化手段，以互联网为载体，采取“统一受理、分类管理、集中评审、智能匹配、实时跟踪、全程监控、风险预警、数据可视化”的管理模式。</w:t>
      </w:r>
    </w:p>
    <w:p w14:paraId="7A409843">
      <w:pPr>
        <w:ind w:firstLine="560" w:firstLineChars="200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详见招标文件及公告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2025-02-28T10:30:25Z</dcterms:created>
  <dc:creator>张</dc:creator>
  <cp:lastModifiedBy>饣耳</cp:lastModifiedBy>
  <dcterms:modified xsi:type="dcterms:W3CDTF">2025-02-28T10:31:26Z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05585744F63A4E2EB96A20995F65C13B_13</vt:lpwstr>
  </property>
</Properties>
</file>