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4FA27">
      <w:pPr>
        <w:ind w:right="-99" w:rightChars="-47"/>
        <w:rPr>
          <w:rFonts w:hint="eastAsia" w:ascii="仿宋" w:hAnsi="仿宋" w:eastAsia="仿宋" w:cs="仿宋"/>
          <w:b/>
          <w:color w:val="auto"/>
          <w:sz w:val="28"/>
          <w:szCs w:val="28"/>
          <w:highlight w:val="none"/>
        </w:rPr>
      </w:pPr>
      <w:bookmarkStart w:id="0" w:name="_Toc183682338"/>
      <w:bookmarkStart w:id="1" w:name="_Toc217446030"/>
    </w:p>
    <w:p w14:paraId="1AC6B834">
      <w:pPr>
        <w:ind w:right="-99" w:rightChars="-47" w:firstLine="2530" w:firstLineChars="900"/>
        <w:jc w:val="right"/>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val="en-US" w:eastAsia="zh-CN"/>
        </w:rPr>
        <w:t>ZCBN-勉县-2025-00009</w:t>
      </w:r>
    </w:p>
    <w:p w14:paraId="0768ACBE">
      <w:pPr>
        <w:tabs>
          <w:tab w:val="left" w:pos="7080"/>
        </w:tabs>
        <w:spacing w:line="580" w:lineRule="exact"/>
        <w:ind w:right="-99" w:rightChars="-47"/>
        <w:rPr>
          <w:rFonts w:hint="eastAsia" w:ascii="仿宋" w:hAnsi="仿宋" w:eastAsia="仿宋" w:cs="仿宋"/>
          <w:bCs/>
          <w:color w:val="auto"/>
          <w:spacing w:val="20"/>
          <w:kern w:val="0"/>
          <w:sz w:val="32"/>
          <w:szCs w:val="32"/>
          <w:highlight w:val="none"/>
        </w:rPr>
      </w:pPr>
    </w:p>
    <w:p w14:paraId="7804948B">
      <w:pPr>
        <w:spacing w:line="800" w:lineRule="exact"/>
        <w:ind w:right="-99" w:rightChars="-47"/>
        <w:jc w:val="both"/>
        <w:rPr>
          <w:rFonts w:hint="eastAsia" w:ascii="仿宋" w:hAnsi="仿宋" w:eastAsia="仿宋" w:cs="仿宋"/>
          <w:b/>
          <w:bCs/>
          <w:color w:val="auto"/>
          <w:sz w:val="44"/>
          <w:szCs w:val="44"/>
          <w:highlight w:val="none"/>
          <w:lang w:val="en-US" w:eastAsia="zh-CN"/>
        </w:rPr>
      </w:pPr>
    </w:p>
    <w:p w14:paraId="4FE091CC">
      <w:pPr>
        <w:spacing w:line="800" w:lineRule="exact"/>
        <w:ind w:right="-99" w:rightChars="-47"/>
        <w:jc w:val="center"/>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勉县森林草原湿地荒漠化普查工作</w:t>
      </w:r>
    </w:p>
    <w:p w14:paraId="3AAD7091">
      <w:pPr>
        <w:pStyle w:val="13"/>
        <w:jc w:val="both"/>
        <w:rPr>
          <w:rFonts w:hint="eastAsia" w:ascii="仿宋" w:hAnsi="仿宋" w:eastAsia="仿宋" w:cs="仿宋"/>
          <w:lang w:val="en-US" w:eastAsia="zh-CN"/>
        </w:rPr>
      </w:pPr>
    </w:p>
    <w:p w14:paraId="6EBDCAC5">
      <w:pPr>
        <w:pStyle w:val="13"/>
        <w:rPr>
          <w:rFonts w:hint="eastAsia" w:ascii="仿宋" w:hAnsi="仿宋" w:eastAsia="仿宋" w:cs="仿宋"/>
          <w:b/>
          <w:bCs/>
          <w:color w:val="auto"/>
          <w:sz w:val="44"/>
          <w:szCs w:val="44"/>
          <w:highlight w:val="none"/>
          <w:lang w:val="en-US" w:eastAsia="zh-CN"/>
        </w:rPr>
      </w:pPr>
    </w:p>
    <w:p w14:paraId="73C9765F">
      <w:pPr>
        <w:rPr>
          <w:rFonts w:hint="eastAsia" w:ascii="仿宋" w:hAnsi="仿宋" w:eastAsia="仿宋" w:cs="仿宋"/>
          <w:lang w:val="en-US" w:eastAsia="zh-CN"/>
        </w:rPr>
      </w:pPr>
    </w:p>
    <w:p w14:paraId="6F40BFD9">
      <w:pPr>
        <w:pStyle w:val="29"/>
        <w:rPr>
          <w:rFonts w:hint="eastAsia" w:ascii="仿宋" w:hAnsi="仿宋" w:eastAsia="仿宋" w:cs="仿宋"/>
          <w:lang w:val="en-US" w:eastAsia="zh-CN"/>
        </w:rPr>
      </w:pPr>
    </w:p>
    <w:p w14:paraId="185119A7">
      <w:pPr>
        <w:spacing w:line="800" w:lineRule="exact"/>
        <w:ind w:right="-99" w:rightChars="-47"/>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72"/>
          <w:szCs w:val="72"/>
          <w:highlight w:val="none"/>
        </w:rPr>
        <w:t>竞争性磋商文件</w:t>
      </w:r>
      <w:r>
        <w:rPr>
          <w:rFonts w:hint="eastAsia" w:ascii="仿宋" w:hAnsi="仿宋" w:eastAsia="仿宋" w:cs="仿宋"/>
          <w:b/>
          <w:bCs/>
          <w:color w:val="auto"/>
          <w:sz w:val="52"/>
          <w:szCs w:val="52"/>
          <w:highlight w:val="none"/>
        </w:rPr>
        <w:t xml:space="preserve"> </w:t>
      </w:r>
    </w:p>
    <w:p w14:paraId="7145BC25">
      <w:pPr>
        <w:ind w:right="-99" w:rightChars="-47"/>
        <w:jc w:val="center"/>
        <w:rPr>
          <w:rFonts w:hint="eastAsia" w:ascii="仿宋" w:hAnsi="仿宋" w:eastAsia="仿宋" w:cs="仿宋"/>
          <w:color w:val="auto"/>
          <w:sz w:val="22"/>
          <w:szCs w:val="22"/>
          <w:highlight w:val="none"/>
        </w:rPr>
      </w:pPr>
    </w:p>
    <w:p w14:paraId="39F52E75">
      <w:pPr>
        <w:pStyle w:val="18"/>
        <w:rPr>
          <w:rFonts w:hint="eastAsia" w:ascii="仿宋" w:hAnsi="仿宋" w:eastAsia="仿宋" w:cs="仿宋"/>
        </w:rPr>
      </w:pPr>
    </w:p>
    <w:p w14:paraId="11B54405">
      <w:pPr>
        <w:pStyle w:val="18"/>
        <w:rPr>
          <w:rFonts w:hint="eastAsia" w:ascii="仿宋" w:hAnsi="仿宋" w:eastAsia="仿宋" w:cs="仿宋"/>
        </w:rPr>
      </w:pPr>
    </w:p>
    <w:p w14:paraId="079D2AA0">
      <w:pPr>
        <w:ind w:right="-99" w:rightChars="-47"/>
        <w:jc w:val="center"/>
        <w:rPr>
          <w:rFonts w:hint="eastAsia" w:ascii="仿宋" w:hAnsi="仿宋" w:eastAsia="仿宋" w:cs="仿宋"/>
          <w:color w:val="auto"/>
          <w:sz w:val="18"/>
          <w:szCs w:val="18"/>
          <w:highlight w:val="none"/>
        </w:rPr>
      </w:pPr>
    </w:p>
    <w:p w14:paraId="4D04563B">
      <w:pPr>
        <w:ind w:right="-99" w:rightChars="-47"/>
        <w:rPr>
          <w:rFonts w:hint="eastAsia" w:ascii="仿宋" w:hAnsi="仿宋" w:eastAsia="仿宋" w:cs="仿宋"/>
          <w:color w:val="auto"/>
          <w:sz w:val="18"/>
          <w:szCs w:val="18"/>
          <w:highlight w:val="none"/>
        </w:rPr>
      </w:pPr>
    </w:p>
    <w:p w14:paraId="7F7A55B5">
      <w:pPr>
        <w:ind w:right="-99" w:rightChars="-47"/>
        <w:rPr>
          <w:rFonts w:hint="eastAsia" w:ascii="仿宋" w:hAnsi="仿宋" w:eastAsia="仿宋" w:cs="仿宋"/>
          <w:color w:val="auto"/>
          <w:sz w:val="18"/>
          <w:szCs w:val="18"/>
          <w:highlight w:val="none"/>
        </w:rPr>
      </w:pPr>
    </w:p>
    <w:p w14:paraId="23326D84">
      <w:pPr>
        <w:pStyle w:val="2"/>
        <w:rPr>
          <w:rFonts w:hint="eastAsia" w:ascii="仿宋" w:hAnsi="仿宋" w:eastAsia="仿宋" w:cs="仿宋"/>
          <w:color w:val="auto"/>
          <w:sz w:val="18"/>
          <w:szCs w:val="18"/>
          <w:highlight w:val="none"/>
          <w:lang w:eastAsia="zh-CN"/>
        </w:rPr>
      </w:pPr>
    </w:p>
    <w:p w14:paraId="3C280A01">
      <w:pPr>
        <w:rPr>
          <w:rFonts w:hint="eastAsia" w:ascii="仿宋" w:hAnsi="仿宋" w:eastAsia="仿宋" w:cs="仿宋"/>
          <w:lang w:eastAsia="zh-CN"/>
        </w:rPr>
      </w:pPr>
    </w:p>
    <w:p w14:paraId="24D48A29">
      <w:pPr>
        <w:ind w:right="-99" w:rightChars="-47"/>
        <w:rPr>
          <w:rFonts w:hint="eastAsia" w:ascii="仿宋" w:hAnsi="仿宋" w:eastAsia="仿宋" w:cs="仿宋"/>
          <w:color w:val="auto"/>
          <w:sz w:val="18"/>
          <w:szCs w:val="18"/>
          <w:highlight w:val="none"/>
        </w:rPr>
      </w:pPr>
    </w:p>
    <w:p w14:paraId="17283EFA">
      <w:pPr>
        <w:ind w:right="-99" w:rightChars="-47"/>
        <w:rPr>
          <w:rFonts w:hint="eastAsia" w:ascii="仿宋" w:hAnsi="仿宋" w:eastAsia="仿宋" w:cs="仿宋"/>
          <w:color w:val="auto"/>
          <w:sz w:val="18"/>
          <w:szCs w:val="18"/>
          <w:highlight w:val="none"/>
        </w:rPr>
      </w:pPr>
    </w:p>
    <w:p w14:paraId="014A5D83">
      <w:pPr>
        <w:ind w:right="-99" w:rightChars="-47"/>
        <w:rPr>
          <w:rFonts w:hint="eastAsia" w:ascii="仿宋" w:hAnsi="仿宋" w:eastAsia="仿宋" w:cs="仿宋"/>
          <w:color w:val="auto"/>
          <w:sz w:val="18"/>
          <w:szCs w:val="18"/>
          <w:highlight w:val="none"/>
        </w:rPr>
      </w:pPr>
    </w:p>
    <w:p w14:paraId="2DE0E5C3">
      <w:pPr>
        <w:ind w:right="-99" w:rightChars="-47"/>
        <w:rPr>
          <w:rFonts w:hint="eastAsia" w:ascii="仿宋" w:hAnsi="仿宋" w:eastAsia="仿宋" w:cs="仿宋"/>
          <w:color w:val="auto"/>
          <w:sz w:val="18"/>
          <w:szCs w:val="18"/>
          <w:highlight w:val="none"/>
        </w:rPr>
      </w:pPr>
    </w:p>
    <w:p w14:paraId="2D202E40">
      <w:pPr>
        <w:ind w:right="-99" w:rightChars="-47"/>
        <w:rPr>
          <w:rFonts w:hint="eastAsia" w:ascii="仿宋" w:hAnsi="仿宋" w:eastAsia="仿宋" w:cs="仿宋"/>
          <w:color w:val="auto"/>
          <w:sz w:val="18"/>
          <w:szCs w:val="18"/>
          <w:highlight w:val="none"/>
        </w:rPr>
      </w:pPr>
    </w:p>
    <w:p w14:paraId="0B64EA8B">
      <w:pPr>
        <w:ind w:right="-99" w:rightChars="-47"/>
        <w:rPr>
          <w:rFonts w:hint="eastAsia" w:ascii="仿宋" w:hAnsi="仿宋" w:eastAsia="仿宋" w:cs="仿宋"/>
          <w:b/>
          <w:color w:val="auto"/>
          <w:sz w:val="28"/>
          <w:szCs w:val="28"/>
          <w:highlight w:val="none"/>
          <w:lang w:eastAsia="zh-CN"/>
        </w:rPr>
      </w:pPr>
    </w:p>
    <w:p w14:paraId="53D441EA">
      <w:pPr>
        <w:pStyle w:val="18"/>
        <w:rPr>
          <w:rFonts w:hint="eastAsia" w:ascii="仿宋" w:hAnsi="仿宋" w:eastAsia="仿宋" w:cs="仿宋"/>
          <w:b/>
          <w:color w:val="auto"/>
          <w:sz w:val="28"/>
          <w:szCs w:val="28"/>
          <w:highlight w:val="none"/>
          <w:lang w:eastAsia="zh-CN"/>
        </w:rPr>
      </w:pPr>
    </w:p>
    <w:p w14:paraId="028C7175">
      <w:pPr>
        <w:rPr>
          <w:rFonts w:hint="eastAsia" w:ascii="仿宋" w:hAnsi="仿宋" w:eastAsia="仿宋" w:cs="仿宋"/>
          <w:lang w:eastAsia="zh-CN"/>
        </w:rPr>
      </w:pPr>
    </w:p>
    <w:p w14:paraId="2F5AB772">
      <w:pPr>
        <w:ind w:right="-99" w:rightChars="-47"/>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采购人：</w:t>
      </w:r>
      <w:r>
        <w:rPr>
          <w:rFonts w:hint="eastAsia" w:ascii="仿宋" w:hAnsi="仿宋" w:eastAsia="仿宋" w:cs="仿宋"/>
          <w:b/>
          <w:color w:val="auto"/>
          <w:sz w:val="28"/>
          <w:szCs w:val="28"/>
          <w:highlight w:val="none"/>
          <w:lang w:val="en-US" w:eastAsia="zh-CN"/>
        </w:rPr>
        <w:t>勉县林业局</w:t>
      </w:r>
    </w:p>
    <w:p w14:paraId="7DAF1362">
      <w:pPr>
        <w:pStyle w:val="18"/>
        <w:rPr>
          <w:rFonts w:hint="eastAsia" w:ascii="仿宋" w:hAnsi="仿宋" w:eastAsia="仿宋" w:cs="仿宋"/>
          <w:lang w:eastAsia="zh-CN"/>
        </w:rPr>
      </w:pPr>
    </w:p>
    <w:p w14:paraId="76FFE180">
      <w:pPr>
        <w:ind w:right="-99" w:rightChars="-47"/>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采购代理机构</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陕西佳鸿项目管理咨询有限公司</w:t>
      </w:r>
    </w:p>
    <w:p w14:paraId="5A2E0400">
      <w:pPr>
        <w:ind w:right="-99" w:rightChars="-47"/>
        <w:rPr>
          <w:rFonts w:hint="eastAsia" w:ascii="仿宋" w:hAnsi="仿宋" w:eastAsia="仿宋" w:cs="仿宋"/>
          <w:b/>
          <w:color w:val="auto"/>
          <w:sz w:val="28"/>
          <w:szCs w:val="28"/>
          <w:highlight w:val="none"/>
        </w:rPr>
      </w:pPr>
    </w:p>
    <w:p w14:paraId="25FAC8CE">
      <w:pPr>
        <w:jc w:val="center"/>
        <w:rPr>
          <w:rFonts w:hint="eastAsia" w:ascii="仿宋" w:hAnsi="仿宋" w:eastAsia="仿宋" w:cs="仿宋"/>
          <w:b/>
          <w:bCs/>
          <w:color w:val="auto"/>
          <w:sz w:val="28"/>
          <w:szCs w:val="28"/>
          <w:highlight w:val="none"/>
          <w:lang w:eastAsia="zh-CN"/>
        </w:rPr>
      </w:pPr>
    </w:p>
    <w:p w14:paraId="183A8295">
      <w:pPr>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二〇二</w:t>
      </w:r>
      <w:r>
        <w:rPr>
          <w:rFonts w:hint="eastAsia" w:ascii="仿宋" w:hAnsi="仿宋" w:eastAsia="仿宋" w:cs="仿宋"/>
          <w:b/>
          <w:bCs/>
          <w:color w:val="auto"/>
          <w:sz w:val="28"/>
          <w:szCs w:val="28"/>
          <w:highlight w:val="none"/>
          <w:lang w:val="en-US" w:eastAsia="zh-CN"/>
        </w:rPr>
        <w:t>五</w:t>
      </w:r>
      <w:r>
        <w:rPr>
          <w:rFonts w:hint="eastAsia" w:ascii="仿宋" w:hAnsi="仿宋" w:eastAsia="仿宋" w:cs="仿宋"/>
          <w:b/>
          <w:bCs/>
          <w:color w:val="auto"/>
          <w:sz w:val="28"/>
          <w:szCs w:val="28"/>
          <w:highlight w:val="none"/>
          <w:lang w:eastAsia="zh-CN"/>
        </w:rPr>
        <w:t>年</w:t>
      </w:r>
      <w:r>
        <w:rPr>
          <w:rFonts w:hint="eastAsia" w:ascii="仿宋" w:hAnsi="仿宋" w:eastAsia="仿宋" w:cs="仿宋"/>
          <w:b/>
          <w:bCs/>
          <w:color w:val="auto"/>
          <w:sz w:val="28"/>
          <w:szCs w:val="28"/>
          <w:highlight w:val="none"/>
          <w:lang w:val="en-US" w:eastAsia="zh-CN"/>
        </w:rPr>
        <w:t>二</w:t>
      </w:r>
      <w:r>
        <w:rPr>
          <w:rFonts w:hint="eastAsia" w:ascii="仿宋" w:hAnsi="仿宋" w:eastAsia="仿宋" w:cs="仿宋"/>
          <w:b/>
          <w:bCs/>
          <w:color w:val="auto"/>
          <w:sz w:val="28"/>
          <w:szCs w:val="28"/>
          <w:highlight w:val="none"/>
          <w:lang w:eastAsia="zh-CN"/>
        </w:rPr>
        <w:t>月</w:t>
      </w:r>
    </w:p>
    <w:p w14:paraId="2AA58E9F">
      <w:pPr>
        <w:jc w:val="center"/>
        <w:rPr>
          <w:rFonts w:hint="eastAsia" w:ascii="仿宋" w:hAnsi="仿宋" w:eastAsia="仿宋" w:cs="仿宋"/>
          <w:b/>
          <w:bCs/>
          <w:color w:val="auto"/>
          <w:sz w:val="28"/>
          <w:szCs w:val="28"/>
          <w:highlight w:val="none"/>
          <w:lang w:eastAsia="zh-CN"/>
        </w:rPr>
        <w:sectPr>
          <w:headerReference r:id="rId3" w:type="default"/>
          <w:footerReference r:id="rId4" w:type="default"/>
          <w:pgSz w:w="11907" w:h="16840"/>
          <w:pgMar w:top="1440" w:right="1803" w:bottom="1440" w:left="1803" w:header="851" w:footer="992" w:gutter="0"/>
          <w:pgNumType w:fmt="decimal" w:start="1"/>
          <w:cols w:space="720" w:num="1"/>
        </w:sectPr>
      </w:pPr>
    </w:p>
    <w:p w14:paraId="0B90E3E4">
      <w:pPr>
        <w:pStyle w:val="29"/>
        <w:rPr>
          <w:rFonts w:hint="eastAsia" w:ascii="仿宋" w:hAnsi="仿宋" w:eastAsia="仿宋" w:cs="仿宋"/>
          <w:lang w:eastAsia="zh-CN"/>
        </w:rPr>
      </w:pPr>
    </w:p>
    <w:p w14:paraId="32516C57">
      <w:pPr>
        <w:jc w:val="center"/>
        <w:rPr>
          <w:rFonts w:hint="eastAsia" w:ascii="仿宋" w:hAnsi="仿宋" w:eastAsia="仿宋" w:cs="仿宋"/>
          <w:bCs/>
          <w:color w:val="auto"/>
          <w:sz w:val="36"/>
          <w:highlight w:val="none"/>
        </w:rPr>
      </w:pPr>
      <w:r>
        <w:rPr>
          <w:rFonts w:hint="eastAsia" w:ascii="仿宋" w:hAnsi="仿宋" w:eastAsia="仿宋" w:cs="仿宋"/>
          <w:bCs/>
          <w:color w:val="auto"/>
          <w:sz w:val="36"/>
          <w:highlight w:val="none"/>
        </w:rPr>
        <w:t>目录</w:t>
      </w:r>
    </w:p>
    <w:p w14:paraId="62D8F94D">
      <w:pPr>
        <w:jc w:val="center"/>
        <w:rPr>
          <w:rFonts w:hint="eastAsia" w:ascii="仿宋" w:hAnsi="仿宋" w:eastAsia="仿宋" w:cs="仿宋"/>
          <w:bCs/>
          <w:color w:val="auto"/>
          <w:sz w:val="36"/>
          <w:highlight w:val="none"/>
        </w:rPr>
      </w:pPr>
    </w:p>
    <w:bookmarkEnd w:id="0"/>
    <w:bookmarkEnd w:id="1"/>
    <w:p w14:paraId="1D908AC2">
      <w:pPr>
        <w:pStyle w:val="31"/>
        <w:tabs>
          <w:tab w:val="right" w:leader="dot" w:pos="8959"/>
          <w:tab w:val="clear" w:pos="9060"/>
        </w:tabs>
        <w:spacing w:line="440" w:lineRule="exact"/>
        <w:jc w:val="center"/>
        <w:rPr>
          <w:rFonts w:hint="eastAsia" w:ascii="仿宋" w:hAnsi="仿宋" w:eastAsia="仿宋" w:cs="仿宋"/>
          <w:color w:val="auto"/>
          <w:szCs w:val="21"/>
          <w:highlight w:val="none"/>
        </w:rPr>
      </w:pPr>
      <w:bookmarkStart w:id="2" w:name="_Toc2872_WPSOffice_Level1"/>
      <w:bookmarkStart w:id="3" w:name="_Toc482201954"/>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TOC \o "1-2" \h \u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_Toc32596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kern w:val="44"/>
          <w:szCs w:val="21"/>
          <w:highlight w:val="none"/>
        </w:rPr>
        <w:t>第一</w:t>
      </w:r>
      <w:r>
        <w:rPr>
          <w:rFonts w:hint="eastAsia" w:ascii="仿宋" w:hAnsi="仿宋" w:eastAsia="仿宋" w:cs="仿宋"/>
          <w:color w:val="auto"/>
          <w:szCs w:val="21"/>
          <w:highlight w:val="none"/>
        </w:rPr>
        <w:t>章 竞争性磋商公告</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_Toc32596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74C8E754">
      <w:pPr>
        <w:pStyle w:val="31"/>
        <w:tabs>
          <w:tab w:val="right" w:leader="dot" w:pos="8959"/>
          <w:tab w:val="clear" w:pos="9060"/>
        </w:tabs>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_Toc10200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kern w:val="44"/>
          <w:szCs w:val="21"/>
          <w:highlight w:val="none"/>
        </w:rPr>
        <w:t>第二</w:t>
      </w:r>
      <w:r>
        <w:rPr>
          <w:rFonts w:hint="eastAsia" w:ascii="仿宋" w:hAnsi="仿宋" w:eastAsia="仿宋" w:cs="仿宋"/>
          <w:color w:val="auto"/>
          <w:szCs w:val="21"/>
          <w:highlight w:val="none"/>
        </w:rPr>
        <w:t>章 供应商须知</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_Toc10200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475E0C65">
      <w:pPr>
        <w:pStyle w:val="36"/>
        <w:tabs>
          <w:tab w:val="right" w:leader="dot" w:pos="8959"/>
        </w:tabs>
        <w:spacing w:line="440" w:lineRule="exact"/>
        <w:jc w:val="lef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_Toc758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szCs w:val="21"/>
          <w:highlight w:val="none"/>
        </w:rPr>
        <w:t>供应商须知前附表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_Toc758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8</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6354A8DE">
      <w:pPr>
        <w:pStyle w:val="36"/>
        <w:tabs>
          <w:tab w:val="right" w:leader="dot" w:pos="8959"/>
        </w:tabs>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_Toc27146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szCs w:val="21"/>
          <w:highlight w:val="none"/>
        </w:rPr>
        <w:t>1.总  则</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_Toc27146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13</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7BE06125">
      <w:pPr>
        <w:pStyle w:val="36"/>
        <w:tabs>
          <w:tab w:val="right" w:leader="dot" w:pos="8959"/>
        </w:tabs>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_Toc15751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szCs w:val="21"/>
          <w:highlight w:val="none"/>
        </w:rPr>
        <w:t>2.磋商文件</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_Toc15751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15</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23657D10">
      <w:pPr>
        <w:pStyle w:val="36"/>
        <w:tabs>
          <w:tab w:val="right" w:leader="dot" w:pos="8959"/>
        </w:tabs>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_Toc20565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szCs w:val="21"/>
          <w:highlight w:val="none"/>
        </w:rPr>
        <w:t>3.供应商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_Toc20565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16</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360958D3">
      <w:pPr>
        <w:pStyle w:val="36"/>
        <w:tabs>
          <w:tab w:val="right" w:leader="dot" w:pos="8959"/>
        </w:tabs>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_Toc6380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szCs w:val="21"/>
          <w:highlight w:val="none"/>
        </w:rPr>
        <w:t>4.响应文件</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_Toc6380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19</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583919E0">
      <w:pPr>
        <w:pStyle w:val="36"/>
        <w:tabs>
          <w:tab w:val="right" w:leader="dot" w:pos="8959"/>
        </w:tabs>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_Toc4052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szCs w:val="21"/>
          <w:highlight w:val="none"/>
        </w:rPr>
        <w:t>5.响应文件的提交</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_Toc4052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23</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73AD2EAA">
      <w:pPr>
        <w:pStyle w:val="36"/>
        <w:tabs>
          <w:tab w:val="right" w:leader="dot" w:pos="8959"/>
        </w:tabs>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_Toc32263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szCs w:val="21"/>
          <w:highlight w:val="none"/>
        </w:rPr>
        <w:t>6.开启响应文件</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_Toc32263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24</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0954E139">
      <w:pPr>
        <w:pStyle w:val="36"/>
        <w:tabs>
          <w:tab w:val="right" w:leader="dot" w:pos="8959"/>
        </w:tabs>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_Toc11229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szCs w:val="21"/>
          <w:highlight w:val="none"/>
        </w:rPr>
        <w:t>7.磋商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_Toc11229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24</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0906A418">
      <w:pPr>
        <w:pStyle w:val="36"/>
        <w:tabs>
          <w:tab w:val="right" w:leader="dot" w:pos="8959"/>
        </w:tabs>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_Toc9593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szCs w:val="21"/>
          <w:highlight w:val="none"/>
        </w:rPr>
        <w:t>8.确定成交供应商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_Toc9593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27</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3FCF3018">
      <w:pPr>
        <w:pStyle w:val="36"/>
        <w:tabs>
          <w:tab w:val="right" w:leader="dot" w:pos="8959"/>
        </w:tabs>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_Toc10746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szCs w:val="21"/>
          <w:highlight w:val="none"/>
        </w:rPr>
        <w:t>9.合同授予</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_Toc10746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29</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13DF4395">
      <w:pPr>
        <w:pStyle w:val="36"/>
        <w:tabs>
          <w:tab w:val="right" w:leader="dot" w:pos="8959"/>
        </w:tabs>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_Toc6253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szCs w:val="21"/>
          <w:highlight w:val="none"/>
        </w:rPr>
        <w:t>10.终止磋商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_Toc6253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30</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262C758C">
      <w:pPr>
        <w:pStyle w:val="36"/>
        <w:tabs>
          <w:tab w:val="right" w:leader="dot" w:pos="8959"/>
        </w:tabs>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_Toc10593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szCs w:val="21"/>
          <w:highlight w:val="none"/>
        </w:rPr>
        <w:t>11.采购代理服务费</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_Toc10593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30</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312EC384">
      <w:pPr>
        <w:pStyle w:val="36"/>
        <w:tabs>
          <w:tab w:val="right" w:leader="dot" w:pos="8959"/>
        </w:tabs>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_Toc12558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szCs w:val="21"/>
          <w:highlight w:val="none"/>
        </w:rPr>
        <w:t>12.质疑与投诉</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_Toc12558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31</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5BEAFAD1">
      <w:pPr>
        <w:pStyle w:val="36"/>
        <w:tabs>
          <w:tab w:val="right" w:leader="dot" w:pos="8959"/>
        </w:tabs>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_Toc15388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szCs w:val="21"/>
          <w:highlight w:val="none"/>
        </w:rPr>
        <w:t>13.其他</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_Toc15388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32</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4D32CFEE">
      <w:pPr>
        <w:pStyle w:val="31"/>
        <w:tabs>
          <w:tab w:val="right" w:leader="dot" w:pos="8959"/>
          <w:tab w:val="clear" w:pos="9060"/>
        </w:tabs>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_Toc32671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szCs w:val="21"/>
          <w:highlight w:val="none"/>
        </w:rPr>
        <w:t>第三章 磋商办法</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_Toc32671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33</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0CF0D970">
      <w:pPr>
        <w:pStyle w:val="36"/>
        <w:tabs>
          <w:tab w:val="right" w:leader="dot" w:pos="8959"/>
        </w:tabs>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_Toc26172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szCs w:val="21"/>
          <w:highlight w:val="none"/>
        </w:rPr>
        <w:t>1.磋商程序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_Toc26172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33</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295F9435">
      <w:pPr>
        <w:pStyle w:val="36"/>
        <w:tabs>
          <w:tab w:val="right" w:leader="dot" w:pos="8959"/>
        </w:tabs>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_Toc16740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szCs w:val="21"/>
          <w:highlight w:val="none"/>
        </w:rPr>
        <w:t>2.评审方法</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_Toc16740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39</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2040BA10">
      <w:pPr>
        <w:pStyle w:val="31"/>
        <w:tabs>
          <w:tab w:val="right" w:leader="dot" w:pos="8959"/>
          <w:tab w:val="clear" w:pos="9060"/>
        </w:tabs>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_Toc23458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szCs w:val="21"/>
          <w:highlight w:val="none"/>
        </w:rPr>
        <w:t>第四章 采购内容及要求</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_Toc23458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43</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55D1E89D">
      <w:pPr>
        <w:pStyle w:val="31"/>
        <w:tabs>
          <w:tab w:val="right" w:leader="dot" w:pos="8959"/>
          <w:tab w:val="clear" w:pos="9060"/>
        </w:tabs>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_Toc16313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szCs w:val="21"/>
          <w:highlight w:val="none"/>
        </w:rPr>
        <w:t>第</w:t>
      </w:r>
      <w:r>
        <w:rPr>
          <w:rFonts w:hint="eastAsia" w:ascii="仿宋" w:hAnsi="仿宋" w:eastAsia="仿宋" w:cs="仿宋"/>
          <w:color w:val="auto"/>
          <w:szCs w:val="21"/>
          <w:highlight w:val="none"/>
          <w:lang w:eastAsia="zh-CN"/>
        </w:rPr>
        <w:t>五</w:t>
      </w:r>
      <w:r>
        <w:rPr>
          <w:rFonts w:hint="eastAsia" w:ascii="仿宋" w:hAnsi="仿宋" w:eastAsia="仿宋" w:cs="仿宋"/>
          <w:color w:val="auto"/>
          <w:szCs w:val="21"/>
          <w:highlight w:val="none"/>
        </w:rPr>
        <w:t>章 政府采购合同格式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_Toc16313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46</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70408CFC">
      <w:pPr>
        <w:pStyle w:val="31"/>
        <w:tabs>
          <w:tab w:val="right" w:leader="dot" w:pos="8959"/>
          <w:tab w:val="clear" w:pos="9060"/>
        </w:tabs>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_Toc6445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szCs w:val="21"/>
          <w:highlight w:val="none"/>
        </w:rPr>
        <w:t>第六章 响应文件格式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_Toc6445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51</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216F24FD">
      <w:pPr>
        <w:pStyle w:val="116"/>
        <w:tabs>
          <w:tab w:val="right" w:leader="dot" w:pos="8959"/>
        </w:tabs>
        <w:spacing w:line="440" w:lineRule="exact"/>
        <w:ind w:left="420"/>
        <w:rPr>
          <w:rFonts w:hint="eastAsia" w:ascii="仿宋" w:hAnsi="仿宋" w:eastAsia="仿宋" w:cs="仿宋"/>
          <w:color w:val="auto"/>
          <w:kern w:val="44"/>
          <w:sz w:val="44"/>
          <w:szCs w:val="44"/>
          <w:highlight w:val="none"/>
        </w:rPr>
      </w:pPr>
      <w:r>
        <w:rPr>
          <w:rFonts w:hint="eastAsia" w:ascii="仿宋" w:hAnsi="仿宋" w:eastAsia="仿宋" w:cs="仿宋"/>
          <w:color w:val="auto"/>
          <w:kern w:val="44"/>
          <w:sz w:val="21"/>
          <w:szCs w:val="21"/>
          <w:highlight w:val="none"/>
        </w:rPr>
        <w:fldChar w:fldCharType="end"/>
      </w:r>
    </w:p>
    <w:bookmarkEnd w:id="2"/>
    <w:bookmarkEnd w:id="3"/>
    <w:p w14:paraId="173DABF9">
      <w:pPr>
        <w:spacing w:after="50" w:line="600" w:lineRule="exact"/>
        <w:jc w:val="center"/>
        <w:outlineLvl w:val="0"/>
        <w:rPr>
          <w:rFonts w:hint="eastAsia" w:ascii="仿宋" w:hAnsi="仿宋" w:eastAsia="仿宋" w:cs="仿宋"/>
          <w:b/>
          <w:color w:val="auto"/>
          <w:kern w:val="44"/>
          <w:sz w:val="44"/>
          <w:szCs w:val="44"/>
          <w:highlight w:val="none"/>
        </w:rPr>
        <w:sectPr>
          <w:footerReference r:id="rId5" w:type="default"/>
          <w:pgSz w:w="11907" w:h="16840"/>
          <w:pgMar w:top="1440" w:right="1803" w:bottom="1440" w:left="1803" w:header="851" w:footer="992" w:gutter="0"/>
          <w:pgNumType w:fmt="decimal" w:start="2"/>
          <w:cols w:space="720" w:num="1"/>
        </w:sectPr>
      </w:pPr>
      <w:bookmarkStart w:id="4" w:name="_Toc32596"/>
    </w:p>
    <w:p w14:paraId="28FCE5E5">
      <w:pPr>
        <w:spacing w:after="50" w:line="600" w:lineRule="exact"/>
        <w:jc w:val="center"/>
        <w:outlineLvl w:val="0"/>
        <w:rPr>
          <w:rFonts w:hint="eastAsia" w:ascii="仿宋" w:hAnsi="仿宋" w:eastAsia="仿宋" w:cs="仿宋"/>
          <w:b/>
          <w:color w:val="auto"/>
          <w:sz w:val="44"/>
          <w:szCs w:val="44"/>
          <w:highlight w:val="none"/>
        </w:rPr>
      </w:pPr>
      <w:r>
        <w:rPr>
          <w:rFonts w:hint="eastAsia" w:ascii="仿宋" w:hAnsi="仿宋" w:eastAsia="仿宋" w:cs="仿宋"/>
          <w:b/>
          <w:color w:val="auto"/>
          <w:kern w:val="44"/>
          <w:sz w:val="44"/>
          <w:szCs w:val="44"/>
          <w:highlight w:val="none"/>
        </w:rPr>
        <w:t>第一</w:t>
      </w:r>
      <w:r>
        <w:rPr>
          <w:rFonts w:hint="eastAsia" w:ascii="仿宋" w:hAnsi="仿宋" w:eastAsia="仿宋" w:cs="仿宋"/>
          <w:b/>
          <w:color w:val="auto"/>
          <w:sz w:val="44"/>
          <w:szCs w:val="44"/>
          <w:highlight w:val="none"/>
        </w:rPr>
        <w:t>章  竞争性磋商公告</w:t>
      </w:r>
      <w:bookmarkEnd w:id="4"/>
    </w:p>
    <w:p w14:paraId="05B809B0">
      <w:pPr>
        <w:spacing w:line="560" w:lineRule="exact"/>
        <w:ind w:right="-99" w:rightChars="-47" w:firstLine="480" w:firstLineChars="200"/>
        <w:rPr>
          <w:rFonts w:hint="eastAsia" w:ascii="仿宋" w:hAnsi="仿宋" w:eastAsia="仿宋" w:cs="仿宋"/>
          <w:color w:val="auto"/>
          <w:sz w:val="24"/>
          <w:szCs w:val="24"/>
          <w:highlight w:val="none"/>
          <w:lang w:val="en-US" w:eastAsia="zh-CN"/>
        </w:rPr>
      </w:pPr>
      <w:bookmarkStart w:id="5" w:name="_Toc31287"/>
      <w:bookmarkStart w:id="6" w:name="_Toc23494_WPSOffice_Level1"/>
      <w:bookmarkStart w:id="7" w:name="_Toc5385"/>
      <w:bookmarkStart w:id="8" w:name="_Toc10200"/>
      <w:bookmarkStart w:id="9" w:name="_Toc6043"/>
      <w:bookmarkStart w:id="10" w:name="_Toc23432"/>
      <w:bookmarkStart w:id="11" w:name="_Toc27029"/>
      <w:bookmarkStart w:id="12" w:name="_Toc183682339"/>
      <w:bookmarkStart w:id="13" w:name="_Toc77400776"/>
      <w:bookmarkStart w:id="14" w:name="_Toc183582202"/>
      <w:bookmarkStart w:id="15" w:name="_Toc89075871"/>
      <w:r>
        <w:rPr>
          <w:rFonts w:hint="eastAsia" w:ascii="仿宋" w:hAnsi="仿宋" w:eastAsia="仿宋" w:cs="仿宋"/>
          <w:color w:val="auto"/>
          <w:sz w:val="24"/>
          <w:szCs w:val="24"/>
          <w:highlight w:val="none"/>
          <w:lang w:val="en-US" w:eastAsia="zh-CN"/>
        </w:rPr>
        <w:t>勉县森林草原湿地荒漠化普查工作采购项目的潜在供应商应在在陕西省汉中市汉台区滨江路中青凯旋门南门右边商铺202号获取采购文件，并于  2025年03月10日 14时30分 （北京时间）前提交响应文件。。</w:t>
      </w:r>
    </w:p>
    <w:p w14:paraId="491F5D4A">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一、项目基本情况：</w:t>
      </w:r>
    </w:p>
    <w:p w14:paraId="385CB998">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项目编号：ZCBN-勉县-2025-00009</w:t>
      </w:r>
    </w:p>
    <w:p w14:paraId="47071139">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项目名称：勉县森林草原湿地荒漠化普查工作</w:t>
      </w:r>
    </w:p>
    <w:p w14:paraId="6AB65D00">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采购方式：竞争性磋商</w:t>
      </w:r>
    </w:p>
    <w:p w14:paraId="6625DA0A">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预算金额：1520000.00元</w:t>
      </w:r>
    </w:p>
    <w:p w14:paraId="666B8D27">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采购需求：</w:t>
      </w:r>
    </w:p>
    <w:p w14:paraId="3090D4CE">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合同包1(勉县森林草原湿地荒漠化普查工作):</w:t>
      </w:r>
    </w:p>
    <w:p w14:paraId="52F1A64B">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合同包预算金额：1520000.00元</w:t>
      </w:r>
    </w:p>
    <w:p w14:paraId="7FB45DC2">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合同包最高限价：1520000.00元</w:t>
      </w:r>
    </w:p>
    <w:tbl>
      <w:tblPr>
        <w:tblStyle w:val="44"/>
        <w:tblW w:w="107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1"/>
        <w:gridCol w:w="1350"/>
        <w:gridCol w:w="2381"/>
        <w:gridCol w:w="1763"/>
        <w:gridCol w:w="1706"/>
        <w:gridCol w:w="1425"/>
        <w:gridCol w:w="1428"/>
      </w:tblGrid>
      <w:tr w14:paraId="07E79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8" w:hRule="atLeast"/>
          <w:tblHeader/>
          <w:jc w:val="center"/>
        </w:trPr>
        <w:tc>
          <w:tcPr>
            <w:tcW w:w="6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C853FD">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品目号</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BF9CB5">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品目名称</w:t>
            </w:r>
          </w:p>
        </w:tc>
        <w:tc>
          <w:tcPr>
            <w:tcW w:w="23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DC4499">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采购标的</w:t>
            </w:r>
          </w:p>
        </w:tc>
        <w:tc>
          <w:tcPr>
            <w:tcW w:w="17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18CC1D">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数量（单位）</w:t>
            </w:r>
          </w:p>
        </w:tc>
        <w:tc>
          <w:tcPr>
            <w:tcW w:w="17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44E3DD">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技术规格、参数及要求</w:t>
            </w:r>
          </w:p>
        </w:tc>
        <w:tc>
          <w:tcPr>
            <w:tcW w:w="14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EBE57F">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品目预算(元)</w:t>
            </w:r>
          </w:p>
        </w:tc>
        <w:tc>
          <w:tcPr>
            <w:tcW w:w="14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3C9FCB">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最高限价(元)</w:t>
            </w:r>
          </w:p>
        </w:tc>
      </w:tr>
      <w:tr w14:paraId="247A4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1" w:hRule="atLeast"/>
          <w:jc w:val="center"/>
        </w:trPr>
        <w:tc>
          <w:tcPr>
            <w:tcW w:w="6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AF65C6">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10D912">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其他林业服务</w:t>
            </w:r>
          </w:p>
        </w:tc>
        <w:tc>
          <w:tcPr>
            <w:tcW w:w="23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B268DC">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勉县森林草原湿地荒漠化普查工作</w:t>
            </w:r>
          </w:p>
        </w:tc>
        <w:tc>
          <w:tcPr>
            <w:tcW w:w="17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2974F6">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w:t>
            </w:r>
          </w:p>
        </w:tc>
        <w:tc>
          <w:tcPr>
            <w:tcW w:w="17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A86AFF">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详见采购文件</w:t>
            </w:r>
          </w:p>
        </w:tc>
        <w:tc>
          <w:tcPr>
            <w:tcW w:w="14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1B716F">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1520000.00</w:t>
            </w:r>
          </w:p>
        </w:tc>
        <w:tc>
          <w:tcPr>
            <w:tcW w:w="14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8E55FF">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1520000.00</w:t>
            </w:r>
          </w:p>
        </w:tc>
      </w:tr>
    </w:tbl>
    <w:p w14:paraId="7CCCDC55">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本合同包不接受联合体投标</w:t>
      </w:r>
    </w:p>
    <w:p w14:paraId="6A73F72B">
      <w:pPr>
        <w:spacing w:line="560" w:lineRule="exact"/>
        <w:ind w:right="-99" w:rightChars="-47"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合同履行期限：无</w:t>
      </w:r>
    </w:p>
    <w:p w14:paraId="7A2C0D07">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 响应供应商的资格要求</w:t>
      </w:r>
    </w:p>
    <w:p w14:paraId="6069C88E">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1、满足《中华人民共和国政府采购法》第二十二条规定</w:t>
      </w:r>
    </w:p>
    <w:p w14:paraId="6CB86AFA">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2、落实政府采购政策需满足的资格要求：</w:t>
      </w:r>
    </w:p>
    <w:p w14:paraId="5CA9B60A">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lang w:eastAsia="zh-CN"/>
        </w:rPr>
        <w:t>（1）财政部、工业和信息化部关于印发《政府采购促进中小企业发展管理办法》的通知（财库【2020】46号） ；</w:t>
      </w:r>
    </w:p>
    <w:p w14:paraId="64CEA3B7">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lang w:eastAsia="zh-CN"/>
        </w:rPr>
        <w:t>（2）《财政部司法部关于政府采购支持监狱企业发展有关问题的通知》（财库【2014】68号）；</w:t>
      </w:r>
    </w:p>
    <w:p w14:paraId="75E074F4">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lang w:eastAsia="zh-CN"/>
        </w:rPr>
        <w:t>（3）《财政部发展改革委生态环境部市场监管总局关于调整优化节能产品环境标志产品政府采购执行机制的通知》（财库【2019】9号）；</w:t>
      </w:r>
    </w:p>
    <w:p w14:paraId="64A67F95">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lang w:eastAsia="zh-CN"/>
        </w:rPr>
        <w:t>（4）《财政部国家发展改革委关于印发〈节能产品政府采购实施意见〉的通知》（财库【2004】185号）；</w:t>
      </w:r>
    </w:p>
    <w:p w14:paraId="660C0534">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lang w:eastAsia="zh-CN"/>
        </w:rPr>
        <w:t xml:space="preserve">（5）《财政部环保总局关于环境标志产品政府采购实施的意见》（财库【2006】90号） ； </w:t>
      </w:r>
    </w:p>
    <w:p w14:paraId="4CCA932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lang w:eastAsia="zh-CN"/>
        </w:rPr>
        <w:t>（6）《国务院办公厅关于建立政府强制采购节能产品制度的通知》（国办发【2007】51号）；</w:t>
      </w:r>
    </w:p>
    <w:p w14:paraId="3392EBA7">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lang w:eastAsia="zh-CN"/>
        </w:rPr>
        <w:t>（7）《财政部、民政部、中国残疾人联合会关于促进残疾人就业政府采购政策的通知》（财库【2017】141号）；</w:t>
      </w:r>
    </w:p>
    <w:p w14:paraId="61027EDF">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lang w:eastAsia="zh-CN"/>
        </w:rPr>
        <w:t>（8）《财政部 国务院扶贫办关于运用政府采购政策支持脱贫攻坚的通知》（财库【2019】27号）；</w:t>
      </w:r>
    </w:p>
    <w:p w14:paraId="0319707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lang w:eastAsia="zh-CN"/>
        </w:rPr>
        <w:t>（9）陕西省财政厅关于印发《陕西省中小企业政府采购信用融资办法》（陕财办采【2018】23号）；</w:t>
      </w:r>
    </w:p>
    <w:p w14:paraId="7C2A7510">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lang w:eastAsia="zh-CN"/>
        </w:rPr>
        <w:t>（10）其他需要落实的政府采购政策。</w:t>
      </w:r>
    </w:p>
    <w:p w14:paraId="76C24109">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3、本项目的特定资格要求：</w:t>
      </w:r>
    </w:p>
    <w:p w14:paraId="24317A9A">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3.1具有独立承担民事责任能力的法人、其他组织或自然人，提供合法有效的统一社会信用代码营业执照（事业单位提供事业单位法人证书，自然人提供身份证明）；</w:t>
      </w:r>
    </w:p>
    <w:p w14:paraId="07606FBF">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3.2法定代表人授权委托书：法定代表人参加磋商的，须出示身份证原件；法定代表人授权他人参加磋商的，须提供法定代表人授权委托书及被授权人身份证原件；</w:t>
      </w:r>
    </w:p>
    <w:p w14:paraId="24232E1F">
      <w:pPr>
        <w:spacing w:line="560" w:lineRule="exact"/>
        <w:ind w:right="-99" w:rightChars="-47"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供应商须具有健全的财务会计制度、具有履行合同所必需的设备和专业技术能力、具有依法缴纳税收和社会保障资金的良好记录，以及参加本项目采购活动前三年内在经营活动中无重大违法活动记录，供应商提供《汉中市政府采购供应商资格承诺函》；</w:t>
      </w:r>
    </w:p>
    <w:p w14:paraId="05D3FA50">
      <w:pPr>
        <w:spacing w:line="560" w:lineRule="exact"/>
        <w:ind w:right="-99" w:rightChars="-47"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3.4供应商须具有行政主管部门颁发的测绘乙级及以上资质；</w:t>
      </w:r>
    </w:p>
    <w:p w14:paraId="300887ED">
      <w:pPr>
        <w:spacing w:line="560" w:lineRule="exact"/>
        <w:ind w:right="-99" w:rightChars="-47"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3.5本项目专门面向中小企业采购。</w:t>
      </w:r>
    </w:p>
    <w:p w14:paraId="130924E3">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 采购文件的获取方式</w:t>
      </w:r>
    </w:p>
    <w:p w14:paraId="6A677B0D">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时间：  2025年02月26日 至 2025年03月04日 ，每天上午 08:30:00 至 12:00:00 ，下午 14:00:00 至 18:00:00 （北京时间）</w:t>
      </w:r>
    </w:p>
    <w:p w14:paraId="33738A0C">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途径：在陕西省汉中市汉台区滨江路中青凯旋门南门右边商铺202号</w:t>
      </w:r>
    </w:p>
    <w:p w14:paraId="1C037670">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方式：现场获取</w:t>
      </w:r>
    </w:p>
    <w:p w14:paraId="58128688">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售价： 500元</w:t>
      </w:r>
    </w:p>
    <w:p w14:paraId="05A090BF">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 响应文件递交</w:t>
      </w:r>
    </w:p>
    <w:p w14:paraId="164A78C8">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截止时间： 2025年03月10日 14时30分00秒  （北京时间）</w:t>
      </w:r>
    </w:p>
    <w:p w14:paraId="381788E7">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地点：在陕西省汉中市汉台区滨江路中青凯旋门南门右边商铺202号</w:t>
      </w:r>
    </w:p>
    <w:p w14:paraId="59F18D97">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五、开启</w:t>
      </w:r>
    </w:p>
    <w:p w14:paraId="414A4731">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时间： 2025年03月10日 14时30分00秒 （北京时间）</w:t>
      </w:r>
    </w:p>
    <w:p w14:paraId="17BB8499">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地点：在陕西省汉中市汉台区滨江路中青凯旋门南门右边商铺202号</w:t>
      </w:r>
    </w:p>
    <w:p w14:paraId="1091BDD4">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六、公告期限</w:t>
      </w:r>
    </w:p>
    <w:p w14:paraId="14B2A449">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自本公告发布之日起3个工作日。</w:t>
      </w:r>
    </w:p>
    <w:p w14:paraId="2BC34180">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六、其他补充事宜</w:t>
      </w:r>
    </w:p>
    <w:p w14:paraId="2BE8216A">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1.购买磋商文件请携带单位介绍信原件,经办人身份证原件及加盖供应商公章的复印件。</w:t>
      </w:r>
    </w:p>
    <w:p w14:paraId="72381796">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七、对本次采购提出询问，请按以下方式联系。</w:t>
      </w:r>
    </w:p>
    <w:p w14:paraId="0017E24E">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1.采购人信息</w:t>
      </w:r>
    </w:p>
    <w:p w14:paraId="601979AB">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名称：勉县林业局</w:t>
      </w:r>
    </w:p>
    <w:p w14:paraId="73EE4EA9">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地址：陕西省勉县天荡山路45号</w:t>
      </w:r>
    </w:p>
    <w:p w14:paraId="5B5C07AF">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联系方式：0916-3239870</w:t>
      </w:r>
    </w:p>
    <w:p w14:paraId="4482AD3B">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2.采购代理机构信息</w:t>
      </w:r>
    </w:p>
    <w:p w14:paraId="1E6770B4">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名称：陕西佳鸿项目管理咨询有限公司</w:t>
      </w:r>
    </w:p>
    <w:p w14:paraId="55FD60D7">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地址：陕西省汉中市汉台区滨江路中青凯旋门南门右边商铺202号</w:t>
      </w:r>
    </w:p>
    <w:p w14:paraId="19D7018E">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联系方式：0916-8818681</w:t>
      </w:r>
    </w:p>
    <w:p w14:paraId="3823626F">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3.项目联系方式</w:t>
      </w:r>
    </w:p>
    <w:p w14:paraId="41337DD5">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项目联系人：周女士</w:t>
      </w:r>
    </w:p>
    <w:p w14:paraId="5839FBC9">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电话：17729063496</w:t>
      </w:r>
    </w:p>
    <w:p w14:paraId="5BC9F74E"/>
    <w:p w14:paraId="1A03B4DE">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07502619">
      <w:pPr>
        <w:spacing w:after="50" w:line="600" w:lineRule="exact"/>
        <w:jc w:val="center"/>
        <w:outlineLvl w:val="0"/>
        <w:rPr>
          <w:rFonts w:hint="eastAsia" w:ascii="仿宋" w:hAnsi="仿宋" w:eastAsia="仿宋" w:cs="仿宋"/>
          <w:b/>
          <w:color w:val="auto"/>
          <w:sz w:val="44"/>
          <w:szCs w:val="44"/>
          <w:highlight w:val="none"/>
        </w:rPr>
      </w:pPr>
      <w:r>
        <w:rPr>
          <w:rFonts w:hint="eastAsia" w:ascii="仿宋" w:hAnsi="仿宋" w:eastAsia="仿宋" w:cs="仿宋"/>
          <w:b/>
          <w:color w:val="auto"/>
          <w:kern w:val="44"/>
          <w:sz w:val="44"/>
          <w:szCs w:val="44"/>
          <w:highlight w:val="none"/>
        </w:rPr>
        <w:t>第二</w:t>
      </w:r>
      <w:r>
        <w:rPr>
          <w:rFonts w:hint="eastAsia" w:ascii="仿宋" w:hAnsi="仿宋" w:eastAsia="仿宋" w:cs="仿宋"/>
          <w:b/>
          <w:color w:val="auto"/>
          <w:sz w:val="44"/>
          <w:szCs w:val="44"/>
          <w:highlight w:val="none"/>
        </w:rPr>
        <w:t>章  供应商须知</w:t>
      </w:r>
      <w:bookmarkEnd w:id="5"/>
      <w:bookmarkEnd w:id="6"/>
      <w:bookmarkEnd w:id="7"/>
      <w:bookmarkEnd w:id="8"/>
      <w:bookmarkEnd w:id="9"/>
      <w:bookmarkEnd w:id="10"/>
      <w:bookmarkEnd w:id="11"/>
    </w:p>
    <w:p w14:paraId="63B5E01C">
      <w:pPr>
        <w:spacing w:before="240" w:beforeLines="100" w:after="50" w:line="600" w:lineRule="exact"/>
        <w:jc w:val="center"/>
        <w:outlineLvl w:val="1"/>
        <w:rPr>
          <w:rFonts w:hint="eastAsia" w:ascii="仿宋" w:hAnsi="仿宋" w:eastAsia="仿宋" w:cs="仿宋"/>
          <w:color w:val="auto"/>
          <w:sz w:val="36"/>
          <w:szCs w:val="36"/>
          <w:highlight w:val="none"/>
        </w:rPr>
      </w:pPr>
      <w:bookmarkStart w:id="16" w:name="_Toc2998"/>
      <w:bookmarkStart w:id="17" w:name="_Toc758"/>
      <w:bookmarkStart w:id="18" w:name="_Toc19095"/>
      <w:bookmarkStart w:id="19" w:name="_Toc966_WPSOffice_Level2"/>
      <w:bookmarkStart w:id="20" w:name="_Toc21533"/>
      <w:bookmarkStart w:id="21" w:name="_Toc755"/>
      <w:bookmarkStart w:id="22" w:name="_Toc6855"/>
      <w:r>
        <w:rPr>
          <w:rFonts w:hint="eastAsia" w:ascii="仿宋" w:hAnsi="仿宋" w:eastAsia="仿宋" w:cs="仿宋"/>
          <w:color w:val="auto"/>
          <w:sz w:val="36"/>
          <w:szCs w:val="36"/>
          <w:highlight w:val="none"/>
        </w:rPr>
        <w:t>供应商须知前附表</w:t>
      </w:r>
      <w:bookmarkEnd w:id="16"/>
      <w:bookmarkEnd w:id="17"/>
      <w:bookmarkEnd w:id="18"/>
      <w:bookmarkEnd w:id="19"/>
      <w:bookmarkEnd w:id="20"/>
      <w:bookmarkEnd w:id="21"/>
      <w:bookmarkEnd w:id="22"/>
    </w:p>
    <w:tbl>
      <w:tblPr>
        <w:tblStyle w:val="44"/>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1"/>
        <w:gridCol w:w="2081"/>
        <w:gridCol w:w="6609"/>
      </w:tblGrid>
      <w:tr w14:paraId="3014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36151D7B">
            <w:pPr>
              <w:pStyle w:val="82"/>
              <w:keepNext w:val="0"/>
              <w:keepLines w:val="0"/>
              <w:suppressLineNumbers w:val="0"/>
              <w:spacing w:before="0" w:beforeAutospacing="0" w:after="0" w:afterAutospacing="0"/>
              <w:ind w:left="9"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 xml:space="preserve">序号 </w:t>
            </w:r>
          </w:p>
        </w:tc>
        <w:tc>
          <w:tcPr>
            <w:tcW w:w="2081" w:type="dxa"/>
            <w:noWrap w:val="0"/>
            <w:vAlign w:val="center"/>
          </w:tcPr>
          <w:p w14:paraId="3A1FFB43">
            <w:pPr>
              <w:pStyle w:val="82"/>
              <w:keepNext w:val="0"/>
              <w:keepLines w:val="0"/>
              <w:suppressLineNumbers w:val="0"/>
              <w:spacing w:before="0" w:beforeAutospacing="0" w:after="0" w:afterAutospacing="0"/>
              <w:ind w:left="38"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内容</w:t>
            </w:r>
          </w:p>
        </w:tc>
        <w:tc>
          <w:tcPr>
            <w:tcW w:w="6609" w:type="dxa"/>
            <w:noWrap w:val="0"/>
            <w:vAlign w:val="center"/>
          </w:tcPr>
          <w:p w14:paraId="74F09574">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说明和要求</w:t>
            </w:r>
          </w:p>
        </w:tc>
      </w:tr>
      <w:tr w14:paraId="6614E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5A4F94F2">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1</w:t>
            </w:r>
          </w:p>
        </w:tc>
        <w:tc>
          <w:tcPr>
            <w:tcW w:w="2081" w:type="dxa"/>
            <w:noWrap w:val="0"/>
            <w:vAlign w:val="center"/>
          </w:tcPr>
          <w:p w14:paraId="00B1D177">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采购人</w:t>
            </w:r>
          </w:p>
        </w:tc>
        <w:tc>
          <w:tcPr>
            <w:tcW w:w="6609" w:type="dxa"/>
            <w:noWrap w:val="0"/>
            <w:vAlign w:val="center"/>
          </w:tcPr>
          <w:p w14:paraId="1D24455E">
            <w:pPr>
              <w:pStyle w:val="82"/>
              <w:keepNext w:val="0"/>
              <w:keepLines w:val="0"/>
              <w:suppressLineNumbers w:val="0"/>
              <w:spacing w:before="0" w:beforeAutospacing="0" w:after="0" w:afterAutospacing="0"/>
              <w:ind w:left="142" w:right="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名  称：</w:t>
            </w:r>
            <w:r>
              <w:rPr>
                <w:rFonts w:hint="eastAsia" w:ascii="仿宋" w:hAnsi="仿宋" w:eastAsia="仿宋" w:cs="仿宋"/>
                <w:color w:val="auto"/>
                <w:kern w:val="2"/>
                <w:sz w:val="28"/>
                <w:szCs w:val="28"/>
                <w:highlight w:val="none"/>
                <w:lang w:val="en-US" w:eastAsia="zh-CN"/>
              </w:rPr>
              <w:t>勉县林业局</w:t>
            </w:r>
          </w:p>
        </w:tc>
      </w:tr>
      <w:tr w14:paraId="7544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21168A0E">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2</w:t>
            </w:r>
          </w:p>
        </w:tc>
        <w:tc>
          <w:tcPr>
            <w:tcW w:w="2081" w:type="dxa"/>
            <w:noWrap w:val="0"/>
            <w:vAlign w:val="center"/>
          </w:tcPr>
          <w:p w14:paraId="018F4D5D">
            <w:pPr>
              <w:pStyle w:val="82"/>
              <w:keepNext w:val="0"/>
              <w:keepLines w:val="0"/>
              <w:suppressLineNumbers w:val="0"/>
              <w:spacing w:before="0" w:beforeAutospacing="0" w:after="0" w:afterAutospacing="0"/>
              <w:ind w:left="38"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采购代理机构</w:t>
            </w:r>
          </w:p>
        </w:tc>
        <w:tc>
          <w:tcPr>
            <w:tcW w:w="6609" w:type="dxa"/>
            <w:noWrap w:val="0"/>
            <w:vAlign w:val="center"/>
          </w:tcPr>
          <w:p w14:paraId="2F71F3A4">
            <w:pPr>
              <w:pStyle w:val="82"/>
              <w:keepNext w:val="0"/>
              <w:keepLines w:val="0"/>
              <w:suppressLineNumbers w:val="0"/>
              <w:spacing w:before="0" w:beforeAutospacing="0" w:after="0" w:afterAutospacing="0"/>
              <w:ind w:left="142" w:right="0"/>
              <w:jc w:val="both"/>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rPr>
              <w:t>名  称：</w:t>
            </w:r>
            <w:r>
              <w:rPr>
                <w:rFonts w:hint="eastAsia" w:ascii="仿宋" w:hAnsi="仿宋" w:eastAsia="仿宋" w:cs="仿宋"/>
                <w:color w:val="auto"/>
                <w:kern w:val="2"/>
                <w:sz w:val="28"/>
                <w:szCs w:val="28"/>
                <w:highlight w:val="none"/>
                <w:lang w:eastAsia="zh-CN"/>
              </w:rPr>
              <w:t>陕西佳鸿项目管理咨询有限公司</w:t>
            </w:r>
          </w:p>
          <w:p w14:paraId="585BB47A">
            <w:pPr>
              <w:pStyle w:val="82"/>
              <w:keepNext w:val="0"/>
              <w:keepLines w:val="0"/>
              <w:suppressLineNumbers w:val="0"/>
              <w:spacing w:before="0" w:beforeAutospacing="0" w:after="0" w:afterAutospacing="0"/>
              <w:ind w:left="142" w:right="0"/>
              <w:jc w:val="both"/>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rPr>
              <w:t>地  址：</w:t>
            </w:r>
            <w:r>
              <w:rPr>
                <w:rFonts w:hint="eastAsia" w:ascii="仿宋" w:hAnsi="仿宋" w:eastAsia="仿宋" w:cs="仿宋"/>
                <w:color w:val="auto"/>
                <w:kern w:val="2"/>
                <w:sz w:val="28"/>
                <w:szCs w:val="28"/>
                <w:highlight w:val="none"/>
                <w:lang w:val="en-US" w:eastAsia="zh-CN"/>
              </w:rPr>
              <w:t>陕西省汉中市汉台区滨江路中青凯旋门南门右边商铺202号</w:t>
            </w:r>
          </w:p>
          <w:p w14:paraId="07720C07">
            <w:pPr>
              <w:pStyle w:val="5"/>
              <w:keepNext w:val="0"/>
              <w:keepLines w:val="0"/>
              <w:suppressLineNumbers w:val="0"/>
              <w:spacing w:before="0" w:beforeAutospacing="0" w:after="0" w:afterAutospacing="0"/>
              <w:ind w:left="142" w:right="0" w:firstLine="0"/>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联系人：周工</w:t>
            </w:r>
            <w:r>
              <w:rPr>
                <w:rFonts w:hint="eastAsia" w:ascii="仿宋" w:hAnsi="仿宋" w:eastAsia="仿宋" w:cs="仿宋"/>
                <w:color w:val="auto"/>
                <w:kern w:val="0"/>
                <w:sz w:val="28"/>
                <w:szCs w:val="28"/>
                <w:highlight w:val="none"/>
              </w:rPr>
              <w:t xml:space="preserve">  </w:t>
            </w:r>
          </w:p>
          <w:p w14:paraId="02886D7E">
            <w:pPr>
              <w:pStyle w:val="5"/>
              <w:keepNext w:val="0"/>
              <w:keepLines w:val="0"/>
              <w:suppressLineNumbers w:val="0"/>
              <w:spacing w:before="0" w:beforeAutospacing="0" w:after="0" w:afterAutospacing="0"/>
              <w:ind w:left="142" w:right="0" w:firstLine="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电  话：0916-8818681</w:t>
            </w:r>
          </w:p>
        </w:tc>
      </w:tr>
      <w:tr w14:paraId="4972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0FA77F7A">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3</w:t>
            </w:r>
          </w:p>
        </w:tc>
        <w:tc>
          <w:tcPr>
            <w:tcW w:w="2081" w:type="dxa"/>
            <w:noWrap w:val="0"/>
            <w:vAlign w:val="center"/>
          </w:tcPr>
          <w:p w14:paraId="6E31BD55">
            <w:pPr>
              <w:pStyle w:val="82"/>
              <w:keepNext w:val="0"/>
              <w:keepLines w:val="0"/>
              <w:suppressLineNumbers w:val="0"/>
              <w:spacing w:before="0" w:beforeAutospacing="0" w:after="0" w:afterAutospacing="0"/>
              <w:ind w:left="38"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采购项目名称</w:t>
            </w:r>
          </w:p>
        </w:tc>
        <w:tc>
          <w:tcPr>
            <w:tcW w:w="6609" w:type="dxa"/>
            <w:noWrap w:val="0"/>
            <w:vAlign w:val="center"/>
          </w:tcPr>
          <w:p w14:paraId="3B986F47">
            <w:pPr>
              <w:pStyle w:val="5"/>
              <w:keepNext w:val="0"/>
              <w:keepLines w:val="0"/>
              <w:suppressLineNumbers w:val="0"/>
              <w:spacing w:before="0" w:beforeAutospacing="0" w:after="0" w:afterAutospacing="0"/>
              <w:ind w:left="142" w:right="0" w:firstLine="0"/>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勉县森林草原湿地荒漠化普查工作</w:t>
            </w:r>
          </w:p>
        </w:tc>
      </w:tr>
      <w:tr w14:paraId="2820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228AAEC0">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4</w:t>
            </w:r>
          </w:p>
        </w:tc>
        <w:tc>
          <w:tcPr>
            <w:tcW w:w="2081" w:type="dxa"/>
            <w:noWrap w:val="0"/>
            <w:vAlign w:val="center"/>
          </w:tcPr>
          <w:p w14:paraId="73A72ECC">
            <w:pPr>
              <w:pStyle w:val="82"/>
              <w:keepNext w:val="0"/>
              <w:keepLines w:val="0"/>
              <w:suppressLineNumbers w:val="0"/>
              <w:spacing w:before="0" w:beforeAutospacing="0" w:after="0" w:afterAutospacing="0"/>
              <w:ind w:left="38"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采购项目编号</w:t>
            </w:r>
          </w:p>
        </w:tc>
        <w:tc>
          <w:tcPr>
            <w:tcW w:w="6609" w:type="dxa"/>
            <w:noWrap w:val="0"/>
            <w:vAlign w:val="center"/>
          </w:tcPr>
          <w:p w14:paraId="6C4E29A1">
            <w:pPr>
              <w:pStyle w:val="5"/>
              <w:keepNext w:val="0"/>
              <w:keepLines w:val="0"/>
              <w:suppressLineNumbers w:val="0"/>
              <w:spacing w:before="0" w:beforeAutospacing="0" w:after="0" w:afterAutospacing="0"/>
              <w:ind w:left="142" w:right="0" w:firstLine="0"/>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ZCBN-勉县-2025-00009</w:t>
            </w:r>
          </w:p>
        </w:tc>
      </w:tr>
      <w:tr w14:paraId="300E2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1B180CFA">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5</w:t>
            </w:r>
          </w:p>
        </w:tc>
        <w:tc>
          <w:tcPr>
            <w:tcW w:w="2081" w:type="dxa"/>
            <w:noWrap w:val="0"/>
            <w:vAlign w:val="center"/>
          </w:tcPr>
          <w:p w14:paraId="2063C6A9">
            <w:pPr>
              <w:pStyle w:val="82"/>
              <w:keepNext w:val="0"/>
              <w:keepLines w:val="0"/>
              <w:suppressLineNumbers w:val="0"/>
              <w:spacing w:before="0" w:beforeAutospacing="0" w:after="0" w:afterAutospacing="0"/>
              <w:ind w:left="38"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资金来源</w:t>
            </w:r>
          </w:p>
        </w:tc>
        <w:tc>
          <w:tcPr>
            <w:tcW w:w="6609" w:type="dxa"/>
            <w:noWrap w:val="0"/>
            <w:vAlign w:val="center"/>
          </w:tcPr>
          <w:p w14:paraId="0525AE6F">
            <w:pPr>
              <w:keepNext w:val="0"/>
              <w:keepLines w:val="0"/>
              <w:suppressLineNumbers w:val="0"/>
              <w:spacing w:before="0" w:beforeAutospacing="0" w:after="0" w:afterAutospacing="0"/>
              <w:ind w:left="0" w:right="0" w:firstLine="280" w:firstLineChars="100"/>
              <w:jc w:val="left"/>
              <w:rPr>
                <w:rFonts w:hint="eastAsia" w:ascii="仿宋" w:hAnsi="仿宋" w:eastAsia="仿宋" w:cs="仿宋"/>
                <w:color w:val="auto"/>
                <w:kern w:val="2"/>
                <w:sz w:val="28"/>
                <w:szCs w:val="28"/>
                <w:highlight w:val="none"/>
              </w:rPr>
            </w:pPr>
            <w:r>
              <w:rPr>
                <w:rFonts w:hint="eastAsia" w:ascii="仿宋" w:hAnsi="仿宋" w:eastAsia="仿宋" w:cs="仿宋"/>
                <w:color w:val="auto"/>
                <w:sz w:val="28"/>
                <w:szCs w:val="28"/>
                <w:highlight w:val="none"/>
              </w:rPr>
              <w:t>财政预算</w:t>
            </w:r>
          </w:p>
        </w:tc>
      </w:tr>
      <w:tr w14:paraId="7B1C7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29643579">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6</w:t>
            </w:r>
          </w:p>
        </w:tc>
        <w:tc>
          <w:tcPr>
            <w:tcW w:w="2081" w:type="dxa"/>
            <w:noWrap w:val="0"/>
            <w:vAlign w:val="center"/>
          </w:tcPr>
          <w:p w14:paraId="6EC0C69F">
            <w:pPr>
              <w:pStyle w:val="82"/>
              <w:keepNext w:val="0"/>
              <w:keepLines w:val="0"/>
              <w:suppressLineNumbers w:val="0"/>
              <w:spacing w:before="0" w:beforeAutospacing="0" w:after="0" w:afterAutospacing="0"/>
              <w:ind w:left="38"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项目预算</w:t>
            </w:r>
          </w:p>
        </w:tc>
        <w:tc>
          <w:tcPr>
            <w:tcW w:w="6609" w:type="dxa"/>
            <w:noWrap w:val="0"/>
            <w:vAlign w:val="center"/>
          </w:tcPr>
          <w:p w14:paraId="28C8A052">
            <w:pPr>
              <w:pStyle w:val="82"/>
              <w:keepNext w:val="0"/>
              <w:keepLines w:val="0"/>
              <w:suppressLineNumbers w:val="0"/>
              <w:spacing w:before="0" w:beforeAutospacing="0" w:after="0" w:afterAutospacing="0"/>
              <w:ind w:left="142" w:right="0"/>
              <w:jc w:val="both"/>
              <w:rPr>
                <w:rFonts w:hint="eastAsia" w:ascii="仿宋" w:hAnsi="仿宋" w:eastAsia="仿宋" w:cs="仿宋"/>
                <w:color w:val="auto"/>
                <w:kern w:val="2"/>
                <w:sz w:val="28"/>
                <w:szCs w:val="28"/>
                <w:highlight w:val="none"/>
                <w:lang w:val="zh-CN" w:eastAsia="zh-CN"/>
              </w:rPr>
            </w:pPr>
            <w:r>
              <w:rPr>
                <w:rFonts w:hint="eastAsia" w:ascii="仿宋" w:hAnsi="仿宋" w:eastAsia="仿宋" w:cs="仿宋"/>
                <w:b/>
                <w:bCs/>
                <w:color w:val="auto"/>
                <w:kern w:val="2"/>
                <w:sz w:val="28"/>
                <w:szCs w:val="28"/>
                <w:highlight w:val="none"/>
                <w:lang w:val="en-US" w:eastAsia="zh-CN"/>
              </w:rPr>
              <w:t>1520000.00元</w:t>
            </w:r>
          </w:p>
        </w:tc>
      </w:tr>
      <w:tr w14:paraId="764D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125903A7">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7</w:t>
            </w:r>
          </w:p>
        </w:tc>
        <w:tc>
          <w:tcPr>
            <w:tcW w:w="2081" w:type="dxa"/>
            <w:noWrap w:val="0"/>
            <w:vAlign w:val="center"/>
          </w:tcPr>
          <w:p w14:paraId="147BB8AA">
            <w:pPr>
              <w:pStyle w:val="82"/>
              <w:keepNext w:val="0"/>
              <w:keepLines w:val="0"/>
              <w:suppressLineNumbers w:val="0"/>
              <w:spacing w:before="0" w:beforeAutospacing="0" w:after="0" w:afterAutospacing="0"/>
              <w:ind w:left="38"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报价方式</w:t>
            </w:r>
          </w:p>
        </w:tc>
        <w:tc>
          <w:tcPr>
            <w:tcW w:w="6609" w:type="dxa"/>
            <w:noWrap w:val="0"/>
            <w:vAlign w:val="center"/>
          </w:tcPr>
          <w:p w14:paraId="1D569B3E">
            <w:pPr>
              <w:pStyle w:val="82"/>
              <w:keepNext w:val="0"/>
              <w:keepLines w:val="0"/>
              <w:suppressLineNumbers w:val="0"/>
              <w:spacing w:before="0" w:beforeAutospacing="0" w:after="0" w:afterAutospacing="0"/>
              <w:ind w:left="142" w:right="0"/>
              <w:jc w:val="both"/>
              <w:rPr>
                <w:rFonts w:hint="eastAsia" w:ascii="仿宋" w:hAnsi="仿宋" w:eastAsia="仿宋" w:cs="仿宋"/>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按照总价进行报价（供应商报价超过项目预算的为无效报价）</w:t>
            </w:r>
          </w:p>
        </w:tc>
      </w:tr>
      <w:tr w14:paraId="0318A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07A5D77D">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8</w:t>
            </w:r>
          </w:p>
        </w:tc>
        <w:tc>
          <w:tcPr>
            <w:tcW w:w="2081" w:type="dxa"/>
            <w:noWrap w:val="0"/>
            <w:vAlign w:val="center"/>
          </w:tcPr>
          <w:p w14:paraId="39331660">
            <w:pPr>
              <w:pStyle w:val="82"/>
              <w:keepNext w:val="0"/>
              <w:keepLines w:val="0"/>
              <w:suppressLineNumbers w:val="0"/>
              <w:spacing w:before="0" w:beforeAutospacing="0" w:after="0" w:afterAutospacing="0"/>
              <w:ind w:left="38"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项目用途</w:t>
            </w:r>
          </w:p>
        </w:tc>
        <w:tc>
          <w:tcPr>
            <w:tcW w:w="6609" w:type="dxa"/>
            <w:noWrap w:val="0"/>
            <w:vAlign w:val="center"/>
          </w:tcPr>
          <w:p w14:paraId="28A0AA65">
            <w:pPr>
              <w:pStyle w:val="82"/>
              <w:keepNext w:val="0"/>
              <w:keepLines w:val="0"/>
              <w:suppressLineNumbers w:val="0"/>
              <w:spacing w:before="0" w:beforeAutospacing="0" w:after="0" w:afterAutospacing="0"/>
              <w:ind w:left="142" w:right="0"/>
              <w:jc w:val="both"/>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森林草原湿地荒漠化普查</w:t>
            </w:r>
          </w:p>
        </w:tc>
      </w:tr>
      <w:tr w14:paraId="2063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2ED9DAFD">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9</w:t>
            </w:r>
          </w:p>
        </w:tc>
        <w:tc>
          <w:tcPr>
            <w:tcW w:w="2081" w:type="dxa"/>
            <w:noWrap w:val="0"/>
            <w:vAlign w:val="center"/>
          </w:tcPr>
          <w:p w14:paraId="22EFCA2F">
            <w:pPr>
              <w:pStyle w:val="82"/>
              <w:keepNext w:val="0"/>
              <w:keepLines w:val="0"/>
              <w:suppressLineNumbers w:val="0"/>
              <w:spacing w:before="0" w:beforeAutospacing="0" w:after="0" w:afterAutospacing="0"/>
              <w:ind w:left="38"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采购方式</w:t>
            </w:r>
          </w:p>
        </w:tc>
        <w:tc>
          <w:tcPr>
            <w:tcW w:w="6609" w:type="dxa"/>
            <w:noWrap w:val="0"/>
            <w:vAlign w:val="center"/>
          </w:tcPr>
          <w:p w14:paraId="16B8F4C4">
            <w:pPr>
              <w:pStyle w:val="82"/>
              <w:keepNext w:val="0"/>
              <w:keepLines w:val="0"/>
              <w:suppressLineNumbers w:val="0"/>
              <w:spacing w:before="0" w:beforeAutospacing="0" w:after="0" w:afterAutospacing="0"/>
              <w:ind w:left="142" w:right="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竞争性磋商</w:t>
            </w:r>
          </w:p>
        </w:tc>
      </w:tr>
      <w:tr w14:paraId="2ED4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21EF391F">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10</w:t>
            </w:r>
          </w:p>
        </w:tc>
        <w:tc>
          <w:tcPr>
            <w:tcW w:w="2081" w:type="dxa"/>
            <w:noWrap w:val="0"/>
            <w:vAlign w:val="center"/>
          </w:tcPr>
          <w:p w14:paraId="7702874A">
            <w:pPr>
              <w:pStyle w:val="82"/>
              <w:keepNext w:val="0"/>
              <w:keepLines w:val="0"/>
              <w:suppressLineNumbers w:val="0"/>
              <w:spacing w:before="0" w:beforeAutospacing="0" w:after="0" w:afterAutospacing="0"/>
              <w:ind w:left="38"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采购范围</w:t>
            </w:r>
          </w:p>
        </w:tc>
        <w:tc>
          <w:tcPr>
            <w:tcW w:w="6609" w:type="dxa"/>
            <w:noWrap w:val="0"/>
            <w:vAlign w:val="center"/>
          </w:tcPr>
          <w:p w14:paraId="04E2502F">
            <w:pPr>
              <w:pStyle w:val="82"/>
              <w:keepNext w:val="0"/>
              <w:keepLines w:val="0"/>
              <w:suppressLineNumbers w:val="0"/>
              <w:spacing w:before="0" w:beforeAutospacing="0" w:after="0" w:afterAutospacing="0"/>
              <w:ind w:left="142" w:right="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采取地类对接、遥感监测、外业调查、样地调查方法，摸清林草湿资源数量、质量、结构情况，落实属性边界；制作图件，汇总分析，编制报告、建设数据库；主要功能或目标:为森林草原湿地管理、造林绿化适宜空间评估、林草地耕地空间布局优化、编制“十五五”规划、支撑森林草原保护发展提供基础数据，丰富我县自然资源调查成果。需满足的要求:丰富我县自然资源调查成果，深化完善“三调”一张图。</w:t>
            </w:r>
          </w:p>
        </w:tc>
      </w:tr>
      <w:tr w14:paraId="1F14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3310C213">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1</w:t>
            </w:r>
            <w:r>
              <w:rPr>
                <w:rFonts w:hint="eastAsia" w:ascii="仿宋" w:hAnsi="仿宋" w:eastAsia="仿宋" w:cs="仿宋"/>
                <w:color w:val="auto"/>
                <w:kern w:val="2"/>
                <w:sz w:val="28"/>
                <w:szCs w:val="28"/>
                <w:highlight w:val="none"/>
                <w:lang w:val="en-US" w:eastAsia="zh-CN"/>
              </w:rPr>
              <w:t>1</w:t>
            </w:r>
          </w:p>
        </w:tc>
        <w:tc>
          <w:tcPr>
            <w:tcW w:w="2081" w:type="dxa"/>
            <w:noWrap w:val="0"/>
            <w:vAlign w:val="center"/>
          </w:tcPr>
          <w:p w14:paraId="27F95D88">
            <w:pPr>
              <w:pStyle w:val="82"/>
              <w:keepNext w:val="0"/>
              <w:keepLines w:val="0"/>
              <w:suppressLineNumbers w:val="0"/>
              <w:spacing w:before="0" w:beforeAutospacing="0" w:after="0" w:afterAutospacing="0"/>
              <w:ind w:left="96"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服务期</w:t>
            </w:r>
          </w:p>
        </w:tc>
        <w:tc>
          <w:tcPr>
            <w:tcW w:w="6609" w:type="dxa"/>
            <w:noWrap w:val="0"/>
            <w:vAlign w:val="center"/>
          </w:tcPr>
          <w:p w14:paraId="3ECBA528">
            <w:pPr>
              <w:pStyle w:val="82"/>
              <w:keepNext w:val="0"/>
              <w:keepLines w:val="0"/>
              <w:suppressLineNumbers w:val="0"/>
              <w:spacing w:before="0" w:beforeAutospacing="0" w:after="0" w:afterAutospacing="0"/>
              <w:ind w:left="0" w:right="0"/>
              <w:jc w:val="both"/>
              <w:rPr>
                <w:rFonts w:hint="default"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截止到2025年5月31日前</w:t>
            </w:r>
          </w:p>
        </w:tc>
      </w:tr>
      <w:tr w14:paraId="27AD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4A273E42">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12</w:t>
            </w:r>
          </w:p>
        </w:tc>
        <w:tc>
          <w:tcPr>
            <w:tcW w:w="2081" w:type="dxa"/>
            <w:noWrap w:val="0"/>
            <w:vAlign w:val="center"/>
          </w:tcPr>
          <w:p w14:paraId="233D19DF">
            <w:pPr>
              <w:pStyle w:val="82"/>
              <w:keepNext w:val="0"/>
              <w:keepLines w:val="0"/>
              <w:suppressLineNumbers w:val="0"/>
              <w:spacing w:before="0" w:beforeAutospacing="0" w:after="0" w:afterAutospacing="0"/>
              <w:ind w:left="96"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资格要求</w:t>
            </w:r>
          </w:p>
        </w:tc>
        <w:tc>
          <w:tcPr>
            <w:tcW w:w="6609" w:type="dxa"/>
            <w:noWrap w:val="0"/>
            <w:vAlign w:val="center"/>
          </w:tcPr>
          <w:p w14:paraId="721FBA83">
            <w:pPr>
              <w:pStyle w:val="82"/>
              <w:keepNext w:val="0"/>
              <w:keepLines w:val="0"/>
              <w:suppressLineNumbers w:val="0"/>
              <w:spacing w:before="0" w:beforeAutospacing="0" w:after="0" w:afterAutospacing="0"/>
              <w:ind w:left="142" w:right="0"/>
              <w:jc w:val="both"/>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1具有独立承担民事责任能力的法人、其他组织或自然人，提供合法有效的统一社会信用代码营业执照（事业单位提供事业单位法人证书，自然人提供身份证明）；</w:t>
            </w:r>
          </w:p>
          <w:p w14:paraId="39828DF9">
            <w:pPr>
              <w:pStyle w:val="82"/>
              <w:keepNext w:val="0"/>
              <w:keepLines w:val="0"/>
              <w:suppressLineNumbers w:val="0"/>
              <w:spacing w:before="0" w:beforeAutospacing="0" w:after="0" w:afterAutospacing="0"/>
              <w:ind w:left="142" w:right="0"/>
              <w:jc w:val="both"/>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2法定代表人授权委托书：法定代表人参加磋商的，须出示身份证原件；法定代表人授权他人参加磋商的，须提供法定代表人授权委托书及被授权人身份证原件；</w:t>
            </w:r>
          </w:p>
          <w:p w14:paraId="3836D9E9">
            <w:pPr>
              <w:pStyle w:val="82"/>
              <w:keepNext w:val="0"/>
              <w:keepLines w:val="0"/>
              <w:suppressLineNumbers w:val="0"/>
              <w:spacing w:before="0" w:beforeAutospacing="0" w:after="0" w:afterAutospacing="0"/>
              <w:ind w:left="142" w:right="0"/>
              <w:jc w:val="both"/>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3供应商须具有健全的财务会计制度、具有履行合同所必需的设备和专业技术能力、具有依法缴纳税收和社会保障资金的良好记录，以及参加本项目采购活动前三年内在经营活动中无重大违法活动记录，供应商提供《汉中市政府采购供应商资格承诺函》；</w:t>
            </w:r>
          </w:p>
          <w:p w14:paraId="3811E748">
            <w:pPr>
              <w:pStyle w:val="82"/>
              <w:keepNext w:val="0"/>
              <w:keepLines w:val="0"/>
              <w:suppressLineNumbers w:val="0"/>
              <w:spacing w:before="0" w:beforeAutospacing="0" w:after="0" w:afterAutospacing="0"/>
              <w:ind w:left="142" w:right="0"/>
              <w:jc w:val="both"/>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4供应商须具有行政主管部门颁发的测绘乙级及以上资质；</w:t>
            </w:r>
          </w:p>
          <w:p w14:paraId="5C24E30E">
            <w:pPr>
              <w:pStyle w:val="82"/>
              <w:keepNext w:val="0"/>
              <w:keepLines w:val="0"/>
              <w:suppressLineNumbers w:val="0"/>
              <w:spacing w:before="0" w:beforeAutospacing="0" w:after="0" w:afterAutospacing="0"/>
              <w:ind w:left="142" w:right="0"/>
              <w:jc w:val="both"/>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5本项目专门面向中小企业采购。</w:t>
            </w:r>
          </w:p>
          <w:p w14:paraId="34ACF198">
            <w:pPr>
              <w:pStyle w:val="82"/>
              <w:keepNext w:val="0"/>
              <w:keepLines w:val="0"/>
              <w:suppressLineNumbers w:val="0"/>
              <w:spacing w:before="0" w:beforeAutospacing="0" w:after="0" w:afterAutospacing="0"/>
              <w:ind w:left="0" w:right="0"/>
              <w:jc w:val="both"/>
              <w:rPr>
                <w:rFonts w:hint="eastAsia" w:ascii="仿宋" w:hAnsi="仿宋" w:eastAsia="仿宋" w:cs="仿宋"/>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bidi="ar-SA"/>
              </w:rPr>
              <w:t>注：供应商在开标截止时间之前单独递交上述资格审查文件，缺少任何一项或某项达不到招标文件要求或无法辨识从而不能确认真伪的均按无效文件处理。</w:t>
            </w:r>
          </w:p>
        </w:tc>
      </w:tr>
      <w:tr w14:paraId="64B91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2C8CB635">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1</w:t>
            </w:r>
            <w:r>
              <w:rPr>
                <w:rFonts w:hint="eastAsia" w:ascii="仿宋" w:hAnsi="仿宋" w:eastAsia="仿宋" w:cs="仿宋"/>
                <w:color w:val="auto"/>
                <w:kern w:val="2"/>
                <w:sz w:val="28"/>
                <w:szCs w:val="28"/>
                <w:highlight w:val="none"/>
                <w:lang w:val="en-US" w:eastAsia="zh-CN"/>
              </w:rPr>
              <w:t>3</w:t>
            </w:r>
          </w:p>
        </w:tc>
        <w:tc>
          <w:tcPr>
            <w:tcW w:w="2081" w:type="dxa"/>
            <w:noWrap w:val="0"/>
            <w:vAlign w:val="center"/>
          </w:tcPr>
          <w:p w14:paraId="2B609511">
            <w:pPr>
              <w:pStyle w:val="82"/>
              <w:keepNext w:val="0"/>
              <w:keepLines w:val="0"/>
              <w:suppressLineNumbers w:val="0"/>
              <w:spacing w:before="0" w:beforeAutospacing="0" w:after="0" w:afterAutospacing="0"/>
              <w:ind w:left="235"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联合体磋商</w:t>
            </w:r>
          </w:p>
        </w:tc>
        <w:tc>
          <w:tcPr>
            <w:tcW w:w="6609" w:type="dxa"/>
            <w:noWrap w:val="0"/>
            <w:vAlign w:val="center"/>
          </w:tcPr>
          <w:p w14:paraId="1E3FDE29">
            <w:pPr>
              <w:keepNext w:val="0"/>
              <w:keepLines w:val="0"/>
              <w:suppressLineNumbers w:val="0"/>
              <w:spacing w:before="0" w:beforeAutospacing="0" w:after="0" w:afterAutospacing="0" w:line="340" w:lineRule="exact"/>
              <w:ind w:left="0" w:right="0"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不接受</w:t>
            </w:r>
          </w:p>
          <w:p w14:paraId="571DCC17">
            <w:pPr>
              <w:pStyle w:val="82"/>
              <w:keepNext w:val="0"/>
              <w:keepLines w:val="0"/>
              <w:suppressLineNumbers w:val="0"/>
              <w:spacing w:before="0" w:beforeAutospacing="0" w:after="0" w:afterAutospacing="0"/>
              <w:ind w:left="0" w:right="0" w:firstLine="280" w:firstLineChars="1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 接受，详见供应商须知第3.3条款</w:t>
            </w:r>
          </w:p>
        </w:tc>
      </w:tr>
      <w:tr w14:paraId="6EDA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28A305B1">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1</w:t>
            </w:r>
            <w:r>
              <w:rPr>
                <w:rFonts w:hint="eastAsia" w:ascii="仿宋" w:hAnsi="仿宋" w:eastAsia="仿宋" w:cs="仿宋"/>
                <w:color w:val="auto"/>
                <w:kern w:val="2"/>
                <w:sz w:val="28"/>
                <w:szCs w:val="28"/>
                <w:highlight w:val="none"/>
                <w:lang w:val="en-US" w:eastAsia="zh-CN"/>
              </w:rPr>
              <w:t>4</w:t>
            </w:r>
          </w:p>
        </w:tc>
        <w:tc>
          <w:tcPr>
            <w:tcW w:w="2081" w:type="dxa"/>
            <w:noWrap w:val="0"/>
            <w:vAlign w:val="center"/>
          </w:tcPr>
          <w:p w14:paraId="1118CFDF">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踏勘现场、</w:t>
            </w:r>
          </w:p>
          <w:p w14:paraId="5985BF5D">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磋商前答疑会</w:t>
            </w:r>
          </w:p>
        </w:tc>
        <w:tc>
          <w:tcPr>
            <w:tcW w:w="6609" w:type="dxa"/>
            <w:noWrap w:val="0"/>
            <w:vAlign w:val="center"/>
          </w:tcPr>
          <w:p w14:paraId="6230A94C">
            <w:pPr>
              <w:keepNext w:val="0"/>
              <w:keepLines w:val="0"/>
              <w:suppressLineNumbers w:val="0"/>
              <w:spacing w:before="0" w:beforeAutospacing="0" w:after="0" w:afterAutospacing="0"/>
              <w:ind w:left="0" w:right="0" w:firstLine="280" w:firstLineChars="1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不组织</w:t>
            </w:r>
            <w:r>
              <w:rPr>
                <w:rFonts w:hint="eastAsia" w:ascii="仿宋" w:hAnsi="仿宋" w:eastAsia="仿宋" w:cs="仿宋"/>
                <w:color w:val="auto"/>
                <w:sz w:val="28"/>
                <w:szCs w:val="28"/>
                <w:highlight w:val="none"/>
                <w:lang w:bidi="ar"/>
              </w:rPr>
              <w:t>，磋商人自行踏勘现场</w:t>
            </w:r>
          </w:p>
          <w:p w14:paraId="5F1C0D0E">
            <w:pPr>
              <w:pStyle w:val="82"/>
              <w:keepNext w:val="0"/>
              <w:keepLines w:val="0"/>
              <w:suppressLineNumbers w:val="0"/>
              <w:spacing w:before="0" w:beforeAutospacing="0" w:after="0" w:afterAutospacing="0"/>
              <w:ind w:left="0" w:right="0" w:firstLine="280" w:firstLineChars="100"/>
              <w:jc w:val="both"/>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 组织，踏勘时间：</w:t>
            </w:r>
          </w:p>
          <w:p w14:paraId="46CDA4F1">
            <w:pPr>
              <w:pStyle w:val="82"/>
              <w:keepNext w:val="0"/>
              <w:keepLines w:val="0"/>
              <w:suppressLineNumbers w:val="0"/>
              <w:spacing w:before="0" w:beforeAutospacing="0" w:after="0" w:afterAutospacing="0"/>
              <w:ind w:left="0" w:right="0" w:firstLine="280" w:firstLineChars="1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 xml:space="preserve">   踏勘集中地点：</w:t>
            </w:r>
          </w:p>
        </w:tc>
      </w:tr>
      <w:tr w14:paraId="3265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0DB51D6B">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1</w:t>
            </w:r>
            <w:r>
              <w:rPr>
                <w:rFonts w:hint="eastAsia" w:ascii="仿宋" w:hAnsi="仿宋" w:eastAsia="仿宋" w:cs="仿宋"/>
                <w:color w:val="auto"/>
                <w:kern w:val="2"/>
                <w:sz w:val="28"/>
                <w:szCs w:val="28"/>
                <w:highlight w:val="none"/>
                <w:lang w:val="en-US" w:eastAsia="zh-CN"/>
              </w:rPr>
              <w:t>5</w:t>
            </w:r>
          </w:p>
        </w:tc>
        <w:tc>
          <w:tcPr>
            <w:tcW w:w="2081" w:type="dxa"/>
            <w:noWrap w:val="0"/>
            <w:vAlign w:val="center"/>
          </w:tcPr>
          <w:p w14:paraId="1C068DAB">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转包与分包</w:t>
            </w:r>
          </w:p>
        </w:tc>
        <w:tc>
          <w:tcPr>
            <w:tcW w:w="6609" w:type="dxa"/>
            <w:noWrap w:val="0"/>
            <w:vAlign w:val="center"/>
          </w:tcPr>
          <w:p w14:paraId="56FA347A">
            <w:pPr>
              <w:pStyle w:val="82"/>
              <w:keepNext w:val="0"/>
              <w:keepLines w:val="0"/>
              <w:suppressLineNumbers w:val="0"/>
              <w:spacing w:before="0" w:beforeAutospacing="0" w:after="0" w:afterAutospacing="0" w:line="320" w:lineRule="exact"/>
              <w:ind w:left="0" w:right="0" w:firstLine="280" w:firstLineChars="100"/>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本项目不得转包。是否允许分包：</w:t>
            </w:r>
          </w:p>
          <w:p w14:paraId="474B00BA">
            <w:pPr>
              <w:pStyle w:val="82"/>
              <w:keepNext w:val="0"/>
              <w:keepLines w:val="0"/>
              <w:suppressLineNumbers w:val="0"/>
              <w:spacing w:before="0" w:beforeAutospacing="0" w:after="0" w:afterAutospacing="0" w:line="320" w:lineRule="exact"/>
              <w:ind w:left="0" w:right="0" w:firstLine="280" w:firstLineChars="100"/>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rPr>
              <w:t xml:space="preserve">☑ </w:t>
            </w:r>
            <w:r>
              <w:rPr>
                <w:rFonts w:hint="eastAsia" w:ascii="仿宋" w:hAnsi="仿宋" w:eastAsia="仿宋" w:cs="仿宋"/>
                <w:color w:val="auto"/>
                <w:kern w:val="2"/>
                <w:sz w:val="28"/>
                <w:szCs w:val="28"/>
                <w:highlight w:val="none"/>
                <w:lang w:val="zh-CN"/>
              </w:rPr>
              <w:t>不允许</w:t>
            </w:r>
          </w:p>
          <w:p w14:paraId="51C10C2C">
            <w:pPr>
              <w:pStyle w:val="82"/>
              <w:keepNext w:val="0"/>
              <w:keepLines w:val="0"/>
              <w:suppressLineNumbers w:val="0"/>
              <w:spacing w:before="0" w:beforeAutospacing="0" w:after="0" w:afterAutospacing="0" w:line="320" w:lineRule="exact"/>
              <w:ind w:left="0" w:right="0" w:firstLine="280" w:firstLineChars="100"/>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 允许 分包内容要求：</w:t>
            </w:r>
          </w:p>
          <w:p w14:paraId="264E0F5B">
            <w:pPr>
              <w:pStyle w:val="82"/>
              <w:keepNext w:val="0"/>
              <w:keepLines w:val="0"/>
              <w:suppressLineNumbers w:val="0"/>
              <w:spacing w:before="0" w:beforeAutospacing="0" w:after="0" w:afterAutospacing="0" w:line="320" w:lineRule="exact"/>
              <w:ind w:left="0" w:right="0" w:firstLine="280" w:firstLineChars="100"/>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 xml:space="preserve">        分包金额要求：</w:t>
            </w:r>
          </w:p>
          <w:p w14:paraId="16809B2F">
            <w:pPr>
              <w:pStyle w:val="82"/>
              <w:keepNext w:val="0"/>
              <w:keepLines w:val="0"/>
              <w:suppressLineNumbers w:val="0"/>
              <w:spacing w:before="0" w:beforeAutospacing="0" w:after="0" w:afterAutospacing="0" w:line="320" w:lineRule="exact"/>
              <w:ind w:left="0" w:right="0" w:firstLine="280" w:firstLineChars="1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 xml:space="preserve">        接受分包的第三人资质要求：</w:t>
            </w:r>
          </w:p>
        </w:tc>
      </w:tr>
      <w:tr w14:paraId="248A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36000BD3">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1</w:t>
            </w:r>
            <w:r>
              <w:rPr>
                <w:rFonts w:hint="eastAsia" w:ascii="仿宋" w:hAnsi="仿宋" w:eastAsia="仿宋" w:cs="仿宋"/>
                <w:color w:val="auto"/>
                <w:kern w:val="2"/>
                <w:sz w:val="28"/>
                <w:szCs w:val="28"/>
                <w:highlight w:val="none"/>
                <w:lang w:val="en-US" w:eastAsia="zh-CN"/>
              </w:rPr>
              <w:t>6</w:t>
            </w:r>
          </w:p>
        </w:tc>
        <w:tc>
          <w:tcPr>
            <w:tcW w:w="2081" w:type="dxa"/>
            <w:noWrap w:val="0"/>
            <w:vAlign w:val="center"/>
          </w:tcPr>
          <w:p w14:paraId="0E9DA129">
            <w:pPr>
              <w:pStyle w:val="5"/>
              <w:keepNext w:val="0"/>
              <w:keepLines w:val="0"/>
              <w:suppressLineNumbers w:val="0"/>
              <w:spacing w:before="0" w:beforeAutospacing="0" w:after="0" w:afterAutospacing="0"/>
              <w:ind w:left="0" w:right="0" w:firstLine="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磋商文件澄清</w:t>
            </w:r>
          </w:p>
          <w:p w14:paraId="535A9B8D">
            <w:pPr>
              <w:pStyle w:val="5"/>
              <w:keepNext w:val="0"/>
              <w:keepLines w:val="0"/>
              <w:suppressLineNumbers w:val="0"/>
              <w:spacing w:before="0" w:beforeAutospacing="0" w:after="0" w:afterAutospacing="0"/>
              <w:ind w:left="0" w:right="0" w:firstLine="0"/>
              <w:jc w:val="center"/>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或修改时间、形式</w:t>
            </w:r>
          </w:p>
        </w:tc>
        <w:tc>
          <w:tcPr>
            <w:tcW w:w="6609" w:type="dxa"/>
            <w:noWrap w:val="0"/>
            <w:vAlign w:val="center"/>
          </w:tcPr>
          <w:p w14:paraId="789E701A">
            <w:pPr>
              <w:pStyle w:val="5"/>
              <w:keepNext w:val="0"/>
              <w:keepLines w:val="0"/>
              <w:suppressLineNumbers w:val="0"/>
              <w:spacing w:before="0" w:beforeAutospacing="0" w:after="0" w:afterAutospacing="0"/>
              <w:ind w:left="0" w:right="0"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时间：</w:t>
            </w:r>
            <w:r>
              <w:rPr>
                <w:rFonts w:hint="eastAsia" w:ascii="仿宋" w:hAnsi="仿宋" w:eastAsia="仿宋" w:cs="仿宋"/>
                <w:color w:val="auto"/>
                <w:sz w:val="28"/>
                <w:szCs w:val="28"/>
                <w:highlight w:val="none"/>
              </w:rPr>
              <w:t>提交响应文件截至时间5日前</w:t>
            </w:r>
          </w:p>
          <w:p w14:paraId="6E5EB860">
            <w:pPr>
              <w:pStyle w:val="5"/>
              <w:keepNext w:val="0"/>
              <w:keepLines w:val="0"/>
              <w:suppressLineNumbers w:val="0"/>
              <w:spacing w:before="0" w:beforeAutospacing="0" w:after="0" w:afterAutospacing="0"/>
              <w:ind w:left="0" w:right="0"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形式：书面和公告</w:t>
            </w:r>
          </w:p>
        </w:tc>
      </w:tr>
      <w:tr w14:paraId="4FFA9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280D4419">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1</w:t>
            </w:r>
            <w:r>
              <w:rPr>
                <w:rFonts w:hint="eastAsia" w:ascii="仿宋" w:hAnsi="仿宋" w:eastAsia="仿宋" w:cs="仿宋"/>
                <w:color w:val="auto"/>
                <w:kern w:val="2"/>
                <w:sz w:val="28"/>
                <w:szCs w:val="28"/>
                <w:highlight w:val="none"/>
                <w:lang w:val="en-US" w:eastAsia="zh-CN"/>
              </w:rPr>
              <w:t>7</w:t>
            </w:r>
          </w:p>
        </w:tc>
        <w:tc>
          <w:tcPr>
            <w:tcW w:w="2081" w:type="dxa"/>
            <w:noWrap w:val="0"/>
            <w:vAlign w:val="center"/>
          </w:tcPr>
          <w:p w14:paraId="7CAF18FA">
            <w:pPr>
              <w:pStyle w:val="82"/>
              <w:keepNext w:val="0"/>
              <w:keepLines w:val="0"/>
              <w:suppressLineNumbers w:val="0"/>
              <w:spacing w:before="0" w:beforeAutospacing="0" w:after="0" w:afterAutospacing="0"/>
              <w:ind w:left="52"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构成磋商文件的</w:t>
            </w:r>
          </w:p>
          <w:p w14:paraId="3D1EBE51">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其他文件</w:t>
            </w:r>
          </w:p>
        </w:tc>
        <w:tc>
          <w:tcPr>
            <w:tcW w:w="6609" w:type="dxa"/>
            <w:noWrap w:val="0"/>
            <w:vAlign w:val="center"/>
          </w:tcPr>
          <w:p w14:paraId="7B080411">
            <w:pPr>
              <w:pStyle w:val="82"/>
              <w:keepNext w:val="0"/>
              <w:keepLines w:val="0"/>
              <w:suppressLineNumbers w:val="0"/>
              <w:spacing w:before="0" w:beforeAutospacing="0" w:after="0" w:afterAutospacing="0"/>
              <w:ind w:left="210" w:leftChars="100" w:right="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磋商文件的澄清</w:t>
            </w:r>
            <w:r>
              <w:rPr>
                <w:rFonts w:hint="eastAsia" w:ascii="仿宋" w:hAnsi="仿宋" w:eastAsia="仿宋" w:cs="仿宋"/>
                <w:color w:val="auto"/>
                <w:kern w:val="2"/>
                <w:sz w:val="28"/>
                <w:szCs w:val="28"/>
                <w:highlight w:val="none"/>
              </w:rPr>
              <w:t>、修改书及有关补充通知为磋商文件的有效组成部分</w:t>
            </w:r>
          </w:p>
        </w:tc>
      </w:tr>
      <w:tr w14:paraId="235D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36AC4960">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18</w:t>
            </w:r>
          </w:p>
        </w:tc>
        <w:tc>
          <w:tcPr>
            <w:tcW w:w="2081" w:type="dxa"/>
            <w:noWrap w:val="0"/>
            <w:vAlign w:val="center"/>
          </w:tcPr>
          <w:p w14:paraId="7CE035BB">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供应商对磋商文件提出质疑的时间、形式</w:t>
            </w:r>
          </w:p>
        </w:tc>
        <w:tc>
          <w:tcPr>
            <w:tcW w:w="6609" w:type="dxa"/>
            <w:noWrap w:val="0"/>
            <w:vAlign w:val="center"/>
          </w:tcPr>
          <w:p w14:paraId="27539032">
            <w:pPr>
              <w:pStyle w:val="82"/>
              <w:keepNext w:val="0"/>
              <w:keepLines w:val="0"/>
              <w:suppressLineNumbers w:val="0"/>
              <w:spacing w:before="0" w:beforeAutospacing="0" w:after="0" w:afterAutospacing="0" w:line="320" w:lineRule="exact"/>
              <w:ind w:left="1050" w:leftChars="100" w:right="0" w:hanging="840" w:hangingChars="300"/>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时间：自供应商收到磋商文件之日起7个工作日内，超过期限的采购人或采购代理机构不再受理</w:t>
            </w:r>
          </w:p>
          <w:p w14:paraId="55761F90">
            <w:pPr>
              <w:pStyle w:val="82"/>
              <w:keepNext w:val="0"/>
              <w:keepLines w:val="0"/>
              <w:suppressLineNumbers w:val="0"/>
              <w:spacing w:before="0" w:beforeAutospacing="0" w:after="0" w:afterAutospacing="0" w:line="320" w:lineRule="exact"/>
              <w:ind w:left="0" w:right="0" w:firstLine="280" w:firstLineChars="1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形式：书面形式（详见</w:t>
            </w:r>
            <w:r>
              <w:rPr>
                <w:rFonts w:hint="eastAsia" w:ascii="仿宋" w:hAnsi="仿宋" w:eastAsia="仿宋" w:cs="仿宋"/>
                <w:color w:val="auto"/>
                <w:kern w:val="2"/>
                <w:sz w:val="28"/>
                <w:szCs w:val="28"/>
                <w:highlight w:val="none"/>
              </w:rPr>
              <w:t>供应商须知第12.1.3条款</w:t>
            </w:r>
            <w:r>
              <w:rPr>
                <w:rFonts w:hint="eastAsia" w:ascii="仿宋" w:hAnsi="仿宋" w:eastAsia="仿宋" w:cs="仿宋"/>
                <w:color w:val="auto"/>
                <w:kern w:val="2"/>
                <w:sz w:val="28"/>
                <w:szCs w:val="28"/>
                <w:highlight w:val="none"/>
                <w:lang w:val="zh-CN"/>
              </w:rPr>
              <w:t>）</w:t>
            </w:r>
          </w:p>
        </w:tc>
      </w:tr>
      <w:tr w14:paraId="25054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578DECAB">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19</w:t>
            </w:r>
          </w:p>
        </w:tc>
        <w:tc>
          <w:tcPr>
            <w:tcW w:w="2081" w:type="dxa"/>
            <w:noWrap w:val="0"/>
            <w:vAlign w:val="center"/>
          </w:tcPr>
          <w:p w14:paraId="1EA52820">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对供应商提出质疑答复时间、形式</w:t>
            </w:r>
          </w:p>
        </w:tc>
        <w:tc>
          <w:tcPr>
            <w:tcW w:w="6609" w:type="dxa"/>
            <w:noWrap w:val="0"/>
            <w:vAlign w:val="center"/>
          </w:tcPr>
          <w:p w14:paraId="0F5B634D">
            <w:pPr>
              <w:pStyle w:val="82"/>
              <w:keepNext w:val="0"/>
              <w:keepLines w:val="0"/>
              <w:suppressLineNumbers w:val="0"/>
              <w:spacing w:before="0" w:beforeAutospacing="0" w:after="0" w:afterAutospacing="0"/>
              <w:ind w:left="0" w:right="0" w:firstLine="280" w:firstLineChars="100"/>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时间：自收到供应商质疑函之日起7个工作日内</w:t>
            </w:r>
          </w:p>
          <w:p w14:paraId="1B5AEF36">
            <w:pPr>
              <w:pStyle w:val="82"/>
              <w:keepNext w:val="0"/>
              <w:keepLines w:val="0"/>
              <w:suppressLineNumbers w:val="0"/>
              <w:spacing w:before="0" w:beforeAutospacing="0" w:after="0" w:afterAutospacing="0"/>
              <w:ind w:left="0" w:right="0" w:firstLine="280" w:firstLineChars="1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形式：书面形式</w:t>
            </w:r>
          </w:p>
        </w:tc>
      </w:tr>
      <w:tr w14:paraId="37F6E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1F8A1A0F">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2</w:t>
            </w:r>
            <w:r>
              <w:rPr>
                <w:rFonts w:hint="eastAsia" w:ascii="仿宋" w:hAnsi="仿宋" w:eastAsia="仿宋" w:cs="仿宋"/>
                <w:color w:val="auto"/>
                <w:kern w:val="2"/>
                <w:sz w:val="28"/>
                <w:szCs w:val="28"/>
                <w:highlight w:val="none"/>
                <w:lang w:val="en-US" w:eastAsia="zh-CN"/>
              </w:rPr>
              <w:t>0</w:t>
            </w:r>
          </w:p>
        </w:tc>
        <w:tc>
          <w:tcPr>
            <w:tcW w:w="2081" w:type="dxa"/>
            <w:noWrap w:val="0"/>
            <w:vAlign w:val="center"/>
          </w:tcPr>
          <w:p w14:paraId="1D336F94">
            <w:pPr>
              <w:pStyle w:val="82"/>
              <w:keepNext w:val="0"/>
              <w:keepLines w:val="0"/>
              <w:suppressLineNumbers w:val="0"/>
              <w:spacing w:before="0" w:beforeAutospacing="0" w:after="0" w:afterAutospacing="0"/>
              <w:ind w:left="33" w:right="0"/>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磋商有效期</w:t>
            </w:r>
          </w:p>
        </w:tc>
        <w:tc>
          <w:tcPr>
            <w:tcW w:w="6609" w:type="dxa"/>
            <w:noWrap w:val="0"/>
            <w:vAlign w:val="center"/>
          </w:tcPr>
          <w:p w14:paraId="0475179C">
            <w:pPr>
              <w:pStyle w:val="82"/>
              <w:keepNext w:val="0"/>
              <w:keepLines w:val="0"/>
              <w:suppressLineNumbers w:val="0"/>
              <w:spacing w:before="0" w:beforeAutospacing="0" w:after="0" w:afterAutospacing="0"/>
              <w:ind w:left="0" w:right="0" w:firstLine="280" w:firstLineChars="1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从响应文件首次提交截止之日起90日</w:t>
            </w:r>
          </w:p>
        </w:tc>
      </w:tr>
      <w:tr w14:paraId="46BF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5061B8F5">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2</w:t>
            </w:r>
            <w:r>
              <w:rPr>
                <w:rFonts w:hint="eastAsia" w:ascii="仿宋" w:hAnsi="仿宋" w:eastAsia="仿宋" w:cs="仿宋"/>
                <w:color w:val="auto"/>
                <w:kern w:val="2"/>
                <w:sz w:val="28"/>
                <w:szCs w:val="28"/>
                <w:highlight w:val="none"/>
                <w:lang w:val="en-US" w:eastAsia="zh-CN"/>
              </w:rPr>
              <w:t>1</w:t>
            </w:r>
          </w:p>
        </w:tc>
        <w:tc>
          <w:tcPr>
            <w:tcW w:w="2081" w:type="dxa"/>
            <w:noWrap w:val="0"/>
            <w:vAlign w:val="center"/>
          </w:tcPr>
          <w:p w14:paraId="123A78D4">
            <w:pPr>
              <w:pStyle w:val="82"/>
              <w:keepNext w:val="0"/>
              <w:keepLines w:val="0"/>
              <w:suppressLineNumbers w:val="0"/>
              <w:spacing w:before="0" w:beforeAutospacing="0" w:after="0" w:afterAutospacing="0"/>
              <w:ind w:left="33"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是否允许递交多个备选磋商方案</w:t>
            </w:r>
          </w:p>
        </w:tc>
        <w:tc>
          <w:tcPr>
            <w:tcW w:w="6609" w:type="dxa"/>
            <w:noWrap w:val="0"/>
            <w:vAlign w:val="center"/>
          </w:tcPr>
          <w:p w14:paraId="124D019D">
            <w:pPr>
              <w:pStyle w:val="82"/>
              <w:keepNext w:val="0"/>
              <w:keepLines w:val="0"/>
              <w:suppressLineNumbers w:val="0"/>
              <w:spacing w:before="0" w:beforeAutospacing="0" w:after="0" w:afterAutospacing="0"/>
              <w:ind w:left="0" w:right="0" w:firstLine="280" w:firstLineChars="100"/>
              <w:jc w:val="both"/>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zh-CN"/>
              </w:rPr>
              <w:t xml:space="preserve"> 不允许</w:t>
            </w:r>
          </w:p>
          <w:p w14:paraId="07BC3A27">
            <w:pPr>
              <w:pStyle w:val="82"/>
              <w:keepNext w:val="0"/>
              <w:keepLines w:val="0"/>
              <w:numPr>
                <w:ilvl w:val="0"/>
                <w:numId w:val="3"/>
              </w:numPr>
              <w:suppressLineNumbers w:val="0"/>
              <w:spacing w:before="0" w:beforeAutospacing="0" w:after="0" w:afterAutospacing="0"/>
              <w:ind w:right="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 xml:space="preserve"> 允许</w:t>
            </w:r>
          </w:p>
        </w:tc>
      </w:tr>
      <w:tr w14:paraId="527F4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02B94A80">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2</w:t>
            </w:r>
            <w:r>
              <w:rPr>
                <w:rFonts w:hint="eastAsia" w:ascii="仿宋" w:hAnsi="仿宋" w:eastAsia="仿宋" w:cs="仿宋"/>
                <w:color w:val="auto"/>
                <w:kern w:val="2"/>
                <w:sz w:val="28"/>
                <w:szCs w:val="28"/>
                <w:highlight w:val="none"/>
                <w:lang w:val="en-US" w:eastAsia="zh-CN"/>
              </w:rPr>
              <w:t>2</w:t>
            </w:r>
          </w:p>
        </w:tc>
        <w:tc>
          <w:tcPr>
            <w:tcW w:w="2081" w:type="dxa"/>
            <w:noWrap w:val="0"/>
            <w:vAlign w:val="center"/>
          </w:tcPr>
          <w:p w14:paraId="623C3339">
            <w:pPr>
              <w:pStyle w:val="82"/>
              <w:keepNext w:val="0"/>
              <w:keepLines w:val="0"/>
              <w:suppressLineNumbers w:val="0"/>
              <w:spacing w:before="0" w:beforeAutospacing="0" w:after="0" w:afterAutospacing="0"/>
              <w:ind w:left="33"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磋商保证金</w:t>
            </w:r>
          </w:p>
        </w:tc>
        <w:tc>
          <w:tcPr>
            <w:tcW w:w="6609" w:type="dxa"/>
            <w:noWrap w:val="0"/>
            <w:vAlign w:val="center"/>
          </w:tcPr>
          <w:p w14:paraId="4BDEB34F">
            <w:pPr>
              <w:keepNext w:val="0"/>
              <w:keepLines w:val="0"/>
              <w:suppressLineNumbers w:val="0"/>
              <w:spacing w:before="120" w:beforeLines="50" w:beforeAutospacing="0" w:after="0" w:afterAutospacing="0"/>
              <w:ind w:left="0" w:right="0"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是否要求供应商提交磋商保证金：</w:t>
            </w:r>
          </w:p>
          <w:p w14:paraId="69CA7BDD">
            <w:pPr>
              <w:keepNext w:val="0"/>
              <w:keepLines w:val="0"/>
              <w:suppressLineNumbers w:val="0"/>
              <w:spacing w:before="0" w:beforeAutospacing="0" w:after="0" w:afterAutospacing="0"/>
              <w:ind w:left="0" w:right="0"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sym w:font="Wingdings 2" w:char="00A3"/>
            </w:r>
            <w:r>
              <w:rPr>
                <w:rFonts w:hint="eastAsia" w:ascii="仿宋" w:hAnsi="仿宋" w:eastAsia="仿宋" w:cs="仿宋"/>
                <w:b/>
                <w:color w:val="auto"/>
                <w:sz w:val="28"/>
                <w:szCs w:val="28"/>
                <w:highlight w:val="none"/>
              </w:rPr>
              <w:t xml:space="preserve">  </w:t>
            </w:r>
            <w:r>
              <w:rPr>
                <w:rFonts w:hint="eastAsia" w:ascii="仿宋" w:hAnsi="仿宋" w:eastAsia="仿宋" w:cs="仿宋"/>
                <w:color w:val="auto"/>
                <w:sz w:val="28"/>
                <w:szCs w:val="28"/>
                <w:highlight w:val="none"/>
              </w:rPr>
              <w:t>要求：</w:t>
            </w:r>
          </w:p>
          <w:p w14:paraId="40BFE6A0">
            <w:pPr>
              <w:pStyle w:val="82"/>
              <w:keepNext w:val="0"/>
              <w:keepLines w:val="0"/>
              <w:suppressLineNumbers w:val="0"/>
              <w:spacing w:before="0" w:beforeAutospacing="0" w:after="0" w:afterAutospacing="0"/>
              <w:ind w:left="142" w:right="0"/>
              <w:jc w:val="both"/>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rPr>
              <w:t xml:space="preserve"> </w:t>
            </w:r>
            <w:r>
              <w:rPr>
                <w:rFonts w:hint="eastAsia" w:ascii="仿宋" w:hAnsi="仿宋" w:eastAsia="仿宋" w:cs="仿宋"/>
                <w:color w:val="auto"/>
                <w:kern w:val="2"/>
                <w:sz w:val="28"/>
                <w:szCs w:val="28"/>
                <w:highlight w:val="none"/>
              </w:rPr>
              <w:sym w:font="Wingdings 2" w:char="0052"/>
            </w:r>
            <w:r>
              <w:rPr>
                <w:rFonts w:hint="eastAsia" w:ascii="仿宋" w:hAnsi="仿宋" w:eastAsia="仿宋" w:cs="仿宋"/>
                <w:color w:val="auto"/>
                <w:kern w:val="2"/>
                <w:sz w:val="28"/>
                <w:szCs w:val="28"/>
                <w:highlight w:val="none"/>
              </w:rPr>
              <w:t xml:space="preserve"> 不要求</w:t>
            </w:r>
          </w:p>
          <w:p w14:paraId="19C6781A">
            <w:pPr>
              <w:pStyle w:val="82"/>
              <w:keepNext w:val="0"/>
              <w:keepLines w:val="0"/>
              <w:suppressLineNumbers w:val="0"/>
              <w:spacing w:before="0" w:beforeAutospacing="0" w:after="0" w:afterAutospacing="0"/>
              <w:ind w:left="142" w:right="0"/>
              <w:jc w:val="both"/>
              <w:rPr>
                <w:rFonts w:hint="eastAsia" w:ascii="仿宋" w:hAnsi="仿宋" w:eastAsia="仿宋" w:cs="仿宋"/>
                <w:color w:val="auto"/>
                <w:kern w:val="2"/>
                <w:sz w:val="28"/>
                <w:szCs w:val="28"/>
                <w:highlight w:val="none"/>
                <w:lang w:eastAsia="zh-CN"/>
              </w:rPr>
            </w:pPr>
            <w:r>
              <w:rPr>
                <w:rFonts w:hint="eastAsia" w:ascii="仿宋" w:hAnsi="仿宋" w:eastAsia="仿宋" w:cs="仿宋"/>
                <w:b/>
                <w:bCs/>
                <w:color w:val="auto"/>
                <w:kern w:val="2"/>
                <w:sz w:val="28"/>
                <w:szCs w:val="28"/>
                <w:highlight w:val="none"/>
                <w:lang w:val="zh-CN"/>
              </w:rPr>
              <w:t>如参标供应商主动放弃参与项目开标，应至少于开标前一个工作日书面或致电告知采购代理机构</w:t>
            </w:r>
          </w:p>
        </w:tc>
      </w:tr>
      <w:tr w14:paraId="2964B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6916D13D">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2</w:t>
            </w:r>
            <w:r>
              <w:rPr>
                <w:rFonts w:hint="eastAsia" w:ascii="仿宋" w:hAnsi="仿宋" w:eastAsia="仿宋" w:cs="仿宋"/>
                <w:color w:val="auto"/>
                <w:kern w:val="2"/>
                <w:sz w:val="28"/>
                <w:szCs w:val="28"/>
                <w:highlight w:val="none"/>
                <w:lang w:val="en-US" w:eastAsia="zh-CN"/>
              </w:rPr>
              <w:t>3</w:t>
            </w:r>
          </w:p>
        </w:tc>
        <w:tc>
          <w:tcPr>
            <w:tcW w:w="2081" w:type="dxa"/>
            <w:noWrap w:val="0"/>
            <w:vAlign w:val="center"/>
          </w:tcPr>
          <w:p w14:paraId="263EBBC3">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不予退还磋商</w:t>
            </w:r>
          </w:p>
          <w:p w14:paraId="16E3017D">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保证金的情形</w:t>
            </w:r>
          </w:p>
        </w:tc>
        <w:tc>
          <w:tcPr>
            <w:tcW w:w="6609" w:type="dxa"/>
            <w:noWrap w:val="0"/>
            <w:vAlign w:val="center"/>
          </w:tcPr>
          <w:p w14:paraId="30C09111">
            <w:pPr>
              <w:pStyle w:val="82"/>
              <w:keepNext w:val="0"/>
              <w:keepLines w:val="0"/>
              <w:suppressLineNumbers w:val="0"/>
              <w:spacing w:before="0" w:beforeAutospacing="0" w:after="0" w:afterAutospacing="0"/>
              <w:ind w:left="0" w:right="0" w:firstLine="280" w:firstLineChars="1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详见</w:t>
            </w:r>
            <w:r>
              <w:rPr>
                <w:rFonts w:hint="eastAsia" w:ascii="仿宋" w:hAnsi="仿宋" w:eastAsia="仿宋" w:cs="仿宋"/>
                <w:color w:val="auto"/>
                <w:kern w:val="2"/>
                <w:sz w:val="28"/>
                <w:szCs w:val="28"/>
                <w:highlight w:val="none"/>
              </w:rPr>
              <w:t>供应商须知第4.5.3.2条款</w:t>
            </w:r>
          </w:p>
        </w:tc>
      </w:tr>
      <w:tr w14:paraId="6D31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7E68CD56">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2</w:t>
            </w:r>
            <w:r>
              <w:rPr>
                <w:rFonts w:hint="eastAsia" w:ascii="仿宋" w:hAnsi="仿宋" w:eastAsia="仿宋" w:cs="仿宋"/>
                <w:color w:val="auto"/>
                <w:kern w:val="2"/>
                <w:sz w:val="28"/>
                <w:szCs w:val="28"/>
                <w:highlight w:val="none"/>
                <w:lang w:val="en-US" w:eastAsia="zh-CN"/>
              </w:rPr>
              <w:t>4</w:t>
            </w:r>
          </w:p>
        </w:tc>
        <w:tc>
          <w:tcPr>
            <w:tcW w:w="2081" w:type="dxa"/>
            <w:noWrap w:val="0"/>
            <w:vAlign w:val="center"/>
          </w:tcPr>
          <w:p w14:paraId="0B191EEC">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响应文件份数</w:t>
            </w:r>
          </w:p>
        </w:tc>
        <w:tc>
          <w:tcPr>
            <w:tcW w:w="6609" w:type="dxa"/>
            <w:noWrap w:val="0"/>
            <w:vAlign w:val="center"/>
          </w:tcPr>
          <w:p w14:paraId="527477BC">
            <w:pPr>
              <w:pStyle w:val="82"/>
              <w:keepNext w:val="0"/>
              <w:keepLines w:val="0"/>
              <w:suppressLineNumbers w:val="0"/>
              <w:spacing w:before="0" w:beforeAutospacing="0" w:after="0" w:afterAutospacing="0"/>
              <w:ind w:left="0" w:right="0" w:firstLine="280" w:firstLineChars="1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正本</w:t>
            </w:r>
            <w:r>
              <w:rPr>
                <w:rFonts w:hint="eastAsia" w:ascii="仿宋" w:hAnsi="仿宋" w:eastAsia="仿宋" w:cs="仿宋"/>
                <w:color w:val="auto"/>
                <w:kern w:val="2"/>
                <w:sz w:val="28"/>
                <w:szCs w:val="28"/>
                <w:highlight w:val="none"/>
                <w:u w:val="single"/>
                <w:lang w:val="en-US" w:eastAsia="zh-CN"/>
              </w:rPr>
              <w:t xml:space="preserve"> </w:t>
            </w:r>
            <w:r>
              <w:rPr>
                <w:rFonts w:hint="eastAsia" w:ascii="仿宋" w:hAnsi="仿宋" w:eastAsia="仿宋" w:cs="仿宋"/>
                <w:color w:val="auto"/>
                <w:kern w:val="2"/>
                <w:sz w:val="28"/>
                <w:szCs w:val="28"/>
                <w:highlight w:val="none"/>
                <w:u w:val="single"/>
              </w:rPr>
              <w:t>1</w:t>
            </w:r>
            <w:r>
              <w:rPr>
                <w:rFonts w:hint="eastAsia" w:ascii="仿宋" w:hAnsi="仿宋" w:eastAsia="仿宋" w:cs="仿宋"/>
                <w:color w:val="auto"/>
                <w:kern w:val="2"/>
                <w:sz w:val="28"/>
                <w:szCs w:val="28"/>
                <w:highlight w:val="none"/>
                <w:u w:val="single"/>
                <w:lang w:val="en-US" w:eastAsia="zh-CN"/>
              </w:rPr>
              <w:t xml:space="preserve"> </w:t>
            </w:r>
            <w:r>
              <w:rPr>
                <w:rFonts w:hint="eastAsia" w:ascii="仿宋" w:hAnsi="仿宋" w:eastAsia="仿宋" w:cs="仿宋"/>
                <w:color w:val="auto"/>
                <w:kern w:val="2"/>
                <w:sz w:val="28"/>
                <w:szCs w:val="28"/>
                <w:highlight w:val="none"/>
              </w:rPr>
              <w:t>份、副本</w:t>
            </w:r>
            <w:r>
              <w:rPr>
                <w:rFonts w:hint="eastAsia" w:ascii="仿宋" w:hAnsi="仿宋" w:eastAsia="仿宋" w:cs="仿宋"/>
                <w:color w:val="auto"/>
                <w:kern w:val="2"/>
                <w:sz w:val="28"/>
                <w:szCs w:val="28"/>
                <w:highlight w:val="none"/>
                <w:u w:val="single"/>
                <w:lang w:val="en-US" w:eastAsia="zh-CN"/>
              </w:rPr>
              <w:t xml:space="preserve"> 2 </w:t>
            </w:r>
            <w:r>
              <w:rPr>
                <w:rFonts w:hint="eastAsia" w:ascii="仿宋" w:hAnsi="仿宋" w:eastAsia="仿宋" w:cs="仿宋"/>
                <w:color w:val="auto"/>
                <w:kern w:val="2"/>
                <w:sz w:val="28"/>
                <w:szCs w:val="28"/>
                <w:highlight w:val="none"/>
              </w:rPr>
              <w:t>份和电子文件（光盘</w:t>
            </w:r>
            <w:r>
              <w:rPr>
                <w:rFonts w:hint="eastAsia" w:ascii="仿宋" w:hAnsi="仿宋" w:eastAsia="仿宋" w:cs="仿宋"/>
                <w:color w:val="auto"/>
                <w:kern w:val="2"/>
                <w:sz w:val="28"/>
                <w:szCs w:val="28"/>
                <w:highlight w:val="none"/>
                <w:lang w:val="en-US" w:eastAsia="zh-CN"/>
              </w:rPr>
              <w:t>或U盘</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u w:val="single"/>
                <w:lang w:val="en-US" w:eastAsia="zh-CN"/>
              </w:rPr>
              <w:t xml:space="preserve"> 1 </w:t>
            </w:r>
            <w:r>
              <w:rPr>
                <w:rFonts w:hint="eastAsia" w:ascii="仿宋" w:hAnsi="仿宋" w:eastAsia="仿宋" w:cs="仿宋"/>
                <w:color w:val="auto"/>
                <w:kern w:val="2"/>
                <w:sz w:val="28"/>
                <w:szCs w:val="28"/>
                <w:highlight w:val="none"/>
              </w:rPr>
              <w:t>份</w:t>
            </w:r>
          </w:p>
        </w:tc>
      </w:tr>
      <w:tr w14:paraId="68EC3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727CC8FA">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2</w:t>
            </w:r>
            <w:r>
              <w:rPr>
                <w:rFonts w:hint="eastAsia" w:ascii="仿宋" w:hAnsi="仿宋" w:eastAsia="仿宋" w:cs="仿宋"/>
                <w:color w:val="auto"/>
                <w:kern w:val="2"/>
                <w:sz w:val="28"/>
                <w:szCs w:val="28"/>
                <w:highlight w:val="none"/>
                <w:lang w:val="en-US" w:eastAsia="zh-CN"/>
              </w:rPr>
              <w:t>5</w:t>
            </w:r>
          </w:p>
        </w:tc>
        <w:tc>
          <w:tcPr>
            <w:tcW w:w="2081" w:type="dxa"/>
            <w:noWrap w:val="0"/>
            <w:vAlign w:val="center"/>
          </w:tcPr>
          <w:p w14:paraId="317DA743">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响应文件签字</w:t>
            </w:r>
          </w:p>
          <w:p w14:paraId="72187091">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或盖章要求</w:t>
            </w:r>
          </w:p>
        </w:tc>
        <w:tc>
          <w:tcPr>
            <w:tcW w:w="6609" w:type="dxa"/>
            <w:noWrap w:val="0"/>
            <w:vAlign w:val="center"/>
          </w:tcPr>
          <w:p w14:paraId="32784E77">
            <w:pPr>
              <w:pStyle w:val="82"/>
              <w:keepNext w:val="0"/>
              <w:keepLines w:val="0"/>
              <w:suppressLineNumbers w:val="0"/>
              <w:spacing w:before="0" w:beforeAutospacing="0" w:after="0" w:afterAutospacing="0"/>
              <w:ind w:left="0" w:right="0" w:firstLine="280" w:firstLineChars="1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供应商必须按照磋商文件的规定和要求签字、盖章</w:t>
            </w:r>
          </w:p>
        </w:tc>
      </w:tr>
      <w:tr w14:paraId="5E8EA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6306A591">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2</w:t>
            </w:r>
            <w:r>
              <w:rPr>
                <w:rFonts w:hint="eastAsia" w:ascii="仿宋" w:hAnsi="仿宋" w:eastAsia="仿宋" w:cs="仿宋"/>
                <w:color w:val="auto"/>
                <w:kern w:val="2"/>
                <w:sz w:val="28"/>
                <w:szCs w:val="28"/>
                <w:highlight w:val="none"/>
                <w:lang w:val="en-US" w:eastAsia="zh-CN"/>
              </w:rPr>
              <w:t>6</w:t>
            </w:r>
          </w:p>
        </w:tc>
        <w:tc>
          <w:tcPr>
            <w:tcW w:w="2081" w:type="dxa"/>
            <w:noWrap w:val="0"/>
            <w:vAlign w:val="center"/>
          </w:tcPr>
          <w:p w14:paraId="68AFFFB0">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响应文件是否分册装订</w:t>
            </w:r>
          </w:p>
        </w:tc>
        <w:tc>
          <w:tcPr>
            <w:tcW w:w="6609" w:type="dxa"/>
            <w:noWrap w:val="0"/>
            <w:vAlign w:val="center"/>
          </w:tcPr>
          <w:p w14:paraId="56D49B7D">
            <w:pPr>
              <w:pStyle w:val="82"/>
              <w:keepNext w:val="0"/>
              <w:keepLines w:val="0"/>
              <w:suppressLineNumbers w:val="0"/>
              <w:spacing w:before="0" w:beforeAutospacing="0" w:after="0" w:afterAutospacing="0"/>
              <w:ind w:left="0" w:right="0" w:firstLine="280" w:firstLineChars="1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  不需要</w:t>
            </w:r>
          </w:p>
          <w:p w14:paraId="5B41D96B">
            <w:pPr>
              <w:pStyle w:val="82"/>
              <w:keepNext w:val="0"/>
              <w:keepLines w:val="0"/>
              <w:suppressLineNumbers w:val="0"/>
              <w:spacing w:before="0" w:beforeAutospacing="0" w:after="0" w:afterAutospacing="0"/>
              <w:ind w:left="0" w:right="0" w:firstLine="280" w:firstLineChars="1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资格审查文件和商务技术文件不需要分册装订</w:t>
            </w:r>
          </w:p>
          <w:p w14:paraId="207B43E9">
            <w:pPr>
              <w:pStyle w:val="82"/>
              <w:keepNext w:val="0"/>
              <w:keepLines w:val="0"/>
              <w:suppressLineNumbers w:val="0"/>
              <w:spacing w:before="0" w:beforeAutospacing="0" w:after="0" w:afterAutospacing="0"/>
              <w:ind w:left="0" w:right="0" w:firstLine="280" w:firstLineChars="1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密封要求：一律采用A4纸</w:t>
            </w:r>
            <w:r>
              <w:rPr>
                <w:rFonts w:hint="eastAsia" w:ascii="仿宋" w:hAnsi="仿宋" w:eastAsia="仿宋" w:cs="仿宋"/>
                <w:color w:val="auto"/>
                <w:kern w:val="2"/>
                <w:sz w:val="28"/>
                <w:szCs w:val="28"/>
                <w:highlight w:val="none"/>
                <w:lang w:eastAsia="zh-CN"/>
              </w:rPr>
              <w:t>胶装</w:t>
            </w:r>
            <w:r>
              <w:rPr>
                <w:rFonts w:hint="eastAsia" w:ascii="仿宋" w:hAnsi="仿宋" w:eastAsia="仿宋" w:cs="仿宋"/>
                <w:color w:val="auto"/>
                <w:kern w:val="2"/>
                <w:sz w:val="28"/>
                <w:szCs w:val="28"/>
                <w:highlight w:val="none"/>
              </w:rPr>
              <w:t>成册（禁止使用活页），正本和副本分别装订，电子版放置正本密封袋中。正本</w:t>
            </w:r>
            <w:r>
              <w:rPr>
                <w:rFonts w:hint="eastAsia" w:ascii="仿宋" w:hAnsi="仿宋" w:eastAsia="仿宋" w:cs="仿宋"/>
                <w:color w:val="auto"/>
                <w:kern w:val="2"/>
                <w:sz w:val="28"/>
                <w:szCs w:val="28"/>
                <w:highlight w:val="none"/>
                <w:lang w:eastAsia="zh-CN"/>
              </w:rPr>
              <w:t>单独密封，所有的</w:t>
            </w:r>
            <w:r>
              <w:rPr>
                <w:rFonts w:hint="eastAsia" w:ascii="仿宋" w:hAnsi="仿宋" w:eastAsia="仿宋" w:cs="仿宋"/>
                <w:color w:val="auto"/>
                <w:kern w:val="2"/>
                <w:sz w:val="28"/>
                <w:szCs w:val="28"/>
                <w:highlight w:val="none"/>
              </w:rPr>
              <w:t>副本一起密封或单独密封</w:t>
            </w:r>
          </w:p>
          <w:p w14:paraId="78C2DDBF">
            <w:pPr>
              <w:pStyle w:val="82"/>
              <w:keepNext w:val="0"/>
              <w:keepLines w:val="0"/>
              <w:suppressLineNumbers w:val="0"/>
              <w:spacing w:before="0" w:beforeAutospacing="0" w:after="0" w:afterAutospacing="0"/>
              <w:ind w:left="0" w:right="0" w:firstLine="21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  需要，分册装订要求：</w:t>
            </w:r>
          </w:p>
        </w:tc>
      </w:tr>
      <w:tr w14:paraId="20CEE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581645DB">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2</w:t>
            </w:r>
            <w:r>
              <w:rPr>
                <w:rFonts w:hint="eastAsia" w:ascii="仿宋" w:hAnsi="仿宋" w:eastAsia="仿宋" w:cs="仿宋"/>
                <w:color w:val="auto"/>
                <w:kern w:val="2"/>
                <w:sz w:val="28"/>
                <w:szCs w:val="28"/>
                <w:highlight w:val="none"/>
                <w:lang w:val="en-US" w:eastAsia="zh-CN"/>
              </w:rPr>
              <w:t>7</w:t>
            </w:r>
          </w:p>
        </w:tc>
        <w:tc>
          <w:tcPr>
            <w:tcW w:w="2081" w:type="dxa"/>
            <w:noWrap w:val="0"/>
            <w:vAlign w:val="center"/>
          </w:tcPr>
          <w:p w14:paraId="020455BD">
            <w:pPr>
              <w:pStyle w:val="82"/>
              <w:keepNext w:val="0"/>
              <w:keepLines w:val="0"/>
              <w:suppressLineNumbers w:val="0"/>
              <w:spacing w:before="0" w:beforeAutospacing="0" w:after="0" w:afterAutospacing="0"/>
              <w:ind w:left="351" w:leftChars="167" w:right="0"/>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响应文件封面</w:t>
            </w:r>
          </w:p>
          <w:p w14:paraId="4B08275D">
            <w:pPr>
              <w:pStyle w:val="82"/>
              <w:keepNext w:val="0"/>
              <w:keepLines w:val="0"/>
              <w:suppressLineNumbers w:val="0"/>
              <w:spacing w:before="0" w:beforeAutospacing="0" w:after="0" w:afterAutospacing="0"/>
              <w:ind w:left="351" w:leftChars="167" w:right="0" w:firstLine="560" w:firstLineChars="200"/>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标注</w:t>
            </w:r>
          </w:p>
        </w:tc>
        <w:tc>
          <w:tcPr>
            <w:tcW w:w="6609" w:type="dxa"/>
            <w:noWrap w:val="0"/>
            <w:vAlign w:val="center"/>
          </w:tcPr>
          <w:p w14:paraId="37ADE8C6">
            <w:pPr>
              <w:pStyle w:val="82"/>
              <w:keepNext w:val="0"/>
              <w:keepLines w:val="0"/>
              <w:suppressLineNumbers w:val="0"/>
              <w:spacing w:before="0" w:beforeAutospacing="0" w:after="0" w:afterAutospacing="0" w:line="320" w:lineRule="exact"/>
              <w:ind w:left="0" w:right="0" w:firstLine="280" w:firstLineChars="1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响应文件正本和副本的封面上均应标明：采购项目名称、采购项目编号、包号（如有）、供应商名称、年月日；并分别在右上角标明“正本”和“副本”字样</w:t>
            </w:r>
          </w:p>
        </w:tc>
      </w:tr>
      <w:tr w14:paraId="2BAF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42F286E6">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28</w:t>
            </w:r>
          </w:p>
        </w:tc>
        <w:tc>
          <w:tcPr>
            <w:tcW w:w="2081" w:type="dxa"/>
            <w:noWrap w:val="0"/>
            <w:vAlign w:val="center"/>
          </w:tcPr>
          <w:p w14:paraId="68E78FDC">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封套上应载明的信息</w:t>
            </w:r>
          </w:p>
        </w:tc>
        <w:tc>
          <w:tcPr>
            <w:tcW w:w="6609" w:type="dxa"/>
            <w:noWrap w:val="0"/>
            <w:vAlign w:val="center"/>
          </w:tcPr>
          <w:p w14:paraId="322AFE5C">
            <w:pPr>
              <w:pStyle w:val="82"/>
              <w:keepNext w:val="0"/>
              <w:keepLines w:val="0"/>
              <w:suppressLineNumbers w:val="0"/>
              <w:spacing w:before="0" w:beforeAutospacing="0" w:after="0" w:afterAutospacing="0" w:line="320" w:lineRule="exact"/>
              <w:ind w:left="0" w:right="0" w:firstLine="280" w:firstLineChars="100"/>
              <w:jc w:val="both"/>
              <w:rPr>
                <w:rFonts w:hint="eastAsia" w:ascii="仿宋" w:hAnsi="仿宋" w:eastAsia="仿宋" w:cs="仿宋"/>
                <w:color w:val="auto"/>
                <w:kern w:val="2"/>
                <w:sz w:val="28"/>
                <w:szCs w:val="28"/>
                <w:highlight w:val="none"/>
                <w:u w:val="single"/>
                <w:lang w:val="en-US" w:eastAsia="zh-CN"/>
              </w:rPr>
            </w:pPr>
            <w:r>
              <w:rPr>
                <w:rFonts w:hint="eastAsia" w:ascii="仿宋" w:hAnsi="仿宋" w:eastAsia="仿宋" w:cs="仿宋"/>
                <w:color w:val="auto"/>
                <w:kern w:val="2"/>
                <w:sz w:val="28"/>
                <w:szCs w:val="28"/>
                <w:highlight w:val="none"/>
                <w:lang w:val="zh-CN"/>
              </w:rPr>
              <w:t>采购项目名称：</w:t>
            </w:r>
            <w:r>
              <w:rPr>
                <w:rFonts w:hint="eastAsia" w:ascii="仿宋" w:hAnsi="仿宋" w:eastAsia="仿宋" w:cs="仿宋"/>
                <w:color w:val="auto"/>
                <w:kern w:val="2"/>
                <w:sz w:val="28"/>
                <w:szCs w:val="28"/>
                <w:highlight w:val="none"/>
                <w:u w:val="single"/>
                <w:lang w:val="en-US" w:eastAsia="zh-CN"/>
              </w:rPr>
              <w:t xml:space="preserve">            磋商响应（或投标）文件</w:t>
            </w:r>
          </w:p>
          <w:p w14:paraId="4D0A5C26">
            <w:pPr>
              <w:pStyle w:val="82"/>
              <w:keepNext w:val="0"/>
              <w:keepLines w:val="0"/>
              <w:suppressLineNumbers w:val="0"/>
              <w:spacing w:before="0" w:beforeAutospacing="0" w:after="0" w:afterAutospacing="0" w:line="320" w:lineRule="exact"/>
              <w:ind w:left="0" w:right="0" w:firstLine="280" w:firstLineChars="100"/>
              <w:jc w:val="both"/>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“正本”或“副本”字样</w:t>
            </w:r>
          </w:p>
          <w:p w14:paraId="7D026AD9">
            <w:pPr>
              <w:pStyle w:val="82"/>
              <w:keepNext w:val="0"/>
              <w:keepLines w:val="0"/>
              <w:suppressLineNumbers w:val="0"/>
              <w:spacing w:before="0" w:beforeAutospacing="0" w:after="0" w:afterAutospacing="0" w:line="320" w:lineRule="exact"/>
              <w:ind w:left="0" w:right="0" w:firstLine="280" w:firstLineChars="100"/>
              <w:jc w:val="both"/>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采购项目编号、包号（如有）：</w:t>
            </w:r>
          </w:p>
          <w:p w14:paraId="69F478D8">
            <w:pPr>
              <w:pStyle w:val="82"/>
              <w:keepNext w:val="0"/>
              <w:keepLines w:val="0"/>
              <w:suppressLineNumbers w:val="0"/>
              <w:spacing w:before="0" w:beforeAutospacing="0" w:after="0" w:afterAutospacing="0" w:line="320" w:lineRule="exact"/>
              <w:ind w:left="0" w:right="0" w:firstLine="280" w:firstLineChars="100"/>
              <w:jc w:val="both"/>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供应商名称：</w:t>
            </w:r>
          </w:p>
          <w:p w14:paraId="54DD51BE">
            <w:pPr>
              <w:pStyle w:val="82"/>
              <w:keepNext w:val="0"/>
              <w:keepLines w:val="0"/>
              <w:suppressLineNumbers w:val="0"/>
              <w:spacing w:before="0" w:beforeAutospacing="0" w:after="0" w:afterAutospacing="0" w:line="320" w:lineRule="exact"/>
              <w:ind w:left="0" w:right="0" w:firstLine="280" w:firstLineChars="100"/>
              <w:jc w:val="both"/>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日期：</w:t>
            </w:r>
          </w:p>
          <w:p w14:paraId="6B2817B3">
            <w:pPr>
              <w:pStyle w:val="82"/>
              <w:keepNext w:val="0"/>
              <w:keepLines w:val="0"/>
              <w:suppressLineNumbers w:val="0"/>
              <w:spacing w:before="0" w:beforeAutospacing="0" w:after="0" w:afterAutospacing="0" w:line="320" w:lineRule="exact"/>
              <w:ind w:left="0" w:right="0" w:firstLine="280" w:firstLineChars="100"/>
              <w:jc w:val="both"/>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在    年  月  日  时  分前不得开启</w:t>
            </w:r>
          </w:p>
          <w:p w14:paraId="22CD7E85">
            <w:pPr>
              <w:pStyle w:val="82"/>
              <w:keepNext w:val="0"/>
              <w:keepLines w:val="0"/>
              <w:suppressLineNumbers w:val="0"/>
              <w:spacing w:before="0" w:beforeAutospacing="0" w:after="0" w:afterAutospacing="0" w:line="320" w:lineRule="exact"/>
              <w:ind w:left="0" w:right="0" w:firstLine="280" w:firstLineChars="1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并有法定代表人或授权代表手写签字或盖章，并加盖公司鲜章</w:t>
            </w:r>
          </w:p>
        </w:tc>
      </w:tr>
      <w:tr w14:paraId="3E83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111BD356">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29</w:t>
            </w:r>
          </w:p>
        </w:tc>
        <w:tc>
          <w:tcPr>
            <w:tcW w:w="2081" w:type="dxa"/>
            <w:noWrap w:val="0"/>
            <w:vAlign w:val="center"/>
          </w:tcPr>
          <w:p w14:paraId="11B4BA48">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提交响应文件截至时间</w:t>
            </w:r>
          </w:p>
        </w:tc>
        <w:tc>
          <w:tcPr>
            <w:tcW w:w="6609" w:type="dxa"/>
            <w:noWrap w:val="0"/>
            <w:vAlign w:val="center"/>
          </w:tcPr>
          <w:p w14:paraId="59798FBC">
            <w:pPr>
              <w:pStyle w:val="82"/>
              <w:keepNext w:val="0"/>
              <w:keepLines w:val="0"/>
              <w:suppressLineNumbers w:val="0"/>
              <w:spacing w:before="0" w:beforeAutospacing="0" w:after="0" w:afterAutospacing="0"/>
              <w:ind w:left="0" w:right="0" w:firstLine="280" w:firstLineChars="1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以公告时间为准</w:t>
            </w:r>
          </w:p>
        </w:tc>
      </w:tr>
      <w:tr w14:paraId="23683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6A89C490">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3</w:t>
            </w:r>
            <w:r>
              <w:rPr>
                <w:rFonts w:hint="eastAsia" w:ascii="仿宋" w:hAnsi="仿宋" w:eastAsia="仿宋" w:cs="仿宋"/>
                <w:color w:val="auto"/>
                <w:kern w:val="2"/>
                <w:sz w:val="28"/>
                <w:szCs w:val="28"/>
                <w:highlight w:val="none"/>
                <w:lang w:val="en-US" w:eastAsia="zh-CN"/>
              </w:rPr>
              <w:t>0</w:t>
            </w:r>
          </w:p>
        </w:tc>
        <w:tc>
          <w:tcPr>
            <w:tcW w:w="2081" w:type="dxa"/>
            <w:noWrap w:val="0"/>
            <w:vAlign w:val="center"/>
          </w:tcPr>
          <w:p w14:paraId="5E050ED6">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提交响应文件地点</w:t>
            </w:r>
          </w:p>
        </w:tc>
        <w:tc>
          <w:tcPr>
            <w:tcW w:w="6609" w:type="dxa"/>
            <w:noWrap w:val="0"/>
            <w:vAlign w:val="center"/>
          </w:tcPr>
          <w:p w14:paraId="6172CC31">
            <w:pPr>
              <w:pStyle w:val="82"/>
              <w:keepNext w:val="0"/>
              <w:keepLines w:val="0"/>
              <w:suppressLineNumbers w:val="0"/>
              <w:spacing w:before="0" w:beforeAutospacing="0" w:after="0" w:afterAutospacing="0"/>
              <w:ind w:left="0" w:right="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 xml:space="preserve"> </w:t>
            </w:r>
            <w:r>
              <w:rPr>
                <w:rFonts w:hint="eastAsia" w:ascii="仿宋" w:hAnsi="仿宋" w:eastAsia="仿宋" w:cs="仿宋"/>
                <w:color w:val="auto"/>
                <w:kern w:val="2"/>
                <w:sz w:val="28"/>
                <w:szCs w:val="28"/>
                <w:highlight w:val="none"/>
                <w:lang w:val="zh-CN" w:eastAsia="zh-CN"/>
              </w:rPr>
              <w:t>陕西省汉中市汉台区滨江路中青凯旋门南门右边商铺202号</w:t>
            </w:r>
          </w:p>
        </w:tc>
      </w:tr>
      <w:tr w14:paraId="74DA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20B703FE">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3</w:t>
            </w:r>
            <w:r>
              <w:rPr>
                <w:rFonts w:hint="eastAsia" w:ascii="仿宋" w:hAnsi="仿宋" w:eastAsia="仿宋" w:cs="仿宋"/>
                <w:color w:val="auto"/>
                <w:kern w:val="2"/>
                <w:sz w:val="28"/>
                <w:szCs w:val="28"/>
                <w:highlight w:val="none"/>
                <w:lang w:val="en-US" w:eastAsia="zh-CN"/>
              </w:rPr>
              <w:t>1</w:t>
            </w:r>
          </w:p>
        </w:tc>
        <w:tc>
          <w:tcPr>
            <w:tcW w:w="2081" w:type="dxa"/>
            <w:noWrap w:val="0"/>
            <w:vAlign w:val="center"/>
          </w:tcPr>
          <w:p w14:paraId="2B8FE688">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响应文件是否退还</w:t>
            </w:r>
          </w:p>
        </w:tc>
        <w:tc>
          <w:tcPr>
            <w:tcW w:w="6609" w:type="dxa"/>
            <w:noWrap w:val="0"/>
            <w:vAlign w:val="center"/>
          </w:tcPr>
          <w:p w14:paraId="27B858C8">
            <w:pPr>
              <w:keepNext w:val="0"/>
              <w:keepLines w:val="0"/>
              <w:suppressLineNumbers w:val="0"/>
              <w:autoSpaceDE w:val="0"/>
              <w:autoSpaceDN w:val="0"/>
              <w:adjustRightInd w:val="0"/>
              <w:spacing w:before="0" w:beforeAutospacing="0" w:after="0" w:afterAutospacing="0"/>
              <w:ind w:left="0" w:right="0" w:firstLine="280" w:firstLineChars="1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b/>
                <w:color w:val="auto"/>
                <w:sz w:val="28"/>
                <w:szCs w:val="28"/>
                <w:highlight w:val="none"/>
              </w:rPr>
              <w:t xml:space="preserve"> </w:t>
            </w:r>
            <w:r>
              <w:rPr>
                <w:rFonts w:hint="eastAsia" w:ascii="仿宋" w:hAnsi="仿宋" w:eastAsia="仿宋" w:cs="仿宋"/>
                <w:color w:val="auto"/>
                <w:sz w:val="28"/>
                <w:szCs w:val="28"/>
                <w:highlight w:val="none"/>
              </w:rPr>
              <w:t>否</w:t>
            </w:r>
          </w:p>
          <w:p w14:paraId="63E7D6A7">
            <w:pPr>
              <w:keepNext w:val="0"/>
              <w:keepLines w:val="0"/>
              <w:suppressLineNumbers w:val="0"/>
              <w:autoSpaceDE w:val="0"/>
              <w:autoSpaceDN w:val="0"/>
              <w:adjustRightInd w:val="0"/>
              <w:spacing w:before="0" w:beforeAutospacing="0" w:after="0" w:afterAutospacing="0"/>
              <w:ind w:left="0" w:right="0" w:firstLine="280" w:firstLineChars="1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退还，退还时间：</w:t>
            </w:r>
          </w:p>
        </w:tc>
      </w:tr>
      <w:tr w14:paraId="6C81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20FD2C37">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3</w:t>
            </w:r>
            <w:r>
              <w:rPr>
                <w:rFonts w:hint="eastAsia" w:ascii="仿宋" w:hAnsi="仿宋" w:eastAsia="仿宋" w:cs="仿宋"/>
                <w:color w:val="auto"/>
                <w:kern w:val="2"/>
                <w:sz w:val="28"/>
                <w:szCs w:val="28"/>
                <w:highlight w:val="none"/>
                <w:lang w:val="en-US" w:eastAsia="zh-CN"/>
              </w:rPr>
              <w:t>2</w:t>
            </w:r>
          </w:p>
        </w:tc>
        <w:tc>
          <w:tcPr>
            <w:tcW w:w="2081" w:type="dxa"/>
            <w:noWrap w:val="0"/>
            <w:vAlign w:val="center"/>
          </w:tcPr>
          <w:p w14:paraId="3D371080">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开启响应文件时间</w:t>
            </w:r>
          </w:p>
          <w:p w14:paraId="01146582">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和地点</w:t>
            </w:r>
          </w:p>
        </w:tc>
        <w:tc>
          <w:tcPr>
            <w:tcW w:w="6609" w:type="dxa"/>
            <w:noWrap w:val="0"/>
            <w:vAlign w:val="center"/>
          </w:tcPr>
          <w:p w14:paraId="0EF91092">
            <w:pPr>
              <w:pStyle w:val="82"/>
              <w:keepNext w:val="0"/>
              <w:keepLines w:val="0"/>
              <w:suppressLineNumbers w:val="0"/>
              <w:spacing w:before="0" w:beforeAutospacing="0" w:after="0" w:afterAutospacing="0"/>
              <w:ind w:left="0" w:right="0" w:firstLine="280" w:firstLineChars="100"/>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开启响应文件时间：同提交响应文件截至时间</w:t>
            </w:r>
          </w:p>
          <w:p w14:paraId="10139ADC">
            <w:pPr>
              <w:pStyle w:val="82"/>
              <w:keepNext w:val="0"/>
              <w:keepLines w:val="0"/>
              <w:suppressLineNumbers w:val="0"/>
              <w:spacing w:before="0" w:beforeAutospacing="0" w:after="0" w:afterAutospacing="0"/>
              <w:ind w:left="0" w:right="0" w:firstLine="280" w:firstLineChars="1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开启响应文件地点：同提交响应文件地点</w:t>
            </w:r>
          </w:p>
        </w:tc>
      </w:tr>
      <w:bookmarkEnd w:id="12"/>
      <w:bookmarkEnd w:id="13"/>
      <w:bookmarkEnd w:id="14"/>
      <w:bookmarkEnd w:id="15"/>
      <w:tr w14:paraId="4A8E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3464A848">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bookmarkStart w:id="23" w:name="_Toc89075873"/>
            <w:bookmarkStart w:id="24" w:name="_Toc183582204"/>
            <w:bookmarkStart w:id="25" w:name="_Toc77400778"/>
            <w:bookmarkStart w:id="26" w:name="_Toc183682341"/>
            <w:bookmarkStart w:id="27" w:name="_Toc217446033"/>
            <w:r>
              <w:rPr>
                <w:rFonts w:hint="eastAsia" w:ascii="仿宋" w:hAnsi="仿宋" w:eastAsia="仿宋" w:cs="仿宋"/>
                <w:color w:val="auto"/>
                <w:kern w:val="2"/>
                <w:sz w:val="28"/>
                <w:szCs w:val="28"/>
                <w:highlight w:val="none"/>
                <w:lang w:val="zh-CN"/>
              </w:rPr>
              <w:t>3</w:t>
            </w:r>
            <w:r>
              <w:rPr>
                <w:rFonts w:hint="eastAsia" w:ascii="仿宋" w:hAnsi="仿宋" w:eastAsia="仿宋" w:cs="仿宋"/>
                <w:color w:val="auto"/>
                <w:kern w:val="2"/>
                <w:sz w:val="28"/>
                <w:szCs w:val="28"/>
                <w:highlight w:val="none"/>
                <w:lang w:val="en-US" w:eastAsia="zh-CN"/>
              </w:rPr>
              <w:t>3</w:t>
            </w:r>
          </w:p>
        </w:tc>
        <w:tc>
          <w:tcPr>
            <w:tcW w:w="2081" w:type="dxa"/>
            <w:noWrap w:val="0"/>
            <w:vAlign w:val="center"/>
          </w:tcPr>
          <w:p w14:paraId="52CB6F89">
            <w:pPr>
              <w:pStyle w:val="82"/>
              <w:keepNext w:val="0"/>
              <w:keepLines w:val="0"/>
              <w:suppressLineNumbers w:val="0"/>
              <w:spacing w:before="0" w:beforeAutospacing="0" w:after="0" w:afterAutospacing="0"/>
              <w:ind w:left="96"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磋商小组的组建</w:t>
            </w:r>
          </w:p>
        </w:tc>
        <w:tc>
          <w:tcPr>
            <w:tcW w:w="6609" w:type="dxa"/>
            <w:noWrap w:val="0"/>
            <w:vAlign w:val="center"/>
          </w:tcPr>
          <w:p w14:paraId="474F9A41">
            <w:pPr>
              <w:pStyle w:val="82"/>
              <w:keepNext w:val="0"/>
              <w:keepLines w:val="0"/>
              <w:suppressLineNumbers w:val="0"/>
              <w:spacing w:before="0" w:beforeAutospacing="0" w:after="0" w:afterAutospacing="0" w:line="320" w:lineRule="exact"/>
              <w:ind w:left="774" w:leftChars="102" w:right="0" w:hanging="560" w:hangingChars="200"/>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磋商小组构成形式、人数，评审专家确定方式：</w:t>
            </w:r>
          </w:p>
          <w:p w14:paraId="10314F2F">
            <w:pPr>
              <w:pStyle w:val="82"/>
              <w:keepNext w:val="0"/>
              <w:keepLines w:val="0"/>
              <w:suppressLineNumbers w:val="0"/>
              <w:spacing w:before="0" w:beforeAutospacing="0" w:after="0" w:afterAutospacing="0" w:line="320" w:lineRule="exact"/>
              <w:ind w:left="774" w:leftChars="102" w:right="0" w:hanging="560" w:hanging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详见供应商须知第7.1.1条款</w:t>
            </w:r>
          </w:p>
        </w:tc>
      </w:tr>
      <w:tr w14:paraId="268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392D1331">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3</w:t>
            </w:r>
            <w:r>
              <w:rPr>
                <w:rFonts w:hint="eastAsia" w:ascii="仿宋" w:hAnsi="仿宋" w:eastAsia="仿宋" w:cs="仿宋"/>
                <w:color w:val="auto"/>
                <w:kern w:val="2"/>
                <w:sz w:val="28"/>
                <w:szCs w:val="28"/>
                <w:highlight w:val="none"/>
                <w:lang w:val="en-US" w:eastAsia="zh-CN"/>
              </w:rPr>
              <w:t>4</w:t>
            </w:r>
          </w:p>
        </w:tc>
        <w:tc>
          <w:tcPr>
            <w:tcW w:w="2081" w:type="dxa"/>
            <w:noWrap w:val="0"/>
            <w:vAlign w:val="center"/>
          </w:tcPr>
          <w:p w14:paraId="788833B4">
            <w:pPr>
              <w:pStyle w:val="82"/>
              <w:keepNext w:val="0"/>
              <w:keepLines w:val="0"/>
              <w:suppressLineNumbers w:val="0"/>
              <w:spacing w:before="0" w:beforeAutospacing="0" w:after="0" w:afterAutospacing="0"/>
              <w:ind w:left="96" w:right="0"/>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磋商办法</w:t>
            </w:r>
          </w:p>
        </w:tc>
        <w:tc>
          <w:tcPr>
            <w:tcW w:w="6609" w:type="dxa"/>
            <w:noWrap w:val="0"/>
            <w:vAlign w:val="center"/>
          </w:tcPr>
          <w:p w14:paraId="212586D0">
            <w:pPr>
              <w:pStyle w:val="82"/>
              <w:keepNext w:val="0"/>
              <w:keepLines w:val="0"/>
              <w:suppressLineNumbers w:val="0"/>
              <w:spacing w:before="0" w:beforeAutospacing="0" w:after="0" w:afterAutospacing="0"/>
              <w:ind w:left="774" w:leftChars="102" w:right="0" w:hanging="560" w:hangingChars="200"/>
              <w:rPr>
                <w:rFonts w:hint="eastAsia" w:ascii="仿宋" w:hAnsi="仿宋" w:eastAsia="仿宋" w:cs="仿宋"/>
                <w:b/>
                <w:color w:val="auto"/>
                <w:kern w:val="2"/>
                <w:sz w:val="28"/>
                <w:szCs w:val="28"/>
                <w:highlight w:val="none"/>
              </w:rPr>
            </w:pPr>
            <w:r>
              <w:rPr>
                <w:rFonts w:hint="eastAsia" w:ascii="仿宋" w:hAnsi="仿宋" w:eastAsia="仿宋" w:cs="仿宋"/>
                <w:color w:val="auto"/>
                <w:kern w:val="2"/>
                <w:sz w:val="28"/>
                <w:szCs w:val="28"/>
                <w:highlight w:val="none"/>
                <w:lang w:val="zh-CN"/>
              </w:rPr>
              <w:t>详见第三章磋商办法</w:t>
            </w:r>
          </w:p>
        </w:tc>
      </w:tr>
      <w:tr w14:paraId="7DDA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2F4C9853">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3</w:t>
            </w:r>
            <w:r>
              <w:rPr>
                <w:rFonts w:hint="eastAsia" w:ascii="仿宋" w:hAnsi="仿宋" w:eastAsia="仿宋" w:cs="仿宋"/>
                <w:color w:val="auto"/>
                <w:kern w:val="2"/>
                <w:sz w:val="28"/>
                <w:szCs w:val="28"/>
                <w:highlight w:val="none"/>
                <w:lang w:val="en-US" w:eastAsia="zh-CN"/>
              </w:rPr>
              <w:t>5</w:t>
            </w:r>
          </w:p>
        </w:tc>
        <w:tc>
          <w:tcPr>
            <w:tcW w:w="2081" w:type="dxa"/>
            <w:noWrap w:val="0"/>
            <w:vAlign w:val="center"/>
          </w:tcPr>
          <w:p w14:paraId="2E0585A1">
            <w:pPr>
              <w:pStyle w:val="82"/>
              <w:keepNext w:val="0"/>
              <w:keepLines w:val="0"/>
              <w:suppressLineNumbers w:val="0"/>
              <w:spacing w:before="0" w:beforeAutospacing="0" w:after="0" w:afterAutospacing="0"/>
              <w:ind w:left="96" w:right="0"/>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磋商小组推荐成交候选人的家数</w:t>
            </w:r>
          </w:p>
        </w:tc>
        <w:tc>
          <w:tcPr>
            <w:tcW w:w="6609" w:type="dxa"/>
            <w:noWrap w:val="0"/>
            <w:vAlign w:val="center"/>
          </w:tcPr>
          <w:p w14:paraId="7DBF0F6A">
            <w:pPr>
              <w:pStyle w:val="82"/>
              <w:keepNext w:val="0"/>
              <w:keepLines w:val="0"/>
              <w:suppressLineNumbers w:val="0"/>
              <w:spacing w:before="0" w:beforeAutospacing="0" w:after="0" w:afterAutospacing="0"/>
              <w:ind w:left="0" w:right="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 xml:space="preserve">  3 </w:t>
            </w:r>
          </w:p>
        </w:tc>
      </w:tr>
      <w:tr w14:paraId="03908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28FB9D39">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3</w:t>
            </w:r>
            <w:r>
              <w:rPr>
                <w:rFonts w:hint="eastAsia" w:ascii="仿宋" w:hAnsi="仿宋" w:eastAsia="仿宋" w:cs="仿宋"/>
                <w:color w:val="auto"/>
                <w:kern w:val="2"/>
                <w:sz w:val="28"/>
                <w:szCs w:val="28"/>
                <w:highlight w:val="none"/>
                <w:lang w:val="en-US" w:eastAsia="zh-CN"/>
              </w:rPr>
              <w:t>6</w:t>
            </w:r>
          </w:p>
        </w:tc>
        <w:tc>
          <w:tcPr>
            <w:tcW w:w="2081" w:type="dxa"/>
            <w:noWrap w:val="0"/>
            <w:vAlign w:val="center"/>
          </w:tcPr>
          <w:p w14:paraId="03D6A59B">
            <w:pPr>
              <w:pStyle w:val="82"/>
              <w:keepNext w:val="0"/>
              <w:keepLines w:val="0"/>
              <w:suppressLineNumbers w:val="0"/>
              <w:spacing w:before="0" w:beforeAutospacing="0" w:after="0" w:afterAutospacing="0"/>
              <w:ind w:left="96" w:right="0"/>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是否授权磋商小组确定成交供应商</w:t>
            </w:r>
          </w:p>
        </w:tc>
        <w:tc>
          <w:tcPr>
            <w:tcW w:w="6609" w:type="dxa"/>
            <w:noWrap w:val="0"/>
            <w:vAlign w:val="center"/>
          </w:tcPr>
          <w:p w14:paraId="37A223F6">
            <w:pPr>
              <w:pStyle w:val="82"/>
              <w:keepNext w:val="0"/>
              <w:keepLines w:val="0"/>
              <w:suppressLineNumbers w:val="0"/>
              <w:spacing w:before="0" w:beforeAutospacing="0" w:after="0" w:afterAutospacing="0"/>
              <w:ind w:left="210" w:right="0"/>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  是</w:t>
            </w:r>
          </w:p>
          <w:p w14:paraId="097BF47A">
            <w:pPr>
              <w:pStyle w:val="82"/>
              <w:keepNext w:val="0"/>
              <w:keepLines w:val="0"/>
              <w:suppressLineNumbers w:val="0"/>
              <w:tabs>
                <w:tab w:val="left" w:pos="561"/>
              </w:tabs>
              <w:spacing w:before="0" w:beforeAutospacing="0" w:after="0" w:afterAutospacing="0"/>
              <w:ind w:left="210" w:right="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w:t>
            </w:r>
            <w:r>
              <w:rPr>
                <w:rFonts w:hint="eastAsia" w:ascii="仿宋" w:hAnsi="仿宋" w:eastAsia="仿宋" w:cs="仿宋"/>
                <w:b/>
                <w:color w:val="auto"/>
                <w:kern w:val="2"/>
                <w:sz w:val="28"/>
                <w:szCs w:val="28"/>
                <w:highlight w:val="none"/>
              </w:rPr>
              <w:t xml:space="preserve">  </w:t>
            </w:r>
            <w:r>
              <w:rPr>
                <w:rFonts w:hint="eastAsia" w:ascii="仿宋" w:hAnsi="仿宋" w:eastAsia="仿宋" w:cs="仿宋"/>
                <w:color w:val="auto"/>
                <w:kern w:val="2"/>
                <w:sz w:val="28"/>
                <w:szCs w:val="28"/>
                <w:highlight w:val="none"/>
                <w:lang w:val="zh-CN"/>
              </w:rPr>
              <w:t>否</w:t>
            </w:r>
          </w:p>
        </w:tc>
      </w:tr>
      <w:tr w14:paraId="1E95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6AA57FAE">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3</w:t>
            </w:r>
            <w:r>
              <w:rPr>
                <w:rFonts w:hint="eastAsia" w:ascii="仿宋" w:hAnsi="仿宋" w:eastAsia="仿宋" w:cs="仿宋"/>
                <w:color w:val="auto"/>
                <w:kern w:val="2"/>
                <w:sz w:val="28"/>
                <w:szCs w:val="28"/>
                <w:highlight w:val="none"/>
                <w:lang w:val="en-US" w:eastAsia="zh-CN"/>
              </w:rPr>
              <w:t>7</w:t>
            </w:r>
          </w:p>
        </w:tc>
        <w:tc>
          <w:tcPr>
            <w:tcW w:w="2081" w:type="dxa"/>
            <w:noWrap w:val="0"/>
            <w:vAlign w:val="center"/>
          </w:tcPr>
          <w:p w14:paraId="7BD038A4">
            <w:pPr>
              <w:pStyle w:val="82"/>
              <w:keepNext w:val="0"/>
              <w:keepLines w:val="0"/>
              <w:suppressLineNumbers w:val="0"/>
              <w:spacing w:before="0" w:beforeAutospacing="0" w:after="0" w:afterAutospacing="0"/>
              <w:ind w:left="96"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发布成交公告的</w:t>
            </w:r>
          </w:p>
          <w:p w14:paraId="3FBDE526">
            <w:pPr>
              <w:pStyle w:val="82"/>
              <w:keepNext w:val="0"/>
              <w:keepLines w:val="0"/>
              <w:suppressLineNumbers w:val="0"/>
              <w:spacing w:before="0" w:beforeAutospacing="0" w:after="0" w:afterAutospacing="0"/>
              <w:ind w:left="96" w:right="0"/>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时间、媒介和期限</w:t>
            </w:r>
          </w:p>
        </w:tc>
        <w:tc>
          <w:tcPr>
            <w:tcW w:w="6609" w:type="dxa"/>
            <w:noWrap w:val="0"/>
            <w:vAlign w:val="center"/>
          </w:tcPr>
          <w:p w14:paraId="5D37B502">
            <w:pPr>
              <w:pStyle w:val="82"/>
              <w:keepNext w:val="0"/>
              <w:keepLines w:val="0"/>
              <w:suppressLineNumbers w:val="0"/>
              <w:spacing w:before="0" w:beforeAutospacing="0" w:after="0" w:afterAutospacing="0"/>
              <w:ind w:left="210" w:right="0"/>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公告时间：在确定成交供应商之日起2个工作日内</w:t>
            </w:r>
          </w:p>
          <w:p w14:paraId="50A5B03A">
            <w:pPr>
              <w:pStyle w:val="82"/>
              <w:keepNext w:val="0"/>
              <w:keepLines w:val="0"/>
              <w:suppressLineNumbers w:val="0"/>
              <w:spacing w:before="0" w:beforeAutospacing="0" w:after="0" w:afterAutospacing="0"/>
              <w:ind w:left="210" w:right="0"/>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公告媒介：陕西省政府采购网</w:t>
            </w:r>
          </w:p>
          <w:p w14:paraId="2A1DA495">
            <w:pPr>
              <w:pStyle w:val="82"/>
              <w:keepNext w:val="0"/>
              <w:keepLines w:val="0"/>
              <w:suppressLineNumbers w:val="0"/>
              <w:spacing w:before="0" w:beforeAutospacing="0" w:after="0" w:afterAutospacing="0"/>
              <w:ind w:left="210" w:right="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公告期限：1个工作日</w:t>
            </w:r>
          </w:p>
        </w:tc>
      </w:tr>
      <w:tr w14:paraId="1BD7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3A3FBC18">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38</w:t>
            </w:r>
          </w:p>
        </w:tc>
        <w:tc>
          <w:tcPr>
            <w:tcW w:w="2081" w:type="dxa"/>
            <w:noWrap w:val="0"/>
            <w:vAlign w:val="center"/>
          </w:tcPr>
          <w:p w14:paraId="3FE2695B">
            <w:pPr>
              <w:pStyle w:val="82"/>
              <w:keepNext w:val="0"/>
              <w:keepLines w:val="0"/>
              <w:suppressLineNumbers w:val="0"/>
              <w:spacing w:before="0" w:beforeAutospacing="0" w:after="0" w:afterAutospacing="0"/>
              <w:ind w:left="96" w:right="0"/>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履约保证金</w:t>
            </w:r>
          </w:p>
        </w:tc>
        <w:tc>
          <w:tcPr>
            <w:tcW w:w="6609" w:type="dxa"/>
            <w:noWrap w:val="0"/>
            <w:vAlign w:val="center"/>
          </w:tcPr>
          <w:p w14:paraId="788F3D0D">
            <w:pPr>
              <w:pStyle w:val="82"/>
              <w:keepNext w:val="0"/>
              <w:keepLines w:val="0"/>
              <w:suppressLineNumbers w:val="0"/>
              <w:spacing w:before="0" w:beforeAutospacing="0" w:after="0" w:afterAutospacing="0" w:line="320" w:lineRule="exact"/>
              <w:ind w:left="774" w:leftChars="102" w:right="0" w:hanging="560" w:hangingChars="200"/>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是否要求成交供应商提交履约保证金：</w:t>
            </w:r>
          </w:p>
          <w:p w14:paraId="545D542B">
            <w:pPr>
              <w:pStyle w:val="82"/>
              <w:keepNext w:val="0"/>
              <w:keepLines w:val="0"/>
              <w:suppressLineNumbers w:val="0"/>
              <w:spacing w:before="0" w:beforeAutospacing="0" w:after="0" w:afterAutospacing="0" w:line="320" w:lineRule="exact"/>
              <w:ind w:left="210" w:right="0"/>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  要求:</w:t>
            </w:r>
          </w:p>
          <w:p w14:paraId="1C9329F0">
            <w:pPr>
              <w:pStyle w:val="82"/>
              <w:keepNext w:val="0"/>
              <w:keepLines w:val="0"/>
              <w:suppressLineNumbers w:val="0"/>
              <w:spacing w:before="0" w:beforeAutospacing="0" w:after="0" w:afterAutospacing="0" w:line="320" w:lineRule="exact"/>
              <w:ind w:left="774" w:leftChars="102" w:right="0" w:hanging="560" w:hangingChars="200"/>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 xml:space="preserve">    履约保证金的金额：¥</w:t>
            </w:r>
            <w:r>
              <w:rPr>
                <w:rFonts w:hint="eastAsia" w:ascii="仿宋" w:hAnsi="仿宋" w:eastAsia="仿宋" w:cs="仿宋"/>
                <w:color w:val="auto"/>
                <w:kern w:val="2"/>
                <w:sz w:val="28"/>
                <w:szCs w:val="28"/>
                <w:highlight w:val="none"/>
                <w:u w:val="single"/>
                <w:lang w:val="zh-CN"/>
              </w:rPr>
              <w:t xml:space="preserve"> </w:t>
            </w:r>
            <w:r>
              <w:rPr>
                <w:rFonts w:hint="eastAsia" w:ascii="仿宋" w:hAnsi="仿宋" w:eastAsia="仿宋" w:cs="仿宋"/>
                <w:color w:val="auto"/>
                <w:kern w:val="2"/>
                <w:sz w:val="28"/>
                <w:szCs w:val="28"/>
                <w:highlight w:val="none"/>
                <w:u w:val="single"/>
              </w:rPr>
              <w:t xml:space="preserve">       </w:t>
            </w:r>
            <w:r>
              <w:rPr>
                <w:rFonts w:hint="eastAsia" w:ascii="仿宋" w:hAnsi="仿宋" w:eastAsia="仿宋" w:cs="仿宋"/>
                <w:color w:val="auto"/>
                <w:kern w:val="2"/>
                <w:sz w:val="28"/>
                <w:szCs w:val="28"/>
                <w:highlight w:val="none"/>
                <w:u w:val="single"/>
                <w:lang w:val="zh-CN"/>
              </w:rPr>
              <w:t xml:space="preserve">  </w:t>
            </w:r>
          </w:p>
          <w:p w14:paraId="3B9AB285">
            <w:pPr>
              <w:pStyle w:val="82"/>
              <w:keepNext w:val="0"/>
              <w:keepLines w:val="0"/>
              <w:suppressLineNumbers w:val="0"/>
              <w:spacing w:before="0" w:beforeAutospacing="0" w:after="0" w:afterAutospacing="0" w:line="320" w:lineRule="exact"/>
              <w:ind w:left="0" w:right="0" w:firstLine="840" w:firstLineChars="300"/>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履约保证金的形式：可采取银行转账或履约担保方式提交</w:t>
            </w:r>
          </w:p>
          <w:p w14:paraId="337CCB0E">
            <w:pPr>
              <w:pStyle w:val="82"/>
              <w:keepNext w:val="0"/>
              <w:keepLines w:val="0"/>
              <w:suppressLineNumbers w:val="0"/>
              <w:spacing w:before="0" w:beforeAutospacing="0" w:after="0" w:afterAutospacing="0" w:line="320" w:lineRule="exact"/>
              <w:ind w:left="0" w:right="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 xml:space="preserve">  </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zh-CN"/>
              </w:rPr>
              <w:t xml:space="preserve"> 不要求</w:t>
            </w:r>
          </w:p>
        </w:tc>
      </w:tr>
      <w:tr w14:paraId="124C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1E3F1FCA">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39</w:t>
            </w:r>
          </w:p>
        </w:tc>
        <w:tc>
          <w:tcPr>
            <w:tcW w:w="2081" w:type="dxa"/>
            <w:noWrap w:val="0"/>
            <w:vAlign w:val="center"/>
          </w:tcPr>
          <w:p w14:paraId="1EF3414B">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供应商信用信息</w:t>
            </w:r>
          </w:p>
          <w:p w14:paraId="582711A3">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查询截至时点</w:t>
            </w:r>
          </w:p>
        </w:tc>
        <w:tc>
          <w:tcPr>
            <w:tcW w:w="6609" w:type="dxa"/>
            <w:noWrap w:val="0"/>
            <w:vAlign w:val="center"/>
          </w:tcPr>
          <w:p w14:paraId="159B241C">
            <w:pPr>
              <w:keepNext w:val="0"/>
              <w:keepLines w:val="0"/>
              <w:suppressLineNumbers w:val="0"/>
              <w:spacing w:before="0" w:beforeAutospacing="0" w:after="0" w:afterAutospacing="0" w:line="340" w:lineRule="exact"/>
              <w:ind w:left="210" w:right="105" w:rightChar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磋商公告期限截</w:t>
            </w:r>
            <w:r>
              <w:rPr>
                <w:rFonts w:hint="eastAsia" w:ascii="仿宋" w:hAnsi="仿宋" w:eastAsia="仿宋" w:cs="仿宋"/>
                <w:color w:val="auto"/>
                <w:sz w:val="28"/>
                <w:szCs w:val="28"/>
                <w:highlight w:val="none"/>
                <w:lang w:eastAsia="zh-CN"/>
              </w:rPr>
              <w:t>之</w:t>
            </w:r>
            <w:r>
              <w:rPr>
                <w:rFonts w:hint="eastAsia" w:ascii="仿宋" w:hAnsi="仿宋" w:eastAsia="仿宋" w:cs="仿宋"/>
                <w:color w:val="auto"/>
                <w:sz w:val="28"/>
                <w:szCs w:val="28"/>
                <w:highlight w:val="none"/>
              </w:rPr>
              <w:t>日至今，由采购人和采购代理机构共同核查</w:t>
            </w:r>
          </w:p>
        </w:tc>
      </w:tr>
      <w:tr w14:paraId="6CE65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4BEB83B6">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4</w:t>
            </w:r>
            <w:r>
              <w:rPr>
                <w:rFonts w:hint="eastAsia" w:ascii="仿宋" w:hAnsi="仿宋" w:eastAsia="仿宋" w:cs="仿宋"/>
                <w:color w:val="auto"/>
                <w:kern w:val="2"/>
                <w:sz w:val="28"/>
                <w:szCs w:val="28"/>
                <w:highlight w:val="none"/>
                <w:lang w:val="en-US" w:eastAsia="zh-CN"/>
              </w:rPr>
              <w:t>0</w:t>
            </w:r>
          </w:p>
        </w:tc>
        <w:tc>
          <w:tcPr>
            <w:tcW w:w="2081" w:type="dxa"/>
            <w:noWrap w:val="0"/>
            <w:vAlign w:val="center"/>
          </w:tcPr>
          <w:p w14:paraId="20CE8A15">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资格审查时是否</w:t>
            </w:r>
          </w:p>
          <w:p w14:paraId="41633316">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核验证件</w:t>
            </w:r>
          </w:p>
        </w:tc>
        <w:tc>
          <w:tcPr>
            <w:tcW w:w="6609" w:type="dxa"/>
            <w:noWrap w:val="0"/>
            <w:vAlign w:val="center"/>
          </w:tcPr>
          <w:p w14:paraId="0A6956F4">
            <w:pPr>
              <w:keepNext w:val="0"/>
              <w:keepLines w:val="0"/>
              <w:numPr>
                <w:ilvl w:val="0"/>
                <w:numId w:val="4"/>
              </w:numPr>
              <w:suppressLineNumbers w:val="0"/>
              <w:spacing w:before="0" w:beforeAutospacing="0" w:after="0" w:afterAutospacing="0" w:line="340" w:lineRule="exact"/>
              <w:ind w:right="105" w:rightChar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需要，核验要求：</w:t>
            </w:r>
          </w:p>
          <w:p w14:paraId="6CF4F437">
            <w:pPr>
              <w:pStyle w:val="82"/>
              <w:keepNext w:val="0"/>
              <w:keepLines w:val="0"/>
              <w:suppressLineNumbers w:val="0"/>
              <w:spacing w:before="0" w:beforeAutospacing="0" w:after="0" w:afterAutospacing="0" w:line="320" w:lineRule="exact"/>
              <w:ind w:left="0" w:right="105" w:rightChars="50" w:firstLine="280" w:firstLineChars="1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 不需要</w:t>
            </w:r>
          </w:p>
        </w:tc>
      </w:tr>
      <w:tr w14:paraId="288E7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24D1369A">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4</w:t>
            </w:r>
            <w:r>
              <w:rPr>
                <w:rFonts w:hint="eastAsia" w:ascii="仿宋" w:hAnsi="仿宋" w:eastAsia="仿宋" w:cs="仿宋"/>
                <w:color w:val="auto"/>
                <w:kern w:val="2"/>
                <w:sz w:val="28"/>
                <w:szCs w:val="28"/>
                <w:highlight w:val="none"/>
                <w:lang w:val="en-US" w:eastAsia="zh-CN"/>
              </w:rPr>
              <w:t>1</w:t>
            </w:r>
          </w:p>
        </w:tc>
        <w:tc>
          <w:tcPr>
            <w:tcW w:w="2081" w:type="dxa"/>
            <w:noWrap w:val="0"/>
            <w:vAlign w:val="center"/>
          </w:tcPr>
          <w:p w14:paraId="5F375AC1">
            <w:pPr>
              <w:pStyle w:val="82"/>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付款方式</w:t>
            </w:r>
          </w:p>
        </w:tc>
        <w:tc>
          <w:tcPr>
            <w:tcW w:w="6609" w:type="dxa"/>
            <w:noWrap w:val="0"/>
            <w:vAlign w:val="center"/>
          </w:tcPr>
          <w:p w14:paraId="0AE3AEA6">
            <w:pPr>
              <w:pStyle w:val="82"/>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eastAsia="zh-CN"/>
              </w:rPr>
              <w:t>成交供应商与采购人双方合同中约定</w:t>
            </w:r>
          </w:p>
        </w:tc>
      </w:tr>
      <w:tr w14:paraId="6926E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195C25BC">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42</w:t>
            </w:r>
          </w:p>
        </w:tc>
        <w:tc>
          <w:tcPr>
            <w:tcW w:w="2081" w:type="dxa"/>
            <w:noWrap w:val="0"/>
            <w:vAlign w:val="center"/>
          </w:tcPr>
          <w:p w14:paraId="4DF5F18E">
            <w:pPr>
              <w:pStyle w:val="82"/>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中小企业</w:t>
            </w:r>
          </w:p>
        </w:tc>
        <w:tc>
          <w:tcPr>
            <w:tcW w:w="6609" w:type="dxa"/>
            <w:noWrap w:val="0"/>
            <w:vAlign w:val="center"/>
          </w:tcPr>
          <w:p w14:paraId="7B645E36">
            <w:pPr>
              <w:pStyle w:val="82"/>
              <w:keepNext w:val="0"/>
              <w:keepLines w:val="0"/>
              <w:suppressLineNumbers w:val="0"/>
              <w:spacing w:before="0" w:beforeAutospacing="0" w:after="0" w:afterAutospacing="0"/>
              <w:ind w:left="0" w:leftChars="0" w:right="0" w:rightChars="0" w:firstLine="560" w:firstLineChars="200"/>
              <w:jc w:val="left"/>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本项目为专门面向中小企业预留的采购项目</w:t>
            </w:r>
          </w:p>
        </w:tc>
      </w:tr>
      <w:tr w14:paraId="57BCF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68F3DEE3">
            <w:pPr>
              <w:pStyle w:val="82"/>
              <w:keepNext w:val="0"/>
              <w:keepLines w:val="0"/>
              <w:suppressLineNumbers w:val="0"/>
              <w:spacing w:before="0" w:beforeAutospacing="0" w:after="0" w:afterAutospacing="0"/>
              <w:ind w:left="0" w:right="0"/>
              <w:jc w:val="center"/>
              <w:rPr>
                <w:rFonts w:hint="default"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43</w:t>
            </w:r>
          </w:p>
        </w:tc>
        <w:tc>
          <w:tcPr>
            <w:tcW w:w="2081" w:type="dxa"/>
            <w:noWrap w:val="0"/>
            <w:vAlign w:val="center"/>
          </w:tcPr>
          <w:p w14:paraId="0217EFD3">
            <w:pPr>
              <w:pStyle w:val="82"/>
              <w:keepNext w:val="0"/>
              <w:keepLines w:val="0"/>
              <w:pageBreakBefore w:val="0"/>
              <w:suppressLineNumbers w:val="0"/>
              <w:kinsoku/>
              <w:wordWrap/>
              <w:overflowPunct/>
              <w:topLinePunct w:val="0"/>
              <w:bidi w:val="0"/>
              <w:spacing w:before="0" w:beforeAutospacing="0" w:after="0" w:afterAutospacing="0" w:line="240" w:lineRule="auto"/>
              <w:ind w:left="0" w:right="0" w:rightChars="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本项目〈采购标的〉对应的中小企业划分标准所属行业</w:t>
            </w:r>
          </w:p>
        </w:tc>
        <w:tc>
          <w:tcPr>
            <w:tcW w:w="6609" w:type="dxa"/>
            <w:noWrap w:val="0"/>
            <w:vAlign w:val="center"/>
          </w:tcPr>
          <w:p w14:paraId="4D63F1A7">
            <w:pPr>
              <w:pStyle w:val="82"/>
              <w:keepNext w:val="0"/>
              <w:keepLines w:val="0"/>
              <w:pageBreakBefore w:val="0"/>
              <w:suppressLineNumbers w:val="0"/>
              <w:kinsoku/>
              <w:wordWrap/>
              <w:overflowPunct/>
              <w:topLinePunct w:val="0"/>
              <w:bidi w:val="0"/>
              <w:spacing w:before="0" w:beforeAutospacing="0" w:after="0" w:afterAutospacing="0" w:line="240" w:lineRule="auto"/>
              <w:ind w:left="0" w:right="0" w:rightChars="0" w:firstLine="280" w:firstLineChars="100"/>
              <w:jc w:val="both"/>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其他未列明行业：</w:t>
            </w:r>
          </w:p>
          <w:p w14:paraId="38603CDE">
            <w:pPr>
              <w:pStyle w:val="82"/>
              <w:keepNext w:val="0"/>
              <w:keepLines w:val="0"/>
              <w:pageBreakBefore w:val="0"/>
              <w:suppressLineNumbers w:val="0"/>
              <w:kinsoku/>
              <w:wordWrap/>
              <w:overflowPunct/>
              <w:topLinePunct w:val="0"/>
              <w:bidi w:val="0"/>
              <w:spacing w:before="0" w:beforeAutospacing="0" w:after="0" w:afterAutospacing="0" w:line="240" w:lineRule="auto"/>
              <w:ind w:left="0" w:right="0" w:rightChars="0" w:firstLine="560" w:firstLineChars="200"/>
              <w:jc w:val="both"/>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从业人员300人以上的为大型企业；</w:t>
            </w:r>
          </w:p>
          <w:p w14:paraId="24D2285B">
            <w:pPr>
              <w:pStyle w:val="82"/>
              <w:keepNext w:val="0"/>
              <w:keepLines w:val="0"/>
              <w:pageBreakBefore w:val="0"/>
              <w:suppressLineNumbers w:val="0"/>
              <w:kinsoku/>
              <w:wordWrap/>
              <w:overflowPunct/>
              <w:topLinePunct w:val="0"/>
              <w:bidi w:val="0"/>
              <w:spacing w:before="0" w:beforeAutospacing="0" w:after="0" w:afterAutospacing="0" w:line="240" w:lineRule="auto"/>
              <w:ind w:left="0" w:right="0" w:rightChars="0" w:firstLine="560" w:firstLineChars="200"/>
              <w:jc w:val="both"/>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从业人员100人及以上的为中型企业；</w:t>
            </w:r>
          </w:p>
          <w:p w14:paraId="39612B24">
            <w:pPr>
              <w:pStyle w:val="82"/>
              <w:keepNext w:val="0"/>
              <w:keepLines w:val="0"/>
              <w:pageBreakBefore w:val="0"/>
              <w:suppressLineNumbers w:val="0"/>
              <w:kinsoku/>
              <w:wordWrap/>
              <w:overflowPunct/>
              <w:topLinePunct w:val="0"/>
              <w:bidi w:val="0"/>
              <w:spacing w:before="0" w:beforeAutospacing="0" w:after="0" w:afterAutospacing="0" w:line="240" w:lineRule="auto"/>
              <w:ind w:left="0" w:right="0" w:rightChars="0" w:firstLine="560" w:firstLineChars="200"/>
              <w:jc w:val="both"/>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从业人员10人及以上的为小型企业；</w:t>
            </w:r>
          </w:p>
          <w:p w14:paraId="6B96F75C">
            <w:pPr>
              <w:pStyle w:val="82"/>
              <w:keepNext w:val="0"/>
              <w:keepLines w:val="0"/>
              <w:pageBreakBefore w:val="0"/>
              <w:suppressLineNumbers w:val="0"/>
              <w:kinsoku/>
              <w:wordWrap/>
              <w:overflowPunct/>
              <w:topLinePunct w:val="0"/>
              <w:bidi w:val="0"/>
              <w:spacing w:before="0" w:beforeAutospacing="0" w:after="0" w:afterAutospacing="0" w:line="240" w:lineRule="auto"/>
              <w:ind w:left="0" w:right="0" w:rightChars="0" w:firstLine="560" w:firstLineChars="200"/>
              <w:jc w:val="both"/>
              <w:rPr>
                <w:rFonts w:hint="eastAsia" w:ascii="仿宋" w:hAnsi="仿宋" w:eastAsia="仿宋" w:cs="仿宋"/>
                <w:color w:val="auto"/>
                <w:kern w:val="2"/>
                <w:sz w:val="28"/>
                <w:szCs w:val="28"/>
                <w:highlight w:val="none"/>
                <w:lang w:val="en-US" w:eastAsia="zh-CN"/>
              </w:rPr>
            </w:pPr>
            <w:r>
              <w:rPr>
                <w:rFonts w:hint="eastAsia" w:ascii="仿宋" w:hAnsi="仿宋" w:eastAsia="仿宋" w:cs="仿宋"/>
                <w:kern w:val="2"/>
                <w:sz w:val="28"/>
                <w:szCs w:val="28"/>
                <w:lang w:val="en-US" w:eastAsia="zh-CN"/>
              </w:rPr>
              <w:t>从业人员10人以下的为微型企业</w:t>
            </w:r>
          </w:p>
        </w:tc>
      </w:tr>
    </w:tbl>
    <w:p w14:paraId="6BA16B57">
      <w:pPr>
        <w:pStyle w:val="3"/>
        <w:pageBreakBefore w:val="0"/>
        <w:numPr>
          <w:ilvl w:val="0"/>
          <w:numId w:val="5"/>
        </w:numPr>
        <w:kinsoku/>
        <w:wordWrap/>
        <w:overflowPunct/>
        <w:topLinePunct w:val="0"/>
        <w:bidi w:val="0"/>
        <w:spacing w:before="0" w:after="120" w:afterLines="50" w:line="400" w:lineRule="exact"/>
        <w:rPr>
          <w:rFonts w:hint="eastAsia" w:ascii="仿宋" w:hAnsi="仿宋" w:eastAsia="仿宋" w:cs="仿宋"/>
          <w:b w:val="0"/>
          <w:color w:val="auto"/>
          <w:sz w:val="36"/>
          <w:szCs w:val="36"/>
          <w:highlight w:val="none"/>
        </w:rPr>
      </w:pPr>
      <w:r>
        <w:rPr>
          <w:rFonts w:hint="eastAsia" w:ascii="仿宋" w:hAnsi="仿宋" w:eastAsia="仿宋" w:cs="仿宋"/>
          <w:b w:val="0"/>
          <w:color w:val="auto"/>
          <w:sz w:val="32"/>
          <w:szCs w:val="32"/>
          <w:highlight w:val="none"/>
        </w:rPr>
        <w:br w:type="page"/>
      </w:r>
      <w:bookmarkEnd w:id="23"/>
      <w:bookmarkEnd w:id="24"/>
      <w:bookmarkEnd w:id="25"/>
      <w:bookmarkEnd w:id="26"/>
      <w:bookmarkEnd w:id="27"/>
      <w:bookmarkStart w:id="28" w:name="_Toc5242"/>
      <w:bookmarkStart w:id="29" w:name="_Toc27146"/>
      <w:bookmarkStart w:id="30" w:name="_Toc28313"/>
      <w:bookmarkStart w:id="31" w:name="_Toc17149_WPSOffice_Level2"/>
      <w:bookmarkStart w:id="32" w:name="_Toc1874"/>
      <w:bookmarkStart w:id="33" w:name="_Toc19968"/>
      <w:bookmarkStart w:id="34" w:name="_Toc3104"/>
      <w:bookmarkStart w:id="35" w:name="_Toc217446036"/>
      <w:bookmarkStart w:id="36" w:name="_Toc183682344"/>
      <w:bookmarkStart w:id="37" w:name="_Toc183582207"/>
      <w:bookmarkStart w:id="38" w:name="_Toc217390843"/>
      <w:r>
        <w:rPr>
          <w:rFonts w:hint="eastAsia" w:ascii="仿宋" w:hAnsi="仿宋" w:eastAsia="仿宋" w:cs="仿宋"/>
          <w:b w:val="0"/>
          <w:color w:val="auto"/>
          <w:sz w:val="36"/>
          <w:szCs w:val="36"/>
          <w:highlight w:val="none"/>
        </w:rPr>
        <w:t>总  则</w:t>
      </w:r>
      <w:bookmarkEnd w:id="28"/>
      <w:bookmarkEnd w:id="29"/>
      <w:bookmarkEnd w:id="30"/>
      <w:bookmarkEnd w:id="31"/>
      <w:bookmarkEnd w:id="32"/>
      <w:bookmarkEnd w:id="33"/>
      <w:bookmarkEnd w:id="34"/>
    </w:p>
    <w:p w14:paraId="461E3C42">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0"/>
          <w:szCs w:val="30"/>
          <w:highlight w:val="none"/>
        </w:rPr>
      </w:pPr>
      <w:bookmarkStart w:id="39" w:name="_Toc26527"/>
      <w:bookmarkStart w:id="40" w:name="_Toc6430"/>
      <w:bookmarkStart w:id="41" w:name="_Toc18359"/>
      <w:bookmarkStart w:id="42" w:name="_Toc12795"/>
      <w:bookmarkStart w:id="43" w:name="_Toc25061"/>
      <w:bookmarkStart w:id="44" w:name="_Toc25355"/>
      <w:r>
        <w:rPr>
          <w:rFonts w:hint="eastAsia" w:ascii="仿宋" w:hAnsi="仿宋" w:eastAsia="仿宋" w:cs="仿宋"/>
          <w:b/>
          <w:color w:val="auto"/>
          <w:sz w:val="30"/>
          <w:szCs w:val="30"/>
          <w:highlight w:val="none"/>
        </w:rPr>
        <w:t>1.1适用范围</w:t>
      </w:r>
      <w:bookmarkEnd w:id="39"/>
      <w:bookmarkEnd w:id="40"/>
      <w:bookmarkEnd w:id="41"/>
      <w:bookmarkEnd w:id="42"/>
      <w:bookmarkEnd w:id="43"/>
      <w:bookmarkEnd w:id="44"/>
    </w:p>
    <w:p w14:paraId="04649362">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本竞争性磋商文件仅适用于本次竞争性磋商（以下简称磋商）所叙述的服务项目的采购活动。</w:t>
      </w:r>
    </w:p>
    <w:p w14:paraId="7624B442">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1.2名词解释</w:t>
      </w:r>
    </w:p>
    <w:bookmarkEnd w:id="35"/>
    <w:bookmarkEnd w:id="36"/>
    <w:bookmarkEnd w:id="37"/>
    <w:bookmarkEnd w:id="38"/>
    <w:p w14:paraId="3335E1BE">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bookmarkStart w:id="45" w:name="_Toc183682345"/>
      <w:bookmarkStart w:id="46" w:name="_Toc183582208"/>
      <w:bookmarkStart w:id="47" w:name="_Toc217446037"/>
      <w:r>
        <w:rPr>
          <w:rFonts w:hint="eastAsia" w:ascii="仿宋" w:hAnsi="仿宋" w:eastAsia="仿宋" w:cs="仿宋"/>
          <w:color w:val="auto"/>
          <w:szCs w:val="21"/>
          <w:highlight w:val="none"/>
        </w:rPr>
        <w:t xml:space="preserve">1.2.1 </w:t>
      </w:r>
      <w:r>
        <w:rPr>
          <w:rFonts w:hint="eastAsia" w:ascii="仿宋" w:hAnsi="仿宋" w:eastAsia="仿宋" w:cs="仿宋"/>
          <w:b/>
          <w:bCs/>
          <w:color w:val="auto"/>
          <w:szCs w:val="21"/>
          <w:highlight w:val="none"/>
          <w:lang w:eastAsia="zh-CN"/>
        </w:rPr>
        <w:t>采购人</w:t>
      </w:r>
      <w:r>
        <w:rPr>
          <w:rFonts w:hint="eastAsia" w:ascii="仿宋" w:hAnsi="仿宋" w:eastAsia="仿宋" w:cs="仿宋"/>
          <w:b/>
          <w:bCs/>
          <w:color w:val="auto"/>
          <w:szCs w:val="21"/>
          <w:highlight w:val="none"/>
        </w:rPr>
        <w:t>:</w:t>
      </w:r>
      <w:r>
        <w:rPr>
          <w:rFonts w:hint="eastAsia" w:ascii="仿宋" w:hAnsi="仿宋" w:eastAsia="仿宋" w:cs="仿宋"/>
          <w:color w:val="auto"/>
          <w:szCs w:val="21"/>
          <w:highlight w:val="none"/>
          <w:lang w:eastAsia="zh-CN"/>
        </w:rPr>
        <w:t>勉县林业局</w:t>
      </w:r>
      <w:r>
        <w:rPr>
          <w:rFonts w:hint="eastAsia" w:ascii="仿宋" w:hAnsi="仿宋" w:eastAsia="仿宋" w:cs="仿宋"/>
          <w:color w:val="auto"/>
          <w:szCs w:val="21"/>
          <w:highlight w:val="none"/>
        </w:rPr>
        <w:t>。</w:t>
      </w:r>
    </w:p>
    <w:p w14:paraId="61A2E62B">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1.2.2 </w:t>
      </w:r>
      <w:r>
        <w:rPr>
          <w:rFonts w:hint="eastAsia" w:ascii="仿宋" w:hAnsi="仿宋" w:eastAsia="仿宋" w:cs="仿宋"/>
          <w:b/>
          <w:bCs/>
          <w:color w:val="auto"/>
          <w:szCs w:val="21"/>
          <w:highlight w:val="none"/>
        </w:rPr>
        <w:t>监督管理机构：</w:t>
      </w:r>
      <w:r>
        <w:rPr>
          <w:rFonts w:hint="eastAsia" w:ascii="仿宋" w:hAnsi="仿宋" w:eastAsia="仿宋" w:cs="仿宋"/>
          <w:color w:val="auto"/>
          <w:szCs w:val="21"/>
          <w:highlight w:val="none"/>
          <w:lang w:eastAsia="zh-CN"/>
        </w:rPr>
        <w:t>勉县财政局</w:t>
      </w:r>
      <w:r>
        <w:rPr>
          <w:rFonts w:hint="eastAsia" w:ascii="仿宋" w:hAnsi="仿宋" w:eastAsia="仿宋" w:cs="仿宋"/>
          <w:color w:val="auto"/>
          <w:szCs w:val="21"/>
          <w:highlight w:val="none"/>
        </w:rPr>
        <w:t>。</w:t>
      </w:r>
    </w:p>
    <w:p w14:paraId="5D7BBEEE">
      <w:pPr>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 xml:space="preserve">1.2.3 </w:t>
      </w:r>
      <w:r>
        <w:rPr>
          <w:rFonts w:hint="eastAsia" w:ascii="仿宋" w:hAnsi="仿宋" w:eastAsia="仿宋" w:cs="仿宋"/>
          <w:b/>
          <w:bCs/>
          <w:color w:val="auto"/>
          <w:szCs w:val="21"/>
          <w:highlight w:val="none"/>
        </w:rPr>
        <w:t>采购代理机构：</w:t>
      </w:r>
      <w:r>
        <w:rPr>
          <w:rFonts w:hint="eastAsia" w:ascii="仿宋" w:hAnsi="仿宋" w:eastAsia="仿宋" w:cs="仿宋"/>
          <w:color w:val="auto"/>
          <w:szCs w:val="21"/>
          <w:highlight w:val="none"/>
          <w:lang w:eastAsia="zh-CN"/>
        </w:rPr>
        <w:t>陕西佳鸿项目管理咨询有限公司</w:t>
      </w:r>
      <w:r>
        <w:rPr>
          <w:rFonts w:hint="eastAsia" w:ascii="仿宋" w:hAnsi="仿宋" w:eastAsia="仿宋" w:cs="仿宋"/>
          <w:color w:val="auto"/>
          <w:szCs w:val="21"/>
          <w:highlight w:val="none"/>
        </w:rPr>
        <w:t>。</w:t>
      </w:r>
    </w:p>
    <w:p w14:paraId="48CE91AD">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1.2.4 </w:t>
      </w:r>
      <w:r>
        <w:rPr>
          <w:rFonts w:hint="eastAsia" w:ascii="仿宋" w:hAnsi="仿宋" w:eastAsia="仿宋" w:cs="仿宋"/>
          <w:b/>
          <w:bCs/>
          <w:color w:val="auto"/>
          <w:szCs w:val="21"/>
          <w:highlight w:val="none"/>
          <w:lang w:eastAsia="zh-CN"/>
        </w:rPr>
        <w:t>供应商</w:t>
      </w:r>
      <w:r>
        <w:rPr>
          <w:rFonts w:hint="eastAsia" w:ascii="仿宋" w:hAnsi="仿宋" w:eastAsia="仿宋" w:cs="仿宋"/>
          <w:color w:val="auto"/>
          <w:szCs w:val="21"/>
          <w:highlight w:val="none"/>
        </w:rPr>
        <w:t>是指接受磋商文件的各项要求，具备相应履约能力、具有《中华人民共和国政府采购法》第22规定的相关条件并向磋商小组提交响应文件的供应商。</w:t>
      </w:r>
    </w:p>
    <w:p w14:paraId="6EDC7C3F">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1.2.5</w:t>
      </w:r>
      <w:r>
        <w:rPr>
          <w:rFonts w:hint="eastAsia" w:ascii="仿宋" w:hAnsi="仿宋" w:eastAsia="仿宋" w:cs="仿宋"/>
          <w:b/>
          <w:bCs/>
          <w:color w:val="auto"/>
          <w:szCs w:val="21"/>
          <w:highlight w:val="none"/>
        </w:rPr>
        <w:t xml:space="preserve"> </w:t>
      </w:r>
      <w:r>
        <w:rPr>
          <w:rFonts w:hint="eastAsia" w:ascii="仿宋" w:hAnsi="仿宋" w:eastAsia="仿宋" w:cs="仿宋"/>
          <w:b/>
          <w:bCs/>
          <w:color w:val="auto"/>
          <w:szCs w:val="21"/>
          <w:highlight w:val="none"/>
          <w:lang w:eastAsia="zh-CN"/>
        </w:rPr>
        <w:t>服务</w:t>
      </w:r>
      <w:r>
        <w:rPr>
          <w:rFonts w:hint="eastAsia" w:ascii="仿宋" w:hAnsi="仿宋" w:eastAsia="仿宋" w:cs="仿宋"/>
          <w:color w:val="auto"/>
          <w:szCs w:val="21"/>
          <w:highlight w:val="none"/>
        </w:rPr>
        <w:t>是指本磋商文件中第四章所述</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w:t>
      </w:r>
    </w:p>
    <w:p w14:paraId="4E14D807">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1.2.6 </w:t>
      </w:r>
      <w:r>
        <w:rPr>
          <w:rFonts w:hint="eastAsia" w:ascii="仿宋" w:hAnsi="仿宋" w:eastAsia="仿宋" w:cs="仿宋"/>
          <w:b/>
          <w:bCs/>
          <w:color w:val="auto"/>
          <w:szCs w:val="21"/>
          <w:highlight w:val="none"/>
          <w:lang w:eastAsia="zh-CN"/>
        </w:rPr>
        <w:t>货物</w:t>
      </w:r>
      <w:r>
        <w:rPr>
          <w:rFonts w:hint="eastAsia" w:ascii="仿宋" w:hAnsi="仿宋" w:eastAsia="仿宋" w:cs="仿宋"/>
          <w:color w:val="auto"/>
          <w:szCs w:val="21"/>
          <w:highlight w:val="none"/>
        </w:rPr>
        <w:t>是指为满足磋商文件要求和</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配套所提供的</w:t>
      </w:r>
      <w:r>
        <w:rPr>
          <w:rFonts w:hint="eastAsia" w:ascii="仿宋" w:hAnsi="仿宋" w:eastAsia="仿宋" w:cs="仿宋"/>
          <w:color w:val="auto"/>
          <w:szCs w:val="21"/>
          <w:highlight w:val="none"/>
          <w:lang w:eastAsia="zh-CN"/>
        </w:rPr>
        <w:t>货物</w:t>
      </w:r>
      <w:r>
        <w:rPr>
          <w:rFonts w:hint="eastAsia" w:ascii="仿宋" w:hAnsi="仿宋" w:eastAsia="仿宋" w:cs="仿宋"/>
          <w:color w:val="auto"/>
          <w:szCs w:val="21"/>
          <w:highlight w:val="none"/>
        </w:rPr>
        <w:t>。</w:t>
      </w:r>
    </w:p>
    <w:p w14:paraId="23F5D0FF">
      <w:pPr>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1.2.7 </w:t>
      </w:r>
      <w:r>
        <w:rPr>
          <w:rFonts w:hint="eastAsia" w:ascii="仿宋" w:hAnsi="仿宋" w:eastAsia="仿宋" w:cs="仿宋"/>
          <w:b/>
          <w:bCs/>
          <w:color w:val="auto"/>
          <w:szCs w:val="21"/>
          <w:highlight w:val="none"/>
        </w:rPr>
        <w:t>节能产品</w:t>
      </w:r>
      <w:r>
        <w:rPr>
          <w:rFonts w:hint="eastAsia" w:ascii="仿宋" w:hAnsi="仿宋" w:eastAsia="仿宋" w:cs="仿宋"/>
          <w:color w:val="auto"/>
          <w:szCs w:val="21"/>
          <w:highlight w:val="none"/>
        </w:rPr>
        <w:t>指财政部、发展改革委、生态环境部等部门发布的《节能产品品目清单》中的产品。</w:t>
      </w:r>
    </w:p>
    <w:p w14:paraId="1CE4A1AA">
      <w:pPr>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1.2.8 </w:t>
      </w:r>
      <w:r>
        <w:rPr>
          <w:rFonts w:hint="eastAsia" w:ascii="仿宋" w:hAnsi="仿宋" w:eastAsia="仿宋" w:cs="仿宋"/>
          <w:b/>
          <w:bCs/>
          <w:color w:val="auto"/>
          <w:szCs w:val="21"/>
          <w:highlight w:val="none"/>
        </w:rPr>
        <w:t>环境标志产品</w:t>
      </w:r>
      <w:r>
        <w:rPr>
          <w:rFonts w:hint="eastAsia" w:ascii="仿宋" w:hAnsi="仿宋" w:eastAsia="仿宋" w:cs="仿宋"/>
          <w:color w:val="auto"/>
          <w:szCs w:val="21"/>
          <w:highlight w:val="none"/>
        </w:rPr>
        <w:t>是指财政部、发展改革委、生态环境部等部门发布的《环境标志产品品目清单》中的产品。</w:t>
      </w:r>
    </w:p>
    <w:p w14:paraId="5CC454F8">
      <w:pPr>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1.2.9 </w:t>
      </w:r>
      <w:r>
        <w:rPr>
          <w:rFonts w:hint="eastAsia" w:ascii="仿宋" w:hAnsi="仿宋" w:eastAsia="仿宋" w:cs="仿宋"/>
          <w:b/>
          <w:bCs/>
          <w:color w:val="auto"/>
          <w:kern w:val="0"/>
          <w:szCs w:val="21"/>
          <w:highlight w:val="none"/>
        </w:rPr>
        <w:t>进口产品</w:t>
      </w:r>
      <w:r>
        <w:rPr>
          <w:rFonts w:hint="eastAsia" w:ascii="仿宋" w:hAnsi="仿宋" w:eastAsia="仿宋" w:cs="仿宋"/>
          <w:color w:val="auto"/>
          <w:kern w:val="0"/>
          <w:szCs w:val="21"/>
          <w:highlight w:val="none"/>
        </w:rPr>
        <w:t>是指通过中国海关报关验放进入中国境内且产自关境外的产品，详见《关于政府采购进口产品管理有关问题的通知》(财库[2007]119号)。</w:t>
      </w:r>
    </w:p>
    <w:p w14:paraId="5C307D3B">
      <w:pPr>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1.2.10</w:t>
      </w:r>
      <w:r>
        <w:rPr>
          <w:rFonts w:hint="eastAsia" w:ascii="仿宋" w:hAnsi="仿宋" w:eastAsia="仿宋" w:cs="仿宋"/>
          <w:b/>
          <w:bCs/>
          <w:color w:val="auto"/>
          <w:szCs w:val="21"/>
          <w:highlight w:val="none"/>
        </w:rPr>
        <w:t>中小企业</w:t>
      </w:r>
      <w:r>
        <w:rPr>
          <w:rFonts w:hint="eastAsia" w:ascii="仿宋" w:hAnsi="仿宋" w:eastAsia="仿宋" w:cs="仿宋"/>
          <w:color w:val="auto"/>
          <w:szCs w:val="21"/>
          <w:highlight w:val="none"/>
        </w:rPr>
        <w:t>是指符合《工业和信息化部、国家统计局、国家发展和改革委员会、财政部关于印发中小企业划型标准规定的通知》（工信部联企业[2011]300号）规定的对中小企业的划分标准的企业。</w:t>
      </w:r>
    </w:p>
    <w:p w14:paraId="67C6CEF0">
      <w:pPr>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1.2.11 </w:t>
      </w:r>
      <w:r>
        <w:rPr>
          <w:rFonts w:hint="eastAsia" w:ascii="仿宋" w:hAnsi="仿宋" w:eastAsia="仿宋" w:cs="仿宋"/>
          <w:b/>
          <w:bCs/>
          <w:color w:val="auto"/>
          <w:szCs w:val="21"/>
          <w:highlight w:val="none"/>
        </w:rPr>
        <w:t>监狱企业</w:t>
      </w:r>
      <w:r>
        <w:rPr>
          <w:rFonts w:hint="eastAsia" w:ascii="仿宋" w:hAnsi="仿宋" w:eastAsia="仿宋" w:cs="仿宋"/>
          <w:color w:val="auto"/>
          <w:szCs w:val="21"/>
          <w:highlight w:val="none"/>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DD1D1D6">
      <w:pPr>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1.2.12 </w:t>
      </w:r>
      <w:r>
        <w:rPr>
          <w:rFonts w:hint="eastAsia" w:ascii="仿宋" w:hAnsi="仿宋" w:eastAsia="仿宋" w:cs="仿宋"/>
          <w:b/>
          <w:color w:val="auto"/>
          <w:kern w:val="0"/>
          <w:szCs w:val="21"/>
          <w:highlight w:val="none"/>
        </w:rPr>
        <w:t>残疾人福利性单位</w:t>
      </w:r>
      <w:r>
        <w:rPr>
          <w:rFonts w:hint="eastAsia" w:ascii="仿宋" w:hAnsi="仿宋" w:eastAsia="仿宋" w:cs="仿宋"/>
          <w:color w:val="auto"/>
          <w:kern w:val="0"/>
          <w:szCs w:val="21"/>
          <w:highlight w:val="none"/>
        </w:rPr>
        <w:t>是指符合</w:t>
      </w:r>
      <w:r>
        <w:rPr>
          <w:rFonts w:hint="eastAsia" w:ascii="仿宋" w:hAnsi="仿宋" w:eastAsia="仿宋" w:cs="仿宋"/>
          <w:color w:val="auto"/>
          <w:spacing w:val="6"/>
          <w:szCs w:val="21"/>
          <w:highlight w:val="none"/>
        </w:rPr>
        <w:t>《财政部、民政部、中国残疾人联合会关于促进残疾人就业政府采购政策的通知》（财库</w:t>
      </w:r>
      <w:r>
        <w:rPr>
          <w:rFonts w:hint="eastAsia" w:ascii="仿宋" w:hAnsi="仿宋" w:eastAsia="仿宋" w:cs="仿宋"/>
          <w:color w:val="auto"/>
          <w:szCs w:val="21"/>
          <w:highlight w:val="none"/>
        </w:rPr>
        <w:t>〔2017〕141</w:t>
      </w:r>
      <w:r>
        <w:rPr>
          <w:rFonts w:hint="eastAsia" w:ascii="仿宋" w:hAnsi="仿宋" w:eastAsia="仿宋" w:cs="仿宋"/>
          <w:color w:val="auto"/>
          <w:spacing w:val="6"/>
          <w:szCs w:val="21"/>
          <w:highlight w:val="none"/>
        </w:rPr>
        <w:t>号）规定条件的单位。</w:t>
      </w:r>
    </w:p>
    <w:p w14:paraId="0BEC21B4">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1.3 合格的供应商</w:t>
      </w:r>
    </w:p>
    <w:p w14:paraId="1CF47DC8">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1.3.1 合格的供应商应具备以下条件：</w:t>
      </w:r>
    </w:p>
    <w:p w14:paraId="077E7DCD">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（1）具备且满足“磋商公告”要求的；</w:t>
      </w:r>
    </w:p>
    <w:p w14:paraId="52BFFF94">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（2）向采购代理机构购买了磋商文件并登记备案；</w:t>
      </w:r>
    </w:p>
    <w:p w14:paraId="0E250AFF">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（3）向采购代理机构交纳了磋商保证金；</w:t>
      </w:r>
    </w:p>
    <w:p w14:paraId="606C6B77">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（4）遵守国家、陕西省和</w:t>
      </w:r>
      <w:r>
        <w:rPr>
          <w:rFonts w:hint="eastAsia" w:ascii="仿宋" w:hAnsi="仿宋" w:eastAsia="仿宋" w:cs="仿宋"/>
          <w:color w:val="auto"/>
          <w:szCs w:val="21"/>
          <w:highlight w:val="none"/>
          <w:lang w:eastAsia="zh-CN"/>
        </w:rPr>
        <w:t>汉中</w:t>
      </w:r>
      <w:r>
        <w:rPr>
          <w:rFonts w:hint="eastAsia" w:ascii="仿宋" w:hAnsi="仿宋" w:eastAsia="仿宋" w:cs="仿宋"/>
          <w:color w:val="auto"/>
          <w:szCs w:val="21"/>
          <w:highlight w:val="none"/>
        </w:rPr>
        <w:t>市有关的法律法规、规章和规范性文件要求；</w:t>
      </w:r>
    </w:p>
    <w:p w14:paraId="401BEA61">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（5）磋商文件和法律、行政法规规定的其他条件。</w:t>
      </w:r>
    </w:p>
    <w:p w14:paraId="2ED802E8">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1.3.2 供应商不得存在下列情形之一：</w:t>
      </w:r>
    </w:p>
    <w:p w14:paraId="37ED7E1C">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（l）与采购人、采购代理机构存在隶属关系或者其他利害关系，且可能影响磋商公正性；</w:t>
      </w:r>
    </w:p>
    <w:p w14:paraId="71ED8B34">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（2）与本采购项目其他供应商的法定代表人（或者负责人）为同一人；</w:t>
      </w:r>
    </w:p>
    <w:p w14:paraId="218FC714">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（3）与本采购项目其他供应商存在控股、管理关系；</w:t>
      </w:r>
    </w:p>
    <w:p w14:paraId="18A81174">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（4）为本项目采购代理机构；</w:t>
      </w:r>
    </w:p>
    <w:p w14:paraId="7A10BB4E">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（5）为本项目代理磋商的为其采购代理机构；</w:t>
      </w:r>
    </w:p>
    <w:p w14:paraId="06F487D2">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（6）为本项目提供整体设计、规范编制或者项目管理、监理、检测、咨询服务；</w:t>
      </w:r>
    </w:p>
    <w:p w14:paraId="17D2C36B">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（7）受到刑事处罚；</w:t>
      </w:r>
    </w:p>
    <w:p w14:paraId="7028C1BE">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（8）受到财政部门3万元以上数额罚款的行政处罚或其他行政部门较大数额罚款的行政处罚（举行听证会的）；</w:t>
      </w:r>
    </w:p>
    <w:p w14:paraId="3C893773">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（9）被责令停产停业、暂扣或者吊销许可证、暂扣或者吊销执照的行政处罚；</w:t>
      </w:r>
    </w:p>
    <w:p w14:paraId="19141032">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（10）被列入失信被执行人名单；</w:t>
      </w:r>
    </w:p>
    <w:p w14:paraId="06679C55">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（11）被列入重大税收违法案件当事人名单；</w:t>
      </w:r>
    </w:p>
    <w:p w14:paraId="3988B7EF">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（12）被禁止在一至三年内参加政府采购活动或存在财政部门认定的其他重大违法记录；</w:t>
      </w:r>
    </w:p>
    <w:p w14:paraId="35120D65">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（13）在最近三年内有严重违约或者重大质量问题；</w:t>
      </w:r>
    </w:p>
    <w:p w14:paraId="6CCA2D85">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（14）被行政主管部门暂停或取消磋商资格。</w:t>
      </w:r>
    </w:p>
    <w:p w14:paraId="48ADD700">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rPr>
        <w:t>1.4 合格的</w:t>
      </w:r>
      <w:r>
        <w:rPr>
          <w:rFonts w:hint="eastAsia" w:ascii="仿宋" w:hAnsi="仿宋" w:eastAsia="仿宋" w:cs="仿宋"/>
          <w:b/>
          <w:color w:val="auto"/>
          <w:sz w:val="30"/>
          <w:szCs w:val="30"/>
          <w:highlight w:val="none"/>
          <w:lang w:eastAsia="zh-CN"/>
        </w:rPr>
        <w:t>服务</w:t>
      </w:r>
    </w:p>
    <w:p w14:paraId="25A5FF79">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1.4.1 供应商为本采购项目所承担的</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，必须是符合国家相关标准和规范要求，满足磋商文件规定的质量、</w:t>
      </w:r>
      <w:r>
        <w:rPr>
          <w:rFonts w:hint="eastAsia" w:ascii="仿宋" w:hAnsi="仿宋" w:eastAsia="仿宋" w:cs="仿宋"/>
          <w:color w:val="auto"/>
          <w:szCs w:val="21"/>
          <w:highlight w:val="none"/>
          <w:lang w:eastAsia="zh-CN"/>
        </w:rPr>
        <w:t>服务期</w:t>
      </w:r>
      <w:r>
        <w:rPr>
          <w:rFonts w:hint="eastAsia" w:ascii="仿宋" w:hAnsi="仿宋" w:eastAsia="仿宋" w:cs="仿宋"/>
          <w:color w:val="auto"/>
          <w:szCs w:val="21"/>
          <w:highlight w:val="none"/>
        </w:rPr>
        <w:t>等要求，达到合格标准。</w:t>
      </w:r>
    </w:p>
    <w:p w14:paraId="352A51C0">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1.4.2采购人有权拒绝接受任何质量不合格</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，由此产生的费用及相关后果均由供应商自行承担。</w:t>
      </w:r>
    </w:p>
    <w:bookmarkEnd w:id="45"/>
    <w:bookmarkEnd w:id="46"/>
    <w:bookmarkEnd w:id="47"/>
    <w:p w14:paraId="48259921">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0"/>
          <w:szCs w:val="30"/>
          <w:highlight w:val="none"/>
        </w:rPr>
      </w:pPr>
      <w:bookmarkStart w:id="48" w:name="_Toc183682346"/>
      <w:bookmarkStart w:id="49" w:name="_Toc89075875"/>
      <w:bookmarkStart w:id="50" w:name="_Toc482201957"/>
      <w:bookmarkStart w:id="51" w:name="_Toc217446038"/>
      <w:bookmarkStart w:id="52" w:name="_Toc77400779"/>
      <w:bookmarkStart w:id="53" w:name="_Toc183582209"/>
      <w:r>
        <w:rPr>
          <w:rFonts w:hint="eastAsia" w:ascii="仿宋" w:hAnsi="仿宋" w:eastAsia="仿宋" w:cs="仿宋"/>
          <w:b/>
          <w:color w:val="auto"/>
          <w:sz w:val="30"/>
          <w:szCs w:val="30"/>
          <w:highlight w:val="none"/>
        </w:rPr>
        <w:t>1.5 磋商费用</w:t>
      </w:r>
    </w:p>
    <w:p w14:paraId="744CF46D">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不论磋商结果如何，供应商应自行承担所有与准备和参加磋商相关的全部费用。</w:t>
      </w:r>
    </w:p>
    <w:p w14:paraId="36F25756">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1.6语言文字</w:t>
      </w:r>
    </w:p>
    <w:p w14:paraId="7303921F">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1.6.1 磋商文件与响应文件使用的语言为中文。专用术语使用外文的，应附有中文注释。</w:t>
      </w:r>
    </w:p>
    <w:p w14:paraId="39256D05">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1.6.2 响应文件中如附有外文资料，必须逐一对应翻译成中文并加盖供应商单位章后附在相关外文资料后面，否则，供应商的响应文件将作为无效响应文件处理。</w:t>
      </w:r>
    </w:p>
    <w:p w14:paraId="2E40F8FA">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1.6.3 响应文件中翻译的中文资料与外文资料如果出现差异和矛盾时，以中文为准。但不能故意错误翻译，否则，供应商的响应文件将作为无效响应文件处理。必要时采购人可以要求供应商提供附有公证书的中文翻译文件或者与原版文件签章相一致的中文翻译文件。</w:t>
      </w:r>
    </w:p>
    <w:p w14:paraId="3C6ADF8F">
      <w:pPr>
        <w:pageBreakBefore w:val="0"/>
        <w:tabs>
          <w:tab w:val="left" w:pos="7665"/>
        </w:tabs>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1.7 保密</w:t>
      </w:r>
    </w:p>
    <w:p w14:paraId="7489869F">
      <w:pPr>
        <w:pageBreakBefore w:val="0"/>
        <w:kinsoku/>
        <w:wordWrap/>
        <w:overflowPunct/>
        <w:topLinePunct w:val="0"/>
        <w:bidi w:val="0"/>
        <w:spacing w:before="120" w:beforeLines="50" w:after="120" w:afterLines="50"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参与采购活动的当事人应对磋商文件和响应文件中的商业秘密、技术秘密和个人隐私等保密，违者应对由此造成的后果承担法律责任。</w:t>
      </w:r>
    </w:p>
    <w:bookmarkEnd w:id="48"/>
    <w:bookmarkEnd w:id="49"/>
    <w:bookmarkEnd w:id="50"/>
    <w:bookmarkEnd w:id="51"/>
    <w:bookmarkEnd w:id="52"/>
    <w:bookmarkEnd w:id="53"/>
    <w:p w14:paraId="12B74C8F">
      <w:pPr>
        <w:pageBreakBefore w:val="0"/>
        <w:tabs>
          <w:tab w:val="left" w:pos="7665"/>
        </w:tabs>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bookmarkStart w:id="54" w:name="_Toc28423"/>
      <w:bookmarkStart w:id="55" w:name="_Toc20254"/>
      <w:bookmarkStart w:id="56" w:name="_Toc14248_WPSOffice_Level2"/>
      <w:bookmarkStart w:id="57" w:name="_Toc160"/>
      <w:bookmarkStart w:id="58" w:name="_Toc23610"/>
      <w:bookmarkStart w:id="59" w:name="_Toc14741"/>
      <w:bookmarkStart w:id="60" w:name="_Toc15751"/>
      <w:bookmarkStart w:id="61" w:name="_Toc208848971"/>
      <w:bookmarkStart w:id="62" w:name="_Toc217446041"/>
      <w:r>
        <w:rPr>
          <w:rFonts w:hint="eastAsia" w:ascii="仿宋" w:hAnsi="仿宋" w:eastAsia="仿宋" w:cs="仿宋"/>
          <w:b/>
          <w:color w:val="auto"/>
          <w:sz w:val="30"/>
          <w:szCs w:val="30"/>
          <w:highlight w:val="none"/>
        </w:rPr>
        <w:t>1.8 计量单位</w:t>
      </w:r>
    </w:p>
    <w:p w14:paraId="3F5B85EA">
      <w:pPr>
        <w:pageBreakBefore w:val="0"/>
        <w:tabs>
          <w:tab w:val="left" w:pos="7665"/>
        </w:tabs>
        <w:kinsoku/>
        <w:wordWrap/>
        <w:overflowPunct/>
        <w:topLinePunct w:val="0"/>
        <w:bidi w:val="0"/>
        <w:spacing w:line="400" w:lineRule="exact"/>
        <w:ind w:firstLine="405"/>
        <w:rPr>
          <w:rFonts w:hint="eastAsia" w:ascii="仿宋" w:hAnsi="仿宋" w:eastAsia="仿宋" w:cs="仿宋"/>
          <w:color w:val="auto"/>
          <w:szCs w:val="21"/>
          <w:highlight w:val="none"/>
        </w:rPr>
      </w:pPr>
      <w:r>
        <w:rPr>
          <w:rFonts w:hint="eastAsia" w:ascii="仿宋" w:hAnsi="仿宋" w:eastAsia="仿宋" w:cs="仿宋"/>
          <w:color w:val="auto"/>
          <w:szCs w:val="21"/>
          <w:highlight w:val="none"/>
        </w:rPr>
        <w:t>所有计量单位均采用中华人民共和国法定计量单位。</w:t>
      </w:r>
    </w:p>
    <w:p w14:paraId="7BDB5244">
      <w:pPr>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1.9 答疑会或现场踏勘</w:t>
      </w:r>
    </w:p>
    <w:p w14:paraId="4B4438C4">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1.9.1供应商须知前附表规定组织踏勘现场的，采购人或者采购代理机构按供应商须知前附表规定的时间、地点组织供应商踏勘项目现场，澄清供应商提出的问题。答疑会或进行现场踏勘的时间与地点，采购代理机构将以书面形式通知所有获取了磋商文件的供应商。</w:t>
      </w:r>
    </w:p>
    <w:p w14:paraId="0CDEF1A4">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1.9.2 除采购人或采购代理机构的原因外，供应商自行负责在踏勘现场中所发生的人员伤亡和财产损失。</w:t>
      </w:r>
    </w:p>
    <w:p w14:paraId="58A46DE8">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1.9.3 答疑会或现场踏勘后，采购人或采购代理机构对供应商所提问题的澄清，以书面形式通知所有获取了磋商文件的供应商。该澄清内容为磋商文件的组成部分。</w:t>
      </w:r>
    </w:p>
    <w:p w14:paraId="7FE86B78">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1.9.4 采购人或采购代理机构在踏勘现场中介绍的工程场地和相关的周边环境情况，供应商在编制响应文件时</w:t>
      </w:r>
      <w:r>
        <w:rPr>
          <w:rFonts w:hint="eastAsia" w:ascii="仿宋" w:hAnsi="仿宋" w:eastAsia="仿宋" w:cs="仿宋"/>
          <w:color w:val="auto"/>
          <w:szCs w:val="21"/>
          <w:highlight w:val="none"/>
          <w:lang w:val="en-US" w:eastAsia="zh-CN"/>
        </w:rPr>
        <w:t>仅作为</w:t>
      </w:r>
      <w:r>
        <w:rPr>
          <w:rFonts w:hint="eastAsia" w:ascii="仿宋" w:hAnsi="仿宋" w:eastAsia="仿宋" w:cs="仿宋"/>
          <w:color w:val="auto"/>
          <w:szCs w:val="21"/>
          <w:highlight w:val="none"/>
        </w:rPr>
        <w:t>参考，采购人或采购代理机构不对供应商据此作出的判断和决策负责。一旦成交，成交供应商不得以任何借口，提出额外补偿，或延长合同期限的要求。</w:t>
      </w:r>
    </w:p>
    <w:p w14:paraId="0AB677F1">
      <w:pPr>
        <w:pageBreakBefore w:val="0"/>
        <w:tabs>
          <w:tab w:val="left" w:pos="7665"/>
        </w:tabs>
        <w:kinsoku/>
        <w:wordWrap/>
        <w:overflowPunct/>
        <w:topLinePunct w:val="0"/>
        <w:bidi w:val="0"/>
        <w:spacing w:before="120" w:beforeLines="50" w:after="120" w:afterLines="50" w:line="400" w:lineRule="exact"/>
        <w:outlineLvl w:val="1"/>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rPr>
        <w:t>2.磋商文件</w:t>
      </w:r>
      <w:bookmarkEnd w:id="54"/>
      <w:bookmarkEnd w:id="55"/>
      <w:bookmarkEnd w:id="56"/>
      <w:bookmarkEnd w:id="57"/>
      <w:bookmarkEnd w:id="58"/>
      <w:bookmarkEnd w:id="59"/>
      <w:bookmarkEnd w:id="60"/>
    </w:p>
    <w:p w14:paraId="3E1FDEDA">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2.1 磋商文件的组成</w:t>
      </w:r>
    </w:p>
    <w:p w14:paraId="06E48BF2">
      <w:pPr>
        <w:pageBreakBefore w:val="0"/>
        <w:tabs>
          <w:tab w:val="left" w:pos="7665"/>
        </w:tabs>
        <w:kinsoku/>
        <w:wordWrap/>
        <w:overflowPunct/>
        <w:topLinePunct w:val="0"/>
        <w:bidi w:val="0"/>
        <w:spacing w:before="120" w:beforeLines="5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本磋商文件包括以下内容：</w:t>
      </w:r>
    </w:p>
    <w:p w14:paraId="4424DFD7">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（1）竞争性磋商公告；</w:t>
      </w:r>
    </w:p>
    <w:p w14:paraId="0C0AA1D3">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（2）供应商须知；</w:t>
      </w:r>
    </w:p>
    <w:p w14:paraId="46E40BD9">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（3）磋商办法；</w:t>
      </w:r>
    </w:p>
    <w:p w14:paraId="7C6AA961">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（4）采购内容及要求；</w:t>
      </w:r>
    </w:p>
    <w:p w14:paraId="0F30096B">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（5）政府采购合同条款；</w:t>
      </w:r>
    </w:p>
    <w:p w14:paraId="5A4E0ED8">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（6）响应文件格式要求；</w:t>
      </w:r>
    </w:p>
    <w:p w14:paraId="3C7A802A">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（7）供应商须知前附表规定的其他材料。</w:t>
      </w:r>
    </w:p>
    <w:p w14:paraId="6997B77C">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根据本章第1.9条款、第2.2条款款对磋商文件所作的澄清、修改，构成磋商文件的组成部分。</w:t>
      </w:r>
    </w:p>
    <w:p w14:paraId="03DC676E">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2.2 磋商文件的澄清和修改</w:t>
      </w:r>
    </w:p>
    <w:p w14:paraId="09D2A9C6">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2.2.1 在提交首次响应文件截止时间前，采购代理机构无论出于何种原因，可以对磋商文件进行澄清或者修改。</w:t>
      </w:r>
    </w:p>
    <w:p w14:paraId="39700327">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2.2.2 采购人或采购代理机构可以对已发出的磋商文件进行必要的澄清或者修改，澄清或修改的内容可能影响响应文件编制的，应当在提交首次响应文件截止时间5日前，以书面形式将澄清或者修改的内容通知所有获取磋商文件的供应商，同时在原信息发布媒体上发布变更公告；供应商在收到上述通知后，应立即以书面形式向采购代理机构确认；不足5日的，将相应顺延提交首次响应文件截止时间。</w:t>
      </w:r>
    </w:p>
    <w:p w14:paraId="730AD100">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2.2.3 供应商应仔细阅读和检查磋商文件的全部内容。如发现缺页或附件不全，应及时向采购代理机构提出，以便补齐。如需对磋商文件（除质疑外）需要询问或澄清的，或认为有必要与采购代理机构进行技术交流的，均应在提交首次响应文件截止时间3日前按磋商文件中的联系方式，以书面形式向采购代理机构提出，采购代理机构应当在2日内，以书面形式予以答复（答复中不包括问题的来源），或认为有必要召开答疑会。超过该时间收到的询问或需要澄清的内容，采购代理机构有权不予答复。</w:t>
      </w:r>
    </w:p>
    <w:p w14:paraId="22BA3734">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2.2.4 在提交首次响应文件截止时间前，采购代理机构可以视采购具体情况，延长提交首次响应文件截止时间，并将变更时间以书面形式通知所有获取了磋商文件的供应商，同时在原信息发布媒体上发布变更公告。</w:t>
      </w:r>
    </w:p>
    <w:p w14:paraId="55E9ADB2">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2.2.5 当磋商文件的澄清、答复、修改或补充通知与磋商文件就同一内容表述不一致时，以最后发出的书面文件内容为准。</w:t>
      </w:r>
    </w:p>
    <w:bookmarkEnd w:id="61"/>
    <w:bookmarkEnd w:id="62"/>
    <w:p w14:paraId="4CDE5275">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0"/>
          <w:szCs w:val="30"/>
          <w:highlight w:val="none"/>
        </w:rPr>
      </w:pPr>
      <w:bookmarkStart w:id="63" w:name="_Toc77400780"/>
      <w:bookmarkStart w:id="64" w:name="_Toc183582214"/>
      <w:bookmarkStart w:id="65" w:name="_Toc482201958"/>
      <w:bookmarkStart w:id="66" w:name="_Toc217446042"/>
      <w:bookmarkStart w:id="67" w:name="_Toc89075876"/>
      <w:bookmarkStart w:id="68" w:name="_Toc183682351"/>
      <w:r>
        <w:rPr>
          <w:rFonts w:hint="eastAsia" w:ascii="仿宋" w:hAnsi="仿宋" w:eastAsia="仿宋" w:cs="仿宋"/>
          <w:b/>
          <w:color w:val="auto"/>
          <w:sz w:val="30"/>
          <w:szCs w:val="30"/>
          <w:highlight w:val="none"/>
        </w:rPr>
        <w:t>2.3磋商文件的解释权</w:t>
      </w:r>
    </w:p>
    <w:p w14:paraId="0764C136">
      <w:pPr>
        <w:pStyle w:val="5"/>
        <w:pageBreakBefore w:val="0"/>
        <w:kinsoku/>
        <w:wordWrap/>
        <w:overflowPunct/>
        <w:topLinePunct w:val="0"/>
        <w:bidi w:val="0"/>
        <w:spacing w:line="400" w:lineRule="exact"/>
        <w:ind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磋商文件的</w:t>
      </w:r>
      <w:r>
        <w:rPr>
          <w:rFonts w:hint="eastAsia" w:ascii="仿宋" w:hAnsi="仿宋" w:eastAsia="仿宋" w:cs="仿宋"/>
          <w:color w:val="auto"/>
          <w:szCs w:val="21"/>
          <w:highlight w:val="none"/>
          <w:lang w:val="en-US" w:eastAsia="zh-CN"/>
        </w:rPr>
        <w:t>最终</w:t>
      </w:r>
      <w:r>
        <w:rPr>
          <w:rFonts w:hint="eastAsia" w:ascii="仿宋" w:hAnsi="仿宋" w:eastAsia="仿宋" w:cs="仿宋"/>
          <w:color w:val="auto"/>
          <w:szCs w:val="21"/>
          <w:highlight w:val="none"/>
        </w:rPr>
        <w:t>解释权归</w:t>
      </w:r>
      <w:r>
        <w:rPr>
          <w:rFonts w:hint="eastAsia" w:ascii="仿宋" w:hAnsi="仿宋" w:eastAsia="仿宋" w:cs="仿宋"/>
          <w:color w:val="auto"/>
          <w:szCs w:val="21"/>
          <w:highlight w:val="none"/>
          <w:lang w:val="en-US" w:eastAsia="zh-CN"/>
        </w:rPr>
        <w:t>采购人</w:t>
      </w:r>
      <w:r>
        <w:rPr>
          <w:rFonts w:hint="eastAsia" w:ascii="仿宋" w:hAnsi="仿宋" w:eastAsia="仿宋" w:cs="仿宋"/>
          <w:color w:val="auto"/>
          <w:szCs w:val="21"/>
          <w:highlight w:val="none"/>
        </w:rPr>
        <w:t>，如发现磋商文件内容与现行法律法规不相符的情况，以现行法律法规为准。</w:t>
      </w:r>
    </w:p>
    <w:bookmarkEnd w:id="63"/>
    <w:bookmarkEnd w:id="64"/>
    <w:bookmarkEnd w:id="65"/>
    <w:bookmarkEnd w:id="66"/>
    <w:bookmarkEnd w:id="67"/>
    <w:bookmarkEnd w:id="68"/>
    <w:p w14:paraId="1FD129A8">
      <w:pPr>
        <w:pStyle w:val="5"/>
        <w:pageBreakBefore w:val="0"/>
        <w:kinsoku/>
        <w:wordWrap/>
        <w:overflowPunct/>
        <w:topLinePunct w:val="0"/>
        <w:bidi w:val="0"/>
        <w:spacing w:before="120" w:beforeLines="50" w:after="120" w:afterLines="50" w:line="400" w:lineRule="exact"/>
        <w:ind w:firstLine="0"/>
        <w:outlineLvl w:val="1"/>
        <w:rPr>
          <w:rFonts w:hint="eastAsia" w:ascii="仿宋" w:hAnsi="仿宋" w:eastAsia="仿宋" w:cs="仿宋"/>
          <w:color w:val="auto"/>
          <w:sz w:val="36"/>
          <w:szCs w:val="36"/>
          <w:highlight w:val="none"/>
        </w:rPr>
      </w:pPr>
      <w:bookmarkStart w:id="69" w:name="_Toc4880"/>
      <w:bookmarkStart w:id="70" w:name="_Toc31460_WPSOffice_Level2"/>
      <w:bookmarkStart w:id="71" w:name="_Toc13082"/>
      <w:bookmarkStart w:id="72" w:name="_Toc9207"/>
      <w:bookmarkStart w:id="73" w:name="_Toc20565"/>
      <w:bookmarkStart w:id="74" w:name="_Toc2059"/>
      <w:bookmarkStart w:id="75" w:name="_Toc23330"/>
      <w:bookmarkStart w:id="76" w:name="_Toc183682352"/>
      <w:bookmarkStart w:id="77" w:name="_Toc183582215"/>
      <w:bookmarkStart w:id="78" w:name="_Toc217446043"/>
      <w:r>
        <w:rPr>
          <w:rFonts w:hint="eastAsia" w:ascii="仿宋" w:hAnsi="仿宋" w:eastAsia="仿宋" w:cs="仿宋"/>
          <w:bCs/>
          <w:color w:val="auto"/>
          <w:sz w:val="36"/>
          <w:szCs w:val="36"/>
          <w:highlight w:val="none"/>
        </w:rPr>
        <w:t>3.供应商</w:t>
      </w:r>
      <w:bookmarkEnd w:id="69"/>
      <w:bookmarkEnd w:id="70"/>
      <w:bookmarkEnd w:id="71"/>
      <w:bookmarkEnd w:id="72"/>
      <w:bookmarkEnd w:id="73"/>
      <w:bookmarkEnd w:id="74"/>
      <w:bookmarkEnd w:id="75"/>
    </w:p>
    <w:p w14:paraId="47A4E2E3">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3.1供应商资格要求</w:t>
      </w:r>
    </w:p>
    <w:p w14:paraId="267E735C">
      <w:pPr>
        <w:pageBreakBefore w:val="0"/>
        <w:tabs>
          <w:tab w:val="left" w:pos="7665"/>
        </w:tabs>
        <w:kinsoku/>
        <w:wordWrap/>
        <w:overflowPunct/>
        <w:topLinePunct w:val="0"/>
        <w:bidi w:val="0"/>
        <w:spacing w:line="400" w:lineRule="exact"/>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3.1.1具有独立承担民事责任能力的法人、其他组织或自然人，提供合法有效的统一社会信用代码营业执照（事业单位提供事业单位法人证书，自然人提供身份证明）；</w:t>
      </w:r>
    </w:p>
    <w:p w14:paraId="65CBAA4C">
      <w:pPr>
        <w:pageBreakBefore w:val="0"/>
        <w:tabs>
          <w:tab w:val="left" w:pos="7665"/>
        </w:tabs>
        <w:kinsoku/>
        <w:wordWrap/>
        <w:overflowPunct/>
        <w:topLinePunct w:val="0"/>
        <w:bidi w:val="0"/>
        <w:spacing w:line="400" w:lineRule="exact"/>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3.1.2法定代表人授权委托书：法定代表人参加磋商的，须出示身份证原件；法定代表人授权他人参加磋商的，须提供法定代表人授权委托书及被授权人身份证原件；</w:t>
      </w:r>
    </w:p>
    <w:p w14:paraId="7666D044">
      <w:pPr>
        <w:pageBreakBefore w:val="0"/>
        <w:tabs>
          <w:tab w:val="left" w:pos="7665"/>
        </w:tabs>
        <w:kinsoku/>
        <w:wordWrap/>
        <w:overflowPunct/>
        <w:topLinePunct w:val="0"/>
        <w:bidi w:val="0"/>
        <w:spacing w:line="400" w:lineRule="exact"/>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3.1.3供应商须具有健全的财务会计制度、具有履行合同所必需的设备和专业技术能力、具有依法缴纳税收和社会保障资金的良好记录，以及参加本项目采购活动前三年内在经营活动中无重大违法活动记录，供应商提供《汉中市政府采购供应商资格承诺函》；</w:t>
      </w:r>
    </w:p>
    <w:p w14:paraId="36301B8D">
      <w:pPr>
        <w:pageBreakBefore w:val="0"/>
        <w:tabs>
          <w:tab w:val="left" w:pos="7665"/>
        </w:tabs>
        <w:kinsoku/>
        <w:wordWrap/>
        <w:overflowPunct/>
        <w:topLinePunct w:val="0"/>
        <w:bidi w:val="0"/>
        <w:spacing w:line="400" w:lineRule="exact"/>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3.1.4供应商须具有行政主管部门颁发的测绘乙级及以上资质；</w:t>
      </w:r>
    </w:p>
    <w:p w14:paraId="203F8377">
      <w:pPr>
        <w:pageBreakBefore w:val="0"/>
        <w:tabs>
          <w:tab w:val="left" w:pos="7665"/>
        </w:tabs>
        <w:kinsoku/>
        <w:wordWrap/>
        <w:overflowPunct/>
        <w:topLinePunct w:val="0"/>
        <w:bidi w:val="0"/>
        <w:spacing w:line="400" w:lineRule="exact"/>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3.1.5本项目专门面向中小企业采购。</w:t>
      </w:r>
    </w:p>
    <w:p w14:paraId="3D870E40">
      <w:pPr>
        <w:pageBreakBefore w:val="0"/>
        <w:tabs>
          <w:tab w:val="left" w:pos="7665"/>
        </w:tabs>
        <w:kinsoku/>
        <w:wordWrap/>
        <w:overflowPunct/>
        <w:topLinePunct w:val="0"/>
        <w:bidi w:val="0"/>
        <w:spacing w:line="400" w:lineRule="exact"/>
        <w:ind w:firstLine="480" w:firstLineChars="200"/>
        <w:rPr>
          <w:rFonts w:hint="eastAsia" w:ascii="仿宋" w:hAnsi="仿宋" w:eastAsia="仿宋" w:cs="仿宋"/>
          <w:b w:val="0"/>
          <w:bCs w:val="0"/>
          <w:color w:val="auto"/>
          <w:szCs w:val="21"/>
          <w:highlight w:val="none"/>
        </w:rPr>
      </w:pPr>
      <w:r>
        <w:rPr>
          <w:rFonts w:hint="eastAsia" w:ascii="仿宋" w:hAnsi="仿宋" w:eastAsia="仿宋" w:cs="仿宋"/>
          <w:b w:val="0"/>
          <w:bCs w:val="0"/>
          <w:color w:val="auto"/>
          <w:kern w:val="2"/>
          <w:sz w:val="24"/>
          <w:szCs w:val="24"/>
          <w:highlight w:val="none"/>
          <w:lang w:val="en-US" w:eastAsia="zh-CN" w:bidi="ar-SA"/>
        </w:rPr>
        <w:t>注：供应商在开标截止时间之前单独递交上述资格审查文件，缺少任何一项或某项达不到招标文件要求或无法辨识从而不能确认真伪的均按无效文件处理。</w:t>
      </w:r>
    </w:p>
    <w:p w14:paraId="440D01A3">
      <w:pPr>
        <w:pageBreakBefore w:val="0"/>
        <w:tabs>
          <w:tab w:val="left" w:pos="7665"/>
        </w:tabs>
        <w:kinsoku/>
        <w:wordWrap/>
        <w:overflowPunct/>
        <w:topLinePunct w:val="0"/>
        <w:bidi w:val="0"/>
        <w:spacing w:line="400" w:lineRule="exact"/>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3.1.5.供应商应保证所提供的全部证明材料的真实性，并保证愿意接受由采购人对其所提供材料的真实性的调查和考证。</w:t>
      </w:r>
    </w:p>
    <w:p w14:paraId="2BF76999">
      <w:pPr>
        <w:pageBreakBefore w:val="0"/>
        <w:tabs>
          <w:tab w:val="left" w:pos="7665"/>
        </w:tabs>
        <w:kinsoku/>
        <w:wordWrap/>
        <w:overflowPunct/>
        <w:topLinePunct w:val="0"/>
        <w:bidi w:val="0"/>
        <w:spacing w:line="400" w:lineRule="exact"/>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3.1.6.供应商应对其资格信用承诺内容的真实性、合法性、有效性负责。如作出虚假承诺，视同“提供虚假材料谋取中标(成交)”的违法行为。经调查核实后，按照《中华人民共和国政府采购法》第七十七条，处以采购金额千分之五以上千分之十以下的罚款，列入不良行为记录名单，在一至三年内禁止参加政府采购活动如违法所得的，并处没收违法所得，情节严重的，由市场监管部门吊销营业执照;构成犯罪的，依法追究刑事责任。</w:t>
      </w:r>
    </w:p>
    <w:p w14:paraId="42026BFF">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3.2授权委托</w:t>
      </w:r>
    </w:p>
    <w:p w14:paraId="01BCA5A8">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3.2.1供应商代表为法定代表人的，应持有法定代表人身份证明。供应商代表不是法定代表人的，应持有法定代表人授权委托书。</w:t>
      </w:r>
    </w:p>
    <w:p w14:paraId="4F52E528">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3.2.2供应商应当委托本单位正式员工作为磋商代表，且磋商代表只能接受一个供应商的委托参加磋商。</w:t>
      </w:r>
    </w:p>
    <w:p w14:paraId="47F70C12">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color w:val="auto"/>
          <w:kern w:val="0"/>
          <w:sz w:val="30"/>
          <w:szCs w:val="30"/>
          <w:highlight w:val="none"/>
        </w:rPr>
      </w:pPr>
      <w:r>
        <w:rPr>
          <w:rFonts w:hint="eastAsia" w:ascii="仿宋" w:hAnsi="仿宋" w:eastAsia="仿宋" w:cs="仿宋"/>
          <w:b/>
          <w:color w:val="auto"/>
          <w:sz w:val="30"/>
          <w:szCs w:val="30"/>
          <w:highlight w:val="none"/>
        </w:rPr>
        <w:t>3.3联合体磋商（本项目不适用）</w:t>
      </w:r>
    </w:p>
    <w:p w14:paraId="1BE295B2">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3.3.1本项目允许联合体磋商的，适用本条款。</w:t>
      </w:r>
    </w:p>
    <w:p w14:paraId="20021DBE">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3.3.2 两个以上供应商可以组成一个磋商联合体，以一个供应商的身份进行磋商。以联合体形式参加磋商的，联合体各方均应当符合《中华人民共和国政府采购法》第二十二条规定的资格条件：</w:t>
      </w:r>
    </w:p>
    <w:p w14:paraId="5247DA69">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（1）联合体各方均应当符合本章第3.1.1条规定的供应商基本资格条件；</w:t>
      </w:r>
    </w:p>
    <w:p w14:paraId="064F5B8B">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（2）由同一专业的单位组成的联合体，按照资质等级较低的单位确定资质等级。</w:t>
      </w:r>
    </w:p>
    <w:p w14:paraId="4554F893">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3.3.3 联合体各方之间应当签订共同磋商响应协议，明确约定联合体各方承担的合同工作量比例和相应的责任，并将共同磋商响应协议连同响应文件一同提交采购代理机构。联合体各方签订共同磋商响应协议后，不得再以自己名义单独在同一项目中磋商，也不得组成新的联合体参加同一项目磋商。</w:t>
      </w:r>
    </w:p>
    <w:p w14:paraId="0B248FDA">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3.3.4 联合体应当确定其中一个单位为磋商的全权代表，负责参加磋商的一切事务，并承担磋商及履约中应承担的全部责任与义务。</w:t>
      </w:r>
    </w:p>
    <w:p w14:paraId="6B3BBABF">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3.3.5 联合体各方应当共同与采购人签订采购合同，就采购合同约定的事项对采购人承担连带责任。</w:t>
      </w:r>
    </w:p>
    <w:p w14:paraId="4FF1EF43">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3.4享受的政府采购政策</w:t>
      </w:r>
    </w:p>
    <w:p w14:paraId="704D34F4">
      <w:pPr>
        <w:pageBreakBefore w:val="0"/>
        <w:tabs>
          <w:tab w:val="left" w:pos="7665"/>
        </w:tabs>
        <w:kinsoku/>
        <w:wordWrap/>
        <w:overflowPunct/>
        <w:topLinePunct w:val="0"/>
        <w:bidi w:val="0"/>
        <w:spacing w:line="400" w:lineRule="exact"/>
        <w:ind w:firstLine="422" w:firstLineChars="200"/>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rPr>
        <w:t>3.4.1 节能产品、环境标志产品</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不适用</w:t>
      </w:r>
      <w:r>
        <w:rPr>
          <w:rFonts w:hint="eastAsia" w:ascii="仿宋" w:hAnsi="仿宋" w:eastAsia="仿宋" w:cs="仿宋"/>
          <w:b/>
          <w:bCs/>
          <w:color w:val="auto"/>
          <w:szCs w:val="21"/>
          <w:highlight w:val="none"/>
          <w:lang w:eastAsia="zh-CN"/>
        </w:rPr>
        <w:t>）</w:t>
      </w:r>
    </w:p>
    <w:p w14:paraId="111A39B6">
      <w:pPr>
        <w:pStyle w:val="24"/>
        <w:pageBreakBefore w:val="0"/>
        <w:kinsoku/>
        <w:wordWrap/>
        <w:overflowPunct/>
        <w:topLinePunct w:val="0"/>
        <w:bidi w:val="0"/>
        <w:adjustRightInd w:val="0"/>
        <w:snapToGrid w:val="0"/>
        <w:spacing w:line="400" w:lineRule="exact"/>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3.4.1.1 本</w:t>
      </w:r>
      <w:r>
        <w:rPr>
          <w:rFonts w:hint="eastAsia" w:ascii="仿宋" w:hAnsi="仿宋" w:eastAsia="仿宋" w:cs="仿宋"/>
          <w:color w:val="auto"/>
          <w:highlight w:val="none"/>
          <w:lang w:eastAsia="zh-CN"/>
        </w:rPr>
        <w:t>服务</w:t>
      </w:r>
      <w:r>
        <w:rPr>
          <w:rFonts w:hint="eastAsia" w:ascii="仿宋" w:hAnsi="仿宋" w:eastAsia="仿宋" w:cs="仿宋"/>
          <w:color w:val="auto"/>
          <w:highlight w:val="none"/>
        </w:rPr>
        <w:t>所需的主要材料与设备，将依据《节能产品、环境标志产品品目清单》和认证证书实施政府优先采购和强制采购。</w:t>
      </w:r>
    </w:p>
    <w:p w14:paraId="30D09B0E">
      <w:pPr>
        <w:pStyle w:val="24"/>
        <w:pageBreakBefore w:val="0"/>
        <w:kinsoku/>
        <w:wordWrap/>
        <w:overflowPunct/>
        <w:topLinePunct w:val="0"/>
        <w:bidi w:val="0"/>
        <w:adjustRightInd w:val="0"/>
        <w:snapToGrid w:val="0"/>
        <w:spacing w:line="400" w:lineRule="exact"/>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3.4.1.2 供应商可以提供所需主要原材料与设备经国家确定的认证机构出具的、处于有效期之内的节能产品、环境标志产品认证证书复印件。采购代理机构通过中国政府采购网（http://www.ccgp.gov.cn/）对获证产品信息进行核对。</w:t>
      </w:r>
    </w:p>
    <w:p w14:paraId="21543AF2">
      <w:pPr>
        <w:pStyle w:val="24"/>
        <w:pageBreakBefore w:val="0"/>
        <w:kinsoku/>
        <w:wordWrap/>
        <w:overflowPunct/>
        <w:topLinePunct w:val="0"/>
        <w:bidi w:val="0"/>
        <w:adjustRightInd w:val="0"/>
        <w:snapToGrid w:val="0"/>
        <w:spacing w:line="400" w:lineRule="exact"/>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3.4.1.3供应商提供的所需主要材料与设备属于下列情形之一的，属于优先采购的不再享受优先采购政策，或者属于强制采购的按无效响应文件处理：</w:t>
      </w:r>
    </w:p>
    <w:p w14:paraId="461D3A04">
      <w:pPr>
        <w:pStyle w:val="24"/>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（1）不属于《节能产品、环境标志产品品目清单》中的产品；</w:t>
      </w:r>
    </w:p>
    <w:p w14:paraId="3BCDF436">
      <w:pPr>
        <w:pStyle w:val="24"/>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（2）未提供认证证书或经核对认证证书信息有误的。</w:t>
      </w:r>
    </w:p>
    <w:p w14:paraId="5DC1C2A9">
      <w:pPr>
        <w:pageBreakBefore w:val="0"/>
        <w:kinsoku/>
        <w:wordWrap/>
        <w:overflowPunct/>
        <w:topLinePunct w:val="0"/>
        <w:bidi w:val="0"/>
        <w:adjustRightInd w:val="0"/>
        <w:snapToGrid w:val="0"/>
        <w:spacing w:line="400" w:lineRule="exact"/>
        <w:ind w:firstLine="422" w:firstLineChars="200"/>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3.4.2 中小企业</w:t>
      </w:r>
    </w:p>
    <w:p w14:paraId="68F6A0AD">
      <w:pPr>
        <w:pageBreakBefore w:val="0"/>
        <w:kinsoku/>
        <w:wordWrap/>
        <w:overflowPunct/>
        <w:topLinePunct w:val="0"/>
        <w:bidi w:val="0"/>
        <w:adjustRightInd w:val="0"/>
        <w:snapToGrid w:val="0"/>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3.4</w:t>
      </w:r>
      <w:r>
        <w:rPr>
          <w:rFonts w:hint="eastAsia" w:ascii="仿宋" w:hAnsi="仿宋" w:eastAsia="仿宋" w:cs="仿宋"/>
          <w:b/>
          <w:color w:val="auto"/>
          <w:szCs w:val="21"/>
          <w:highlight w:val="none"/>
        </w:rPr>
        <w:t>.</w:t>
      </w:r>
      <w:r>
        <w:rPr>
          <w:rFonts w:hint="eastAsia" w:ascii="仿宋" w:hAnsi="仿宋" w:eastAsia="仿宋" w:cs="仿宋"/>
          <w:color w:val="auto"/>
          <w:szCs w:val="21"/>
          <w:highlight w:val="none"/>
        </w:rPr>
        <w:t>2.1 供应商依据《工业和信息化部、国家统计局、国家发展和改革委员会、财政部关于印发中小企业划型标准规定的通知》规定划分标准，属于</w:t>
      </w:r>
      <w:r>
        <w:rPr>
          <w:rFonts w:hint="eastAsia" w:ascii="仿宋" w:hAnsi="仿宋" w:eastAsia="仿宋" w:cs="仿宋"/>
          <w:color w:val="auto"/>
          <w:szCs w:val="21"/>
          <w:highlight w:val="none"/>
          <w:lang w:eastAsia="zh-CN"/>
        </w:rPr>
        <w:t>小微</w:t>
      </w:r>
      <w:r>
        <w:rPr>
          <w:rFonts w:hint="eastAsia" w:ascii="仿宋" w:hAnsi="仿宋" w:eastAsia="仿宋" w:cs="仿宋"/>
          <w:color w:val="auto"/>
          <w:szCs w:val="21"/>
          <w:highlight w:val="none"/>
        </w:rPr>
        <w:t>企业的，可享受</w:t>
      </w:r>
      <w:r>
        <w:rPr>
          <w:rFonts w:hint="eastAsia" w:ascii="仿宋" w:hAnsi="仿宋" w:eastAsia="仿宋" w:cs="仿宋"/>
          <w:bCs/>
          <w:color w:val="auto"/>
          <w:kern w:val="0"/>
          <w:szCs w:val="21"/>
          <w:highlight w:val="none"/>
        </w:rPr>
        <w:t>支持</w:t>
      </w:r>
      <w:r>
        <w:rPr>
          <w:rFonts w:hint="eastAsia" w:ascii="仿宋" w:hAnsi="仿宋" w:eastAsia="仿宋" w:cs="仿宋"/>
          <w:color w:val="auto"/>
          <w:szCs w:val="21"/>
          <w:highlight w:val="none"/>
        </w:rPr>
        <w:t>小型企业发展优惠政策</w:t>
      </w:r>
      <w:r>
        <w:rPr>
          <w:rFonts w:hint="eastAsia" w:ascii="仿宋" w:hAnsi="仿宋" w:eastAsia="仿宋" w:cs="仿宋"/>
          <w:color w:val="auto"/>
          <w:szCs w:val="21"/>
          <w:highlight w:val="none"/>
          <w:lang w:eastAsia="zh-CN"/>
        </w:rPr>
        <w:t>，给予</w:t>
      </w:r>
      <w:r>
        <w:rPr>
          <w:rFonts w:hint="eastAsia" w:ascii="仿宋" w:hAnsi="仿宋" w:eastAsia="仿宋" w:cs="仿宋"/>
          <w:color w:val="auto"/>
          <w:szCs w:val="21"/>
          <w:highlight w:val="none"/>
          <w:lang w:val="en-US" w:eastAsia="zh-CN"/>
        </w:rPr>
        <w:t>10%的价格优惠</w:t>
      </w:r>
      <w:r>
        <w:rPr>
          <w:rFonts w:hint="eastAsia" w:ascii="仿宋" w:hAnsi="仿宋" w:eastAsia="仿宋" w:cs="仿宋"/>
          <w:color w:val="auto"/>
          <w:szCs w:val="21"/>
          <w:highlight w:val="none"/>
        </w:rPr>
        <w:t>。</w:t>
      </w:r>
    </w:p>
    <w:p w14:paraId="7D6C2B89">
      <w:pPr>
        <w:pStyle w:val="24"/>
        <w:pageBreakBefore w:val="0"/>
        <w:kinsoku/>
        <w:wordWrap/>
        <w:overflowPunct/>
        <w:topLinePunct w:val="0"/>
        <w:bidi w:val="0"/>
        <w:adjustRightInd w:val="0"/>
        <w:snapToGrid w:val="0"/>
        <w:spacing w:line="400" w:lineRule="exact"/>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3.4.2.2供应商作为中小企业参加政府采购活动时，应当提供《中小企业声明函》（见磋商文件格式），不提供或提供有瑕疵的，在评审时不享受政府采购优惠政策。</w:t>
      </w:r>
    </w:p>
    <w:p w14:paraId="7AB6E19C">
      <w:pPr>
        <w:pStyle w:val="24"/>
        <w:pageBreakBefore w:val="0"/>
        <w:kinsoku/>
        <w:wordWrap/>
        <w:overflowPunct/>
        <w:topLinePunct w:val="0"/>
        <w:bidi w:val="0"/>
        <w:adjustRightInd w:val="0"/>
        <w:snapToGrid w:val="0"/>
        <w:spacing w:line="400" w:lineRule="exact"/>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3.4.2.3监狱企业参加政府采购活动时，视同中小企业。依照&lt;财政部、司法部关于政府采购支持监狱企业发展有关问题的通知&gt;（财库〔2014〕68号）之规定，应当提供由省级以上监狱管理局、戒毒管理局出具的属于监狱企业的证明文件，不提供或提供有瑕疵的不视为中小企业，在评审时不享受政府采购优惠政策。</w:t>
      </w:r>
    </w:p>
    <w:p w14:paraId="788B6E30">
      <w:pPr>
        <w:pStyle w:val="24"/>
        <w:pageBreakBefore w:val="0"/>
        <w:kinsoku/>
        <w:wordWrap/>
        <w:overflowPunct/>
        <w:topLinePunct w:val="0"/>
        <w:bidi w:val="0"/>
        <w:adjustRightInd w:val="0"/>
        <w:snapToGrid w:val="0"/>
        <w:spacing w:line="400" w:lineRule="exact"/>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 xml:space="preserve">3.4.2.4 </w:t>
      </w:r>
      <w:r>
        <w:rPr>
          <w:rFonts w:hint="eastAsia" w:ascii="仿宋" w:hAnsi="仿宋" w:eastAsia="仿宋" w:cs="仿宋"/>
          <w:color w:val="auto"/>
          <w:kern w:val="0"/>
          <w:highlight w:val="none"/>
        </w:rPr>
        <w:t>残疾人福利性单位</w:t>
      </w:r>
      <w:r>
        <w:rPr>
          <w:rFonts w:hint="eastAsia" w:ascii="仿宋" w:hAnsi="仿宋" w:eastAsia="仿宋" w:cs="仿宋"/>
          <w:color w:val="auto"/>
          <w:highlight w:val="none"/>
        </w:rPr>
        <w:t>参加政府采购活动时，视同小微企业。依据</w:t>
      </w:r>
      <w:r>
        <w:rPr>
          <w:rFonts w:hint="eastAsia" w:ascii="仿宋" w:hAnsi="仿宋" w:eastAsia="仿宋" w:cs="仿宋"/>
          <w:color w:val="auto"/>
          <w:spacing w:val="6"/>
          <w:highlight w:val="none"/>
        </w:rPr>
        <w:t>《财政部、民政部、中国残疾人联合会关于促进残疾人就业政府采购政策的通知》（财库</w:t>
      </w:r>
      <w:r>
        <w:rPr>
          <w:rFonts w:hint="eastAsia" w:ascii="仿宋" w:hAnsi="仿宋" w:eastAsia="仿宋" w:cs="仿宋"/>
          <w:color w:val="auto"/>
          <w:highlight w:val="none"/>
        </w:rPr>
        <w:t>〔2017〕141</w:t>
      </w:r>
      <w:r>
        <w:rPr>
          <w:rFonts w:hint="eastAsia" w:ascii="仿宋" w:hAnsi="仿宋" w:eastAsia="仿宋" w:cs="仿宋"/>
          <w:color w:val="auto"/>
          <w:spacing w:val="6"/>
          <w:highlight w:val="none"/>
        </w:rPr>
        <w:t>号）的规定，</w:t>
      </w:r>
      <w:r>
        <w:rPr>
          <w:rFonts w:hint="eastAsia" w:ascii="仿宋" w:hAnsi="仿宋" w:eastAsia="仿宋" w:cs="仿宋"/>
          <w:color w:val="auto"/>
          <w:kern w:val="0"/>
          <w:highlight w:val="none"/>
        </w:rPr>
        <w:t>应当提供《残疾人福利性单位声明函》</w:t>
      </w:r>
      <w:r>
        <w:rPr>
          <w:rFonts w:hint="eastAsia" w:ascii="仿宋" w:hAnsi="仿宋" w:eastAsia="仿宋" w:cs="仿宋"/>
          <w:color w:val="auto"/>
          <w:highlight w:val="none"/>
        </w:rPr>
        <w:t>（见第六章磋商文件格式）</w:t>
      </w:r>
      <w:r>
        <w:rPr>
          <w:rFonts w:hint="eastAsia" w:ascii="仿宋" w:hAnsi="仿宋" w:eastAsia="仿宋" w:cs="仿宋"/>
          <w:color w:val="auto"/>
          <w:kern w:val="0"/>
          <w:highlight w:val="none"/>
        </w:rPr>
        <w:t>，</w:t>
      </w:r>
      <w:r>
        <w:rPr>
          <w:rFonts w:hint="eastAsia" w:ascii="仿宋" w:hAnsi="仿宋" w:eastAsia="仿宋" w:cs="仿宋"/>
          <w:color w:val="auto"/>
          <w:highlight w:val="none"/>
        </w:rPr>
        <w:t>不提供或提供有瑕疵的，不视为小微企业，在评审时不享受政府采购优惠政策。</w:t>
      </w:r>
    </w:p>
    <w:p w14:paraId="5177A66E">
      <w:pPr>
        <w:pStyle w:val="24"/>
        <w:pageBreakBefore w:val="0"/>
        <w:kinsoku/>
        <w:wordWrap/>
        <w:overflowPunct/>
        <w:topLinePunct w:val="0"/>
        <w:bidi w:val="0"/>
        <w:adjustRightInd w:val="0"/>
        <w:snapToGrid w:val="0"/>
        <w:spacing w:line="400" w:lineRule="exact"/>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3.4.2.5 联合体各方均为小型、微型企业的，参加政府采购活动时，视同小型、微型企业。联合体各方均需提供《中小企业声明函》，有一方未提供或提供有瑕疵的，在评审时不享受政府采购优惠（价格给予</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%的折扣）政策。</w:t>
      </w:r>
    </w:p>
    <w:p w14:paraId="7C2FCCFB">
      <w:pPr>
        <w:pageBreakBefore w:val="0"/>
        <w:kinsoku/>
        <w:wordWrap/>
        <w:overflowPunct/>
        <w:topLinePunct w:val="0"/>
        <w:bidi w:val="0"/>
        <w:adjustRightInd w:val="0"/>
        <w:snapToGrid w:val="0"/>
        <w:spacing w:line="400" w:lineRule="exact"/>
        <w:ind w:firstLine="630" w:firstLineChars="300"/>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3.4.2.6 中小企业可以同时享受节能产品、环境标志产品优先采购政策。</w:t>
      </w:r>
      <w:r>
        <w:rPr>
          <w:rFonts w:hint="eastAsia" w:ascii="仿宋" w:hAnsi="仿宋" w:eastAsia="仿宋" w:cs="仿宋"/>
          <w:b/>
          <w:color w:val="auto"/>
          <w:szCs w:val="21"/>
          <w:highlight w:val="none"/>
        </w:rPr>
        <w:t>同一项目中部分产品属于优先采购政策的，评审时只对该部分产品实行优先采购。</w:t>
      </w:r>
    </w:p>
    <w:p w14:paraId="275C31D8">
      <w:pPr>
        <w:pageBreakBefore w:val="0"/>
        <w:kinsoku/>
        <w:wordWrap/>
        <w:overflowPunct/>
        <w:topLinePunct w:val="0"/>
        <w:bidi w:val="0"/>
        <w:adjustRightInd w:val="0"/>
        <w:snapToGrid w:val="0"/>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3.4.2.7 政府采购监督检查和投诉处理中对中小企业的认定，由企业所在地的县级以上中小企业主管部门负责。</w:t>
      </w:r>
    </w:p>
    <w:p w14:paraId="1B27E6C2">
      <w:pPr>
        <w:pageBreakBefore w:val="0"/>
        <w:kinsoku/>
        <w:wordWrap/>
        <w:overflowPunct/>
        <w:topLinePunct w:val="0"/>
        <w:bidi w:val="0"/>
        <w:adjustRightInd w:val="0"/>
        <w:snapToGrid w:val="0"/>
        <w:spacing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3.4.5 进口产品</w:t>
      </w:r>
    </w:p>
    <w:p w14:paraId="43744866">
      <w:pPr>
        <w:pageBreakBefore w:val="0"/>
        <w:kinsoku/>
        <w:wordWrap/>
        <w:overflowPunct/>
        <w:topLinePunct w:val="0"/>
        <w:bidi w:val="0"/>
        <w:adjustRightInd w:val="0"/>
        <w:snapToGrid w:val="0"/>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本项目拒绝进口产品参加磋商响应。本条款适合未经财政部门批准采购进口产品的项目。</w:t>
      </w:r>
    </w:p>
    <w:p w14:paraId="59C0CED2">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bCs/>
          <w:color w:val="auto"/>
          <w:kern w:val="0"/>
          <w:sz w:val="30"/>
          <w:szCs w:val="30"/>
          <w:highlight w:val="none"/>
        </w:rPr>
      </w:pPr>
      <w:r>
        <w:rPr>
          <w:rFonts w:hint="eastAsia" w:ascii="仿宋" w:hAnsi="仿宋" w:eastAsia="仿宋" w:cs="仿宋"/>
          <w:b/>
          <w:bCs/>
          <w:color w:val="auto"/>
          <w:sz w:val="30"/>
          <w:szCs w:val="30"/>
          <w:highlight w:val="none"/>
        </w:rPr>
        <w:t>3.5</w:t>
      </w:r>
      <w:r>
        <w:rPr>
          <w:rFonts w:hint="eastAsia" w:ascii="仿宋" w:hAnsi="仿宋" w:eastAsia="仿宋" w:cs="仿宋"/>
          <w:b/>
          <w:bCs/>
          <w:color w:val="auto"/>
          <w:kern w:val="0"/>
          <w:sz w:val="30"/>
          <w:szCs w:val="30"/>
          <w:highlight w:val="none"/>
        </w:rPr>
        <w:t>转包与分包</w:t>
      </w:r>
    </w:p>
    <w:p w14:paraId="4BBFB687">
      <w:pPr>
        <w:pageBreakBefore w:val="0"/>
        <w:kinsoku/>
        <w:wordWrap/>
        <w:overflowPunct/>
        <w:topLinePunct w:val="0"/>
        <w:bidi w:val="0"/>
        <w:spacing w:line="400" w:lineRule="exact"/>
        <w:ind w:firstLine="493"/>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3.5.1 本项目严禁采取转包方式履行合同。本项项目所称转包，是指成交供应商将政府采购合同业务转让给第三人，并退出现有政府采购合同当事人双方权利业务关系，受让人（即第三人）成为政府采购合同的另一方当事人的行为。</w:t>
      </w:r>
    </w:p>
    <w:p w14:paraId="412F0133">
      <w:pPr>
        <w:pageBreakBefore w:val="0"/>
        <w:kinsoku/>
        <w:wordWrap/>
        <w:overflowPunct/>
        <w:topLinePunct w:val="0"/>
        <w:bidi w:val="0"/>
        <w:spacing w:line="400" w:lineRule="exact"/>
        <w:ind w:firstLine="493"/>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成交供应商转包的，视同拒绝履行政府采购合同业务，将依法追究法律责任。</w:t>
      </w:r>
    </w:p>
    <w:p w14:paraId="36B3170F">
      <w:pPr>
        <w:pageBreakBefore w:val="0"/>
        <w:kinsoku/>
        <w:wordWrap/>
        <w:overflowPunct/>
        <w:topLinePunct w:val="0"/>
        <w:bidi w:val="0"/>
        <w:spacing w:line="400" w:lineRule="exact"/>
        <w:ind w:firstLine="493"/>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3.5.2 根据供应商须知前附表规定允许分包的，供应商可以将本项目的部分非主体、非关键性工作分包给他人完成，本项目“主体和关键性工作”是指：/  。</w:t>
      </w:r>
    </w:p>
    <w:p w14:paraId="0B66A320">
      <w:pPr>
        <w:pageBreakBefore w:val="0"/>
        <w:kinsoku/>
        <w:wordWrap/>
        <w:overflowPunct/>
        <w:topLinePunct w:val="0"/>
        <w:bidi w:val="0"/>
        <w:spacing w:line="400" w:lineRule="exact"/>
        <w:ind w:firstLine="493"/>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接受分包的供应商应当符合供应商须知前附表规定的分包内容、分包金额和具备相应的资格条件，并不得再次分包。</w:t>
      </w:r>
      <w:r>
        <w:rPr>
          <w:rFonts w:hint="eastAsia" w:ascii="仿宋" w:hAnsi="仿宋" w:eastAsia="仿宋" w:cs="仿宋"/>
          <w:color w:val="auto"/>
          <w:szCs w:val="21"/>
          <w:highlight w:val="none"/>
        </w:rPr>
        <w:t>采购合同实行分包履行的，成交供应商就采购项目和分包项目向采购人负责，分包供应商就分包项目承担责任。</w:t>
      </w:r>
    </w:p>
    <w:p w14:paraId="17C54EF6">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color w:val="auto"/>
          <w:kern w:val="0"/>
          <w:sz w:val="30"/>
          <w:szCs w:val="30"/>
          <w:highlight w:val="none"/>
        </w:rPr>
      </w:pPr>
      <w:bookmarkStart w:id="79" w:name="_Toc482201959"/>
      <w:r>
        <w:rPr>
          <w:rFonts w:hint="eastAsia" w:ascii="仿宋" w:hAnsi="仿宋" w:eastAsia="仿宋" w:cs="仿宋"/>
          <w:b/>
          <w:bCs/>
          <w:color w:val="auto"/>
          <w:kern w:val="0"/>
          <w:sz w:val="30"/>
          <w:szCs w:val="30"/>
          <w:highlight w:val="none"/>
        </w:rPr>
        <w:t>3.6供应商的风险</w:t>
      </w:r>
    </w:p>
    <w:p w14:paraId="7D671E34">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供应商应认真阅读和充分理解磋商文件中所有的事项、格式条款和规范要求，任何对</w:t>
      </w:r>
      <w:r>
        <w:rPr>
          <w:rFonts w:hint="eastAsia" w:ascii="仿宋" w:hAnsi="仿宋" w:eastAsia="仿宋" w:cs="仿宋"/>
          <w:bCs/>
          <w:color w:val="auto"/>
          <w:szCs w:val="21"/>
          <w:highlight w:val="none"/>
        </w:rPr>
        <w:t>磋商</w:t>
      </w:r>
      <w:r>
        <w:rPr>
          <w:rFonts w:hint="eastAsia" w:ascii="仿宋" w:hAnsi="仿宋" w:eastAsia="仿宋" w:cs="仿宋"/>
          <w:color w:val="auto"/>
          <w:szCs w:val="21"/>
          <w:highlight w:val="none"/>
        </w:rPr>
        <w:t>文件的忽略或误解不能作为响应文件存在缺陷或瑕疵的理由；供应商</w:t>
      </w:r>
      <w:r>
        <w:rPr>
          <w:rFonts w:hint="eastAsia" w:ascii="仿宋" w:hAnsi="仿宋" w:eastAsia="仿宋" w:cs="仿宋"/>
          <w:color w:val="auto"/>
          <w:kern w:val="0"/>
          <w:szCs w:val="21"/>
          <w:highlight w:val="none"/>
        </w:rPr>
        <w:t>没有按照磋商文件要求提供全部资料，</w:t>
      </w:r>
      <w:r>
        <w:rPr>
          <w:rFonts w:hint="eastAsia" w:ascii="仿宋" w:hAnsi="仿宋" w:eastAsia="仿宋" w:cs="仿宋"/>
          <w:color w:val="auto"/>
          <w:szCs w:val="21"/>
          <w:highlight w:val="none"/>
        </w:rPr>
        <w:t>或对磋商文件未全面做出实质性响应是供应商的风险，</w:t>
      </w:r>
      <w:r>
        <w:rPr>
          <w:rFonts w:hint="eastAsia" w:ascii="仿宋" w:hAnsi="仿宋" w:eastAsia="仿宋" w:cs="仿宋"/>
          <w:color w:val="auto"/>
          <w:kern w:val="0"/>
          <w:szCs w:val="21"/>
          <w:highlight w:val="none"/>
        </w:rPr>
        <w:t>并可能导致其响应文件被拒绝。</w:t>
      </w:r>
    </w:p>
    <w:p w14:paraId="12C7C8CA">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3.7供应商的纪律要求</w:t>
      </w:r>
    </w:p>
    <w:p w14:paraId="3AFEF949">
      <w:pPr>
        <w:pStyle w:val="5"/>
        <w:pageBreakBefore w:val="0"/>
        <w:kinsoku/>
        <w:wordWrap/>
        <w:overflowPunct/>
        <w:topLinePunct w:val="0"/>
        <w:bidi w:val="0"/>
        <w:spacing w:line="400" w:lineRule="exact"/>
        <w:ind w:firstLineChars="200"/>
        <w:rPr>
          <w:rFonts w:hint="eastAsia" w:ascii="仿宋" w:hAnsi="仿宋" w:eastAsia="仿宋" w:cs="仿宋"/>
          <w:color w:val="auto"/>
          <w:szCs w:val="21"/>
          <w:highlight w:val="none"/>
        </w:rPr>
      </w:pPr>
      <w:bookmarkStart w:id="80" w:name="_Toc25827_WPSOffice_Level2"/>
      <w:bookmarkStart w:id="81" w:name="_Toc6380"/>
      <w:bookmarkStart w:id="82" w:name="_Toc7507"/>
      <w:bookmarkStart w:id="83" w:name="_Toc9447"/>
      <w:bookmarkStart w:id="84" w:name="_Toc31408"/>
      <w:bookmarkStart w:id="85" w:name="_Toc25435"/>
      <w:bookmarkStart w:id="86" w:name="_Toc23836"/>
      <w:r>
        <w:rPr>
          <w:rFonts w:hint="eastAsia" w:ascii="仿宋" w:hAnsi="仿宋" w:eastAsia="仿宋" w:cs="仿宋"/>
          <w:color w:val="auto"/>
          <w:szCs w:val="21"/>
          <w:highlight w:val="none"/>
        </w:rPr>
        <w:t>3.7.1 有下列情形之一的，属于不合格供应商，其磋商或成交资格将被取消：</w:t>
      </w:r>
    </w:p>
    <w:p w14:paraId="6DFCDA5F">
      <w:pPr>
        <w:pageBreakBefore w:val="0"/>
        <w:kinsoku/>
        <w:wordWrap/>
        <w:overflowPunct/>
        <w:topLinePunct w:val="0"/>
        <w:bidi w:val="0"/>
        <w:spacing w:line="400" w:lineRule="exact"/>
        <w:ind w:firstLine="403" w:firstLineChars="192"/>
        <w:rPr>
          <w:rFonts w:hint="eastAsia" w:ascii="仿宋" w:hAnsi="仿宋" w:eastAsia="仿宋" w:cs="仿宋"/>
          <w:color w:val="auto"/>
          <w:szCs w:val="21"/>
          <w:highlight w:val="none"/>
        </w:rPr>
      </w:pPr>
      <w:r>
        <w:rPr>
          <w:rFonts w:hint="eastAsia" w:ascii="仿宋" w:hAnsi="仿宋" w:eastAsia="仿宋" w:cs="仿宋"/>
          <w:color w:val="auto"/>
          <w:szCs w:val="21"/>
          <w:highlight w:val="none"/>
        </w:rPr>
        <w:t>（1）提供虚假材料谋取成交；</w:t>
      </w:r>
    </w:p>
    <w:p w14:paraId="4CB25C6F">
      <w:pPr>
        <w:pageBreakBefore w:val="0"/>
        <w:kinsoku/>
        <w:wordWrap/>
        <w:overflowPunct/>
        <w:topLinePunct w:val="0"/>
        <w:bidi w:val="0"/>
        <w:spacing w:line="400" w:lineRule="exact"/>
        <w:ind w:firstLine="403" w:firstLineChars="192"/>
        <w:rPr>
          <w:rFonts w:hint="eastAsia" w:ascii="仿宋" w:hAnsi="仿宋" w:eastAsia="仿宋" w:cs="仿宋"/>
          <w:color w:val="auto"/>
          <w:szCs w:val="21"/>
          <w:highlight w:val="none"/>
        </w:rPr>
      </w:pPr>
      <w:r>
        <w:rPr>
          <w:rFonts w:hint="eastAsia" w:ascii="仿宋" w:hAnsi="仿宋" w:eastAsia="仿宋" w:cs="仿宋"/>
          <w:color w:val="auto"/>
          <w:szCs w:val="21"/>
          <w:highlight w:val="none"/>
        </w:rPr>
        <w:t>（2）采取不正当手段诋毁、排挤其他供应商；</w:t>
      </w:r>
    </w:p>
    <w:p w14:paraId="3767FEB5">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（3）与采购人、采购代理机构、其他供应商恶意串通；</w:t>
      </w:r>
    </w:p>
    <w:p w14:paraId="48AC15A7">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（4）向采购人、采购代理机构、磋商小组成员行贿或者提供其他不正当利益；</w:t>
      </w:r>
    </w:p>
    <w:p w14:paraId="624582BB">
      <w:pPr>
        <w:pStyle w:val="27"/>
        <w:pageBreakBefore w:val="0"/>
        <w:kinsoku/>
        <w:wordWrap/>
        <w:overflowPunct/>
        <w:topLinePunct w:val="0"/>
        <w:bidi w:val="0"/>
        <w:spacing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（5）拒绝有关部门的监督检查或者向监督检查部门提供虚假情况。</w:t>
      </w:r>
    </w:p>
    <w:p w14:paraId="058898AE">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3.7.2有下列情形之一的，视为供应商相互恶意串通磋商响应，其响应文件无效：</w:t>
      </w:r>
    </w:p>
    <w:p w14:paraId="3F0C3E5B">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（1）不同供应商的响应文件由同一单位或者个人编制；</w:t>
      </w:r>
    </w:p>
    <w:p w14:paraId="38E1C50F">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（2）不同供应商委托同一单位或者个人办理磋商事宜；</w:t>
      </w:r>
    </w:p>
    <w:p w14:paraId="62AF2042">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（3）不同供应商的响应文件载明的项目管理成员为同一人；</w:t>
      </w:r>
    </w:p>
    <w:p w14:paraId="4709B1E7">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（4）不同供应商的响应文件异常一致或者磋商报价呈规律性差异；</w:t>
      </w:r>
    </w:p>
    <w:p w14:paraId="222C5E25">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（5）不同供应商的响应文件相互混装；</w:t>
      </w:r>
    </w:p>
    <w:p w14:paraId="21817CBF">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（6）不同供应商的磋商保证金从同一单位或者个人的账户转出；</w:t>
      </w:r>
    </w:p>
    <w:p w14:paraId="6AE270B7">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（7）不同供应商的响应文件由同一单位送达。</w:t>
      </w:r>
    </w:p>
    <w:p w14:paraId="46D2DF78">
      <w:pPr>
        <w:pageBreakBefore w:val="0"/>
        <w:tabs>
          <w:tab w:val="left" w:pos="7665"/>
        </w:tabs>
        <w:kinsoku/>
        <w:wordWrap/>
        <w:overflowPunct/>
        <w:topLinePunct w:val="0"/>
        <w:bidi w:val="0"/>
        <w:spacing w:before="120" w:beforeLines="50" w:after="120" w:afterLines="50" w:line="400" w:lineRule="exact"/>
        <w:outlineLvl w:val="1"/>
        <w:rPr>
          <w:rFonts w:hint="eastAsia" w:ascii="仿宋" w:hAnsi="仿宋" w:eastAsia="仿宋" w:cs="仿宋"/>
          <w:color w:val="auto"/>
          <w:kern w:val="0"/>
          <w:sz w:val="36"/>
          <w:szCs w:val="36"/>
          <w:highlight w:val="none"/>
        </w:rPr>
      </w:pPr>
      <w:r>
        <w:rPr>
          <w:rFonts w:hint="eastAsia" w:ascii="仿宋" w:hAnsi="仿宋" w:eastAsia="仿宋" w:cs="仿宋"/>
          <w:bCs/>
          <w:color w:val="auto"/>
          <w:sz w:val="36"/>
          <w:szCs w:val="36"/>
          <w:highlight w:val="none"/>
        </w:rPr>
        <w:t>4.响应文件</w:t>
      </w:r>
      <w:bookmarkEnd w:id="80"/>
      <w:bookmarkEnd w:id="81"/>
      <w:bookmarkEnd w:id="82"/>
      <w:bookmarkEnd w:id="83"/>
      <w:bookmarkEnd w:id="84"/>
      <w:bookmarkEnd w:id="85"/>
      <w:bookmarkEnd w:id="86"/>
    </w:p>
    <w:p w14:paraId="40A14C31">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4.1 响应文件的编写原则和要求</w:t>
      </w:r>
    </w:p>
    <w:p w14:paraId="7BE29FAD">
      <w:pPr>
        <w:pageBreakBefore w:val="0"/>
        <w:tabs>
          <w:tab w:val="left" w:pos="720"/>
        </w:tabs>
        <w:kinsoku/>
        <w:wordWrap/>
        <w:overflowPunct/>
        <w:topLinePunct w:val="0"/>
        <w:bidi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4.1.1供应商应仔细阅读磋商文件的所有内容，按照磋商文件规定及要求编写，应当对磋商文件提出的实质性要求做出响应，并提交完整的响应文件。供应商应对采购的</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提供完整详细的技术说明，若供应商对指定的技术要求不能完全响应，应在响应文件中清楚地注明。供应商须知前附表规定允许分包的，</w:t>
      </w:r>
      <w:r>
        <w:rPr>
          <w:rFonts w:hint="eastAsia" w:ascii="仿宋" w:hAnsi="仿宋" w:eastAsia="仿宋" w:cs="仿宋"/>
          <w:b/>
          <w:color w:val="auto"/>
          <w:szCs w:val="21"/>
          <w:highlight w:val="none"/>
        </w:rPr>
        <w:t>供应商拟在成交后将成交项目的非主体、非关键性工作交由他人完成的，应当在响应文件中载明</w:t>
      </w:r>
      <w:r>
        <w:rPr>
          <w:rFonts w:hint="eastAsia" w:ascii="仿宋" w:hAnsi="仿宋" w:eastAsia="仿宋" w:cs="仿宋"/>
          <w:color w:val="auto"/>
          <w:szCs w:val="21"/>
          <w:highlight w:val="none"/>
        </w:rPr>
        <w:t>。供应商对本磋商文件的每一项要求所给予的响应必须是唯一的，否则将视为无效响应文件。</w:t>
      </w:r>
    </w:p>
    <w:p w14:paraId="2E62801F">
      <w:pPr>
        <w:pageBreakBefore w:val="0"/>
        <w:tabs>
          <w:tab w:val="left" w:pos="720"/>
        </w:tabs>
        <w:kinsoku/>
        <w:wordWrap/>
        <w:overflowPunct/>
        <w:topLinePunct w:val="0"/>
        <w:bidi w:val="0"/>
        <w:snapToGrid w:val="0"/>
        <w:spacing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4.1.2 真实性原则</w:t>
      </w:r>
    </w:p>
    <w:p w14:paraId="3600C162">
      <w:pPr>
        <w:pageBreakBefore w:val="0"/>
        <w:tabs>
          <w:tab w:val="left" w:pos="720"/>
        </w:tabs>
        <w:kinsoku/>
        <w:wordWrap/>
        <w:overflowPunct/>
        <w:topLinePunct w:val="0"/>
        <w:bidi w:val="0"/>
        <w:snapToGrid w:val="0"/>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4.1.2.1 供应商应保证所提供的响应文件和所有资料的真实性、准确性和完整性。</w:t>
      </w:r>
    </w:p>
    <w:p w14:paraId="623713E2">
      <w:pPr>
        <w:pageBreakBefore w:val="0"/>
        <w:tabs>
          <w:tab w:val="left" w:pos="720"/>
        </w:tabs>
        <w:kinsoku/>
        <w:wordWrap/>
        <w:overflowPunct/>
        <w:topLinePunct w:val="0"/>
        <w:bidi w:val="0"/>
        <w:snapToGrid w:val="0"/>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4.1.2.2 供应商被认定为在政府采购活动中提供不真实材料的，无论其材料是否重要，采购人均有权拒绝，并取消其磋商或成交资格，供应商需承担相应的法律后果。</w:t>
      </w:r>
    </w:p>
    <w:p w14:paraId="76277AC8">
      <w:pPr>
        <w:pageBreakBefore w:val="0"/>
        <w:tabs>
          <w:tab w:val="left" w:pos="720"/>
        </w:tabs>
        <w:kinsoku/>
        <w:wordWrap/>
        <w:overflowPunct/>
        <w:topLinePunct w:val="0"/>
        <w:bidi w:val="0"/>
        <w:snapToGrid w:val="0"/>
        <w:spacing w:line="400" w:lineRule="exact"/>
        <w:ind w:firstLine="48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4.1.3 报价使用货币</w:t>
      </w:r>
    </w:p>
    <w:p w14:paraId="2E7BCA50">
      <w:pPr>
        <w:pageBreakBefore w:val="0"/>
        <w:tabs>
          <w:tab w:val="left" w:pos="720"/>
        </w:tabs>
        <w:kinsoku/>
        <w:wordWrap/>
        <w:overflowPunct/>
        <w:topLinePunct w:val="0"/>
        <w:bidi w:val="0"/>
        <w:snapToGrid w:val="0"/>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本项目的报价均以人民币报价。</w:t>
      </w:r>
    </w:p>
    <w:p w14:paraId="68E7A46D">
      <w:pPr>
        <w:pageBreakBefore w:val="0"/>
        <w:tabs>
          <w:tab w:val="left" w:pos="720"/>
        </w:tabs>
        <w:kinsoku/>
        <w:wordWrap/>
        <w:overflowPunct/>
        <w:topLinePunct w:val="0"/>
        <w:bidi w:val="0"/>
        <w:snapToGrid w:val="0"/>
        <w:spacing w:line="400" w:lineRule="exact"/>
        <w:ind w:firstLine="424" w:firstLineChars="201"/>
        <w:rPr>
          <w:rFonts w:hint="eastAsia" w:ascii="仿宋" w:hAnsi="仿宋" w:eastAsia="仿宋" w:cs="仿宋"/>
          <w:b/>
          <w:color w:val="auto"/>
          <w:highlight w:val="none"/>
        </w:rPr>
      </w:pPr>
      <w:r>
        <w:rPr>
          <w:rFonts w:hint="eastAsia" w:ascii="仿宋" w:hAnsi="仿宋" w:eastAsia="仿宋" w:cs="仿宋"/>
          <w:b/>
          <w:color w:val="auto"/>
          <w:highlight w:val="none"/>
        </w:rPr>
        <w:t>4.1.4 响应文件形式</w:t>
      </w:r>
    </w:p>
    <w:p w14:paraId="4A8A22AE">
      <w:pPr>
        <w:pStyle w:val="24"/>
        <w:pageBreakBefore w:val="0"/>
        <w:kinsoku/>
        <w:wordWrap/>
        <w:overflowPunct/>
        <w:topLinePunct w:val="0"/>
        <w:bidi w:val="0"/>
        <w:adjustRightInd w:val="0"/>
        <w:snapToGrid w:val="0"/>
        <w:spacing w:line="400" w:lineRule="exact"/>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本项目响应文件应采用书面文件形式，电报、传真、电子邮件形式的响应文件不予接受。</w:t>
      </w:r>
    </w:p>
    <w:p w14:paraId="0549BAD2">
      <w:pPr>
        <w:pageBreakBefore w:val="0"/>
        <w:tabs>
          <w:tab w:val="left" w:pos="720"/>
        </w:tabs>
        <w:kinsoku/>
        <w:wordWrap/>
        <w:overflowPunct/>
        <w:topLinePunct w:val="0"/>
        <w:bidi w:val="0"/>
        <w:snapToGrid w:val="0"/>
        <w:spacing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4.1.5 备选方案</w:t>
      </w:r>
    </w:p>
    <w:p w14:paraId="54D3197B">
      <w:pPr>
        <w:pageBreakBefore w:val="0"/>
        <w:tabs>
          <w:tab w:val="left" w:pos="720"/>
        </w:tabs>
        <w:kinsoku/>
        <w:wordWrap/>
        <w:overflowPunct/>
        <w:topLinePunct w:val="0"/>
        <w:bidi w:val="0"/>
        <w:snapToGrid w:val="0"/>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4.1.5.1 除供应商须知前附表规定允许外，供应商不得递交备选响应方案，响应文件的报价只允许有一个报价，不接受具有附加条件的报价，否则，视为无效响应文件。</w:t>
      </w:r>
    </w:p>
    <w:p w14:paraId="1C22781D">
      <w:pPr>
        <w:pageBreakBefore w:val="0"/>
        <w:tabs>
          <w:tab w:val="left" w:pos="720"/>
        </w:tabs>
        <w:kinsoku/>
        <w:wordWrap/>
        <w:overflowPunct/>
        <w:topLinePunct w:val="0"/>
        <w:bidi w:val="0"/>
        <w:snapToGrid w:val="0"/>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4.1.5.2 允许供应商递交备选响应方案的，只有成交供应商所递交的备选响应方案方可予以考虑。磋商小组认为成交供应商的备选响应方案优于其按照磋商文件要求编制的响应方案的，采购人可以接受该备选方案。</w:t>
      </w:r>
    </w:p>
    <w:p w14:paraId="796B4F2C">
      <w:pPr>
        <w:pageBreakBefore w:val="0"/>
        <w:tabs>
          <w:tab w:val="left" w:pos="720"/>
        </w:tabs>
        <w:kinsoku/>
        <w:wordWrap/>
        <w:overflowPunct/>
        <w:topLinePunct w:val="0"/>
        <w:bidi w:val="0"/>
        <w:snapToGrid w:val="0"/>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4.1.5.3 供应商提供两个或两个以上磋商报价，或者在响应文件中提供一个磋商报价，但同时提供两个或两个以上方案的，视为提供备选方案。</w:t>
      </w:r>
    </w:p>
    <w:bookmarkEnd w:id="79"/>
    <w:p w14:paraId="76199D69">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4.2 响应文件的组成</w:t>
      </w:r>
    </w:p>
    <w:bookmarkEnd w:id="76"/>
    <w:bookmarkEnd w:id="77"/>
    <w:bookmarkEnd w:id="78"/>
    <w:p w14:paraId="34E5B828">
      <w:pPr>
        <w:pageBreakBefore w:val="0"/>
        <w:kinsoku/>
        <w:wordWrap/>
        <w:overflowPunct/>
        <w:topLinePunct w:val="0"/>
        <w:bidi w:val="0"/>
        <w:spacing w:line="4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4.2.1响应文件由下列文件组成：</w:t>
      </w:r>
    </w:p>
    <w:p w14:paraId="01BEED89">
      <w:pPr>
        <w:pageBreakBefore w:val="0"/>
        <w:tabs>
          <w:tab w:val="left" w:pos="2730"/>
        </w:tabs>
        <w:kinsoku/>
        <w:wordWrap/>
        <w:overflowPunct/>
        <w:topLinePunct w:val="0"/>
        <w:bidi w:val="0"/>
        <w:spacing w:line="4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（1）资格审查文件</w:t>
      </w:r>
      <w:r>
        <w:rPr>
          <w:rFonts w:hint="eastAsia" w:ascii="仿宋" w:hAnsi="仿宋" w:eastAsia="仿宋" w:cs="仿宋"/>
          <w:color w:val="auto"/>
          <w:szCs w:val="21"/>
          <w:highlight w:val="none"/>
        </w:rPr>
        <w:tab/>
      </w:r>
    </w:p>
    <w:p w14:paraId="2A61DCDA">
      <w:pPr>
        <w:pageBreakBefore w:val="0"/>
        <w:kinsoku/>
        <w:wordWrap/>
        <w:overflowPunct/>
        <w:topLinePunct w:val="0"/>
        <w:bidi w:val="0"/>
        <w:spacing w:line="4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（2）商务文件</w:t>
      </w:r>
    </w:p>
    <w:p w14:paraId="6A1C48F7">
      <w:pPr>
        <w:pageBreakBefore w:val="0"/>
        <w:kinsoku/>
        <w:wordWrap/>
        <w:overflowPunct/>
        <w:topLinePunct w:val="0"/>
        <w:bidi w:val="0"/>
        <w:spacing w:line="4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（3）技术文件</w:t>
      </w:r>
    </w:p>
    <w:p w14:paraId="6AA85672">
      <w:pPr>
        <w:pageBreakBefore w:val="0"/>
        <w:kinsoku/>
        <w:wordWrap/>
        <w:overflowPunct/>
        <w:topLinePunct w:val="0"/>
        <w:bidi w:val="0"/>
        <w:spacing w:line="4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4.2.2 </w:t>
      </w:r>
      <w:r>
        <w:rPr>
          <w:rFonts w:hint="eastAsia" w:ascii="仿宋" w:hAnsi="仿宋" w:eastAsia="仿宋" w:cs="仿宋"/>
          <w:b/>
          <w:color w:val="auto"/>
          <w:szCs w:val="21"/>
          <w:highlight w:val="none"/>
        </w:rPr>
        <w:t>资格审查文件</w:t>
      </w:r>
      <w:r>
        <w:rPr>
          <w:rFonts w:hint="eastAsia" w:ascii="仿宋" w:hAnsi="仿宋" w:eastAsia="仿宋" w:cs="仿宋"/>
          <w:color w:val="auto"/>
          <w:szCs w:val="21"/>
          <w:highlight w:val="none"/>
        </w:rPr>
        <w:t>包括本章第3.1.1条款内容。</w:t>
      </w:r>
    </w:p>
    <w:p w14:paraId="68EB601A">
      <w:pPr>
        <w:pageBreakBefore w:val="0"/>
        <w:kinsoku/>
        <w:wordWrap/>
        <w:overflowPunct/>
        <w:topLinePunct w:val="0"/>
        <w:bidi w:val="0"/>
        <w:spacing w:line="4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4.2.3 </w:t>
      </w:r>
      <w:r>
        <w:rPr>
          <w:rFonts w:hint="eastAsia" w:ascii="仿宋" w:hAnsi="仿宋" w:eastAsia="仿宋" w:cs="仿宋"/>
          <w:b/>
          <w:color w:val="auto"/>
          <w:szCs w:val="21"/>
          <w:highlight w:val="none"/>
        </w:rPr>
        <w:t>商务文件</w:t>
      </w:r>
      <w:r>
        <w:rPr>
          <w:rFonts w:hint="eastAsia" w:ascii="仿宋" w:hAnsi="仿宋" w:eastAsia="仿宋" w:cs="仿宋"/>
          <w:color w:val="auto"/>
          <w:szCs w:val="21"/>
          <w:highlight w:val="none"/>
        </w:rPr>
        <w:t>主要包括下列内容：</w:t>
      </w:r>
    </w:p>
    <w:p w14:paraId="6BA66291">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（1）竞争性磋商响应函；</w:t>
      </w:r>
    </w:p>
    <w:p w14:paraId="242EC3CD">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（2）磋商报价一览表；</w:t>
      </w:r>
    </w:p>
    <w:p w14:paraId="2A35E53B">
      <w:pPr>
        <w:pageBreakBefore w:val="0"/>
        <w:kinsoku/>
        <w:wordWrap/>
        <w:overflowPunct/>
        <w:topLinePunct w:val="0"/>
        <w:bidi w:val="0"/>
        <w:spacing w:line="400" w:lineRule="exact"/>
        <w:ind w:firstLine="420" w:firstLineChars="200"/>
        <w:outlineLvl w:val="2"/>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（3）报价明细表</w:t>
      </w:r>
    </w:p>
    <w:p w14:paraId="714ABAE3">
      <w:pPr>
        <w:pageBreakBefore w:val="0"/>
        <w:kinsoku/>
        <w:wordWrap/>
        <w:overflowPunct/>
        <w:topLinePunct w:val="0"/>
        <w:bidi w:val="0"/>
        <w:spacing w:line="400" w:lineRule="exact"/>
        <w:ind w:firstLine="420" w:firstLineChars="200"/>
        <w:outlineLvl w:val="2"/>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）其他证明材料。</w:t>
      </w:r>
    </w:p>
    <w:p w14:paraId="6B3BE36F">
      <w:pPr>
        <w:pageBreakBefore w:val="0"/>
        <w:kinsoku/>
        <w:wordWrap/>
        <w:overflowPunct/>
        <w:topLinePunct w:val="0"/>
        <w:bidi w:val="0"/>
        <w:spacing w:line="400" w:lineRule="exact"/>
        <w:ind w:left="504" w:leftChars="226" w:hanging="29" w:hangingChars="14"/>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4.2.4 </w:t>
      </w:r>
      <w:r>
        <w:rPr>
          <w:rFonts w:hint="eastAsia" w:ascii="仿宋" w:hAnsi="仿宋" w:eastAsia="仿宋" w:cs="仿宋"/>
          <w:b/>
          <w:color w:val="auto"/>
          <w:szCs w:val="21"/>
          <w:highlight w:val="none"/>
        </w:rPr>
        <w:t>技术文件</w:t>
      </w:r>
      <w:r>
        <w:rPr>
          <w:rFonts w:hint="eastAsia" w:ascii="仿宋" w:hAnsi="仿宋" w:eastAsia="仿宋" w:cs="仿宋"/>
          <w:color w:val="auto"/>
          <w:szCs w:val="21"/>
          <w:highlight w:val="none"/>
        </w:rPr>
        <w:t>主要包括下列内容：</w:t>
      </w:r>
    </w:p>
    <w:p w14:paraId="28D8DD46">
      <w:pPr>
        <w:pageBreakBefore w:val="0"/>
        <w:kinsoku/>
        <w:wordWrap/>
        <w:overflowPunct/>
        <w:topLinePunct w:val="0"/>
        <w:bidi w:val="0"/>
        <w:spacing w:line="400" w:lineRule="exact"/>
        <w:ind w:firstLine="420" w:firstLineChars="200"/>
        <w:outlineLvl w:val="2"/>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服务计划</w:t>
      </w:r>
      <w:r>
        <w:rPr>
          <w:rFonts w:hint="eastAsia" w:ascii="仿宋" w:hAnsi="仿宋" w:eastAsia="仿宋" w:cs="仿宋"/>
          <w:color w:val="auto"/>
          <w:szCs w:val="21"/>
          <w:highlight w:val="none"/>
        </w:rPr>
        <w:t>；</w:t>
      </w:r>
    </w:p>
    <w:p w14:paraId="0AA195FC">
      <w:pPr>
        <w:pageBreakBefore w:val="0"/>
        <w:kinsoku/>
        <w:wordWrap/>
        <w:overflowPunct/>
        <w:topLinePunct w:val="0"/>
        <w:bidi w:val="0"/>
        <w:spacing w:line="400" w:lineRule="exact"/>
        <w:ind w:firstLine="420" w:firstLineChars="200"/>
        <w:outlineLvl w:val="2"/>
        <w:rPr>
          <w:rFonts w:hint="eastAsia" w:ascii="仿宋" w:hAnsi="仿宋" w:eastAsia="仿宋" w:cs="仿宋"/>
          <w:color w:val="auto"/>
          <w:szCs w:val="21"/>
          <w:highlight w:val="none"/>
        </w:rPr>
      </w:pPr>
      <w:r>
        <w:rPr>
          <w:rFonts w:hint="eastAsia" w:ascii="仿宋" w:hAnsi="仿宋" w:eastAsia="仿宋" w:cs="仿宋"/>
          <w:color w:val="auto"/>
          <w:szCs w:val="21"/>
          <w:highlight w:val="none"/>
        </w:rPr>
        <w:t>（2）项目管理机构；</w:t>
      </w:r>
    </w:p>
    <w:p w14:paraId="4112BF40">
      <w:pPr>
        <w:pageBreakBefore w:val="0"/>
        <w:kinsoku/>
        <w:wordWrap/>
        <w:overflowPunct/>
        <w:topLinePunct w:val="0"/>
        <w:bidi w:val="0"/>
        <w:spacing w:line="400" w:lineRule="exact"/>
        <w:ind w:firstLine="420" w:firstLineChars="200"/>
        <w:outlineLvl w:val="2"/>
        <w:rPr>
          <w:rFonts w:hint="eastAsia" w:ascii="仿宋" w:hAnsi="仿宋" w:eastAsia="仿宋" w:cs="仿宋"/>
          <w:color w:val="auto"/>
          <w:szCs w:val="21"/>
          <w:highlight w:val="none"/>
        </w:rPr>
      </w:pPr>
      <w:r>
        <w:rPr>
          <w:rFonts w:hint="eastAsia" w:ascii="仿宋" w:hAnsi="仿宋" w:eastAsia="仿宋" w:cs="仿宋"/>
          <w:color w:val="auto"/>
          <w:szCs w:val="21"/>
          <w:highlight w:val="none"/>
        </w:rPr>
        <w:t>（3）供应商认为需要提供的文件和资料。</w:t>
      </w:r>
    </w:p>
    <w:p w14:paraId="2538B2FA">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4.3磋商报价</w:t>
      </w:r>
    </w:p>
    <w:p w14:paraId="7EE4713D">
      <w:pPr>
        <w:pageBreakBefore w:val="0"/>
        <w:kinsoku/>
        <w:wordWrap/>
        <w:overflowPunct/>
        <w:topLinePunct w:val="0"/>
        <w:bidi w:val="0"/>
        <w:spacing w:line="4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4.3.1 </w:t>
      </w:r>
      <w:r>
        <w:rPr>
          <w:rFonts w:hint="eastAsia" w:ascii="仿宋" w:hAnsi="仿宋" w:eastAsia="仿宋" w:cs="仿宋"/>
          <w:bCs/>
          <w:color w:val="auto"/>
          <w:szCs w:val="21"/>
          <w:highlight w:val="none"/>
        </w:rPr>
        <w:t>供应商应当</w:t>
      </w:r>
      <w:r>
        <w:rPr>
          <w:rFonts w:hint="eastAsia" w:ascii="仿宋" w:hAnsi="仿宋" w:eastAsia="仿宋" w:cs="仿宋"/>
          <w:color w:val="auto"/>
          <w:szCs w:val="21"/>
          <w:highlight w:val="none"/>
        </w:rPr>
        <w:t>按照磋商文件确定的采购</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范围内全部工作内容进行磋商报价，并充分了解本</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项目的总体情况以及影响磋商报价的其他要素。</w:t>
      </w:r>
    </w:p>
    <w:p w14:paraId="5A94496E">
      <w:pPr>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 xml:space="preserve">4.3.2 </w:t>
      </w:r>
      <w:r>
        <w:rPr>
          <w:rFonts w:hint="eastAsia" w:ascii="仿宋" w:hAnsi="仿宋" w:eastAsia="仿宋" w:cs="仿宋"/>
          <w:color w:val="auto"/>
          <w:kern w:val="0"/>
          <w:szCs w:val="21"/>
          <w:highlight w:val="none"/>
        </w:rPr>
        <w:t>供应商的磋商报价包括</w:t>
      </w:r>
      <w:r>
        <w:rPr>
          <w:rFonts w:hint="eastAsia" w:ascii="仿宋" w:hAnsi="仿宋" w:eastAsia="仿宋" w:cs="仿宋"/>
          <w:color w:val="auto"/>
          <w:kern w:val="0"/>
          <w:szCs w:val="21"/>
          <w:highlight w:val="none"/>
          <w:lang w:eastAsia="zh-CN"/>
        </w:rPr>
        <w:t>服务</w:t>
      </w:r>
      <w:r>
        <w:rPr>
          <w:rFonts w:hint="eastAsia" w:ascii="仿宋" w:hAnsi="仿宋" w:eastAsia="仿宋" w:cs="仿宋"/>
          <w:color w:val="auto"/>
          <w:kern w:val="0"/>
          <w:szCs w:val="21"/>
          <w:highlight w:val="none"/>
        </w:rPr>
        <w:t>设备费、人工费、管理费、材料与设备费、安装费、维护费、保险费、采购代理费、税金、利润、政策性规费、风险、责任等所有费用。</w:t>
      </w:r>
    </w:p>
    <w:p w14:paraId="70D1B4E2">
      <w:pPr>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4.3.3 </w:t>
      </w:r>
      <w:r>
        <w:rPr>
          <w:rFonts w:hint="eastAsia" w:ascii="仿宋" w:hAnsi="仿宋" w:eastAsia="仿宋" w:cs="仿宋"/>
          <w:b/>
          <w:color w:val="auto"/>
          <w:szCs w:val="21"/>
          <w:highlight w:val="none"/>
        </w:rPr>
        <w:t>本项目将根据磋商的具体情况来确定磋商轮次，最终一轮磋商报价为最后报价</w:t>
      </w:r>
      <w:r>
        <w:rPr>
          <w:rFonts w:hint="eastAsia" w:ascii="仿宋" w:hAnsi="仿宋" w:eastAsia="仿宋" w:cs="仿宋"/>
          <w:color w:val="auto"/>
          <w:szCs w:val="21"/>
          <w:highlight w:val="none"/>
        </w:rPr>
        <w:t>。</w:t>
      </w:r>
    </w:p>
    <w:p w14:paraId="617E73CC">
      <w:pPr>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4.3.4</w:t>
      </w:r>
      <w:r>
        <w:rPr>
          <w:rFonts w:hint="eastAsia" w:ascii="仿宋" w:hAnsi="仿宋" w:eastAsia="仿宋" w:cs="仿宋"/>
          <w:b/>
          <w:color w:val="auto"/>
          <w:szCs w:val="21"/>
          <w:highlight w:val="none"/>
        </w:rPr>
        <w:t xml:space="preserve"> 本项目采购预算（最高限价）金额见供应商须知前附表。供应商各轮次报价均不得超过采购预算（最高限价</w:t>
      </w:r>
      <w:r>
        <w:rPr>
          <w:rFonts w:hint="eastAsia" w:ascii="仿宋" w:hAnsi="仿宋" w:eastAsia="仿宋" w:cs="仿宋"/>
          <w:b/>
          <w:color w:val="auto"/>
          <w:szCs w:val="21"/>
          <w:highlight w:val="none"/>
          <w:lang w:eastAsia="zh-CN"/>
        </w:rPr>
        <w:t>或其他要求</w:t>
      </w:r>
      <w:r>
        <w:rPr>
          <w:rFonts w:hint="eastAsia" w:ascii="仿宋" w:hAnsi="仿宋" w:eastAsia="仿宋" w:cs="仿宋"/>
          <w:b/>
          <w:color w:val="auto"/>
          <w:szCs w:val="21"/>
          <w:highlight w:val="none"/>
        </w:rPr>
        <w:t>）金额；否则，按无效响应文件处理。</w:t>
      </w:r>
    </w:p>
    <w:p w14:paraId="38AFB676">
      <w:pPr>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4.3.5 供应商首次提交的响应文件，</w:t>
      </w:r>
      <w:r>
        <w:rPr>
          <w:rFonts w:hint="eastAsia" w:ascii="仿宋" w:hAnsi="仿宋" w:eastAsia="仿宋" w:cs="仿宋"/>
          <w:color w:val="auto"/>
          <w:kern w:val="0"/>
          <w:szCs w:val="21"/>
          <w:highlight w:val="none"/>
        </w:rPr>
        <w:t>应按</w:t>
      </w:r>
      <w:r>
        <w:rPr>
          <w:rFonts w:hint="eastAsia" w:ascii="仿宋" w:hAnsi="仿宋" w:eastAsia="仿宋" w:cs="仿宋"/>
          <w:color w:val="auto"/>
          <w:szCs w:val="21"/>
          <w:highlight w:val="none"/>
        </w:rPr>
        <w:t>“磋商报价一览表”及“报价明细表”</w:t>
      </w:r>
      <w:r>
        <w:rPr>
          <w:rFonts w:hint="eastAsia" w:ascii="仿宋" w:hAnsi="仿宋" w:eastAsia="仿宋" w:cs="仿宋"/>
          <w:color w:val="auto"/>
          <w:kern w:val="0"/>
          <w:szCs w:val="21"/>
          <w:highlight w:val="none"/>
        </w:rPr>
        <w:t>的内容</w:t>
      </w:r>
      <w:r>
        <w:rPr>
          <w:rFonts w:hint="eastAsia" w:ascii="仿宋" w:hAnsi="仿宋" w:eastAsia="仿宋" w:cs="仿宋"/>
          <w:color w:val="auto"/>
          <w:szCs w:val="21"/>
          <w:highlight w:val="none"/>
        </w:rPr>
        <w:t>和格式要求自主报价。填写的项目编码、项目名称、项目特征、计量单位、</w:t>
      </w:r>
      <w:r>
        <w:rPr>
          <w:rFonts w:hint="eastAsia" w:ascii="仿宋" w:hAnsi="仿宋" w:eastAsia="仿宋" w:cs="仿宋"/>
          <w:color w:val="auto"/>
          <w:szCs w:val="21"/>
          <w:highlight w:val="none"/>
          <w:lang w:eastAsia="zh-CN"/>
        </w:rPr>
        <w:t>服务内容</w:t>
      </w:r>
      <w:r>
        <w:rPr>
          <w:rFonts w:hint="eastAsia" w:ascii="仿宋" w:hAnsi="仿宋" w:eastAsia="仿宋" w:cs="仿宋"/>
          <w:color w:val="auto"/>
          <w:szCs w:val="21"/>
          <w:highlight w:val="none"/>
        </w:rPr>
        <w:t>必须与采购人提供的一致；磋商报价中不得包含磋商文件要求以外的内容，否则，在评审时不予核减。如只有总价而无明细报价，或者只有明细报价而无总报价，将视为无效响应文件。</w:t>
      </w:r>
    </w:p>
    <w:p w14:paraId="6FAFB89C">
      <w:pPr>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4.3.6 </w:t>
      </w:r>
      <w:r>
        <w:rPr>
          <w:rFonts w:hint="eastAsia" w:ascii="仿宋" w:hAnsi="仿宋" w:eastAsia="仿宋" w:cs="仿宋"/>
          <w:b/>
          <w:color w:val="auto"/>
          <w:kern w:val="0"/>
          <w:szCs w:val="21"/>
          <w:highlight w:val="none"/>
        </w:rPr>
        <w:t>供应商除首次磋商报价外，其余轮次报价不再填报报价明细表，由供应商法定代表人签字或者</w:t>
      </w:r>
      <w:r>
        <w:rPr>
          <w:rFonts w:hint="eastAsia" w:ascii="仿宋" w:hAnsi="仿宋" w:eastAsia="仿宋" w:cs="仿宋"/>
          <w:b/>
          <w:color w:val="auto"/>
          <w:kern w:val="0"/>
          <w:szCs w:val="21"/>
          <w:highlight w:val="none"/>
          <w:lang w:eastAsia="zh-CN"/>
        </w:rPr>
        <w:t>授权代表</w:t>
      </w:r>
      <w:r>
        <w:rPr>
          <w:rFonts w:hint="eastAsia" w:ascii="仿宋" w:hAnsi="仿宋" w:eastAsia="仿宋" w:cs="仿宋"/>
          <w:b/>
          <w:color w:val="auto"/>
          <w:kern w:val="0"/>
          <w:szCs w:val="21"/>
          <w:highlight w:val="none"/>
        </w:rPr>
        <w:t>签字或者加盖单位章确认。</w:t>
      </w:r>
    </w:p>
    <w:p w14:paraId="670034BD">
      <w:pPr>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4.3.7 供应商不得以低于成本的报价参与磋商。当磋商小组认为，某供应商的报价或者部分分部分项报价存在明显不合理的低于成本的报价，有可能影响</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质量和不能诚信履约的，可要求该供应商在规定期限内，提供必要的书面文件予以解释和说明并附带相关证明材料；否则，磋商小组认定该供应商以低于成本价报价，其响应文件作无效响应文件处理。</w:t>
      </w:r>
    </w:p>
    <w:p w14:paraId="0AAECD6D">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4.4磋商有效期</w:t>
      </w:r>
    </w:p>
    <w:p w14:paraId="7027585A">
      <w:pPr>
        <w:pageBreakBefore w:val="0"/>
        <w:tabs>
          <w:tab w:val="left" w:pos="7665"/>
        </w:tabs>
        <w:kinsoku/>
        <w:wordWrap/>
        <w:overflowPunct/>
        <w:topLinePunct w:val="0"/>
        <w:bidi w:val="0"/>
        <w:spacing w:line="400" w:lineRule="exact"/>
        <w:ind w:left="13" w:leftChars="6"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4.4.1磋商有效期见供应商须知前附表。供应商响应的磋商有效期短于此规定期限的，属于非实质性响应，将按无效响应文件处理。</w:t>
      </w:r>
    </w:p>
    <w:p w14:paraId="04499052">
      <w:pPr>
        <w:pageBreakBefore w:val="0"/>
        <w:tabs>
          <w:tab w:val="left" w:pos="7665"/>
        </w:tabs>
        <w:kinsoku/>
        <w:wordWrap/>
        <w:overflowPunct/>
        <w:topLinePunct w:val="0"/>
        <w:bidi w:val="0"/>
        <w:spacing w:line="400" w:lineRule="exact"/>
        <w:ind w:left="13" w:leftChars="6"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4.4.2 出现特殊情况需要延长磋商有效期的，采购代理机构或采购人可于磋商有效期满之前，以书面形式通知所有供应商延长磋商有效期。供应商应予书面答复，同意延长的，应相应延长其磋商保证金有效期，但不得要求或被允许修改其响应文件；供应商拒绝延长的，其响应文件失效，但供应商有权收回其磋商保证金。</w:t>
      </w:r>
    </w:p>
    <w:p w14:paraId="18BDAC12">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4.4.3 在磋商有效期内，供应商撤销响应文件的，应承担磋商文件和法律规定的责任。</w:t>
      </w:r>
    </w:p>
    <w:p w14:paraId="334D23BF">
      <w:pPr>
        <w:pageBreakBefore w:val="0"/>
        <w:tabs>
          <w:tab w:val="left" w:pos="7665"/>
        </w:tabs>
        <w:kinsoku/>
        <w:wordWrap/>
        <w:overflowPunct/>
        <w:topLinePunct w:val="0"/>
        <w:bidi w:val="0"/>
        <w:spacing w:line="400" w:lineRule="exact"/>
        <w:ind w:left="13" w:leftChars="6"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4.4.4 成交供应商的磋商有效期自动延长至合同终止为止。</w:t>
      </w:r>
    </w:p>
    <w:p w14:paraId="0D625549">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0"/>
          <w:szCs w:val="30"/>
          <w:highlight w:val="none"/>
          <w:lang w:eastAsia="zh-CN"/>
        </w:rPr>
      </w:pPr>
      <w:r>
        <w:rPr>
          <w:rFonts w:hint="eastAsia" w:ascii="仿宋" w:hAnsi="仿宋" w:eastAsia="仿宋" w:cs="仿宋"/>
          <w:b/>
          <w:bCs/>
          <w:color w:val="auto"/>
          <w:sz w:val="30"/>
          <w:szCs w:val="30"/>
          <w:highlight w:val="none"/>
        </w:rPr>
        <w:t>4.5磋商保证金</w:t>
      </w:r>
      <w:r>
        <w:rPr>
          <w:rFonts w:hint="eastAsia" w:ascii="仿宋" w:hAnsi="仿宋" w:eastAsia="仿宋" w:cs="仿宋"/>
          <w:b/>
          <w:bCs/>
          <w:color w:val="auto"/>
          <w:sz w:val="30"/>
          <w:szCs w:val="30"/>
          <w:highlight w:val="none"/>
          <w:lang w:eastAsia="zh-CN"/>
        </w:rPr>
        <w:t>（</w:t>
      </w:r>
      <w:r>
        <w:rPr>
          <w:rFonts w:hint="eastAsia" w:ascii="仿宋" w:hAnsi="仿宋" w:eastAsia="仿宋" w:cs="仿宋"/>
          <w:b/>
          <w:bCs/>
          <w:color w:val="auto"/>
          <w:sz w:val="30"/>
          <w:szCs w:val="30"/>
          <w:highlight w:val="none"/>
          <w:lang w:val="en-US" w:eastAsia="zh-CN"/>
        </w:rPr>
        <w:t>本项目不适用</w:t>
      </w:r>
      <w:r>
        <w:rPr>
          <w:rFonts w:hint="eastAsia" w:ascii="仿宋" w:hAnsi="仿宋" w:eastAsia="仿宋" w:cs="仿宋"/>
          <w:b/>
          <w:bCs/>
          <w:color w:val="auto"/>
          <w:sz w:val="30"/>
          <w:szCs w:val="30"/>
          <w:highlight w:val="none"/>
          <w:lang w:eastAsia="zh-CN"/>
        </w:rPr>
        <w:t>）</w:t>
      </w:r>
    </w:p>
    <w:p w14:paraId="21ADAC0D">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4.5.1 磋商保证金是为了保护采购人和采购代理机构免遭供应商的不良行为而蒙受损失。采购人和采购代理机构在因供应商的不良行为受到损害时，可根据本磋商文件的规定不予退还其磋商保证金。</w:t>
      </w:r>
    </w:p>
    <w:p w14:paraId="37441BAE">
      <w:pPr>
        <w:pageBreakBefore w:val="0"/>
        <w:kinsoku/>
        <w:wordWrap/>
        <w:overflowPunct/>
        <w:topLinePunct w:val="0"/>
        <w:bidi w:val="0"/>
        <w:spacing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4.5.2磋商保证金的提交</w:t>
      </w:r>
    </w:p>
    <w:p w14:paraId="14135CBE">
      <w:pPr>
        <w:pageBreakBefore w:val="0"/>
        <w:kinsoku/>
        <w:wordWrap/>
        <w:overflowPunct/>
        <w:topLinePunct w:val="0"/>
        <w:bidi w:val="0"/>
        <w:spacing w:line="4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4.5.2.1 开启响应文件现场不办理磋商保证金事宜。</w:t>
      </w:r>
    </w:p>
    <w:p w14:paraId="3FAD71CD">
      <w:pPr>
        <w:pageBreakBefore w:val="0"/>
        <w:kinsoku/>
        <w:wordWrap/>
        <w:overflowPunct/>
        <w:topLinePunct w:val="0"/>
        <w:bidi w:val="0"/>
        <w:spacing w:line="400" w:lineRule="exact"/>
        <w:ind w:firstLine="621" w:firstLineChars="296"/>
        <w:rPr>
          <w:rFonts w:hint="eastAsia" w:ascii="仿宋" w:hAnsi="仿宋" w:eastAsia="仿宋" w:cs="仿宋"/>
          <w:color w:val="auto"/>
          <w:szCs w:val="21"/>
          <w:highlight w:val="none"/>
        </w:rPr>
      </w:pPr>
      <w:r>
        <w:rPr>
          <w:rFonts w:hint="eastAsia" w:ascii="仿宋" w:hAnsi="仿宋" w:eastAsia="仿宋" w:cs="仿宋"/>
          <w:color w:val="auto"/>
          <w:szCs w:val="21"/>
          <w:highlight w:val="none"/>
        </w:rPr>
        <w:t>4.5.2.2 供应商应按供应商须知前附表规定的金额、形式和时间提交，作为其响应文件的一部分。联合体磋商的，</w:t>
      </w:r>
      <w:r>
        <w:rPr>
          <w:rFonts w:hint="eastAsia" w:ascii="仿宋" w:hAnsi="仿宋" w:eastAsia="仿宋" w:cs="仿宋"/>
          <w:color w:val="auto"/>
          <w:szCs w:val="21"/>
          <w:highlight w:val="none"/>
          <w:shd w:val="clear" w:color="auto" w:fill="FFFFFF"/>
        </w:rPr>
        <w:t>应当以联合体各方或者联合体中牵头人的名义提交磋商保证金。</w:t>
      </w:r>
      <w:r>
        <w:rPr>
          <w:rFonts w:hint="eastAsia" w:ascii="仿宋" w:hAnsi="仿宋" w:eastAsia="仿宋" w:cs="仿宋"/>
          <w:color w:val="auto"/>
          <w:szCs w:val="21"/>
          <w:highlight w:val="none"/>
        </w:rPr>
        <w:t>以联合体牵头单位提交磋商保证金的，对联合体各方均具有约束力。</w:t>
      </w:r>
    </w:p>
    <w:p w14:paraId="5BD2131B">
      <w:pPr>
        <w:pageBreakBefore w:val="0"/>
        <w:kinsoku/>
        <w:wordWrap/>
        <w:overflowPunct/>
        <w:topLinePunct w:val="0"/>
        <w:bidi w:val="0"/>
        <w:spacing w:line="400" w:lineRule="exact"/>
        <w:ind w:firstLine="621" w:firstLineChars="296"/>
        <w:rPr>
          <w:rFonts w:hint="eastAsia" w:ascii="仿宋" w:hAnsi="仿宋" w:eastAsia="仿宋" w:cs="仿宋"/>
          <w:color w:val="auto"/>
          <w:szCs w:val="21"/>
          <w:highlight w:val="none"/>
        </w:rPr>
      </w:pPr>
      <w:r>
        <w:rPr>
          <w:rFonts w:hint="eastAsia" w:ascii="仿宋" w:hAnsi="仿宋" w:eastAsia="仿宋" w:cs="仿宋"/>
          <w:color w:val="auto"/>
          <w:szCs w:val="21"/>
          <w:highlight w:val="none"/>
        </w:rPr>
        <w:t>4.5.2.3 磋商保证金可以银行转账或者金融机构、担保机构出具的保函等非现金形式提交：</w:t>
      </w:r>
    </w:p>
    <w:p w14:paraId="392D97CB">
      <w:pPr>
        <w:pageBreakBefore w:val="0"/>
        <w:kinsoku/>
        <w:wordWrap/>
        <w:overflowPunct/>
        <w:topLinePunct w:val="0"/>
        <w:bidi w:val="0"/>
        <w:spacing w:line="400" w:lineRule="exact"/>
        <w:ind w:firstLine="516" w:firstLineChars="246"/>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（1）以银行转账提交保证金的，可以采取支票、电汇、网银、汇票、本票等方式，应从其基本账户转出。</w:t>
      </w:r>
    </w:p>
    <w:p w14:paraId="46F4E7DF">
      <w:pPr>
        <w:pageBreakBefore w:val="0"/>
        <w:kinsoku/>
        <w:wordWrap/>
        <w:overflowPunct/>
        <w:topLinePunct w:val="0"/>
        <w:bidi w:val="0"/>
        <w:spacing w:line="400" w:lineRule="exact"/>
        <w:ind w:firstLine="516" w:firstLineChars="246"/>
        <w:rPr>
          <w:rFonts w:hint="eastAsia" w:ascii="仿宋" w:hAnsi="仿宋" w:eastAsia="仿宋" w:cs="仿宋"/>
          <w:color w:val="auto"/>
          <w:szCs w:val="21"/>
          <w:highlight w:val="none"/>
        </w:rPr>
      </w:pPr>
      <w:r>
        <w:rPr>
          <w:rFonts w:hint="eastAsia" w:ascii="仿宋" w:hAnsi="仿宋" w:eastAsia="仿宋" w:cs="仿宋"/>
          <w:color w:val="auto"/>
          <w:szCs w:val="21"/>
          <w:highlight w:val="none"/>
        </w:rPr>
        <w:t>（2）以信用担保函形式提交保证金的，应按磋商文件规定的格式提交，且是陕西省或西安市有关部门认定的具有开具磋商保函资格的单位开具的保函。供应商违约，开具保函单位承担连带责任。</w:t>
      </w:r>
    </w:p>
    <w:p w14:paraId="762DE32B">
      <w:pPr>
        <w:pageBreakBefore w:val="0"/>
        <w:kinsoku/>
        <w:wordWrap/>
        <w:overflowPunct/>
        <w:topLinePunct w:val="0"/>
        <w:bidi w:val="0"/>
        <w:spacing w:line="400" w:lineRule="exact"/>
        <w:ind w:firstLine="516" w:firstLineChars="246"/>
        <w:rPr>
          <w:rFonts w:hint="eastAsia" w:ascii="仿宋" w:hAnsi="仿宋" w:eastAsia="仿宋" w:cs="仿宋"/>
          <w:color w:val="auto"/>
          <w:szCs w:val="21"/>
          <w:highlight w:val="none"/>
        </w:rPr>
      </w:pPr>
      <w:r>
        <w:rPr>
          <w:rFonts w:hint="eastAsia" w:ascii="仿宋" w:hAnsi="仿宋" w:eastAsia="仿宋" w:cs="仿宋"/>
          <w:color w:val="auto"/>
          <w:szCs w:val="21"/>
          <w:highlight w:val="none"/>
        </w:rPr>
        <w:t>（3）以汇票形式提交保证金的，应提前将汇票送至财务部门，汇票签发到期日至少为送至财务部门的当日，以便财务部门到银行办理兑现手续。</w:t>
      </w:r>
    </w:p>
    <w:p w14:paraId="482CF33F">
      <w:pPr>
        <w:pageBreakBefore w:val="0"/>
        <w:widowControl/>
        <w:kinsoku/>
        <w:wordWrap/>
        <w:overflowPunct/>
        <w:topLinePunct w:val="0"/>
        <w:bidi w:val="0"/>
        <w:spacing w:line="400" w:lineRule="exact"/>
        <w:ind w:firstLine="630" w:firstLineChars="300"/>
        <w:rPr>
          <w:rFonts w:hint="eastAsia" w:ascii="仿宋" w:hAnsi="仿宋" w:eastAsia="仿宋" w:cs="仿宋"/>
          <w:color w:val="auto"/>
          <w:szCs w:val="21"/>
          <w:highlight w:val="none"/>
        </w:rPr>
      </w:pPr>
      <w:bookmarkStart w:id="87" w:name="_Toc183582225"/>
      <w:bookmarkStart w:id="88" w:name="_Toc217446052"/>
      <w:bookmarkStart w:id="89" w:name="_Toc183682362"/>
      <w:r>
        <w:rPr>
          <w:rFonts w:hint="eastAsia" w:ascii="仿宋" w:hAnsi="仿宋" w:eastAsia="仿宋" w:cs="仿宋"/>
          <w:color w:val="auto"/>
          <w:szCs w:val="21"/>
          <w:highlight w:val="none"/>
        </w:rPr>
        <w:t>4.5.2.</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 xml:space="preserve"> 供应商未提供相关证明或经查实其提交账户为非基本存款账户的，采购代理机构将按该供应商未提交磋商保证金处理。</w:t>
      </w:r>
    </w:p>
    <w:p w14:paraId="2654EF6D">
      <w:pPr>
        <w:pageBreakBefore w:val="0"/>
        <w:kinsoku/>
        <w:wordWrap/>
        <w:overflowPunct/>
        <w:topLinePunct w:val="0"/>
        <w:bidi w:val="0"/>
        <w:spacing w:line="400" w:lineRule="exact"/>
        <w:ind w:firstLine="621" w:firstLineChars="296"/>
        <w:rPr>
          <w:rFonts w:hint="eastAsia" w:ascii="仿宋" w:hAnsi="仿宋" w:eastAsia="仿宋" w:cs="仿宋"/>
          <w:color w:val="auto"/>
          <w:szCs w:val="21"/>
          <w:highlight w:val="none"/>
        </w:rPr>
      </w:pPr>
      <w:r>
        <w:rPr>
          <w:rFonts w:hint="eastAsia" w:ascii="仿宋" w:hAnsi="仿宋" w:eastAsia="仿宋" w:cs="仿宋"/>
          <w:color w:val="auto"/>
          <w:szCs w:val="21"/>
          <w:highlight w:val="none"/>
        </w:rPr>
        <w:t>4.5.2.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 xml:space="preserve"> 供应商未按磋商文件要求，在规定的时间前（以银行实际到账时间为准）提交磋商保证金的响应文件将被拒绝。</w:t>
      </w:r>
    </w:p>
    <w:p w14:paraId="32DC0E50">
      <w:pPr>
        <w:pageBreakBefore w:val="0"/>
        <w:kinsoku/>
        <w:wordWrap/>
        <w:overflowPunct/>
        <w:topLinePunct w:val="0"/>
        <w:bidi w:val="0"/>
        <w:spacing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4.5.3 磋商保证金的退还</w:t>
      </w:r>
    </w:p>
    <w:p w14:paraId="5658CC8D">
      <w:pPr>
        <w:pageBreakBefore w:val="0"/>
        <w:kinsoku/>
        <w:wordWrap/>
        <w:overflowPunct/>
        <w:topLinePunct w:val="0"/>
        <w:bidi w:val="0"/>
        <w:spacing w:line="400" w:lineRule="exact"/>
        <w:ind w:firstLine="516" w:firstLineChars="246"/>
        <w:rPr>
          <w:rFonts w:hint="eastAsia" w:ascii="仿宋" w:hAnsi="仿宋" w:eastAsia="仿宋" w:cs="仿宋"/>
          <w:color w:val="auto"/>
          <w:szCs w:val="21"/>
          <w:highlight w:val="none"/>
        </w:rPr>
      </w:pPr>
      <w:r>
        <w:rPr>
          <w:rFonts w:hint="eastAsia" w:ascii="仿宋" w:hAnsi="仿宋" w:eastAsia="仿宋" w:cs="仿宋"/>
          <w:color w:val="auto"/>
          <w:szCs w:val="21"/>
          <w:highlight w:val="none"/>
        </w:rPr>
        <w:t>4.5.3.1未成交供应商的磋商保证金，将在成交通知书发出之日起5个工作日内全额退还；成交供应商的磋商保证金，在采购人与成交供应商签订合同之日起5个工作日内全额退还。</w:t>
      </w:r>
    </w:p>
    <w:p w14:paraId="28453A13">
      <w:pPr>
        <w:pageBreakBefore w:val="0"/>
        <w:kinsoku/>
        <w:wordWrap/>
        <w:overflowPunct/>
        <w:topLinePunct w:val="0"/>
        <w:bidi w:val="0"/>
        <w:spacing w:line="400" w:lineRule="exact"/>
        <w:ind w:firstLine="516" w:firstLineChars="246"/>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注：</w:t>
      </w:r>
      <w:r>
        <w:rPr>
          <w:rFonts w:hint="eastAsia" w:ascii="仿宋" w:hAnsi="仿宋" w:eastAsia="仿宋" w:cs="仿宋"/>
          <w:color w:val="auto"/>
          <w:szCs w:val="21"/>
          <w:highlight w:val="none"/>
        </w:rPr>
        <w:t>磋商保证金退还时间：星期一至星期五，9:00-16:00</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磋商保证金退还方式：银行转账</w:t>
      </w:r>
    </w:p>
    <w:p w14:paraId="1D27D1A6">
      <w:pPr>
        <w:pageBreakBefore w:val="0"/>
        <w:kinsoku/>
        <w:wordWrap/>
        <w:overflowPunct/>
        <w:topLinePunct w:val="0"/>
        <w:bidi w:val="0"/>
        <w:spacing w:line="400" w:lineRule="exact"/>
        <w:ind w:firstLine="516" w:firstLineChars="246"/>
        <w:rPr>
          <w:rFonts w:hint="eastAsia" w:ascii="仿宋" w:hAnsi="仿宋" w:eastAsia="仿宋" w:cs="仿宋"/>
          <w:color w:val="auto"/>
          <w:szCs w:val="21"/>
          <w:highlight w:val="none"/>
        </w:rPr>
      </w:pPr>
      <w:r>
        <w:rPr>
          <w:rFonts w:hint="eastAsia" w:ascii="仿宋" w:hAnsi="仿宋" w:eastAsia="仿宋" w:cs="仿宋"/>
          <w:color w:val="auto"/>
          <w:szCs w:val="21"/>
          <w:highlight w:val="none"/>
        </w:rPr>
        <w:t>4.5.3.2有下列情形之一的，磋商保证金将不予退还：</w:t>
      </w:r>
    </w:p>
    <w:p w14:paraId="7C119F15">
      <w:pPr>
        <w:pageBreakBefore w:val="0"/>
        <w:kinsoku/>
        <w:wordWrap/>
        <w:overflowPunct/>
        <w:topLinePunct w:val="0"/>
        <w:bidi w:val="0"/>
        <w:spacing w:line="400" w:lineRule="exact"/>
        <w:ind w:firstLine="516" w:firstLineChars="246"/>
        <w:rPr>
          <w:rFonts w:hint="eastAsia" w:ascii="仿宋" w:hAnsi="仿宋" w:eastAsia="仿宋" w:cs="仿宋"/>
          <w:color w:val="auto"/>
          <w:szCs w:val="21"/>
          <w:highlight w:val="none"/>
        </w:rPr>
      </w:pPr>
      <w:r>
        <w:rPr>
          <w:rFonts w:hint="eastAsia" w:ascii="仿宋" w:hAnsi="仿宋" w:eastAsia="仿宋" w:cs="仿宋"/>
          <w:color w:val="auto"/>
          <w:szCs w:val="21"/>
          <w:highlight w:val="none"/>
        </w:rPr>
        <w:t>（1）供应商在磋商有效期内撤销响应文件的；</w:t>
      </w:r>
    </w:p>
    <w:p w14:paraId="6C49B215">
      <w:pPr>
        <w:pageBreakBefore w:val="0"/>
        <w:kinsoku/>
        <w:wordWrap/>
        <w:overflowPunct/>
        <w:topLinePunct w:val="0"/>
        <w:bidi w:val="0"/>
        <w:spacing w:line="400" w:lineRule="exact"/>
        <w:ind w:firstLine="516" w:firstLineChars="246"/>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（2）供应商在响应文件中提供虚假材料的；</w:t>
      </w:r>
    </w:p>
    <w:p w14:paraId="5E218541">
      <w:pPr>
        <w:pageBreakBefore w:val="0"/>
        <w:kinsoku/>
        <w:wordWrap/>
        <w:overflowPunct/>
        <w:topLinePunct w:val="0"/>
        <w:bidi w:val="0"/>
        <w:spacing w:line="400" w:lineRule="exact"/>
        <w:ind w:firstLine="525"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（3）成交供应商，无正当理由未能按磋商文件规定时间内领取《成交通知书》的；</w:t>
      </w:r>
    </w:p>
    <w:p w14:paraId="255D5722">
      <w:pPr>
        <w:pageBreakBefore w:val="0"/>
        <w:kinsoku/>
        <w:wordWrap/>
        <w:overflowPunct/>
        <w:topLinePunct w:val="0"/>
        <w:bidi w:val="0"/>
        <w:spacing w:line="400" w:lineRule="exact"/>
        <w:ind w:firstLine="516" w:firstLineChars="246"/>
        <w:rPr>
          <w:rFonts w:hint="eastAsia" w:ascii="仿宋" w:hAnsi="仿宋" w:eastAsia="仿宋" w:cs="仿宋"/>
          <w:color w:val="auto"/>
          <w:szCs w:val="21"/>
          <w:highlight w:val="none"/>
        </w:rPr>
      </w:pPr>
      <w:r>
        <w:rPr>
          <w:rFonts w:hint="eastAsia" w:ascii="仿宋" w:hAnsi="仿宋" w:eastAsia="仿宋" w:cs="仿宋"/>
          <w:color w:val="auto"/>
          <w:szCs w:val="21"/>
          <w:highlight w:val="none"/>
        </w:rPr>
        <w:t>（4）除因不可抗力或磋商文件认可的情形以外，成交供应商不与采购人订立合同的；</w:t>
      </w:r>
    </w:p>
    <w:p w14:paraId="46125069">
      <w:pPr>
        <w:pageBreakBefore w:val="0"/>
        <w:kinsoku/>
        <w:wordWrap/>
        <w:overflowPunct/>
        <w:topLinePunct w:val="0"/>
        <w:bidi w:val="0"/>
        <w:spacing w:line="400" w:lineRule="exact"/>
        <w:ind w:firstLine="516" w:firstLineChars="246"/>
        <w:rPr>
          <w:rFonts w:hint="eastAsia" w:ascii="仿宋" w:hAnsi="仿宋" w:eastAsia="仿宋" w:cs="仿宋"/>
          <w:color w:val="auto"/>
          <w:szCs w:val="21"/>
          <w:highlight w:val="none"/>
        </w:rPr>
      </w:pPr>
      <w:r>
        <w:rPr>
          <w:rFonts w:hint="eastAsia" w:ascii="仿宋" w:hAnsi="仿宋" w:eastAsia="仿宋" w:cs="仿宋"/>
          <w:color w:val="auto"/>
          <w:szCs w:val="21"/>
          <w:highlight w:val="none"/>
        </w:rPr>
        <w:t>（5）成交供应商在签订合同时向采购人提出附加条件的；</w:t>
      </w:r>
    </w:p>
    <w:p w14:paraId="2AEF2DE6">
      <w:pPr>
        <w:pageBreakBefore w:val="0"/>
        <w:kinsoku/>
        <w:wordWrap/>
        <w:overflowPunct/>
        <w:topLinePunct w:val="0"/>
        <w:bidi w:val="0"/>
        <w:spacing w:line="400" w:lineRule="exact"/>
        <w:ind w:firstLine="525"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（6）成交供应商未向采购代理机构支付采购代理服务费的；</w:t>
      </w:r>
    </w:p>
    <w:p w14:paraId="033C9681">
      <w:pPr>
        <w:pageBreakBefore w:val="0"/>
        <w:kinsoku/>
        <w:wordWrap/>
        <w:overflowPunct/>
        <w:topLinePunct w:val="0"/>
        <w:bidi w:val="0"/>
        <w:spacing w:line="400" w:lineRule="exact"/>
        <w:ind w:firstLine="525"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（7）成交供应商未按磋商文件规定向采购人提交履约保证金的；</w:t>
      </w:r>
    </w:p>
    <w:p w14:paraId="482175DD">
      <w:pPr>
        <w:pageBreakBefore w:val="0"/>
        <w:kinsoku/>
        <w:wordWrap/>
        <w:overflowPunct/>
        <w:topLinePunct w:val="0"/>
        <w:bidi w:val="0"/>
        <w:spacing w:line="400" w:lineRule="exact"/>
        <w:ind w:firstLine="525"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（8）供应商与采购人、其他供应商或者采购代理机构恶意串通的；</w:t>
      </w:r>
    </w:p>
    <w:p w14:paraId="7B57D70A">
      <w:pPr>
        <w:pageBreakBefore w:val="0"/>
        <w:kinsoku/>
        <w:wordWrap/>
        <w:overflowPunct/>
        <w:topLinePunct w:val="0"/>
        <w:bidi w:val="0"/>
        <w:spacing w:line="400" w:lineRule="exact"/>
        <w:ind w:firstLine="525"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（9）法律法规规定的其他情况。</w:t>
      </w:r>
    </w:p>
    <w:bookmarkEnd w:id="87"/>
    <w:bookmarkEnd w:id="88"/>
    <w:bookmarkEnd w:id="89"/>
    <w:p w14:paraId="1A9CCD97">
      <w:pPr>
        <w:pageBreakBefore w:val="0"/>
        <w:tabs>
          <w:tab w:val="left" w:pos="7665"/>
        </w:tabs>
        <w:kinsoku/>
        <w:wordWrap/>
        <w:overflowPunct/>
        <w:topLinePunct w:val="0"/>
        <w:bidi w:val="0"/>
        <w:spacing w:before="120" w:beforeLines="50" w:after="120" w:afterLines="50" w:line="400" w:lineRule="exact"/>
        <w:rPr>
          <w:rFonts w:hint="eastAsia" w:ascii="仿宋" w:hAnsi="仿宋" w:eastAsia="仿宋" w:cs="仿宋"/>
          <w:b/>
          <w:bCs/>
          <w:color w:val="auto"/>
          <w:sz w:val="30"/>
          <w:szCs w:val="30"/>
          <w:highlight w:val="none"/>
        </w:rPr>
      </w:pPr>
      <w:bookmarkStart w:id="90" w:name="_Toc183682363"/>
      <w:bookmarkStart w:id="91" w:name="_Toc183582226"/>
      <w:bookmarkStart w:id="92" w:name="_Toc89075877"/>
      <w:bookmarkStart w:id="93" w:name="_Toc482201960"/>
      <w:bookmarkStart w:id="94" w:name="_Toc77400781"/>
      <w:bookmarkStart w:id="95" w:name="_Toc217446053"/>
      <w:r>
        <w:rPr>
          <w:rFonts w:hint="eastAsia" w:ascii="仿宋" w:hAnsi="仿宋" w:eastAsia="仿宋" w:cs="仿宋"/>
          <w:b/>
          <w:bCs/>
          <w:color w:val="auto"/>
          <w:sz w:val="30"/>
          <w:szCs w:val="30"/>
          <w:highlight w:val="none"/>
        </w:rPr>
        <w:t>4.6响应文件的制作和签署</w:t>
      </w:r>
    </w:p>
    <w:p w14:paraId="47B7580F">
      <w:pPr>
        <w:pageBreakBefore w:val="0"/>
        <w:tabs>
          <w:tab w:val="left" w:pos="7665"/>
        </w:tabs>
        <w:kinsoku/>
        <w:wordWrap/>
        <w:overflowPunct/>
        <w:topLinePunct w:val="0"/>
        <w:bidi w:val="0"/>
        <w:spacing w:line="400" w:lineRule="exact"/>
        <w:ind w:left="13" w:leftChars="6"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4.6.1 响应文件应根据磋商文件的要求制作。供应商应填写全称，同时加盖单位章，签署、盖章和内容应完整，如有遗漏，将被视为无效响应文件。</w:t>
      </w:r>
    </w:p>
    <w:p w14:paraId="75C2498E">
      <w:pPr>
        <w:pageBreakBefore w:val="0"/>
        <w:tabs>
          <w:tab w:val="left" w:pos="7665"/>
        </w:tabs>
        <w:kinsoku/>
        <w:wordWrap/>
        <w:overflowPunct/>
        <w:topLinePunct w:val="0"/>
        <w:bidi w:val="0"/>
        <w:spacing w:line="400" w:lineRule="exact"/>
        <w:ind w:left="13" w:leftChars="6"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4.6.2 响应文件格式。供应商应严格按照第六章提供的“响应文件格式”编写相关内容。除明确允许供应商可以自行编写外，供应商不得以“响应文件格式”规定之外的方式填写相关内容。否则，供应商提供的响应文件将作为无效响应文件处理。</w:t>
      </w:r>
    </w:p>
    <w:p w14:paraId="6DBBC26C">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4.6.3 对于没有格式要求的响应文件由供应商自行编写。</w:t>
      </w:r>
    </w:p>
    <w:p w14:paraId="39D4BB5D">
      <w:pPr>
        <w:pageBreakBefore w:val="0"/>
        <w:tabs>
          <w:tab w:val="left" w:pos="1080"/>
        </w:tabs>
        <w:kinsoku/>
        <w:wordWrap/>
        <w:overflowPunct/>
        <w:topLinePunct w:val="0"/>
        <w:bidi w:val="0"/>
        <w:spacing w:line="400" w:lineRule="exact"/>
        <w:ind w:firstLine="403" w:firstLineChars="192"/>
        <w:rPr>
          <w:rFonts w:hint="eastAsia" w:ascii="仿宋" w:hAnsi="仿宋" w:eastAsia="仿宋" w:cs="仿宋"/>
          <w:color w:val="auto"/>
          <w:szCs w:val="21"/>
          <w:highlight w:val="none"/>
        </w:rPr>
      </w:pPr>
      <w:r>
        <w:rPr>
          <w:rFonts w:hint="eastAsia" w:ascii="仿宋" w:hAnsi="仿宋" w:eastAsia="仿宋" w:cs="仿宋"/>
          <w:color w:val="auto"/>
          <w:szCs w:val="21"/>
          <w:highlight w:val="none"/>
        </w:rPr>
        <w:t>4.6.4 供应商应按“供应商须知前附表”规定的份数准备响应文件正本、副本和相应的电子文件。正本和副本封面右上角应清楚地标明“正本”或“副本”字样。当副本和正本有不一致的内容，以正本书面响应文件为准。</w:t>
      </w:r>
    </w:p>
    <w:p w14:paraId="18503456">
      <w:pPr>
        <w:pageBreakBefore w:val="0"/>
        <w:kinsoku/>
        <w:wordWrap/>
        <w:overflowPunct/>
        <w:topLinePunct w:val="0"/>
        <w:bidi w:val="0"/>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4.6.5 响应文件的正本和副本均需打印或用不褪色、不变质的墨水书写，并由供应商的法定代表人或其</w:t>
      </w:r>
      <w:r>
        <w:rPr>
          <w:rFonts w:hint="eastAsia" w:ascii="仿宋" w:hAnsi="仿宋" w:eastAsia="仿宋" w:cs="仿宋"/>
          <w:color w:val="auto"/>
          <w:szCs w:val="21"/>
          <w:highlight w:val="none"/>
          <w:lang w:eastAsia="zh-CN"/>
        </w:rPr>
        <w:t>授权代表</w:t>
      </w:r>
      <w:r>
        <w:rPr>
          <w:rFonts w:hint="eastAsia" w:ascii="仿宋" w:hAnsi="仿宋" w:eastAsia="仿宋" w:cs="仿宋"/>
          <w:color w:val="auto"/>
          <w:szCs w:val="21"/>
          <w:highlight w:val="none"/>
        </w:rPr>
        <w:t>在规定签章处签字和盖章。响应文件副本可采用正本的复印件。</w:t>
      </w:r>
    </w:p>
    <w:p w14:paraId="4CA42AA9">
      <w:pPr>
        <w:pageBreakBefore w:val="0"/>
        <w:tabs>
          <w:tab w:val="left" w:pos="1095"/>
        </w:tabs>
        <w:kinsoku/>
        <w:wordWrap/>
        <w:overflowPunct/>
        <w:topLinePunct w:val="0"/>
        <w:bidi w:val="0"/>
        <w:spacing w:line="400" w:lineRule="exact"/>
        <w:ind w:firstLine="403" w:firstLineChars="192"/>
        <w:rPr>
          <w:rFonts w:hint="eastAsia" w:ascii="仿宋" w:hAnsi="仿宋" w:eastAsia="仿宋" w:cs="仿宋"/>
          <w:color w:val="auto"/>
          <w:szCs w:val="21"/>
          <w:highlight w:val="none"/>
        </w:rPr>
      </w:pPr>
      <w:r>
        <w:rPr>
          <w:rFonts w:hint="eastAsia" w:ascii="仿宋" w:hAnsi="仿宋" w:eastAsia="仿宋" w:cs="仿宋"/>
          <w:color w:val="auto"/>
          <w:szCs w:val="21"/>
          <w:highlight w:val="none"/>
        </w:rPr>
        <w:t>4.6.6 响应文件的打印或书写应清楚工整，尽量避免行间插字、涂改或增删。如出现上述情况，改动之处应由供应商的法定代表人或其</w:t>
      </w:r>
      <w:r>
        <w:rPr>
          <w:rFonts w:hint="eastAsia" w:ascii="仿宋" w:hAnsi="仿宋" w:eastAsia="仿宋" w:cs="仿宋"/>
          <w:color w:val="auto"/>
          <w:szCs w:val="21"/>
          <w:highlight w:val="none"/>
          <w:lang w:eastAsia="zh-CN"/>
        </w:rPr>
        <w:t>授权代表</w:t>
      </w:r>
      <w:r>
        <w:rPr>
          <w:rFonts w:hint="eastAsia" w:ascii="仿宋" w:hAnsi="仿宋" w:eastAsia="仿宋" w:cs="仿宋"/>
          <w:color w:val="auto"/>
          <w:szCs w:val="21"/>
          <w:highlight w:val="none"/>
        </w:rPr>
        <w:t>签字或盖单位章。字迹潦草、表达不清或可能导致非唯一理解的响应文件可能视为无效响应文件。</w:t>
      </w:r>
    </w:p>
    <w:p w14:paraId="15985B1A">
      <w:pPr>
        <w:pageBreakBefore w:val="0"/>
        <w:tabs>
          <w:tab w:val="left" w:pos="1080"/>
        </w:tabs>
        <w:kinsoku/>
        <w:wordWrap/>
        <w:overflowPunct/>
        <w:topLinePunct w:val="0"/>
        <w:bidi w:val="0"/>
        <w:spacing w:line="400" w:lineRule="exact"/>
        <w:ind w:firstLine="403" w:firstLineChars="192"/>
        <w:rPr>
          <w:rFonts w:hint="eastAsia" w:ascii="仿宋" w:hAnsi="仿宋" w:eastAsia="仿宋" w:cs="仿宋"/>
          <w:color w:val="auto"/>
          <w:szCs w:val="21"/>
          <w:highlight w:val="none"/>
        </w:rPr>
      </w:pPr>
      <w:r>
        <w:rPr>
          <w:rFonts w:hint="eastAsia" w:ascii="仿宋" w:hAnsi="仿宋" w:eastAsia="仿宋" w:cs="仿宋"/>
          <w:color w:val="auto"/>
          <w:szCs w:val="21"/>
          <w:highlight w:val="none"/>
        </w:rPr>
        <w:t>4.6.7 响应文件的正本和副本</w:t>
      </w:r>
      <w:r>
        <w:rPr>
          <w:rFonts w:hint="eastAsia" w:ascii="仿宋" w:hAnsi="仿宋" w:eastAsia="仿宋" w:cs="仿宋"/>
          <w:color w:val="auto"/>
          <w:szCs w:val="21"/>
          <w:highlight w:val="none"/>
          <w:lang w:val="zh-CN"/>
        </w:rPr>
        <w:t>一律采用A4纸幅面，并</w:t>
      </w:r>
      <w:r>
        <w:rPr>
          <w:rFonts w:hint="eastAsia" w:ascii="仿宋" w:hAnsi="仿宋" w:eastAsia="仿宋" w:cs="仿宋"/>
          <w:color w:val="auto"/>
          <w:szCs w:val="21"/>
          <w:highlight w:val="none"/>
        </w:rPr>
        <w:t>分别装订和编制目录。响应文件需分册装订的，具体分册装订要求见</w:t>
      </w:r>
      <w:r>
        <w:rPr>
          <w:rFonts w:hint="eastAsia" w:ascii="仿宋" w:hAnsi="仿宋" w:eastAsia="仿宋" w:cs="仿宋"/>
          <w:color w:val="auto"/>
          <w:szCs w:val="21"/>
          <w:highlight w:val="none"/>
          <w:lang w:val="zh-CN"/>
        </w:rPr>
        <w:t>供应商须知前附表的规定。响应文件</w:t>
      </w:r>
      <w:r>
        <w:rPr>
          <w:rFonts w:hint="eastAsia" w:ascii="仿宋" w:hAnsi="仿宋" w:eastAsia="仿宋" w:cs="仿宋"/>
          <w:color w:val="auto"/>
          <w:szCs w:val="21"/>
          <w:highlight w:val="none"/>
        </w:rPr>
        <w:t>胶装后，页面不可抽取，不得有活动页，无破损、不可拆分。</w:t>
      </w:r>
    </w:p>
    <w:p w14:paraId="65FCC739">
      <w:pPr>
        <w:pageBreakBefore w:val="0"/>
        <w:kinsoku/>
        <w:wordWrap/>
        <w:overflowPunct/>
        <w:topLinePunct w:val="0"/>
        <w:bidi w:val="0"/>
        <w:spacing w:line="400" w:lineRule="exact"/>
        <w:ind w:firstLine="420" w:firstLineChars="200"/>
        <w:jc w:val="left"/>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4.6.8 电子文件制作要求。电子文件与纸质正本响应文件的内容应保持一致，具有同等法律效力。电子文件采用PDF格式。</w:t>
      </w:r>
    </w:p>
    <w:bookmarkEnd w:id="90"/>
    <w:bookmarkEnd w:id="91"/>
    <w:bookmarkEnd w:id="92"/>
    <w:bookmarkEnd w:id="93"/>
    <w:bookmarkEnd w:id="94"/>
    <w:bookmarkEnd w:id="95"/>
    <w:p w14:paraId="7A7C4D8D">
      <w:pPr>
        <w:pageBreakBefore w:val="0"/>
        <w:tabs>
          <w:tab w:val="left" w:pos="1080"/>
        </w:tabs>
        <w:kinsoku/>
        <w:wordWrap/>
        <w:overflowPunct/>
        <w:topLinePunct w:val="0"/>
        <w:bidi w:val="0"/>
        <w:spacing w:before="120" w:beforeLines="50" w:after="120" w:afterLines="50" w:line="400" w:lineRule="exact"/>
        <w:outlineLvl w:val="1"/>
        <w:rPr>
          <w:rFonts w:hint="eastAsia" w:ascii="仿宋" w:hAnsi="仿宋" w:eastAsia="仿宋" w:cs="仿宋"/>
          <w:color w:val="auto"/>
          <w:sz w:val="36"/>
          <w:szCs w:val="36"/>
          <w:highlight w:val="none"/>
        </w:rPr>
      </w:pPr>
      <w:bookmarkStart w:id="96" w:name="_Toc17787"/>
      <w:bookmarkStart w:id="97" w:name="_Toc21851"/>
      <w:bookmarkStart w:id="98" w:name="_Toc12913"/>
      <w:bookmarkStart w:id="99" w:name="_Toc13183"/>
      <w:bookmarkStart w:id="100" w:name="_Toc1407_WPSOffice_Level2"/>
      <w:bookmarkStart w:id="101" w:name="_Toc4052"/>
      <w:bookmarkStart w:id="102" w:name="_Toc911"/>
      <w:r>
        <w:rPr>
          <w:rFonts w:hint="eastAsia" w:ascii="仿宋" w:hAnsi="仿宋" w:eastAsia="仿宋" w:cs="仿宋"/>
          <w:color w:val="auto"/>
          <w:sz w:val="36"/>
          <w:szCs w:val="36"/>
          <w:highlight w:val="none"/>
        </w:rPr>
        <w:t>5.响应文件的提交</w:t>
      </w:r>
      <w:bookmarkEnd w:id="96"/>
      <w:bookmarkEnd w:id="97"/>
      <w:bookmarkEnd w:id="98"/>
      <w:bookmarkEnd w:id="99"/>
      <w:bookmarkEnd w:id="100"/>
      <w:bookmarkEnd w:id="101"/>
      <w:bookmarkEnd w:id="102"/>
    </w:p>
    <w:p w14:paraId="78C529F5">
      <w:pPr>
        <w:pageBreakBefore w:val="0"/>
        <w:tabs>
          <w:tab w:val="left" w:pos="1080"/>
        </w:tabs>
        <w:kinsoku/>
        <w:wordWrap/>
        <w:overflowPunct/>
        <w:topLinePunct w:val="0"/>
        <w:bidi w:val="0"/>
        <w:spacing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5.1响应文件内容要求</w:t>
      </w:r>
    </w:p>
    <w:p w14:paraId="6121C896">
      <w:pPr>
        <w:pageBreakBefore w:val="0"/>
        <w:tabs>
          <w:tab w:val="left" w:pos="1080"/>
        </w:tabs>
        <w:kinsoku/>
        <w:wordWrap/>
        <w:overflowPunct/>
        <w:topLinePunct w:val="0"/>
        <w:bidi w:val="0"/>
        <w:spacing w:line="400" w:lineRule="exact"/>
        <w:ind w:firstLine="403" w:firstLineChars="192"/>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应仔细阅读磋商文件中的所有事项、格式、条款和要求，对磋商文件的全部内容及要求作出实质性响应，提交相应资料。若分包，应以包为单位提交，不得在其中选项提交或将其中内容再行分解；否则，响应文件将视为无效响应文件。</w:t>
      </w:r>
    </w:p>
    <w:p w14:paraId="1F72A9B6">
      <w:pPr>
        <w:pageBreakBefore w:val="0"/>
        <w:tabs>
          <w:tab w:val="left" w:pos="1080"/>
        </w:tabs>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5.2响应文件的密封和标记</w:t>
      </w:r>
    </w:p>
    <w:p w14:paraId="4F98C3B9">
      <w:pPr>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5.2.1 </w:t>
      </w:r>
      <w:r>
        <w:rPr>
          <w:rFonts w:hint="eastAsia" w:ascii="仿宋" w:hAnsi="仿宋" w:eastAsia="仿宋" w:cs="仿宋"/>
          <w:color w:val="auto"/>
          <w:kern w:val="0"/>
          <w:szCs w:val="21"/>
          <w:highlight w:val="none"/>
        </w:rPr>
        <w:t>开启响应文件前，供应商应将响应文件所有正本、副本、电子文件全部密封。</w:t>
      </w:r>
    </w:p>
    <w:p w14:paraId="3153F3D6">
      <w:pPr>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5.2.2 </w:t>
      </w:r>
      <w:r>
        <w:rPr>
          <w:rFonts w:hint="eastAsia" w:ascii="仿宋" w:hAnsi="仿宋" w:eastAsia="仿宋" w:cs="仿宋"/>
          <w:color w:val="auto"/>
          <w:szCs w:val="21"/>
          <w:highlight w:val="none"/>
        </w:rPr>
        <w:t>响应文件装订、密封、装袋要求见供应商须知前附表，密封以不泄露供应商商业机密、资格内容、技术及商务内容为标准。</w:t>
      </w:r>
    </w:p>
    <w:p w14:paraId="3F3B9D61">
      <w:pPr>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5.2.3 响应文件封套上应写明的内容见供应商须知前附表。</w:t>
      </w:r>
    </w:p>
    <w:p w14:paraId="2B0BEE90">
      <w:pPr>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5.2.4 未按要求密封的响应文件，采购代理机构将予以拒收。</w:t>
      </w:r>
    </w:p>
    <w:p w14:paraId="3C0115E6">
      <w:pPr>
        <w:pageBreakBefore w:val="0"/>
        <w:tabs>
          <w:tab w:val="left" w:pos="1080"/>
        </w:tabs>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bCs/>
          <w:color w:val="auto"/>
          <w:sz w:val="30"/>
          <w:szCs w:val="30"/>
          <w:highlight w:val="none"/>
        </w:rPr>
        <w:t>5.3响应文件的提交</w:t>
      </w:r>
    </w:p>
    <w:p w14:paraId="0250143B">
      <w:pPr>
        <w:pageBreakBefore w:val="0"/>
        <w:tabs>
          <w:tab w:val="left" w:pos="1095"/>
        </w:tabs>
        <w:kinsoku/>
        <w:wordWrap/>
        <w:overflowPunct/>
        <w:topLinePunct w:val="0"/>
        <w:bidi w:val="0"/>
        <w:spacing w:line="400" w:lineRule="exact"/>
        <w:ind w:firstLine="403" w:firstLineChars="192"/>
        <w:rPr>
          <w:rFonts w:hint="eastAsia" w:ascii="仿宋" w:hAnsi="仿宋" w:eastAsia="仿宋" w:cs="仿宋"/>
          <w:color w:val="auto"/>
          <w:szCs w:val="21"/>
          <w:highlight w:val="none"/>
        </w:rPr>
      </w:pPr>
      <w:r>
        <w:rPr>
          <w:rFonts w:hint="eastAsia" w:ascii="仿宋" w:hAnsi="仿宋" w:eastAsia="仿宋" w:cs="仿宋"/>
          <w:color w:val="auto"/>
          <w:szCs w:val="21"/>
          <w:highlight w:val="none"/>
        </w:rPr>
        <w:t>5.3.1 供应商应在供应商须知前附表规定的提交响应文件截止时间前提交响应文件。</w:t>
      </w:r>
    </w:p>
    <w:p w14:paraId="0F328A38">
      <w:pPr>
        <w:pageBreakBefore w:val="0"/>
        <w:tabs>
          <w:tab w:val="left" w:pos="1095"/>
        </w:tabs>
        <w:kinsoku/>
        <w:wordWrap/>
        <w:overflowPunct/>
        <w:topLinePunct w:val="0"/>
        <w:bidi w:val="0"/>
        <w:spacing w:line="400" w:lineRule="exact"/>
        <w:ind w:firstLine="403" w:firstLineChars="192"/>
        <w:rPr>
          <w:rFonts w:hint="eastAsia" w:ascii="仿宋" w:hAnsi="仿宋" w:eastAsia="仿宋" w:cs="仿宋"/>
          <w:color w:val="auto"/>
          <w:szCs w:val="21"/>
          <w:highlight w:val="none"/>
        </w:rPr>
      </w:pPr>
      <w:r>
        <w:rPr>
          <w:rFonts w:hint="eastAsia" w:ascii="仿宋" w:hAnsi="仿宋" w:eastAsia="仿宋" w:cs="仿宋"/>
          <w:color w:val="auto"/>
          <w:szCs w:val="21"/>
          <w:highlight w:val="none"/>
        </w:rPr>
        <w:t>5.3.2 供应商提交响应文件地点：见供应商须知前附表。</w:t>
      </w:r>
    </w:p>
    <w:p w14:paraId="2E3F5B67">
      <w:pPr>
        <w:pageBreakBefore w:val="0"/>
        <w:tabs>
          <w:tab w:val="left" w:pos="1095"/>
        </w:tabs>
        <w:kinsoku/>
        <w:wordWrap/>
        <w:overflowPunct/>
        <w:topLinePunct w:val="0"/>
        <w:bidi w:val="0"/>
        <w:spacing w:line="400" w:lineRule="exact"/>
        <w:ind w:firstLine="403" w:firstLineChars="192"/>
        <w:rPr>
          <w:rFonts w:hint="eastAsia" w:ascii="仿宋" w:hAnsi="仿宋" w:eastAsia="仿宋" w:cs="仿宋"/>
          <w:color w:val="auto"/>
          <w:szCs w:val="21"/>
          <w:highlight w:val="none"/>
        </w:rPr>
      </w:pPr>
      <w:r>
        <w:rPr>
          <w:rFonts w:hint="eastAsia" w:ascii="仿宋" w:hAnsi="仿宋" w:eastAsia="仿宋" w:cs="仿宋"/>
          <w:color w:val="auto"/>
          <w:szCs w:val="21"/>
          <w:highlight w:val="none"/>
        </w:rPr>
        <w:t>5.3.3 除供应商须知前附表另有规定外，供应商提交的响应文件不予退还。</w:t>
      </w:r>
    </w:p>
    <w:p w14:paraId="08A13302">
      <w:pPr>
        <w:pStyle w:val="5"/>
        <w:pageBreakBefore w:val="0"/>
        <w:kinsoku/>
        <w:wordWrap/>
        <w:overflowPunct/>
        <w:topLinePunct w:val="0"/>
        <w:bidi w:val="0"/>
        <w:spacing w:line="400" w:lineRule="exact"/>
        <w:ind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5.3.4采购代理机构收到响应文件后，应当如实记载响应文件的送达时间、份数、密封情况和提交人等信息。</w:t>
      </w:r>
    </w:p>
    <w:p w14:paraId="43CB4933">
      <w:pPr>
        <w:pageBreakBefore w:val="0"/>
        <w:tabs>
          <w:tab w:val="left" w:pos="851"/>
          <w:tab w:val="left" w:pos="1095"/>
        </w:tabs>
        <w:kinsoku/>
        <w:wordWrap/>
        <w:overflowPunct/>
        <w:topLinePunct w:val="0"/>
        <w:bidi w:val="0"/>
        <w:spacing w:line="400" w:lineRule="exact"/>
        <w:ind w:firstLine="403" w:firstLineChars="192"/>
        <w:rPr>
          <w:rFonts w:hint="eastAsia" w:ascii="仿宋" w:hAnsi="仿宋" w:eastAsia="仿宋" w:cs="仿宋"/>
          <w:color w:val="auto"/>
          <w:szCs w:val="21"/>
          <w:highlight w:val="none"/>
        </w:rPr>
      </w:pPr>
      <w:r>
        <w:rPr>
          <w:rFonts w:hint="eastAsia" w:ascii="仿宋" w:hAnsi="仿宋" w:eastAsia="仿宋" w:cs="仿宋"/>
          <w:color w:val="auto"/>
          <w:szCs w:val="21"/>
          <w:highlight w:val="none"/>
        </w:rPr>
        <w:t>5.3.5 逾期送达的响应文件，采购代理机构将予以拒收。</w:t>
      </w:r>
    </w:p>
    <w:p w14:paraId="00947A6C">
      <w:pPr>
        <w:pStyle w:val="5"/>
        <w:pageBreakBefore w:val="0"/>
        <w:kinsoku/>
        <w:wordWrap/>
        <w:overflowPunct/>
        <w:topLinePunct w:val="0"/>
        <w:bidi w:val="0"/>
        <w:spacing w:line="400" w:lineRule="exact"/>
        <w:ind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5.3.6 本次磋商不接受邮寄的响应文件。</w:t>
      </w:r>
    </w:p>
    <w:p w14:paraId="2BE6AD7D">
      <w:pPr>
        <w:pageBreakBefore w:val="0"/>
        <w:tabs>
          <w:tab w:val="left" w:pos="1080"/>
        </w:tabs>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5.4响应文件的修改和撤回</w:t>
      </w:r>
    </w:p>
    <w:p w14:paraId="2F0C10AD">
      <w:pPr>
        <w:pageBreakBefore w:val="0"/>
        <w:kinsoku/>
        <w:wordWrap/>
        <w:overflowPunct/>
        <w:topLinePunct w:val="0"/>
        <w:bidi w:val="0"/>
        <w:spacing w:line="4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5.4.1 在本章第5.3.1项规定的提交响应文件截止时间前，供应商可以补充、修改或者撤回已提交的响应文件，但应以书面形式通知采购代理机构。</w:t>
      </w:r>
    </w:p>
    <w:p w14:paraId="53BD814C">
      <w:pPr>
        <w:pageBreakBefore w:val="0"/>
        <w:kinsoku/>
        <w:wordWrap/>
        <w:overflowPunct/>
        <w:topLinePunct w:val="0"/>
        <w:bidi w:val="0"/>
        <w:spacing w:line="4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5.4.2 供应商的补充、修改或者撤回通知书，应由其法定代表人或</w:t>
      </w:r>
      <w:r>
        <w:rPr>
          <w:rFonts w:hint="eastAsia" w:ascii="仿宋" w:hAnsi="仿宋" w:eastAsia="仿宋" w:cs="仿宋"/>
          <w:color w:val="auto"/>
          <w:szCs w:val="21"/>
          <w:highlight w:val="none"/>
          <w:lang w:eastAsia="zh-CN"/>
        </w:rPr>
        <w:t>授权代表</w:t>
      </w:r>
      <w:r>
        <w:rPr>
          <w:rFonts w:hint="eastAsia" w:ascii="仿宋" w:hAnsi="仿宋" w:eastAsia="仿宋" w:cs="仿宋"/>
          <w:color w:val="auto"/>
          <w:szCs w:val="21"/>
          <w:highlight w:val="none"/>
        </w:rPr>
        <w:t>签署并盖单位章。补充、修改或者撤回通知书应按本章第5.2.2项规定进行密封，并在密封袋上标注“响应文件补充、修改”或“响应文件撤回通知”字样，“补充、修改文件”作为响应文件的组成部分。补充、修改内容与响应文件不一致的，以补充、修改的内容为准。</w:t>
      </w:r>
    </w:p>
    <w:p w14:paraId="0622C3F7">
      <w:pPr>
        <w:pageBreakBefore w:val="0"/>
        <w:kinsoku/>
        <w:wordWrap/>
        <w:overflowPunct/>
        <w:topLinePunct w:val="0"/>
        <w:bidi w:val="0"/>
        <w:spacing w:line="4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5.4.3 供应商撤回响应文件的，采购代理机构自收到供应商书面撤回通知之日起5个工作日内退还已收取的磋商保证金。</w:t>
      </w:r>
    </w:p>
    <w:p w14:paraId="31A27139">
      <w:pPr>
        <w:pageBreakBefore w:val="0"/>
        <w:kinsoku/>
        <w:wordWrap/>
        <w:overflowPunct/>
        <w:topLinePunct w:val="0"/>
        <w:bidi w:val="0"/>
        <w:spacing w:line="4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5.4.4 在提交响应文件截止时间之后，供应商不得对其提交的响应文件做任何补充、修改或者撤销响应文件。</w:t>
      </w:r>
    </w:p>
    <w:p w14:paraId="4968056D">
      <w:pPr>
        <w:pStyle w:val="5"/>
        <w:pageBreakBefore w:val="0"/>
        <w:kinsoku/>
        <w:wordWrap/>
        <w:overflowPunct/>
        <w:topLinePunct w:val="0"/>
        <w:bidi w:val="0"/>
        <w:spacing w:before="120" w:beforeLines="50" w:after="120" w:afterLines="50" w:line="400" w:lineRule="exact"/>
        <w:ind w:firstLine="0"/>
        <w:outlineLvl w:val="1"/>
        <w:rPr>
          <w:rFonts w:hint="eastAsia" w:ascii="仿宋" w:hAnsi="仿宋" w:eastAsia="仿宋" w:cs="仿宋"/>
          <w:bCs/>
          <w:color w:val="auto"/>
          <w:sz w:val="36"/>
          <w:szCs w:val="36"/>
          <w:highlight w:val="none"/>
        </w:rPr>
      </w:pPr>
      <w:bookmarkStart w:id="103" w:name="_Toc10891"/>
      <w:bookmarkStart w:id="104" w:name="_Toc24646"/>
      <w:bookmarkStart w:id="105" w:name="_Toc17756"/>
      <w:bookmarkStart w:id="106" w:name="_Toc32263"/>
      <w:bookmarkStart w:id="107" w:name="_Toc14476"/>
      <w:bookmarkStart w:id="108" w:name="_Toc12136"/>
      <w:bookmarkStart w:id="109" w:name="_Toc23249_WPSOffice_Level2"/>
      <w:r>
        <w:rPr>
          <w:rFonts w:hint="eastAsia" w:ascii="仿宋" w:hAnsi="仿宋" w:eastAsia="仿宋" w:cs="仿宋"/>
          <w:bCs/>
          <w:color w:val="auto"/>
          <w:sz w:val="36"/>
          <w:szCs w:val="36"/>
          <w:highlight w:val="none"/>
        </w:rPr>
        <w:t>6.开启响应文件</w:t>
      </w:r>
      <w:bookmarkEnd w:id="103"/>
      <w:bookmarkEnd w:id="104"/>
      <w:bookmarkEnd w:id="105"/>
      <w:bookmarkEnd w:id="106"/>
      <w:bookmarkEnd w:id="107"/>
      <w:bookmarkEnd w:id="108"/>
      <w:bookmarkEnd w:id="109"/>
    </w:p>
    <w:p w14:paraId="339B7C87">
      <w:pPr>
        <w:pageBreakBefore w:val="0"/>
        <w:kinsoku/>
        <w:wordWrap/>
        <w:overflowPunct/>
        <w:topLinePunct w:val="0"/>
        <w:bidi w:val="0"/>
        <w:spacing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6.1开启响应文件的时间和地点</w:t>
      </w:r>
    </w:p>
    <w:p w14:paraId="425EE2ED">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6.1.1 采购代理机构在供应商须知前附表中规定的开启响应文件时间和地点开启响应文件，并邀请采购人、所有获取磋商文件的供应商派代表准时参加并签到以证明其出席。</w:t>
      </w:r>
    </w:p>
    <w:p w14:paraId="09D5CCD2">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6.1.2 采购代理机构将邀请有关监督管理机构对开启响应文件现场进行监督。</w:t>
      </w:r>
    </w:p>
    <w:p w14:paraId="08106026">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6.1.3 提交响应文件的供应商不足3家的，不得开启响应文件。</w:t>
      </w:r>
    </w:p>
    <w:p w14:paraId="243B45ED">
      <w:pPr>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6.2开启响应文件程序</w:t>
      </w:r>
    </w:p>
    <w:p w14:paraId="2F24E7ED">
      <w:pPr>
        <w:pStyle w:val="35"/>
        <w:pageBreakBefore w:val="0"/>
        <w:kinsoku/>
        <w:wordWrap/>
        <w:overflowPunct/>
        <w:topLinePunct w:val="0"/>
        <w:bidi w:val="0"/>
        <w:spacing w:line="400" w:lineRule="exact"/>
        <w:ind w:firstLine="420"/>
        <w:rPr>
          <w:rFonts w:hint="eastAsia" w:ascii="仿宋" w:hAnsi="仿宋" w:eastAsia="仿宋" w:cs="仿宋"/>
          <w:color w:val="auto"/>
          <w:sz w:val="21"/>
          <w:szCs w:val="21"/>
          <w:highlight w:val="none"/>
        </w:rPr>
      </w:pPr>
      <w:bookmarkStart w:id="110" w:name="_Toc31891_WPSOffice_Level2"/>
      <w:bookmarkStart w:id="111" w:name="_Toc24033"/>
      <w:bookmarkStart w:id="112" w:name="_Toc16495"/>
      <w:bookmarkStart w:id="113" w:name="_Toc4607"/>
      <w:bookmarkStart w:id="114" w:name="_Toc11229"/>
      <w:bookmarkStart w:id="115" w:name="_Toc13909"/>
      <w:bookmarkStart w:id="116" w:name="_Toc29076"/>
      <w:bookmarkStart w:id="117" w:name="_Toc183582240"/>
      <w:bookmarkStart w:id="118" w:name="_Toc482201962"/>
      <w:bookmarkStart w:id="119" w:name="_Toc217446064"/>
      <w:bookmarkStart w:id="120" w:name="_Toc183682377"/>
      <w:r>
        <w:rPr>
          <w:rFonts w:hint="eastAsia" w:ascii="仿宋" w:hAnsi="仿宋" w:eastAsia="仿宋" w:cs="仿宋"/>
          <w:color w:val="auto"/>
          <w:sz w:val="21"/>
          <w:szCs w:val="21"/>
          <w:highlight w:val="none"/>
        </w:rPr>
        <w:t>6.2.1 根据财政部《政府采购竞争性磋商采购方式管理暂行办法》（财库[2014]214号）第四条和《关于政府采购有关问题的通知》（陕财办采资[2016]53号）文件第六条规定，开启响应文件和每轮磋商结束时均不公开报价。</w:t>
      </w:r>
    </w:p>
    <w:p w14:paraId="7D2E0B8A">
      <w:pPr>
        <w:pStyle w:val="35"/>
        <w:pageBreakBefore w:val="0"/>
        <w:kinsoku/>
        <w:wordWrap/>
        <w:overflowPunct/>
        <w:topLinePunct w:val="0"/>
        <w:bidi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6.2.2开启响应文件由采购代理机构主持。主持人按照磋商文件规定的开启响应文件时间宣布开启响应文件开始，并按下列程序进行（但不限于）：</w:t>
      </w:r>
    </w:p>
    <w:p w14:paraId="6A97CAC0">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（1）宣布开启响应文件开始和开启录音录像设备并致辞；</w:t>
      </w:r>
    </w:p>
    <w:p w14:paraId="63693411">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（2）宣布开启响应文件纪律和有关注意事项；</w:t>
      </w:r>
    </w:p>
    <w:p w14:paraId="60F6331F">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（3）公布在提交响应文件截止时间前提交响应文件的供应商名称（根据供应商签到表）；</w:t>
      </w:r>
    </w:p>
    <w:p w14:paraId="00D24F31">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（4）宣布参加开启响应文件的现场监督人员和主持人、</w:t>
      </w:r>
      <w:r>
        <w:rPr>
          <w:rFonts w:hint="eastAsia" w:ascii="仿宋" w:hAnsi="仿宋" w:eastAsia="仿宋" w:cs="仿宋"/>
          <w:color w:val="auto"/>
          <w:szCs w:val="21"/>
          <w:highlight w:val="none"/>
          <w:lang w:val="en-US" w:eastAsia="zh-CN"/>
        </w:rPr>
        <w:t>开标人</w:t>
      </w:r>
      <w:r>
        <w:rPr>
          <w:rFonts w:hint="eastAsia" w:ascii="仿宋" w:hAnsi="仿宋" w:eastAsia="仿宋" w:cs="仿宋"/>
          <w:color w:val="auto"/>
          <w:szCs w:val="21"/>
          <w:highlight w:val="none"/>
        </w:rPr>
        <w:t>等有关工作人员姓名；</w:t>
      </w:r>
    </w:p>
    <w:p w14:paraId="1ACB86EB">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（5）检查并宣布响应文件的密封情况； </w:t>
      </w:r>
    </w:p>
    <w:p w14:paraId="1774631D">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（6）启封响应文件；</w:t>
      </w:r>
    </w:p>
    <w:p w14:paraId="433A6162">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（7）启封响应文件结束，供应商退场；</w:t>
      </w:r>
    </w:p>
    <w:p w14:paraId="261E4057">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）开启响应文件结束。</w:t>
      </w:r>
    </w:p>
    <w:p w14:paraId="34A16F0B">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6.2.3 所有提交了响应文件的供应商在退场后，不要远离会场并保持通讯设备的畅通，以方便后续磋商和在评审过程中磋商小组要求供应商对响应文件的必要澄清。</w:t>
      </w:r>
    </w:p>
    <w:p w14:paraId="759584A1">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6.2.4 检查响应文件密封情况是指，由供应商或者其推选的代表检查其自己提交的响应文件的密封情况，经检查无误后，签字确认。</w:t>
      </w:r>
    </w:p>
    <w:p w14:paraId="3EE2F5BA">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6.2.5 供应商或者其推选的代表确认响应文件情况，仅限于确认其自己提交的响应文件的密封情况，不代表对其他供应商的响应文件的密封情况确认。供应商或者其推选的代表检对其他供应商的响应文件密封情况有异议的，可以当场反映开启响应文件主持人或者现场监督人员，要求开启响应文件现场记录人员予以记录，但不得干扰、阻挠开启响应文件工作的正常进行。</w:t>
      </w:r>
    </w:p>
    <w:p w14:paraId="717562B6">
      <w:pPr>
        <w:pageBreakBefore w:val="0"/>
        <w:kinsoku/>
        <w:wordWrap/>
        <w:overflowPunct/>
        <w:topLinePunct w:val="0"/>
        <w:bidi w:val="0"/>
        <w:spacing w:line="400" w:lineRule="exact"/>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6.2.6 供应商认为采购人、采购代理机构相关工作人员有需要回避情形的，应当场提出询问或者回避申请。采购人、采购代理机构对供应商提出的询问或者回避申请应当及时处理，并制作记录。</w:t>
      </w:r>
    </w:p>
    <w:p w14:paraId="77C60BFB">
      <w:pPr>
        <w:pStyle w:val="5"/>
        <w:pageBreakBefore w:val="0"/>
        <w:kinsoku/>
        <w:wordWrap/>
        <w:overflowPunct/>
        <w:topLinePunct w:val="0"/>
        <w:bidi w:val="0"/>
        <w:spacing w:before="120" w:beforeLines="50" w:after="120" w:afterLines="50" w:line="400" w:lineRule="exact"/>
        <w:ind w:firstLine="0"/>
        <w:outlineLvl w:val="1"/>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7.磋商</w:t>
      </w:r>
      <w:bookmarkEnd w:id="110"/>
      <w:bookmarkEnd w:id="111"/>
      <w:bookmarkEnd w:id="112"/>
      <w:bookmarkEnd w:id="113"/>
      <w:bookmarkEnd w:id="114"/>
      <w:bookmarkEnd w:id="115"/>
      <w:bookmarkEnd w:id="116"/>
    </w:p>
    <w:p w14:paraId="055EB389">
      <w:pPr>
        <w:pageBreakBefore w:val="0"/>
        <w:kinsoku/>
        <w:wordWrap/>
        <w:overflowPunct/>
        <w:topLinePunct w:val="0"/>
        <w:bidi w:val="0"/>
        <w:spacing w:before="120" w:beforeLines="50" w:after="120" w:afterLines="50" w:line="400" w:lineRule="exact"/>
        <w:ind w:left="120" w:leftChars="50" w:hanging="15" w:hangingChars="5"/>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7.1磋商小组</w:t>
      </w:r>
    </w:p>
    <w:p w14:paraId="2D08D7E3">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7.1.1 磋商由采购代理机构依法组建的磋商小组负责。磋商小组由采购人代表和评审专家组成，成员由3人以上单数组成，或者达到公开招标限额标准的项目由5人以上单数组成，或者采购预算金额在1000万元以上、技术复杂的项目或者社会影响较大的项目由7人以上单数组成，其中评审专家不得少于成员总数的三分之二。采购人代表不得以评审专家身份参加本单位或者本部门采购项目的评审。</w:t>
      </w:r>
    </w:p>
    <w:p w14:paraId="03778E60">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7.1.2 评审专家应当从省级财政部门设立的政府采购评审专家库内相关专业的专家名单中随机抽取。对技术复杂、专业性强的采购项目，通过随机方式难以确定合适评审专家的，经主管预算单位同意，采购人或采购代理机构可以自行选定相应专业领域的评审专家。技术复杂、专业性强的采购项目，评审专家中应当包括1名法律专家。</w:t>
      </w:r>
    </w:p>
    <w:p w14:paraId="6263EE48">
      <w:pPr>
        <w:pageBreakBefore w:val="0"/>
        <w:kinsoku/>
        <w:wordWrap/>
        <w:overflowPunct/>
        <w:topLinePunct w:val="0"/>
        <w:bidi w:val="0"/>
        <w:spacing w:line="400" w:lineRule="exact"/>
        <w:ind w:left="120" w:leftChars="57"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7.1.3 磋商小组成员到位后，推荐一名评审专家担任磋商小组组长，并由磋商小组组长牵头组织本项目磋商工作。采购人代表，不得担任磋商小组组长。</w:t>
      </w:r>
    </w:p>
    <w:p w14:paraId="0E9AE26D">
      <w:pPr>
        <w:pageBreakBefore w:val="0"/>
        <w:kinsoku/>
        <w:wordWrap/>
        <w:overflowPunct/>
        <w:topLinePunct w:val="0"/>
        <w:bidi w:val="0"/>
        <w:spacing w:line="400" w:lineRule="exact"/>
        <w:ind w:left="120" w:leftChars="57"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7.1.4 磋商小组成员有下列情形之一的，应当回避：</w:t>
      </w:r>
    </w:p>
    <w:p w14:paraId="32999B2B">
      <w:pPr>
        <w:pageBreakBefore w:val="0"/>
        <w:kinsoku/>
        <w:wordWrap/>
        <w:overflowPunct/>
        <w:topLinePunct w:val="0"/>
        <w:bidi w:val="0"/>
        <w:spacing w:line="400" w:lineRule="exact"/>
        <w:ind w:left="120" w:leftChars="57"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（1）采购人或供应商的主要负责人的近亲属；</w:t>
      </w:r>
    </w:p>
    <w:p w14:paraId="4796F3D0">
      <w:pPr>
        <w:pageBreakBefore w:val="0"/>
        <w:kinsoku/>
        <w:wordWrap/>
        <w:overflowPunct/>
        <w:topLinePunct w:val="0"/>
        <w:bidi w:val="0"/>
        <w:spacing w:line="400" w:lineRule="exact"/>
        <w:ind w:left="120" w:leftChars="57"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（2）与供应商有经济利益关系，可能影响对响应文件公正评审的；</w:t>
      </w:r>
    </w:p>
    <w:p w14:paraId="5EF122AC">
      <w:pPr>
        <w:pageBreakBefore w:val="0"/>
        <w:kinsoku/>
        <w:wordWrap/>
        <w:overflowPunct/>
        <w:topLinePunct w:val="0"/>
        <w:bidi w:val="0"/>
        <w:spacing w:line="400" w:lineRule="exact"/>
        <w:ind w:left="120" w:leftChars="57"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（3）曾因在招标、评审以及其他与招标磋商有关活动中从事违法行为而受过行政处罚或刑事处罚的。</w:t>
      </w:r>
    </w:p>
    <w:p w14:paraId="31663752">
      <w:pPr>
        <w:pageBreakBefore w:val="0"/>
        <w:kinsoku/>
        <w:wordWrap/>
        <w:overflowPunct/>
        <w:topLinePunct w:val="0"/>
        <w:autoSpaceDE w:val="0"/>
        <w:autoSpaceDN w:val="0"/>
        <w:bidi w:val="0"/>
        <w:spacing w:line="400" w:lineRule="exact"/>
        <w:ind w:firstLine="420" w:firstLineChars="200"/>
        <w:rPr>
          <w:rFonts w:hint="eastAsia" w:ascii="仿宋" w:hAnsi="仿宋" w:eastAsia="仿宋" w:cs="仿宋"/>
          <w:color w:val="auto"/>
          <w:kern w:val="0"/>
          <w:highlight w:val="none"/>
          <w:lang w:val="zh-CN"/>
        </w:rPr>
      </w:pPr>
      <w:r>
        <w:rPr>
          <w:rFonts w:hint="eastAsia" w:ascii="仿宋" w:hAnsi="仿宋" w:eastAsia="仿宋" w:cs="仿宋"/>
          <w:color w:val="auto"/>
          <w:szCs w:val="21"/>
          <w:highlight w:val="none"/>
        </w:rPr>
        <w:t xml:space="preserve">7.1.5 </w:t>
      </w:r>
      <w:r>
        <w:rPr>
          <w:rFonts w:hint="eastAsia" w:ascii="仿宋" w:hAnsi="仿宋" w:eastAsia="仿宋" w:cs="仿宋"/>
          <w:color w:val="auto"/>
          <w:kern w:val="0"/>
          <w:highlight w:val="none"/>
        </w:rPr>
        <w:t>磋商过程中，因磋商小组成员缺席、回避或者健康等特殊原因导致磋商小组组成不符合规定的，采购代理机构应当依法补足后继续磋商。被更换的磋商小组成员所作出的评审意见无效。无法及时补足磋商小组成员的，采购代理机构应当停止磋商活动，封存所有响应文件和开起响应文件、磋商和评审资料，依法重新组建磋商小组进行磋商。原磋商小组所作出的评审意见无效。</w:t>
      </w:r>
      <w:r>
        <w:rPr>
          <w:rFonts w:hint="eastAsia" w:ascii="仿宋" w:hAnsi="仿宋" w:eastAsia="仿宋" w:cs="仿宋"/>
          <w:color w:val="auto"/>
          <w:kern w:val="0"/>
          <w:highlight w:val="none"/>
          <w:lang w:val="zh-CN"/>
        </w:rPr>
        <w:t>采购代理机构</w:t>
      </w:r>
      <w:r>
        <w:rPr>
          <w:rFonts w:hint="eastAsia" w:ascii="仿宋" w:hAnsi="仿宋" w:eastAsia="仿宋" w:cs="仿宋"/>
          <w:color w:val="auto"/>
          <w:kern w:val="0"/>
          <w:highlight w:val="none"/>
        </w:rPr>
        <w:t>应当将变更、重新组建磋商小组的情况予以记录，并随采购文件一并存档。</w:t>
      </w:r>
    </w:p>
    <w:p w14:paraId="58FC7E4E">
      <w:pPr>
        <w:pageBreakBefore w:val="0"/>
        <w:kinsoku/>
        <w:wordWrap/>
        <w:overflowPunct/>
        <w:topLinePunct w:val="0"/>
        <w:autoSpaceDE w:val="0"/>
        <w:autoSpaceDN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7.1.6 磋商小组成员名单在成交结果公告前，应当保密。</w:t>
      </w:r>
    </w:p>
    <w:p w14:paraId="3449AA1B">
      <w:pPr>
        <w:pageBreakBefore w:val="0"/>
        <w:widowControl/>
        <w:kinsoku/>
        <w:wordWrap/>
        <w:overflowPunct/>
        <w:topLinePunct w:val="0"/>
        <w:autoSpaceDE w:val="0"/>
        <w:autoSpaceDN w:val="0"/>
        <w:bidi w:val="0"/>
        <w:spacing w:line="400" w:lineRule="exact"/>
        <w:ind w:right="51" w:firstLine="420" w:firstLineChars="200"/>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7.1.7 磋商小组及其成员，在磋商中不得有下列行为：</w:t>
      </w:r>
    </w:p>
    <w:p w14:paraId="3F239A3E">
      <w:pPr>
        <w:pStyle w:val="24"/>
        <w:pageBreakBefore w:val="0"/>
        <w:kinsoku/>
        <w:wordWrap/>
        <w:overflowPunct/>
        <w:topLinePunct w:val="0"/>
        <w:bidi w:val="0"/>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（1）确定参与磋商至磋商结束前私自接触供应商；</w:t>
      </w:r>
    </w:p>
    <w:p w14:paraId="025FE281">
      <w:pPr>
        <w:pStyle w:val="24"/>
        <w:pageBreakBefore w:val="0"/>
        <w:kinsoku/>
        <w:wordWrap/>
        <w:overflowPunct/>
        <w:topLinePunct w:val="0"/>
        <w:bidi w:val="0"/>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（2）接受供应商提出的与响应文件不一致的澄清和说明；</w:t>
      </w:r>
    </w:p>
    <w:p w14:paraId="3E7CA251">
      <w:pPr>
        <w:pStyle w:val="24"/>
        <w:pageBreakBefore w:val="0"/>
        <w:kinsoku/>
        <w:wordWrap/>
        <w:overflowPunct/>
        <w:topLinePunct w:val="0"/>
        <w:bidi w:val="0"/>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（3）征询采购人的倾向性意见；</w:t>
      </w:r>
    </w:p>
    <w:p w14:paraId="57AE3936">
      <w:pPr>
        <w:pStyle w:val="24"/>
        <w:pageBreakBefore w:val="0"/>
        <w:kinsoku/>
        <w:wordWrap/>
        <w:overflowPunct/>
        <w:topLinePunct w:val="0"/>
        <w:bidi w:val="0"/>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（4）对主观评审因素协商评分；</w:t>
      </w:r>
    </w:p>
    <w:p w14:paraId="213F3C1D">
      <w:pPr>
        <w:pStyle w:val="24"/>
        <w:pageBreakBefore w:val="0"/>
        <w:kinsoku/>
        <w:wordWrap/>
        <w:overflowPunct/>
        <w:topLinePunct w:val="0"/>
        <w:bidi w:val="0"/>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（5）对客观评审因素评分不一致；</w:t>
      </w:r>
    </w:p>
    <w:p w14:paraId="0A08D258">
      <w:pPr>
        <w:pStyle w:val="24"/>
        <w:pageBreakBefore w:val="0"/>
        <w:kinsoku/>
        <w:wordWrap/>
        <w:overflowPunct/>
        <w:topLinePunct w:val="0"/>
        <w:bidi w:val="0"/>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（6）在磋商过程中擅离职守，影响磋商程序正常进行的；</w:t>
      </w:r>
    </w:p>
    <w:p w14:paraId="5BBAB615">
      <w:pPr>
        <w:pStyle w:val="24"/>
        <w:pageBreakBefore w:val="0"/>
        <w:kinsoku/>
        <w:wordWrap/>
        <w:overflowPunct/>
        <w:topLinePunct w:val="0"/>
        <w:bidi w:val="0"/>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（7）记录、复制或带走任何评审资料；</w:t>
      </w:r>
    </w:p>
    <w:p w14:paraId="0DC9FEB6">
      <w:pPr>
        <w:pageBreakBefore w:val="0"/>
        <w:widowControl/>
        <w:kinsoku/>
        <w:wordWrap/>
        <w:overflowPunct/>
        <w:topLinePunct w:val="0"/>
        <w:bidi w:val="0"/>
        <w:spacing w:line="4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highlight w:val="none"/>
        </w:rPr>
        <w:t>（</w:t>
      </w:r>
      <w:r>
        <w:rPr>
          <w:rFonts w:hint="eastAsia" w:ascii="仿宋" w:hAnsi="仿宋" w:eastAsia="仿宋" w:cs="仿宋"/>
          <w:color w:val="auto"/>
          <w:szCs w:val="21"/>
          <w:highlight w:val="none"/>
        </w:rPr>
        <w:t>8</w:t>
      </w:r>
      <w:r>
        <w:rPr>
          <w:rFonts w:hint="eastAsia" w:ascii="仿宋" w:hAnsi="仿宋" w:eastAsia="仿宋" w:cs="仿宋"/>
          <w:color w:val="auto"/>
          <w:highlight w:val="none"/>
        </w:rPr>
        <w:t>）</w:t>
      </w:r>
      <w:r>
        <w:rPr>
          <w:rFonts w:hint="eastAsia" w:ascii="仿宋" w:hAnsi="仿宋" w:eastAsia="仿宋" w:cs="仿宋"/>
          <w:color w:val="auto"/>
          <w:kern w:val="0"/>
          <w:szCs w:val="21"/>
          <w:highlight w:val="none"/>
        </w:rPr>
        <w:t>其他不遵守评审纪律的行为。</w:t>
      </w:r>
    </w:p>
    <w:p w14:paraId="062A015A">
      <w:pPr>
        <w:pageBreakBefore w:val="0"/>
        <w:widowControl/>
        <w:kinsoku/>
        <w:wordWrap/>
        <w:overflowPunct/>
        <w:topLinePunct w:val="0"/>
        <w:bidi w:val="0"/>
        <w:spacing w:line="4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磋商小组成员有前款第一至四项行为之一的，其评审意见无效，</w:t>
      </w:r>
      <w:r>
        <w:rPr>
          <w:rFonts w:hint="eastAsia" w:ascii="仿宋" w:hAnsi="仿宋" w:eastAsia="仿宋" w:cs="仿宋"/>
          <w:color w:val="auto"/>
          <w:kern w:val="0"/>
          <w:szCs w:val="21"/>
          <w:highlight w:val="none"/>
        </w:rPr>
        <w:t>并不得获取评审劳务报酬和报销异地评审差旅费。</w:t>
      </w:r>
    </w:p>
    <w:p w14:paraId="581933E4">
      <w:pPr>
        <w:pageBreakBefore w:val="0"/>
        <w:kinsoku/>
        <w:wordWrap/>
        <w:overflowPunct/>
        <w:topLinePunct w:val="0"/>
        <w:bidi w:val="0"/>
        <w:spacing w:before="120" w:beforeLines="50" w:after="120" w:afterLines="50" w:line="400" w:lineRule="exact"/>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7.2磋商原则</w:t>
      </w:r>
    </w:p>
    <w:p w14:paraId="594E1C63">
      <w:pPr>
        <w:pageBreakBefore w:val="0"/>
        <w:tabs>
          <w:tab w:val="left" w:pos="0"/>
        </w:tabs>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7.2.1“客观、公正、审慎”为本次磋商的基本原则，磋商小组按照这一原则的要求，公正、平等地对待各供应商。同时，在磋商中恪守以下原则：</w:t>
      </w:r>
    </w:p>
    <w:p w14:paraId="322DD9F5">
      <w:pPr>
        <w:pageBreakBefore w:val="0"/>
        <w:tabs>
          <w:tab w:val="left" w:pos="0"/>
        </w:tabs>
        <w:kinsoku/>
        <w:wordWrap/>
        <w:overflowPunct/>
        <w:topLinePunct w:val="0"/>
        <w:bidi w:val="0"/>
        <w:adjustRightInd w:val="0"/>
        <w:snapToGrid w:val="0"/>
        <w:spacing w:line="4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（1）统一性原则：磋商小组将按照统一的磋商原则和方法，用统一标准进行评审。</w:t>
      </w:r>
    </w:p>
    <w:p w14:paraId="5BDB65C4">
      <w:pPr>
        <w:pageBreakBefore w:val="0"/>
        <w:tabs>
          <w:tab w:val="left" w:pos="0"/>
        </w:tabs>
        <w:kinsoku/>
        <w:wordWrap/>
        <w:overflowPunct/>
        <w:topLinePunct w:val="0"/>
        <w:bidi w:val="0"/>
        <w:adjustRightInd w:val="0"/>
        <w:snapToGrid w:val="0"/>
        <w:spacing w:line="4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（2）独立性原则</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磋商工作在磋商小组内部独立进行，不受外界任何因素的干扰和影响。磋商小组成员对其出具的意见承担个人责任。</w:t>
      </w:r>
      <w:r>
        <w:rPr>
          <w:rFonts w:hint="eastAsia" w:ascii="仿宋" w:hAnsi="仿宋" w:eastAsia="仿宋" w:cs="仿宋"/>
          <w:color w:val="auto"/>
          <w:kern w:val="0"/>
          <w:szCs w:val="21"/>
          <w:highlight w:val="none"/>
        </w:rPr>
        <w:t>供应商试图影响或干预评审的任何行为，将导致其丧失磋商的资格，并承担相应的法律责任。</w:t>
      </w:r>
    </w:p>
    <w:p w14:paraId="6C89D26F">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（3）物有所值原则：通过首轮的磋商报价，激发供应商展开竞争，进一步优化方案，并使报价符合预期目标。</w:t>
      </w:r>
    </w:p>
    <w:p w14:paraId="33718225">
      <w:pPr>
        <w:pageBreakBefore w:val="0"/>
        <w:tabs>
          <w:tab w:val="left" w:pos="0"/>
        </w:tabs>
        <w:kinsoku/>
        <w:wordWrap/>
        <w:overflowPunct/>
        <w:topLinePunct w:val="0"/>
        <w:bidi w:val="0"/>
        <w:adjustRightInd w:val="0"/>
        <w:snapToGrid w:val="0"/>
        <w:spacing w:line="4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（4）客观性原则：磋商小组将严格按照磋商文件要求，对供应商的响应文件进行认真评审；磋商小组对响应文件的评审仅依据响应文件本身，而不依据响应文件以外的任何因素。</w:t>
      </w:r>
    </w:p>
    <w:p w14:paraId="34C90A30">
      <w:pPr>
        <w:pageBreakBefore w:val="0"/>
        <w:tabs>
          <w:tab w:val="left" w:pos="0"/>
        </w:tabs>
        <w:kinsoku/>
        <w:wordWrap/>
        <w:overflowPunct/>
        <w:topLinePunct w:val="0"/>
        <w:bidi w:val="0"/>
        <w:adjustRightInd w:val="0"/>
        <w:snapToGrid w:val="0"/>
        <w:spacing w:line="4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（5）保密性原则：采购代理机构应当采取必要的措施，保证评审在严格保密情况下进行。</w:t>
      </w:r>
    </w:p>
    <w:p w14:paraId="2CB1E7F5">
      <w:pPr>
        <w:pageBreakBefore w:val="0"/>
        <w:tabs>
          <w:tab w:val="left" w:pos="0"/>
        </w:tabs>
        <w:kinsoku/>
        <w:wordWrap/>
        <w:overflowPunct/>
        <w:topLinePunct w:val="0"/>
        <w:bidi w:val="0"/>
        <w:adjustRightInd w:val="0"/>
        <w:snapToGrid w:val="0"/>
        <w:spacing w:line="4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（6）综合性原则</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磋商小组将综合分析、评审供应商的各项指标，而不以单项指标的优劣评定出成交供应商。</w:t>
      </w:r>
    </w:p>
    <w:p w14:paraId="498FB33D">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7.2.2 磋商小组有权对整个磋商和评审过程中出现的所有问题，可根据《中华人民共和国政府采购法》及实施条例和《政府采购竞争性磋商采购方式管理暂行办法》等相关规定进行处理。</w:t>
      </w:r>
    </w:p>
    <w:p w14:paraId="24B0A806">
      <w:pPr>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7.3磋商</w:t>
      </w:r>
    </w:p>
    <w:p w14:paraId="543E74E0">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bookmarkStart w:id="121" w:name="_Toc25"/>
      <w:bookmarkStart w:id="122" w:name="_Toc29298"/>
      <w:bookmarkStart w:id="123" w:name="_Toc7318_WPSOffice_Level2"/>
      <w:bookmarkStart w:id="124" w:name="_Toc9593"/>
      <w:bookmarkStart w:id="125" w:name="_Toc14147"/>
      <w:bookmarkStart w:id="126" w:name="_Toc15700"/>
      <w:bookmarkStart w:id="127" w:name="_Toc24076"/>
      <w:r>
        <w:rPr>
          <w:rFonts w:hint="eastAsia" w:ascii="仿宋" w:hAnsi="仿宋" w:eastAsia="仿宋" w:cs="仿宋"/>
          <w:color w:val="auto"/>
          <w:szCs w:val="21"/>
          <w:highlight w:val="none"/>
        </w:rPr>
        <w:t>7.3.1 磋商小组根据磋商文件第三章“磋商办法”规定的方法、评审因素、标准和程序，在与单一供应商进行反复磋商的基础上，对其响应文件进行评审。第三章“磋商办法”没有规定的方法、评审因素和标准，不作为评审依据。</w:t>
      </w:r>
    </w:p>
    <w:p w14:paraId="47DA91E0">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7.3.2 磋商小组负责具体磋商事务，并独立履行下列职责：</w:t>
      </w:r>
    </w:p>
    <w:p w14:paraId="793172ED">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（1）审查、评价响应文件是否符合磋商文件的商务、技术、服务等实质性要求；</w:t>
      </w:r>
    </w:p>
    <w:p w14:paraId="7BFBB8AE">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（2）要求供应商对响应文件有关事项作出澄清或者说明；</w:t>
      </w:r>
    </w:p>
    <w:p w14:paraId="63704311">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（3）与合格的供应商分别就技术和商务事务进行磋商；</w:t>
      </w:r>
    </w:p>
    <w:p w14:paraId="791161CC">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（4）对响应文件进行比较和评价；</w:t>
      </w:r>
    </w:p>
    <w:p w14:paraId="21D03064">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（5）推荐成交候选人名单，或者根据采购人委托直接确定成交供应商；</w:t>
      </w:r>
    </w:p>
    <w:p w14:paraId="73C3B60A">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（6）向采购人、采购代理机构或者有关部门报告非法干预磋商工作的行为。</w:t>
      </w:r>
    </w:p>
    <w:p w14:paraId="2AA52128">
      <w:pPr>
        <w:pStyle w:val="39"/>
        <w:pageBreakBefore w:val="0"/>
        <w:kinsoku/>
        <w:wordWrap/>
        <w:overflowPunct/>
        <w:topLinePunct w:val="0"/>
        <w:bidi w:val="0"/>
        <w:snapToGrid w:val="0"/>
        <w:spacing w:before="0" w:beforeAutospacing="0" w:after="0" w:afterAutospacing="0"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7.3.3磋商小组成员应当履行下列义务：</w:t>
      </w:r>
    </w:p>
    <w:p w14:paraId="67A242E2">
      <w:pPr>
        <w:pStyle w:val="39"/>
        <w:pageBreakBefore w:val="0"/>
        <w:kinsoku/>
        <w:wordWrap/>
        <w:overflowPunct/>
        <w:topLinePunct w:val="0"/>
        <w:bidi w:val="0"/>
        <w:snapToGrid w:val="0"/>
        <w:spacing w:before="0" w:beforeAutospacing="0" w:after="0" w:afterAutospacing="0"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（1）遵纪守法，客观、公正、廉洁地履行职责；</w:t>
      </w:r>
    </w:p>
    <w:p w14:paraId="43CE2B40">
      <w:pPr>
        <w:pStyle w:val="39"/>
        <w:pageBreakBefore w:val="0"/>
        <w:kinsoku/>
        <w:wordWrap/>
        <w:overflowPunct/>
        <w:topLinePunct w:val="0"/>
        <w:bidi w:val="0"/>
        <w:snapToGrid w:val="0"/>
        <w:spacing w:before="0" w:beforeAutospacing="0" w:after="0" w:afterAutospacing="0"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（2）根据采购文件的规定独立进行评审，对个人的评审意见承担法律责任；</w:t>
      </w:r>
    </w:p>
    <w:p w14:paraId="48332156">
      <w:pPr>
        <w:pStyle w:val="39"/>
        <w:pageBreakBefore w:val="0"/>
        <w:kinsoku/>
        <w:wordWrap/>
        <w:overflowPunct/>
        <w:topLinePunct w:val="0"/>
        <w:bidi w:val="0"/>
        <w:snapToGrid w:val="0"/>
        <w:spacing w:before="0" w:beforeAutospacing="0" w:after="0" w:afterAutospacing="0" w:line="4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（3）参与评审报告的起草；</w:t>
      </w:r>
    </w:p>
    <w:p w14:paraId="506465B4">
      <w:pPr>
        <w:pStyle w:val="39"/>
        <w:pageBreakBefore w:val="0"/>
        <w:kinsoku/>
        <w:wordWrap/>
        <w:overflowPunct/>
        <w:topLinePunct w:val="0"/>
        <w:bidi w:val="0"/>
        <w:snapToGrid w:val="0"/>
        <w:spacing w:before="0" w:beforeAutospacing="0" w:after="0" w:afterAutospacing="0" w:line="4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（4）配合采购人、采购代理机构答复供应商提出的质疑；</w:t>
      </w:r>
    </w:p>
    <w:p w14:paraId="4C485EC4">
      <w:pPr>
        <w:pStyle w:val="39"/>
        <w:pageBreakBefore w:val="0"/>
        <w:kinsoku/>
        <w:wordWrap/>
        <w:overflowPunct/>
        <w:topLinePunct w:val="0"/>
        <w:bidi w:val="0"/>
        <w:snapToGrid w:val="0"/>
        <w:spacing w:before="0" w:beforeAutospacing="0" w:after="0" w:afterAutospacing="0" w:line="4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（5）配合财政部门的投诉处理和监督检查工作。</w:t>
      </w:r>
    </w:p>
    <w:p w14:paraId="6926B2F2">
      <w:pPr>
        <w:pageBreakBefore w:val="0"/>
        <w:kinsoku/>
        <w:wordWrap/>
        <w:overflowPunct/>
        <w:topLinePunct w:val="0"/>
        <w:autoSpaceDE w:val="0"/>
        <w:autoSpaceDN w:val="0"/>
        <w:bidi w:val="0"/>
        <w:spacing w:line="400" w:lineRule="exact"/>
        <w:ind w:firstLine="42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7.3.4 采购代理机构负责组织磋商工作并履行下列职责：</w:t>
      </w:r>
    </w:p>
    <w:p w14:paraId="0DD77B0F">
      <w:pPr>
        <w:pageBreakBefore w:val="0"/>
        <w:kinsoku/>
        <w:wordWrap/>
        <w:overflowPunct/>
        <w:topLinePunct w:val="0"/>
        <w:autoSpaceDE w:val="0"/>
        <w:autoSpaceDN w:val="0"/>
        <w:bidi w:val="0"/>
        <w:spacing w:line="400" w:lineRule="exact"/>
        <w:ind w:firstLine="42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（1）核对评审专家身份和采购人代表授权函，对评审专家在政府采购活动中的职责履行情况予以记录，并及时将有关违法违规行为向财政部门报告；</w:t>
      </w:r>
    </w:p>
    <w:p w14:paraId="1DE24FCE">
      <w:pPr>
        <w:pageBreakBefore w:val="0"/>
        <w:kinsoku/>
        <w:wordWrap/>
        <w:overflowPunct/>
        <w:topLinePunct w:val="0"/>
        <w:autoSpaceDE w:val="0"/>
        <w:autoSpaceDN w:val="0"/>
        <w:bidi w:val="0"/>
        <w:spacing w:line="400" w:lineRule="exact"/>
        <w:ind w:firstLine="42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（2）宣布磋商纪律；</w:t>
      </w:r>
    </w:p>
    <w:p w14:paraId="0F7DE191">
      <w:pPr>
        <w:pageBreakBefore w:val="0"/>
        <w:kinsoku/>
        <w:wordWrap/>
        <w:overflowPunct/>
        <w:topLinePunct w:val="0"/>
        <w:autoSpaceDE w:val="0"/>
        <w:autoSpaceDN w:val="0"/>
        <w:bidi w:val="0"/>
        <w:spacing w:line="400" w:lineRule="exact"/>
        <w:ind w:firstLine="42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（3）公布提交了响应文件的供应商名单，告知评审专家应当回避的情形；</w:t>
      </w:r>
    </w:p>
    <w:p w14:paraId="2F6B7151">
      <w:pPr>
        <w:pageBreakBefore w:val="0"/>
        <w:kinsoku/>
        <w:wordWrap/>
        <w:overflowPunct/>
        <w:topLinePunct w:val="0"/>
        <w:autoSpaceDE w:val="0"/>
        <w:autoSpaceDN w:val="0"/>
        <w:bidi w:val="0"/>
        <w:spacing w:line="400" w:lineRule="exact"/>
        <w:ind w:firstLine="42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（4）组织磋商小组成员推选磋商小组组长，采购人代表不得担任组长；</w:t>
      </w:r>
    </w:p>
    <w:p w14:paraId="0A944979">
      <w:pPr>
        <w:pageBreakBefore w:val="0"/>
        <w:kinsoku/>
        <w:wordWrap/>
        <w:overflowPunct/>
        <w:topLinePunct w:val="0"/>
        <w:autoSpaceDE w:val="0"/>
        <w:autoSpaceDN w:val="0"/>
        <w:bidi w:val="0"/>
        <w:spacing w:line="400" w:lineRule="exact"/>
        <w:ind w:firstLine="42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（5）在磋商期间采取必要的通讯管理措施，保证磋商活动不受外界干扰；</w:t>
      </w:r>
    </w:p>
    <w:p w14:paraId="1020BCE6">
      <w:pPr>
        <w:pageBreakBefore w:val="0"/>
        <w:kinsoku/>
        <w:wordWrap/>
        <w:overflowPunct/>
        <w:topLinePunct w:val="0"/>
        <w:autoSpaceDE w:val="0"/>
        <w:autoSpaceDN w:val="0"/>
        <w:bidi w:val="0"/>
        <w:spacing w:line="400" w:lineRule="exact"/>
        <w:ind w:firstLine="42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（6）根据磋商小组的要求介绍政府采购相关政策法规、磋商文件；</w:t>
      </w:r>
    </w:p>
    <w:p w14:paraId="7A3A59B4">
      <w:pPr>
        <w:pageBreakBefore w:val="0"/>
        <w:kinsoku/>
        <w:wordWrap/>
        <w:overflowPunct/>
        <w:topLinePunct w:val="0"/>
        <w:autoSpaceDE w:val="0"/>
        <w:autoSpaceDN w:val="0"/>
        <w:bidi w:val="0"/>
        <w:spacing w:line="400" w:lineRule="exact"/>
        <w:ind w:firstLine="42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（7）维护磋商秩序，监督磋商小组依照磋商文件规定的磋商程序、评审方法和标准进行独立评审，对采购人代表、磋商小组成员的倾向性言论或违法违规行为及时制止和纠正；</w:t>
      </w:r>
    </w:p>
    <w:p w14:paraId="29C46CCB">
      <w:pPr>
        <w:pageBreakBefore w:val="0"/>
        <w:kinsoku/>
        <w:wordWrap/>
        <w:overflowPunct/>
        <w:topLinePunct w:val="0"/>
        <w:autoSpaceDE w:val="0"/>
        <w:autoSpaceDN w:val="0"/>
        <w:bidi w:val="0"/>
        <w:spacing w:line="400" w:lineRule="exact"/>
        <w:ind w:firstLine="42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（8）核对评审结果，有《政府采购竞争性磋商采购方式暂行管理办法》第三十二条第一款规定情形的，要求磋商小组复核或书面说明理由，磋商小组拒绝的，应予记录并向采购人本级财政部门报告；</w:t>
      </w:r>
    </w:p>
    <w:p w14:paraId="5E53DE4C">
      <w:pPr>
        <w:pageBreakBefore w:val="0"/>
        <w:kinsoku/>
        <w:wordWrap/>
        <w:overflowPunct/>
        <w:topLinePunct w:val="0"/>
        <w:autoSpaceDE w:val="0"/>
        <w:autoSpaceDN w:val="0"/>
        <w:bidi w:val="0"/>
        <w:spacing w:line="400" w:lineRule="exact"/>
        <w:ind w:firstLine="42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（9）磋商工作完成后，按照规定向评审专家支付劳务报酬和异地评审差旅费，不得向评审专家以外的其他人员支付评审劳务报酬；</w:t>
      </w:r>
    </w:p>
    <w:p w14:paraId="6CE36A5A">
      <w:pPr>
        <w:pageBreakBefore w:val="0"/>
        <w:kinsoku/>
        <w:wordWrap/>
        <w:overflowPunct/>
        <w:topLinePunct w:val="0"/>
        <w:autoSpaceDE w:val="0"/>
        <w:autoSpaceDN w:val="0"/>
        <w:bidi w:val="0"/>
        <w:spacing w:line="400" w:lineRule="exact"/>
        <w:ind w:firstLine="42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（10）处理与磋商有关的其他事项。</w:t>
      </w:r>
    </w:p>
    <w:p w14:paraId="4DBF321F">
      <w:pPr>
        <w:pageBreakBefore w:val="0"/>
        <w:kinsoku/>
        <w:wordWrap/>
        <w:overflowPunct/>
        <w:topLinePunct w:val="0"/>
        <w:autoSpaceDE w:val="0"/>
        <w:autoSpaceDN w:val="0"/>
        <w:bidi w:val="0"/>
        <w:spacing w:line="400" w:lineRule="exact"/>
        <w:ind w:firstLine="630" w:firstLineChars="300"/>
        <w:rPr>
          <w:rFonts w:hint="eastAsia" w:ascii="仿宋" w:hAnsi="仿宋" w:eastAsia="仿宋" w:cs="仿宋"/>
          <w:color w:val="auto"/>
          <w:kern w:val="0"/>
          <w:highlight w:val="none"/>
        </w:rPr>
      </w:pPr>
      <w:r>
        <w:rPr>
          <w:rFonts w:hint="eastAsia" w:ascii="仿宋" w:hAnsi="仿宋" w:eastAsia="仿宋" w:cs="仿宋"/>
          <w:color w:val="auto"/>
          <w:kern w:val="0"/>
          <w:highlight w:val="none"/>
        </w:rPr>
        <w:t>7.3.5 采购人可以在磋商前介绍项目背景和采购需求，介绍内容不得含有歧视性、倾向性意见，不得超出磋商文件所述范围。介绍应当提交书面介绍材料，并随采购文件一并存档。</w:t>
      </w:r>
    </w:p>
    <w:p w14:paraId="4200F5AA">
      <w:pPr>
        <w:pageBreakBefore w:val="0"/>
        <w:kinsoku/>
        <w:wordWrap/>
        <w:overflowPunct/>
        <w:topLinePunct w:val="0"/>
        <w:bidi w:val="0"/>
        <w:spacing w:line="400" w:lineRule="exact"/>
        <w:ind w:left="120" w:leftChars="57"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7.3.6 磋商过程严格保密</w:t>
      </w:r>
    </w:p>
    <w:p w14:paraId="06C9B33C">
      <w:pPr>
        <w:pageBreakBefore w:val="0"/>
        <w:kinsoku/>
        <w:wordWrap/>
        <w:overflowPunct/>
        <w:topLinePunct w:val="0"/>
        <w:autoSpaceDE w:val="0"/>
        <w:autoSpaceDN w:val="0"/>
        <w:bidi w:val="0"/>
        <w:spacing w:line="400" w:lineRule="exact"/>
        <w:ind w:firstLine="630" w:firstLineChars="300"/>
        <w:rPr>
          <w:rFonts w:hint="eastAsia" w:ascii="仿宋" w:hAnsi="仿宋" w:eastAsia="仿宋" w:cs="仿宋"/>
          <w:color w:val="auto"/>
          <w:kern w:val="0"/>
          <w:highlight w:val="none"/>
        </w:rPr>
      </w:pPr>
      <w:r>
        <w:rPr>
          <w:rFonts w:hint="eastAsia" w:ascii="仿宋" w:hAnsi="仿宋" w:eastAsia="仿宋" w:cs="仿宋"/>
          <w:color w:val="auto"/>
          <w:szCs w:val="21"/>
          <w:highlight w:val="none"/>
        </w:rPr>
        <w:t xml:space="preserve">7.3.6.1 </w:t>
      </w:r>
      <w:r>
        <w:rPr>
          <w:rFonts w:hint="eastAsia" w:ascii="仿宋" w:hAnsi="仿宋" w:eastAsia="仿宋" w:cs="仿宋"/>
          <w:color w:val="auto"/>
          <w:kern w:val="0"/>
          <w:highlight w:val="none"/>
        </w:rPr>
        <w:t>采购人、采购代理机构应当采取必要措施，保证磋商在严格保密的情况下进行。除采购人代表、磋商现场组织人员外，采购人的其他工作人员以及与磋商工作无关的人员不得进入磋商现场。</w:t>
      </w:r>
    </w:p>
    <w:p w14:paraId="0477734D">
      <w:pPr>
        <w:pageBreakBefore w:val="0"/>
        <w:kinsoku/>
        <w:wordWrap/>
        <w:overflowPunct/>
        <w:topLinePunct w:val="0"/>
        <w:autoSpaceDE w:val="0"/>
        <w:autoSpaceDN w:val="0"/>
        <w:bidi w:val="0"/>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kern w:val="0"/>
          <w:highlight w:val="none"/>
        </w:rPr>
        <w:t>7.3.6.2 有关人员对磋商情况以及在磋商过程中获悉的国家秘密、商业秘密负有保密责任。</w:t>
      </w:r>
      <w:r>
        <w:rPr>
          <w:rFonts w:hint="eastAsia" w:ascii="仿宋" w:hAnsi="仿宋" w:eastAsia="仿宋" w:cs="仿宋"/>
          <w:color w:val="auto"/>
          <w:szCs w:val="21"/>
          <w:highlight w:val="none"/>
        </w:rPr>
        <w:t>开启响应文件后，直至授予成交供应商合同为止，凡属于对响应文件的审查、澄清、评价和比较的有关资料以及成交候选人的推荐情况，与磋商有关的其他任何情况均严格保密。</w:t>
      </w:r>
    </w:p>
    <w:p w14:paraId="37EE51A7">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7.3.7 供应商对磋商小组的磋商过程或合同授予决定施加影响的任何行为都可能导致其响应文件无效。</w:t>
      </w:r>
    </w:p>
    <w:p w14:paraId="3E440814">
      <w:pPr>
        <w:pageBreakBefore w:val="0"/>
        <w:tabs>
          <w:tab w:val="left" w:pos="426"/>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7.3.8 磋商完成后，磋商小组应当向采购人提交书面评审报告，并由采购代理机构转送。</w:t>
      </w:r>
    </w:p>
    <w:p w14:paraId="25947C14">
      <w:pPr>
        <w:pageBreakBefore w:val="0"/>
        <w:kinsoku/>
        <w:wordWrap/>
        <w:overflowPunct/>
        <w:topLinePunct w:val="0"/>
        <w:bidi w:val="0"/>
        <w:spacing w:before="120" w:beforeLines="50" w:after="120" w:afterLines="50" w:line="400" w:lineRule="exact"/>
        <w:outlineLvl w:val="1"/>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8</w:t>
      </w:r>
      <w:bookmarkStart w:id="128" w:name="_Toc217446061"/>
      <w:r>
        <w:rPr>
          <w:rFonts w:hint="eastAsia" w:ascii="仿宋" w:hAnsi="仿宋" w:eastAsia="仿宋" w:cs="仿宋"/>
          <w:color w:val="auto"/>
          <w:sz w:val="36"/>
          <w:szCs w:val="36"/>
          <w:highlight w:val="none"/>
        </w:rPr>
        <w:t>.确定成交供应商</w:t>
      </w:r>
      <w:bookmarkEnd w:id="121"/>
      <w:bookmarkEnd w:id="122"/>
      <w:bookmarkEnd w:id="123"/>
      <w:bookmarkEnd w:id="124"/>
      <w:bookmarkEnd w:id="125"/>
      <w:bookmarkEnd w:id="126"/>
      <w:bookmarkEnd w:id="127"/>
    </w:p>
    <w:p w14:paraId="68923651">
      <w:pPr>
        <w:pageBreakBefore w:val="0"/>
        <w:kinsoku/>
        <w:wordWrap/>
        <w:overflowPunct/>
        <w:topLinePunct w:val="0"/>
        <w:bidi w:val="0"/>
        <w:spacing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8.1确定成交供应商原则</w:t>
      </w:r>
      <w:bookmarkEnd w:id="128"/>
    </w:p>
    <w:p w14:paraId="031805FE">
      <w:pPr>
        <w:pageBreakBefore w:val="0"/>
        <w:kinsoku/>
        <w:wordWrap/>
        <w:overflowPunct/>
        <w:topLinePunct w:val="0"/>
        <w:bidi w:val="0"/>
        <w:spacing w:line="4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采购人或其授权的磋商小组按照评审报告中提出的成交候选人中，按照顺序由高到低的原则确定成交供应商。</w:t>
      </w:r>
      <w:bookmarkStart w:id="129" w:name="_Toc217446062"/>
    </w:p>
    <w:p w14:paraId="72D2BAAC">
      <w:pPr>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8.2确定成交供应商程序</w:t>
      </w:r>
      <w:bookmarkEnd w:id="129"/>
    </w:p>
    <w:p w14:paraId="7D540951">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8.2.1磋商小组将评审情况写出书面报告，推荐3个成交候选人，并按照综合得分高低标明排列顺序。得分相同的，按照最后报价由低到高顺序排列；得分且最后报价相同的按照技术指标优劣顺序排列。</w:t>
      </w:r>
    </w:p>
    <w:p w14:paraId="57AAFBD5">
      <w:pPr>
        <w:pageBreakBefore w:val="0"/>
        <w:kinsoku/>
        <w:wordWrap/>
        <w:overflowPunct/>
        <w:topLinePunct w:val="0"/>
        <w:bidi w:val="0"/>
        <w:spacing w:line="400" w:lineRule="exact"/>
        <w:ind w:firstLine="367" w:firstLineChars="175"/>
        <w:rPr>
          <w:rFonts w:hint="eastAsia" w:ascii="仿宋" w:hAnsi="仿宋" w:eastAsia="仿宋" w:cs="仿宋"/>
          <w:color w:val="auto"/>
          <w:szCs w:val="21"/>
          <w:highlight w:val="none"/>
        </w:rPr>
      </w:pPr>
      <w:r>
        <w:rPr>
          <w:rFonts w:hint="eastAsia" w:ascii="仿宋" w:hAnsi="仿宋" w:eastAsia="仿宋" w:cs="仿宋"/>
          <w:color w:val="auto"/>
          <w:szCs w:val="21"/>
          <w:highlight w:val="none"/>
        </w:rPr>
        <w:t>8.2.2 采购代理机构在评审结束后2个工作日内将评审报告送采购人确认。</w:t>
      </w:r>
    </w:p>
    <w:p w14:paraId="49F4AB4F">
      <w:pPr>
        <w:pageBreakBefore w:val="0"/>
        <w:kinsoku/>
        <w:wordWrap/>
        <w:overflowPunct/>
        <w:topLinePunct w:val="0"/>
        <w:bidi w:val="0"/>
        <w:spacing w:line="400" w:lineRule="exact"/>
        <w:ind w:firstLine="367" w:firstLineChars="175"/>
        <w:rPr>
          <w:rFonts w:hint="eastAsia" w:ascii="仿宋" w:hAnsi="仿宋" w:eastAsia="仿宋" w:cs="仿宋"/>
          <w:color w:val="auto"/>
          <w:szCs w:val="21"/>
          <w:highlight w:val="none"/>
        </w:rPr>
      </w:pPr>
      <w:r>
        <w:rPr>
          <w:rFonts w:hint="eastAsia" w:ascii="仿宋" w:hAnsi="仿宋" w:eastAsia="仿宋" w:cs="仿宋"/>
          <w:color w:val="auto"/>
          <w:szCs w:val="21"/>
          <w:highlight w:val="none"/>
        </w:rPr>
        <w:t>8.2.3 采购人应当在收到评审报告后5个工作日内，按照评审报告中推荐的成交候选人中，按照顺序由高到低确定成交供应商。同时，将确定成交供应商的结果复函至采购代理机构。</w:t>
      </w:r>
    </w:p>
    <w:p w14:paraId="55381AC5">
      <w:pPr>
        <w:pageBreakBefore w:val="0"/>
        <w:kinsoku/>
        <w:wordWrap/>
        <w:overflowPunct/>
        <w:topLinePunct w:val="0"/>
        <w:bidi w:val="0"/>
        <w:spacing w:line="400" w:lineRule="exact"/>
        <w:ind w:firstLine="367" w:firstLineChars="175"/>
        <w:rPr>
          <w:rFonts w:hint="eastAsia" w:ascii="仿宋" w:hAnsi="仿宋" w:eastAsia="仿宋" w:cs="仿宋"/>
          <w:color w:val="auto"/>
          <w:szCs w:val="21"/>
          <w:highlight w:val="none"/>
        </w:rPr>
      </w:pPr>
      <w:r>
        <w:rPr>
          <w:rFonts w:hint="eastAsia" w:ascii="仿宋" w:hAnsi="仿宋" w:eastAsia="仿宋" w:cs="仿宋"/>
          <w:color w:val="auto"/>
          <w:szCs w:val="21"/>
          <w:highlight w:val="none"/>
          <w:shd w:val="clear" w:color="auto" w:fill="FFFFFF"/>
        </w:rPr>
        <w:t>采购人在收到评审报告5个工作日内未按评审报告推荐的成交候人中顺序确定成交供应商，又不能说明合法理由的，视同按照评审报告推荐的顺序确定排名第一的成交候选人为成交供应商。</w:t>
      </w:r>
    </w:p>
    <w:p w14:paraId="033BD6F4">
      <w:pPr>
        <w:pageBreakBefore w:val="0"/>
        <w:kinsoku/>
        <w:wordWrap/>
        <w:overflowPunct/>
        <w:topLinePunct w:val="0"/>
        <w:bidi w:val="0"/>
        <w:spacing w:line="400" w:lineRule="exact"/>
        <w:ind w:firstLine="367" w:firstLineChars="175"/>
        <w:rPr>
          <w:rFonts w:hint="eastAsia" w:ascii="仿宋" w:hAnsi="仿宋" w:eastAsia="仿宋" w:cs="仿宋"/>
          <w:color w:val="auto"/>
          <w:szCs w:val="21"/>
          <w:highlight w:val="none"/>
        </w:rPr>
      </w:pPr>
      <w:r>
        <w:rPr>
          <w:rFonts w:hint="eastAsia" w:ascii="仿宋" w:hAnsi="仿宋" w:eastAsia="仿宋" w:cs="仿宋"/>
          <w:color w:val="auto"/>
          <w:szCs w:val="21"/>
          <w:highlight w:val="none"/>
        </w:rPr>
        <w:t>8.2.4 采购代理机构应当在收到采购人“确定成交供应商结果”复函之日起2个工作日内，根据采购人确定的成交供应商，在省级以上财政部门指定的媒体上发布成交公告，同时向成交供应商发出《成交通知书》。</w:t>
      </w:r>
    </w:p>
    <w:p w14:paraId="0C855FBD">
      <w:pPr>
        <w:pageBreakBefore w:val="0"/>
        <w:widowControl/>
        <w:kinsoku/>
        <w:wordWrap/>
        <w:overflowPunct/>
        <w:topLinePunct w:val="0"/>
        <w:bidi w:val="0"/>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8.2.5 采购代理机构，应当</w:t>
      </w:r>
      <w:r>
        <w:rPr>
          <w:rFonts w:hint="eastAsia" w:ascii="仿宋" w:hAnsi="仿宋" w:eastAsia="仿宋" w:cs="仿宋"/>
          <w:color w:val="auto"/>
          <w:kern w:val="0"/>
          <w:szCs w:val="21"/>
          <w:highlight w:val="none"/>
        </w:rPr>
        <w:t>对未通过资格审查或者符合性审查的供应商，告知其未通过的原因。</w:t>
      </w:r>
    </w:p>
    <w:p w14:paraId="4197E8F3">
      <w:pPr>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bCs/>
          <w:color w:val="auto"/>
          <w:sz w:val="30"/>
          <w:szCs w:val="30"/>
          <w:highlight w:val="none"/>
        </w:rPr>
        <w:t>8.3成交通知书</w:t>
      </w:r>
    </w:p>
    <w:bookmarkEnd w:id="117"/>
    <w:bookmarkEnd w:id="118"/>
    <w:bookmarkEnd w:id="119"/>
    <w:bookmarkEnd w:id="120"/>
    <w:p w14:paraId="48A73623">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bookmarkStart w:id="130" w:name="_Toc11621_WPSOffice_Level2"/>
      <w:bookmarkStart w:id="131" w:name="_Toc14945"/>
      <w:bookmarkStart w:id="132" w:name="_Toc27044"/>
      <w:bookmarkStart w:id="133" w:name="_Toc2503"/>
      <w:bookmarkStart w:id="134" w:name="_Toc10746"/>
      <w:bookmarkStart w:id="135" w:name="_Toc15332"/>
      <w:bookmarkStart w:id="136" w:name="_Toc28118"/>
      <w:bookmarkStart w:id="137" w:name="_Toc482201965"/>
      <w:bookmarkStart w:id="138" w:name="_Toc217446081"/>
      <w:r>
        <w:rPr>
          <w:rFonts w:hint="eastAsia" w:ascii="仿宋" w:hAnsi="仿宋" w:eastAsia="仿宋" w:cs="仿宋"/>
          <w:color w:val="auto"/>
          <w:szCs w:val="21"/>
          <w:highlight w:val="none"/>
        </w:rPr>
        <w:t>8.3</w:t>
      </w:r>
      <w:r>
        <w:rPr>
          <w:rFonts w:hint="eastAsia" w:ascii="仿宋" w:hAnsi="仿宋" w:eastAsia="仿宋" w:cs="仿宋"/>
          <w:b/>
          <w:bCs/>
          <w:color w:val="auto"/>
          <w:szCs w:val="21"/>
          <w:highlight w:val="none"/>
        </w:rPr>
        <w:t>.</w:t>
      </w:r>
      <w:r>
        <w:rPr>
          <w:rFonts w:hint="eastAsia" w:ascii="仿宋" w:hAnsi="仿宋" w:eastAsia="仿宋" w:cs="仿宋"/>
          <w:color w:val="auto"/>
          <w:szCs w:val="21"/>
          <w:highlight w:val="none"/>
        </w:rPr>
        <w:t>1 成交通知书为签订政府采购合同的依据之一，是合同的有效组成部分。</w:t>
      </w:r>
    </w:p>
    <w:p w14:paraId="03DD9D9F">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8.3.2 成交通知书对采购人和成交供应商均具有法律效力。</w:t>
      </w:r>
      <w:r>
        <w:rPr>
          <w:rFonts w:hint="eastAsia" w:ascii="仿宋" w:hAnsi="仿宋" w:eastAsia="仿宋" w:cs="仿宋"/>
          <w:color w:val="auto"/>
          <w:szCs w:val="21"/>
          <w:highlight w:val="none"/>
          <w:shd w:val="clear" w:color="auto" w:fill="FFFFFF"/>
        </w:rPr>
        <w:t>成交通知书发出后，采购人不得违法改变成交结果，成交供应商无正当理由不得放弃成交资格。否则，</w:t>
      </w:r>
      <w:r>
        <w:rPr>
          <w:rFonts w:hint="eastAsia" w:ascii="仿宋" w:hAnsi="仿宋" w:eastAsia="仿宋" w:cs="仿宋"/>
          <w:color w:val="auto"/>
          <w:szCs w:val="21"/>
          <w:highlight w:val="none"/>
        </w:rPr>
        <w:t>应当承担相应的法律责任。</w:t>
      </w:r>
    </w:p>
    <w:p w14:paraId="62AE62EB">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8.3.3 成交供应商应当在接到采购代理机构通知之日起2个工作日内领取《成交通知书》。</w:t>
      </w:r>
    </w:p>
    <w:p w14:paraId="0FAE6D30">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8.3.4 在《成交通知书》发出后，发现成交供应商有政府采购法律法规规章制度规定的成交无效情形的，采购代理机构应当宣布发出的成交通知书无效，并收回已发出的成交通知书（成交供应商也应当交回），依法重新确定成交供应商或者重新开展采购活动，同时向同级财政部门报告。</w:t>
      </w:r>
    </w:p>
    <w:p w14:paraId="46101670">
      <w:pPr>
        <w:pageBreakBefore w:val="0"/>
        <w:tabs>
          <w:tab w:val="left" w:pos="7665"/>
        </w:tabs>
        <w:kinsoku/>
        <w:wordWrap/>
        <w:overflowPunct/>
        <w:topLinePunct w:val="0"/>
        <w:bidi w:val="0"/>
        <w:spacing w:before="240" w:beforeLines="100" w:after="240" w:afterLines="100" w:line="400" w:lineRule="exact"/>
        <w:outlineLvl w:val="1"/>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9.合同授予</w:t>
      </w:r>
      <w:bookmarkEnd w:id="130"/>
      <w:bookmarkEnd w:id="131"/>
      <w:bookmarkEnd w:id="132"/>
      <w:bookmarkEnd w:id="133"/>
      <w:bookmarkEnd w:id="134"/>
      <w:bookmarkEnd w:id="135"/>
      <w:bookmarkEnd w:id="136"/>
    </w:p>
    <w:p w14:paraId="32EFF992">
      <w:pPr>
        <w:pageBreakBefore w:val="0"/>
        <w:tabs>
          <w:tab w:val="left" w:pos="7665"/>
        </w:tabs>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9.1履约保证金</w:t>
      </w:r>
    </w:p>
    <w:p w14:paraId="70CEA4FD">
      <w:pPr>
        <w:pageBreakBefore w:val="0"/>
        <w:tabs>
          <w:tab w:val="left" w:pos="7665"/>
        </w:tabs>
        <w:kinsoku/>
        <w:wordWrap/>
        <w:overflowPunct/>
        <w:topLinePunct w:val="0"/>
        <w:bidi w:val="0"/>
        <w:spacing w:line="400" w:lineRule="exact"/>
        <w:ind w:firstLine="482"/>
        <w:rPr>
          <w:rFonts w:hint="eastAsia" w:ascii="仿宋" w:hAnsi="仿宋" w:eastAsia="仿宋" w:cs="仿宋"/>
          <w:color w:val="auto"/>
          <w:szCs w:val="21"/>
          <w:highlight w:val="none"/>
        </w:rPr>
      </w:pPr>
      <w:r>
        <w:rPr>
          <w:rFonts w:hint="eastAsia" w:ascii="仿宋" w:hAnsi="仿宋" w:eastAsia="仿宋" w:cs="仿宋"/>
          <w:color w:val="auto"/>
          <w:szCs w:val="21"/>
          <w:highlight w:val="none"/>
        </w:rPr>
        <w:t>9.1.1 根据供应商须知前附表规定本项目需要提交履约保证金的，适用本条。</w:t>
      </w:r>
    </w:p>
    <w:p w14:paraId="7867388B">
      <w:pPr>
        <w:pageBreakBefore w:val="0"/>
        <w:tabs>
          <w:tab w:val="left" w:pos="7665"/>
        </w:tabs>
        <w:kinsoku/>
        <w:wordWrap/>
        <w:overflowPunct/>
        <w:topLinePunct w:val="0"/>
        <w:bidi w:val="0"/>
        <w:spacing w:line="400" w:lineRule="exact"/>
        <w:ind w:firstLine="482"/>
        <w:rPr>
          <w:rFonts w:hint="eastAsia" w:ascii="仿宋" w:hAnsi="仿宋" w:eastAsia="仿宋" w:cs="仿宋"/>
          <w:color w:val="auto"/>
          <w:szCs w:val="21"/>
          <w:highlight w:val="none"/>
        </w:rPr>
      </w:pPr>
      <w:r>
        <w:rPr>
          <w:rFonts w:hint="eastAsia" w:ascii="仿宋" w:hAnsi="仿宋" w:eastAsia="仿宋" w:cs="仿宋"/>
          <w:color w:val="auto"/>
          <w:szCs w:val="21"/>
          <w:highlight w:val="none"/>
        </w:rPr>
        <w:t>9.1.2</w:t>
      </w:r>
      <w:r>
        <w:rPr>
          <w:rFonts w:hint="eastAsia" w:ascii="仿宋" w:hAnsi="仿宋" w:eastAsia="仿宋" w:cs="仿宋"/>
          <w:color w:val="auto"/>
          <w:kern w:val="0"/>
          <w:szCs w:val="21"/>
          <w:highlight w:val="none"/>
        </w:rPr>
        <w:t xml:space="preserve"> </w:t>
      </w:r>
      <w:r>
        <w:rPr>
          <w:rFonts w:hint="eastAsia" w:ascii="仿宋" w:hAnsi="仿宋" w:eastAsia="仿宋" w:cs="仿宋"/>
          <w:color w:val="auto"/>
          <w:szCs w:val="21"/>
          <w:highlight w:val="none"/>
        </w:rPr>
        <w:t>成交供应商在收到采购代理机构的成交通知书后10日内，应当按照</w:t>
      </w:r>
      <w:r>
        <w:rPr>
          <w:rFonts w:hint="eastAsia" w:ascii="仿宋" w:hAnsi="仿宋" w:eastAsia="仿宋" w:cs="仿宋"/>
          <w:b/>
          <w:color w:val="auto"/>
          <w:szCs w:val="21"/>
          <w:highlight w:val="none"/>
        </w:rPr>
        <w:t>供应商须知前附表</w:t>
      </w:r>
      <w:r>
        <w:rPr>
          <w:rFonts w:hint="eastAsia" w:ascii="仿宋" w:hAnsi="仿宋" w:eastAsia="仿宋" w:cs="仿宋"/>
          <w:color w:val="auto"/>
          <w:szCs w:val="21"/>
          <w:highlight w:val="none"/>
        </w:rPr>
        <w:t>规定的形式、金额，向采购人提交履约保证金或履约担保。联合体成交的，履约保证金或履约担保由联合体各方或者联合体中牵头人的名义提交。</w:t>
      </w:r>
    </w:p>
    <w:p w14:paraId="03BA0553">
      <w:pPr>
        <w:pageBreakBefore w:val="0"/>
        <w:tabs>
          <w:tab w:val="left" w:pos="7665"/>
        </w:tabs>
        <w:kinsoku/>
        <w:wordWrap/>
        <w:overflowPunct/>
        <w:topLinePunct w:val="0"/>
        <w:bidi w:val="0"/>
        <w:spacing w:line="400" w:lineRule="exact"/>
        <w:ind w:firstLine="482"/>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9.1.3 成交供应商</w:t>
      </w:r>
      <w:r>
        <w:rPr>
          <w:rFonts w:hint="eastAsia" w:ascii="仿宋" w:hAnsi="仿宋" w:eastAsia="仿宋" w:cs="仿宋"/>
          <w:color w:val="auto"/>
          <w:spacing w:val="4"/>
          <w:szCs w:val="21"/>
          <w:highlight w:val="none"/>
        </w:rPr>
        <w:t>不能按照本章第9.1.2项规定</w:t>
      </w:r>
      <w:r>
        <w:rPr>
          <w:rFonts w:hint="eastAsia" w:ascii="仿宋" w:hAnsi="仿宋" w:eastAsia="仿宋" w:cs="仿宋"/>
          <w:color w:val="auto"/>
          <w:szCs w:val="21"/>
          <w:highlight w:val="none"/>
        </w:rPr>
        <w:t>提交履约保证金或履约担保的</w:t>
      </w:r>
      <w:r>
        <w:rPr>
          <w:rFonts w:hint="eastAsia" w:ascii="仿宋" w:hAnsi="仿宋" w:eastAsia="仿宋" w:cs="仿宋"/>
          <w:color w:val="auto"/>
          <w:spacing w:val="4"/>
          <w:szCs w:val="21"/>
          <w:highlight w:val="none"/>
        </w:rPr>
        <w:t>，视为放弃</w:t>
      </w:r>
      <w:r>
        <w:rPr>
          <w:rFonts w:hint="eastAsia" w:ascii="仿宋" w:hAnsi="仿宋" w:eastAsia="仿宋" w:cs="仿宋"/>
          <w:color w:val="auto"/>
          <w:szCs w:val="21"/>
          <w:highlight w:val="none"/>
        </w:rPr>
        <w:t>成交资格</w:t>
      </w:r>
      <w:r>
        <w:rPr>
          <w:rFonts w:hint="eastAsia" w:ascii="仿宋" w:hAnsi="仿宋" w:eastAsia="仿宋" w:cs="仿宋"/>
          <w:color w:val="auto"/>
          <w:spacing w:val="4"/>
          <w:szCs w:val="21"/>
          <w:highlight w:val="none"/>
        </w:rPr>
        <w:t>，</w:t>
      </w:r>
      <w:r>
        <w:rPr>
          <w:rFonts w:hint="eastAsia" w:ascii="仿宋" w:hAnsi="仿宋" w:eastAsia="仿宋" w:cs="仿宋"/>
          <w:color w:val="auto"/>
          <w:spacing w:val="2"/>
          <w:szCs w:val="21"/>
          <w:highlight w:val="none"/>
        </w:rPr>
        <w:t>其磋商保证金不予退还，给采购人造成的损失超过磋商保证金金额的，成交供应商应当对超过部分予以赔偿。</w:t>
      </w:r>
    </w:p>
    <w:p w14:paraId="78566ED4">
      <w:pPr>
        <w:pageBreakBefore w:val="0"/>
        <w:tabs>
          <w:tab w:val="left" w:pos="7665"/>
        </w:tabs>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9.2签订合同</w:t>
      </w:r>
    </w:p>
    <w:p w14:paraId="0828BE25">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9.2.1 成交供应商应在《成交通知书》发出之日起30日内与采购人签订采购合同。成交供应商无正当理由拒签合同，或者在签订合同时向采购人提出附件条件，采购人有权取消其成交资格，其磋商保证金不予退还，给采购人造成的损失超过磋商保证金金额的，</w:t>
      </w:r>
      <w:r>
        <w:rPr>
          <w:rFonts w:hint="eastAsia" w:ascii="仿宋" w:hAnsi="仿宋" w:eastAsia="仿宋" w:cs="仿宋"/>
          <w:color w:val="auto"/>
          <w:spacing w:val="2"/>
          <w:szCs w:val="21"/>
          <w:highlight w:val="none"/>
        </w:rPr>
        <w:t>成交供应商应当对超过部分予以赔偿。采购人可以</w:t>
      </w:r>
      <w:r>
        <w:rPr>
          <w:rFonts w:hint="eastAsia" w:ascii="仿宋" w:hAnsi="仿宋" w:eastAsia="仿宋" w:cs="仿宋"/>
          <w:color w:val="auto"/>
          <w:szCs w:val="21"/>
          <w:highlight w:val="none"/>
        </w:rPr>
        <w:t>与排在成交供应商之后第一位的成交候选人签订采购合同，或者重新开展采购活动。拒绝签订政府采购合同的成交供应商不得参加对该项目重新开展的采购活动。</w:t>
      </w:r>
    </w:p>
    <w:p w14:paraId="538F30D2">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9.2.2 发出成交通知书后，采购人不得向成交供应商提出任何不合理要求，作为签订合同的条件，不得与成交供应商私下订立背离合同实质性内容的任何协议，所签订的合同不得对磋商文件确定的事项和成交供应商响应文件做实质性修改。</w:t>
      </w:r>
    </w:p>
    <w:p w14:paraId="0B0DC045">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9.2.3 成交供应商因不可抗力原因不能履行采购合同或放弃成交资格的，采购人可以与排在成交供应商之后第一位的成交候选人签订采购合同，以此类推。</w:t>
      </w:r>
    </w:p>
    <w:p w14:paraId="7B63CBBD">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9.2.4 联合体成交的，联合体各方应当与采购人签订采购合同，就成交项目向采购人承担连带责任。</w:t>
      </w:r>
    </w:p>
    <w:p w14:paraId="62F25F26">
      <w:pPr>
        <w:pageBreakBefore w:val="0"/>
        <w:tabs>
          <w:tab w:val="left" w:pos="426"/>
        </w:tabs>
        <w:kinsoku/>
        <w:wordWrap/>
        <w:overflowPunct/>
        <w:topLinePunct w:val="0"/>
        <w:autoSpaceDE w:val="0"/>
        <w:autoSpaceDN w:val="0"/>
        <w:bidi w:val="0"/>
        <w:adjustRightInd w:val="0"/>
        <w:snapToGrid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9.3合同履行</w:t>
      </w:r>
    </w:p>
    <w:p w14:paraId="332A13CB">
      <w:pPr>
        <w:pageBreakBefore w:val="0"/>
        <w:tabs>
          <w:tab w:val="left" w:pos="426"/>
        </w:tabs>
        <w:kinsoku/>
        <w:wordWrap/>
        <w:overflowPunct/>
        <w:topLinePunct w:val="0"/>
        <w:autoSpaceDE w:val="0"/>
        <w:autoSpaceDN w:val="0"/>
        <w:bidi w:val="0"/>
        <w:adjustRightInd w:val="0"/>
        <w:snapToGrid w:val="0"/>
        <w:spacing w:line="400" w:lineRule="exact"/>
        <w:ind w:firstLine="420" w:firstLineChars="200"/>
        <w:rPr>
          <w:rFonts w:hint="eastAsia" w:ascii="仿宋" w:hAnsi="仿宋" w:eastAsia="仿宋" w:cs="仿宋"/>
          <w:color w:val="auto"/>
          <w:szCs w:val="21"/>
          <w:highlight w:val="none"/>
        </w:rPr>
      </w:pPr>
      <w:bookmarkStart w:id="139" w:name="_Toc6253"/>
      <w:bookmarkStart w:id="140" w:name="_Toc31825"/>
      <w:bookmarkStart w:id="141" w:name="_Toc24807"/>
      <w:bookmarkStart w:id="142" w:name="_Toc1956"/>
      <w:bookmarkStart w:id="143" w:name="_Toc19504"/>
      <w:bookmarkStart w:id="144" w:name="_Toc24810"/>
      <w:bookmarkStart w:id="145" w:name="_Toc26211_WPSOffice_Level2"/>
      <w:r>
        <w:rPr>
          <w:rFonts w:hint="eastAsia" w:ascii="仿宋" w:hAnsi="仿宋" w:eastAsia="仿宋" w:cs="仿宋"/>
          <w:color w:val="auto"/>
          <w:szCs w:val="21"/>
          <w:highlight w:val="none"/>
        </w:rPr>
        <w:t>9.3.1 政府采购合同的履行、违约责任和解决争议的方法等适用《</w:t>
      </w:r>
      <w:r>
        <w:rPr>
          <w:rFonts w:hint="eastAsia" w:ascii="仿宋" w:hAnsi="仿宋" w:eastAsia="仿宋" w:cs="仿宋"/>
          <w:color w:val="auto"/>
          <w:szCs w:val="21"/>
          <w:highlight w:val="none"/>
          <w:lang w:eastAsia="zh-CN"/>
        </w:rPr>
        <w:t>中华人民共和国民法典</w:t>
      </w:r>
      <w:r>
        <w:rPr>
          <w:rFonts w:hint="eastAsia" w:ascii="仿宋" w:hAnsi="仿宋" w:eastAsia="仿宋" w:cs="仿宋"/>
          <w:color w:val="auto"/>
          <w:szCs w:val="21"/>
          <w:highlight w:val="none"/>
        </w:rPr>
        <w:t>》。</w:t>
      </w:r>
    </w:p>
    <w:p w14:paraId="7D0A0A9B">
      <w:pPr>
        <w:pageBreakBefore w:val="0"/>
        <w:tabs>
          <w:tab w:val="left" w:pos="426"/>
        </w:tabs>
        <w:kinsoku/>
        <w:wordWrap/>
        <w:overflowPunct/>
        <w:topLinePunct w:val="0"/>
        <w:autoSpaceDE w:val="0"/>
        <w:autoSpaceDN w:val="0"/>
        <w:bidi w:val="0"/>
        <w:adjustRightInd w:val="0"/>
        <w:snapToGrid w:val="0"/>
        <w:spacing w:line="400" w:lineRule="exact"/>
        <w:ind w:firstLine="420" w:firstLineChars="200"/>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 xml:space="preserve">9.3.2 </w:t>
      </w:r>
      <w:r>
        <w:rPr>
          <w:rFonts w:hint="eastAsia" w:ascii="仿宋" w:hAnsi="仿宋" w:eastAsia="仿宋" w:cs="仿宋"/>
          <w:color w:val="auto"/>
          <w:szCs w:val="21"/>
          <w:highlight w:val="none"/>
          <w:lang w:eastAsia="zh-TW"/>
        </w:rPr>
        <w:t>政府采购合同订立后，合同各方不得擅自变更</w:t>
      </w:r>
      <w:r>
        <w:rPr>
          <w:rFonts w:hint="eastAsia" w:ascii="仿宋" w:hAnsi="仿宋" w:eastAsia="仿宋" w:cs="仿宋"/>
          <w:color w:val="auto"/>
          <w:szCs w:val="21"/>
          <w:highlight w:val="none"/>
        </w:rPr>
        <w:t>或者</w:t>
      </w:r>
      <w:r>
        <w:rPr>
          <w:rFonts w:hint="eastAsia" w:ascii="仿宋" w:hAnsi="仿宋" w:eastAsia="仿宋" w:cs="仿宋"/>
          <w:color w:val="auto"/>
          <w:szCs w:val="21"/>
          <w:highlight w:val="none"/>
          <w:lang w:eastAsia="zh-TW"/>
        </w:rPr>
        <w:t>中止或者终止合同。政府采购合同需要变更的，采购人应将有关合同变更内容，以书面形式报政府采购监督管理</w:t>
      </w:r>
      <w:r>
        <w:rPr>
          <w:rFonts w:hint="eastAsia" w:ascii="仿宋" w:hAnsi="仿宋" w:eastAsia="仿宋" w:cs="仿宋"/>
          <w:color w:val="auto"/>
          <w:szCs w:val="21"/>
          <w:highlight w:val="none"/>
        </w:rPr>
        <w:t>部门</w:t>
      </w:r>
      <w:r>
        <w:rPr>
          <w:rFonts w:hint="eastAsia" w:ascii="仿宋" w:hAnsi="仿宋" w:eastAsia="仿宋" w:cs="仿宋"/>
          <w:color w:val="auto"/>
          <w:szCs w:val="21"/>
          <w:highlight w:val="none"/>
          <w:lang w:eastAsia="zh-TW"/>
        </w:rPr>
        <w:t>备案；因特殊情况需要中止或终止合同的，采购人应将中止或终止合同的理由以及相应措施，以书面形式报政府采购监督管理</w:t>
      </w:r>
      <w:r>
        <w:rPr>
          <w:rFonts w:hint="eastAsia" w:ascii="仿宋" w:hAnsi="仿宋" w:eastAsia="仿宋" w:cs="仿宋"/>
          <w:color w:val="auto"/>
          <w:szCs w:val="21"/>
          <w:highlight w:val="none"/>
        </w:rPr>
        <w:t>部门</w:t>
      </w:r>
      <w:r>
        <w:rPr>
          <w:rFonts w:hint="eastAsia" w:ascii="仿宋" w:hAnsi="仿宋" w:eastAsia="仿宋" w:cs="仿宋"/>
          <w:color w:val="auto"/>
          <w:szCs w:val="21"/>
          <w:highlight w:val="none"/>
          <w:lang w:eastAsia="zh-TW"/>
        </w:rPr>
        <w:t>备案。</w:t>
      </w:r>
    </w:p>
    <w:p w14:paraId="46144751">
      <w:pPr>
        <w:pageBreakBefore w:val="0"/>
        <w:tabs>
          <w:tab w:val="left" w:pos="426"/>
        </w:tabs>
        <w:kinsoku/>
        <w:wordWrap/>
        <w:overflowPunct/>
        <w:topLinePunct w:val="0"/>
        <w:autoSpaceDE w:val="0"/>
        <w:autoSpaceDN w:val="0"/>
        <w:bidi w:val="0"/>
        <w:adjustRightInd w:val="0"/>
        <w:snapToGrid w:val="0"/>
        <w:spacing w:line="400" w:lineRule="exact"/>
        <w:ind w:firstLine="420" w:firstLineChars="200"/>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 xml:space="preserve">9.3.3 </w:t>
      </w:r>
      <w:r>
        <w:rPr>
          <w:rFonts w:hint="eastAsia" w:ascii="仿宋" w:hAnsi="仿宋" w:eastAsia="仿宋" w:cs="仿宋"/>
          <w:color w:val="auto"/>
          <w:szCs w:val="21"/>
          <w:highlight w:val="none"/>
          <w:lang w:eastAsia="zh-TW"/>
        </w:rPr>
        <w:t>政府采购合同履行中，采购人需追加与合同标的相同的货物的，在不改变合同其他条款的前提下，可以与</w:t>
      </w:r>
      <w:r>
        <w:rPr>
          <w:rFonts w:hint="eastAsia" w:ascii="仿宋" w:hAnsi="仿宋" w:eastAsia="仿宋" w:cs="仿宋"/>
          <w:color w:val="auto"/>
          <w:szCs w:val="21"/>
          <w:highlight w:val="none"/>
        </w:rPr>
        <w:t>成交供应商</w:t>
      </w:r>
      <w:r>
        <w:rPr>
          <w:rFonts w:hint="eastAsia" w:ascii="仿宋" w:hAnsi="仿宋" w:eastAsia="仿宋" w:cs="仿宋"/>
          <w:color w:val="auto"/>
          <w:szCs w:val="21"/>
          <w:highlight w:val="none"/>
          <w:lang w:eastAsia="zh-TW"/>
        </w:rPr>
        <w:t>签订补充合同，但所补充合同的采购金额不得超过原</w:t>
      </w:r>
      <w:r>
        <w:rPr>
          <w:rFonts w:hint="eastAsia" w:ascii="仿宋" w:hAnsi="仿宋" w:eastAsia="仿宋" w:cs="仿宋"/>
          <w:color w:val="auto"/>
          <w:szCs w:val="21"/>
          <w:highlight w:val="none"/>
        </w:rPr>
        <w:t>合同</w:t>
      </w:r>
      <w:r>
        <w:rPr>
          <w:rFonts w:hint="eastAsia" w:ascii="仿宋" w:hAnsi="仿宋" w:eastAsia="仿宋" w:cs="仿宋"/>
          <w:color w:val="auto"/>
          <w:szCs w:val="21"/>
          <w:highlight w:val="none"/>
          <w:lang w:eastAsia="zh-TW"/>
        </w:rPr>
        <w:t>采购金额的百分之十。签订补充合同的</w:t>
      </w:r>
      <w:r>
        <w:rPr>
          <w:rFonts w:hint="eastAsia" w:ascii="仿宋" w:hAnsi="仿宋" w:eastAsia="仿宋" w:cs="仿宋"/>
          <w:color w:val="auto"/>
          <w:szCs w:val="21"/>
          <w:highlight w:val="none"/>
        </w:rPr>
        <w:t>应</w:t>
      </w:r>
      <w:r>
        <w:rPr>
          <w:rFonts w:hint="eastAsia" w:ascii="仿宋" w:hAnsi="仿宋" w:eastAsia="仿宋" w:cs="仿宋"/>
          <w:color w:val="auto"/>
          <w:szCs w:val="21"/>
          <w:highlight w:val="none"/>
          <w:lang w:eastAsia="zh-TW"/>
        </w:rPr>
        <w:t>按规定备案。</w:t>
      </w:r>
    </w:p>
    <w:p w14:paraId="3332E270">
      <w:pPr>
        <w:pageBreakBefore w:val="0"/>
        <w:kinsoku/>
        <w:wordWrap/>
        <w:overflowPunct/>
        <w:topLinePunct w:val="0"/>
        <w:bidi w:val="0"/>
        <w:spacing w:before="120" w:beforeLines="50" w:after="120" w:afterLines="50" w:line="400" w:lineRule="exact"/>
        <w:outlineLvl w:val="1"/>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10.终止磋商</w:t>
      </w:r>
      <w:bookmarkEnd w:id="139"/>
      <w:bookmarkEnd w:id="140"/>
      <w:bookmarkEnd w:id="141"/>
      <w:bookmarkEnd w:id="142"/>
      <w:bookmarkEnd w:id="143"/>
      <w:bookmarkEnd w:id="144"/>
      <w:bookmarkEnd w:id="145"/>
    </w:p>
    <w:p w14:paraId="20CA5F55">
      <w:pPr>
        <w:pageBreakBefore w:val="0"/>
        <w:widowControl/>
        <w:kinsoku/>
        <w:wordWrap/>
        <w:overflowPunct/>
        <w:topLinePunct w:val="0"/>
        <w:bidi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出现下列情形之一的，采购人或者采购代理机构应当终止本次竞争性磋商采购活动，发布终止公告并说明原因，重新开展采购活动：</w:t>
      </w:r>
    </w:p>
    <w:p w14:paraId="32E0D1FF">
      <w:pPr>
        <w:pageBreakBefore w:val="0"/>
        <w:widowControl/>
        <w:kinsoku/>
        <w:wordWrap/>
        <w:overflowPunct/>
        <w:topLinePunct w:val="0"/>
        <w:bidi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（1）因情况变化，不再符合规定的竞争性磋商采购方式适用情形的；</w:t>
      </w:r>
    </w:p>
    <w:p w14:paraId="626DA1B7">
      <w:pPr>
        <w:pageBreakBefore w:val="0"/>
        <w:widowControl/>
        <w:kinsoku/>
        <w:wordWrap/>
        <w:overflowPunct/>
        <w:topLinePunct w:val="0"/>
        <w:bidi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（2）出现影响采购公正的违法、违规行为的；</w:t>
      </w:r>
    </w:p>
    <w:p w14:paraId="6445353D">
      <w:pPr>
        <w:pageBreakBefore w:val="0"/>
        <w:widowControl/>
        <w:kinsoku/>
        <w:wordWrap/>
        <w:overflowPunct/>
        <w:topLinePunct w:val="0"/>
        <w:bidi w:val="0"/>
        <w:spacing w:line="400" w:lineRule="exact"/>
        <w:ind w:firstLine="420" w:firstLineChars="200"/>
        <w:rPr>
          <w:rFonts w:hint="eastAsia" w:ascii="仿宋" w:hAnsi="仿宋" w:eastAsia="仿宋" w:cs="仿宋"/>
          <w:b/>
          <w:color w:val="auto"/>
          <w:szCs w:val="21"/>
          <w:highlight w:val="none"/>
        </w:rPr>
      </w:pPr>
      <w:r>
        <w:rPr>
          <w:rFonts w:hint="eastAsia" w:ascii="仿宋" w:hAnsi="仿宋" w:eastAsia="仿宋" w:cs="仿宋"/>
          <w:snapToGrid w:val="0"/>
          <w:color w:val="auto"/>
          <w:kern w:val="0"/>
          <w:szCs w:val="21"/>
          <w:highlight w:val="none"/>
        </w:rPr>
        <w:t>（3）除《政府采购竞争性磋商采购方式管理暂行办法》办法第21条第3款规定的情形外，在采购过程中符合要求的供应商或者磋商报价未超过采购预算</w:t>
      </w:r>
      <w:r>
        <w:rPr>
          <w:rFonts w:hint="eastAsia" w:ascii="仿宋" w:hAnsi="仿宋" w:eastAsia="仿宋" w:cs="仿宋"/>
          <w:bCs/>
          <w:color w:val="auto"/>
          <w:szCs w:val="21"/>
          <w:highlight w:val="none"/>
        </w:rPr>
        <w:t>（最高限价）</w:t>
      </w:r>
      <w:r>
        <w:rPr>
          <w:rFonts w:hint="eastAsia" w:ascii="仿宋" w:hAnsi="仿宋" w:eastAsia="仿宋" w:cs="仿宋"/>
          <w:bCs/>
          <w:snapToGrid w:val="0"/>
          <w:color w:val="auto"/>
          <w:kern w:val="0"/>
          <w:szCs w:val="21"/>
          <w:highlight w:val="none"/>
        </w:rPr>
        <w:t>的供</w:t>
      </w:r>
      <w:r>
        <w:rPr>
          <w:rFonts w:hint="eastAsia" w:ascii="仿宋" w:hAnsi="仿宋" w:eastAsia="仿宋" w:cs="仿宋"/>
          <w:snapToGrid w:val="0"/>
          <w:color w:val="auto"/>
          <w:kern w:val="0"/>
          <w:szCs w:val="21"/>
          <w:highlight w:val="none"/>
        </w:rPr>
        <w:t>应商不足3家的。</w:t>
      </w:r>
    </w:p>
    <w:p w14:paraId="54D5496B">
      <w:pPr>
        <w:pageBreakBefore w:val="0"/>
        <w:kinsoku/>
        <w:wordWrap/>
        <w:overflowPunct/>
        <w:topLinePunct w:val="0"/>
        <w:bidi w:val="0"/>
        <w:spacing w:before="120" w:beforeLines="50" w:after="120" w:afterLines="50" w:line="400" w:lineRule="exact"/>
        <w:outlineLvl w:val="1"/>
        <w:rPr>
          <w:rFonts w:hint="eastAsia" w:ascii="仿宋" w:hAnsi="仿宋" w:eastAsia="仿宋" w:cs="仿宋"/>
          <w:color w:val="auto"/>
          <w:sz w:val="36"/>
          <w:szCs w:val="36"/>
          <w:highlight w:val="none"/>
        </w:rPr>
      </w:pPr>
      <w:bookmarkStart w:id="146" w:name="_Toc959"/>
      <w:bookmarkStart w:id="147" w:name="_Toc32599_WPSOffice_Level2"/>
      <w:bookmarkStart w:id="148" w:name="_Toc6277"/>
      <w:bookmarkStart w:id="149" w:name="_Toc5167"/>
      <w:bookmarkStart w:id="150" w:name="_Toc24671"/>
      <w:bookmarkStart w:id="151" w:name="_Toc17887"/>
      <w:bookmarkStart w:id="152" w:name="_Toc10593"/>
      <w:r>
        <w:rPr>
          <w:rFonts w:hint="eastAsia" w:ascii="仿宋" w:hAnsi="仿宋" w:eastAsia="仿宋" w:cs="仿宋"/>
          <w:color w:val="auto"/>
          <w:sz w:val="36"/>
          <w:szCs w:val="36"/>
          <w:highlight w:val="none"/>
        </w:rPr>
        <w:t>11.采购代理服务费</w:t>
      </w:r>
      <w:bookmarkEnd w:id="146"/>
      <w:bookmarkEnd w:id="147"/>
      <w:bookmarkEnd w:id="148"/>
      <w:bookmarkEnd w:id="149"/>
      <w:bookmarkEnd w:id="150"/>
      <w:bookmarkEnd w:id="151"/>
      <w:bookmarkEnd w:id="152"/>
    </w:p>
    <w:p w14:paraId="6CCA3C79">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11.1 成交供应商</w:t>
      </w:r>
      <w:r>
        <w:rPr>
          <w:rFonts w:hint="eastAsia" w:ascii="仿宋" w:hAnsi="仿宋" w:eastAsia="仿宋" w:cs="仿宋"/>
          <w:color w:val="auto"/>
          <w:szCs w:val="21"/>
          <w:highlight w:val="none"/>
          <w:lang w:eastAsia="zh-CN"/>
        </w:rPr>
        <w:t>支付</w:t>
      </w:r>
      <w:r>
        <w:rPr>
          <w:rFonts w:hint="eastAsia" w:ascii="仿宋" w:hAnsi="仿宋" w:eastAsia="仿宋" w:cs="仿宋"/>
          <w:color w:val="auto"/>
          <w:szCs w:val="21"/>
          <w:highlight w:val="none"/>
        </w:rPr>
        <w:t>采购代理服务费</w:t>
      </w:r>
      <w:r>
        <w:rPr>
          <w:rFonts w:hint="eastAsia" w:ascii="仿宋" w:hAnsi="仿宋" w:eastAsia="仿宋" w:cs="仿宋"/>
          <w:color w:val="auto"/>
          <w:szCs w:val="21"/>
          <w:highlight w:val="none"/>
          <w:lang w:eastAsia="zh-CN"/>
        </w:rPr>
        <w:t>。</w:t>
      </w:r>
    </w:p>
    <w:p w14:paraId="7297E1E8">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 采购代理服务费依据《国家计委关于印发招标代理服务收费管理暂行办法的通知》（计价格【2002】1980号）和国家发改委办公厅颁发的《关于招标代理服务收费有关问题的通知》（发改办价格【2003】857号）文件规定标准收取。具体采购代理服务费收费金额将在成交公告中公布。</w:t>
      </w:r>
    </w:p>
    <w:p w14:paraId="1A64381D">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 采购代理服务费，可以采取现金、支票、银行汇票、电汇、网银等方式交纳，但不得用磋商保证金冲抵。</w:t>
      </w:r>
    </w:p>
    <w:p w14:paraId="38371885">
      <w:pPr>
        <w:pageBreakBefore w:val="0"/>
        <w:kinsoku/>
        <w:wordWrap/>
        <w:overflowPunct/>
        <w:topLinePunct w:val="0"/>
        <w:bidi w:val="0"/>
        <w:spacing w:line="400" w:lineRule="exact"/>
        <w:ind w:firstLine="420" w:firstLineChars="200"/>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11.4 成交供应商未按本章11.1条款规定缴纳采购代理服务费的，其磋商保证金将被采购代理机构全额没收。</w:t>
      </w:r>
    </w:p>
    <w:bookmarkEnd w:id="137"/>
    <w:p w14:paraId="788ECE8B">
      <w:pPr>
        <w:pageBreakBefore w:val="0"/>
        <w:kinsoku/>
        <w:wordWrap/>
        <w:overflowPunct/>
        <w:topLinePunct w:val="0"/>
        <w:bidi w:val="0"/>
        <w:spacing w:before="240" w:beforeLines="100" w:after="120" w:afterLines="50" w:line="400" w:lineRule="exact"/>
        <w:outlineLvl w:val="1"/>
        <w:rPr>
          <w:rFonts w:hint="eastAsia" w:ascii="仿宋" w:hAnsi="仿宋" w:eastAsia="仿宋" w:cs="仿宋"/>
          <w:color w:val="auto"/>
          <w:sz w:val="36"/>
          <w:szCs w:val="36"/>
          <w:highlight w:val="none"/>
        </w:rPr>
      </w:pPr>
      <w:bookmarkStart w:id="153" w:name="_Toc27185"/>
      <w:bookmarkStart w:id="154" w:name="_Toc25673"/>
      <w:bookmarkStart w:id="155" w:name="_Toc5346"/>
      <w:bookmarkStart w:id="156" w:name="_Toc25506"/>
      <w:bookmarkStart w:id="157" w:name="_Toc19478"/>
      <w:bookmarkStart w:id="158" w:name="_Toc12558"/>
      <w:bookmarkStart w:id="159" w:name="_Toc5669_WPSOffice_Level2"/>
      <w:r>
        <w:rPr>
          <w:rFonts w:hint="eastAsia" w:ascii="仿宋" w:hAnsi="仿宋" w:eastAsia="仿宋" w:cs="仿宋"/>
          <w:color w:val="auto"/>
          <w:sz w:val="36"/>
          <w:szCs w:val="36"/>
          <w:highlight w:val="none"/>
        </w:rPr>
        <w:t>12.质疑与投诉</w:t>
      </w:r>
      <w:bookmarkEnd w:id="153"/>
      <w:bookmarkEnd w:id="154"/>
      <w:bookmarkEnd w:id="155"/>
      <w:bookmarkEnd w:id="156"/>
      <w:bookmarkEnd w:id="157"/>
      <w:bookmarkEnd w:id="158"/>
      <w:bookmarkEnd w:id="159"/>
    </w:p>
    <w:p w14:paraId="78A5CE16">
      <w:pPr>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12.1质疑</w:t>
      </w:r>
    </w:p>
    <w:p w14:paraId="07681892">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12.1.1供应商对本次磋商采购活动有疑问的，应当按照《中华人民共和国政府采购法实施条例》的有关规定办理。</w:t>
      </w:r>
    </w:p>
    <w:p w14:paraId="3D2D8603">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12.1.2 供应商对采购文件、采购过程或成交结果使自身的合法权益受到损害，应当在法定期限内，按照质疑函范本格式要求以书面形式向采购代理机构或采购人提出质疑，并附必要的证明材料。</w:t>
      </w:r>
    </w:p>
    <w:p w14:paraId="7E94BA07">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12.1.3 质疑函应当包括下列内容：</w:t>
      </w:r>
    </w:p>
    <w:p w14:paraId="0BDDFDF9">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（1）供应商的姓名或者名称、地址、邮编、联系人及联系电话；</w:t>
      </w:r>
    </w:p>
    <w:p w14:paraId="583EF3B4">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（2）质疑项目的名称、编号；</w:t>
      </w:r>
    </w:p>
    <w:p w14:paraId="643FB1E9">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（3）具体、明确的质疑事项和与质疑事项相关的请求；</w:t>
      </w:r>
    </w:p>
    <w:p w14:paraId="13ED90D2">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（4）事实依据；</w:t>
      </w:r>
    </w:p>
    <w:p w14:paraId="19671493">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（5）必要的法律依据；</w:t>
      </w:r>
    </w:p>
    <w:p w14:paraId="709B140E">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（6）提出质疑的日期。</w:t>
      </w:r>
    </w:p>
    <w:p w14:paraId="5B93E6C1">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供应商为法人的，应当由法定代表人或者其</w:t>
      </w:r>
      <w:r>
        <w:rPr>
          <w:rFonts w:hint="eastAsia" w:ascii="仿宋" w:hAnsi="仿宋" w:eastAsia="仿宋" w:cs="仿宋"/>
          <w:color w:val="auto"/>
          <w:szCs w:val="21"/>
          <w:highlight w:val="none"/>
          <w:lang w:eastAsia="zh-CN"/>
        </w:rPr>
        <w:t>授权代表</w:t>
      </w:r>
      <w:r>
        <w:rPr>
          <w:rFonts w:hint="eastAsia" w:ascii="仿宋" w:hAnsi="仿宋" w:eastAsia="仿宋" w:cs="仿宋"/>
          <w:color w:val="auto"/>
          <w:szCs w:val="21"/>
          <w:highlight w:val="none"/>
        </w:rPr>
        <w:t>签字或者盖章，并加盖单位章。</w:t>
      </w:r>
    </w:p>
    <w:p w14:paraId="376B0F7D">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12.1.4质疑人可以</w:t>
      </w:r>
      <w:r>
        <w:rPr>
          <w:rFonts w:hint="eastAsia" w:ascii="仿宋" w:hAnsi="仿宋" w:eastAsia="仿宋" w:cs="仿宋"/>
          <w:color w:val="auto"/>
          <w:szCs w:val="21"/>
          <w:highlight w:val="none"/>
          <w:lang w:eastAsia="zh-CN"/>
        </w:rPr>
        <w:t>授权代表</w:t>
      </w:r>
      <w:r>
        <w:rPr>
          <w:rFonts w:hint="eastAsia" w:ascii="仿宋" w:hAnsi="仿宋" w:eastAsia="仿宋" w:cs="仿宋"/>
          <w:color w:val="auto"/>
          <w:szCs w:val="21"/>
          <w:highlight w:val="none"/>
        </w:rPr>
        <w:t>办理质疑事项，代理人办理质疑事项时，除提交质疑函外，还应当提交质疑人的授权委托书及代理人的有效身份证明，授权委托书应当载明委托代理的具体权限期限和相关事项。</w:t>
      </w:r>
    </w:p>
    <w:p w14:paraId="37792424">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12.1.5 质疑函范本格式在中国政府采购网站（http://www.ccgp.gov.cn/）自行下载。</w:t>
      </w:r>
    </w:p>
    <w:p w14:paraId="4CAFA4CA">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12.1.6 接收质疑函的联系部门、联系电话和通讯地址同招标公告。</w:t>
      </w:r>
    </w:p>
    <w:p w14:paraId="127A5D29">
      <w:pPr>
        <w:pageBreakBefore w:val="0"/>
        <w:widowControl/>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12.1.7 有下列情形之一的，属于无效质疑，采购代理机构和采购人不予受理：</w:t>
      </w:r>
    </w:p>
    <w:p w14:paraId="34D31B59">
      <w:pPr>
        <w:pageBreakBefore w:val="0"/>
        <w:widowControl/>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（1）质疑人不是参与本次政府采购项目的供应商；</w:t>
      </w:r>
    </w:p>
    <w:p w14:paraId="4A4DA98D">
      <w:pPr>
        <w:pageBreakBefore w:val="0"/>
        <w:widowControl/>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（2）质疑人与质疑事项不存在利害关系的；</w:t>
      </w:r>
    </w:p>
    <w:p w14:paraId="7580D1B2">
      <w:pPr>
        <w:pageBreakBefore w:val="0"/>
        <w:widowControl/>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（3）未在法定期限内提出质疑的；</w:t>
      </w:r>
    </w:p>
    <w:p w14:paraId="3E747ADE">
      <w:pPr>
        <w:pageBreakBefore w:val="0"/>
        <w:widowControl/>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（4）质疑未以书面形式提出，以传真、电子邮件、移动通信等形式即时收悉提交的质疑材料；</w:t>
      </w:r>
    </w:p>
    <w:p w14:paraId="55D7EEF6">
      <w:pPr>
        <w:pageBreakBefore w:val="0"/>
        <w:widowControl/>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（5）质疑未按质疑函范本格式提出的；</w:t>
      </w:r>
    </w:p>
    <w:p w14:paraId="7B0D0DBC">
      <w:pPr>
        <w:pageBreakBefore w:val="0"/>
        <w:widowControl/>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（6）质疑书主要内容构成不完整的；</w:t>
      </w:r>
    </w:p>
    <w:p w14:paraId="28BE6866">
      <w:pPr>
        <w:pageBreakBefore w:val="0"/>
        <w:widowControl/>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（7）质疑书没有合法有效的签字、盖章或授权的；</w:t>
      </w:r>
    </w:p>
    <w:p w14:paraId="6FF1BF73">
      <w:pPr>
        <w:pageBreakBefore w:val="0"/>
        <w:widowControl/>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（8）以非法手段取得证据、材料的；</w:t>
      </w:r>
    </w:p>
    <w:p w14:paraId="3960140F">
      <w:pPr>
        <w:pageBreakBefore w:val="0"/>
        <w:widowControl/>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（9）质疑答复后，同一质疑人就同一事项再次提出质疑的；</w:t>
      </w:r>
    </w:p>
    <w:p w14:paraId="7205798B">
      <w:pPr>
        <w:pageBreakBefore w:val="0"/>
        <w:widowControl/>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（10）不符合法律、法规、规章和政府采购监管机构规定的其他条件的。</w:t>
      </w:r>
    </w:p>
    <w:p w14:paraId="2623B92B">
      <w:pPr>
        <w:pageBreakBefore w:val="0"/>
        <w:widowControl/>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12.1.8 采购代理机构或采购人将在收到书面质疑后7个工作日内做出答复，并以书面形式通知质疑人和其他有关供应商。</w:t>
      </w:r>
    </w:p>
    <w:p w14:paraId="46ACBB28">
      <w:pPr>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12.2 投诉</w:t>
      </w:r>
    </w:p>
    <w:p w14:paraId="64E00BDE">
      <w:pPr>
        <w:pageBreakBefore w:val="0"/>
        <w:tabs>
          <w:tab w:val="left" w:pos="4620"/>
        </w:tabs>
        <w:kinsoku/>
        <w:wordWrap/>
        <w:overflowPunct/>
        <w:topLinePunct w:val="0"/>
        <w:bidi w:val="0"/>
        <w:spacing w:line="400" w:lineRule="exact"/>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12.2.1 质疑人对采购代理机构或采购人的答复不满意，或者采购人、采购代理机构未在规定时间内作出答复的，可以在答复期满后15个工作日内向</w:t>
      </w:r>
      <w:r>
        <w:rPr>
          <w:rFonts w:hint="eastAsia" w:ascii="仿宋" w:hAnsi="仿宋" w:eastAsia="仿宋" w:cs="仿宋"/>
          <w:b/>
          <w:bCs/>
          <w:color w:val="auto"/>
          <w:szCs w:val="21"/>
          <w:highlight w:val="none"/>
          <w:lang w:val="en-US" w:eastAsia="zh-CN"/>
        </w:rPr>
        <w:t>勉县财政局</w:t>
      </w:r>
      <w:r>
        <w:rPr>
          <w:rFonts w:hint="eastAsia" w:ascii="仿宋" w:hAnsi="仿宋" w:eastAsia="仿宋" w:cs="仿宋"/>
          <w:color w:val="auto"/>
          <w:szCs w:val="21"/>
          <w:highlight w:val="none"/>
        </w:rPr>
        <w:t>提起投诉</w:t>
      </w:r>
      <w:r>
        <w:rPr>
          <w:rFonts w:hint="eastAsia" w:ascii="仿宋" w:hAnsi="仿宋" w:eastAsia="仿宋" w:cs="仿宋"/>
          <w:color w:val="auto"/>
          <w:szCs w:val="21"/>
          <w:highlight w:val="none"/>
          <w:lang w:eastAsia="zh-CN"/>
        </w:rPr>
        <w:t>。</w:t>
      </w:r>
    </w:p>
    <w:p w14:paraId="5524AB7E">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12.2.2 供应商投诉时</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应当提交投诉书和必要的证明材料，并按照被投诉采购人、采购代理机构（以下简称被投诉人）和与投诉事项有关的供应商数量提供投诉书的副本。投诉书应当包括下列内容：</w:t>
      </w:r>
    </w:p>
    <w:p w14:paraId="61005A4B">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（1）投诉人和被投诉人的姓名或者名称、通讯地址、邮编、联系人及联系电话；</w:t>
      </w:r>
    </w:p>
    <w:p w14:paraId="53C0F61D">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（2）质疑和质疑答复情况说明及相关证明材料；</w:t>
      </w:r>
    </w:p>
    <w:p w14:paraId="27FA76A0">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（3）具体、明确的投诉事项和与投诉事项相关的投诉请求；</w:t>
      </w:r>
    </w:p>
    <w:p w14:paraId="55CD2252">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（4）事实依据；</w:t>
      </w:r>
    </w:p>
    <w:p w14:paraId="481E2269">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（5）法律依据；</w:t>
      </w:r>
    </w:p>
    <w:p w14:paraId="5C96AEAC">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（6）提起投诉的日期。</w:t>
      </w:r>
    </w:p>
    <w:p w14:paraId="289C73E2">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投诉人为自然人的，应当由本人签字；投诉人为法人或者其他组织的，应当由法定代表人、主要负责人，或者其</w:t>
      </w:r>
      <w:r>
        <w:rPr>
          <w:rFonts w:hint="eastAsia" w:ascii="仿宋" w:hAnsi="仿宋" w:eastAsia="仿宋" w:cs="仿宋"/>
          <w:color w:val="auto"/>
          <w:szCs w:val="21"/>
          <w:highlight w:val="none"/>
          <w:lang w:eastAsia="zh-CN"/>
        </w:rPr>
        <w:t>授权代表</w:t>
      </w:r>
      <w:r>
        <w:rPr>
          <w:rFonts w:hint="eastAsia" w:ascii="仿宋" w:hAnsi="仿宋" w:eastAsia="仿宋" w:cs="仿宋"/>
          <w:color w:val="auto"/>
          <w:szCs w:val="21"/>
          <w:highlight w:val="none"/>
        </w:rPr>
        <w:t>签字或者盖章，并加盖单位章。</w:t>
      </w:r>
    </w:p>
    <w:p w14:paraId="32055601">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12.2.3 投诉书范本格式在中国政府采购网站（http://www.ccgp.gov.cn/）自行下载。</w:t>
      </w:r>
    </w:p>
    <w:p w14:paraId="1A137274">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12.2.4 投诉人提起投诉应当符合下列条件：</w:t>
      </w:r>
    </w:p>
    <w:p w14:paraId="3DA46C9D">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（1）提起投诉前已依法进行质疑；</w:t>
      </w:r>
    </w:p>
    <w:p w14:paraId="3C30F925">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（2）投诉书内容符合财政部94号令的规定；</w:t>
      </w:r>
    </w:p>
    <w:p w14:paraId="7463346A">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（3）在投诉有效期限内提起投诉；</w:t>
      </w:r>
    </w:p>
    <w:p w14:paraId="3BE0FE05">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（4）同一投诉事项未经财政部门投诉处理；</w:t>
      </w:r>
    </w:p>
    <w:p w14:paraId="1028626A">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（5）财政部规定的其他条件。</w:t>
      </w:r>
    </w:p>
    <w:p w14:paraId="3A83A3CA">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12.2.5  投诉人投诉的事项不得超出已质疑事项的范围，但基于质疑答复内容提出的投诉事项除外。</w:t>
      </w:r>
    </w:p>
    <w:p w14:paraId="63C0430A">
      <w:pPr>
        <w:pageBreakBefore w:val="0"/>
        <w:kinsoku/>
        <w:wordWrap/>
        <w:overflowPunct/>
        <w:topLinePunct w:val="0"/>
        <w:bidi w:val="0"/>
        <w:spacing w:before="240" w:beforeLines="100" w:after="120" w:afterLines="50" w:line="400" w:lineRule="exact"/>
        <w:jc w:val="left"/>
        <w:outlineLvl w:val="1"/>
        <w:rPr>
          <w:rFonts w:hint="eastAsia" w:ascii="仿宋" w:hAnsi="仿宋" w:eastAsia="仿宋" w:cs="仿宋"/>
          <w:b/>
          <w:color w:val="auto"/>
          <w:sz w:val="36"/>
          <w:szCs w:val="36"/>
          <w:highlight w:val="none"/>
        </w:rPr>
      </w:pPr>
      <w:bookmarkStart w:id="160" w:name="_Toc1585"/>
      <w:bookmarkStart w:id="161" w:name="_Toc21385"/>
      <w:bookmarkStart w:id="162" w:name="_Toc15388"/>
      <w:bookmarkStart w:id="163" w:name="_Toc1987"/>
      <w:bookmarkStart w:id="164" w:name="_Toc31760"/>
      <w:bookmarkStart w:id="165" w:name="_Toc27801"/>
      <w:bookmarkStart w:id="166" w:name="_Toc25709_WPSOffice_Level2"/>
      <w:r>
        <w:rPr>
          <w:rFonts w:hint="eastAsia" w:ascii="仿宋" w:hAnsi="仿宋" w:eastAsia="仿宋" w:cs="仿宋"/>
          <w:bCs/>
          <w:color w:val="auto"/>
          <w:sz w:val="36"/>
          <w:szCs w:val="36"/>
          <w:highlight w:val="none"/>
        </w:rPr>
        <w:t>13</w:t>
      </w:r>
      <w:r>
        <w:rPr>
          <w:rFonts w:hint="eastAsia" w:ascii="仿宋" w:hAnsi="仿宋" w:eastAsia="仿宋" w:cs="仿宋"/>
          <w:b/>
          <w:color w:val="auto"/>
          <w:sz w:val="36"/>
          <w:szCs w:val="36"/>
          <w:highlight w:val="none"/>
        </w:rPr>
        <w:t>.</w:t>
      </w:r>
      <w:r>
        <w:rPr>
          <w:rFonts w:hint="eastAsia" w:ascii="仿宋" w:hAnsi="仿宋" w:eastAsia="仿宋" w:cs="仿宋"/>
          <w:bCs/>
          <w:color w:val="auto"/>
          <w:sz w:val="36"/>
          <w:szCs w:val="36"/>
          <w:highlight w:val="none"/>
        </w:rPr>
        <w:t>其他</w:t>
      </w:r>
      <w:bookmarkEnd w:id="160"/>
      <w:bookmarkEnd w:id="161"/>
      <w:bookmarkEnd w:id="162"/>
      <w:bookmarkEnd w:id="163"/>
      <w:bookmarkEnd w:id="164"/>
      <w:bookmarkEnd w:id="165"/>
      <w:bookmarkEnd w:id="166"/>
    </w:p>
    <w:p w14:paraId="49037531">
      <w:pPr>
        <w:pageBreakBefore w:val="0"/>
        <w:kinsoku/>
        <w:wordWrap/>
        <w:overflowPunct/>
        <w:topLinePunct w:val="0"/>
        <w:bidi w:val="0"/>
        <w:spacing w:before="120" w:beforeLines="50" w:after="120" w:afterLines="50" w:line="400" w:lineRule="exact"/>
        <w:jc w:val="lef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13.1融资担保</w:t>
      </w:r>
    </w:p>
    <w:p w14:paraId="1F67CEBA">
      <w:pPr>
        <w:pageBreakBefore w:val="0"/>
        <w:kinsoku/>
        <w:wordWrap/>
        <w:overflowPunct/>
        <w:topLinePunct w:val="0"/>
        <w:bidi w:val="0"/>
        <w:spacing w:before="120" w:beforeLines="50" w:after="120" w:afterLines="50" w:line="400" w:lineRule="exact"/>
        <w:ind w:firstLine="420" w:firstLineChars="200"/>
        <w:jc w:val="left"/>
        <w:rPr>
          <w:rFonts w:hint="eastAsia" w:ascii="仿宋" w:hAnsi="仿宋" w:eastAsia="仿宋" w:cs="仿宋"/>
          <w:b/>
          <w:color w:val="auto"/>
          <w:sz w:val="30"/>
          <w:szCs w:val="30"/>
          <w:highlight w:val="none"/>
        </w:rPr>
      </w:pPr>
      <w:r>
        <w:rPr>
          <w:rFonts w:hint="eastAsia" w:ascii="仿宋" w:hAnsi="仿宋" w:eastAsia="仿宋" w:cs="仿宋"/>
          <w:color w:val="auto"/>
          <w:szCs w:val="21"/>
          <w:highlight w:val="none"/>
        </w:rPr>
        <w:t>供应商为中小企业的可以自愿选择融资担保形式，为本采购项目进行融资。融资担保机构联系方式参见本章第4.5.2.3（2）条款。</w:t>
      </w:r>
    </w:p>
    <w:p w14:paraId="3A7F27D6">
      <w:pPr>
        <w:rPr>
          <w:rFonts w:hint="eastAsia" w:ascii="仿宋" w:hAnsi="仿宋" w:eastAsia="仿宋" w:cs="仿宋"/>
          <w:b/>
          <w:color w:val="auto"/>
          <w:sz w:val="44"/>
          <w:szCs w:val="44"/>
          <w:highlight w:val="none"/>
        </w:rPr>
      </w:pPr>
      <w:bookmarkStart w:id="167" w:name="_Toc8833"/>
      <w:bookmarkStart w:id="168" w:name="_Toc22324"/>
      <w:bookmarkStart w:id="169" w:name="_Toc14645"/>
      <w:bookmarkStart w:id="170" w:name="_Toc25651"/>
      <w:bookmarkStart w:id="171" w:name="_Toc25942"/>
      <w:bookmarkStart w:id="172" w:name="_Toc23151_WPSOffice_Level1"/>
      <w:bookmarkStart w:id="173" w:name="_Toc32671"/>
      <w:bookmarkStart w:id="174" w:name="_Toc217446093"/>
      <w:r>
        <w:rPr>
          <w:rFonts w:hint="eastAsia" w:ascii="仿宋" w:hAnsi="仿宋" w:eastAsia="仿宋" w:cs="仿宋"/>
          <w:b/>
          <w:color w:val="auto"/>
          <w:sz w:val="44"/>
          <w:szCs w:val="44"/>
          <w:highlight w:val="none"/>
        </w:rPr>
        <w:br w:type="page"/>
      </w:r>
    </w:p>
    <w:p w14:paraId="3A54F922">
      <w:pPr>
        <w:spacing w:after="120" w:afterLines="50" w:line="360" w:lineRule="auto"/>
        <w:jc w:val="center"/>
        <w:outlineLvl w:val="0"/>
        <w:rPr>
          <w:rFonts w:hint="eastAsia" w:ascii="仿宋" w:hAnsi="仿宋" w:eastAsia="仿宋" w:cs="仿宋"/>
          <w:b/>
          <w:color w:val="auto"/>
          <w:sz w:val="24"/>
          <w:highlight w:val="none"/>
        </w:rPr>
      </w:pPr>
      <w:r>
        <w:rPr>
          <w:rFonts w:hint="eastAsia" w:ascii="仿宋" w:hAnsi="仿宋" w:eastAsia="仿宋" w:cs="仿宋"/>
          <w:b/>
          <w:color w:val="auto"/>
          <w:sz w:val="44"/>
          <w:szCs w:val="44"/>
          <w:highlight w:val="none"/>
        </w:rPr>
        <w:t>第三章 磋商办法</w:t>
      </w:r>
      <w:bookmarkEnd w:id="167"/>
      <w:bookmarkEnd w:id="168"/>
      <w:bookmarkEnd w:id="169"/>
      <w:bookmarkEnd w:id="170"/>
      <w:bookmarkEnd w:id="171"/>
      <w:bookmarkEnd w:id="172"/>
      <w:bookmarkEnd w:id="173"/>
    </w:p>
    <w:p w14:paraId="3553EFA8">
      <w:pPr>
        <w:keepNext w:val="0"/>
        <w:keepLines w:val="0"/>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bookmarkStart w:id="175" w:name="_Toc19207_WPSOffice_Level2"/>
      <w:bookmarkStart w:id="176" w:name="_Toc3504"/>
      <w:bookmarkStart w:id="177" w:name="_Toc5060"/>
      <w:bookmarkStart w:id="178" w:name="_Toc7495"/>
      <w:bookmarkStart w:id="179" w:name="_Toc26172"/>
      <w:bookmarkStart w:id="180" w:name="_Toc20428"/>
      <w:bookmarkStart w:id="181" w:name="_Toc15337"/>
      <w:bookmarkStart w:id="182" w:name="_Toc482201967"/>
      <w:r>
        <w:rPr>
          <w:rFonts w:hint="eastAsia" w:ascii="仿宋" w:hAnsi="仿宋" w:eastAsia="仿宋" w:cs="仿宋"/>
          <w:color w:val="auto"/>
          <w:szCs w:val="21"/>
          <w:highlight w:val="none"/>
        </w:rPr>
        <w:t>根据《中华人民共和国政府采购法》及其实施条例和财政部《政府采购竞争性磋商采购方式管理暂行办法》（财库【2014】214号）等法律法规的规定，结合采购项目特点，制定本磋商办法。</w:t>
      </w:r>
    </w:p>
    <w:p w14:paraId="3DC5CC14">
      <w:pPr>
        <w:keepNext w:val="0"/>
        <w:keepLines w:val="0"/>
        <w:pageBreakBefore w:val="0"/>
        <w:kinsoku/>
        <w:wordWrap/>
        <w:overflowPunct/>
        <w:topLinePunct w:val="0"/>
        <w:bidi w:val="0"/>
        <w:spacing w:before="120" w:beforeLines="50" w:after="120" w:afterLines="50" w:line="400" w:lineRule="exact"/>
        <w:outlineLvl w:val="1"/>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1.磋商程序</w:t>
      </w:r>
      <w:bookmarkEnd w:id="175"/>
      <w:bookmarkEnd w:id="176"/>
      <w:bookmarkEnd w:id="177"/>
      <w:bookmarkEnd w:id="178"/>
      <w:bookmarkEnd w:id="179"/>
      <w:bookmarkEnd w:id="180"/>
      <w:bookmarkEnd w:id="181"/>
    </w:p>
    <w:p w14:paraId="4880B915">
      <w:pPr>
        <w:keepNext w:val="0"/>
        <w:keepLines w:val="0"/>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1.1 磋商按下列程序进行：</w:t>
      </w:r>
    </w:p>
    <w:p w14:paraId="77F0FAA9">
      <w:pPr>
        <w:keepNext w:val="0"/>
        <w:keepLines w:val="0"/>
        <w:pageBreakBefore w:val="0"/>
        <w:tabs>
          <w:tab w:val="left" w:pos="0"/>
        </w:tabs>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（1）响应文件初步评审；</w:t>
      </w:r>
    </w:p>
    <w:p w14:paraId="3F02C3E4">
      <w:pPr>
        <w:keepNext w:val="0"/>
        <w:keepLines w:val="0"/>
        <w:pageBreakBefore w:val="0"/>
        <w:tabs>
          <w:tab w:val="left" w:pos="0"/>
        </w:tabs>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（2）响应文件的澄清；</w:t>
      </w:r>
    </w:p>
    <w:p w14:paraId="4A540850">
      <w:pPr>
        <w:keepNext w:val="0"/>
        <w:keepLines w:val="0"/>
        <w:pageBreakBefore w:val="0"/>
        <w:tabs>
          <w:tab w:val="left" w:pos="0"/>
        </w:tabs>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（3）磋商（包括技术磋商、商务磋商、提交最后报价）；</w:t>
      </w:r>
    </w:p>
    <w:p w14:paraId="637C4C53">
      <w:pPr>
        <w:keepNext w:val="0"/>
        <w:keepLines w:val="0"/>
        <w:pageBreakBefore w:val="0"/>
        <w:tabs>
          <w:tab w:val="left" w:pos="0"/>
        </w:tabs>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（4）响应文件详细评审；</w:t>
      </w:r>
    </w:p>
    <w:p w14:paraId="3101EB96">
      <w:pPr>
        <w:keepNext w:val="0"/>
        <w:keepLines w:val="0"/>
        <w:pageBreakBefore w:val="0"/>
        <w:tabs>
          <w:tab w:val="left" w:pos="0"/>
        </w:tabs>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（5）复核与核对评审结果；</w:t>
      </w:r>
    </w:p>
    <w:p w14:paraId="4B4F44F7">
      <w:pPr>
        <w:keepNext w:val="0"/>
        <w:keepLines w:val="0"/>
        <w:pageBreakBefore w:val="0"/>
        <w:tabs>
          <w:tab w:val="left" w:pos="0"/>
        </w:tabs>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（6）确定成交候选人名单；</w:t>
      </w:r>
    </w:p>
    <w:p w14:paraId="3B4BF0F3">
      <w:pPr>
        <w:keepNext w:val="0"/>
        <w:keepLines w:val="0"/>
        <w:pageBreakBefore w:val="0"/>
        <w:tabs>
          <w:tab w:val="left" w:pos="0"/>
        </w:tabs>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（7）编写评审报告。</w:t>
      </w:r>
    </w:p>
    <w:p w14:paraId="0FA1769A">
      <w:pPr>
        <w:keepNext w:val="0"/>
        <w:keepLines w:val="0"/>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1.2 响应文件初步评审</w:t>
      </w:r>
    </w:p>
    <w:p w14:paraId="0170E9B4">
      <w:pPr>
        <w:keepNext w:val="0"/>
        <w:keepLines w:val="0"/>
        <w:pageBreakBefore w:val="0"/>
        <w:tabs>
          <w:tab w:val="left" w:pos="0"/>
        </w:tabs>
        <w:kinsoku/>
        <w:wordWrap/>
        <w:overflowPunct/>
        <w:topLinePunct w:val="0"/>
        <w:bidi w:val="0"/>
        <w:adjustRightInd w:val="0"/>
        <w:snapToGrid w:val="0"/>
        <w:spacing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1.2.1 资格性审查</w:t>
      </w:r>
    </w:p>
    <w:p w14:paraId="2BE6216B">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1.2.1.1 </w:t>
      </w:r>
      <w:r>
        <w:rPr>
          <w:rFonts w:hint="eastAsia" w:ascii="仿宋" w:hAnsi="仿宋" w:eastAsia="仿宋" w:cs="仿宋"/>
          <w:color w:val="auto"/>
          <w:szCs w:val="21"/>
          <w:highlight w:val="none"/>
          <w:lang w:eastAsia="zh-CN"/>
        </w:rPr>
        <w:t>采购人及采购代理机构</w:t>
      </w:r>
      <w:r>
        <w:rPr>
          <w:rFonts w:hint="eastAsia" w:ascii="仿宋" w:hAnsi="仿宋" w:eastAsia="仿宋" w:cs="仿宋"/>
          <w:color w:val="auto"/>
          <w:szCs w:val="21"/>
          <w:highlight w:val="none"/>
        </w:rPr>
        <w:t>将依据供应商的响应文件之资格审查部分文件，按照本章第1.2.1.4项所述资格要求对供应商进行资格审查，以确定其是否具备相应资格。</w:t>
      </w:r>
      <w:r>
        <w:rPr>
          <w:rFonts w:hint="eastAsia" w:ascii="仿宋" w:hAnsi="仿宋" w:eastAsia="仿宋" w:cs="仿宋"/>
          <w:color w:val="auto"/>
          <w:kern w:val="0"/>
          <w:szCs w:val="21"/>
          <w:highlight w:val="none"/>
        </w:rPr>
        <w:t>如果供应商不具备资格、不满足磋</w:t>
      </w:r>
      <w:r>
        <w:rPr>
          <w:rFonts w:hint="eastAsia" w:ascii="仿宋" w:hAnsi="仿宋" w:eastAsia="仿宋" w:cs="仿宋"/>
          <w:color w:val="auto"/>
          <w:szCs w:val="21"/>
          <w:highlight w:val="none"/>
        </w:rPr>
        <w:t>商文件所规定的资格条件,将被视为未实质性响应磋商文件</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按无效响应文件处理。</w:t>
      </w:r>
    </w:p>
    <w:p w14:paraId="2396F41D">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1.2.1.2 信用信息查询时间截至时点，见供应商须知前附表，其查询结果在供应商限制性资格条件审查时使用。</w:t>
      </w:r>
    </w:p>
    <w:p w14:paraId="6CFBE72A">
      <w:pPr>
        <w:keepNext w:val="0"/>
        <w:keepLines w:val="0"/>
        <w:pageBreakBefore w:val="0"/>
        <w:tabs>
          <w:tab w:val="left" w:pos="0"/>
        </w:tabs>
        <w:kinsoku/>
        <w:wordWrap/>
        <w:overflowPunct/>
        <w:topLinePunct w:val="0"/>
        <w:bidi w:val="0"/>
        <w:adjustRightInd w:val="0"/>
        <w:snapToGrid w:val="0"/>
        <w:spacing w:line="400" w:lineRule="exact"/>
        <w:ind w:firstLine="632" w:firstLineChars="300"/>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1.2.1.4 基本资格条件的审查标准：</w:t>
      </w:r>
    </w:p>
    <w:p w14:paraId="0C9DF68E">
      <w:pPr>
        <w:keepNext w:val="0"/>
        <w:keepLines w:val="0"/>
        <w:pageBreakBefore w:val="0"/>
        <w:tabs>
          <w:tab w:val="left" w:pos="0"/>
        </w:tabs>
        <w:kinsoku/>
        <w:wordWrap/>
        <w:overflowPunct/>
        <w:topLinePunct w:val="0"/>
        <w:bidi w:val="0"/>
        <w:adjustRightInd w:val="0"/>
        <w:snapToGrid w:val="0"/>
        <w:spacing w:after="120" w:afterLines="50"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lang w:eastAsia="zh-CN"/>
        </w:rPr>
        <w:t>采购人及采购代理机构</w:t>
      </w:r>
      <w:r>
        <w:rPr>
          <w:rFonts w:hint="eastAsia" w:ascii="仿宋" w:hAnsi="仿宋" w:eastAsia="仿宋" w:cs="仿宋"/>
          <w:color w:val="auto"/>
          <w:kern w:val="0"/>
          <w:szCs w:val="21"/>
          <w:highlight w:val="none"/>
        </w:rPr>
        <w:t>将按下表所列举的审查标准对供应商的基本资格条件进行</w:t>
      </w:r>
      <w:r>
        <w:rPr>
          <w:rFonts w:hint="eastAsia" w:ascii="仿宋" w:hAnsi="仿宋" w:eastAsia="仿宋" w:cs="仿宋"/>
          <w:bCs/>
          <w:color w:val="auto"/>
          <w:szCs w:val="21"/>
          <w:highlight w:val="none"/>
        </w:rPr>
        <w:t>审查，供应商若</w:t>
      </w:r>
      <w:r>
        <w:rPr>
          <w:rFonts w:hint="eastAsia" w:ascii="仿宋" w:hAnsi="仿宋" w:eastAsia="仿宋" w:cs="仿宋"/>
          <w:color w:val="auto"/>
          <w:kern w:val="0"/>
          <w:szCs w:val="21"/>
          <w:highlight w:val="none"/>
        </w:rPr>
        <w:t>有一项不合格，即判定其基本资格条件审查结果为不合格，将不具备磋商资格，按无效响应文件处理。</w:t>
      </w:r>
    </w:p>
    <w:p w14:paraId="3FF0C4C6">
      <w:pPr>
        <w:keepNext w:val="0"/>
        <w:keepLines w:val="0"/>
        <w:pageBreakBefore w:val="0"/>
        <w:kinsoku/>
        <w:wordWrap/>
        <w:overflowPunct/>
        <w:topLinePunct w:val="0"/>
        <w:bidi w:val="0"/>
        <w:spacing w:line="400" w:lineRule="exact"/>
        <w:rPr>
          <w:rFonts w:hint="eastAsia" w:ascii="仿宋" w:hAnsi="仿宋" w:eastAsia="仿宋" w:cs="仿宋"/>
          <w:color w:val="auto"/>
        </w:rPr>
      </w:pPr>
      <w:r>
        <w:rPr>
          <w:rFonts w:hint="eastAsia" w:ascii="仿宋" w:hAnsi="仿宋" w:eastAsia="仿宋" w:cs="仿宋"/>
          <w:color w:val="auto"/>
          <w:kern w:val="0"/>
          <w:szCs w:val="21"/>
          <w:highlight w:val="none"/>
        </w:rPr>
        <w:br w:type="page"/>
      </w:r>
    </w:p>
    <w:bookmarkEnd w:id="182"/>
    <w:tbl>
      <w:tblPr>
        <w:tblStyle w:val="44"/>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5491"/>
        <w:gridCol w:w="1304"/>
        <w:gridCol w:w="1412"/>
      </w:tblGrid>
      <w:tr w14:paraId="43BE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51" w:type="dxa"/>
            <w:noWrap w:val="0"/>
            <w:vAlign w:val="center"/>
          </w:tcPr>
          <w:p w14:paraId="2C24E97B">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5491" w:type="dxa"/>
            <w:noWrap w:val="0"/>
            <w:vAlign w:val="center"/>
          </w:tcPr>
          <w:p w14:paraId="0EEBE384">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审查因素</w:t>
            </w:r>
          </w:p>
        </w:tc>
        <w:tc>
          <w:tcPr>
            <w:tcW w:w="1304" w:type="dxa"/>
            <w:noWrap w:val="0"/>
            <w:vAlign w:val="center"/>
          </w:tcPr>
          <w:p w14:paraId="1F904191">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审查标准</w:t>
            </w:r>
          </w:p>
        </w:tc>
        <w:tc>
          <w:tcPr>
            <w:tcW w:w="1412" w:type="dxa"/>
            <w:noWrap w:val="0"/>
            <w:vAlign w:val="center"/>
          </w:tcPr>
          <w:p w14:paraId="2B1B2577">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备注</w:t>
            </w:r>
          </w:p>
        </w:tc>
      </w:tr>
      <w:tr w14:paraId="51B1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51" w:type="dxa"/>
            <w:noWrap w:val="0"/>
            <w:vAlign w:val="center"/>
          </w:tcPr>
          <w:p w14:paraId="1BE68B89">
            <w:pPr>
              <w:keepNext w:val="0"/>
              <w:keepLines w:val="0"/>
              <w:pageBreakBefore w:val="0"/>
              <w:numPr>
                <w:ilvl w:val="0"/>
                <w:numId w:val="0"/>
              </w:numPr>
              <w:suppressLineNumbers w:val="0"/>
              <w:tabs>
                <w:tab w:val="left" w:pos="0"/>
              </w:tabs>
              <w:kinsoku/>
              <w:wordWrap/>
              <w:overflowPunct/>
              <w:topLinePunct w:val="0"/>
              <w:bidi w:val="0"/>
              <w:adjustRightInd w:val="0"/>
              <w:snapToGrid w:val="0"/>
              <w:spacing w:before="0" w:beforeAutospacing="0" w:after="0" w:afterAutospacing="0" w:line="400" w:lineRule="exact"/>
              <w:ind w:left="0" w:right="0" w:rightChars="0"/>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w:t>
            </w:r>
          </w:p>
        </w:tc>
        <w:tc>
          <w:tcPr>
            <w:tcW w:w="5491" w:type="dxa"/>
            <w:noWrap w:val="0"/>
            <w:vAlign w:val="center"/>
          </w:tcPr>
          <w:p w14:paraId="77B1DF93">
            <w:pPr>
              <w:keepNext w:val="0"/>
              <w:keepLines w:val="0"/>
              <w:pageBreakBefore w:val="0"/>
              <w:numPr>
                <w:ilvl w:val="0"/>
                <w:numId w:val="0"/>
              </w:numPr>
              <w:suppressLineNumbers w:val="0"/>
              <w:tabs>
                <w:tab w:val="left" w:pos="0"/>
              </w:tabs>
              <w:kinsoku/>
              <w:wordWrap/>
              <w:overflowPunct/>
              <w:topLinePunct w:val="0"/>
              <w:bidi w:val="0"/>
              <w:adjustRightInd w:val="0"/>
              <w:snapToGrid w:val="0"/>
              <w:spacing w:before="0" w:beforeAutospacing="0" w:after="0" w:afterAutospacing="0" w:line="400" w:lineRule="exact"/>
              <w:ind w:left="0" w:leftChars="0" w:right="0" w:rightChars="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具有独立承担民事责任能力的法人、其他组织或自然人，提供合法有效的统一社会信用代码营业执照（事业单位提供事业单位法人证书，自然人提供身份证明）</w:t>
            </w:r>
          </w:p>
        </w:tc>
        <w:tc>
          <w:tcPr>
            <w:tcW w:w="1304" w:type="dxa"/>
            <w:noWrap w:val="0"/>
            <w:vAlign w:val="center"/>
          </w:tcPr>
          <w:p w14:paraId="6682D9EF">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符合要求</w:t>
            </w:r>
          </w:p>
        </w:tc>
        <w:tc>
          <w:tcPr>
            <w:tcW w:w="1412" w:type="dxa"/>
            <w:noWrap w:val="0"/>
            <w:vAlign w:val="center"/>
          </w:tcPr>
          <w:p w14:paraId="50EEFA89">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审查复印件</w:t>
            </w:r>
            <w:r>
              <w:rPr>
                <w:rFonts w:hint="eastAsia" w:ascii="仿宋" w:hAnsi="仿宋" w:eastAsia="仿宋" w:cs="仿宋"/>
                <w:color w:val="auto"/>
                <w:kern w:val="0"/>
                <w:szCs w:val="21"/>
                <w:highlight w:val="none"/>
                <w:lang w:eastAsia="zh-CN"/>
              </w:rPr>
              <w:t>或原件</w:t>
            </w:r>
          </w:p>
        </w:tc>
      </w:tr>
      <w:tr w14:paraId="727A7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51" w:type="dxa"/>
            <w:noWrap w:val="0"/>
            <w:vAlign w:val="center"/>
          </w:tcPr>
          <w:p w14:paraId="3AA924BA">
            <w:pPr>
              <w:keepNext w:val="0"/>
              <w:keepLines w:val="0"/>
              <w:pageBreakBefore w:val="0"/>
              <w:numPr>
                <w:ilvl w:val="0"/>
                <w:numId w:val="0"/>
              </w:numPr>
              <w:suppressLineNumbers w:val="0"/>
              <w:tabs>
                <w:tab w:val="left" w:pos="0"/>
              </w:tabs>
              <w:kinsoku/>
              <w:wordWrap/>
              <w:overflowPunct/>
              <w:topLinePunct w:val="0"/>
              <w:bidi w:val="0"/>
              <w:adjustRightInd w:val="0"/>
              <w:snapToGrid w:val="0"/>
              <w:spacing w:before="0" w:beforeAutospacing="0" w:after="0" w:afterAutospacing="0" w:line="400" w:lineRule="exact"/>
              <w:ind w:left="0" w:right="0" w:rightChars="0"/>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2</w:t>
            </w:r>
          </w:p>
        </w:tc>
        <w:tc>
          <w:tcPr>
            <w:tcW w:w="5491" w:type="dxa"/>
            <w:noWrap w:val="0"/>
            <w:vAlign w:val="center"/>
          </w:tcPr>
          <w:p w14:paraId="1C3F1783">
            <w:pPr>
              <w:keepNext w:val="0"/>
              <w:keepLines w:val="0"/>
              <w:pageBreakBefore w:val="0"/>
              <w:numPr>
                <w:ilvl w:val="0"/>
                <w:numId w:val="0"/>
              </w:numPr>
              <w:suppressLineNumbers w:val="0"/>
              <w:tabs>
                <w:tab w:val="left" w:pos="0"/>
              </w:tabs>
              <w:kinsoku/>
              <w:wordWrap/>
              <w:overflowPunct/>
              <w:topLinePunct w:val="0"/>
              <w:bidi w:val="0"/>
              <w:adjustRightInd w:val="0"/>
              <w:snapToGrid w:val="0"/>
              <w:spacing w:before="0" w:beforeAutospacing="0" w:after="0" w:afterAutospacing="0" w:line="400" w:lineRule="exact"/>
              <w:ind w:left="0" w:leftChars="0" w:right="0" w:rightChars="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法定代表人授权委托书：法定代表人参加磋商的，须出示身份证原件；法定代表人授权他人参加磋商的，须提供法定代表人授权委托书及被授权人身份证原件</w:t>
            </w:r>
          </w:p>
        </w:tc>
        <w:tc>
          <w:tcPr>
            <w:tcW w:w="1304" w:type="dxa"/>
            <w:noWrap w:val="0"/>
            <w:vAlign w:val="center"/>
          </w:tcPr>
          <w:p w14:paraId="3080BA6A">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符合要求</w:t>
            </w:r>
          </w:p>
        </w:tc>
        <w:tc>
          <w:tcPr>
            <w:tcW w:w="1412" w:type="dxa"/>
            <w:noWrap w:val="0"/>
            <w:vAlign w:val="center"/>
          </w:tcPr>
          <w:p w14:paraId="165574D8">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审查复印件</w:t>
            </w:r>
            <w:r>
              <w:rPr>
                <w:rFonts w:hint="eastAsia" w:ascii="仿宋" w:hAnsi="仿宋" w:eastAsia="仿宋" w:cs="仿宋"/>
                <w:color w:val="auto"/>
                <w:kern w:val="0"/>
                <w:szCs w:val="21"/>
                <w:highlight w:val="none"/>
                <w:lang w:eastAsia="zh-CN"/>
              </w:rPr>
              <w:t>或原件</w:t>
            </w:r>
          </w:p>
        </w:tc>
      </w:tr>
      <w:tr w14:paraId="52F7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51" w:type="dxa"/>
            <w:noWrap w:val="0"/>
            <w:vAlign w:val="center"/>
          </w:tcPr>
          <w:p w14:paraId="0197951F">
            <w:pPr>
              <w:keepNext w:val="0"/>
              <w:keepLines w:val="0"/>
              <w:pageBreakBefore w:val="0"/>
              <w:numPr>
                <w:ilvl w:val="0"/>
                <w:numId w:val="0"/>
              </w:numPr>
              <w:suppressLineNumbers w:val="0"/>
              <w:tabs>
                <w:tab w:val="left" w:pos="0"/>
              </w:tabs>
              <w:kinsoku/>
              <w:wordWrap/>
              <w:overflowPunct/>
              <w:topLinePunct w:val="0"/>
              <w:bidi w:val="0"/>
              <w:adjustRightInd w:val="0"/>
              <w:snapToGrid w:val="0"/>
              <w:spacing w:before="0" w:beforeAutospacing="0" w:after="0" w:afterAutospacing="0" w:line="400" w:lineRule="exact"/>
              <w:ind w:left="0" w:right="0" w:rightChars="0"/>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3</w:t>
            </w:r>
          </w:p>
        </w:tc>
        <w:tc>
          <w:tcPr>
            <w:tcW w:w="5491" w:type="dxa"/>
            <w:noWrap w:val="0"/>
            <w:vAlign w:val="center"/>
          </w:tcPr>
          <w:p w14:paraId="236EEFC5">
            <w:pPr>
              <w:keepNext w:val="0"/>
              <w:keepLines w:val="0"/>
              <w:pageBreakBefore w:val="0"/>
              <w:numPr>
                <w:ilvl w:val="0"/>
                <w:numId w:val="0"/>
              </w:numPr>
              <w:suppressLineNumbers w:val="0"/>
              <w:tabs>
                <w:tab w:val="left" w:pos="0"/>
              </w:tabs>
              <w:kinsoku/>
              <w:wordWrap/>
              <w:overflowPunct/>
              <w:topLinePunct w:val="0"/>
              <w:bidi w:val="0"/>
              <w:adjustRightInd w:val="0"/>
              <w:snapToGrid w:val="0"/>
              <w:spacing w:before="0" w:beforeAutospacing="0" w:after="0" w:afterAutospacing="0" w:line="400" w:lineRule="exact"/>
              <w:ind w:left="0" w:leftChars="0" w:right="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供应商须具有健全的财务会计制度、具有履行合同所必需的设备和专业技术能力、具有依法缴纳税收和社会保障资金的良好记录，以及参加本项目采购活动前三年内在经营活动中无重大违法活动记录，供应商提供《汉中市政府采购供应商资格承诺函》</w:t>
            </w:r>
          </w:p>
        </w:tc>
        <w:tc>
          <w:tcPr>
            <w:tcW w:w="1304" w:type="dxa"/>
            <w:noWrap w:val="0"/>
            <w:vAlign w:val="center"/>
          </w:tcPr>
          <w:p w14:paraId="29CD0407">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符合要求</w:t>
            </w:r>
          </w:p>
        </w:tc>
        <w:tc>
          <w:tcPr>
            <w:tcW w:w="1412" w:type="dxa"/>
            <w:noWrap w:val="0"/>
            <w:vAlign w:val="center"/>
          </w:tcPr>
          <w:p w14:paraId="0FB0DD80">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审查复印件</w:t>
            </w:r>
            <w:r>
              <w:rPr>
                <w:rFonts w:hint="eastAsia" w:ascii="仿宋" w:hAnsi="仿宋" w:eastAsia="仿宋" w:cs="仿宋"/>
                <w:color w:val="auto"/>
                <w:kern w:val="0"/>
                <w:szCs w:val="21"/>
                <w:highlight w:val="none"/>
                <w:lang w:eastAsia="zh-CN"/>
              </w:rPr>
              <w:t>或原件</w:t>
            </w:r>
          </w:p>
        </w:tc>
      </w:tr>
      <w:tr w14:paraId="5A842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51" w:type="dxa"/>
            <w:noWrap w:val="0"/>
            <w:vAlign w:val="center"/>
          </w:tcPr>
          <w:p w14:paraId="6C0259E2">
            <w:pPr>
              <w:keepNext w:val="0"/>
              <w:keepLines w:val="0"/>
              <w:pageBreakBefore w:val="0"/>
              <w:numPr>
                <w:ilvl w:val="0"/>
                <w:numId w:val="0"/>
              </w:numPr>
              <w:suppressLineNumbers w:val="0"/>
              <w:tabs>
                <w:tab w:val="left" w:pos="0"/>
              </w:tabs>
              <w:kinsoku/>
              <w:wordWrap/>
              <w:overflowPunct/>
              <w:topLinePunct w:val="0"/>
              <w:bidi w:val="0"/>
              <w:adjustRightInd w:val="0"/>
              <w:snapToGrid w:val="0"/>
              <w:spacing w:before="0" w:beforeAutospacing="0" w:after="0" w:afterAutospacing="0" w:line="400" w:lineRule="exact"/>
              <w:ind w:left="0" w:right="0" w:rightChars="0"/>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4</w:t>
            </w:r>
          </w:p>
        </w:tc>
        <w:tc>
          <w:tcPr>
            <w:tcW w:w="5491" w:type="dxa"/>
            <w:noWrap w:val="0"/>
            <w:vAlign w:val="center"/>
          </w:tcPr>
          <w:p w14:paraId="06E56CBC">
            <w:pPr>
              <w:keepNext w:val="0"/>
              <w:keepLines w:val="0"/>
              <w:pageBreakBefore w:val="0"/>
              <w:numPr>
                <w:ilvl w:val="0"/>
                <w:numId w:val="0"/>
              </w:numPr>
              <w:suppressLineNumbers w:val="0"/>
              <w:tabs>
                <w:tab w:val="left" w:pos="0"/>
              </w:tabs>
              <w:kinsoku/>
              <w:wordWrap/>
              <w:overflowPunct/>
              <w:topLinePunct w:val="0"/>
              <w:bidi w:val="0"/>
              <w:adjustRightInd w:val="0"/>
              <w:snapToGrid w:val="0"/>
              <w:spacing w:before="0" w:beforeAutospacing="0" w:after="0" w:afterAutospacing="0" w:line="400" w:lineRule="exact"/>
              <w:ind w:left="0" w:leftChars="0" w:right="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供应商须具有行政主管部门颁发的测绘乙级及以上资质</w:t>
            </w:r>
          </w:p>
        </w:tc>
        <w:tc>
          <w:tcPr>
            <w:tcW w:w="1304" w:type="dxa"/>
            <w:noWrap w:val="0"/>
            <w:vAlign w:val="center"/>
          </w:tcPr>
          <w:p w14:paraId="265880B5">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符合要求</w:t>
            </w:r>
          </w:p>
        </w:tc>
        <w:tc>
          <w:tcPr>
            <w:tcW w:w="1412" w:type="dxa"/>
            <w:noWrap w:val="0"/>
            <w:vAlign w:val="center"/>
          </w:tcPr>
          <w:p w14:paraId="105363B2">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审查复印件</w:t>
            </w:r>
            <w:r>
              <w:rPr>
                <w:rFonts w:hint="eastAsia" w:ascii="仿宋" w:hAnsi="仿宋" w:eastAsia="仿宋" w:cs="仿宋"/>
                <w:color w:val="auto"/>
                <w:kern w:val="0"/>
                <w:szCs w:val="21"/>
                <w:highlight w:val="none"/>
                <w:lang w:eastAsia="zh-CN"/>
              </w:rPr>
              <w:t>或原件</w:t>
            </w:r>
          </w:p>
        </w:tc>
      </w:tr>
      <w:tr w14:paraId="4A49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noWrap w:val="0"/>
            <w:vAlign w:val="center"/>
          </w:tcPr>
          <w:p w14:paraId="715A5073">
            <w:pPr>
              <w:keepNext w:val="0"/>
              <w:keepLines w:val="0"/>
              <w:pageBreakBefore w:val="0"/>
              <w:numPr>
                <w:ilvl w:val="0"/>
                <w:numId w:val="0"/>
              </w:numPr>
              <w:suppressLineNumbers w:val="0"/>
              <w:tabs>
                <w:tab w:val="left" w:pos="0"/>
              </w:tabs>
              <w:kinsoku/>
              <w:wordWrap/>
              <w:overflowPunct/>
              <w:topLinePunct w:val="0"/>
              <w:bidi w:val="0"/>
              <w:adjustRightInd w:val="0"/>
              <w:snapToGrid w:val="0"/>
              <w:spacing w:before="0" w:beforeAutospacing="0" w:after="0" w:afterAutospacing="0" w:line="400" w:lineRule="exact"/>
              <w:ind w:left="0" w:right="0" w:rightChars="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5491" w:type="dxa"/>
            <w:noWrap w:val="0"/>
            <w:vAlign w:val="center"/>
          </w:tcPr>
          <w:p w14:paraId="36204C2A">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本项目专门面向中小企业采购,供应商须提供《中小企业声明函》</w:t>
            </w:r>
          </w:p>
        </w:tc>
        <w:tc>
          <w:tcPr>
            <w:tcW w:w="1304" w:type="dxa"/>
            <w:noWrap w:val="0"/>
            <w:vAlign w:val="center"/>
          </w:tcPr>
          <w:p w14:paraId="79E78B7A">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符合要求</w:t>
            </w:r>
          </w:p>
        </w:tc>
        <w:tc>
          <w:tcPr>
            <w:tcW w:w="1412" w:type="dxa"/>
            <w:noWrap w:val="0"/>
            <w:vAlign w:val="center"/>
          </w:tcPr>
          <w:p w14:paraId="22EF8A03">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审查复印件</w:t>
            </w:r>
            <w:r>
              <w:rPr>
                <w:rFonts w:hint="eastAsia" w:ascii="仿宋" w:hAnsi="仿宋" w:eastAsia="仿宋" w:cs="仿宋"/>
                <w:color w:val="auto"/>
                <w:kern w:val="0"/>
                <w:szCs w:val="21"/>
                <w:highlight w:val="none"/>
                <w:lang w:eastAsia="zh-CN"/>
              </w:rPr>
              <w:t>或原件</w:t>
            </w:r>
          </w:p>
        </w:tc>
      </w:tr>
      <w:tr w14:paraId="6CCE5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958" w:type="dxa"/>
            <w:gridSpan w:val="4"/>
            <w:noWrap w:val="0"/>
            <w:vAlign w:val="center"/>
          </w:tcPr>
          <w:p w14:paraId="55CC7D43">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ightChars="0"/>
              <w:jc w:val="left"/>
              <w:rPr>
                <w:rFonts w:hint="eastAsia" w:ascii="仿宋" w:hAnsi="仿宋" w:eastAsia="仿宋" w:cs="仿宋"/>
                <w:color w:val="auto"/>
                <w:kern w:val="0"/>
                <w:szCs w:val="21"/>
                <w:highlight w:val="none"/>
                <w:lang w:eastAsia="zh-CN"/>
              </w:rPr>
            </w:pPr>
            <w:r>
              <w:rPr>
                <w:rFonts w:hint="eastAsia" w:ascii="仿宋" w:hAnsi="仿宋" w:eastAsia="仿宋" w:cs="仿宋"/>
                <w:b/>
                <w:bCs/>
                <w:color w:val="auto"/>
                <w:kern w:val="0"/>
                <w:szCs w:val="21"/>
                <w:highlight w:val="none"/>
                <w:lang w:eastAsia="zh-CN"/>
              </w:rPr>
              <w:t>上述复印件需加盖供应商公章（鲜章）有效，否则资格审查环节将被认定为无效文件（或证明）</w:t>
            </w:r>
          </w:p>
        </w:tc>
      </w:tr>
    </w:tbl>
    <w:p w14:paraId="710C5A93">
      <w:pPr>
        <w:keepNext w:val="0"/>
        <w:keepLines w:val="0"/>
        <w:pageBreakBefore w:val="0"/>
        <w:tabs>
          <w:tab w:val="left" w:pos="0"/>
        </w:tabs>
        <w:kinsoku/>
        <w:wordWrap/>
        <w:overflowPunct/>
        <w:topLinePunct w:val="0"/>
        <w:bidi w:val="0"/>
        <w:adjustRightInd w:val="0"/>
        <w:snapToGrid w:val="0"/>
        <w:spacing w:line="400" w:lineRule="exact"/>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备注：供应商未提供资格信用承诺函的，应当按照《中华人民共和国政府采购法》及其实施条例等相关法律法规规定提供相应的证明材料。</w:t>
      </w:r>
    </w:p>
    <w:p w14:paraId="343C7607">
      <w:pPr>
        <w:keepNext w:val="0"/>
        <w:keepLines w:val="0"/>
        <w:pageBreakBefore w:val="0"/>
        <w:tabs>
          <w:tab w:val="left" w:pos="0"/>
        </w:tabs>
        <w:kinsoku/>
        <w:wordWrap/>
        <w:overflowPunct/>
        <w:topLinePunct w:val="0"/>
        <w:bidi w:val="0"/>
        <w:adjustRightInd w:val="0"/>
        <w:snapToGrid w:val="0"/>
        <w:spacing w:line="400" w:lineRule="exact"/>
        <w:ind w:firstLine="632" w:firstLineChars="3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1.2.1.5 限制性资格条件审查方法：</w:t>
      </w:r>
    </w:p>
    <w:p w14:paraId="3050E1E9">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代理机构及采购人</w:t>
      </w:r>
      <w:r>
        <w:rPr>
          <w:rFonts w:hint="eastAsia" w:ascii="仿宋" w:hAnsi="仿宋" w:eastAsia="仿宋" w:cs="仿宋"/>
          <w:color w:val="auto"/>
          <w:kern w:val="0"/>
          <w:szCs w:val="21"/>
          <w:highlight w:val="none"/>
        </w:rPr>
        <w:t>将通过信用中国网（http://www.creditchina.gov.cn/）和中国政府采购网（网址：http://www.ccgp.gov.cn/cr/list）对供应商的信用信息进行查询核实。</w:t>
      </w:r>
    </w:p>
    <w:p w14:paraId="05E10AD8">
      <w:pPr>
        <w:keepNext w:val="0"/>
        <w:keepLines w:val="0"/>
        <w:pageBreakBefore w:val="0"/>
        <w:tabs>
          <w:tab w:val="left" w:pos="0"/>
        </w:tabs>
        <w:kinsoku/>
        <w:wordWrap/>
        <w:overflowPunct/>
        <w:topLinePunct w:val="0"/>
        <w:bidi w:val="0"/>
        <w:adjustRightInd w:val="0"/>
        <w:snapToGrid w:val="0"/>
        <w:spacing w:line="400" w:lineRule="exact"/>
        <w:ind w:firstLine="632" w:firstLineChars="3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1.2.1.6 限制性资格条件审查标准：</w:t>
      </w:r>
    </w:p>
    <w:p w14:paraId="238E8D22">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供应商存在下列情形之一的，审查不予通过，即判定其限制性资格条件审查结果为不合格，将不具备磋商资格，按无效响应文件处理：</w:t>
      </w:r>
    </w:p>
    <w:p w14:paraId="57C8D5B3">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（1）与采购人、采购代理机构存在隶属关系或者其他利害关系，且可能影响磋商公正性；</w:t>
      </w:r>
    </w:p>
    <w:p w14:paraId="227166B2">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（2）与本采购项目其他供应商的法定代表人（或者负责人）为同一人；</w:t>
      </w:r>
    </w:p>
    <w:p w14:paraId="2B04D79A">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（3）与本采购项目其他供应商存在控股、管理关系；</w:t>
      </w:r>
    </w:p>
    <w:p w14:paraId="73CBD8F0">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（4）为本项目采购代理机构；</w:t>
      </w:r>
    </w:p>
    <w:p w14:paraId="235F0F69">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（5）为本项目代理磋商的为其采购代理机构；</w:t>
      </w:r>
    </w:p>
    <w:p w14:paraId="75D405C9">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（6）为本项目提供整体设计、规范编制或者项目管理、监理、检测、咨询服务；</w:t>
      </w:r>
    </w:p>
    <w:p w14:paraId="42BC3F7F">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（7）近3年受到刑事处罚；</w:t>
      </w:r>
    </w:p>
    <w:p w14:paraId="195AA675">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（8）近3年内受到财政部门3万元以上罚款或其他行政部门较大数额罚款行政处罚（举行听证会的）；</w:t>
      </w:r>
    </w:p>
    <w:p w14:paraId="09B579DB">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（9）近3年被责令停产停业、暂扣或者吊销许可证、暂扣或者吊销执照的行政处罚；</w:t>
      </w:r>
    </w:p>
    <w:p w14:paraId="035CEAA7">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（10）被列入严重失信被执行人名单；</w:t>
      </w:r>
    </w:p>
    <w:p w14:paraId="09CEA904">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（11）被列入重大税收违法案件当事人名单；</w:t>
      </w:r>
    </w:p>
    <w:p w14:paraId="0FF7C5EF">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（12）被禁止在一至三年内参加政府采购活动或存在财政部门认定的其他重大违法记录；</w:t>
      </w:r>
    </w:p>
    <w:p w14:paraId="6E1BE78D">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（13）法律法规规定的其他情形。</w:t>
      </w:r>
    </w:p>
    <w:p w14:paraId="7CA02B67">
      <w:pPr>
        <w:keepNext w:val="0"/>
        <w:keepLines w:val="0"/>
        <w:pageBreakBefore w:val="0"/>
        <w:tabs>
          <w:tab w:val="left" w:pos="0"/>
        </w:tabs>
        <w:kinsoku/>
        <w:wordWrap/>
        <w:overflowPunct/>
        <w:topLinePunct w:val="0"/>
        <w:bidi w:val="0"/>
        <w:adjustRightInd w:val="0"/>
        <w:snapToGrid w:val="0"/>
        <w:spacing w:line="400" w:lineRule="exact"/>
        <w:ind w:firstLine="632" w:firstLineChars="3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1.2.1.7 不合格的供应商，不得进入后续磋商环节。</w:t>
      </w:r>
    </w:p>
    <w:p w14:paraId="75E6CB83">
      <w:pPr>
        <w:keepNext w:val="0"/>
        <w:keepLines w:val="0"/>
        <w:pageBreakBefore w:val="0"/>
        <w:tabs>
          <w:tab w:val="left" w:pos="0"/>
        </w:tabs>
        <w:kinsoku/>
        <w:wordWrap/>
        <w:overflowPunct/>
        <w:topLinePunct w:val="0"/>
        <w:bidi w:val="0"/>
        <w:adjustRightInd w:val="0"/>
        <w:snapToGrid w:val="0"/>
        <w:spacing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1.2.2 符合性审查</w:t>
      </w:r>
    </w:p>
    <w:p w14:paraId="618A136C">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1.2.2.1 磋商小组依法对符合资格条件的供应商的响应文件进行符合性审查。磋商小组从响应文件的有效性、完整性和对磋商文件的响应程度进行审查，以确定其是否对磋商文件实质性内容作出响应（采购人可根据具体项目的情况对实质性要求作特别的具体规定）。</w:t>
      </w:r>
    </w:p>
    <w:p w14:paraId="1F8E0377">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1.2.2.2 磋商小组将按下列评审标准对供应商的响应文件进行符合性审查，供应商若有一项不合格，即判定其符合性审查结果为不合格，将不具备磋商资格，按无效响应文件处理。</w:t>
      </w:r>
    </w:p>
    <w:tbl>
      <w:tblPr>
        <w:tblStyle w:val="44"/>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658"/>
        <w:gridCol w:w="3695"/>
        <w:gridCol w:w="4338"/>
      </w:tblGrid>
      <w:tr w14:paraId="4DA73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84" w:type="dxa"/>
            <w:noWrap w:val="0"/>
            <w:vAlign w:val="center"/>
          </w:tcPr>
          <w:p w14:paraId="5C7989F6">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353" w:type="dxa"/>
            <w:gridSpan w:val="2"/>
            <w:noWrap w:val="0"/>
            <w:vAlign w:val="center"/>
          </w:tcPr>
          <w:p w14:paraId="2D8256F0">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评审因素</w:t>
            </w:r>
          </w:p>
        </w:tc>
        <w:tc>
          <w:tcPr>
            <w:tcW w:w="4338" w:type="dxa"/>
            <w:noWrap w:val="0"/>
            <w:vAlign w:val="center"/>
          </w:tcPr>
          <w:p w14:paraId="618EC614">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评审标准</w:t>
            </w:r>
          </w:p>
        </w:tc>
      </w:tr>
      <w:tr w14:paraId="7E54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4" w:type="dxa"/>
            <w:vMerge w:val="restart"/>
            <w:noWrap w:val="0"/>
            <w:vAlign w:val="center"/>
          </w:tcPr>
          <w:p w14:paraId="39B12D8A">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58" w:type="dxa"/>
            <w:vMerge w:val="restart"/>
            <w:noWrap w:val="0"/>
            <w:vAlign w:val="center"/>
          </w:tcPr>
          <w:p w14:paraId="52C5D3BD">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w:t>
            </w:r>
          </w:p>
          <w:p w14:paraId="52604C76">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效</w:t>
            </w:r>
          </w:p>
          <w:p w14:paraId="2B5886F5">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性</w:t>
            </w:r>
          </w:p>
          <w:p w14:paraId="2B325703">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审</w:t>
            </w:r>
          </w:p>
          <w:p w14:paraId="20227D0B">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查</w:t>
            </w:r>
          </w:p>
        </w:tc>
        <w:tc>
          <w:tcPr>
            <w:tcW w:w="3695" w:type="dxa"/>
            <w:noWrap w:val="0"/>
            <w:vAlign w:val="center"/>
          </w:tcPr>
          <w:p w14:paraId="786B0E99">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（1）响应文件的签署盖章</w:t>
            </w:r>
          </w:p>
        </w:tc>
        <w:tc>
          <w:tcPr>
            <w:tcW w:w="4338" w:type="dxa"/>
            <w:noWrap w:val="0"/>
            <w:vAlign w:val="center"/>
          </w:tcPr>
          <w:p w14:paraId="5F803A60">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响应文件上法定代表人或其</w:t>
            </w:r>
            <w:r>
              <w:rPr>
                <w:rFonts w:hint="eastAsia" w:ascii="仿宋" w:hAnsi="仿宋" w:eastAsia="仿宋" w:cs="仿宋"/>
                <w:color w:val="auto"/>
                <w:szCs w:val="21"/>
                <w:highlight w:val="none"/>
                <w:lang w:eastAsia="zh-CN"/>
              </w:rPr>
              <w:t>授权代表</w:t>
            </w:r>
            <w:r>
              <w:rPr>
                <w:rFonts w:hint="eastAsia" w:ascii="仿宋" w:hAnsi="仿宋" w:eastAsia="仿宋" w:cs="仿宋"/>
                <w:color w:val="auto"/>
                <w:szCs w:val="21"/>
                <w:highlight w:val="none"/>
              </w:rPr>
              <w:t>的签字齐全并加盖单位章</w:t>
            </w:r>
          </w:p>
        </w:tc>
      </w:tr>
      <w:tr w14:paraId="1118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84" w:type="dxa"/>
            <w:vMerge w:val="continue"/>
            <w:noWrap w:val="0"/>
            <w:vAlign w:val="top"/>
          </w:tcPr>
          <w:p w14:paraId="0BE93D75">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 w:val="24"/>
                <w:highlight w:val="none"/>
              </w:rPr>
            </w:pPr>
          </w:p>
        </w:tc>
        <w:tc>
          <w:tcPr>
            <w:tcW w:w="658" w:type="dxa"/>
            <w:vMerge w:val="continue"/>
            <w:noWrap w:val="0"/>
            <w:vAlign w:val="top"/>
          </w:tcPr>
          <w:p w14:paraId="0796AD32">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rPr>
            </w:pPr>
          </w:p>
        </w:tc>
        <w:tc>
          <w:tcPr>
            <w:tcW w:w="3695" w:type="dxa"/>
            <w:noWrap w:val="0"/>
            <w:vAlign w:val="center"/>
          </w:tcPr>
          <w:p w14:paraId="1725FAF3">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（2）响应文件格式、语言、计量单位、报价货币</w:t>
            </w:r>
          </w:p>
        </w:tc>
        <w:tc>
          <w:tcPr>
            <w:tcW w:w="4338" w:type="dxa"/>
            <w:noWrap w:val="0"/>
            <w:vAlign w:val="center"/>
          </w:tcPr>
          <w:p w14:paraId="7B9BBC52">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应符合“响应文件格式”和响应文件要求</w:t>
            </w:r>
          </w:p>
        </w:tc>
      </w:tr>
      <w:tr w14:paraId="61A42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84" w:type="dxa"/>
            <w:vMerge w:val="continue"/>
            <w:noWrap w:val="0"/>
            <w:vAlign w:val="top"/>
          </w:tcPr>
          <w:p w14:paraId="58D0769B">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 w:val="24"/>
                <w:highlight w:val="none"/>
              </w:rPr>
            </w:pPr>
          </w:p>
        </w:tc>
        <w:tc>
          <w:tcPr>
            <w:tcW w:w="658" w:type="dxa"/>
            <w:vMerge w:val="continue"/>
            <w:noWrap w:val="0"/>
            <w:vAlign w:val="top"/>
          </w:tcPr>
          <w:p w14:paraId="07A50607">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rPr>
            </w:pPr>
          </w:p>
        </w:tc>
        <w:tc>
          <w:tcPr>
            <w:tcW w:w="3695" w:type="dxa"/>
            <w:noWrap w:val="0"/>
            <w:vAlign w:val="center"/>
          </w:tcPr>
          <w:p w14:paraId="500F8A0B">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（3）报价唯一</w:t>
            </w:r>
          </w:p>
        </w:tc>
        <w:tc>
          <w:tcPr>
            <w:tcW w:w="4338" w:type="dxa"/>
            <w:noWrap w:val="0"/>
            <w:vAlign w:val="center"/>
          </w:tcPr>
          <w:p w14:paraId="04D86D1A">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只能有一个有效报价，不得提交选择性报价，且报价不超过采购预算（最高限价）金额</w:t>
            </w:r>
          </w:p>
        </w:tc>
      </w:tr>
      <w:tr w14:paraId="7ED42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84" w:type="dxa"/>
            <w:vMerge w:val="restart"/>
            <w:noWrap w:val="0"/>
            <w:vAlign w:val="center"/>
          </w:tcPr>
          <w:p w14:paraId="026EFEAF">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58" w:type="dxa"/>
            <w:vMerge w:val="restart"/>
            <w:noWrap w:val="0"/>
            <w:vAlign w:val="center"/>
          </w:tcPr>
          <w:p w14:paraId="661F9F88">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w:t>
            </w:r>
          </w:p>
          <w:p w14:paraId="3BF9D81C">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整</w:t>
            </w:r>
          </w:p>
          <w:p w14:paraId="42C370B8">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性</w:t>
            </w:r>
          </w:p>
          <w:p w14:paraId="63F991BB">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审</w:t>
            </w:r>
          </w:p>
          <w:p w14:paraId="3FBF7662">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查</w:t>
            </w:r>
          </w:p>
        </w:tc>
        <w:tc>
          <w:tcPr>
            <w:tcW w:w="3695" w:type="dxa"/>
            <w:noWrap w:val="0"/>
            <w:vAlign w:val="center"/>
          </w:tcPr>
          <w:p w14:paraId="3B65ED98">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）响应文件份数</w:t>
            </w:r>
          </w:p>
        </w:tc>
        <w:tc>
          <w:tcPr>
            <w:tcW w:w="4338" w:type="dxa"/>
            <w:noWrap w:val="0"/>
            <w:vAlign w:val="center"/>
          </w:tcPr>
          <w:p w14:paraId="0F33BB5C">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应符合“供应商须知前附表”规定的正本、副本、电子文件数量</w:t>
            </w:r>
          </w:p>
        </w:tc>
      </w:tr>
      <w:tr w14:paraId="3E0FD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84" w:type="dxa"/>
            <w:vMerge w:val="continue"/>
            <w:noWrap w:val="0"/>
            <w:vAlign w:val="top"/>
          </w:tcPr>
          <w:p w14:paraId="7982A124">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 w:val="24"/>
                <w:highlight w:val="none"/>
              </w:rPr>
            </w:pPr>
          </w:p>
        </w:tc>
        <w:tc>
          <w:tcPr>
            <w:tcW w:w="658" w:type="dxa"/>
            <w:vMerge w:val="continue"/>
            <w:noWrap w:val="0"/>
            <w:vAlign w:val="top"/>
          </w:tcPr>
          <w:p w14:paraId="36554E30">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rPr>
            </w:pPr>
          </w:p>
        </w:tc>
        <w:tc>
          <w:tcPr>
            <w:tcW w:w="3695" w:type="dxa"/>
            <w:noWrap w:val="0"/>
            <w:vAlign w:val="center"/>
          </w:tcPr>
          <w:p w14:paraId="72EBBB81">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）磋商响应文件内容</w:t>
            </w:r>
          </w:p>
        </w:tc>
        <w:tc>
          <w:tcPr>
            <w:tcW w:w="4338" w:type="dxa"/>
            <w:noWrap w:val="0"/>
            <w:vAlign w:val="center"/>
          </w:tcPr>
          <w:p w14:paraId="743F7F65">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响应文件内容齐全、无遗漏</w:t>
            </w:r>
            <w:r>
              <w:rPr>
                <w:rFonts w:hint="eastAsia" w:ascii="仿宋" w:hAnsi="仿宋" w:eastAsia="仿宋" w:cs="仿宋"/>
                <w:color w:val="auto"/>
                <w:szCs w:val="21"/>
                <w:highlight w:val="none"/>
                <w:lang w:eastAsia="zh-CN"/>
              </w:rPr>
              <w:t>，技术、商务响应完整</w:t>
            </w:r>
          </w:p>
        </w:tc>
      </w:tr>
      <w:tr w14:paraId="39B6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484" w:type="dxa"/>
            <w:vMerge w:val="restart"/>
            <w:noWrap w:val="0"/>
            <w:vAlign w:val="center"/>
          </w:tcPr>
          <w:p w14:paraId="291A6327">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 w:val="24"/>
                <w:highlight w:val="none"/>
              </w:rPr>
            </w:pPr>
            <w:r>
              <w:rPr>
                <w:rFonts w:hint="eastAsia" w:ascii="仿宋" w:hAnsi="仿宋" w:eastAsia="仿宋" w:cs="仿宋"/>
                <w:color w:val="auto"/>
                <w:szCs w:val="21"/>
                <w:highlight w:val="none"/>
              </w:rPr>
              <w:t>3</w:t>
            </w:r>
          </w:p>
        </w:tc>
        <w:tc>
          <w:tcPr>
            <w:tcW w:w="658" w:type="dxa"/>
            <w:vMerge w:val="restart"/>
            <w:noWrap w:val="0"/>
            <w:vAlign w:val="center"/>
          </w:tcPr>
          <w:p w14:paraId="160D453D">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w:t>
            </w:r>
          </w:p>
          <w:p w14:paraId="414508AE">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应</w:t>
            </w:r>
          </w:p>
          <w:p w14:paraId="0DDDCC01">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性</w:t>
            </w:r>
          </w:p>
          <w:p w14:paraId="40DB1578">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审</w:t>
            </w:r>
          </w:p>
          <w:p w14:paraId="6C06BCC4">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查</w:t>
            </w:r>
          </w:p>
        </w:tc>
        <w:tc>
          <w:tcPr>
            <w:tcW w:w="3695" w:type="dxa"/>
            <w:noWrap w:val="0"/>
            <w:vAlign w:val="center"/>
          </w:tcPr>
          <w:p w14:paraId="7937A600">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leftChars="0" w:right="0" w:right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服务期</w:t>
            </w:r>
          </w:p>
        </w:tc>
        <w:tc>
          <w:tcPr>
            <w:tcW w:w="4338" w:type="dxa"/>
            <w:noWrap w:val="0"/>
            <w:vAlign w:val="center"/>
          </w:tcPr>
          <w:p w14:paraId="39CCA8B6">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应满足磋商文件的要求</w:t>
            </w:r>
          </w:p>
        </w:tc>
      </w:tr>
      <w:tr w14:paraId="0C7C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84" w:type="dxa"/>
            <w:vMerge w:val="continue"/>
            <w:noWrap w:val="0"/>
            <w:vAlign w:val="top"/>
          </w:tcPr>
          <w:p w14:paraId="32743ECB">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 w:val="24"/>
                <w:highlight w:val="none"/>
              </w:rPr>
            </w:pPr>
          </w:p>
        </w:tc>
        <w:tc>
          <w:tcPr>
            <w:tcW w:w="658" w:type="dxa"/>
            <w:vMerge w:val="continue"/>
            <w:noWrap w:val="0"/>
            <w:vAlign w:val="top"/>
          </w:tcPr>
          <w:p w14:paraId="35062FC0">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rPr>
            </w:pPr>
          </w:p>
        </w:tc>
        <w:tc>
          <w:tcPr>
            <w:tcW w:w="3695" w:type="dxa"/>
            <w:noWrap w:val="0"/>
            <w:vAlign w:val="center"/>
          </w:tcPr>
          <w:p w14:paraId="132829D4">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质量</w:t>
            </w:r>
          </w:p>
        </w:tc>
        <w:tc>
          <w:tcPr>
            <w:tcW w:w="4338" w:type="dxa"/>
            <w:noWrap w:val="0"/>
            <w:vAlign w:val="center"/>
          </w:tcPr>
          <w:p w14:paraId="58DD4A18">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应符合磋商文件的要求</w:t>
            </w:r>
          </w:p>
        </w:tc>
      </w:tr>
    </w:tbl>
    <w:p w14:paraId="26D458A2">
      <w:pPr>
        <w:keepNext w:val="0"/>
        <w:keepLines w:val="0"/>
        <w:pageBreakBefore w:val="0"/>
        <w:kinsoku/>
        <w:wordWrap/>
        <w:overflowPunct/>
        <w:topLinePunct w:val="0"/>
        <w:bidi w:val="0"/>
        <w:spacing w:line="400" w:lineRule="exact"/>
        <w:ind w:firstLine="632" w:firstLineChars="30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1.2.2.3 未通过符合性检查的供应商，不得进入后续磋商环节。</w:t>
      </w:r>
    </w:p>
    <w:p w14:paraId="009975D9">
      <w:pPr>
        <w:keepNext w:val="0"/>
        <w:keepLines w:val="0"/>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1.3 响应文件的澄清</w:t>
      </w:r>
    </w:p>
    <w:p w14:paraId="01D6FAEC">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1.3.1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88E6110">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1.3.2磋商小组要求供应商澄清、说明或者更正响应文件应当以书面形式作出。供应商的澄清、说明或者更正应当由法定代表人或其授权代表签字或者加盖公章。由</w:t>
      </w:r>
      <w:r>
        <w:rPr>
          <w:rFonts w:hint="eastAsia" w:ascii="仿宋" w:hAnsi="仿宋" w:eastAsia="仿宋" w:cs="仿宋"/>
          <w:snapToGrid w:val="0"/>
          <w:color w:val="auto"/>
          <w:kern w:val="0"/>
          <w:szCs w:val="21"/>
          <w:highlight w:val="none"/>
          <w:lang w:eastAsia="zh-CN"/>
        </w:rPr>
        <w:t>授权代表</w:t>
      </w:r>
      <w:r>
        <w:rPr>
          <w:rFonts w:hint="eastAsia" w:ascii="仿宋" w:hAnsi="仿宋" w:eastAsia="仿宋" w:cs="仿宋"/>
          <w:snapToGrid w:val="0"/>
          <w:color w:val="auto"/>
          <w:kern w:val="0"/>
          <w:szCs w:val="21"/>
          <w:highlight w:val="none"/>
        </w:rPr>
        <w:t>签字的，应当附法定代表人授权书。</w:t>
      </w:r>
    </w:p>
    <w:p w14:paraId="276418C3">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1.3.3 供应商拒不按照要求对响应文件进行澄清、说明或者更正的，磋商小组可以拒绝其响应文件。磋商小组不接受供应商主动提出的澄清、说明或者更正。</w:t>
      </w:r>
    </w:p>
    <w:p w14:paraId="1FF3AD85">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1.3.4 有效的书面澄清、说明或者更正材料，是响应文件的补充材料，并构成响应文件的组成部分。</w:t>
      </w:r>
    </w:p>
    <w:p w14:paraId="0FE7F75B">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1.3.5 磋商小组对供应商提交的澄清、说明或者更正有疑问的，可以要求供应商进一步澄清、说明或者更正，直至满足磋商小组的要求。</w:t>
      </w:r>
    </w:p>
    <w:p w14:paraId="4C919E4D">
      <w:pPr>
        <w:keepNext w:val="0"/>
        <w:keepLines w:val="0"/>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1.4 磋商</w:t>
      </w:r>
    </w:p>
    <w:p w14:paraId="209D4B2B">
      <w:pPr>
        <w:keepNext w:val="0"/>
        <w:keepLines w:val="0"/>
        <w:pageBreakBefore w:val="0"/>
        <w:kinsoku/>
        <w:wordWrap/>
        <w:overflowPunct/>
        <w:topLinePunct w:val="0"/>
        <w:bidi w:val="0"/>
        <w:adjustRightInd w:val="0"/>
        <w:snapToGrid w:val="0"/>
        <w:spacing w:line="400" w:lineRule="exact"/>
        <w:ind w:firstLine="422" w:firstLineChars="200"/>
        <w:rPr>
          <w:rFonts w:hint="eastAsia" w:ascii="仿宋" w:hAnsi="仿宋" w:eastAsia="仿宋" w:cs="仿宋"/>
          <w:b/>
          <w:bCs/>
          <w:snapToGrid w:val="0"/>
          <w:color w:val="auto"/>
          <w:kern w:val="0"/>
          <w:szCs w:val="21"/>
          <w:highlight w:val="none"/>
        </w:rPr>
      </w:pPr>
      <w:r>
        <w:rPr>
          <w:rFonts w:hint="eastAsia" w:ascii="仿宋" w:hAnsi="仿宋" w:eastAsia="仿宋" w:cs="仿宋"/>
          <w:b/>
          <w:bCs/>
          <w:snapToGrid w:val="0"/>
          <w:color w:val="auto"/>
          <w:kern w:val="0"/>
          <w:szCs w:val="21"/>
          <w:highlight w:val="none"/>
        </w:rPr>
        <w:t>1.4.1磋商方式：</w:t>
      </w:r>
    </w:p>
    <w:p w14:paraId="35644E6E">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1.4.1.1 对资格性审查和符合性审查合格的供应商，进入本次磋商环节。</w:t>
      </w:r>
    </w:p>
    <w:p w14:paraId="69D8E92F">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1.4.1.2 在磋商期间，供应商应派代表参加磋商，代表人数不超过2人。</w:t>
      </w:r>
    </w:p>
    <w:p w14:paraId="2AEBF568">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1.4.1.3 磋商小组将通过随机方式确定供应商进行磋商的顺序，所有成员集中与单一供应商按照顺序分别进行磋商，并给予所有参加磋商的供应商平等的磋商机会。磋商的任何一方不得透露与磋商有关的其他供应商的技术资料、价格和其他信息。</w:t>
      </w:r>
    </w:p>
    <w:p w14:paraId="1CDAFB8C">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1.4.1.4 技术磋商。在磋商过程中，磋商小组可以根据磋商文件和磋商情况实质性变动采购需求中的技术、服务要求以及合同草案条款，但不得变动磋商文件中的其他内容。实质性变动的内容，须经采购人代表确认。</w:t>
      </w:r>
    </w:p>
    <w:p w14:paraId="1F2290F6">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对磋商文件作出的实质性变动是磋商文件的有效组成部分，磋商小组应当及时以书面形式同时通知所有参加磋商的供应商。</w:t>
      </w:r>
    </w:p>
    <w:p w14:paraId="57F36F59">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供应商应当按照磋商文件的变动情况和磋商小组的要求重新提交响应文件，并由其法定代表人或</w:t>
      </w:r>
      <w:r>
        <w:rPr>
          <w:rFonts w:hint="eastAsia" w:ascii="仿宋" w:hAnsi="仿宋" w:eastAsia="仿宋" w:cs="仿宋"/>
          <w:color w:val="auto"/>
          <w:kern w:val="0"/>
          <w:szCs w:val="21"/>
          <w:highlight w:val="none"/>
          <w:lang w:eastAsia="zh-CN"/>
        </w:rPr>
        <w:t>授权代表</w:t>
      </w:r>
      <w:r>
        <w:rPr>
          <w:rFonts w:hint="eastAsia" w:ascii="仿宋" w:hAnsi="仿宋" w:eastAsia="仿宋" w:cs="仿宋"/>
          <w:color w:val="auto"/>
          <w:kern w:val="0"/>
          <w:szCs w:val="21"/>
          <w:highlight w:val="none"/>
        </w:rPr>
        <w:t>签字或者加盖公章。由</w:t>
      </w:r>
      <w:r>
        <w:rPr>
          <w:rFonts w:hint="eastAsia" w:ascii="仿宋" w:hAnsi="仿宋" w:eastAsia="仿宋" w:cs="仿宋"/>
          <w:color w:val="auto"/>
          <w:kern w:val="0"/>
          <w:szCs w:val="21"/>
          <w:highlight w:val="none"/>
          <w:lang w:eastAsia="zh-CN"/>
        </w:rPr>
        <w:t>授权代表</w:t>
      </w:r>
      <w:r>
        <w:rPr>
          <w:rFonts w:hint="eastAsia" w:ascii="仿宋" w:hAnsi="仿宋" w:eastAsia="仿宋" w:cs="仿宋"/>
          <w:color w:val="auto"/>
          <w:kern w:val="0"/>
          <w:szCs w:val="21"/>
          <w:highlight w:val="none"/>
        </w:rPr>
        <w:t>签字的，应当附法定代表人授权书。</w:t>
      </w:r>
    </w:p>
    <w:p w14:paraId="1DB1B547">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磋商小组应当根据规定对供应商重新提交的响应文件进行符合性审查。供应商重新提交的响应文件未通过符合性审查的，不得进入商务磋商，也不得要求提交最后报价。</w:t>
      </w:r>
    </w:p>
    <w:p w14:paraId="32394B2C">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1.4.1.5 商务磋商。在技术磋商结束后，进行商务磋商。</w:t>
      </w:r>
      <w:r>
        <w:rPr>
          <w:rFonts w:hint="eastAsia" w:ascii="仿宋" w:hAnsi="仿宋" w:eastAsia="仿宋" w:cs="仿宋"/>
          <w:b/>
          <w:color w:val="auto"/>
          <w:szCs w:val="21"/>
          <w:highlight w:val="none"/>
        </w:rPr>
        <w:t>磋商文件能够详细列明采购标的的技术要求的，</w:t>
      </w:r>
      <w:r>
        <w:rPr>
          <w:rFonts w:hint="eastAsia" w:ascii="仿宋" w:hAnsi="仿宋" w:eastAsia="仿宋" w:cs="仿宋"/>
          <w:color w:val="auto"/>
          <w:szCs w:val="21"/>
          <w:highlight w:val="none"/>
        </w:rPr>
        <w:t>磋商小组应当要求所有实质性响应的供应商在规定时间内提交最后报价，</w:t>
      </w:r>
      <w:r>
        <w:rPr>
          <w:rFonts w:hint="eastAsia" w:ascii="仿宋" w:hAnsi="仿宋" w:eastAsia="仿宋" w:cs="仿宋"/>
          <w:b/>
          <w:color w:val="auto"/>
          <w:szCs w:val="21"/>
          <w:highlight w:val="none"/>
        </w:rPr>
        <w:t>提交最后报价的供应商不得少于3家</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磋商文件不能详细列明采购标的的技术要求</w:t>
      </w:r>
      <w:r>
        <w:rPr>
          <w:rFonts w:hint="eastAsia" w:ascii="仿宋" w:hAnsi="仿宋" w:eastAsia="仿宋" w:cs="仿宋"/>
          <w:color w:val="auto"/>
          <w:szCs w:val="21"/>
          <w:highlight w:val="none"/>
        </w:rPr>
        <w:t>，需经磋商由供应商提供最终解决方案的，</w:t>
      </w:r>
      <w:r>
        <w:rPr>
          <w:rFonts w:hint="eastAsia" w:ascii="仿宋" w:hAnsi="仿宋" w:eastAsia="仿宋" w:cs="仿宋"/>
          <w:b/>
          <w:color w:val="auto"/>
          <w:szCs w:val="21"/>
          <w:highlight w:val="none"/>
        </w:rPr>
        <w:t>磋商小组应当按照少数服从多数的原则投票推荐3家以上供应商的解决方案，</w:t>
      </w:r>
      <w:r>
        <w:rPr>
          <w:rFonts w:hint="eastAsia" w:ascii="仿宋" w:hAnsi="仿宋" w:eastAsia="仿宋" w:cs="仿宋"/>
          <w:color w:val="auto"/>
          <w:szCs w:val="21"/>
          <w:highlight w:val="none"/>
        </w:rPr>
        <w:t>并要求其在规定时间内提交最后报价。</w:t>
      </w:r>
    </w:p>
    <w:p w14:paraId="03D97CC5">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1.4.1.6 已提交响应文件的供应商，在提交最后报价之前，可以根据磋商情况退出磋商，采购代理机构应当退还其磋商保证金。</w:t>
      </w:r>
    </w:p>
    <w:p w14:paraId="4D9A6292">
      <w:pPr>
        <w:keepNext w:val="0"/>
        <w:keepLines w:val="0"/>
        <w:pageBreakBefore w:val="0"/>
        <w:kinsoku/>
        <w:wordWrap/>
        <w:overflowPunct/>
        <w:topLinePunct w:val="0"/>
        <w:bidi w:val="0"/>
        <w:adjustRightInd w:val="0"/>
        <w:snapToGrid w:val="0"/>
        <w:spacing w:line="400" w:lineRule="exact"/>
        <w:ind w:firstLine="422" w:firstLineChars="200"/>
        <w:rPr>
          <w:rFonts w:hint="eastAsia" w:ascii="仿宋" w:hAnsi="仿宋" w:eastAsia="仿宋" w:cs="仿宋"/>
          <w:b/>
          <w:bCs/>
          <w:snapToGrid w:val="0"/>
          <w:color w:val="auto"/>
          <w:kern w:val="0"/>
          <w:szCs w:val="21"/>
          <w:highlight w:val="none"/>
        </w:rPr>
      </w:pPr>
      <w:r>
        <w:rPr>
          <w:rFonts w:hint="eastAsia" w:ascii="仿宋" w:hAnsi="仿宋" w:eastAsia="仿宋" w:cs="仿宋"/>
          <w:b/>
          <w:bCs/>
          <w:snapToGrid w:val="0"/>
          <w:color w:val="auto"/>
          <w:kern w:val="0"/>
          <w:szCs w:val="21"/>
          <w:highlight w:val="none"/>
        </w:rPr>
        <w:t>1.4.2磋商步骤：</w:t>
      </w:r>
    </w:p>
    <w:p w14:paraId="2BEC9C4A">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1.4.2.1 第一轮磋商。磋商小组对进入第一轮磋商的供应商再次进行评审、质疑和澄清。在此阶段，磋商小组依据参加磋商的供应商递交的响应文件进行技术和商务磋商。</w:t>
      </w:r>
    </w:p>
    <w:p w14:paraId="5BC063CF">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磋商小组可以根据实际需要提出方案和技术参数要求，与单一供应商分别进行磋商，并给予所有参加磋商的供应商平等的磋商机会。要求参加磋商的供应商重新承诺技术参数和第二次磋商报价，以满足采购人的最大需求。</w:t>
      </w:r>
    </w:p>
    <w:p w14:paraId="26F9D6F8">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1.4.2.2 第二轮磋商。对第一轮磋商结果不满意，磋商小组可以再次要求参加磋商的供应商进行第二轮磋商，磋商内容及要求与第一轮磋商相同。</w:t>
      </w:r>
    </w:p>
    <w:p w14:paraId="15660D9C">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1.4.2.3 每轮磋商结束后，磋商小组对磋商情况进行讨论，综合考虑供应商提供的技术参数和性价比，有权对技术参数最差供应商或性价比最低点供应商进行淘汰，并将淘汰理由写入评审报告。</w:t>
      </w:r>
    </w:p>
    <w:p w14:paraId="7B9E7A31">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1.4.2.4 磋商小组应在最后一轮磋商前告知所有符合磋商要求的供应商是否是最后一次磋商。</w:t>
      </w:r>
    </w:p>
    <w:p w14:paraId="7D34EE14">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1.4.2.5 最后一轮磋商结束后，磋商小组将对进入最后一轮的供应商的响应文件进行详细评审。</w:t>
      </w:r>
    </w:p>
    <w:p w14:paraId="349A5557">
      <w:pPr>
        <w:keepNext w:val="0"/>
        <w:keepLines w:val="0"/>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1.5 最后报价</w:t>
      </w:r>
    </w:p>
    <w:p w14:paraId="5C22EE8F">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1.5.1 供应商应当以书面形式提交最后报价（最后报价将作为综合评分法中价格分的计算依据），并由其法定代表人或者</w:t>
      </w:r>
      <w:r>
        <w:rPr>
          <w:rFonts w:hint="eastAsia" w:ascii="仿宋" w:hAnsi="仿宋" w:eastAsia="仿宋" w:cs="仿宋"/>
          <w:snapToGrid w:val="0"/>
          <w:color w:val="auto"/>
          <w:kern w:val="0"/>
          <w:szCs w:val="21"/>
          <w:highlight w:val="none"/>
          <w:lang w:eastAsia="zh-CN"/>
        </w:rPr>
        <w:t>授权代表</w:t>
      </w:r>
      <w:r>
        <w:rPr>
          <w:rFonts w:hint="eastAsia" w:ascii="仿宋" w:hAnsi="仿宋" w:eastAsia="仿宋" w:cs="仿宋"/>
          <w:snapToGrid w:val="0"/>
          <w:color w:val="auto"/>
          <w:kern w:val="0"/>
          <w:szCs w:val="21"/>
          <w:highlight w:val="none"/>
        </w:rPr>
        <w:t>签字或者加盖单位章。由</w:t>
      </w:r>
      <w:r>
        <w:rPr>
          <w:rFonts w:hint="eastAsia" w:ascii="仿宋" w:hAnsi="仿宋" w:eastAsia="仿宋" w:cs="仿宋"/>
          <w:snapToGrid w:val="0"/>
          <w:color w:val="auto"/>
          <w:kern w:val="0"/>
          <w:szCs w:val="21"/>
          <w:highlight w:val="none"/>
          <w:lang w:eastAsia="zh-CN"/>
        </w:rPr>
        <w:t>授权代表</w:t>
      </w:r>
      <w:r>
        <w:rPr>
          <w:rFonts w:hint="eastAsia" w:ascii="仿宋" w:hAnsi="仿宋" w:eastAsia="仿宋" w:cs="仿宋"/>
          <w:snapToGrid w:val="0"/>
          <w:color w:val="auto"/>
          <w:kern w:val="0"/>
          <w:szCs w:val="21"/>
          <w:highlight w:val="none"/>
        </w:rPr>
        <w:t>签字的，应当附法定代表人授权书。</w:t>
      </w:r>
    </w:p>
    <w:p w14:paraId="3DED00E5">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1.5.2 最后报价是供应商响应文件的有效组成部分。</w:t>
      </w:r>
    </w:p>
    <w:p w14:paraId="5E1D10A3">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1.5.3 最后报价仅向采购人及监督人员宣布，并由监督人员确认。</w:t>
      </w:r>
    </w:p>
    <w:p w14:paraId="5BD426E8">
      <w:pPr>
        <w:keepNext w:val="0"/>
        <w:keepLines w:val="0"/>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1.6 响应文件详细评审</w:t>
      </w:r>
    </w:p>
    <w:p w14:paraId="76ADD98B">
      <w:pPr>
        <w:keepNext w:val="0"/>
        <w:keepLines w:val="0"/>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经磋商确定最终采购需求和提交最后报价的供应商后，由磋商小组采用</w:t>
      </w:r>
      <w:r>
        <w:rPr>
          <w:rFonts w:hint="eastAsia" w:ascii="仿宋" w:hAnsi="仿宋" w:eastAsia="仿宋" w:cs="仿宋"/>
          <w:b/>
          <w:color w:val="auto"/>
          <w:szCs w:val="21"/>
          <w:highlight w:val="none"/>
        </w:rPr>
        <w:t>综合评分法</w:t>
      </w:r>
      <w:r>
        <w:rPr>
          <w:rFonts w:hint="eastAsia" w:ascii="仿宋" w:hAnsi="仿宋" w:eastAsia="仿宋" w:cs="仿宋"/>
          <w:color w:val="auto"/>
          <w:szCs w:val="21"/>
          <w:highlight w:val="none"/>
        </w:rPr>
        <w:t>对提交最后报价的供应商的响应文件和最后报价进行综合评分。</w:t>
      </w:r>
    </w:p>
    <w:p w14:paraId="082B06EC">
      <w:pPr>
        <w:keepNext w:val="0"/>
        <w:keepLines w:val="0"/>
        <w:pageBreakBefore w:val="0"/>
        <w:kinsoku/>
        <w:wordWrap/>
        <w:overflowPunct/>
        <w:topLinePunct w:val="0"/>
        <w:bidi w:val="0"/>
        <w:spacing w:before="120" w:before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1.7 复核与核对评审结果</w:t>
      </w:r>
    </w:p>
    <w:p w14:paraId="005430BE">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1.7.1 评分汇总结束后，磋商小组应当进行复核，特别要对拟推荐成交候选人的、最后报价最低的、响应文件被认定无效的进行重点复核。</w:t>
      </w:r>
    </w:p>
    <w:p w14:paraId="11E4D342">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1.7.2 评审结果汇总完成后，评审报告签署前，采购代理机构应当核对评审结果，除下列情形外，任何人不得修改评审结果：</w:t>
      </w:r>
    </w:p>
    <w:p w14:paraId="0ADC86E7">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（1）资格性认定错误的；</w:t>
      </w:r>
    </w:p>
    <w:p w14:paraId="65886C8E">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（2）分值汇总计算错误的；</w:t>
      </w:r>
    </w:p>
    <w:p w14:paraId="7C95D228">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（3）分项评分超出评分标准范围的；</w:t>
      </w:r>
    </w:p>
    <w:p w14:paraId="155DA7F6">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（4）磋商小组对客观评审因素评分不一致的；</w:t>
      </w:r>
    </w:p>
    <w:p w14:paraId="2EACA7BA">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（5）经磋商小组一致认定评分畸高、畸低的。</w:t>
      </w:r>
    </w:p>
    <w:p w14:paraId="2CBEC9F2">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经复核发现存在以上情形之一的，磋商小组应当当场修改评审结果，并在评审报告中记载。</w:t>
      </w:r>
    </w:p>
    <w:p w14:paraId="0A08473D">
      <w:pPr>
        <w:keepNext w:val="0"/>
        <w:keepLines w:val="0"/>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1.8 确定成交候选人名单</w:t>
      </w:r>
    </w:p>
    <w:p w14:paraId="4061264A">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确定成交候选人程序祥见第二章第8.1、8.2条款。</w:t>
      </w:r>
    </w:p>
    <w:p w14:paraId="6A23BAC4">
      <w:pPr>
        <w:keepNext w:val="0"/>
        <w:keepLines w:val="0"/>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1.9 编写评审报告</w:t>
      </w:r>
    </w:p>
    <w:p w14:paraId="5DDB5925">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1.9.1 磋商小组在确定成交候选人名单后，应当编写评审报告并向采购人出具。评审报告应当包括以下主要内容：</w:t>
      </w:r>
    </w:p>
    <w:p w14:paraId="2A1EF27E">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（1）邀请供应商参加采购活动的具体方式和相关情况；</w:t>
      </w:r>
    </w:p>
    <w:p w14:paraId="6FFB8F6B">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（2）响应文件开启日期和地点；</w:t>
      </w:r>
    </w:p>
    <w:p w14:paraId="0E652118">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（3）获取磋商文件的供应商名单和磋商小组成员名单；</w:t>
      </w:r>
    </w:p>
    <w:p w14:paraId="2629A64D">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（4）评审情况记录和说明，包括对供应商的资格审查情况、供应商响应文件评审情况、磋商情况（含磋商文件实质性变动情况）、报价情况等；</w:t>
      </w:r>
    </w:p>
    <w:p w14:paraId="2D21BD08">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（5）提出的成交候选人的排序名单及理由。</w:t>
      </w:r>
    </w:p>
    <w:p w14:paraId="55FDB1A5">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（6）其他需要说明的情况，包括评审过程中供应商根据磋商小组要求进行的澄清、说明或者更正，磋商小组成员的更换等，报价最高的供应商为第一中标候选人的，对其报价合理性予以特别书面。</w:t>
      </w:r>
    </w:p>
    <w:p w14:paraId="458B93C5">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1.9.2 评审报告应当由磋商小组全体人员签字认可。磋商小组成员对评审报告有异议的，磋商小组按照少数服从多数的原则推荐成交候选人名单，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0F521AC">
      <w:pPr>
        <w:keepNext w:val="0"/>
        <w:keepLines w:val="0"/>
        <w:pageBreakBefore w:val="0"/>
        <w:kinsoku/>
        <w:wordWrap/>
        <w:overflowPunct/>
        <w:topLinePunct w:val="0"/>
        <w:bidi w:val="0"/>
        <w:spacing w:before="120" w:beforeLines="50" w:after="120" w:afterLines="50" w:line="400" w:lineRule="exact"/>
        <w:outlineLvl w:val="1"/>
        <w:rPr>
          <w:rFonts w:hint="eastAsia" w:ascii="仿宋" w:hAnsi="仿宋" w:eastAsia="仿宋" w:cs="仿宋"/>
          <w:color w:val="auto"/>
          <w:sz w:val="36"/>
          <w:szCs w:val="36"/>
          <w:highlight w:val="none"/>
        </w:rPr>
      </w:pPr>
      <w:bookmarkStart w:id="183" w:name="_Toc32261"/>
      <w:bookmarkStart w:id="184" w:name="_Toc15857"/>
      <w:bookmarkStart w:id="185" w:name="_Toc29656"/>
      <w:bookmarkStart w:id="186" w:name="_Toc17540"/>
      <w:bookmarkStart w:id="187" w:name="_Toc25048_WPSOffice_Level2"/>
      <w:bookmarkStart w:id="188" w:name="_Toc16740"/>
      <w:bookmarkStart w:id="189" w:name="_Toc15146"/>
      <w:r>
        <w:rPr>
          <w:rFonts w:hint="eastAsia" w:ascii="仿宋" w:hAnsi="仿宋" w:eastAsia="仿宋" w:cs="仿宋"/>
          <w:color w:val="auto"/>
          <w:sz w:val="36"/>
          <w:szCs w:val="36"/>
          <w:highlight w:val="none"/>
        </w:rPr>
        <w:t>2.评审方法</w:t>
      </w:r>
      <w:bookmarkEnd w:id="183"/>
      <w:bookmarkEnd w:id="184"/>
      <w:bookmarkEnd w:id="185"/>
      <w:bookmarkEnd w:id="186"/>
      <w:bookmarkEnd w:id="187"/>
      <w:bookmarkEnd w:id="188"/>
      <w:bookmarkEnd w:id="189"/>
    </w:p>
    <w:p w14:paraId="5CD40160">
      <w:pPr>
        <w:pStyle w:val="5"/>
        <w:keepNext w:val="0"/>
        <w:keepLines w:val="0"/>
        <w:pageBreakBefore w:val="0"/>
        <w:kinsoku/>
        <w:wordWrap/>
        <w:overflowPunct/>
        <w:topLinePunct w:val="0"/>
        <w:bidi w:val="0"/>
        <w:spacing w:before="120" w:beforeLines="50" w:after="120" w:afterLines="50" w:line="400" w:lineRule="exact"/>
        <w:ind w:firstLine="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2.1 综合评分法</w:t>
      </w:r>
    </w:p>
    <w:p w14:paraId="16C1FB4B">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2.1.1 本采购项目评审方法采用综合评分法，是指响应文件满足磋商文件全部实质性要求且按评审因素的量化指标评审得分最高的供应商为成交候选供应商的评审方法。</w:t>
      </w:r>
    </w:p>
    <w:p w14:paraId="6B5083C6">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2.1.2 综合评分法评审标准中的分值设置应当与评审因素的量化指标相对应。磋商文件中没有规定的评审标准不得作为评审依据。</w:t>
      </w:r>
    </w:p>
    <w:p w14:paraId="30CC639E">
      <w:pPr>
        <w:keepNext w:val="0"/>
        <w:keepLines w:val="0"/>
        <w:pageBreakBefore w:val="0"/>
        <w:widowControl/>
        <w:kinsoku/>
        <w:wordWrap/>
        <w:overflowPunct/>
        <w:topLinePunct w:val="0"/>
        <w:autoSpaceDE w:val="0"/>
        <w:autoSpaceDN w:val="0"/>
        <w:bidi w:val="0"/>
        <w:spacing w:before="120" w:beforeLines="50" w:after="120" w:afterLines="50" w:line="400" w:lineRule="exact"/>
        <w:ind w:right="51"/>
        <w:textAlignment w:val="bottom"/>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2.2 分值构成及评分标准</w:t>
      </w:r>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782"/>
        <w:gridCol w:w="6738"/>
      </w:tblGrid>
      <w:tr w14:paraId="0BB5A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583" w:type="pct"/>
            <w:tcBorders>
              <w:top w:val="single" w:color="auto" w:sz="4" w:space="0"/>
              <w:left w:val="single" w:color="auto" w:sz="4" w:space="0"/>
              <w:bottom w:val="single" w:color="auto" w:sz="4" w:space="0"/>
              <w:right w:val="single" w:color="auto" w:sz="4" w:space="0"/>
            </w:tcBorders>
            <w:vAlign w:val="center"/>
          </w:tcPr>
          <w:p w14:paraId="6A72A7AE">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评标</w:t>
            </w:r>
          </w:p>
          <w:p w14:paraId="0318D048">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因素</w:t>
            </w:r>
          </w:p>
        </w:tc>
        <w:tc>
          <w:tcPr>
            <w:tcW w:w="459" w:type="pct"/>
            <w:tcBorders>
              <w:top w:val="single" w:color="auto" w:sz="4" w:space="0"/>
              <w:left w:val="single" w:color="auto" w:sz="4" w:space="0"/>
              <w:right w:val="single" w:color="auto" w:sz="4" w:space="0"/>
            </w:tcBorders>
            <w:vAlign w:val="center"/>
          </w:tcPr>
          <w:p w14:paraId="4E816D97">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权值%</w:t>
            </w:r>
          </w:p>
        </w:tc>
        <w:tc>
          <w:tcPr>
            <w:tcW w:w="3957" w:type="pct"/>
            <w:tcBorders>
              <w:top w:val="single" w:color="auto" w:sz="4" w:space="0"/>
              <w:left w:val="single" w:color="auto" w:sz="4" w:space="0"/>
              <w:bottom w:val="single" w:color="auto" w:sz="4" w:space="0"/>
              <w:right w:val="single" w:color="auto" w:sz="4" w:space="0"/>
            </w:tcBorders>
            <w:vAlign w:val="center"/>
          </w:tcPr>
          <w:p w14:paraId="2D1FE23A">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评价要素</w:t>
            </w:r>
          </w:p>
        </w:tc>
      </w:tr>
      <w:tr w14:paraId="3407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83" w:type="pct"/>
            <w:tcBorders>
              <w:top w:val="single" w:color="auto" w:sz="4" w:space="0"/>
              <w:left w:val="single" w:color="auto" w:sz="4" w:space="0"/>
              <w:bottom w:val="single" w:color="auto" w:sz="4" w:space="0"/>
              <w:right w:val="single" w:color="auto" w:sz="4" w:space="0"/>
            </w:tcBorders>
            <w:vAlign w:val="center"/>
          </w:tcPr>
          <w:p w14:paraId="3C216710">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报价</w:t>
            </w:r>
          </w:p>
          <w:p w14:paraId="2588513C">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10分</w:t>
            </w:r>
          </w:p>
        </w:tc>
        <w:tc>
          <w:tcPr>
            <w:tcW w:w="459" w:type="pct"/>
            <w:tcBorders>
              <w:top w:val="single" w:color="auto" w:sz="4" w:space="0"/>
              <w:left w:val="single" w:color="auto" w:sz="4" w:space="0"/>
              <w:bottom w:val="single" w:color="auto" w:sz="4" w:space="0"/>
              <w:right w:val="single" w:color="auto" w:sz="4" w:space="0"/>
            </w:tcBorders>
            <w:vAlign w:val="center"/>
          </w:tcPr>
          <w:p w14:paraId="0707066C">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10</w:t>
            </w:r>
            <w:r>
              <w:rPr>
                <w:rFonts w:hint="eastAsia" w:ascii="仿宋" w:hAnsi="仿宋" w:eastAsia="仿宋" w:cs="仿宋"/>
                <w:snapToGrid w:val="0"/>
                <w:color w:val="auto"/>
                <w:kern w:val="0"/>
                <w:sz w:val="24"/>
                <w:szCs w:val="24"/>
                <w:highlight w:val="none"/>
              </w:rPr>
              <w:t>分</w:t>
            </w:r>
          </w:p>
        </w:tc>
        <w:tc>
          <w:tcPr>
            <w:tcW w:w="3957" w:type="pct"/>
            <w:tcBorders>
              <w:top w:val="single" w:color="auto" w:sz="4" w:space="0"/>
              <w:left w:val="single" w:color="auto" w:sz="4" w:space="0"/>
              <w:bottom w:val="single" w:color="auto" w:sz="4" w:space="0"/>
              <w:right w:val="single" w:color="auto" w:sz="4" w:space="0"/>
            </w:tcBorders>
            <w:vAlign w:val="center"/>
          </w:tcPr>
          <w:p w14:paraId="153F0C15">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 xml:space="preserve">价格分统一采用低价优先法计算，即满足招标文件要求且投标价格最低的投标报价为投标基准价，其价格分为满分。其他供应商的价格分统一按照下列公式计算： </w:t>
            </w:r>
          </w:p>
          <w:p w14:paraId="5282808D">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 xml:space="preserve"> 投标报价得分=(投标基准价／投标报价)×价格权值</w:t>
            </w:r>
            <w:r>
              <w:rPr>
                <w:rFonts w:hint="eastAsia" w:ascii="仿宋" w:hAnsi="仿宋" w:eastAsia="仿宋" w:cs="仿宋"/>
                <w:snapToGrid w:val="0"/>
                <w:color w:val="auto"/>
                <w:kern w:val="0"/>
                <w:sz w:val="24"/>
                <w:szCs w:val="24"/>
                <w:highlight w:val="none"/>
                <w:lang w:val="en-US" w:eastAsia="zh-CN"/>
              </w:rPr>
              <w:t>1</w:t>
            </w:r>
            <w:r>
              <w:rPr>
                <w:rFonts w:hint="eastAsia" w:ascii="仿宋" w:hAnsi="仿宋" w:eastAsia="仿宋" w:cs="仿宋"/>
                <w:snapToGrid w:val="0"/>
                <w:color w:val="auto"/>
                <w:kern w:val="0"/>
                <w:sz w:val="24"/>
                <w:szCs w:val="24"/>
                <w:highlight w:val="none"/>
              </w:rPr>
              <w:t xml:space="preserve">0%×100               </w:t>
            </w:r>
          </w:p>
          <w:p w14:paraId="441B5569">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480" w:firstLineChars="200"/>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rPr>
              <w:t>计算分数时四舍五入取小数点后两位</w:t>
            </w:r>
            <w:r>
              <w:rPr>
                <w:rFonts w:hint="eastAsia" w:ascii="仿宋" w:hAnsi="仿宋" w:eastAsia="仿宋" w:cs="仿宋"/>
                <w:snapToGrid w:val="0"/>
                <w:color w:val="auto"/>
                <w:kern w:val="0"/>
                <w:sz w:val="24"/>
                <w:szCs w:val="24"/>
                <w:highlight w:val="none"/>
                <w:lang w:eastAsia="zh-CN"/>
              </w:rPr>
              <w:t>。</w:t>
            </w:r>
          </w:p>
        </w:tc>
      </w:tr>
      <w:tr w14:paraId="61B0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vMerge w:val="restart"/>
            <w:tcBorders>
              <w:top w:val="single" w:color="auto" w:sz="4" w:space="0"/>
              <w:left w:val="single" w:color="auto" w:sz="4" w:space="0"/>
              <w:right w:val="single" w:color="auto" w:sz="4" w:space="0"/>
            </w:tcBorders>
            <w:vAlign w:val="center"/>
          </w:tcPr>
          <w:p w14:paraId="6932DE2C">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eastAsia="zh-CN"/>
              </w:rPr>
              <w:t>技术</w:t>
            </w:r>
          </w:p>
          <w:p w14:paraId="195AAE0C">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方案</w:t>
            </w:r>
          </w:p>
          <w:p w14:paraId="7727ECCF">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67</w:t>
            </w:r>
            <w:r>
              <w:rPr>
                <w:rFonts w:hint="eastAsia" w:ascii="仿宋" w:hAnsi="仿宋" w:eastAsia="仿宋" w:cs="仿宋"/>
                <w:snapToGrid w:val="0"/>
                <w:color w:val="auto"/>
                <w:kern w:val="0"/>
                <w:sz w:val="24"/>
                <w:szCs w:val="24"/>
                <w:highlight w:val="none"/>
              </w:rPr>
              <w:t>分</w:t>
            </w:r>
          </w:p>
        </w:tc>
        <w:tc>
          <w:tcPr>
            <w:tcW w:w="459" w:type="pct"/>
            <w:tcBorders>
              <w:top w:val="single" w:color="auto" w:sz="4" w:space="0"/>
              <w:left w:val="single" w:color="auto" w:sz="4" w:space="0"/>
              <w:bottom w:val="single" w:color="auto" w:sz="4" w:space="0"/>
              <w:right w:val="single" w:color="auto" w:sz="4" w:space="0"/>
            </w:tcBorders>
            <w:vAlign w:val="center"/>
          </w:tcPr>
          <w:p w14:paraId="5DA6F42F">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leftChars="0" w:right="0" w:rightChars="0"/>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14</w:t>
            </w:r>
            <w:r>
              <w:rPr>
                <w:rFonts w:hint="eastAsia" w:ascii="仿宋" w:hAnsi="仿宋" w:eastAsia="仿宋" w:cs="仿宋"/>
                <w:snapToGrid w:val="0"/>
                <w:color w:val="auto"/>
                <w:kern w:val="0"/>
                <w:sz w:val="24"/>
                <w:szCs w:val="24"/>
                <w:highlight w:val="none"/>
                <w:lang w:eastAsia="zh-CN"/>
              </w:rPr>
              <w:t>分</w:t>
            </w:r>
          </w:p>
        </w:tc>
        <w:tc>
          <w:tcPr>
            <w:tcW w:w="3957" w:type="pct"/>
            <w:tcBorders>
              <w:top w:val="single" w:color="auto" w:sz="4" w:space="0"/>
              <w:left w:val="single" w:color="auto" w:sz="4" w:space="0"/>
              <w:bottom w:val="single" w:color="auto" w:sz="4" w:space="0"/>
              <w:right w:val="single" w:color="auto" w:sz="4" w:space="0"/>
            </w:tcBorders>
            <w:vAlign w:val="center"/>
          </w:tcPr>
          <w:p w14:paraId="0FD80F72">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leftChars="0" w:right="0" w:rightChars="0" w:firstLine="480" w:firstLineChars="200"/>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eastAsia="zh-CN"/>
              </w:rPr>
              <w:t>1.项目理解：对项目情况分析认识切合实际、合理，对</w:t>
            </w:r>
            <w:r>
              <w:rPr>
                <w:rFonts w:hint="eastAsia" w:ascii="仿宋" w:hAnsi="仿宋" w:eastAsia="仿宋" w:cs="仿宋"/>
                <w:snapToGrid w:val="0"/>
                <w:color w:val="auto"/>
                <w:kern w:val="0"/>
                <w:sz w:val="24"/>
                <w:szCs w:val="24"/>
                <w:highlight w:val="none"/>
                <w:lang w:val="en-US" w:eastAsia="zh-CN"/>
              </w:rPr>
              <w:t>普查工作</w:t>
            </w:r>
            <w:r>
              <w:rPr>
                <w:rFonts w:hint="eastAsia" w:ascii="仿宋" w:hAnsi="仿宋" w:eastAsia="仿宋" w:cs="仿宋"/>
                <w:snapToGrid w:val="0"/>
                <w:color w:val="auto"/>
                <w:kern w:val="0"/>
                <w:sz w:val="24"/>
                <w:szCs w:val="24"/>
                <w:highlight w:val="none"/>
                <w:lang w:eastAsia="zh-CN"/>
              </w:rPr>
              <w:t>实施重点难点理解程度高，描述准确计</w:t>
            </w:r>
            <w:r>
              <w:rPr>
                <w:rFonts w:hint="eastAsia" w:ascii="仿宋" w:hAnsi="仿宋" w:eastAsia="仿宋" w:cs="仿宋"/>
                <w:snapToGrid w:val="0"/>
                <w:color w:val="auto"/>
                <w:kern w:val="0"/>
                <w:sz w:val="24"/>
                <w:szCs w:val="24"/>
                <w:highlight w:val="none"/>
                <w:lang w:val="en-US" w:eastAsia="zh-CN"/>
              </w:rPr>
              <w:t>10</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14</w:t>
            </w:r>
            <w:r>
              <w:rPr>
                <w:rFonts w:hint="eastAsia" w:ascii="仿宋" w:hAnsi="仿宋" w:eastAsia="仿宋" w:cs="仿宋"/>
                <w:snapToGrid w:val="0"/>
                <w:color w:val="auto"/>
                <w:kern w:val="0"/>
                <w:sz w:val="24"/>
                <w:szCs w:val="24"/>
                <w:highlight w:val="none"/>
                <w:lang w:eastAsia="zh-CN"/>
              </w:rPr>
              <w:t>分；对项目情况分析认识较为实际、合理，对</w:t>
            </w:r>
            <w:r>
              <w:rPr>
                <w:rFonts w:hint="eastAsia" w:ascii="仿宋" w:hAnsi="仿宋" w:eastAsia="仿宋" w:cs="仿宋"/>
                <w:snapToGrid w:val="0"/>
                <w:color w:val="auto"/>
                <w:kern w:val="0"/>
                <w:sz w:val="24"/>
                <w:szCs w:val="24"/>
                <w:highlight w:val="none"/>
                <w:lang w:val="en-US" w:eastAsia="zh-CN"/>
              </w:rPr>
              <w:t>普查工作</w:t>
            </w:r>
            <w:r>
              <w:rPr>
                <w:rFonts w:hint="eastAsia" w:ascii="仿宋" w:hAnsi="仿宋" w:eastAsia="仿宋" w:cs="仿宋"/>
                <w:snapToGrid w:val="0"/>
                <w:color w:val="auto"/>
                <w:kern w:val="0"/>
                <w:sz w:val="24"/>
                <w:szCs w:val="24"/>
                <w:highlight w:val="none"/>
                <w:lang w:eastAsia="zh-CN"/>
              </w:rPr>
              <w:t>实施重点难点理解程度比较高，描述比较准确计</w:t>
            </w:r>
            <w:r>
              <w:rPr>
                <w:rFonts w:hint="eastAsia" w:ascii="仿宋" w:hAnsi="仿宋" w:eastAsia="仿宋" w:cs="仿宋"/>
                <w:snapToGrid w:val="0"/>
                <w:color w:val="auto"/>
                <w:kern w:val="0"/>
                <w:sz w:val="24"/>
                <w:szCs w:val="24"/>
                <w:highlight w:val="none"/>
                <w:lang w:val="en-US" w:eastAsia="zh-CN"/>
              </w:rPr>
              <w:t>6</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9</w:t>
            </w:r>
            <w:r>
              <w:rPr>
                <w:rFonts w:hint="eastAsia" w:ascii="仿宋" w:hAnsi="仿宋" w:eastAsia="仿宋" w:cs="仿宋"/>
                <w:snapToGrid w:val="0"/>
                <w:color w:val="auto"/>
                <w:kern w:val="0"/>
                <w:sz w:val="24"/>
                <w:szCs w:val="24"/>
                <w:highlight w:val="none"/>
                <w:lang w:eastAsia="zh-CN"/>
              </w:rPr>
              <w:t>分；对项目情况分析认识合理性一般，对</w:t>
            </w:r>
            <w:r>
              <w:rPr>
                <w:rFonts w:hint="eastAsia" w:ascii="仿宋" w:hAnsi="仿宋" w:eastAsia="仿宋" w:cs="仿宋"/>
                <w:snapToGrid w:val="0"/>
                <w:color w:val="auto"/>
                <w:kern w:val="0"/>
                <w:sz w:val="24"/>
                <w:szCs w:val="24"/>
                <w:highlight w:val="none"/>
                <w:lang w:val="en-US" w:eastAsia="zh-CN"/>
              </w:rPr>
              <w:t>普查工作</w:t>
            </w:r>
            <w:r>
              <w:rPr>
                <w:rFonts w:hint="eastAsia" w:ascii="仿宋" w:hAnsi="仿宋" w:eastAsia="仿宋" w:cs="仿宋"/>
                <w:snapToGrid w:val="0"/>
                <w:color w:val="auto"/>
                <w:kern w:val="0"/>
                <w:sz w:val="24"/>
                <w:szCs w:val="24"/>
                <w:highlight w:val="none"/>
                <w:lang w:eastAsia="zh-CN"/>
              </w:rPr>
              <w:t xml:space="preserve">实施重点难点理解程度一般，描述一般计 </w:t>
            </w:r>
            <w:r>
              <w:rPr>
                <w:rFonts w:hint="eastAsia" w:ascii="仿宋" w:hAnsi="仿宋" w:eastAsia="仿宋" w:cs="仿宋"/>
                <w:snapToGrid w:val="0"/>
                <w:color w:val="auto"/>
                <w:kern w:val="0"/>
                <w:sz w:val="24"/>
                <w:szCs w:val="24"/>
                <w:highlight w:val="none"/>
                <w:lang w:val="en-US" w:eastAsia="zh-CN"/>
              </w:rPr>
              <w:t>0</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5</w:t>
            </w:r>
            <w:r>
              <w:rPr>
                <w:rFonts w:hint="eastAsia" w:ascii="仿宋" w:hAnsi="仿宋" w:eastAsia="仿宋" w:cs="仿宋"/>
                <w:snapToGrid w:val="0"/>
                <w:color w:val="auto"/>
                <w:kern w:val="0"/>
                <w:sz w:val="24"/>
                <w:szCs w:val="24"/>
                <w:highlight w:val="none"/>
                <w:lang w:eastAsia="zh-CN"/>
              </w:rPr>
              <w:t>分。</w:t>
            </w:r>
          </w:p>
        </w:tc>
      </w:tr>
      <w:tr w14:paraId="3318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583" w:type="pct"/>
            <w:vMerge w:val="continue"/>
            <w:tcBorders>
              <w:left w:val="single" w:color="auto" w:sz="4" w:space="0"/>
              <w:right w:val="single" w:color="auto" w:sz="4" w:space="0"/>
            </w:tcBorders>
            <w:vAlign w:val="center"/>
          </w:tcPr>
          <w:p w14:paraId="58AE2020">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480" w:firstLineChars="200"/>
              <w:rPr>
                <w:rFonts w:hint="eastAsia" w:ascii="仿宋" w:hAnsi="仿宋" w:eastAsia="仿宋" w:cs="仿宋"/>
                <w:snapToGrid w:val="0"/>
                <w:color w:val="auto"/>
                <w:kern w:val="0"/>
                <w:sz w:val="24"/>
                <w:szCs w:val="24"/>
                <w:highlight w:val="none"/>
              </w:rPr>
            </w:pPr>
          </w:p>
        </w:tc>
        <w:tc>
          <w:tcPr>
            <w:tcW w:w="459" w:type="pct"/>
            <w:tcBorders>
              <w:top w:val="single" w:color="auto" w:sz="4" w:space="0"/>
              <w:left w:val="single" w:color="auto" w:sz="4" w:space="0"/>
              <w:right w:val="single" w:color="auto" w:sz="4" w:space="0"/>
            </w:tcBorders>
            <w:vAlign w:val="center"/>
          </w:tcPr>
          <w:p w14:paraId="23A8EF92">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leftChars="0" w:right="0" w:rightChars="0"/>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20</w:t>
            </w:r>
            <w:r>
              <w:rPr>
                <w:rFonts w:hint="eastAsia" w:ascii="仿宋" w:hAnsi="仿宋" w:eastAsia="仿宋" w:cs="仿宋"/>
                <w:snapToGrid w:val="0"/>
                <w:color w:val="auto"/>
                <w:kern w:val="0"/>
                <w:sz w:val="24"/>
                <w:szCs w:val="24"/>
                <w:highlight w:val="none"/>
                <w:lang w:eastAsia="zh-CN"/>
              </w:rPr>
              <w:t>分</w:t>
            </w:r>
          </w:p>
        </w:tc>
        <w:tc>
          <w:tcPr>
            <w:tcW w:w="3957" w:type="pct"/>
            <w:tcBorders>
              <w:top w:val="single" w:color="auto" w:sz="4" w:space="0"/>
              <w:left w:val="single" w:color="auto" w:sz="4" w:space="0"/>
              <w:bottom w:val="single" w:color="auto" w:sz="4" w:space="0"/>
              <w:right w:val="single" w:color="auto" w:sz="4" w:space="0"/>
            </w:tcBorders>
            <w:vAlign w:val="center"/>
          </w:tcPr>
          <w:p w14:paraId="6A0AC7A9">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leftChars="0" w:right="0" w:rightChars="0" w:firstLine="480" w:firstLineChars="200"/>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eastAsia="zh-CN"/>
              </w:rPr>
              <w:t>2.总体方案：针对本项目制订总体方案：方案描述详细，架构完整，满足国家规范及磋商文件要求，能充分体现项目需求计1</w:t>
            </w:r>
            <w:r>
              <w:rPr>
                <w:rFonts w:hint="eastAsia" w:ascii="仿宋" w:hAnsi="仿宋" w:eastAsia="仿宋" w:cs="仿宋"/>
                <w:snapToGrid w:val="0"/>
                <w:color w:val="auto"/>
                <w:kern w:val="0"/>
                <w:sz w:val="24"/>
                <w:szCs w:val="24"/>
                <w:highlight w:val="none"/>
                <w:lang w:val="en-US" w:eastAsia="zh-CN"/>
              </w:rPr>
              <w:t>4</w:t>
            </w:r>
            <w:r>
              <w:rPr>
                <w:rFonts w:hint="eastAsia" w:ascii="仿宋" w:hAnsi="仿宋" w:eastAsia="仿宋" w:cs="仿宋"/>
                <w:snapToGrid w:val="0"/>
                <w:color w:val="auto"/>
                <w:kern w:val="0"/>
                <w:sz w:val="24"/>
                <w:szCs w:val="24"/>
                <w:highlight w:val="none"/>
                <w:lang w:eastAsia="zh-CN"/>
              </w:rPr>
              <w:t>-2</w:t>
            </w:r>
            <w:r>
              <w:rPr>
                <w:rFonts w:hint="eastAsia" w:ascii="仿宋" w:hAnsi="仿宋" w:eastAsia="仿宋" w:cs="仿宋"/>
                <w:snapToGrid w:val="0"/>
                <w:color w:val="auto"/>
                <w:kern w:val="0"/>
                <w:sz w:val="24"/>
                <w:szCs w:val="24"/>
                <w:highlight w:val="none"/>
                <w:lang w:val="en-US" w:eastAsia="zh-CN"/>
              </w:rPr>
              <w:t>0</w:t>
            </w:r>
            <w:r>
              <w:rPr>
                <w:rFonts w:hint="eastAsia" w:ascii="仿宋" w:hAnsi="仿宋" w:eastAsia="仿宋" w:cs="仿宋"/>
                <w:snapToGrid w:val="0"/>
                <w:color w:val="auto"/>
                <w:kern w:val="0"/>
                <w:sz w:val="24"/>
                <w:szCs w:val="24"/>
                <w:highlight w:val="none"/>
                <w:lang w:eastAsia="zh-CN"/>
              </w:rPr>
              <w:t>分；总体方案描述一般，基本满足的计</w:t>
            </w:r>
            <w:r>
              <w:rPr>
                <w:rFonts w:hint="eastAsia" w:ascii="仿宋" w:hAnsi="仿宋" w:eastAsia="仿宋" w:cs="仿宋"/>
                <w:snapToGrid w:val="0"/>
                <w:color w:val="auto"/>
                <w:kern w:val="0"/>
                <w:sz w:val="24"/>
                <w:szCs w:val="24"/>
                <w:highlight w:val="none"/>
                <w:lang w:val="en-US" w:eastAsia="zh-CN"/>
              </w:rPr>
              <w:t>6</w:t>
            </w:r>
            <w:r>
              <w:rPr>
                <w:rFonts w:hint="eastAsia" w:ascii="仿宋" w:hAnsi="仿宋" w:eastAsia="仿宋" w:cs="仿宋"/>
                <w:snapToGrid w:val="0"/>
                <w:color w:val="auto"/>
                <w:kern w:val="0"/>
                <w:sz w:val="24"/>
                <w:szCs w:val="24"/>
                <w:highlight w:val="none"/>
                <w:lang w:eastAsia="zh-CN"/>
              </w:rPr>
              <w:t>-1</w:t>
            </w:r>
            <w:r>
              <w:rPr>
                <w:rFonts w:hint="eastAsia" w:ascii="仿宋" w:hAnsi="仿宋" w:eastAsia="仿宋" w:cs="仿宋"/>
                <w:snapToGrid w:val="0"/>
                <w:color w:val="auto"/>
                <w:kern w:val="0"/>
                <w:sz w:val="24"/>
                <w:szCs w:val="24"/>
                <w:highlight w:val="none"/>
                <w:lang w:val="en-US" w:eastAsia="zh-CN"/>
              </w:rPr>
              <w:t>4</w:t>
            </w:r>
            <w:r>
              <w:rPr>
                <w:rFonts w:hint="eastAsia" w:ascii="仿宋" w:hAnsi="仿宋" w:eastAsia="仿宋" w:cs="仿宋"/>
                <w:snapToGrid w:val="0"/>
                <w:color w:val="auto"/>
                <w:kern w:val="0"/>
                <w:sz w:val="24"/>
                <w:szCs w:val="24"/>
                <w:highlight w:val="none"/>
                <w:lang w:eastAsia="zh-CN"/>
              </w:rPr>
              <w:t>分；总体方案描述不详细，较差的计</w:t>
            </w:r>
            <w:r>
              <w:rPr>
                <w:rFonts w:hint="eastAsia" w:ascii="仿宋" w:hAnsi="仿宋" w:eastAsia="仿宋" w:cs="仿宋"/>
                <w:snapToGrid w:val="0"/>
                <w:color w:val="auto"/>
                <w:kern w:val="0"/>
                <w:sz w:val="24"/>
                <w:szCs w:val="24"/>
                <w:highlight w:val="none"/>
                <w:lang w:val="en-US" w:eastAsia="zh-CN"/>
              </w:rPr>
              <w:t>0</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6</w:t>
            </w:r>
            <w:r>
              <w:rPr>
                <w:rFonts w:hint="eastAsia" w:ascii="仿宋" w:hAnsi="仿宋" w:eastAsia="仿宋" w:cs="仿宋"/>
                <w:snapToGrid w:val="0"/>
                <w:color w:val="auto"/>
                <w:kern w:val="0"/>
                <w:sz w:val="24"/>
                <w:szCs w:val="24"/>
                <w:highlight w:val="none"/>
                <w:lang w:eastAsia="zh-CN"/>
              </w:rPr>
              <w:t xml:space="preserve"> 分；</w:t>
            </w:r>
          </w:p>
        </w:tc>
      </w:tr>
      <w:tr w14:paraId="6E3E0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583" w:type="pct"/>
            <w:vMerge w:val="continue"/>
            <w:tcBorders>
              <w:left w:val="single" w:color="auto" w:sz="4" w:space="0"/>
              <w:right w:val="single" w:color="auto" w:sz="4" w:space="0"/>
            </w:tcBorders>
            <w:vAlign w:val="center"/>
          </w:tcPr>
          <w:p w14:paraId="75493D74">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480" w:firstLineChars="200"/>
              <w:rPr>
                <w:rFonts w:hint="eastAsia" w:ascii="仿宋" w:hAnsi="仿宋" w:eastAsia="仿宋" w:cs="仿宋"/>
                <w:snapToGrid w:val="0"/>
                <w:color w:val="auto"/>
                <w:kern w:val="0"/>
                <w:sz w:val="24"/>
                <w:szCs w:val="24"/>
                <w:highlight w:val="none"/>
              </w:rPr>
            </w:pPr>
          </w:p>
        </w:tc>
        <w:tc>
          <w:tcPr>
            <w:tcW w:w="459" w:type="pct"/>
            <w:tcBorders>
              <w:top w:val="single" w:color="auto" w:sz="4" w:space="0"/>
              <w:left w:val="single" w:color="auto" w:sz="4" w:space="0"/>
              <w:bottom w:val="single" w:color="auto" w:sz="4" w:space="0"/>
              <w:right w:val="single" w:color="auto" w:sz="4" w:space="0"/>
            </w:tcBorders>
            <w:vAlign w:val="center"/>
          </w:tcPr>
          <w:p w14:paraId="4C60E80C">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leftChars="0" w:right="0" w:rightChars="0"/>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eastAsia="zh-CN"/>
              </w:rPr>
              <w:t>1</w:t>
            </w:r>
            <w:r>
              <w:rPr>
                <w:rFonts w:hint="eastAsia" w:ascii="仿宋" w:hAnsi="仿宋" w:eastAsia="仿宋" w:cs="仿宋"/>
                <w:snapToGrid w:val="0"/>
                <w:color w:val="auto"/>
                <w:kern w:val="0"/>
                <w:sz w:val="24"/>
                <w:szCs w:val="24"/>
                <w:highlight w:val="none"/>
                <w:lang w:val="en-US" w:eastAsia="zh-CN"/>
              </w:rPr>
              <w:t>4</w:t>
            </w:r>
            <w:r>
              <w:rPr>
                <w:rFonts w:hint="eastAsia" w:ascii="仿宋" w:hAnsi="仿宋" w:eastAsia="仿宋" w:cs="仿宋"/>
                <w:snapToGrid w:val="0"/>
                <w:color w:val="auto"/>
                <w:kern w:val="0"/>
                <w:sz w:val="24"/>
                <w:szCs w:val="24"/>
                <w:highlight w:val="none"/>
                <w:lang w:eastAsia="zh-CN"/>
              </w:rPr>
              <w:t>分</w:t>
            </w:r>
          </w:p>
        </w:tc>
        <w:tc>
          <w:tcPr>
            <w:tcW w:w="3957" w:type="pct"/>
            <w:tcBorders>
              <w:top w:val="single" w:color="auto" w:sz="4" w:space="0"/>
              <w:left w:val="single" w:color="auto" w:sz="4" w:space="0"/>
              <w:right w:val="single" w:color="auto" w:sz="4" w:space="0"/>
            </w:tcBorders>
            <w:vAlign w:val="center"/>
          </w:tcPr>
          <w:p w14:paraId="7DDDE194">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leftChars="0" w:right="0" w:rightChars="0" w:firstLine="480" w:firstLineChars="200"/>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eastAsia="zh-CN"/>
              </w:rPr>
              <w:t>3.项目实施进度计划：项目实施进度计划合理，</w:t>
            </w:r>
            <w:r>
              <w:rPr>
                <w:rFonts w:hint="eastAsia" w:ascii="仿宋" w:hAnsi="仿宋" w:eastAsia="仿宋" w:cs="仿宋"/>
                <w:snapToGrid w:val="0"/>
                <w:color w:val="auto"/>
                <w:kern w:val="0"/>
                <w:sz w:val="24"/>
                <w:szCs w:val="24"/>
                <w:highlight w:val="none"/>
                <w:lang w:val="en-US" w:eastAsia="zh-CN"/>
              </w:rPr>
              <w:t>服务期有保障</w:t>
            </w:r>
            <w:r>
              <w:rPr>
                <w:rFonts w:hint="eastAsia" w:ascii="仿宋" w:hAnsi="仿宋" w:eastAsia="仿宋" w:cs="仿宋"/>
                <w:snapToGrid w:val="0"/>
                <w:color w:val="auto"/>
                <w:kern w:val="0"/>
                <w:sz w:val="24"/>
                <w:szCs w:val="24"/>
                <w:highlight w:val="none"/>
                <w:lang w:eastAsia="zh-CN"/>
              </w:rPr>
              <w:t>，可操作性强，针对特殊情况有应急方案及措施，据响应程度</w:t>
            </w:r>
            <w:r>
              <w:rPr>
                <w:rFonts w:hint="eastAsia" w:ascii="仿宋" w:hAnsi="仿宋" w:eastAsia="仿宋" w:cs="仿宋"/>
                <w:snapToGrid w:val="0"/>
                <w:color w:val="auto"/>
                <w:kern w:val="0"/>
                <w:sz w:val="24"/>
                <w:szCs w:val="24"/>
                <w:highlight w:val="none"/>
                <w:lang w:val="en-US" w:eastAsia="zh-CN"/>
              </w:rPr>
              <w:t>横向对比</w:t>
            </w:r>
            <w:r>
              <w:rPr>
                <w:rFonts w:hint="eastAsia" w:ascii="仿宋" w:hAnsi="仿宋" w:eastAsia="仿宋" w:cs="仿宋"/>
                <w:snapToGrid w:val="0"/>
                <w:color w:val="auto"/>
                <w:kern w:val="0"/>
                <w:sz w:val="24"/>
                <w:szCs w:val="24"/>
                <w:highlight w:val="none"/>
                <w:lang w:eastAsia="zh-CN"/>
              </w:rPr>
              <w:t>综合计分（0-1</w:t>
            </w:r>
            <w:r>
              <w:rPr>
                <w:rFonts w:hint="eastAsia" w:ascii="仿宋" w:hAnsi="仿宋" w:eastAsia="仿宋" w:cs="仿宋"/>
                <w:snapToGrid w:val="0"/>
                <w:color w:val="auto"/>
                <w:kern w:val="0"/>
                <w:sz w:val="24"/>
                <w:szCs w:val="24"/>
                <w:highlight w:val="none"/>
                <w:lang w:val="en-US" w:eastAsia="zh-CN"/>
              </w:rPr>
              <w:t>4</w:t>
            </w:r>
            <w:r>
              <w:rPr>
                <w:rFonts w:hint="eastAsia" w:ascii="仿宋" w:hAnsi="仿宋" w:eastAsia="仿宋" w:cs="仿宋"/>
                <w:snapToGrid w:val="0"/>
                <w:color w:val="auto"/>
                <w:kern w:val="0"/>
                <w:sz w:val="24"/>
                <w:szCs w:val="24"/>
                <w:highlight w:val="none"/>
                <w:lang w:eastAsia="zh-CN"/>
              </w:rPr>
              <w:t xml:space="preserve"> 分）。</w:t>
            </w:r>
          </w:p>
        </w:tc>
      </w:tr>
      <w:tr w14:paraId="761F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vMerge w:val="continue"/>
            <w:tcBorders>
              <w:left w:val="single" w:color="auto" w:sz="4" w:space="0"/>
              <w:right w:val="single" w:color="auto" w:sz="4" w:space="0"/>
            </w:tcBorders>
            <w:vAlign w:val="center"/>
          </w:tcPr>
          <w:p w14:paraId="3761CEC8">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480" w:firstLineChars="200"/>
              <w:rPr>
                <w:rFonts w:hint="eastAsia" w:ascii="仿宋" w:hAnsi="仿宋" w:eastAsia="仿宋" w:cs="仿宋"/>
                <w:snapToGrid w:val="0"/>
                <w:color w:val="auto"/>
                <w:kern w:val="0"/>
                <w:sz w:val="24"/>
                <w:szCs w:val="24"/>
                <w:highlight w:val="none"/>
              </w:rPr>
            </w:pPr>
          </w:p>
        </w:tc>
        <w:tc>
          <w:tcPr>
            <w:tcW w:w="459" w:type="pct"/>
            <w:tcBorders>
              <w:top w:val="single" w:color="auto" w:sz="4" w:space="0"/>
              <w:left w:val="single" w:color="auto" w:sz="4" w:space="0"/>
              <w:bottom w:val="single" w:color="auto" w:sz="4" w:space="0"/>
              <w:right w:val="single" w:color="auto" w:sz="4" w:space="0"/>
            </w:tcBorders>
            <w:vAlign w:val="center"/>
          </w:tcPr>
          <w:p w14:paraId="103D561B">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leftChars="0" w:right="0" w:rightChars="0"/>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10</w:t>
            </w:r>
            <w:r>
              <w:rPr>
                <w:rFonts w:hint="eastAsia" w:ascii="仿宋" w:hAnsi="仿宋" w:eastAsia="仿宋" w:cs="仿宋"/>
                <w:snapToGrid w:val="0"/>
                <w:color w:val="auto"/>
                <w:kern w:val="0"/>
                <w:sz w:val="24"/>
                <w:szCs w:val="24"/>
                <w:highlight w:val="none"/>
                <w:lang w:eastAsia="zh-CN"/>
              </w:rPr>
              <w:t>分</w:t>
            </w:r>
          </w:p>
        </w:tc>
        <w:tc>
          <w:tcPr>
            <w:tcW w:w="3957" w:type="pct"/>
            <w:tcBorders>
              <w:top w:val="single" w:color="auto" w:sz="4" w:space="0"/>
              <w:left w:val="single" w:color="auto" w:sz="4" w:space="0"/>
              <w:bottom w:val="single" w:color="auto" w:sz="4" w:space="0"/>
              <w:right w:val="single" w:color="auto" w:sz="4" w:space="0"/>
            </w:tcBorders>
            <w:vAlign w:val="center"/>
          </w:tcPr>
          <w:p w14:paraId="0A180FB8">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leftChars="0" w:right="0" w:rightChars="0"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eastAsia="zh-CN"/>
              </w:rPr>
              <w:t>4.服务承诺：项目服务承诺详细、具体，能满足项目要求计（</w:t>
            </w:r>
            <w:r>
              <w:rPr>
                <w:rFonts w:hint="eastAsia" w:ascii="仿宋" w:hAnsi="仿宋" w:eastAsia="仿宋" w:cs="仿宋"/>
                <w:snapToGrid w:val="0"/>
                <w:color w:val="auto"/>
                <w:kern w:val="0"/>
                <w:sz w:val="24"/>
                <w:szCs w:val="24"/>
                <w:highlight w:val="none"/>
                <w:lang w:val="en-US" w:eastAsia="zh-CN"/>
              </w:rPr>
              <w:t>5</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10</w:t>
            </w:r>
            <w:r>
              <w:rPr>
                <w:rFonts w:hint="eastAsia" w:ascii="仿宋" w:hAnsi="仿宋" w:eastAsia="仿宋" w:cs="仿宋"/>
                <w:snapToGrid w:val="0"/>
                <w:color w:val="auto"/>
                <w:kern w:val="0"/>
                <w:sz w:val="24"/>
                <w:szCs w:val="24"/>
                <w:highlight w:val="none"/>
                <w:lang w:eastAsia="zh-CN"/>
              </w:rPr>
              <w:t>）分；服务承诺不能很好的满足项目需求计（</w:t>
            </w:r>
            <w:r>
              <w:rPr>
                <w:rFonts w:hint="eastAsia" w:ascii="仿宋" w:hAnsi="仿宋" w:eastAsia="仿宋" w:cs="仿宋"/>
                <w:snapToGrid w:val="0"/>
                <w:color w:val="auto"/>
                <w:kern w:val="0"/>
                <w:sz w:val="24"/>
                <w:szCs w:val="24"/>
                <w:highlight w:val="none"/>
                <w:lang w:val="en-US" w:eastAsia="zh-CN"/>
              </w:rPr>
              <w:t>1</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5</w:t>
            </w:r>
            <w:r>
              <w:rPr>
                <w:rFonts w:hint="eastAsia" w:ascii="仿宋" w:hAnsi="仿宋" w:eastAsia="仿宋" w:cs="仿宋"/>
                <w:snapToGrid w:val="0"/>
                <w:color w:val="auto"/>
                <w:kern w:val="0"/>
                <w:sz w:val="24"/>
                <w:szCs w:val="24"/>
                <w:highlight w:val="none"/>
                <w:lang w:eastAsia="zh-CN"/>
              </w:rPr>
              <w:t>）分；无服务承诺</w:t>
            </w:r>
            <w:r>
              <w:rPr>
                <w:rFonts w:hint="eastAsia" w:ascii="仿宋" w:hAnsi="仿宋" w:eastAsia="仿宋" w:cs="仿宋"/>
                <w:snapToGrid w:val="0"/>
                <w:color w:val="auto"/>
                <w:kern w:val="0"/>
                <w:sz w:val="24"/>
                <w:szCs w:val="24"/>
                <w:highlight w:val="none"/>
                <w:lang w:val="en-US" w:eastAsia="zh-CN"/>
              </w:rPr>
              <w:t>计0分。</w:t>
            </w:r>
          </w:p>
        </w:tc>
      </w:tr>
      <w:tr w14:paraId="012E3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vMerge w:val="continue"/>
            <w:tcBorders>
              <w:left w:val="single" w:color="auto" w:sz="4" w:space="0"/>
              <w:right w:val="single" w:color="auto" w:sz="4" w:space="0"/>
            </w:tcBorders>
            <w:vAlign w:val="center"/>
          </w:tcPr>
          <w:p w14:paraId="7F874E55">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480" w:firstLineChars="200"/>
              <w:rPr>
                <w:rFonts w:hint="eastAsia" w:ascii="仿宋" w:hAnsi="仿宋" w:eastAsia="仿宋" w:cs="仿宋"/>
                <w:snapToGrid w:val="0"/>
                <w:color w:val="auto"/>
                <w:kern w:val="0"/>
                <w:sz w:val="24"/>
                <w:szCs w:val="24"/>
                <w:highlight w:val="none"/>
              </w:rPr>
            </w:pPr>
          </w:p>
        </w:tc>
        <w:tc>
          <w:tcPr>
            <w:tcW w:w="459" w:type="pct"/>
            <w:tcBorders>
              <w:top w:val="single" w:color="auto" w:sz="4" w:space="0"/>
              <w:left w:val="single" w:color="auto" w:sz="4" w:space="0"/>
              <w:bottom w:val="single" w:color="auto" w:sz="4" w:space="0"/>
              <w:right w:val="single" w:color="auto" w:sz="4" w:space="0"/>
            </w:tcBorders>
            <w:vAlign w:val="center"/>
          </w:tcPr>
          <w:p w14:paraId="3822C081">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leftChars="0" w:right="0" w:rightChars="0"/>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14</w:t>
            </w:r>
            <w:r>
              <w:rPr>
                <w:rFonts w:hint="eastAsia" w:ascii="仿宋" w:hAnsi="仿宋" w:eastAsia="仿宋" w:cs="仿宋"/>
                <w:snapToGrid w:val="0"/>
                <w:color w:val="auto"/>
                <w:kern w:val="0"/>
                <w:sz w:val="24"/>
                <w:szCs w:val="24"/>
                <w:highlight w:val="none"/>
                <w:lang w:eastAsia="zh-CN"/>
              </w:rPr>
              <w:t>分</w:t>
            </w:r>
          </w:p>
        </w:tc>
        <w:tc>
          <w:tcPr>
            <w:tcW w:w="3957" w:type="pct"/>
            <w:tcBorders>
              <w:top w:val="single" w:color="auto" w:sz="4" w:space="0"/>
              <w:left w:val="single" w:color="auto" w:sz="4" w:space="0"/>
              <w:bottom w:val="single" w:color="auto" w:sz="4" w:space="0"/>
              <w:right w:val="single" w:color="auto" w:sz="4" w:space="0"/>
            </w:tcBorders>
            <w:vAlign w:val="center"/>
          </w:tcPr>
          <w:p w14:paraId="3C2F54C1">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leftChars="0" w:right="0" w:rightChars="0" w:firstLine="480" w:firstLineChars="200"/>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5.</w:t>
            </w:r>
            <w:r>
              <w:rPr>
                <w:rFonts w:hint="eastAsia" w:ascii="仿宋" w:hAnsi="仿宋" w:eastAsia="仿宋" w:cs="仿宋"/>
                <w:snapToGrid w:val="0"/>
                <w:color w:val="auto"/>
                <w:kern w:val="0"/>
                <w:sz w:val="24"/>
                <w:szCs w:val="24"/>
                <w:highlight w:val="none"/>
                <w:lang w:eastAsia="zh-CN"/>
              </w:rPr>
              <w:t>售后服务方案：</w:t>
            </w:r>
            <w:bookmarkStart w:id="260" w:name="_GoBack"/>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lang w:val="en-US" w:eastAsia="zh-CN"/>
              </w:rPr>
              <w:t>应</w:t>
            </w:r>
            <w:r>
              <w:rPr>
                <w:rFonts w:hint="eastAsia" w:ascii="仿宋" w:hAnsi="仿宋" w:eastAsia="仿宋" w:cs="仿宋"/>
                <w:snapToGrid w:val="0"/>
                <w:color w:val="auto"/>
                <w:kern w:val="0"/>
                <w:sz w:val="24"/>
                <w:szCs w:val="24"/>
                <w:highlight w:val="none"/>
                <w:lang w:eastAsia="zh-CN"/>
              </w:rPr>
              <w:t>提供针对本项目的</w:t>
            </w:r>
            <w:r>
              <w:rPr>
                <w:rFonts w:hint="eastAsia" w:ascii="仿宋" w:hAnsi="仿宋" w:eastAsia="仿宋" w:cs="仿宋"/>
                <w:snapToGrid w:val="0"/>
                <w:color w:val="auto"/>
                <w:kern w:val="0"/>
                <w:sz w:val="24"/>
                <w:szCs w:val="24"/>
                <w:highlight w:val="none"/>
                <w:lang w:val="en-US" w:eastAsia="zh-CN"/>
              </w:rPr>
              <w:t>后续</w:t>
            </w:r>
            <w:r>
              <w:rPr>
                <w:rFonts w:hint="eastAsia" w:ascii="仿宋" w:hAnsi="仿宋" w:eastAsia="仿宋" w:cs="仿宋"/>
                <w:snapToGrid w:val="0"/>
                <w:color w:val="auto"/>
                <w:kern w:val="0"/>
                <w:sz w:val="24"/>
                <w:szCs w:val="24"/>
                <w:highlight w:val="none"/>
                <w:lang w:eastAsia="zh-CN"/>
              </w:rPr>
              <w:t>服务方案；根据所提供方案的详实程度</w:t>
            </w:r>
            <w:r>
              <w:rPr>
                <w:rFonts w:hint="eastAsia" w:ascii="仿宋" w:hAnsi="仿宋" w:eastAsia="仿宋" w:cs="仿宋"/>
                <w:snapToGrid w:val="0"/>
                <w:color w:val="auto"/>
                <w:kern w:val="0"/>
                <w:sz w:val="24"/>
                <w:szCs w:val="24"/>
                <w:highlight w:val="none"/>
                <w:lang w:val="en-US" w:eastAsia="zh-CN"/>
              </w:rPr>
              <w:t>及优越性</w:t>
            </w:r>
            <w:r>
              <w:rPr>
                <w:rFonts w:hint="eastAsia" w:ascii="仿宋" w:hAnsi="仿宋" w:eastAsia="仿宋" w:cs="仿宋"/>
                <w:snapToGrid w:val="0"/>
                <w:color w:val="auto"/>
                <w:kern w:val="0"/>
                <w:sz w:val="24"/>
                <w:szCs w:val="24"/>
                <w:highlight w:val="none"/>
                <w:lang w:eastAsia="zh-CN"/>
              </w:rPr>
              <w:t>进行自主赋分计0-</w:t>
            </w:r>
            <w:r>
              <w:rPr>
                <w:rFonts w:hint="eastAsia" w:ascii="仿宋" w:hAnsi="仿宋" w:eastAsia="仿宋" w:cs="仿宋"/>
                <w:snapToGrid w:val="0"/>
                <w:color w:val="auto"/>
                <w:kern w:val="0"/>
                <w:sz w:val="24"/>
                <w:szCs w:val="24"/>
                <w:highlight w:val="none"/>
                <w:lang w:val="en-US" w:eastAsia="zh-CN"/>
              </w:rPr>
              <w:t>14</w:t>
            </w:r>
            <w:r>
              <w:rPr>
                <w:rFonts w:hint="eastAsia" w:ascii="仿宋" w:hAnsi="仿宋" w:eastAsia="仿宋" w:cs="仿宋"/>
                <w:snapToGrid w:val="0"/>
                <w:color w:val="auto"/>
                <w:kern w:val="0"/>
                <w:sz w:val="24"/>
                <w:szCs w:val="24"/>
                <w:highlight w:val="none"/>
                <w:lang w:eastAsia="zh-CN"/>
              </w:rPr>
              <w:t>分。</w:t>
            </w:r>
            <w:bookmarkEnd w:id="260"/>
          </w:p>
        </w:tc>
      </w:tr>
      <w:tr w14:paraId="58CA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83" w:type="pct"/>
            <w:vMerge w:val="restart"/>
            <w:tcBorders>
              <w:left w:val="single" w:color="auto" w:sz="4" w:space="0"/>
              <w:right w:val="single" w:color="auto" w:sz="4" w:space="0"/>
            </w:tcBorders>
            <w:vAlign w:val="center"/>
          </w:tcPr>
          <w:p w14:paraId="110688C5">
            <w:pPr>
              <w:pStyle w:val="187"/>
              <w:keepNext w:val="0"/>
              <w:keepLines w:val="0"/>
              <w:suppressLineNumbers w:val="0"/>
              <w:spacing w:before="0" w:beforeAutospacing="0" w:after="0" w:afterAutospacing="0"/>
              <w:ind w:left="0" w:right="0"/>
              <w:jc w:val="center"/>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商务</w:t>
            </w:r>
          </w:p>
          <w:p w14:paraId="7446F284">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23分</w:t>
            </w:r>
          </w:p>
        </w:tc>
        <w:tc>
          <w:tcPr>
            <w:tcW w:w="459" w:type="pct"/>
            <w:tcBorders>
              <w:top w:val="single" w:color="auto" w:sz="4" w:space="0"/>
              <w:left w:val="single" w:color="auto" w:sz="4" w:space="0"/>
              <w:bottom w:val="single" w:color="auto" w:sz="4" w:space="0"/>
              <w:right w:val="single" w:color="auto" w:sz="4" w:space="0"/>
            </w:tcBorders>
            <w:vAlign w:val="center"/>
          </w:tcPr>
          <w:p w14:paraId="2826A604">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leftChars="0" w:right="0" w:rightChars="0"/>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15分</w:t>
            </w:r>
          </w:p>
        </w:tc>
        <w:tc>
          <w:tcPr>
            <w:tcW w:w="3957" w:type="pct"/>
            <w:tcBorders>
              <w:top w:val="single" w:color="auto" w:sz="4" w:space="0"/>
              <w:left w:val="single" w:color="auto" w:sz="4" w:space="0"/>
              <w:bottom w:val="single" w:color="auto" w:sz="4" w:space="0"/>
              <w:right w:val="single" w:color="auto" w:sz="4" w:space="0"/>
            </w:tcBorders>
            <w:vAlign w:val="center"/>
          </w:tcPr>
          <w:p w14:paraId="130BB0AE">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leftChars="0" w:right="0" w:rightChars="0" w:firstLine="480" w:firstLineChars="200"/>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6</w:t>
            </w:r>
            <w:r>
              <w:rPr>
                <w:rFonts w:hint="eastAsia" w:ascii="仿宋" w:hAnsi="仿宋" w:eastAsia="仿宋" w:cs="仿宋"/>
                <w:snapToGrid w:val="0"/>
                <w:color w:val="auto"/>
                <w:kern w:val="0"/>
                <w:sz w:val="24"/>
                <w:szCs w:val="24"/>
                <w:highlight w:val="none"/>
                <w:lang w:eastAsia="zh-CN"/>
              </w:rPr>
              <w:t>.人员配置：1、拟派项目负责人（需一并提供社保缴纳证明）具有相关专业高级职称的得5分，具有中级职称的得2分（本项最高</w:t>
            </w:r>
            <w:r>
              <w:rPr>
                <w:rFonts w:hint="eastAsia" w:ascii="仿宋" w:hAnsi="仿宋" w:eastAsia="仿宋" w:cs="仿宋"/>
                <w:snapToGrid w:val="0"/>
                <w:color w:val="auto"/>
                <w:kern w:val="0"/>
                <w:sz w:val="24"/>
                <w:szCs w:val="24"/>
                <w:highlight w:val="none"/>
                <w:lang w:val="en-US" w:eastAsia="zh-CN"/>
              </w:rPr>
              <w:t>5</w:t>
            </w:r>
            <w:r>
              <w:rPr>
                <w:rFonts w:hint="eastAsia" w:ascii="仿宋" w:hAnsi="仿宋" w:eastAsia="仿宋" w:cs="仿宋"/>
                <w:snapToGrid w:val="0"/>
                <w:color w:val="auto"/>
                <w:kern w:val="0"/>
                <w:sz w:val="24"/>
                <w:szCs w:val="24"/>
                <w:highlight w:val="none"/>
                <w:lang w:eastAsia="zh-CN"/>
              </w:rPr>
              <w:t>分）；2、项目组成员专业结构合理（须提供职称证书等相关证明材料复印件），每提供一个有效</w:t>
            </w:r>
            <w:r>
              <w:rPr>
                <w:rFonts w:hint="eastAsia" w:ascii="仿宋" w:hAnsi="仿宋" w:eastAsia="仿宋" w:cs="仿宋"/>
                <w:snapToGrid w:val="0"/>
                <w:color w:val="auto"/>
                <w:kern w:val="0"/>
                <w:sz w:val="24"/>
                <w:szCs w:val="24"/>
                <w:highlight w:val="none"/>
                <w:lang w:val="en-US" w:eastAsia="zh-CN"/>
              </w:rPr>
              <w:t>中级以上职称</w:t>
            </w:r>
            <w:r>
              <w:rPr>
                <w:rFonts w:hint="eastAsia" w:ascii="仿宋" w:hAnsi="仿宋" w:eastAsia="仿宋" w:cs="仿宋"/>
                <w:snapToGrid w:val="0"/>
                <w:color w:val="auto"/>
                <w:kern w:val="0"/>
                <w:sz w:val="24"/>
                <w:szCs w:val="24"/>
                <w:highlight w:val="none"/>
                <w:lang w:eastAsia="zh-CN"/>
              </w:rPr>
              <w:t>人员得</w:t>
            </w:r>
            <w:r>
              <w:rPr>
                <w:rFonts w:hint="eastAsia" w:ascii="仿宋" w:hAnsi="仿宋" w:eastAsia="仿宋" w:cs="仿宋"/>
                <w:snapToGrid w:val="0"/>
                <w:color w:val="auto"/>
                <w:kern w:val="0"/>
                <w:sz w:val="24"/>
                <w:szCs w:val="24"/>
                <w:highlight w:val="none"/>
                <w:lang w:val="en-US" w:eastAsia="zh-CN"/>
              </w:rPr>
              <w:t>1</w:t>
            </w:r>
            <w:r>
              <w:rPr>
                <w:rFonts w:hint="eastAsia" w:ascii="仿宋" w:hAnsi="仿宋" w:eastAsia="仿宋" w:cs="仿宋"/>
                <w:snapToGrid w:val="0"/>
                <w:color w:val="auto"/>
                <w:kern w:val="0"/>
                <w:sz w:val="24"/>
                <w:szCs w:val="24"/>
                <w:highlight w:val="none"/>
                <w:lang w:eastAsia="zh-CN"/>
              </w:rPr>
              <w:t>分，满分为</w:t>
            </w:r>
            <w:r>
              <w:rPr>
                <w:rFonts w:hint="eastAsia" w:ascii="仿宋" w:hAnsi="仿宋" w:eastAsia="仿宋" w:cs="仿宋"/>
                <w:snapToGrid w:val="0"/>
                <w:color w:val="auto"/>
                <w:kern w:val="0"/>
                <w:sz w:val="24"/>
                <w:szCs w:val="24"/>
                <w:highlight w:val="none"/>
                <w:lang w:val="en-US" w:eastAsia="zh-CN"/>
              </w:rPr>
              <w:t>10</w:t>
            </w:r>
            <w:r>
              <w:rPr>
                <w:rFonts w:hint="eastAsia" w:ascii="仿宋" w:hAnsi="仿宋" w:eastAsia="仿宋" w:cs="仿宋"/>
                <w:snapToGrid w:val="0"/>
                <w:color w:val="auto"/>
                <w:kern w:val="0"/>
                <w:sz w:val="24"/>
                <w:szCs w:val="24"/>
                <w:highlight w:val="none"/>
                <w:lang w:eastAsia="zh-CN"/>
              </w:rPr>
              <w:t>分，不提供不得分。</w:t>
            </w:r>
          </w:p>
          <w:p w14:paraId="26637301">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leftChars="0" w:right="0" w:rightChars="0"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eastAsia="zh-CN"/>
              </w:rPr>
              <w:t>（有效人员：具有明确的项目分工安排，且其专业与负责工作具有关联性，并提供该人员的社保缴纳证明）</w:t>
            </w:r>
          </w:p>
        </w:tc>
      </w:tr>
      <w:tr w14:paraId="107E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583" w:type="pct"/>
            <w:vMerge w:val="continue"/>
            <w:tcBorders>
              <w:left w:val="single" w:color="auto" w:sz="4" w:space="0"/>
              <w:right w:val="single" w:color="auto" w:sz="4" w:space="0"/>
            </w:tcBorders>
            <w:vAlign w:val="center"/>
          </w:tcPr>
          <w:p w14:paraId="001090A6">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480" w:firstLineChars="200"/>
              <w:rPr>
                <w:rFonts w:hint="eastAsia" w:ascii="仿宋" w:hAnsi="仿宋" w:eastAsia="仿宋" w:cs="仿宋"/>
                <w:snapToGrid w:val="0"/>
                <w:color w:val="auto"/>
                <w:kern w:val="0"/>
                <w:sz w:val="24"/>
                <w:szCs w:val="24"/>
                <w:highlight w:val="none"/>
                <w:lang w:val="en-US" w:eastAsia="zh-CN" w:bidi="ar-SA"/>
              </w:rPr>
            </w:pPr>
          </w:p>
        </w:tc>
        <w:tc>
          <w:tcPr>
            <w:tcW w:w="459" w:type="pct"/>
            <w:tcBorders>
              <w:top w:val="single" w:color="auto" w:sz="4" w:space="0"/>
              <w:left w:val="single" w:color="auto" w:sz="4" w:space="0"/>
              <w:right w:val="single" w:color="auto" w:sz="4" w:space="0"/>
            </w:tcBorders>
            <w:vAlign w:val="center"/>
          </w:tcPr>
          <w:p w14:paraId="2A302E0A">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leftChars="0" w:right="0" w:rightChars="0"/>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3分</w:t>
            </w:r>
          </w:p>
        </w:tc>
        <w:tc>
          <w:tcPr>
            <w:tcW w:w="3957" w:type="pct"/>
            <w:tcBorders>
              <w:top w:val="single" w:color="auto" w:sz="4" w:space="0"/>
              <w:left w:val="single" w:color="auto" w:sz="4" w:space="0"/>
              <w:right w:val="single" w:color="auto" w:sz="4" w:space="0"/>
            </w:tcBorders>
            <w:vAlign w:val="center"/>
          </w:tcPr>
          <w:p w14:paraId="52D7A1EB">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leftChars="0" w:right="0" w:rightChars="0"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7</w:t>
            </w:r>
            <w:r>
              <w:rPr>
                <w:rFonts w:hint="eastAsia" w:ascii="仿宋" w:hAnsi="仿宋" w:eastAsia="仿宋" w:cs="仿宋"/>
                <w:snapToGrid w:val="0"/>
                <w:color w:val="auto"/>
                <w:kern w:val="0"/>
                <w:sz w:val="24"/>
                <w:szCs w:val="24"/>
                <w:highlight w:val="none"/>
                <w:lang w:eastAsia="zh-CN"/>
              </w:rPr>
              <w:t>.业绩：公司自</w:t>
            </w:r>
            <w:r>
              <w:rPr>
                <w:rFonts w:hint="eastAsia" w:ascii="仿宋" w:hAnsi="仿宋" w:eastAsia="仿宋" w:cs="仿宋"/>
                <w:snapToGrid w:val="0"/>
                <w:color w:val="auto"/>
                <w:kern w:val="0"/>
                <w:sz w:val="24"/>
                <w:szCs w:val="24"/>
                <w:highlight w:val="none"/>
                <w:lang w:val="en-US" w:eastAsia="zh-CN"/>
              </w:rPr>
              <w:t>2021年11月至今</w:t>
            </w:r>
            <w:r>
              <w:rPr>
                <w:rFonts w:hint="eastAsia" w:ascii="仿宋" w:hAnsi="仿宋" w:eastAsia="仿宋" w:cs="仿宋"/>
                <w:snapToGrid w:val="0"/>
                <w:color w:val="auto"/>
                <w:kern w:val="0"/>
                <w:sz w:val="24"/>
                <w:szCs w:val="24"/>
                <w:highlight w:val="none"/>
                <w:lang w:eastAsia="zh-CN"/>
              </w:rPr>
              <w:t>类似业绩，每提供1 份得</w:t>
            </w:r>
            <w:r>
              <w:rPr>
                <w:rFonts w:hint="eastAsia" w:ascii="仿宋" w:hAnsi="仿宋" w:eastAsia="仿宋" w:cs="仿宋"/>
                <w:snapToGrid w:val="0"/>
                <w:color w:val="auto"/>
                <w:kern w:val="0"/>
                <w:sz w:val="24"/>
                <w:szCs w:val="24"/>
                <w:highlight w:val="none"/>
                <w:lang w:val="en-US" w:eastAsia="zh-CN"/>
              </w:rPr>
              <w:t>1</w:t>
            </w:r>
            <w:r>
              <w:rPr>
                <w:rFonts w:hint="eastAsia" w:ascii="仿宋" w:hAnsi="仿宋" w:eastAsia="仿宋" w:cs="仿宋"/>
                <w:snapToGrid w:val="0"/>
                <w:color w:val="auto"/>
                <w:kern w:val="0"/>
                <w:sz w:val="24"/>
                <w:szCs w:val="24"/>
                <w:highlight w:val="none"/>
                <w:lang w:eastAsia="zh-CN"/>
              </w:rPr>
              <w:t xml:space="preserve"> 分，最高得</w:t>
            </w:r>
            <w:r>
              <w:rPr>
                <w:rFonts w:hint="eastAsia" w:ascii="仿宋" w:hAnsi="仿宋" w:eastAsia="仿宋" w:cs="仿宋"/>
                <w:snapToGrid w:val="0"/>
                <w:color w:val="auto"/>
                <w:kern w:val="0"/>
                <w:sz w:val="24"/>
                <w:szCs w:val="24"/>
                <w:highlight w:val="none"/>
                <w:lang w:val="en-US" w:eastAsia="zh-CN"/>
              </w:rPr>
              <w:t>3</w:t>
            </w:r>
            <w:r>
              <w:rPr>
                <w:rFonts w:hint="eastAsia" w:ascii="仿宋" w:hAnsi="仿宋" w:eastAsia="仿宋" w:cs="仿宋"/>
                <w:snapToGrid w:val="0"/>
                <w:color w:val="auto"/>
                <w:kern w:val="0"/>
                <w:sz w:val="24"/>
                <w:szCs w:val="24"/>
                <w:highlight w:val="none"/>
                <w:lang w:eastAsia="zh-CN"/>
              </w:rPr>
              <w:t>分。业绩证明（以磋商响应文件中提供的合同或中标通知书为准）弄虚作假者，取消其中标资格。</w:t>
            </w:r>
          </w:p>
        </w:tc>
      </w:tr>
    </w:tbl>
    <w:p w14:paraId="25088581">
      <w:pPr>
        <w:pStyle w:val="39"/>
        <w:keepNext w:val="0"/>
        <w:keepLines w:val="0"/>
        <w:pageBreakBefore w:val="0"/>
        <w:shd w:val="clear" w:color="auto" w:fill="FFFFFF"/>
        <w:kinsoku/>
        <w:wordWrap/>
        <w:overflowPunct/>
        <w:topLinePunct w:val="0"/>
        <w:bidi w:val="0"/>
        <w:spacing w:before="0" w:beforeAutospacing="0" w:after="0" w:afterAutospacing="0" w:line="400" w:lineRule="exact"/>
        <w:ind w:firstLine="420" w:firstLineChars="200"/>
        <w:rPr>
          <w:rFonts w:hint="eastAsia" w:ascii="仿宋" w:hAnsi="仿宋" w:eastAsia="仿宋" w:cs="仿宋"/>
          <w:color w:val="auto"/>
          <w:sz w:val="21"/>
          <w:szCs w:val="21"/>
          <w:highlight w:val="none"/>
        </w:rPr>
      </w:pPr>
    </w:p>
    <w:p w14:paraId="0CF35E7C">
      <w:pPr>
        <w:pStyle w:val="39"/>
        <w:keepNext w:val="0"/>
        <w:keepLines w:val="0"/>
        <w:pageBreakBefore w:val="0"/>
        <w:shd w:val="clear" w:color="auto" w:fill="FFFFFF"/>
        <w:kinsoku/>
        <w:wordWrap/>
        <w:overflowPunct/>
        <w:topLinePunct w:val="0"/>
        <w:bidi w:val="0"/>
        <w:spacing w:before="0" w:beforeAutospacing="0" w:after="0" w:afterAutospacing="0"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 xml:space="preserve"> 评审过程中，不得去掉报价中的最高报价和最低报价。</w:t>
      </w:r>
    </w:p>
    <w:p w14:paraId="1E503C2D">
      <w:pPr>
        <w:keepNext w:val="0"/>
        <w:keepLines w:val="0"/>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 xml:space="preserve"> 非实质性偏离是指响应文件在实质上响应磋商文件的要求，但在个别地方存在一些不规则、不一致、不完整的内容，并且澄清、说明或者更正这些内容不会改变响应文件的实质性内容。以下情况属于非实质性偏离：</w:t>
      </w:r>
    </w:p>
    <w:p w14:paraId="4625EC35">
      <w:pPr>
        <w:keepNext w:val="0"/>
        <w:keepLines w:val="0"/>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（1）文字表述的内容含义不明确；</w:t>
      </w:r>
    </w:p>
    <w:p w14:paraId="0AC1A9D7">
      <w:pPr>
        <w:keepNext w:val="0"/>
        <w:keepLines w:val="0"/>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（2）同类问题表述不一致；</w:t>
      </w:r>
    </w:p>
    <w:p w14:paraId="41959801">
      <w:pPr>
        <w:keepNext w:val="0"/>
        <w:keepLines w:val="0"/>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（3）有明显文字和计算错误；</w:t>
      </w:r>
    </w:p>
    <w:p w14:paraId="7FA07901">
      <w:pPr>
        <w:keepNext w:val="0"/>
        <w:keepLines w:val="0"/>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（4）提供的技术信息和数据资料不完整；</w:t>
      </w:r>
    </w:p>
    <w:p w14:paraId="4D456AC6">
      <w:pPr>
        <w:keepNext w:val="0"/>
        <w:keepLines w:val="0"/>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（5）响应文件未按磋商文件要求进行编制目录、页码；</w:t>
      </w:r>
    </w:p>
    <w:p w14:paraId="28BC8EB4">
      <w:pPr>
        <w:keepNext w:val="0"/>
        <w:keepLines w:val="0"/>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（6）磋商小组认定的其他非实质性偏离。</w:t>
      </w:r>
    </w:p>
    <w:p w14:paraId="7DEA8891">
      <w:pPr>
        <w:keepNext w:val="0"/>
        <w:keepLines w:val="0"/>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有上述（1）至（4）情形之一的，磋商小组应当书面要求供应商在规定的时间内予以澄清、说明或更正。供应商拒不或在规定的时间内没有进行澄清、说明或更正或者澄清、说明、更正的内容也不能说明问题的，视为响应文件制作不规范，按每一项非实质性偏离进行扣分处理，直至该项分值扣完为止。</w:t>
      </w:r>
    </w:p>
    <w:p w14:paraId="3585AA15">
      <w:pPr>
        <w:pStyle w:val="19"/>
        <w:keepNext w:val="0"/>
        <w:keepLines w:val="0"/>
        <w:pageBreakBefore w:val="0"/>
        <w:tabs>
          <w:tab w:val="left" w:pos="600"/>
        </w:tabs>
        <w:kinsoku/>
        <w:wordWrap/>
        <w:overflowPunct/>
        <w:topLinePunct w:val="0"/>
        <w:bidi w:val="0"/>
        <w:spacing w:line="400" w:lineRule="exact"/>
        <w:ind w:firstLine="420" w:firstLineChars="200"/>
        <w:rPr>
          <w:rFonts w:hint="eastAsia" w:ascii="仿宋" w:hAnsi="仿宋" w:eastAsia="仿宋" w:cs="仿宋"/>
          <w:b/>
          <w:color w:val="auto"/>
          <w:sz w:val="30"/>
          <w:szCs w:val="30"/>
          <w:highlight w:val="none"/>
        </w:rPr>
      </w:pPr>
      <w:r>
        <w:rPr>
          <w:rFonts w:hint="eastAsia" w:ascii="仿宋" w:hAnsi="仿宋" w:eastAsia="仿宋" w:cs="仿宋"/>
          <w:color w:val="auto"/>
          <w:sz w:val="21"/>
          <w:szCs w:val="21"/>
          <w:highlight w:val="none"/>
        </w:rPr>
        <w:t>2.2.</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 xml:space="preserve"> 在响应文件初审过程中，如果出现磋商小组成员意见不一致的情况，按照少数服从多数的原则确定。</w:t>
      </w:r>
    </w:p>
    <w:p w14:paraId="396D403A">
      <w:pPr>
        <w:keepNext w:val="0"/>
        <w:keepLines w:val="0"/>
        <w:pageBreakBefore w:val="0"/>
        <w:widowControl/>
        <w:kinsoku/>
        <w:wordWrap/>
        <w:overflowPunct/>
        <w:topLinePunct w:val="0"/>
        <w:autoSpaceDE w:val="0"/>
        <w:autoSpaceDN w:val="0"/>
        <w:bidi w:val="0"/>
        <w:spacing w:before="120" w:beforeLines="50" w:after="120" w:afterLines="50" w:line="400" w:lineRule="exact"/>
        <w:ind w:right="51"/>
        <w:textAlignment w:val="bottom"/>
        <w:rPr>
          <w:rFonts w:hint="eastAsia" w:ascii="仿宋" w:hAnsi="仿宋" w:eastAsia="仿宋" w:cs="仿宋"/>
          <w:b/>
          <w:color w:val="auto"/>
          <w:sz w:val="30"/>
          <w:szCs w:val="30"/>
          <w:highlight w:val="none"/>
        </w:rPr>
      </w:pPr>
      <w:bookmarkStart w:id="190" w:name="_Toc482201971"/>
      <w:r>
        <w:rPr>
          <w:rFonts w:hint="eastAsia" w:ascii="仿宋" w:hAnsi="仿宋" w:eastAsia="仿宋" w:cs="仿宋"/>
          <w:b/>
          <w:color w:val="auto"/>
          <w:sz w:val="30"/>
          <w:szCs w:val="30"/>
          <w:highlight w:val="none"/>
        </w:rPr>
        <w:t>2.3 无效响应文件的认定</w:t>
      </w:r>
    </w:p>
    <w:p w14:paraId="0F40E5F3">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在评审过程中，出现下列情形之一的，响应文件无效：</w:t>
      </w:r>
    </w:p>
    <w:p w14:paraId="54855B5B">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（1）不具备磋商文件中规定的资格条件和要求的；</w:t>
      </w:r>
    </w:p>
    <w:p w14:paraId="735B8552">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（2）响应文件未按照磋商文件规定的格式要求编制的；</w:t>
      </w:r>
    </w:p>
    <w:p w14:paraId="4B0238FD">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（3）响应文件未按照磋商文件规定和要求签署、盖章的；</w:t>
      </w:r>
    </w:p>
    <w:p w14:paraId="473DCDB3">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（4）磋商报价超过了磋商文件中规定的预算（最高限价）金额的；</w:t>
      </w:r>
    </w:p>
    <w:p w14:paraId="6E5ACD9F">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（5）进口货物（产品）未办理正常进口手续的（如有）；</w:t>
      </w:r>
    </w:p>
    <w:p w14:paraId="1FE12BEF">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（6）响应文件未完全响应磋商文件内容出现漏项、缺项的；</w:t>
      </w:r>
    </w:p>
    <w:p w14:paraId="580B5AFA">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（7）响应文件的关键内容字迹模糊和无法辨认的；</w:t>
      </w:r>
    </w:p>
    <w:p w14:paraId="79BAF1DA">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（8）</w:t>
      </w:r>
      <w:r>
        <w:rPr>
          <w:rFonts w:hint="eastAsia" w:ascii="仿宋" w:hAnsi="仿宋" w:eastAsia="仿宋" w:cs="仿宋"/>
          <w:snapToGrid w:val="0"/>
          <w:color w:val="auto"/>
          <w:kern w:val="0"/>
          <w:szCs w:val="21"/>
          <w:highlight w:val="none"/>
          <w:lang w:eastAsia="zh-CN"/>
        </w:rPr>
        <w:t>服务</w:t>
      </w:r>
      <w:r>
        <w:rPr>
          <w:rFonts w:hint="eastAsia" w:ascii="仿宋" w:hAnsi="仿宋" w:eastAsia="仿宋" w:cs="仿宋"/>
          <w:snapToGrid w:val="0"/>
          <w:color w:val="auto"/>
          <w:kern w:val="0"/>
          <w:szCs w:val="21"/>
          <w:highlight w:val="none"/>
        </w:rPr>
        <w:t>期、质保期、质量、保修承诺等商务条款不能满足磋商文件要求的；</w:t>
      </w:r>
    </w:p>
    <w:p w14:paraId="20DDB696">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（9）提供的主要材料与设备不符合强制执行的国家标准的；</w:t>
      </w:r>
    </w:p>
    <w:p w14:paraId="6A0DF941">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（10）提供的主要材料与设备不是国家强制节能产品品目清单中的产品（如有）；</w:t>
      </w:r>
    </w:p>
    <w:p w14:paraId="61768A3E">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（11）响应文件中附有采购人不能接受的附加条件的；</w:t>
      </w:r>
    </w:p>
    <w:p w14:paraId="20EF9EEA">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（12）响应文件不符合磋商文件和法律法规规定的其他情形的。</w:t>
      </w:r>
    </w:p>
    <w:p w14:paraId="6E77BDEE">
      <w:pPr>
        <w:keepNext w:val="0"/>
        <w:keepLines w:val="0"/>
        <w:pageBreakBefore w:val="0"/>
        <w:widowControl/>
        <w:kinsoku/>
        <w:wordWrap/>
        <w:overflowPunct/>
        <w:topLinePunct w:val="0"/>
        <w:autoSpaceDE w:val="0"/>
        <w:autoSpaceDN w:val="0"/>
        <w:bidi w:val="0"/>
        <w:spacing w:before="120" w:beforeLines="50" w:after="120" w:afterLines="50" w:line="400" w:lineRule="exact"/>
        <w:ind w:right="51"/>
        <w:textAlignment w:val="bottom"/>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2.4 特殊情况的处理</w:t>
      </w:r>
    </w:p>
    <w:p w14:paraId="6661E5AF">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2.4.1 响应文件中如果出现前后不一致的，按照下列规定修正：</w:t>
      </w:r>
    </w:p>
    <w:p w14:paraId="5662B3F5">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（1）响应文件中的大写金额与小写金额不一致的，以大写金额为准；</w:t>
      </w:r>
    </w:p>
    <w:p w14:paraId="30182A4F">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（2）响应文件中的总报价与按单价计算的汇总报价不一致的，以单价计算的汇总报价为准；</w:t>
      </w:r>
    </w:p>
    <w:p w14:paraId="42A22D73">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（3）响应文件中的报价有明显小数点错误的，以总报价为准，并修改报价；</w:t>
      </w:r>
    </w:p>
    <w:p w14:paraId="004AAEDB">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（4）响应文件中有关分项表内容与“磋商报价一览表”不一致的，以“磋商报价一览表”为准；</w:t>
      </w:r>
    </w:p>
    <w:p w14:paraId="08162CBA">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（5）响应文件中图表与文字表述不一致的，以文字表述为准；</w:t>
      </w:r>
    </w:p>
    <w:p w14:paraId="5C81FBE9">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（6）响应文件正本与副本不一致的，以正本为准；</w:t>
      </w:r>
    </w:p>
    <w:p w14:paraId="1D4BC270">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（7）对不同文字文本响应文件的解释发生异议的，以中文文本为准。</w:t>
      </w:r>
    </w:p>
    <w:p w14:paraId="31A08E61">
      <w:pPr>
        <w:keepNext w:val="0"/>
        <w:keepLines w:val="0"/>
        <w:pageBreakBefore w:val="0"/>
        <w:kinsoku/>
        <w:wordWrap/>
        <w:overflowPunct/>
        <w:topLinePunct w:val="0"/>
        <w:bidi w:val="0"/>
        <w:adjustRightInd w:val="0"/>
        <w:snapToGrid w:val="0"/>
        <w:spacing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按上述修正错误的方法</w:t>
      </w:r>
      <w:r>
        <w:rPr>
          <w:rFonts w:hint="eastAsia" w:ascii="仿宋" w:hAnsi="仿宋" w:eastAsia="仿宋" w:cs="仿宋"/>
          <w:b/>
          <w:bCs/>
          <w:snapToGrid w:val="0"/>
          <w:color w:val="auto"/>
          <w:kern w:val="0"/>
          <w:szCs w:val="21"/>
          <w:highlight w:val="none"/>
        </w:rPr>
        <w:t>调整</w:t>
      </w:r>
      <w:r>
        <w:rPr>
          <w:rFonts w:hint="eastAsia" w:ascii="仿宋" w:hAnsi="仿宋" w:eastAsia="仿宋" w:cs="仿宋"/>
          <w:b/>
          <w:color w:val="auto"/>
          <w:szCs w:val="21"/>
          <w:highlight w:val="none"/>
        </w:rPr>
        <w:t>的报价应对供应商具有约束力。如果供应商不接受修正后的价格，其响应文件将被拒绝。</w:t>
      </w:r>
    </w:p>
    <w:p w14:paraId="2F467710">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2.4.2 响应文件中，若某项有不合理报价（或零报价、漏报价）的，经磋商小组评审后，此项得分为零，不参与磋商报价分值的计算。</w:t>
      </w:r>
    </w:p>
    <w:p w14:paraId="4C854CCB">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2.4.3 磋商小组成员打分超过得分界限或未按本办法赋分时，该成员的打分，按废票处理。</w:t>
      </w:r>
    </w:p>
    <w:p w14:paraId="0BCB8DFD">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2.4.4 评审过程中，各种数字的计算结果，均保留两位小数，第三位“四舍五入”，但计算百分数时应精确到千分位，万分位“四舍五入”。</w:t>
      </w:r>
    </w:p>
    <w:p w14:paraId="453B62FF">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2.4.5 评审过程中，若出现本磋商办法以外的特殊情况时，将暂停评审，待磋商小组商榷后，再进行评审。</w:t>
      </w:r>
    </w:p>
    <w:p w14:paraId="7E06B987">
      <w:pPr>
        <w:keepNext w:val="0"/>
        <w:keepLines w:val="0"/>
        <w:pageBreakBefore w:val="0"/>
        <w:kinsoku/>
        <w:wordWrap/>
        <w:overflowPunct/>
        <w:topLinePunct w:val="0"/>
        <w:bidi w:val="0"/>
        <w:adjustRightInd w:val="0"/>
        <w:snapToGrid w:val="0"/>
        <w:spacing w:line="400" w:lineRule="exact"/>
        <w:ind w:firstLine="422" w:firstLineChars="200"/>
        <w:rPr>
          <w:rFonts w:hint="eastAsia" w:ascii="仿宋" w:hAnsi="仿宋" w:eastAsia="仿宋" w:cs="仿宋"/>
          <w:b/>
          <w:bCs/>
          <w:snapToGrid w:val="0"/>
          <w:color w:val="auto"/>
          <w:kern w:val="0"/>
          <w:szCs w:val="21"/>
          <w:highlight w:val="none"/>
        </w:rPr>
      </w:pPr>
      <w:r>
        <w:rPr>
          <w:rFonts w:hint="eastAsia" w:ascii="仿宋" w:hAnsi="仿宋" w:eastAsia="仿宋" w:cs="仿宋"/>
          <w:b/>
          <w:bCs/>
          <w:snapToGrid w:val="0"/>
          <w:color w:val="auto"/>
          <w:kern w:val="0"/>
          <w:szCs w:val="21"/>
          <w:highlight w:val="none"/>
        </w:rPr>
        <w:t>2.4.6 评审过程中，若出现合格供应商不足3家时，采购人将依法重新组织采购活动。</w:t>
      </w:r>
    </w:p>
    <w:p w14:paraId="5C1A472E">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2.4.7评审报告签署后，采购人或者采购代理机构发现存在本章第1.7.2条款情形之一的，应当组织原磋商小组进行重新评审，重新评审改变成交结果的，书面报告本级财政部门。</w:t>
      </w:r>
    </w:p>
    <w:p w14:paraId="46A21854">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2.4.8 采购人、采购代理机构发现磋商小组未按照磋商文件规定的评审标准进行评审的，应当重新开展采购活动，并同时书面报告本级财政部门。</w:t>
      </w:r>
    </w:p>
    <w:p w14:paraId="7D0EC3F8">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2.4.10评审争议处理原则</w:t>
      </w:r>
    </w:p>
    <w:p w14:paraId="07D800D6">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磋商小组在评审过程中，对响应文件资格性、符合性审查和对供应商做无效响应文件处理及其他需要共同认定的事项存在争议的，应当以少数服从多数的原则做出结论，但不得违反法律法规和磋商文件的规定。有不同意见的磋商小组成员认为认定过程和结果不符合法律法规或者磋商文件规定的，应当及时向采购人书面反映，采购人收到书面反映后，应当及时向同级财政部门报告依法处理。</w:t>
      </w:r>
    </w:p>
    <w:p w14:paraId="20842DCC">
      <w:pPr>
        <w:pStyle w:val="2"/>
        <w:numPr>
          <w:ilvl w:val="0"/>
          <w:numId w:val="6"/>
        </w:numPr>
        <w:spacing w:before="0" w:after="0" w:line="360" w:lineRule="auto"/>
        <w:jc w:val="center"/>
        <w:rPr>
          <w:rFonts w:hint="eastAsia" w:ascii="仿宋" w:hAnsi="仿宋" w:eastAsia="仿宋" w:cs="仿宋"/>
          <w:b/>
          <w:bCs/>
          <w:snapToGrid w:val="0"/>
          <w:color w:val="auto"/>
          <w:kern w:val="0"/>
          <w:sz w:val="24"/>
          <w:szCs w:val="24"/>
          <w:highlight w:val="none"/>
          <w:lang w:val="en-US" w:eastAsia="zh-CN"/>
        </w:rPr>
      </w:pPr>
      <w:r>
        <w:rPr>
          <w:rFonts w:hint="eastAsia" w:ascii="仿宋" w:hAnsi="仿宋" w:eastAsia="仿宋" w:cs="仿宋"/>
          <w:b w:val="0"/>
          <w:color w:val="auto"/>
          <w:sz w:val="36"/>
          <w:szCs w:val="36"/>
          <w:highlight w:val="none"/>
        </w:rPr>
        <w:br w:type="page"/>
      </w:r>
      <w:bookmarkStart w:id="191" w:name="_Toc1461"/>
      <w:bookmarkStart w:id="192" w:name="_Toc15072"/>
      <w:bookmarkStart w:id="193" w:name="_Toc6296"/>
      <w:bookmarkStart w:id="194" w:name="_Toc6562"/>
      <w:bookmarkStart w:id="195" w:name="_Toc23458"/>
      <w:bookmarkStart w:id="196" w:name="_Toc4171"/>
      <w:bookmarkStart w:id="197" w:name="_Toc588_WPSOffice_Level1"/>
      <w:r>
        <w:rPr>
          <w:rFonts w:hint="eastAsia" w:ascii="仿宋" w:hAnsi="仿宋" w:eastAsia="仿宋" w:cs="仿宋"/>
          <w:b/>
          <w:bCs/>
          <w:color w:val="auto"/>
          <w:sz w:val="44"/>
          <w:szCs w:val="44"/>
          <w:highlight w:val="none"/>
        </w:rPr>
        <w:t>采购内容及要求</w:t>
      </w:r>
      <w:bookmarkEnd w:id="174"/>
      <w:bookmarkEnd w:id="190"/>
      <w:bookmarkEnd w:id="191"/>
      <w:bookmarkEnd w:id="192"/>
      <w:bookmarkEnd w:id="193"/>
      <w:bookmarkEnd w:id="194"/>
      <w:bookmarkEnd w:id="195"/>
      <w:bookmarkEnd w:id="196"/>
      <w:bookmarkEnd w:id="197"/>
      <w:bookmarkStart w:id="198" w:name="_Toc482201972"/>
    </w:p>
    <w:p w14:paraId="67D81EDD">
      <w:pPr>
        <w:spacing w:line="360" w:lineRule="auto"/>
        <w:ind w:firstLine="640" w:firstLineChars="200"/>
        <w:rPr>
          <w:rFonts w:hint="default" w:ascii="仿宋" w:hAnsi="仿宋" w:eastAsia="仿宋" w:cs="仿宋"/>
          <w:b w:val="0"/>
          <w:bCs w:val="0"/>
          <w:snapToGrid w:val="0"/>
          <w:color w:val="auto"/>
          <w:kern w:val="0"/>
          <w:sz w:val="32"/>
          <w:szCs w:val="32"/>
          <w:highlight w:val="none"/>
          <w:lang w:val="en-US" w:eastAsia="zh-CN"/>
        </w:rPr>
      </w:pPr>
      <w:r>
        <w:rPr>
          <w:rFonts w:hint="eastAsia" w:ascii="仿宋" w:hAnsi="仿宋" w:eastAsia="仿宋" w:cs="仿宋"/>
          <w:b w:val="0"/>
          <w:bCs w:val="0"/>
          <w:snapToGrid w:val="0"/>
          <w:color w:val="auto"/>
          <w:kern w:val="0"/>
          <w:sz w:val="32"/>
          <w:szCs w:val="32"/>
          <w:highlight w:val="none"/>
          <w:lang w:val="en-US" w:eastAsia="zh-CN"/>
        </w:rPr>
        <w:t>采购内容：</w:t>
      </w:r>
    </w:p>
    <w:p w14:paraId="680E71C7">
      <w:pPr>
        <w:spacing w:line="360" w:lineRule="auto"/>
        <w:ind w:firstLine="640" w:firstLineChars="200"/>
        <w:rPr>
          <w:rFonts w:hint="eastAsia" w:ascii="仿宋" w:hAnsi="仿宋" w:eastAsia="仿宋" w:cs="仿宋"/>
          <w:b w:val="0"/>
          <w:bCs w:val="0"/>
          <w:snapToGrid w:val="0"/>
          <w:color w:val="auto"/>
          <w:kern w:val="0"/>
          <w:sz w:val="32"/>
          <w:szCs w:val="32"/>
          <w:highlight w:val="none"/>
          <w:lang w:val="en-US" w:eastAsia="zh-CN"/>
        </w:rPr>
      </w:pPr>
      <w:r>
        <w:rPr>
          <w:rFonts w:hint="eastAsia" w:ascii="仿宋" w:hAnsi="仿宋" w:eastAsia="仿宋" w:cs="仿宋"/>
          <w:b w:val="0"/>
          <w:bCs w:val="0"/>
          <w:snapToGrid w:val="0"/>
          <w:color w:val="auto"/>
          <w:kern w:val="0"/>
          <w:sz w:val="32"/>
          <w:szCs w:val="32"/>
          <w:highlight w:val="none"/>
          <w:lang w:val="en-US" w:eastAsia="zh-CN"/>
        </w:rPr>
        <w:t>采取地类对接、遥感监测、外业调查、样地调查方法，摸清林草湿资源数量、质量、结构情况，落实属性边界；制作图件，汇总分析，编制报告、建设数据库；</w:t>
      </w:r>
    </w:p>
    <w:p w14:paraId="69842E20">
      <w:pPr>
        <w:spacing w:line="360" w:lineRule="auto"/>
        <w:ind w:firstLine="640" w:firstLineChars="200"/>
        <w:rPr>
          <w:rFonts w:hint="eastAsia" w:ascii="仿宋" w:hAnsi="仿宋" w:eastAsia="仿宋" w:cs="仿宋"/>
          <w:b w:val="0"/>
          <w:bCs w:val="0"/>
          <w:snapToGrid w:val="0"/>
          <w:color w:val="auto"/>
          <w:kern w:val="0"/>
          <w:sz w:val="32"/>
          <w:szCs w:val="32"/>
          <w:highlight w:val="none"/>
          <w:lang w:val="en-US" w:eastAsia="zh-CN"/>
        </w:rPr>
      </w:pPr>
      <w:r>
        <w:rPr>
          <w:rFonts w:hint="eastAsia" w:ascii="仿宋" w:hAnsi="仿宋" w:eastAsia="仿宋" w:cs="仿宋"/>
          <w:b w:val="0"/>
          <w:bCs w:val="0"/>
          <w:snapToGrid w:val="0"/>
          <w:color w:val="auto"/>
          <w:kern w:val="0"/>
          <w:sz w:val="32"/>
          <w:szCs w:val="32"/>
          <w:highlight w:val="none"/>
          <w:lang w:val="en-US" w:eastAsia="zh-CN"/>
        </w:rPr>
        <w:t>主要功能或目标:为森林草原湿地管理、造林绿化适宜空间评估、林草地耕地空间布局优化、编制“十五五”规划、支撑森林草原保护发展提供基础数据，丰富我县自然资源调查成果。</w:t>
      </w:r>
    </w:p>
    <w:p w14:paraId="04D8A624">
      <w:pPr>
        <w:spacing w:line="360" w:lineRule="auto"/>
        <w:ind w:firstLine="640" w:firstLineChars="200"/>
        <w:rPr>
          <w:rFonts w:hint="eastAsia" w:ascii="仿宋" w:hAnsi="仿宋" w:eastAsia="仿宋" w:cs="仿宋"/>
          <w:b w:val="0"/>
          <w:bCs w:val="0"/>
          <w:snapToGrid w:val="0"/>
          <w:color w:val="auto"/>
          <w:kern w:val="0"/>
          <w:sz w:val="32"/>
          <w:szCs w:val="32"/>
          <w:highlight w:val="none"/>
          <w:lang w:val="en-US" w:eastAsia="zh-CN"/>
        </w:rPr>
      </w:pPr>
      <w:r>
        <w:rPr>
          <w:rFonts w:hint="eastAsia" w:ascii="仿宋" w:hAnsi="仿宋" w:eastAsia="仿宋" w:cs="仿宋"/>
          <w:b w:val="0"/>
          <w:bCs w:val="0"/>
          <w:snapToGrid w:val="0"/>
          <w:color w:val="auto"/>
          <w:kern w:val="0"/>
          <w:sz w:val="32"/>
          <w:szCs w:val="32"/>
          <w:highlight w:val="none"/>
          <w:lang w:val="en-US" w:eastAsia="zh-CN"/>
        </w:rPr>
        <w:t>需满足的要求:丰富我县自然资源调查成果，深化完善“三调”一张图。</w:t>
      </w:r>
    </w:p>
    <w:p w14:paraId="69389ACF">
      <w:pPr>
        <w:spacing w:line="360" w:lineRule="auto"/>
        <w:ind w:firstLine="643" w:firstLineChars="200"/>
        <w:rPr>
          <w:rFonts w:hint="eastAsia" w:ascii="仿宋" w:hAnsi="仿宋" w:eastAsia="仿宋" w:cs="仿宋"/>
          <w:b/>
          <w:bCs/>
          <w:snapToGrid w:val="0"/>
          <w:color w:val="auto"/>
          <w:kern w:val="0"/>
          <w:sz w:val="32"/>
          <w:szCs w:val="32"/>
          <w:highlight w:val="none"/>
          <w:lang w:val="en-US" w:eastAsia="zh-CN"/>
        </w:rPr>
      </w:pPr>
      <w:r>
        <w:rPr>
          <w:rFonts w:hint="eastAsia" w:ascii="仿宋" w:hAnsi="仿宋" w:eastAsia="仿宋" w:cs="仿宋"/>
          <w:b/>
          <w:bCs/>
          <w:snapToGrid w:val="0"/>
          <w:color w:val="auto"/>
          <w:kern w:val="0"/>
          <w:sz w:val="32"/>
          <w:szCs w:val="32"/>
          <w:highlight w:val="none"/>
          <w:lang w:val="en-US" w:eastAsia="zh-CN"/>
        </w:rPr>
        <w:br w:type="page"/>
      </w:r>
    </w:p>
    <w:p w14:paraId="6EADF1EC">
      <w:pPr>
        <w:keepNext w:val="0"/>
        <w:keepLines w:val="0"/>
        <w:pageBreakBefore w:val="0"/>
        <w:kinsoku/>
        <w:wordWrap/>
        <w:overflowPunct/>
        <w:topLinePunct w:val="0"/>
        <w:bidi w:val="0"/>
        <w:adjustRightInd w:val="0"/>
        <w:snapToGrid w:val="0"/>
        <w:spacing w:line="400" w:lineRule="exact"/>
        <w:ind w:left="211" w:hanging="321" w:hangingChars="100"/>
        <w:jc w:val="center"/>
        <w:rPr>
          <w:rFonts w:hint="eastAsia" w:ascii="仿宋" w:hAnsi="仿宋" w:eastAsia="仿宋" w:cs="仿宋"/>
          <w:b/>
          <w:bCs/>
          <w:snapToGrid w:val="0"/>
          <w:color w:val="auto"/>
          <w:kern w:val="0"/>
          <w:sz w:val="24"/>
          <w:szCs w:val="24"/>
          <w:highlight w:val="none"/>
          <w:lang w:eastAsia="zh-CN"/>
        </w:rPr>
      </w:pPr>
      <w:r>
        <w:rPr>
          <w:rFonts w:hint="eastAsia" w:ascii="仿宋" w:hAnsi="仿宋" w:eastAsia="仿宋" w:cs="仿宋"/>
          <w:b/>
          <w:bCs/>
          <w:snapToGrid w:val="0"/>
          <w:color w:val="auto"/>
          <w:kern w:val="0"/>
          <w:sz w:val="32"/>
          <w:szCs w:val="32"/>
          <w:highlight w:val="none"/>
          <w:lang w:val="en-US" w:eastAsia="zh-CN"/>
        </w:rPr>
        <w:t>（三）磋商文件商务要求</w:t>
      </w:r>
    </w:p>
    <w:p w14:paraId="07CFAAE8">
      <w:pPr>
        <w:keepNext w:val="0"/>
        <w:keepLines w:val="0"/>
        <w:pageBreakBefore w:val="0"/>
        <w:kinsoku/>
        <w:wordWrap/>
        <w:overflowPunct/>
        <w:topLinePunct w:val="0"/>
        <w:bidi w:val="0"/>
        <w:adjustRightInd w:val="0"/>
        <w:snapToGrid w:val="0"/>
        <w:spacing w:line="400" w:lineRule="exact"/>
        <w:ind w:firstLine="482" w:firstLineChars="200"/>
        <w:rPr>
          <w:rFonts w:hint="eastAsia" w:ascii="仿宋" w:hAnsi="仿宋" w:eastAsia="仿宋" w:cs="仿宋"/>
          <w:b/>
          <w:bCs/>
          <w:snapToGrid w:val="0"/>
          <w:color w:val="auto"/>
          <w:kern w:val="0"/>
          <w:sz w:val="24"/>
          <w:szCs w:val="24"/>
          <w:highlight w:val="none"/>
          <w:lang w:val="en-US" w:eastAsia="zh-CN"/>
        </w:rPr>
      </w:pPr>
      <w:r>
        <w:rPr>
          <w:rFonts w:hint="eastAsia" w:ascii="仿宋" w:hAnsi="仿宋" w:eastAsia="仿宋" w:cs="仿宋"/>
          <w:b/>
          <w:bCs/>
          <w:snapToGrid w:val="0"/>
          <w:color w:val="auto"/>
          <w:kern w:val="0"/>
          <w:sz w:val="24"/>
          <w:szCs w:val="24"/>
          <w:highlight w:val="none"/>
          <w:lang w:val="en-US" w:eastAsia="zh-CN"/>
        </w:rPr>
        <w:t>一、编制周期及服务地点</w:t>
      </w:r>
    </w:p>
    <w:p w14:paraId="3BF8E96C">
      <w:pPr>
        <w:keepNext w:val="0"/>
        <w:keepLines w:val="0"/>
        <w:pageBreakBefore w:val="0"/>
        <w:kinsoku/>
        <w:wordWrap/>
        <w:overflowPunct/>
        <w:topLinePunct w:val="0"/>
        <w:bidi w:val="0"/>
        <w:adjustRightInd w:val="0"/>
        <w:snapToGrid w:val="0"/>
        <w:spacing w:line="400" w:lineRule="exact"/>
        <w:ind w:firstLine="480" w:firstLineChars="200"/>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eastAsia="zh-CN"/>
        </w:rPr>
        <w:t>服务地点：采购人指定地点。</w:t>
      </w:r>
    </w:p>
    <w:p w14:paraId="460774C6">
      <w:pPr>
        <w:keepNext w:val="0"/>
        <w:keepLines w:val="0"/>
        <w:pageBreakBefore w:val="0"/>
        <w:kinsoku/>
        <w:wordWrap/>
        <w:overflowPunct/>
        <w:topLinePunct w:val="0"/>
        <w:bidi w:val="0"/>
        <w:adjustRightInd w:val="0"/>
        <w:snapToGrid w:val="0"/>
        <w:spacing w:line="400" w:lineRule="exact"/>
        <w:ind w:firstLine="480" w:firstLineChars="200"/>
        <w:rPr>
          <w:rFonts w:hint="default" w:ascii="仿宋" w:hAnsi="仿宋" w:eastAsia="仿宋" w:cs="仿宋"/>
          <w:snapToGrid w:val="0"/>
          <w:color w:val="auto"/>
          <w:kern w:val="0"/>
          <w:sz w:val="24"/>
          <w:szCs w:val="24"/>
          <w:highlight w:val="none"/>
          <w:lang w:val="en-US"/>
        </w:rPr>
      </w:pPr>
      <w:r>
        <w:rPr>
          <w:rFonts w:hint="eastAsia" w:ascii="仿宋" w:hAnsi="仿宋" w:eastAsia="仿宋" w:cs="仿宋"/>
          <w:b w:val="0"/>
          <w:bCs w:val="0"/>
          <w:snapToGrid w:val="0"/>
          <w:color w:val="auto"/>
          <w:kern w:val="0"/>
          <w:sz w:val="24"/>
          <w:szCs w:val="24"/>
          <w:highlight w:val="none"/>
          <w:lang w:val="en-US" w:eastAsia="zh-CN"/>
        </w:rPr>
        <w:t>服务期：截止到2025年5月31日前</w:t>
      </w:r>
    </w:p>
    <w:p w14:paraId="4732C4BC">
      <w:pPr>
        <w:keepNext w:val="0"/>
        <w:keepLines w:val="0"/>
        <w:pageBreakBefore w:val="0"/>
        <w:kinsoku/>
        <w:wordWrap/>
        <w:overflowPunct/>
        <w:topLinePunct w:val="0"/>
        <w:bidi w:val="0"/>
        <w:adjustRightInd w:val="0"/>
        <w:snapToGrid w:val="0"/>
        <w:spacing w:line="400" w:lineRule="exact"/>
        <w:ind w:firstLine="482" w:firstLineChars="200"/>
        <w:rPr>
          <w:rFonts w:hint="eastAsia" w:ascii="仿宋" w:hAnsi="仿宋" w:eastAsia="仿宋" w:cs="仿宋"/>
          <w:b/>
          <w:bCs/>
          <w:snapToGrid w:val="0"/>
          <w:color w:val="auto"/>
          <w:kern w:val="0"/>
          <w:sz w:val="24"/>
          <w:szCs w:val="24"/>
          <w:highlight w:val="none"/>
          <w:lang w:val="en-US" w:eastAsia="zh-CN"/>
        </w:rPr>
      </w:pPr>
      <w:r>
        <w:rPr>
          <w:rFonts w:hint="eastAsia" w:ascii="仿宋" w:hAnsi="仿宋" w:eastAsia="仿宋" w:cs="仿宋"/>
          <w:b/>
          <w:bCs/>
          <w:snapToGrid w:val="0"/>
          <w:color w:val="auto"/>
          <w:kern w:val="0"/>
          <w:sz w:val="24"/>
          <w:szCs w:val="24"/>
          <w:highlight w:val="none"/>
          <w:lang w:val="en-US" w:eastAsia="zh-CN"/>
        </w:rPr>
        <w:t>二、结算</w:t>
      </w:r>
    </w:p>
    <w:p w14:paraId="3D59D308">
      <w:pPr>
        <w:keepNext w:val="0"/>
        <w:keepLines w:val="0"/>
        <w:pageBreakBefore w:val="0"/>
        <w:kinsoku/>
        <w:wordWrap/>
        <w:overflowPunct/>
        <w:topLinePunct w:val="0"/>
        <w:bidi w:val="0"/>
        <w:adjustRightInd w:val="0"/>
        <w:snapToGrid w:val="0"/>
        <w:spacing w:line="400" w:lineRule="exact"/>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1、结算依据:磋商文件、磋商响应文件、服务合同、中标供应商销售发票、甲方出具的验收报告</w:t>
      </w:r>
    </w:p>
    <w:p w14:paraId="23A3FC65">
      <w:pPr>
        <w:keepNext w:val="0"/>
        <w:keepLines w:val="0"/>
        <w:pageBreakBefore w:val="0"/>
        <w:kinsoku/>
        <w:wordWrap/>
        <w:overflowPunct/>
        <w:topLinePunct w:val="0"/>
        <w:bidi w:val="0"/>
        <w:adjustRightInd w:val="0"/>
        <w:snapToGrid w:val="0"/>
        <w:spacing w:line="400" w:lineRule="exact"/>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2、付款方式：双方合同中约定。</w:t>
      </w:r>
    </w:p>
    <w:p w14:paraId="755FD430">
      <w:pPr>
        <w:keepNext w:val="0"/>
        <w:keepLines w:val="0"/>
        <w:pageBreakBefore w:val="0"/>
        <w:kinsoku/>
        <w:wordWrap/>
        <w:overflowPunct/>
        <w:topLinePunct w:val="0"/>
        <w:bidi w:val="0"/>
        <w:adjustRightInd w:val="0"/>
        <w:snapToGrid w:val="0"/>
        <w:spacing w:line="400" w:lineRule="exact"/>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3、计费标准：按照实际合同金额进行计算。</w:t>
      </w:r>
    </w:p>
    <w:p w14:paraId="2B794364">
      <w:pPr>
        <w:keepNext w:val="0"/>
        <w:keepLines w:val="0"/>
        <w:pageBreakBefore w:val="0"/>
        <w:kinsoku/>
        <w:wordWrap/>
        <w:overflowPunct/>
        <w:topLinePunct w:val="0"/>
        <w:bidi w:val="0"/>
        <w:adjustRightInd w:val="0"/>
        <w:snapToGrid w:val="0"/>
        <w:spacing w:line="400" w:lineRule="exact"/>
        <w:ind w:firstLine="480" w:firstLineChars="200"/>
        <w:rPr>
          <w:rFonts w:hint="eastAsia" w:ascii="仿宋" w:hAnsi="仿宋" w:eastAsia="仿宋" w:cs="仿宋"/>
          <w:b/>
          <w:bCs/>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 xml:space="preserve"> </w:t>
      </w:r>
      <w:r>
        <w:rPr>
          <w:rFonts w:hint="eastAsia" w:ascii="仿宋" w:hAnsi="仿宋" w:eastAsia="仿宋" w:cs="仿宋"/>
          <w:b/>
          <w:bCs/>
          <w:snapToGrid w:val="0"/>
          <w:color w:val="auto"/>
          <w:kern w:val="0"/>
          <w:sz w:val="24"/>
          <w:szCs w:val="24"/>
          <w:highlight w:val="none"/>
        </w:rPr>
        <w:t>三、质量保证</w:t>
      </w:r>
    </w:p>
    <w:p w14:paraId="3ED253BB">
      <w:pPr>
        <w:keepNext w:val="0"/>
        <w:keepLines w:val="0"/>
        <w:pageBreakBefore w:val="0"/>
        <w:kinsoku/>
        <w:wordWrap/>
        <w:overflowPunct/>
        <w:topLinePunct w:val="0"/>
        <w:bidi w:val="0"/>
        <w:adjustRightInd w:val="0"/>
        <w:snapToGrid w:val="0"/>
        <w:spacing w:line="400" w:lineRule="exact"/>
        <w:ind w:firstLine="480" w:firstLineChars="200"/>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1、</w:t>
      </w:r>
      <w:r>
        <w:rPr>
          <w:rFonts w:hint="eastAsia" w:ascii="仿宋" w:hAnsi="仿宋" w:eastAsia="仿宋" w:cs="仿宋"/>
          <w:snapToGrid w:val="0"/>
          <w:color w:val="auto"/>
          <w:kern w:val="0"/>
          <w:sz w:val="24"/>
          <w:szCs w:val="24"/>
          <w:highlight w:val="none"/>
        </w:rPr>
        <w:t>从项目</w:t>
      </w:r>
      <w:r>
        <w:rPr>
          <w:rFonts w:hint="eastAsia" w:ascii="仿宋" w:hAnsi="仿宋" w:eastAsia="仿宋" w:cs="仿宋"/>
          <w:snapToGrid w:val="0"/>
          <w:color w:val="auto"/>
          <w:kern w:val="0"/>
          <w:sz w:val="24"/>
          <w:szCs w:val="24"/>
          <w:highlight w:val="none"/>
          <w:lang w:eastAsia="zh-CN"/>
        </w:rPr>
        <w:t>实施之日起，至项目完成</w:t>
      </w:r>
      <w:r>
        <w:rPr>
          <w:rFonts w:hint="eastAsia" w:ascii="仿宋" w:hAnsi="仿宋" w:eastAsia="仿宋" w:cs="仿宋"/>
          <w:snapToGrid w:val="0"/>
          <w:color w:val="auto"/>
          <w:kern w:val="0"/>
          <w:sz w:val="24"/>
          <w:szCs w:val="24"/>
          <w:highlight w:val="none"/>
        </w:rPr>
        <w:t>验收合格之日，</w:t>
      </w:r>
      <w:r>
        <w:rPr>
          <w:rFonts w:hint="eastAsia" w:ascii="仿宋" w:hAnsi="仿宋" w:eastAsia="仿宋" w:cs="仿宋"/>
          <w:snapToGrid w:val="0"/>
          <w:color w:val="auto"/>
          <w:kern w:val="0"/>
          <w:sz w:val="24"/>
          <w:szCs w:val="24"/>
          <w:highlight w:val="none"/>
          <w:lang w:eastAsia="zh-CN"/>
        </w:rPr>
        <w:t>所有质量问题均由成交供应商承担。</w:t>
      </w:r>
    </w:p>
    <w:p w14:paraId="00C2D484">
      <w:pPr>
        <w:keepNext w:val="0"/>
        <w:keepLines w:val="0"/>
        <w:pageBreakBefore w:val="0"/>
        <w:kinsoku/>
        <w:wordWrap/>
        <w:overflowPunct/>
        <w:topLinePunct w:val="0"/>
        <w:bidi w:val="0"/>
        <w:adjustRightInd w:val="0"/>
        <w:snapToGrid w:val="0"/>
        <w:spacing w:line="400" w:lineRule="exact"/>
        <w:ind w:firstLine="480" w:firstLineChars="200"/>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lang w:eastAsia="zh-CN"/>
        </w:rPr>
        <w:t>、乙方所提供的项目成果必须经采购人审核验收，符合采购人要求，满足磋商文件要求。</w:t>
      </w:r>
    </w:p>
    <w:p w14:paraId="11197AF8">
      <w:pPr>
        <w:keepNext w:val="0"/>
        <w:keepLines w:val="0"/>
        <w:pageBreakBefore w:val="0"/>
        <w:kinsoku/>
        <w:wordWrap/>
        <w:overflowPunct/>
        <w:topLinePunct w:val="0"/>
        <w:bidi w:val="0"/>
        <w:adjustRightInd w:val="0"/>
        <w:snapToGrid w:val="0"/>
        <w:spacing w:line="400" w:lineRule="exact"/>
        <w:ind w:firstLine="480" w:firstLineChars="200"/>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3</w:t>
      </w:r>
      <w:r>
        <w:rPr>
          <w:rFonts w:hint="eastAsia" w:ascii="仿宋" w:hAnsi="仿宋" w:eastAsia="仿宋" w:cs="仿宋"/>
          <w:snapToGrid w:val="0"/>
          <w:color w:val="auto"/>
          <w:kern w:val="0"/>
          <w:sz w:val="24"/>
          <w:szCs w:val="24"/>
          <w:highlight w:val="none"/>
          <w:lang w:eastAsia="zh-CN"/>
        </w:rPr>
        <w:t>、项目的质量必须符合国家标准和有关规范，确保项目达到最佳使用要求。</w:t>
      </w:r>
    </w:p>
    <w:p w14:paraId="6F520F1B">
      <w:pPr>
        <w:keepNext w:val="0"/>
        <w:keepLines w:val="0"/>
        <w:pageBreakBefore w:val="0"/>
        <w:kinsoku/>
        <w:wordWrap/>
        <w:overflowPunct/>
        <w:topLinePunct w:val="0"/>
        <w:bidi w:val="0"/>
        <w:adjustRightInd w:val="0"/>
        <w:snapToGrid w:val="0"/>
        <w:spacing w:line="400" w:lineRule="exact"/>
        <w:ind w:firstLine="480" w:firstLineChars="200"/>
        <w:rPr>
          <w:rFonts w:hint="eastAsia" w:ascii="仿宋" w:hAnsi="仿宋" w:eastAsia="仿宋" w:cs="仿宋"/>
          <w:b/>
          <w:bCs/>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 xml:space="preserve"> </w:t>
      </w:r>
      <w:r>
        <w:rPr>
          <w:rFonts w:hint="eastAsia" w:ascii="仿宋" w:hAnsi="仿宋" w:eastAsia="仿宋" w:cs="仿宋"/>
          <w:b/>
          <w:bCs/>
          <w:snapToGrid w:val="0"/>
          <w:color w:val="auto"/>
          <w:kern w:val="0"/>
          <w:sz w:val="24"/>
          <w:szCs w:val="24"/>
          <w:highlight w:val="none"/>
          <w:lang w:val="en-US" w:eastAsia="zh-CN"/>
        </w:rPr>
        <w:t>四</w:t>
      </w:r>
      <w:r>
        <w:rPr>
          <w:rFonts w:hint="eastAsia" w:ascii="仿宋" w:hAnsi="仿宋" w:eastAsia="仿宋" w:cs="仿宋"/>
          <w:b/>
          <w:bCs/>
          <w:snapToGrid w:val="0"/>
          <w:color w:val="auto"/>
          <w:kern w:val="0"/>
          <w:sz w:val="24"/>
          <w:szCs w:val="24"/>
          <w:highlight w:val="none"/>
        </w:rPr>
        <w:t>、合同实施</w:t>
      </w:r>
    </w:p>
    <w:p w14:paraId="2569F348">
      <w:pPr>
        <w:keepNext w:val="0"/>
        <w:keepLines w:val="0"/>
        <w:pageBreakBefore w:val="0"/>
        <w:kinsoku/>
        <w:wordWrap/>
        <w:overflowPunct/>
        <w:topLinePunct w:val="0"/>
        <w:bidi w:val="0"/>
        <w:adjustRightInd w:val="0"/>
        <w:snapToGrid w:val="0"/>
        <w:spacing w:line="400" w:lineRule="exact"/>
        <w:ind w:firstLine="480" w:firstLineChars="200"/>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rPr>
        <w:t>1、</w:t>
      </w:r>
      <w:r>
        <w:rPr>
          <w:rFonts w:hint="eastAsia" w:ascii="仿宋" w:hAnsi="仿宋" w:eastAsia="仿宋" w:cs="仿宋"/>
          <w:snapToGrid w:val="0"/>
          <w:color w:val="auto"/>
          <w:kern w:val="0"/>
          <w:sz w:val="24"/>
          <w:szCs w:val="24"/>
          <w:highlight w:val="none"/>
          <w:lang w:eastAsia="zh-CN"/>
        </w:rPr>
        <w:t>成交供应商</w:t>
      </w:r>
      <w:r>
        <w:rPr>
          <w:rFonts w:hint="eastAsia" w:ascii="仿宋" w:hAnsi="仿宋" w:eastAsia="仿宋" w:cs="仿宋"/>
          <w:snapToGrid w:val="0"/>
          <w:color w:val="auto"/>
          <w:kern w:val="0"/>
          <w:sz w:val="24"/>
          <w:szCs w:val="24"/>
          <w:highlight w:val="none"/>
        </w:rPr>
        <w:t>应在合同签订后7个日历日内安排人员(项目组成人员简历表所列)与使用单位就项目方案实施等工作进行安排、部署</w:t>
      </w:r>
      <w:r>
        <w:rPr>
          <w:rFonts w:hint="eastAsia" w:ascii="仿宋" w:hAnsi="仿宋" w:eastAsia="仿宋" w:cs="仿宋"/>
          <w:snapToGrid w:val="0"/>
          <w:color w:val="auto"/>
          <w:kern w:val="0"/>
          <w:sz w:val="24"/>
          <w:szCs w:val="24"/>
          <w:highlight w:val="none"/>
          <w:lang w:eastAsia="zh-CN"/>
        </w:rPr>
        <w:t>。</w:t>
      </w:r>
    </w:p>
    <w:p w14:paraId="65AEA08B">
      <w:pPr>
        <w:keepNext w:val="0"/>
        <w:keepLines w:val="0"/>
        <w:pageBreakBefore w:val="0"/>
        <w:kinsoku/>
        <w:wordWrap/>
        <w:overflowPunct/>
        <w:topLinePunct w:val="0"/>
        <w:bidi w:val="0"/>
        <w:adjustRightInd w:val="0"/>
        <w:snapToGrid w:val="0"/>
        <w:spacing w:line="400" w:lineRule="exact"/>
        <w:ind w:firstLine="480" w:firstLineChars="200"/>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rPr>
        <w:t>2、若未能在服务期内完成合同规定的义务，由此对采购人</w:t>
      </w:r>
      <w:r>
        <w:rPr>
          <w:rFonts w:hint="eastAsia" w:ascii="仿宋" w:hAnsi="仿宋" w:eastAsia="仿宋" w:cs="仿宋"/>
          <w:snapToGrid w:val="0"/>
          <w:color w:val="auto"/>
          <w:kern w:val="0"/>
          <w:sz w:val="24"/>
          <w:szCs w:val="24"/>
          <w:highlight w:val="none"/>
          <w:lang w:eastAsia="zh-CN"/>
        </w:rPr>
        <w:t>造</w:t>
      </w:r>
      <w:r>
        <w:rPr>
          <w:rFonts w:hint="eastAsia" w:ascii="仿宋" w:hAnsi="仿宋" w:eastAsia="仿宋" w:cs="仿宋"/>
          <w:snapToGrid w:val="0"/>
          <w:color w:val="auto"/>
          <w:kern w:val="0"/>
          <w:sz w:val="24"/>
          <w:szCs w:val="24"/>
          <w:highlight w:val="none"/>
        </w:rPr>
        <w:t>成的延误和</w:t>
      </w:r>
      <w:r>
        <w:rPr>
          <w:rFonts w:hint="eastAsia" w:ascii="仿宋" w:hAnsi="仿宋" w:eastAsia="仿宋" w:cs="仿宋"/>
          <w:snapToGrid w:val="0"/>
          <w:color w:val="auto"/>
          <w:kern w:val="0"/>
          <w:sz w:val="24"/>
          <w:szCs w:val="24"/>
          <w:highlight w:val="none"/>
          <w:lang w:eastAsia="zh-CN"/>
        </w:rPr>
        <w:t>一</w:t>
      </w:r>
      <w:r>
        <w:rPr>
          <w:rFonts w:hint="eastAsia" w:ascii="仿宋" w:hAnsi="仿宋" w:eastAsia="仿宋" w:cs="仿宋"/>
          <w:snapToGrid w:val="0"/>
          <w:color w:val="auto"/>
          <w:kern w:val="0"/>
          <w:sz w:val="24"/>
          <w:szCs w:val="24"/>
          <w:highlight w:val="none"/>
        </w:rPr>
        <w:t>切损失，由中标人承担和赔偿</w:t>
      </w:r>
      <w:r>
        <w:rPr>
          <w:rFonts w:hint="eastAsia" w:ascii="仿宋" w:hAnsi="仿宋" w:eastAsia="仿宋" w:cs="仿宋"/>
          <w:snapToGrid w:val="0"/>
          <w:color w:val="auto"/>
          <w:kern w:val="0"/>
          <w:sz w:val="24"/>
          <w:szCs w:val="24"/>
          <w:highlight w:val="none"/>
          <w:lang w:eastAsia="zh-CN"/>
        </w:rPr>
        <w:t>。</w:t>
      </w:r>
    </w:p>
    <w:p w14:paraId="28789621">
      <w:pPr>
        <w:keepNext w:val="0"/>
        <w:keepLines w:val="0"/>
        <w:pageBreakBefore w:val="0"/>
        <w:kinsoku/>
        <w:wordWrap/>
        <w:overflowPunct/>
        <w:topLinePunct w:val="0"/>
        <w:bidi w:val="0"/>
        <w:adjustRightInd w:val="0"/>
        <w:snapToGrid w:val="0"/>
        <w:spacing w:line="400" w:lineRule="exact"/>
        <w:ind w:firstLine="480" w:firstLineChars="200"/>
        <w:rPr>
          <w:rFonts w:hint="eastAsia" w:ascii="仿宋" w:hAnsi="仿宋" w:eastAsia="仿宋" w:cs="仿宋"/>
          <w:b/>
          <w:bCs/>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 xml:space="preserve"> </w:t>
      </w:r>
      <w:r>
        <w:rPr>
          <w:rFonts w:hint="eastAsia" w:ascii="仿宋" w:hAnsi="仿宋" w:eastAsia="仿宋" w:cs="仿宋"/>
          <w:b/>
          <w:bCs/>
          <w:snapToGrid w:val="0"/>
          <w:color w:val="auto"/>
          <w:kern w:val="0"/>
          <w:sz w:val="24"/>
          <w:szCs w:val="24"/>
          <w:highlight w:val="none"/>
          <w:lang w:val="en-US" w:eastAsia="zh-CN"/>
        </w:rPr>
        <w:t>五</w:t>
      </w:r>
      <w:r>
        <w:rPr>
          <w:rFonts w:hint="eastAsia" w:ascii="仿宋" w:hAnsi="仿宋" w:eastAsia="仿宋" w:cs="仿宋"/>
          <w:b/>
          <w:bCs/>
          <w:snapToGrid w:val="0"/>
          <w:color w:val="auto"/>
          <w:kern w:val="0"/>
          <w:sz w:val="24"/>
          <w:szCs w:val="24"/>
          <w:highlight w:val="none"/>
        </w:rPr>
        <w:t>、违</w:t>
      </w:r>
      <w:r>
        <w:rPr>
          <w:rFonts w:hint="eastAsia" w:ascii="仿宋" w:hAnsi="仿宋" w:eastAsia="仿宋" w:cs="仿宋"/>
          <w:b/>
          <w:bCs/>
          <w:snapToGrid w:val="0"/>
          <w:color w:val="auto"/>
          <w:kern w:val="0"/>
          <w:sz w:val="24"/>
          <w:szCs w:val="24"/>
          <w:highlight w:val="none"/>
          <w:lang w:eastAsia="zh-CN"/>
        </w:rPr>
        <w:t>约</w:t>
      </w:r>
      <w:r>
        <w:rPr>
          <w:rFonts w:hint="eastAsia" w:ascii="仿宋" w:hAnsi="仿宋" w:eastAsia="仿宋" w:cs="仿宋"/>
          <w:b/>
          <w:bCs/>
          <w:snapToGrid w:val="0"/>
          <w:color w:val="auto"/>
          <w:kern w:val="0"/>
          <w:sz w:val="24"/>
          <w:szCs w:val="24"/>
          <w:highlight w:val="none"/>
        </w:rPr>
        <w:t>责任</w:t>
      </w:r>
    </w:p>
    <w:p w14:paraId="7CC0EAD5">
      <w:pPr>
        <w:keepNext w:val="0"/>
        <w:keepLines w:val="0"/>
        <w:pageBreakBefore w:val="0"/>
        <w:kinsoku/>
        <w:wordWrap/>
        <w:overflowPunct/>
        <w:topLinePunct w:val="0"/>
        <w:bidi w:val="0"/>
        <w:adjustRightInd w:val="0"/>
        <w:snapToGrid w:val="0"/>
        <w:spacing w:line="400" w:lineRule="exact"/>
        <w:ind w:firstLine="480" w:firstLineChars="200"/>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 xml:space="preserve"> </w:t>
      </w:r>
      <w:r>
        <w:rPr>
          <w:rFonts w:hint="eastAsia" w:ascii="仿宋" w:hAnsi="仿宋" w:eastAsia="仿宋" w:cs="仿宋"/>
          <w:snapToGrid w:val="0"/>
          <w:color w:val="auto"/>
          <w:kern w:val="0"/>
          <w:sz w:val="24"/>
          <w:szCs w:val="24"/>
          <w:highlight w:val="none"/>
        </w:rPr>
        <w:t>1、按《中华人民共和国</w:t>
      </w:r>
      <w:r>
        <w:rPr>
          <w:rFonts w:hint="eastAsia" w:ascii="仿宋" w:hAnsi="仿宋" w:eastAsia="仿宋" w:cs="仿宋"/>
          <w:snapToGrid w:val="0"/>
          <w:color w:val="auto"/>
          <w:kern w:val="0"/>
          <w:sz w:val="24"/>
          <w:szCs w:val="24"/>
          <w:highlight w:val="none"/>
          <w:lang w:eastAsia="zh-CN"/>
        </w:rPr>
        <w:t>民法典</w:t>
      </w:r>
      <w:r>
        <w:rPr>
          <w:rFonts w:hint="eastAsia" w:ascii="仿宋" w:hAnsi="仿宋" w:eastAsia="仿宋" w:cs="仿宋"/>
          <w:snapToGrid w:val="0"/>
          <w:color w:val="auto"/>
          <w:kern w:val="0"/>
          <w:sz w:val="24"/>
          <w:szCs w:val="24"/>
          <w:highlight w:val="none"/>
        </w:rPr>
        <w:t>》中的相关条款执</w:t>
      </w:r>
      <w:r>
        <w:rPr>
          <w:rFonts w:hint="eastAsia" w:ascii="仿宋" w:hAnsi="仿宋" w:eastAsia="仿宋" w:cs="仿宋"/>
          <w:snapToGrid w:val="0"/>
          <w:color w:val="auto"/>
          <w:kern w:val="0"/>
          <w:sz w:val="24"/>
          <w:szCs w:val="24"/>
          <w:highlight w:val="none"/>
          <w:lang w:eastAsia="zh-CN"/>
        </w:rPr>
        <w:t>行。</w:t>
      </w:r>
    </w:p>
    <w:p w14:paraId="7EA46FC1">
      <w:pPr>
        <w:keepNext w:val="0"/>
        <w:keepLines w:val="0"/>
        <w:pageBreakBefore w:val="0"/>
        <w:kinsoku/>
        <w:wordWrap/>
        <w:overflowPunct/>
        <w:topLinePunct w:val="0"/>
        <w:bidi w:val="0"/>
        <w:adjustRightInd w:val="0"/>
        <w:snapToGrid w:val="0"/>
        <w:spacing w:line="400" w:lineRule="exact"/>
        <w:ind w:firstLine="480" w:firstLineChars="200"/>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 xml:space="preserve"> </w:t>
      </w:r>
      <w:r>
        <w:rPr>
          <w:rFonts w:hint="eastAsia" w:ascii="仿宋" w:hAnsi="仿宋" w:eastAsia="仿宋" w:cs="仿宋"/>
          <w:snapToGrid w:val="0"/>
          <w:color w:val="auto"/>
          <w:kern w:val="0"/>
          <w:sz w:val="24"/>
          <w:szCs w:val="24"/>
          <w:highlight w:val="none"/>
        </w:rPr>
        <w:t>2、未</w:t>
      </w:r>
      <w:r>
        <w:rPr>
          <w:rFonts w:hint="eastAsia" w:ascii="仿宋" w:hAnsi="仿宋" w:eastAsia="仿宋" w:cs="仿宋"/>
          <w:snapToGrid w:val="0"/>
          <w:color w:val="auto"/>
          <w:kern w:val="0"/>
          <w:sz w:val="24"/>
          <w:szCs w:val="24"/>
          <w:highlight w:val="none"/>
          <w:lang w:eastAsia="zh-CN"/>
        </w:rPr>
        <w:t>按</w:t>
      </w:r>
      <w:r>
        <w:rPr>
          <w:rFonts w:hint="eastAsia" w:ascii="仿宋" w:hAnsi="仿宋" w:eastAsia="仿宋" w:cs="仿宋"/>
          <w:snapToGrid w:val="0"/>
          <w:color w:val="auto"/>
          <w:kern w:val="0"/>
          <w:sz w:val="24"/>
          <w:szCs w:val="24"/>
          <w:highlight w:val="none"/>
        </w:rPr>
        <w:t>合同要求提供服务或服务质量不能满足服务要求和标准，采购人有权终止合同，并对供方违约行为进行追究，同时按《政府采购法》的有关规定进行处罚。</w:t>
      </w:r>
    </w:p>
    <w:p w14:paraId="7457BC19">
      <w:pPr>
        <w:keepNext w:val="0"/>
        <w:keepLines w:val="0"/>
        <w:pageBreakBefore w:val="0"/>
        <w:kinsoku/>
        <w:wordWrap/>
        <w:overflowPunct/>
        <w:topLinePunct w:val="0"/>
        <w:bidi w:val="0"/>
        <w:adjustRightInd w:val="0"/>
        <w:snapToGrid w:val="0"/>
        <w:spacing w:line="400" w:lineRule="exact"/>
        <w:ind w:firstLine="482" w:firstLineChars="200"/>
        <w:rPr>
          <w:rFonts w:hint="eastAsia" w:ascii="仿宋" w:hAnsi="仿宋" w:eastAsia="仿宋" w:cs="仿宋"/>
          <w:snapToGrid w:val="0"/>
          <w:color w:val="auto"/>
          <w:kern w:val="0"/>
          <w:szCs w:val="21"/>
          <w:highlight w:val="none"/>
          <w:lang w:eastAsia="zh-CN"/>
        </w:rPr>
      </w:pPr>
      <w:r>
        <w:rPr>
          <w:rFonts w:hint="eastAsia" w:ascii="仿宋" w:hAnsi="仿宋" w:eastAsia="仿宋" w:cs="仿宋"/>
          <w:b/>
          <w:bCs/>
          <w:snapToGrid w:val="0"/>
          <w:color w:val="auto"/>
          <w:kern w:val="0"/>
          <w:sz w:val="24"/>
          <w:szCs w:val="24"/>
          <w:highlight w:val="none"/>
        </w:rPr>
        <w:t>注:商务要求为实质性要求，不得负偏离</w:t>
      </w:r>
      <w:r>
        <w:rPr>
          <w:rFonts w:hint="eastAsia" w:ascii="仿宋" w:hAnsi="仿宋" w:eastAsia="仿宋" w:cs="仿宋"/>
          <w:b/>
          <w:bCs/>
          <w:snapToGrid w:val="0"/>
          <w:color w:val="auto"/>
          <w:kern w:val="0"/>
          <w:sz w:val="24"/>
          <w:szCs w:val="24"/>
          <w:highlight w:val="none"/>
          <w:lang w:eastAsia="zh-CN"/>
        </w:rPr>
        <w:t>。</w:t>
      </w:r>
    </w:p>
    <w:bookmarkEnd w:id="198"/>
    <w:p w14:paraId="3CD7A50C">
      <w:pPr>
        <w:rPr>
          <w:rFonts w:hint="eastAsia" w:ascii="仿宋" w:hAnsi="仿宋" w:eastAsia="仿宋" w:cs="仿宋"/>
          <w:b/>
          <w:color w:val="auto"/>
          <w:sz w:val="44"/>
          <w:szCs w:val="44"/>
          <w:highlight w:val="none"/>
        </w:rPr>
      </w:pPr>
      <w:bookmarkStart w:id="199" w:name="_Toc16381"/>
      <w:bookmarkStart w:id="200" w:name="_Toc21546"/>
      <w:bookmarkStart w:id="201" w:name="_Toc29359"/>
      <w:bookmarkStart w:id="202" w:name="_Toc30170"/>
      <w:bookmarkStart w:id="203" w:name="_Toc30381"/>
      <w:bookmarkStart w:id="204" w:name="_Toc16313"/>
      <w:bookmarkStart w:id="205" w:name="_Toc26777_WPSOffice_Level1"/>
      <w:r>
        <w:rPr>
          <w:rFonts w:hint="eastAsia" w:ascii="仿宋" w:hAnsi="仿宋" w:eastAsia="仿宋" w:cs="仿宋"/>
          <w:b/>
          <w:color w:val="auto"/>
          <w:sz w:val="44"/>
          <w:szCs w:val="44"/>
          <w:highlight w:val="none"/>
        </w:rPr>
        <w:br w:type="page"/>
      </w:r>
    </w:p>
    <w:p w14:paraId="7C82436B">
      <w:pPr>
        <w:widowControl/>
        <w:spacing w:after="240" w:afterLines="100" w:line="400" w:lineRule="atLeast"/>
        <w:jc w:val="center"/>
        <w:outlineLvl w:val="0"/>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第</w:t>
      </w:r>
      <w:r>
        <w:rPr>
          <w:rFonts w:hint="eastAsia" w:ascii="仿宋" w:hAnsi="仿宋" w:eastAsia="仿宋" w:cs="仿宋"/>
          <w:b/>
          <w:color w:val="auto"/>
          <w:sz w:val="44"/>
          <w:szCs w:val="44"/>
          <w:highlight w:val="none"/>
          <w:lang w:eastAsia="zh-CN"/>
        </w:rPr>
        <w:t>五</w:t>
      </w:r>
      <w:r>
        <w:rPr>
          <w:rFonts w:hint="eastAsia" w:ascii="仿宋" w:hAnsi="仿宋" w:eastAsia="仿宋" w:cs="仿宋"/>
          <w:b/>
          <w:color w:val="auto"/>
          <w:sz w:val="44"/>
          <w:szCs w:val="44"/>
          <w:highlight w:val="none"/>
        </w:rPr>
        <w:t>章  政府采购合同格式</w:t>
      </w:r>
      <w:bookmarkEnd w:id="199"/>
      <w:bookmarkEnd w:id="200"/>
      <w:bookmarkEnd w:id="201"/>
      <w:bookmarkEnd w:id="202"/>
      <w:bookmarkEnd w:id="203"/>
      <w:bookmarkEnd w:id="204"/>
      <w:bookmarkEnd w:id="205"/>
    </w:p>
    <w:p w14:paraId="288279B0">
      <w:pPr>
        <w:adjustRightInd w:val="0"/>
        <w:snapToGrid w:val="0"/>
        <w:spacing w:line="400" w:lineRule="exact"/>
        <w:jc w:val="center"/>
        <w:rPr>
          <w:rFonts w:hint="eastAsia" w:ascii="仿宋" w:hAnsi="仿宋" w:eastAsia="仿宋" w:cs="仿宋"/>
          <w:b/>
          <w:bCs/>
          <w:snapToGrid w:val="0"/>
          <w:color w:val="auto"/>
          <w:kern w:val="0"/>
          <w:szCs w:val="21"/>
          <w:lang w:eastAsia="zh-CN"/>
        </w:rPr>
      </w:pPr>
      <w:bookmarkStart w:id="206" w:name="_Toc1314_WPSOffice_Level2"/>
      <w:bookmarkStart w:id="207" w:name="_Toc267261701"/>
      <w:r>
        <w:rPr>
          <w:rFonts w:hint="eastAsia" w:ascii="仿宋" w:hAnsi="仿宋" w:eastAsia="仿宋" w:cs="仿宋"/>
          <w:b/>
          <w:bCs/>
          <w:snapToGrid w:val="0"/>
          <w:color w:val="auto"/>
          <w:kern w:val="0"/>
          <w:szCs w:val="21"/>
          <w:lang w:eastAsia="zh-CN"/>
        </w:rPr>
        <w:t>（仅供参考，甲乙双方可协商修订或另拟合同）</w:t>
      </w:r>
    </w:p>
    <w:p w14:paraId="5D6EEBFA">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一、合同格式</w:t>
      </w:r>
    </w:p>
    <w:p w14:paraId="2771796A">
      <w:pPr>
        <w:adjustRightInd w:val="0"/>
        <w:snapToGrid w:val="0"/>
        <w:spacing w:line="400" w:lineRule="exact"/>
        <w:ind w:firstLine="420" w:firstLineChars="2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勉县森林草原湿地荒漠化普查工作(项目编号：ZCBN-勉县-2025-00009)，在</w:t>
      </w:r>
      <w:r>
        <w:rPr>
          <w:rFonts w:hint="eastAsia" w:ascii="仿宋" w:hAnsi="仿宋" w:eastAsia="仿宋" w:cs="仿宋"/>
          <w:color w:val="auto"/>
          <w:szCs w:val="21"/>
          <w:highlight w:val="none"/>
          <w:lang w:eastAsia="zh-CN"/>
        </w:rPr>
        <w:t>勉县</w:t>
      </w:r>
      <w:r>
        <w:rPr>
          <w:rFonts w:hint="eastAsia" w:ascii="仿宋" w:hAnsi="仿宋" w:eastAsia="仿宋" w:cs="仿宋"/>
          <w:snapToGrid w:val="0"/>
          <w:color w:val="auto"/>
          <w:kern w:val="0"/>
          <w:szCs w:val="21"/>
          <w:lang w:val="en-US" w:eastAsia="zh-CN"/>
        </w:rPr>
        <w:t>财政局</w:t>
      </w:r>
      <w:r>
        <w:rPr>
          <w:rFonts w:hint="eastAsia" w:ascii="仿宋" w:hAnsi="仿宋" w:eastAsia="仿宋" w:cs="仿宋"/>
          <w:snapToGrid w:val="0"/>
          <w:color w:val="auto"/>
          <w:kern w:val="0"/>
          <w:szCs w:val="21"/>
          <w:lang w:eastAsia="zh-CN"/>
        </w:rPr>
        <w:t>的监督管理下，由陕西佳鸿项目管理咨询有限公司组织竞争性磋商。勉县林业局(以下简称“甲方”)确定 (中标单位名称) （以下简称“乙方”）为成交单位。</w:t>
      </w:r>
    </w:p>
    <w:p w14:paraId="3F71E530">
      <w:pPr>
        <w:adjustRightInd w:val="0"/>
        <w:snapToGrid w:val="0"/>
        <w:spacing w:line="400" w:lineRule="exact"/>
        <w:ind w:firstLine="420" w:firstLineChars="2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依据《中华人民共和国民法典》和《中华人民共和国政府采购法》《中华人民共和国政府采购法实施条例》，甲方通过竞争性磋商采购（服务名称） ，并接受了乙方以价格(中标金额大写)(以下简称“合同价”)提供的产品及服务。</w:t>
      </w:r>
    </w:p>
    <w:p w14:paraId="5CD9E55A">
      <w:pPr>
        <w:adjustRightInd w:val="0"/>
        <w:snapToGrid w:val="0"/>
        <w:spacing w:line="400" w:lineRule="exact"/>
        <w:ind w:firstLine="420" w:firstLineChars="2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本合同在此声明如下：</w:t>
      </w:r>
    </w:p>
    <w:p w14:paraId="4AA18D13">
      <w:pPr>
        <w:adjustRightInd w:val="0"/>
        <w:snapToGrid w:val="0"/>
        <w:spacing w:line="400" w:lineRule="exact"/>
        <w:ind w:firstLine="420" w:firstLineChars="2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1.本合同中的词语和术语的含义与合同条款中定义的相同。</w:t>
      </w:r>
    </w:p>
    <w:p w14:paraId="0974F977">
      <w:pPr>
        <w:adjustRightInd w:val="0"/>
        <w:snapToGrid w:val="0"/>
        <w:spacing w:line="400" w:lineRule="exact"/>
        <w:ind w:firstLine="420" w:firstLineChars="2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2.下述文件是本合同的一部分，并与本合同一起阅读和解释：</w:t>
      </w:r>
    </w:p>
    <w:p w14:paraId="312D7219">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（1）合同条款</w:t>
      </w:r>
    </w:p>
    <w:p w14:paraId="1961AF2E">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（2）合同条款附件</w:t>
      </w:r>
    </w:p>
    <w:p w14:paraId="1585A3B1">
      <w:pPr>
        <w:adjustRightInd w:val="0"/>
        <w:snapToGrid w:val="0"/>
        <w:spacing w:line="400" w:lineRule="exact"/>
        <w:ind w:firstLine="420" w:firstLineChars="2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附件1—实施方案</w:t>
      </w:r>
    </w:p>
    <w:p w14:paraId="4416B9C4">
      <w:pPr>
        <w:adjustRightInd w:val="0"/>
        <w:snapToGrid w:val="0"/>
        <w:spacing w:line="400" w:lineRule="exact"/>
        <w:ind w:firstLine="420" w:firstLineChars="2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附件2—服务承诺</w:t>
      </w:r>
    </w:p>
    <w:p w14:paraId="0D77CB10">
      <w:pPr>
        <w:adjustRightInd w:val="0"/>
        <w:snapToGrid w:val="0"/>
        <w:spacing w:line="400" w:lineRule="exact"/>
        <w:ind w:firstLine="420" w:firstLineChars="2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附件3—售后服务</w:t>
      </w:r>
    </w:p>
    <w:p w14:paraId="7E15AD76">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（3）中标通知书</w:t>
      </w:r>
    </w:p>
    <w:p w14:paraId="0C3D8B5C">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（4）招标文件</w:t>
      </w:r>
    </w:p>
    <w:p w14:paraId="6286E049">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（5）投标文件</w:t>
      </w:r>
    </w:p>
    <w:p w14:paraId="20D9651E">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3.考虑到甲方将按照本合同向乙方支付款项，乙方在此保证全部按照合同的规定向甲方提供服务，并修补缺陷。</w:t>
      </w:r>
    </w:p>
    <w:p w14:paraId="21BF5994">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4.考虑到乙方提供的货物和服务并修补缺陷，甲方在此保证按照合同规定的时间和方式向乙方支付合同价或其他按合同规定应支付的金额。</w:t>
      </w:r>
    </w:p>
    <w:p w14:paraId="05DCDDF5">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5.质量保证金</w:t>
      </w:r>
    </w:p>
    <w:p w14:paraId="6C326B39">
      <w:pPr>
        <w:adjustRightInd w:val="0"/>
        <w:snapToGrid w:val="0"/>
        <w:spacing w:line="400" w:lineRule="exact"/>
        <w:ind w:firstLine="210" w:firstLineChars="100"/>
        <w:rPr>
          <w:rFonts w:hint="eastAsia" w:ascii="仿宋" w:hAnsi="仿宋" w:eastAsia="仿宋" w:cs="仿宋"/>
          <w:snapToGrid w:val="0"/>
          <w:color w:val="auto"/>
          <w:kern w:val="0"/>
          <w:szCs w:val="21"/>
          <w:lang w:val="en-US" w:eastAsia="zh-CN"/>
        </w:rPr>
      </w:pPr>
      <w:r>
        <w:rPr>
          <w:rFonts w:hint="eastAsia" w:ascii="仿宋" w:hAnsi="仿宋" w:eastAsia="仿宋" w:cs="仿宋"/>
          <w:snapToGrid w:val="0"/>
          <w:color w:val="auto"/>
          <w:kern w:val="0"/>
          <w:szCs w:val="21"/>
          <w:lang w:val="en-US" w:eastAsia="zh-CN"/>
        </w:rPr>
        <w:t xml:space="preserve">/                </w:t>
      </w:r>
    </w:p>
    <w:p w14:paraId="46F32294">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6.付款方式：</w:t>
      </w:r>
    </w:p>
    <w:p w14:paraId="78ACCA11">
      <w:pPr>
        <w:adjustRightInd w:val="0"/>
        <w:snapToGrid w:val="0"/>
        <w:spacing w:line="400" w:lineRule="exact"/>
        <w:ind w:firstLine="210" w:firstLineChars="100"/>
        <w:rPr>
          <w:rFonts w:hint="eastAsia" w:ascii="仿宋" w:hAnsi="仿宋" w:eastAsia="仿宋" w:cs="仿宋"/>
          <w:snapToGrid w:val="0"/>
          <w:color w:val="auto"/>
          <w:kern w:val="0"/>
          <w:szCs w:val="21"/>
          <w:lang w:val="en-US" w:eastAsia="zh-CN"/>
        </w:rPr>
      </w:pPr>
      <w:r>
        <w:rPr>
          <w:rFonts w:hint="eastAsia" w:ascii="仿宋" w:hAnsi="仿宋" w:eastAsia="仿宋" w:cs="仿宋"/>
          <w:snapToGrid w:val="0"/>
          <w:color w:val="auto"/>
          <w:kern w:val="0"/>
          <w:szCs w:val="21"/>
          <w:lang w:val="en-US" w:eastAsia="zh-CN"/>
        </w:rPr>
        <w:t xml:space="preserve"> /  </w:t>
      </w:r>
    </w:p>
    <w:p w14:paraId="5B35F65E">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7.服务期：</w:t>
      </w:r>
    </w:p>
    <w:p w14:paraId="4AE4BCB3">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 xml:space="preserve"> 服务地点：                       </w:t>
      </w:r>
    </w:p>
    <w:p w14:paraId="4F3EBE2C">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8.合同一式  份，其中，甲方  份，乙方  份，政府采购代理机构壹份。</w:t>
      </w:r>
    </w:p>
    <w:p w14:paraId="2F2D3B12">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9.合同生效及其他</w:t>
      </w:r>
    </w:p>
    <w:p w14:paraId="0702AD88">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本合同由甲乙双方及鉴证方共同签字盖章，自最后一方签字盖章之日起生效。</w:t>
      </w:r>
    </w:p>
    <w:tbl>
      <w:tblPr>
        <w:tblStyle w:val="44"/>
        <w:tblpPr w:leftFromText="180" w:rightFromText="180" w:vertAnchor="text" w:horzAnchor="margin" w:tblpXSpec="center" w:tblpY="58"/>
        <w:tblOverlap w:val="never"/>
        <w:tblW w:w="0" w:type="auto"/>
        <w:jc w:val="center"/>
        <w:tblLayout w:type="fixed"/>
        <w:tblCellMar>
          <w:top w:w="0" w:type="dxa"/>
          <w:left w:w="108" w:type="dxa"/>
          <w:bottom w:w="0" w:type="dxa"/>
          <w:right w:w="108" w:type="dxa"/>
        </w:tblCellMar>
      </w:tblPr>
      <w:tblGrid>
        <w:gridCol w:w="4943"/>
        <w:gridCol w:w="4397"/>
      </w:tblGrid>
      <w:tr w14:paraId="51E3732D">
        <w:tblPrEx>
          <w:tblCellMar>
            <w:top w:w="0" w:type="dxa"/>
            <w:left w:w="108" w:type="dxa"/>
            <w:bottom w:w="0" w:type="dxa"/>
            <w:right w:w="108" w:type="dxa"/>
          </w:tblCellMar>
        </w:tblPrEx>
        <w:trPr>
          <w:trHeight w:val="4169" w:hRule="atLeast"/>
          <w:jc w:val="center"/>
        </w:trPr>
        <w:tc>
          <w:tcPr>
            <w:tcW w:w="4943" w:type="dxa"/>
            <w:noWrap w:val="0"/>
            <w:tcMar>
              <w:top w:w="113" w:type="dxa"/>
              <w:left w:w="113" w:type="dxa"/>
              <w:bottom w:w="113" w:type="dxa"/>
              <w:right w:w="113" w:type="dxa"/>
            </w:tcMar>
            <w:vAlign w:val="top"/>
          </w:tcPr>
          <w:p w14:paraId="11EF34EF">
            <w:pPr>
              <w:keepNext w:val="0"/>
              <w:keepLines w:val="0"/>
              <w:suppressLineNumbers w:val="0"/>
              <w:adjustRightInd w:val="0"/>
              <w:snapToGrid w:val="0"/>
              <w:spacing w:before="0" w:beforeAutospacing="0" w:after="0" w:afterAutospacing="0" w:line="400" w:lineRule="exact"/>
              <w:ind w:left="0" w:right="0"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 xml:space="preserve">甲方名称： </w:t>
            </w:r>
          </w:p>
          <w:p w14:paraId="53D7C1E9">
            <w:pPr>
              <w:keepNext w:val="0"/>
              <w:keepLines w:val="0"/>
              <w:suppressLineNumbers w:val="0"/>
              <w:adjustRightInd w:val="0"/>
              <w:snapToGrid w:val="0"/>
              <w:spacing w:before="0" w:beforeAutospacing="0" w:after="0" w:afterAutospacing="0" w:line="400" w:lineRule="exact"/>
              <w:ind w:left="0" w:right="0"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 xml:space="preserve">地    址： </w:t>
            </w:r>
          </w:p>
          <w:p w14:paraId="5365418D">
            <w:pPr>
              <w:keepNext w:val="0"/>
              <w:keepLines w:val="0"/>
              <w:suppressLineNumbers w:val="0"/>
              <w:adjustRightInd w:val="0"/>
              <w:snapToGrid w:val="0"/>
              <w:spacing w:before="0" w:beforeAutospacing="0" w:after="0" w:afterAutospacing="0" w:line="400" w:lineRule="exact"/>
              <w:ind w:left="0" w:right="0"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邮    编：</w:t>
            </w:r>
          </w:p>
          <w:p w14:paraId="7D101BE4">
            <w:pPr>
              <w:keepNext w:val="0"/>
              <w:keepLines w:val="0"/>
              <w:suppressLineNumbers w:val="0"/>
              <w:adjustRightInd w:val="0"/>
              <w:snapToGrid w:val="0"/>
              <w:spacing w:before="0" w:beforeAutospacing="0" w:after="0" w:afterAutospacing="0" w:line="400" w:lineRule="exact"/>
              <w:ind w:left="0" w:right="0"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电    话：</w:t>
            </w:r>
          </w:p>
          <w:p w14:paraId="04CABD08">
            <w:pPr>
              <w:keepNext w:val="0"/>
              <w:keepLines w:val="0"/>
              <w:suppressLineNumbers w:val="0"/>
              <w:adjustRightInd w:val="0"/>
              <w:snapToGrid w:val="0"/>
              <w:spacing w:before="0" w:beforeAutospacing="0" w:after="0" w:afterAutospacing="0" w:line="400" w:lineRule="exact"/>
              <w:ind w:left="0" w:right="0"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传    真：</w:t>
            </w:r>
          </w:p>
          <w:p w14:paraId="2E5B933A">
            <w:pPr>
              <w:keepNext w:val="0"/>
              <w:keepLines w:val="0"/>
              <w:suppressLineNumbers w:val="0"/>
              <w:adjustRightInd w:val="0"/>
              <w:snapToGrid w:val="0"/>
              <w:spacing w:before="0" w:beforeAutospacing="0" w:after="0" w:afterAutospacing="0" w:line="400" w:lineRule="exact"/>
              <w:ind w:left="0" w:right="0" w:firstLine="210" w:firstLineChars="100"/>
              <w:rPr>
                <w:rFonts w:hint="eastAsia" w:ascii="仿宋" w:hAnsi="仿宋" w:eastAsia="仿宋" w:cs="仿宋"/>
                <w:snapToGrid w:val="0"/>
                <w:color w:val="auto"/>
                <w:kern w:val="0"/>
                <w:szCs w:val="21"/>
                <w:lang w:eastAsia="zh-CN"/>
              </w:rPr>
            </w:pPr>
          </w:p>
          <w:p w14:paraId="561D4225">
            <w:pPr>
              <w:keepNext w:val="0"/>
              <w:keepLines w:val="0"/>
              <w:suppressLineNumbers w:val="0"/>
              <w:adjustRightInd w:val="0"/>
              <w:snapToGrid w:val="0"/>
              <w:spacing w:before="0" w:beforeAutospacing="0" w:after="0" w:afterAutospacing="0" w:line="400" w:lineRule="exact"/>
              <w:ind w:left="0" w:right="0" w:firstLine="210" w:firstLineChars="100"/>
              <w:rPr>
                <w:rFonts w:hint="eastAsia" w:ascii="仿宋" w:hAnsi="仿宋" w:eastAsia="仿宋" w:cs="仿宋"/>
                <w:snapToGrid w:val="0"/>
                <w:color w:val="auto"/>
                <w:kern w:val="0"/>
                <w:szCs w:val="21"/>
                <w:lang w:eastAsia="zh-CN"/>
              </w:rPr>
            </w:pPr>
          </w:p>
          <w:p w14:paraId="34D0FCB9">
            <w:pPr>
              <w:keepNext w:val="0"/>
              <w:keepLines w:val="0"/>
              <w:suppressLineNumbers w:val="0"/>
              <w:adjustRightInd w:val="0"/>
              <w:snapToGrid w:val="0"/>
              <w:spacing w:before="0" w:beforeAutospacing="0" w:after="0" w:afterAutospacing="0" w:line="400" w:lineRule="exact"/>
              <w:ind w:left="0" w:right="0"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代表签字：</w:t>
            </w:r>
          </w:p>
          <w:p w14:paraId="230B5BCE">
            <w:pPr>
              <w:keepNext w:val="0"/>
              <w:keepLines w:val="0"/>
              <w:suppressLineNumbers w:val="0"/>
              <w:adjustRightInd w:val="0"/>
              <w:snapToGrid w:val="0"/>
              <w:spacing w:before="0" w:beforeAutospacing="0" w:after="0" w:afterAutospacing="0" w:line="400" w:lineRule="exact"/>
              <w:ind w:left="0" w:right="0"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 xml:space="preserve">盖章：                年  月  日     </w:t>
            </w:r>
          </w:p>
        </w:tc>
        <w:tc>
          <w:tcPr>
            <w:tcW w:w="4397" w:type="dxa"/>
            <w:noWrap w:val="0"/>
            <w:tcMar>
              <w:top w:w="113" w:type="dxa"/>
              <w:left w:w="113" w:type="dxa"/>
              <w:bottom w:w="113" w:type="dxa"/>
              <w:right w:w="113" w:type="dxa"/>
            </w:tcMar>
            <w:vAlign w:val="top"/>
          </w:tcPr>
          <w:p w14:paraId="61A3C093">
            <w:pPr>
              <w:keepNext w:val="0"/>
              <w:keepLines w:val="0"/>
              <w:suppressLineNumbers w:val="0"/>
              <w:adjustRightInd w:val="0"/>
              <w:snapToGrid w:val="0"/>
              <w:spacing w:before="0" w:beforeAutospacing="0" w:after="0" w:afterAutospacing="0" w:line="400" w:lineRule="exact"/>
              <w:ind w:left="0" w:right="0"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乙方名称：</w:t>
            </w:r>
          </w:p>
          <w:p w14:paraId="496B94A1">
            <w:pPr>
              <w:keepNext w:val="0"/>
              <w:keepLines w:val="0"/>
              <w:suppressLineNumbers w:val="0"/>
              <w:adjustRightInd w:val="0"/>
              <w:snapToGrid w:val="0"/>
              <w:spacing w:before="0" w:beforeAutospacing="0" w:after="0" w:afterAutospacing="0" w:line="400" w:lineRule="exact"/>
              <w:ind w:left="0" w:right="0"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 xml:space="preserve">地    址： </w:t>
            </w:r>
          </w:p>
          <w:p w14:paraId="019C8B3F">
            <w:pPr>
              <w:keepNext w:val="0"/>
              <w:keepLines w:val="0"/>
              <w:suppressLineNumbers w:val="0"/>
              <w:adjustRightInd w:val="0"/>
              <w:snapToGrid w:val="0"/>
              <w:spacing w:before="0" w:beforeAutospacing="0" w:after="0" w:afterAutospacing="0" w:line="400" w:lineRule="exact"/>
              <w:ind w:left="0" w:right="0"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 xml:space="preserve">邮    编： </w:t>
            </w:r>
          </w:p>
          <w:p w14:paraId="03F8BAB7">
            <w:pPr>
              <w:keepNext w:val="0"/>
              <w:keepLines w:val="0"/>
              <w:suppressLineNumbers w:val="0"/>
              <w:adjustRightInd w:val="0"/>
              <w:snapToGrid w:val="0"/>
              <w:spacing w:before="0" w:beforeAutospacing="0" w:after="0" w:afterAutospacing="0" w:line="400" w:lineRule="exact"/>
              <w:ind w:left="0" w:right="0"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 xml:space="preserve">电    话： </w:t>
            </w:r>
          </w:p>
          <w:p w14:paraId="41475AFD">
            <w:pPr>
              <w:keepNext w:val="0"/>
              <w:keepLines w:val="0"/>
              <w:suppressLineNumbers w:val="0"/>
              <w:adjustRightInd w:val="0"/>
              <w:snapToGrid w:val="0"/>
              <w:spacing w:before="0" w:beforeAutospacing="0" w:after="0" w:afterAutospacing="0" w:line="400" w:lineRule="exact"/>
              <w:ind w:left="0" w:right="0"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 xml:space="preserve">传    真：  </w:t>
            </w:r>
          </w:p>
          <w:p w14:paraId="3E655A3A">
            <w:pPr>
              <w:keepNext w:val="0"/>
              <w:keepLines w:val="0"/>
              <w:suppressLineNumbers w:val="0"/>
              <w:adjustRightInd w:val="0"/>
              <w:snapToGrid w:val="0"/>
              <w:spacing w:before="0" w:beforeAutospacing="0" w:after="0" w:afterAutospacing="0" w:line="400" w:lineRule="exact"/>
              <w:ind w:left="0" w:right="0"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开户银行：</w:t>
            </w:r>
          </w:p>
          <w:p w14:paraId="03B2BA7A">
            <w:pPr>
              <w:keepNext w:val="0"/>
              <w:keepLines w:val="0"/>
              <w:suppressLineNumbers w:val="0"/>
              <w:adjustRightInd w:val="0"/>
              <w:snapToGrid w:val="0"/>
              <w:spacing w:before="0" w:beforeAutospacing="0" w:after="0" w:afterAutospacing="0" w:line="400" w:lineRule="exact"/>
              <w:ind w:left="0" w:right="0"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帐    号：</w:t>
            </w:r>
          </w:p>
          <w:p w14:paraId="0756125D">
            <w:pPr>
              <w:keepNext w:val="0"/>
              <w:keepLines w:val="0"/>
              <w:suppressLineNumbers w:val="0"/>
              <w:adjustRightInd w:val="0"/>
              <w:snapToGrid w:val="0"/>
              <w:spacing w:before="0" w:beforeAutospacing="0" w:after="0" w:afterAutospacing="0" w:line="400" w:lineRule="exact"/>
              <w:ind w:left="0" w:right="0"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代表签字</w:t>
            </w:r>
          </w:p>
          <w:p w14:paraId="749C0F57">
            <w:pPr>
              <w:keepNext w:val="0"/>
              <w:keepLines w:val="0"/>
              <w:suppressLineNumbers w:val="0"/>
              <w:adjustRightInd w:val="0"/>
              <w:snapToGrid w:val="0"/>
              <w:spacing w:before="0" w:beforeAutospacing="0" w:after="0" w:afterAutospacing="0" w:line="400" w:lineRule="exact"/>
              <w:ind w:left="0" w:right="0"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盖章：             年  月  日</w:t>
            </w:r>
          </w:p>
        </w:tc>
      </w:tr>
    </w:tbl>
    <w:p w14:paraId="18CD58E7">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p>
    <w:p w14:paraId="08DEB694">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p>
    <w:p w14:paraId="22D34563">
      <w:pPr>
        <w:adjustRightInd w:val="0"/>
        <w:snapToGrid w:val="0"/>
        <w:spacing w:line="400" w:lineRule="exact"/>
        <w:rPr>
          <w:rFonts w:hint="eastAsia" w:ascii="仿宋" w:hAnsi="仿宋" w:eastAsia="仿宋" w:cs="仿宋"/>
          <w:snapToGrid w:val="0"/>
          <w:color w:val="auto"/>
          <w:kern w:val="0"/>
          <w:szCs w:val="21"/>
          <w:lang w:eastAsia="zh-CN"/>
        </w:rPr>
      </w:pPr>
    </w:p>
    <w:p w14:paraId="7B8A2921">
      <w:pPr>
        <w:pStyle w:val="58"/>
        <w:rPr>
          <w:rFonts w:hint="eastAsia" w:ascii="仿宋" w:hAnsi="仿宋" w:eastAsia="仿宋" w:cs="仿宋"/>
          <w:snapToGrid w:val="0"/>
          <w:color w:val="auto"/>
          <w:kern w:val="0"/>
          <w:szCs w:val="21"/>
          <w:lang w:eastAsia="zh-CN"/>
        </w:rPr>
      </w:pPr>
    </w:p>
    <w:p w14:paraId="0E819B41">
      <w:pPr>
        <w:pStyle w:val="58"/>
        <w:rPr>
          <w:rFonts w:hint="eastAsia" w:ascii="仿宋" w:hAnsi="仿宋" w:eastAsia="仿宋" w:cs="仿宋"/>
          <w:snapToGrid w:val="0"/>
          <w:color w:val="auto"/>
          <w:kern w:val="0"/>
          <w:szCs w:val="21"/>
          <w:lang w:eastAsia="zh-CN"/>
        </w:rPr>
      </w:pPr>
    </w:p>
    <w:p w14:paraId="7B1DA196">
      <w:pPr>
        <w:pStyle w:val="58"/>
        <w:rPr>
          <w:rFonts w:hint="eastAsia" w:ascii="仿宋" w:hAnsi="仿宋" w:eastAsia="仿宋" w:cs="仿宋"/>
          <w:snapToGrid w:val="0"/>
          <w:color w:val="auto"/>
          <w:kern w:val="0"/>
          <w:szCs w:val="21"/>
          <w:lang w:eastAsia="zh-CN"/>
        </w:rPr>
      </w:pPr>
    </w:p>
    <w:p w14:paraId="23952CB6">
      <w:pPr>
        <w:pStyle w:val="58"/>
        <w:rPr>
          <w:rFonts w:hint="eastAsia" w:ascii="仿宋" w:hAnsi="仿宋" w:eastAsia="仿宋" w:cs="仿宋"/>
          <w:snapToGrid w:val="0"/>
          <w:color w:val="auto"/>
          <w:kern w:val="0"/>
          <w:szCs w:val="21"/>
          <w:lang w:eastAsia="zh-CN"/>
        </w:rPr>
      </w:pPr>
    </w:p>
    <w:p w14:paraId="2CEB8FB0">
      <w:pPr>
        <w:pStyle w:val="58"/>
        <w:rPr>
          <w:rFonts w:hint="eastAsia" w:ascii="仿宋" w:hAnsi="仿宋" w:eastAsia="仿宋" w:cs="仿宋"/>
          <w:snapToGrid w:val="0"/>
          <w:color w:val="auto"/>
          <w:kern w:val="0"/>
          <w:szCs w:val="21"/>
          <w:lang w:eastAsia="zh-CN"/>
        </w:rPr>
      </w:pPr>
    </w:p>
    <w:p w14:paraId="59954149">
      <w:pPr>
        <w:pStyle w:val="58"/>
        <w:rPr>
          <w:rFonts w:hint="eastAsia" w:ascii="仿宋" w:hAnsi="仿宋" w:eastAsia="仿宋" w:cs="仿宋"/>
          <w:snapToGrid w:val="0"/>
          <w:color w:val="auto"/>
          <w:kern w:val="0"/>
          <w:szCs w:val="21"/>
          <w:lang w:eastAsia="zh-CN"/>
        </w:rPr>
      </w:pPr>
    </w:p>
    <w:p w14:paraId="5F5C1118">
      <w:pPr>
        <w:pStyle w:val="58"/>
        <w:rPr>
          <w:rFonts w:hint="eastAsia" w:ascii="仿宋" w:hAnsi="仿宋" w:eastAsia="仿宋" w:cs="仿宋"/>
          <w:snapToGrid w:val="0"/>
          <w:color w:val="auto"/>
          <w:kern w:val="0"/>
          <w:szCs w:val="21"/>
          <w:lang w:eastAsia="zh-CN"/>
        </w:rPr>
      </w:pPr>
    </w:p>
    <w:p w14:paraId="270E27B9">
      <w:pPr>
        <w:pStyle w:val="58"/>
        <w:rPr>
          <w:rFonts w:hint="eastAsia" w:ascii="仿宋" w:hAnsi="仿宋" w:eastAsia="仿宋" w:cs="仿宋"/>
          <w:snapToGrid w:val="0"/>
          <w:color w:val="auto"/>
          <w:kern w:val="0"/>
          <w:szCs w:val="21"/>
          <w:lang w:eastAsia="zh-CN"/>
        </w:rPr>
      </w:pPr>
    </w:p>
    <w:p w14:paraId="486D661E">
      <w:pPr>
        <w:pStyle w:val="58"/>
        <w:rPr>
          <w:rFonts w:hint="eastAsia" w:ascii="仿宋" w:hAnsi="仿宋" w:eastAsia="仿宋" w:cs="仿宋"/>
          <w:snapToGrid w:val="0"/>
          <w:color w:val="auto"/>
          <w:kern w:val="0"/>
          <w:szCs w:val="21"/>
          <w:lang w:eastAsia="zh-CN"/>
        </w:rPr>
      </w:pPr>
    </w:p>
    <w:p w14:paraId="2C950F82">
      <w:pPr>
        <w:pStyle w:val="58"/>
        <w:rPr>
          <w:rFonts w:hint="eastAsia" w:ascii="仿宋" w:hAnsi="仿宋" w:eastAsia="仿宋" w:cs="仿宋"/>
          <w:snapToGrid w:val="0"/>
          <w:color w:val="auto"/>
          <w:kern w:val="0"/>
          <w:szCs w:val="21"/>
          <w:lang w:eastAsia="zh-CN"/>
        </w:rPr>
      </w:pPr>
    </w:p>
    <w:p w14:paraId="1B5361AB">
      <w:pPr>
        <w:pStyle w:val="58"/>
        <w:rPr>
          <w:rFonts w:hint="eastAsia" w:ascii="仿宋" w:hAnsi="仿宋" w:eastAsia="仿宋" w:cs="仿宋"/>
          <w:snapToGrid w:val="0"/>
          <w:color w:val="auto"/>
          <w:kern w:val="0"/>
          <w:szCs w:val="21"/>
          <w:lang w:eastAsia="zh-CN"/>
        </w:rPr>
      </w:pPr>
    </w:p>
    <w:p w14:paraId="245C7809">
      <w:pPr>
        <w:pStyle w:val="58"/>
        <w:rPr>
          <w:rFonts w:hint="eastAsia" w:ascii="仿宋" w:hAnsi="仿宋" w:eastAsia="仿宋" w:cs="仿宋"/>
          <w:snapToGrid w:val="0"/>
          <w:color w:val="auto"/>
          <w:kern w:val="0"/>
          <w:szCs w:val="21"/>
          <w:lang w:eastAsia="zh-CN"/>
        </w:rPr>
      </w:pPr>
    </w:p>
    <w:p w14:paraId="2594E7F8">
      <w:pPr>
        <w:pStyle w:val="58"/>
        <w:rPr>
          <w:rFonts w:hint="eastAsia" w:ascii="仿宋" w:hAnsi="仿宋" w:eastAsia="仿宋" w:cs="仿宋"/>
          <w:snapToGrid w:val="0"/>
          <w:color w:val="auto"/>
          <w:kern w:val="0"/>
          <w:szCs w:val="21"/>
          <w:lang w:eastAsia="zh-CN"/>
        </w:rPr>
      </w:pPr>
    </w:p>
    <w:p w14:paraId="68B21E31">
      <w:pPr>
        <w:pStyle w:val="58"/>
        <w:rPr>
          <w:rFonts w:hint="eastAsia" w:ascii="仿宋" w:hAnsi="仿宋" w:eastAsia="仿宋" w:cs="仿宋"/>
          <w:snapToGrid w:val="0"/>
          <w:color w:val="auto"/>
          <w:kern w:val="0"/>
          <w:szCs w:val="21"/>
          <w:lang w:eastAsia="zh-CN"/>
        </w:rPr>
      </w:pPr>
    </w:p>
    <w:p w14:paraId="671F8160">
      <w:pPr>
        <w:pStyle w:val="58"/>
        <w:rPr>
          <w:rFonts w:hint="eastAsia" w:ascii="仿宋" w:hAnsi="仿宋" w:eastAsia="仿宋" w:cs="仿宋"/>
          <w:snapToGrid w:val="0"/>
          <w:color w:val="auto"/>
          <w:kern w:val="0"/>
          <w:szCs w:val="21"/>
          <w:lang w:eastAsia="zh-CN"/>
        </w:rPr>
      </w:pPr>
    </w:p>
    <w:p w14:paraId="7E303BB2">
      <w:pPr>
        <w:pStyle w:val="58"/>
        <w:rPr>
          <w:rFonts w:hint="eastAsia" w:ascii="仿宋" w:hAnsi="仿宋" w:eastAsia="仿宋" w:cs="仿宋"/>
          <w:snapToGrid w:val="0"/>
          <w:color w:val="auto"/>
          <w:kern w:val="0"/>
          <w:szCs w:val="21"/>
          <w:lang w:eastAsia="zh-CN"/>
        </w:rPr>
      </w:pPr>
    </w:p>
    <w:p w14:paraId="0F7B81FB">
      <w:pPr>
        <w:pStyle w:val="58"/>
        <w:rPr>
          <w:rFonts w:hint="eastAsia" w:ascii="仿宋" w:hAnsi="仿宋" w:eastAsia="仿宋" w:cs="仿宋"/>
          <w:snapToGrid w:val="0"/>
          <w:color w:val="auto"/>
          <w:kern w:val="0"/>
          <w:szCs w:val="21"/>
          <w:lang w:eastAsia="zh-CN"/>
        </w:rPr>
      </w:pPr>
    </w:p>
    <w:p w14:paraId="66B40545">
      <w:pPr>
        <w:pStyle w:val="58"/>
        <w:rPr>
          <w:rFonts w:hint="eastAsia" w:ascii="仿宋" w:hAnsi="仿宋" w:eastAsia="仿宋" w:cs="仿宋"/>
          <w:snapToGrid w:val="0"/>
          <w:color w:val="auto"/>
          <w:kern w:val="0"/>
          <w:szCs w:val="21"/>
          <w:lang w:eastAsia="zh-CN"/>
        </w:rPr>
      </w:pPr>
    </w:p>
    <w:p w14:paraId="6788C380">
      <w:pPr>
        <w:pStyle w:val="58"/>
        <w:rPr>
          <w:rFonts w:hint="eastAsia" w:ascii="仿宋" w:hAnsi="仿宋" w:eastAsia="仿宋" w:cs="仿宋"/>
          <w:snapToGrid w:val="0"/>
          <w:color w:val="auto"/>
          <w:kern w:val="0"/>
          <w:szCs w:val="21"/>
          <w:lang w:eastAsia="zh-CN"/>
        </w:rPr>
      </w:pPr>
    </w:p>
    <w:p w14:paraId="7CE87EEE">
      <w:pPr>
        <w:pStyle w:val="58"/>
        <w:rPr>
          <w:rFonts w:hint="eastAsia" w:ascii="仿宋" w:hAnsi="仿宋" w:eastAsia="仿宋" w:cs="仿宋"/>
          <w:snapToGrid w:val="0"/>
          <w:color w:val="auto"/>
          <w:kern w:val="0"/>
          <w:szCs w:val="21"/>
          <w:lang w:eastAsia="zh-CN"/>
        </w:rPr>
      </w:pPr>
    </w:p>
    <w:p w14:paraId="2B0A8535">
      <w:pPr>
        <w:pStyle w:val="58"/>
        <w:rPr>
          <w:rFonts w:hint="eastAsia" w:ascii="仿宋" w:hAnsi="仿宋" w:eastAsia="仿宋" w:cs="仿宋"/>
          <w:snapToGrid w:val="0"/>
          <w:color w:val="auto"/>
          <w:kern w:val="0"/>
          <w:szCs w:val="21"/>
          <w:lang w:eastAsia="zh-CN"/>
        </w:rPr>
      </w:pPr>
    </w:p>
    <w:p w14:paraId="6A7283DE">
      <w:pPr>
        <w:pStyle w:val="58"/>
        <w:rPr>
          <w:rFonts w:hint="eastAsia" w:ascii="仿宋" w:hAnsi="仿宋" w:eastAsia="仿宋" w:cs="仿宋"/>
          <w:snapToGrid w:val="0"/>
          <w:color w:val="auto"/>
          <w:kern w:val="0"/>
          <w:szCs w:val="21"/>
          <w:lang w:eastAsia="zh-CN"/>
        </w:rPr>
      </w:pPr>
    </w:p>
    <w:p w14:paraId="09FC92B2">
      <w:pPr>
        <w:pStyle w:val="58"/>
        <w:rPr>
          <w:rFonts w:hint="eastAsia" w:ascii="仿宋" w:hAnsi="仿宋" w:eastAsia="仿宋" w:cs="仿宋"/>
          <w:snapToGrid w:val="0"/>
          <w:color w:val="auto"/>
          <w:kern w:val="0"/>
          <w:szCs w:val="21"/>
          <w:lang w:eastAsia="zh-CN"/>
        </w:rPr>
      </w:pPr>
    </w:p>
    <w:p w14:paraId="63E1697C">
      <w:pPr>
        <w:pStyle w:val="58"/>
        <w:rPr>
          <w:rFonts w:hint="eastAsia" w:ascii="仿宋" w:hAnsi="仿宋" w:eastAsia="仿宋" w:cs="仿宋"/>
          <w:snapToGrid w:val="0"/>
          <w:color w:val="auto"/>
          <w:kern w:val="0"/>
          <w:szCs w:val="21"/>
          <w:lang w:eastAsia="zh-CN"/>
        </w:rPr>
      </w:pPr>
    </w:p>
    <w:p w14:paraId="5AC8BC1D">
      <w:pPr>
        <w:pStyle w:val="58"/>
        <w:rPr>
          <w:rFonts w:hint="eastAsia" w:ascii="仿宋" w:hAnsi="仿宋" w:eastAsia="仿宋" w:cs="仿宋"/>
          <w:snapToGrid w:val="0"/>
          <w:color w:val="auto"/>
          <w:kern w:val="0"/>
          <w:szCs w:val="21"/>
          <w:lang w:eastAsia="zh-CN"/>
        </w:rPr>
      </w:pPr>
    </w:p>
    <w:p w14:paraId="1928AF75">
      <w:pPr>
        <w:pStyle w:val="58"/>
        <w:rPr>
          <w:rFonts w:hint="eastAsia" w:ascii="仿宋" w:hAnsi="仿宋" w:eastAsia="仿宋" w:cs="仿宋"/>
          <w:snapToGrid w:val="0"/>
          <w:color w:val="auto"/>
          <w:kern w:val="0"/>
          <w:szCs w:val="21"/>
          <w:lang w:eastAsia="zh-CN"/>
        </w:rPr>
      </w:pPr>
    </w:p>
    <w:p w14:paraId="0CDBE3E6">
      <w:pPr>
        <w:pStyle w:val="58"/>
        <w:rPr>
          <w:rFonts w:hint="eastAsia" w:ascii="仿宋" w:hAnsi="仿宋" w:eastAsia="仿宋" w:cs="仿宋"/>
          <w:snapToGrid w:val="0"/>
          <w:color w:val="auto"/>
          <w:kern w:val="0"/>
          <w:szCs w:val="21"/>
          <w:lang w:eastAsia="zh-CN"/>
        </w:rPr>
      </w:pPr>
    </w:p>
    <w:p w14:paraId="12037635">
      <w:pPr>
        <w:pStyle w:val="58"/>
        <w:rPr>
          <w:rFonts w:hint="eastAsia" w:ascii="仿宋" w:hAnsi="仿宋" w:eastAsia="仿宋" w:cs="仿宋"/>
          <w:snapToGrid w:val="0"/>
          <w:color w:val="auto"/>
          <w:kern w:val="0"/>
          <w:szCs w:val="21"/>
          <w:lang w:eastAsia="zh-CN"/>
        </w:rPr>
      </w:pPr>
    </w:p>
    <w:p w14:paraId="559E50B7">
      <w:pPr>
        <w:pStyle w:val="58"/>
        <w:rPr>
          <w:rFonts w:hint="eastAsia" w:ascii="仿宋" w:hAnsi="仿宋" w:eastAsia="仿宋" w:cs="仿宋"/>
          <w:snapToGrid w:val="0"/>
          <w:color w:val="auto"/>
          <w:kern w:val="0"/>
          <w:szCs w:val="21"/>
          <w:lang w:eastAsia="zh-CN"/>
        </w:rPr>
      </w:pPr>
    </w:p>
    <w:p w14:paraId="1218A267">
      <w:pPr>
        <w:pStyle w:val="58"/>
        <w:rPr>
          <w:rFonts w:hint="eastAsia" w:ascii="仿宋" w:hAnsi="仿宋" w:eastAsia="仿宋" w:cs="仿宋"/>
          <w:snapToGrid w:val="0"/>
          <w:color w:val="auto"/>
          <w:kern w:val="0"/>
          <w:szCs w:val="21"/>
          <w:lang w:eastAsia="zh-CN"/>
        </w:rPr>
      </w:pPr>
    </w:p>
    <w:p w14:paraId="7F45E159">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二、合同条款</w:t>
      </w:r>
    </w:p>
    <w:p w14:paraId="54D6166B">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 xml:space="preserve">第一条 本着平等互惠、互相支持、共同发展的原则，就甲方针对本项目的事宜， 经甲乙双方友好协商，共同签署本合同，以资共同遵守。 </w:t>
      </w:r>
    </w:p>
    <w:p w14:paraId="43CC8E07">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 xml:space="preserve">第二条 服务定义：根据甲方需要，乙方为甲方提供该项目的服务等业务。 </w:t>
      </w:r>
    </w:p>
    <w:p w14:paraId="306C6CA5">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 xml:space="preserve">第三条 乙方服务人员：是指乙方派出的符合本合同资格条件的、在甲方从事本合同规定的服务项目范围以内工作的人员。乙方有义务在本合同有效期内维持其与服务人员合法的劳动合同关系，不得因与服务人员间就劳动法律关系或在其他方面的任何争议或瑕疵影响其履行在本合同项下的义务。 </w:t>
      </w:r>
    </w:p>
    <w:p w14:paraId="102756E0">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第四条 甲方的权利</w:t>
      </w:r>
    </w:p>
    <w:p w14:paraId="0C8A78A7">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1.甲方有权享有乙方按照上述约定提供的服务。</w:t>
      </w:r>
    </w:p>
    <w:p w14:paraId="69C3F548">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2.甲方有权要求乙方提供符合本项目服务要求的人员，且提供的服务质量达到前述约定标准。如乙方违反协议约定，未达到服务质量要求的，甲方有权要求乙方限期改正，逾期未改正的或改正后仍给甲方造成损失的，乙方应承担相应的法律责任；</w:t>
      </w:r>
    </w:p>
    <w:p w14:paraId="24912867">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 xml:space="preserve">3.甲方有权根据服务要求和标准考评乙方服务质量，如乙方提供的服务考评不合格或不符合约定的，甲方有权按照一定比例减少支付服务费用，具体减付比例结合乙方提供服务未达到约定的范围、严重程度、给甲方造成的损失情况等确定。          </w:t>
      </w:r>
    </w:p>
    <w:p w14:paraId="6D497945">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4.本合同约定的服务费用外，乙方不得向甲方及其甲方人员收取其他任何费用，如甲方发现乙方有此类行为，甲方有权要求乙方清退所收费用，退还利息并支付违约金；</w:t>
      </w:r>
    </w:p>
    <w:p w14:paraId="6BBFDCA7">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5.乙方制作成果的所有权、使用权和著作权归属的约定：归甲方所有。乙方不得以任何借口留存，否则承担由此产生的一切法律和经济责任。未经甲方允许，任何单位和个人不得转让和使用本项目的制作成果。</w:t>
      </w:r>
    </w:p>
    <w:p w14:paraId="567E5209">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第五条 甲方的义务</w:t>
      </w:r>
    </w:p>
    <w:p w14:paraId="7BA54426">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 xml:space="preserve">1.服务实施过程中，甲方应为乙方提供必要的工作便利与指导，配合乙方履行职责。 </w:t>
      </w:r>
    </w:p>
    <w:p w14:paraId="7253F0EF">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2.甲方不得将本合同的内容向甲乙双方以外的、与签订和履行本合同无关的任何第三方透露，不得泄露乙方的商业秘密（包括本合同及其附件和合同签订前的各项方案） 。</w:t>
      </w:r>
    </w:p>
    <w:p w14:paraId="145BF487">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shd w:val="clear" w:color="auto" w:fill="auto"/>
          <w:lang w:eastAsia="zh-CN"/>
        </w:rPr>
        <w:t>第六条 任何一方违反或擅自变更本合同的约定，</w:t>
      </w:r>
      <w:r>
        <w:rPr>
          <w:rFonts w:hint="eastAsia" w:ascii="仿宋" w:hAnsi="仿宋" w:eastAsia="仿宋" w:cs="仿宋"/>
          <w:snapToGrid w:val="0"/>
          <w:color w:val="auto"/>
          <w:kern w:val="0"/>
          <w:szCs w:val="21"/>
          <w:lang w:eastAsia="zh-CN"/>
        </w:rPr>
        <w:t>应当承担由此给对方造成的经济损失和相关责任。</w:t>
      </w:r>
    </w:p>
    <w:p w14:paraId="248D3DB2">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第七条甲方违约责任</w:t>
      </w:r>
    </w:p>
    <w:p w14:paraId="64537771">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1.于甲方的原因或因不可抗力的自然因素影响，则服务周期顺延。</w:t>
      </w:r>
    </w:p>
    <w:p w14:paraId="542FE4E0">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2.于乙方提供的服务等资料以及属于乙方的制作成果，甲方有义务保密，不得向第三方提供或用于本合同以外的项目，否则乙方有权要求甲方按本合同项目款总额的</w:t>
      </w:r>
      <w:r>
        <w:rPr>
          <w:rFonts w:hint="eastAsia" w:ascii="仿宋" w:hAnsi="仿宋" w:eastAsia="仿宋" w:cs="仿宋"/>
          <w:snapToGrid w:val="0"/>
          <w:color w:val="auto"/>
          <w:kern w:val="0"/>
          <w:szCs w:val="21"/>
          <w:lang w:val="en-US" w:eastAsia="zh-CN"/>
        </w:rPr>
        <w:t xml:space="preserve">   </w:t>
      </w:r>
      <w:r>
        <w:rPr>
          <w:rFonts w:hint="eastAsia" w:ascii="仿宋" w:hAnsi="仿宋" w:eastAsia="仿宋" w:cs="仿宋"/>
          <w:snapToGrid w:val="0"/>
          <w:color w:val="auto"/>
          <w:kern w:val="0"/>
          <w:szCs w:val="21"/>
          <w:lang w:eastAsia="zh-CN"/>
        </w:rPr>
        <w:t xml:space="preserve">%赔偿损失。 </w:t>
      </w:r>
    </w:p>
    <w:p w14:paraId="3FFC2379">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第八条乙方违约责任</w:t>
      </w:r>
    </w:p>
    <w:p w14:paraId="5AE6DC88">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1.同签订后，如乙方擅自中途停止或解除合同，乙方应向甲方双倍返还定金。没有约定定金的，乙方向甲方赔偿制作服务价款的。</w:t>
      </w:r>
    </w:p>
    <w:p w14:paraId="28A50C98">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2.甲方提供了必要的工作、生活条件，并且保证了项目款按时到位，乙方未能按合同规定的日期提交制作成果时，应向甲方赔偿拖期损失费，每天的拖期损失费按合同约定的项目总造价款的</w:t>
      </w:r>
      <w:r>
        <w:rPr>
          <w:rFonts w:hint="eastAsia" w:ascii="仿宋" w:hAnsi="仿宋" w:eastAsia="仿宋" w:cs="仿宋"/>
          <w:snapToGrid w:val="0"/>
          <w:color w:val="auto"/>
          <w:kern w:val="0"/>
          <w:szCs w:val="21"/>
          <w:u w:val="single"/>
          <w:lang w:val="en-US" w:eastAsia="zh-CN"/>
        </w:rPr>
        <w:t xml:space="preserve">       </w:t>
      </w:r>
      <w:r>
        <w:rPr>
          <w:rFonts w:hint="eastAsia" w:ascii="仿宋" w:hAnsi="仿宋" w:eastAsia="仿宋" w:cs="仿宋"/>
          <w:snapToGrid w:val="0"/>
          <w:color w:val="auto"/>
          <w:kern w:val="0"/>
          <w:szCs w:val="21"/>
          <w:u w:val="none"/>
          <w:lang w:val="en-US" w:eastAsia="zh-CN"/>
        </w:rPr>
        <w:t>进行赔偿</w:t>
      </w:r>
      <w:r>
        <w:rPr>
          <w:rFonts w:hint="eastAsia" w:ascii="仿宋" w:hAnsi="仿宋" w:eastAsia="仿宋" w:cs="仿宋"/>
          <w:snapToGrid w:val="0"/>
          <w:color w:val="auto"/>
          <w:kern w:val="0"/>
          <w:szCs w:val="21"/>
          <w:lang w:val="en-US" w:eastAsia="zh-CN"/>
        </w:rPr>
        <w:t xml:space="preserve"> </w:t>
      </w:r>
      <w:r>
        <w:rPr>
          <w:rFonts w:hint="eastAsia" w:ascii="仿宋" w:hAnsi="仿宋" w:eastAsia="仿宋" w:cs="仿宋"/>
          <w:snapToGrid w:val="0"/>
          <w:color w:val="auto"/>
          <w:kern w:val="0"/>
          <w:szCs w:val="21"/>
          <w:lang w:eastAsia="zh-CN"/>
        </w:rPr>
        <w:t>。</w:t>
      </w:r>
    </w:p>
    <w:p w14:paraId="75530B10">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 xml:space="preserve">3.天气、交通、政府行为、甲方提供的资料不准确等客观原因造成的制作周期拖期，乙方不承担赔偿责任。 </w:t>
      </w:r>
    </w:p>
    <w:p w14:paraId="0387135E">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4.服务实施过程中，乙方未按投标书约定配备技术人员或乙方派驻技术力量无法胜任项目实施要求的，甲方有权提出增加人员和充实技术力量，乙方应立即安排实施，其费用被认为已含在合同价格之中。如乙方拒绝增加人员或充实技术力量，甲方有权利解除合同，乙方应承担由此给甲方造成的经济损失。</w:t>
      </w:r>
    </w:p>
    <w:p w14:paraId="00CED1BC">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5.乙方有责任按甲方要求分期提交项目阶段性成果。如乙方未能按规定的制作周期交付成果，每延误一天，应付逾期违约金人民币（但由于受天气等不可抗力的自然因素影响，则工期顺延），逾期</w:t>
      </w:r>
      <w:r>
        <w:rPr>
          <w:rFonts w:hint="eastAsia" w:ascii="仿宋" w:hAnsi="仿宋" w:eastAsia="仿宋" w:cs="仿宋"/>
          <w:snapToGrid w:val="0"/>
          <w:color w:val="auto"/>
          <w:kern w:val="0"/>
          <w:szCs w:val="21"/>
          <w:lang w:val="en-US" w:eastAsia="zh-CN"/>
        </w:rPr>
        <w:t xml:space="preserve">    </w:t>
      </w:r>
      <w:r>
        <w:rPr>
          <w:rFonts w:hint="eastAsia" w:ascii="仿宋" w:hAnsi="仿宋" w:eastAsia="仿宋" w:cs="仿宋"/>
          <w:snapToGrid w:val="0"/>
          <w:color w:val="auto"/>
          <w:kern w:val="0"/>
          <w:szCs w:val="21"/>
          <w:lang w:eastAsia="zh-CN"/>
        </w:rPr>
        <w:t>天以上的，甲方除有权终止履行合同外，乙方应承担因延期造成的损失。同时，甲方有权根据乙方所承担服务的质量和进度是否符合要求而对服务的内容进行调整。</w:t>
      </w:r>
    </w:p>
    <w:p w14:paraId="63E38ADC">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 xml:space="preserve">6.乙方提供的制作服务成果质量不合格的，乙方应负责无偿予以采取补救措施，以达到质量要求。因制作服务成果最终不符合合同要求（而又非甲方提供的资料原因所致）造成后果时，乙方应对因此造成的直接损失负赔偿责任，并承担相应的法律责任。返工周期为          ，并向甲方提供制作成果。由于返工造成逾期交付成果的，按延误服务周期偿付逾期违约金。若返工后还无法通过验收，甲方有权单方解除合同，并追回所付项目款。 </w:t>
      </w:r>
    </w:p>
    <w:p w14:paraId="0669CF56">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7.合同期内和合同终止后，乙方应负责所有成果、资料的保密，非经甲方书面认可，不得向任何人以任何方式提供任何资料。严格按甲方要求程序传递各种资料，否则甲方有权单方解除合同，并追回所付项目款。乙方提交成果后十日内，退回全部原始资料。否则，甲方有权要求乙方按本合同项目款总额的20%赔偿损失，并追究其法律责任。</w:t>
      </w:r>
    </w:p>
    <w:p w14:paraId="19681881">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8.乙方不得将本项目的任何部分转包或分包给其他任何单位和个人。若擅自转包或分包本合同标的，甲方有权解除合同，并可要求乙方偿付预算费用</w:t>
      </w:r>
      <w:r>
        <w:rPr>
          <w:rFonts w:hint="eastAsia" w:ascii="仿宋" w:hAnsi="仿宋" w:eastAsia="仿宋" w:cs="仿宋"/>
          <w:snapToGrid w:val="0"/>
          <w:color w:val="auto"/>
          <w:kern w:val="0"/>
          <w:szCs w:val="21"/>
          <w:lang w:val="en-US" w:eastAsia="zh-CN"/>
        </w:rPr>
        <w:t xml:space="preserve">  </w:t>
      </w:r>
      <w:r>
        <w:rPr>
          <w:rFonts w:hint="eastAsia" w:ascii="仿宋" w:hAnsi="仿宋" w:eastAsia="仿宋" w:cs="仿宋"/>
          <w:snapToGrid w:val="0"/>
          <w:color w:val="auto"/>
          <w:kern w:val="0"/>
          <w:szCs w:val="21"/>
          <w:lang w:eastAsia="zh-CN"/>
        </w:rPr>
        <w:t xml:space="preserve">%的违约金，同时追究其法律责任。 </w:t>
      </w:r>
    </w:p>
    <w:p w14:paraId="1A2CA104">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第九条 甲乙任何一方按照本合同规定索取违约金或赔偿金时，应书面通知违约方并说明违约金或赔偿金额；违约方应在收到对方发出的书面索赔通知的十个工作日内按索赔要求支付违约金或经济赔偿；如违约方对违约金或赔偿金额有异议，应在收到通知后七个工作日内通知对方，双方应在收到对方的通知或答复后尽快协商明确违约责任。</w:t>
      </w:r>
    </w:p>
    <w:p w14:paraId="16E30888">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 xml:space="preserve">第十条 因执行本合同发生的一切争议，双方应首先友好协商解决。经协商不能解决，应向甲方所在地人民法院提起诉讼。在诉讼期间，除必须在诉讼过程中进行解决的问题外，合同其余部分应继续履行。 </w:t>
      </w:r>
    </w:p>
    <w:p w14:paraId="0BCE10EB">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 xml:space="preserve">第十一条 甲、乙双方有一方有正当理由要求变更本合同，须提前一个月以书面形式通知对方并协商解决，双方应签署变更合同。 </w:t>
      </w:r>
    </w:p>
    <w:p w14:paraId="626E0076">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 xml:space="preserve">第十二条 本合同期满双方不再续约或者因一方违约导致本合同无法履行，则本合同终止。但合同的终止不得损害第三方的利益，双方应为此做出合理安排。 </w:t>
      </w:r>
    </w:p>
    <w:p w14:paraId="3902FDFC">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第十三条 未经对方同意，甲乙任何一方不得将本合同部分或全部权利和义务转让给第三方。</w:t>
      </w:r>
    </w:p>
    <w:p w14:paraId="53928F96">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第十四条 本合同中涉及的所有“通知”、“同意”、“确认” 等事项均应以书面形式做出，并作为依据。</w:t>
      </w:r>
    </w:p>
    <w:p w14:paraId="119A2B42">
      <w:pPr>
        <w:adjustRightInd w:val="0"/>
        <w:snapToGrid w:val="0"/>
        <w:spacing w:line="400" w:lineRule="exact"/>
        <w:ind w:firstLine="210" w:firstLineChars="100"/>
        <w:rPr>
          <w:rFonts w:hint="eastAsia" w:ascii="仿宋" w:hAnsi="仿宋" w:eastAsia="仿宋" w:cs="仿宋"/>
          <w:snapToGrid w:val="0"/>
          <w:kern w:val="0"/>
          <w:szCs w:val="21"/>
        </w:rPr>
      </w:pPr>
      <w:r>
        <w:rPr>
          <w:rFonts w:hint="eastAsia" w:ascii="仿宋" w:hAnsi="仿宋" w:eastAsia="仿宋" w:cs="仿宋"/>
          <w:snapToGrid w:val="0"/>
          <w:color w:val="auto"/>
          <w:kern w:val="0"/>
          <w:szCs w:val="21"/>
          <w:lang w:eastAsia="zh-CN"/>
        </w:rPr>
        <w:t>第十五条 本合同有关附件及补充合同是本合同不可分割的组成部分，与本合同具有同等法律效力；本合同未尽事宜，双方另行协商并签署补充合同，作为本合同的附件，具</w:t>
      </w:r>
      <w:r>
        <w:rPr>
          <w:rFonts w:hint="eastAsia" w:ascii="仿宋" w:hAnsi="仿宋" w:eastAsia="仿宋" w:cs="仿宋"/>
          <w:snapToGrid w:val="0"/>
          <w:kern w:val="0"/>
          <w:szCs w:val="21"/>
          <w:lang w:eastAsia="zh-CN"/>
        </w:rPr>
        <w:t>有同等法律效力。</w:t>
      </w:r>
    </w:p>
    <w:p w14:paraId="7BE8C181">
      <w:pPr>
        <w:adjustRightInd w:val="0"/>
        <w:snapToGrid w:val="0"/>
        <w:spacing w:line="400" w:lineRule="exact"/>
        <w:ind w:firstLine="210" w:firstLineChars="100"/>
        <w:rPr>
          <w:rFonts w:hint="eastAsia" w:ascii="仿宋" w:hAnsi="仿宋" w:eastAsia="仿宋" w:cs="仿宋"/>
          <w:snapToGrid w:val="0"/>
          <w:kern w:val="0"/>
          <w:szCs w:val="21"/>
        </w:rPr>
      </w:pPr>
    </w:p>
    <w:p w14:paraId="049ADAAA">
      <w:pPr>
        <w:rPr>
          <w:rFonts w:hint="eastAsia" w:ascii="仿宋" w:hAnsi="仿宋" w:eastAsia="仿宋" w:cs="仿宋"/>
          <w:snapToGrid w:val="0"/>
          <w:kern w:val="0"/>
          <w:szCs w:val="21"/>
        </w:rPr>
      </w:pPr>
      <w:r>
        <w:rPr>
          <w:rFonts w:hint="eastAsia" w:ascii="仿宋" w:hAnsi="仿宋" w:eastAsia="仿宋" w:cs="仿宋"/>
          <w:snapToGrid w:val="0"/>
          <w:kern w:val="0"/>
          <w:szCs w:val="21"/>
        </w:rPr>
        <w:br w:type="page"/>
      </w:r>
    </w:p>
    <w:bookmarkEnd w:id="138"/>
    <w:bookmarkEnd w:id="206"/>
    <w:bookmarkEnd w:id="207"/>
    <w:p w14:paraId="032AE241">
      <w:pPr>
        <w:numPr>
          <w:ilvl w:val="0"/>
          <w:numId w:val="7"/>
        </w:numPr>
        <w:spacing w:before="120" w:beforeLines="50" w:line="520" w:lineRule="exact"/>
        <w:jc w:val="center"/>
        <w:outlineLvl w:val="0"/>
        <w:rPr>
          <w:rFonts w:hint="eastAsia" w:ascii="仿宋" w:hAnsi="仿宋" w:eastAsia="仿宋" w:cs="仿宋"/>
          <w:b/>
          <w:color w:val="auto"/>
          <w:sz w:val="44"/>
          <w:szCs w:val="44"/>
          <w:highlight w:val="none"/>
        </w:rPr>
      </w:pPr>
      <w:bookmarkStart w:id="208" w:name="_Toc7848"/>
      <w:bookmarkStart w:id="209" w:name="_Toc6445"/>
      <w:bookmarkStart w:id="210" w:name="_Toc17372"/>
      <w:bookmarkStart w:id="211" w:name="_Toc27682"/>
      <w:bookmarkStart w:id="212" w:name="_Toc17116"/>
      <w:bookmarkStart w:id="213" w:name="_Toc7256_WPSOffice_Level1"/>
      <w:bookmarkStart w:id="214" w:name="_Toc7119"/>
      <w:r>
        <w:rPr>
          <w:rFonts w:hint="eastAsia" w:ascii="仿宋" w:hAnsi="仿宋" w:eastAsia="仿宋" w:cs="仿宋"/>
          <w:b/>
          <w:color w:val="auto"/>
          <w:sz w:val="44"/>
          <w:szCs w:val="44"/>
          <w:highlight w:val="none"/>
        </w:rPr>
        <w:t>响应文件格式</w:t>
      </w:r>
      <w:bookmarkEnd w:id="208"/>
      <w:bookmarkEnd w:id="209"/>
      <w:bookmarkEnd w:id="210"/>
      <w:bookmarkEnd w:id="211"/>
      <w:bookmarkEnd w:id="212"/>
      <w:bookmarkEnd w:id="213"/>
      <w:bookmarkEnd w:id="214"/>
    </w:p>
    <w:p w14:paraId="03C8FFBE">
      <w:pPr>
        <w:spacing w:before="120" w:beforeLines="50" w:line="520" w:lineRule="exact"/>
        <w:rPr>
          <w:rFonts w:hint="eastAsia" w:ascii="仿宋" w:hAnsi="仿宋" w:eastAsia="仿宋" w:cs="仿宋"/>
          <w:b/>
          <w:color w:val="auto"/>
          <w:sz w:val="44"/>
          <w:szCs w:val="44"/>
          <w:highlight w:val="none"/>
        </w:rPr>
      </w:pPr>
    </w:p>
    <w:p w14:paraId="736B42FE">
      <w:pPr>
        <w:spacing w:line="360" w:lineRule="auto"/>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响应文件格式是供应商的部分响应文件格式，供应商应按照这些格式编制响应文件。编制响应文件前，请详细阅读磋商文件，理解文件中的每一项要求，做出逐一实质性响应，认为有必要，可做补充说明。</w:t>
      </w:r>
    </w:p>
    <w:p w14:paraId="70AD80FA">
      <w:pPr>
        <w:spacing w:line="400" w:lineRule="exact"/>
        <w:jc w:val="center"/>
        <w:rPr>
          <w:rFonts w:hint="eastAsia" w:ascii="仿宋" w:hAnsi="仿宋" w:eastAsia="仿宋" w:cs="仿宋"/>
          <w:b/>
          <w:color w:val="auto"/>
          <w:sz w:val="28"/>
          <w:szCs w:val="28"/>
          <w:highlight w:val="none"/>
        </w:rPr>
      </w:pPr>
    </w:p>
    <w:p w14:paraId="5508CA5F">
      <w:pPr>
        <w:spacing w:line="400" w:lineRule="exact"/>
        <w:ind w:firstLine="570"/>
        <w:rPr>
          <w:rFonts w:hint="eastAsia" w:ascii="仿宋" w:hAnsi="仿宋" w:eastAsia="仿宋" w:cs="仿宋"/>
          <w:color w:val="auto"/>
          <w:sz w:val="28"/>
          <w:szCs w:val="28"/>
          <w:highlight w:val="none"/>
        </w:rPr>
      </w:pPr>
    </w:p>
    <w:p w14:paraId="0D1BBA8C">
      <w:pPr>
        <w:spacing w:line="400" w:lineRule="exact"/>
        <w:ind w:firstLine="570"/>
        <w:rPr>
          <w:rFonts w:hint="eastAsia" w:ascii="仿宋" w:hAnsi="仿宋" w:eastAsia="仿宋" w:cs="仿宋"/>
          <w:color w:val="auto"/>
          <w:sz w:val="28"/>
          <w:szCs w:val="28"/>
          <w:highlight w:val="none"/>
        </w:rPr>
      </w:pPr>
    </w:p>
    <w:p w14:paraId="088AB65E">
      <w:pPr>
        <w:spacing w:line="400" w:lineRule="exact"/>
        <w:ind w:firstLine="570"/>
        <w:rPr>
          <w:rFonts w:hint="eastAsia" w:ascii="仿宋" w:hAnsi="仿宋" w:eastAsia="仿宋" w:cs="仿宋"/>
          <w:color w:val="auto"/>
          <w:sz w:val="28"/>
          <w:szCs w:val="28"/>
          <w:highlight w:val="none"/>
        </w:rPr>
      </w:pPr>
    </w:p>
    <w:p w14:paraId="2D820AB0">
      <w:pPr>
        <w:spacing w:line="400" w:lineRule="exact"/>
        <w:ind w:firstLine="570"/>
        <w:rPr>
          <w:rFonts w:hint="eastAsia" w:ascii="仿宋" w:hAnsi="仿宋" w:eastAsia="仿宋" w:cs="仿宋"/>
          <w:color w:val="auto"/>
          <w:sz w:val="28"/>
          <w:szCs w:val="28"/>
          <w:highlight w:val="none"/>
        </w:rPr>
      </w:pPr>
    </w:p>
    <w:p w14:paraId="7E0787A8">
      <w:pPr>
        <w:spacing w:line="400" w:lineRule="exact"/>
        <w:ind w:firstLine="570"/>
        <w:rPr>
          <w:rFonts w:hint="eastAsia" w:ascii="仿宋" w:hAnsi="仿宋" w:eastAsia="仿宋" w:cs="仿宋"/>
          <w:color w:val="auto"/>
          <w:sz w:val="28"/>
          <w:szCs w:val="28"/>
          <w:highlight w:val="none"/>
        </w:rPr>
      </w:pPr>
    </w:p>
    <w:p w14:paraId="13A9632D">
      <w:pPr>
        <w:spacing w:line="400" w:lineRule="exact"/>
        <w:ind w:firstLine="570"/>
        <w:rPr>
          <w:rFonts w:hint="eastAsia" w:ascii="仿宋" w:hAnsi="仿宋" w:eastAsia="仿宋" w:cs="仿宋"/>
          <w:color w:val="auto"/>
          <w:sz w:val="28"/>
          <w:szCs w:val="28"/>
          <w:highlight w:val="none"/>
        </w:rPr>
      </w:pPr>
    </w:p>
    <w:p w14:paraId="21234460">
      <w:pPr>
        <w:spacing w:line="400" w:lineRule="exact"/>
        <w:ind w:firstLine="570"/>
        <w:rPr>
          <w:rFonts w:hint="eastAsia" w:ascii="仿宋" w:hAnsi="仿宋" w:eastAsia="仿宋" w:cs="仿宋"/>
          <w:color w:val="auto"/>
          <w:sz w:val="28"/>
          <w:szCs w:val="28"/>
          <w:highlight w:val="none"/>
        </w:rPr>
      </w:pPr>
    </w:p>
    <w:p w14:paraId="7F249459">
      <w:pPr>
        <w:spacing w:line="400" w:lineRule="exact"/>
        <w:ind w:firstLine="570"/>
        <w:rPr>
          <w:rFonts w:hint="eastAsia" w:ascii="仿宋" w:hAnsi="仿宋" w:eastAsia="仿宋" w:cs="仿宋"/>
          <w:color w:val="auto"/>
          <w:sz w:val="28"/>
          <w:szCs w:val="28"/>
          <w:highlight w:val="none"/>
        </w:rPr>
      </w:pPr>
    </w:p>
    <w:p w14:paraId="6638E16A">
      <w:pPr>
        <w:spacing w:line="400" w:lineRule="exact"/>
        <w:ind w:firstLine="570"/>
        <w:rPr>
          <w:rFonts w:hint="eastAsia" w:ascii="仿宋" w:hAnsi="仿宋" w:eastAsia="仿宋" w:cs="仿宋"/>
          <w:color w:val="auto"/>
          <w:sz w:val="28"/>
          <w:szCs w:val="28"/>
          <w:highlight w:val="none"/>
        </w:rPr>
      </w:pPr>
    </w:p>
    <w:p w14:paraId="726E9650">
      <w:pPr>
        <w:spacing w:line="400" w:lineRule="exact"/>
        <w:ind w:firstLine="570"/>
        <w:rPr>
          <w:rFonts w:hint="eastAsia" w:ascii="仿宋" w:hAnsi="仿宋" w:eastAsia="仿宋" w:cs="仿宋"/>
          <w:color w:val="auto"/>
          <w:sz w:val="28"/>
          <w:szCs w:val="28"/>
          <w:highlight w:val="none"/>
        </w:rPr>
      </w:pPr>
    </w:p>
    <w:p w14:paraId="7331B7C9">
      <w:pPr>
        <w:spacing w:line="400" w:lineRule="exact"/>
        <w:ind w:firstLine="570"/>
        <w:rPr>
          <w:rFonts w:hint="eastAsia" w:ascii="仿宋" w:hAnsi="仿宋" w:eastAsia="仿宋" w:cs="仿宋"/>
          <w:color w:val="auto"/>
          <w:sz w:val="28"/>
          <w:szCs w:val="28"/>
          <w:highlight w:val="none"/>
        </w:rPr>
      </w:pPr>
    </w:p>
    <w:p w14:paraId="7D87EDA0">
      <w:pPr>
        <w:spacing w:line="400" w:lineRule="exact"/>
        <w:ind w:firstLine="570"/>
        <w:rPr>
          <w:rFonts w:hint="eastAsia" w:ascii="仿宋" w:hAnsi="仿宋" w:eastAsia="仿宋" w:cs="仿宋"/>
          <w:color w:val="auto"/>
          <w:sz w:val="28"/>
          <w:szCs w:val="28"/>
          <w:highlight w:val="none"/>
        </w:rPr>
      </w:pPr>
    </w:p>
    <w:p w14:paraId="786B3FEB">
      <w:pPr>
        <w:spacing w:line="400" w:lineRule="exact"/>
        <w:ind w:firstLine="570"/>
        <w:rPr>
          <w:rFonts w:hint="eastAsia" w:ascii="仿宋" w:hAnsi="仿宋" w:eastAsia="仿宋" w:cs="仿宋"/>
          <w:color w:val="auto"/>
          <w:sz w:val="28"/>
          <w:szCs w:val="28"/>
          <w:highlight w:val="none"/>
        </w:rPr>
      </w:pPr>
    </w:p>
    <w:p w14:paraId="61EC557F">
      <w:pPr>
        <w:spacing w:line="400" w:lineRule="exact"/>
        <w:ind w:firstLine="570"/>
        <w:rPr>
          <w:rFonts w:hint="eastAsia" w:ascii="仿宋" w:hAnsi="仿宋" w:eastAsia="仿宋" w:cs="仿宋"/>
          <w:color w:val="auto"/>
          <w:sz w:val="28"/>
          <w:szCs w:val="28"/>
          <w:highlight w:val="none"/>
        </w:rPr>
      </w:pPr>
    </w:p>
    <w:p w14:paraId="06DA9891">
      <w:pPr>
        <w:spacing w:line="400" w:lineRule="exact"/>
        <w:ind w:firstLine="570"/>
        <w:rPr>
          <w:rFonts w:hint="eastAsia" w:ascii="仿宋" w:hAnsi="仿宋" w:eastAsia="仿宋" w:cs="仿宋"/>
          <w:color w:val="auto"/>
          <w:sz w:val="28"/>
          <w:szCs w:val="28"/>
          <w:highlight w:val="none"/>
        </w:rPr>
      </w:pPr>
    </w:p>
    <w:p w14:paraId="0E243FE4">
      <w:pPr>
        <w:spacing w:line="400" w:lineRule="exact"/>
        <w:ind w:firstLine="570"/>
        <w:rPr>
          <w:rFonts w:hint="eastAsia" w:ascii="仿宋" w:hAnsi="仿宋" w:eastAsia="仿宋" w:cs="仿宋"/>
          <w:color w:val="auto"/>
          <w:sz w:val="28"/>
          <w:szCs w:val="28"/>
          <w:highlight w:val="none"/>
        </w:rPr>
      </w:pPr>
    </w:p>
    <w:p w14:paraId="491462F9">
      <w:pPr>
        <w:spacing w:line="400" w:lineRule="exact"/>
        <w:ind w:firstLine="570"/>
        <w:rPr>
          <w:rFonts w:hint="eastAsia" w:ascii="仿宋" w:hAnsi="仿宋" w:eastAsia="仿宋" w:cs="仿宋"/>
          <w:color w:val="auto"/>
          <w:sz w:val="28"/>
          <w:szCs w:val="28"/>
          <w:highlight w:val="none"/>
        </w:rPr>
      </w:pPr>
    </w:p>
    <w:p w14:paraId="6B7D8F9B">
      <w:pPr>
        <w:spacing w:line="400" w:lineRule="exact"/>
        <w:ind w:firstLine="570"/>
        <w:rPr>
          <w:rFonts w:hint="eastAsia" w:ascii="仿宋" w:hAnsi="仿宋" w:eastAsia="仿宋" w:cs="仿宋"/>
          <w:color w:val="auto"/>
          <w:sz w:val="28"/>
          <w:szCs w:val="28"/>
          <w:highlight w:val="none"/>
        </w:rPr>
      </w:pPr>
    </w:p>
    <w:p w14:paraId="722491D0">
      <w:pPr>
        <w:spacing w:line="400" w:lineRule="exact"/>
        <w:ind w:firstLine="570"/>
        <w:rPr>
          <w:rFonts w:hint="eastAsia" w:ascii="仿宋" w:hAnsi="仿宋" w:eastAsia="仿宋" w:cs="仿宋"/>
          <w:color w:val="auto"/>
          <w:sz w:val="28"/>
          <w:szCs w:val="28"/>
          <w:highlight w:val="none"/>
        </w:rPr>
      </w:pPr>
    </w:p>
    <w:p w14:paraId="6175C8B4">
      <w:pPr>
        <w:spacing w:line="400" w:lineRule="exact"/>
        <w:ind w:firstLine="570"/>
        <w:rPr>
          <w:rFonts w:hint="eastAsia" w:ascii="仿宋" w:hAnsi="仿宋" w:eastAsia="仿宋" w:cs="仿宋"/>
          <w:color w:val="auto"/>
          <w:sz w:val="28"/>
          <w:szCs w:val="28"/>
          <w:highlight w:val="none"/>
        </w:rPr>
      </w:pPr>
    </w:p>
    <w:p w14:paraId="01EED739">
      <w:pPr>
        <w:spacing w:line="400" w:lineRule="exact"/>
        <w:ind w:firstLine="570"/>
        <w:rPr>
          <w:rFonts w:hint="eastAsia" w:ascii="仿宋" w:hAnsi="仿宋" w:eastAsia="仿宋" w:cs="仿宋"/>
          <w:color w:val="auto"/>
          <w:sz w:val="28"/>
          <w:szCs w:val="28"/>
          <w:highlight w:val="none"/>
        </w:rPr>
      </w:pPr>
    </w:p>
    <w:p w14:paraId="299D4ADB">
      <w:pPr>
        <w:spacing w:line="400" w:lineRule="exact"/>
        <w:ind w:firstLine="570"/>
        <w:rPr>
          <w:rFonts w:hint="eastAsia" w:ascii="仿宋" w:hAnsi="仿宋" w:eastAsia="仿宋" w:cs="仿宋"/>
          <w:color w:val="auto"/>
          <w:sz w:val="28"/>
          <w:szCs w:val="28"/>
          <w:highlight w:val="none"/>
        </w:rPr>
      </w:pPr>
    </w:p>
    <w:p w14:paraId="7C976FAB">
      <w:pPr>
        <w:spacing w:line="400" w:lineRule="exact"/>
        <w:ind w:firstLine="570"/>
        <w:rPr>
          <w:rFonts w:hint="eastAsia" w:ascii="仿宋" w:hAnsi="仿宋" w:eastAsia="仿宋" w:cs="仿宋"/>
          <w:color w:val="auto"/>
          <w:sz w:val="28"/>
          <w:szCs w:val="28"/>
          <w:highlight w:val="none"/>
        </w:rPr>
      </w:pPr>
    </w:p>
    <w:p w14:paraId="276ED0F9">
      <w:pPr>
        <w:adjustRightInd w:val="0"/>
        <w:snapToGrid w:val="0"/>
        <w:spacing w:line="360" w:lineRule="auto"/>
        <w:ind w:firstLine="482" w:firstLineChars="200"/>
        <w:rPr>
          <w:rFonts w:hint="eastAsia" w:ascii="仿宋" w:hAnsi="仿宋" w:eastAsia="仿宋" w:cs="仿宋"/>
          <w:b/>
          <w:color w:val="auto"/>
          <w:sz w:val="24"/>
          <w:highlight w:val="none"/>
        </w:rPr>
      </w:pPr>
    </w:p>
    <w:p w14:paraId="75C64F3A">
      <w:pPr>
        <w:spacing w:line="400" w:lineRule="exact"/>
        <w:ind w:firstLine="570"/>
        <w:rPr>
          <w:rFonts w:hint="eastAsia" w:ascii="仿宋" w:hAnsi="仿宋" w:eastAsia="仿宋" w:cs="仿宋"/>
          <w:color w:val="auto"/>
          <w:sz w:val="44"/>
          <w:szCs w:val="28"/>
          <w:highlight w:val="none"/>
        </w:rPr>
      </w:pPr>
    </w:p>
    <w:p w14:paraId="36D921C9">
      <w:pPr>
        <w:pStyle w:val="18"/>
        <w:rPr>
          <w:rFonts w:hint="eastAsia" w:ascii="仿宋" w:hAnsi="仿宋" w:eastAsia="仿宋" w:cs="仿宋"/>
        </w:rPr>
      </w:pPr>
    </w:p>
    <w:p w14:paraId="49686D9B">
      <w:pPr>
        <w:jc w:val="right"/>
        <w:rPr>
          <w:rFonts w:hint="eastAsia" w:ascii="仿宋" w:hAnsi="仿宋" w:eastAsia="仿宋" w:cs="仿宋"/>
          <w:color w:val="auto"/>
          <w:sz w:val="32"/>
          <w:szCs w:val="28"/>
          <w:highlight w:val="none"/>
        </w:rPr>
      </w:pPr>
      <w:bookmarkStart w:id="215" w:name="_Toc217446082"/>
    </w:p>
    <w:p w14:paraId="4EEEC7E2">
      <w:pPr>
        <w:jc w:val="right"/>
        <w:rPr>
          <w:rFonts w:hint="eastAsia" w:ascii="仿宋" w:hAnsi="仿宋" w:eastAsia="仿宋" w:cs="仿宋"/>
          <w:color w:val="auto"/>
          <w:sz w:val="32"/>
          <w:szCs w:val="28"/>
          <w:highlight w:val="none"/>
        </w:rPr>
      </w:pPr>
    </w:p>
    <w:p w14:paraId="53463915">
      <w:pPr>
        <w:jc w:val="right"/>
        <w:rPr>
          <w:rFonts w:hint="eastAsia" w:ascii="仿宋" w:hAnsi="仿宋" w:eastAsia="仿宋" w:cs="仿宋"/>
          <w:b/>
          <w:bCs/>
          <w:color w:val="auto"/>
          <w:sz w:val="28"/>
          <w:szCs w:val="28"/>
          <w:highlight w:val="none"/>
        </w:rPr>
      </w:pPr>
      <w:bookmarkStart w:id="216" w:name="_Toc17834_WPSOffice_Level2"/>
    </w:p>
    <w:bookmarkEnd w:id="215"/>
    <w:bookmarkEnd w:id="216"/>
    <w:p w14:paraId="2AD05311">
      <w:pPr>
        <w:jc w:val="righ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正本/副本</w:t>
      </w:r>
    </w:p>
    <w:p w14:paraId="0342F832">
      <w:pPr>
        <w:spacing w:line="360" w:lineRule="auto"/>
        <w:rPr>
          <w:rFonts w:hint="eastAsia" w:ascii="仿宋" w:hAnsi="仿宋" w:eastAsia="仿宋" w:cs="仿宋"/>
          <w:b/>
          <w:bCs/>
          <w:color w:val="auto"/>
          <w:sz w:val="28"/>
          <w:szCs w:val="28"/>
          <w:highlight w:val="none"/>
        </w:rPr>
      </w:pPr>
      <w:bookmarkStart w:id="217" w:name="_Toc28516_WPSOffice_Level2"/>
      <w:r>
        <w:rPr>
          <w:rFonts w:hint="eastAsia" w:ascii="仿宋" w:hAnsi="仿宋" w:eastAsia="仿宋" w:cs="仿宋"/>
          <w:b/>
          <w:bCs/>
          <w:color w:val="auto"/>
          <w:sz w:val="28"/>
          <w:szCs w:val="28"/>
          <w:highlight w:val="none"/>
        </w:rPr>
        <w:t>政府采购项目</w:t>
      </w:r>
      <w:bookmarkEnd w:id="217"/>
    </w:p>
    <w:p w14:paraId="447854C8">
      <w:pPr>
        <w:spacing w:line="360" w:lineRule="auto"/>
        <w:rPr>
          <w:rFonts w:hint="eastAsia" w:ascii="仿宋" w:hAnsi="仿宋" w:eastAsia="仿宋" w:cs="仿宋"/>
          <w:color w:val="auto"/>
          <w:sz w:val="28"/>
          <w:szCs w:val="28"/>
          <w:highlight w:val="none"/>
          <w:lang w:val="en-US" w:eastAsia="zh-CN"/>
        </w:rPr>
      </w:pPr>
      <w:bookmarkStart w:id="218" w:name="_Toc26011_WPSOffice_Level2"/>
      <w:r>
        <w:rPr>
          <w:rFonts w:hint="eastAsia" w:ascii="仿宋" w:hAnsi="仿宋" w:eastAsia="仿宋" w:cs="仿宋"/>
          <w:b/>
          <w:bCs/>
          <w:color w:val="auto"/>
          <w:sz w:val="28"/>
          <w:szCs w:val="28"/>
          <w:highlight w:val="none"/>
        </w:rPr>
        <w:t>采购项目编号：</w:t>
      </w:r>
      <w:bookmarkEnd w:id="218"/>
      <w:r>
        <w:rPr>
          <w:rFonts w:hint="eastAsia" w:ascii="仿宋" w:hAnsi="仿宋" w:eastAsia="仿宋" w:cs="仿宋"/>
          <w:color w:val="auto"/>
          <w:sz w:val="28"/>
          <w:szCs w:val="28"/>
          <w:highlight w:val="none"/>
          <w:lang w:eastAsia="zh-CN"/>
        </w:rPr>
        <w:t>ZCBN-勉县-2025-00009</w:t>
      </w:r>
    </w:p>
    <w:p w14:paraId="20C970D3">
      <w:pPr>
        <w:spacing w:line="360" w:lineRule="auto"/>
        <w:rPr>
          <w:rFonts w:hint="eastAsia" w:ascii="仿宋" w:hAnsi="仿宋" w:eastAsia="仿宋" w:cs="仿宋"/>
          <w:color w:val="auto"/>
          <w:sz w:val="22"/>
          <w:szCs w:val="22"/>
          <w:highlight w:val="none"/>
        </w:rPr>
      </w:pPr>
    </w:p>
    <w:p w14:paraId="3E8BB1B8">
      <w:pPr>
        <w:pStyle w:val="6"/>
        <w:rPr>
          <w:rFonts w:hint="eastAsia" w:ascii="仿宋" w:hAnsi="仿宋" w:eastAsia="仿宋" w:cs="仿宋"/>
        </w:rPr>
      </w:pPr>
    </w:p>
    <w:p w14:paraId="53B88DE3">
      <w:pPr>
        <w:jc w:val="center"/>
        <w:rPr>
          <w:rFonts w:hint="eastAsia" w:ascii="仿宋" w:hAnsi="仿宋" w:eastAsia="仿宋" w:cs="仿宋"/>
          <w:b/>
          <w:color w:val="auto"/>
          <w:sz w:val="52"/>
          <w:szCs w:val="52"/>
          <w:highlight w:val="none"/>
        </w:rPr>
      </w:pPr>
    </w:p>
    <w:p w14:paraId="4F8B17B3">
      <w:pPr>
        <w:jc w:val="center"/>
        <w:rPr>
          <w:rFonts w:hint="eastAsia" w:ascii="仿宋" w:hAnsi="仿宋" w:eastAsia="仿宋" w:cs="仿宋"/>
          <w:color w:val="auto"/>
          <w:sz w:val="18"/>
          <w:szCs w:val="21"/>
          <w:highlight w:val="none"/>
          <w:lang w:eastAsia="zh-CN"/>
        </w:rPr>
      </w:pPr>
      <w:r>
        <w:rPr>
          <w:rFonts w:hint="eastAsia" w:ascii="仿宋" w:hAnsi="仿宋" w:eastAsia="仿宋" w:cs="仿宋"/>
          <w:b/>
          <w:color w:val="auto"/>
          <w:sz w:val="44"/>
          <w:szCs w:val="44"/>
          <w:highlight w:val="none"/>
          <w:lang w:eastAsia="zh-CN"/>
        </w:rPr>
        <w:t>勉县森林草原湿地荒漠化普查工作</w:t>
      </w:r>
    </w:p>
    <w:p w14:paraId="499518F8">
      <w:pPr>
        <w:rPr>
          <w:rFonts w:hint="eastAsia" w:ascii="仿宋" w:hAnsi="仿宋" w:eastAsia="仿宋" w:cs="仿宋"/>
          <w:color w:val="auto"/>
          <w:highlight w:val="none"/>
        </w:rPr>
      </w:pPr>
    </w:p>
    <w:p w14:paraId="4B1466C8">
      <w:pPr>
        <w:rPr>
          <w:rFonts w:hint="eastAsia" w:ascii="仿宋" w:hAnsi="仿宋" w:eastAsia="仿宋" w:cs="仿宋"/>
          <w:color w:val="auto"/>
          <w:highlight w:val="none"/>
        </w:rPr>
      </w:pPr>
    </w:p>
    <w:p w14:paraId="10911D83">
      <w:pPr>
        <w:rPr>
          <w:rFonts w:hint="eastAsia" w:ascii="仿宋" w:hAnsi="仿宋" w:eastAsia="仿宋" w:cs="仿宋"/>
          <w:color w:val="auto"/>
          <w:highlight w:val="none"/>
        </w:rPr>
      </w:pPr>
    </w:p>
    <w:p w14:paraId="146BE687">
      <w:pPr>
        <w:rPr>
          <w:rFonts w:hint="eastAsia" w:ascii="仿宋" w:hAnsi="仿宋" w:eastAsia="仿宋" w:cs="仿宋"/>
          <w:color w:val="auto"/>
          <w:highlight w:val="none"/>
        </w:rPr>
      </w:pPr>
    </w:p>
    <w:p w14:paraId="26953836">
      <w:pPr>
        <w:pStyle w:val="3"/>
        <w:spacing w:line="900" w:lineRule="exact"/>
        <w:jc w:val="center"/>
        <w:rPr>
          <w:rFonts w:hint="eastAsia" w:ascii="仿宋" w:hAnsi="仿宋" w:eastAsia="仿宋" w:cs="仿宋"/>
          <w:b w:val="0"/>
          <w:color w:val="auto"/>
          <w:sz w:val="84"/>
          <w:szCs w:val="84"/>
          <w:highlight w:val="none"/>
        </w:rPr>
      </w:pPr>
      <w:bookmarkStart w:id="219" w:name="_Toc22663"/>
      <w:bookmarkStart w:id="220" w:name="_Toc7094"/>
      <w:bookmarkStart w:id="221" w:name="_Toc24850"/>
      <w:bookmarkStart w:id="222" w:name="_Toc10700"/>
      <w:bookmarkStart w:id="223" w:name="_Toc21268"/>
      <w:bookmarkStart w:id="224" w:name="_Toc29613"/>
      <w:bookmarkStart w:id="225" w:name="_Toc30744"/>
      <w:r>
        <w:rPr>
          <w:rFonts w:hint="eastAsia" w:ascii="仿宋" w:hAnsi="仿宋" w:eastAsia="仿宋" w:cs="仿宋"/>
          <w:b w:val="0"/>
          <w:color w:val="auto"/>
          <w:sz w:val="84"/>
          <w:szCs w:val="84"/>
          <w:highlight w:val="none"/>
        </w:rPr>
        <w:t>竞争性磋商响应文件</w:t>
      </w:r>
      <w:bookmarkEnd w:id="219"/>
      <w:bookmarkEnd w:id="220"/>
      <w:bookmarkEnd w:id="221"/>
      <w:bookmarkEnd w:id="222"/>
      <w:bookmarkEnd w:id="223"/>
      <w:bookmarkEnd w:id="224"/>
      <w:bookmarkEnd w:id="225"/>
    </w:p>
    <w:p w14:paraId="61D271C9">
      <w:pPr>
        <w:pStyle w:val="5"/>
        <w:rPr>
          <w:rFonts w:hint="eastAsia" w:ascii="仿宋" w:hAnsi="仿宋" w:eastAsia="仿宋" w:cs="仿宋"/>
          <w:color w:val="auto"/>
          <w:sz w:val="28"/>
          <w:szCs w:val="28"/>
          <w:highlight w:val="none"/>
        </w:rPr>
      </w:pPr>
    </w:p>
    <w:p w14:paraId="1C6FC171">
      <w:pPr>
        <w:pStyle w:val="5"/>
        <w:rPr>
          <w:rFonts w:hint="eastAsia" w:ascii="仿宋" w:hAnsi="仿宋" w:eastAsia="仿宋" w:cs="仿宋"/>
          <w:color w:val="auto"/>
          <w:sz w:val="28"/>
          <w:szCs w:val="28"/>
          <w:highlight w:val="none"/>
        </w:rPr>
      </w:pPr>
    </w:p>
    <w:p w14:paraId="1A1174C3">
      <w:pPr>
        <w:pStyle w:val="5"/>
        <w:rPr>
          <w:rFonts w:hint="eastAsia" w:ascii="仿宋" w:hAnsi="仿宋" w:eastAsia="仿宋" w:cs="仿宋"/>
          <w:color w:val="auto"/>
          <w:sz w:val="28"/>
          <w:szCs w:val="28"/>
          <w:highlight w:val="none"/>
        </w:rPr>
      </w:pPr>
    </w:p>
    <w:p w14:paraId="0D6926AE">
      <w:pPr>
        <w:pStyle w:val="5"/>
        <w:rPr>
          <w:rFonts w:hint="eastAsia" w:ascii="仿宋" w:hAnsi="仿宋" w:eastAsia="仿宋" w:cs="仿宋"/>
          <w:color w:val="auto"/>
          <w:sz w:val="28"/>
          <w:szCs w:val="28"/>
          <w:highlight w:val="none"/>
        </w:rPr>
      </w:pPr>
    </w:p>
    <w:p w14:paraId="468CEDAF">
      <w:pPr>
        <w:pStyle w:val="5"/>
        <w:rPr>
          <w:rFonts w:hint="eastAsia" w:ascii="仿宋" w:hAnsi="仿宋" w:eastAsia="仿宋" w:cs="仿宋"/>
          <w:color w:val="auto"/>
          <w:sz w:val="28"/>
          <w:szCs w:val="28"/>
          <w:highlight w:val="none"/>
        </w:rPr>
      </w:pPr>
    </w:p>
    <w:p w14:paraId="24417FBC">
      <w:pPr>
        <w:pStyle w:val="5"/>
        <w:rPr>
          <w:rFonts w:hint="eastAsia" w:ascii="仿宋" w:hAnsi="仿宋" w:eastAsia="仿宋" w:cs="仿宋"/>
          <w:color w:val="auto"/>
          <w:sz w:val="28"/>
          <w:szCs w:val="28"/>
          <w:highlight w:val="none"/>
        </w:rPr>
      </w:pPr>
    </w:p>
    <w:p w14:paraId="5316D603">
      <w:pPr>
        <w:pStyle w:val="5"/>
        <w:ind w:left="0" w:leftChars="0" w:firstLine="0" w:firstLineChars="0"/>
        <w:rPr>
          <w:rFonts w:hint="eastAsia" w:ascii="仿宋" w:hAnsi="仿宋" w:eastAsia="仿宋" w:cs="仿宋"/>
          <w:color w:val="auto"/>
          <w:sz w:val="28"/>
          <w:szCs w:val="28"/>
          <w:highlight w:val="none"/>
        </w:rPr>
      </w:pPr>
    </w:p>
    <w:p w14:paraId="371F7738">
      <w:pPr>
        <w:pStyle w:val="5"/>
        <w:rPr>
          <w:rFonts w:hint="eastAsia" w:ascii="仿宋" w:hAnsi="仿宋" w:eastAsia="仿宋" w:cs="仿宋"/>
          <w:color w:val="auto"/>
          <w:sz w:val="28"/>
          <w:szCs w:val="28"/>
          <w:highlight w:val="none"/>
        </w:rPr>
      </w:pPr>
    </w:p>
    <w:p w14:paraId="1B267906">
      <w:pPr>
        <w:pStyle w:val="5"/>
        <w:spacing w:before="120" w:beforeLines="50"/>
        <w:ind w:firstLine="1630" w:firstLineChars="580"/>
        <w:rPr>
          <w:rFonts w:hint="eastAsia" w:ascii="仿宋" w:hAnsi="仿宋" w:eastAsia="仿宋" w:cs="仿宋"/>
          <w:color w:val="auto"/>
          <w:sz w:val="28"/>
          <w:szCs w:val="28"/>
          <w:highlight w:val="none"/>
        </w:rPr>
      </w:pPr>
      <w:bookmarkStart w:id="226" w:name="_Toc15222_WPSOffice_Level2"/>
      <w:r>
        <w:rPr>
          <w:rFonts w:hint="eastAsia" w:ascii="仿宋" w:hAnsi="仿宋" w:eastAsia="仿宋" w:cs="仿宋"/>
          <w:b/>
          <w:color w:val="auto"/>
          <w:sz w:val="28"/>
          <w:szCs w:val="28"/>
          <w:highlight w:val="none"/>
        </w:rPr>
        <w:t xml:space="preserve">供应商：                         </w:t>
      </w:r>
      <w:r>
        <w:rPr>
          <w:rFonts w:hint="eastAsia" w:ascii="仿宋" w:hAnsi="仿宋" w:eastAsia="仿宋" w:cs="仿宋"/>
          <w:color w:val="auto"/>
          <w:sz w:val="28"/>
          <w:szCs w:val="28"/>
          <w:highlight w:val="none"/>
        </w:rPr>
        <w:t>（盖单位章）</w:t>
      </w:r>
      <w:bookmarkEnd w:id="226"/>
    </w:p>
    <w:p w14:paraId="6938DED0">
      <w:pPr>
        <w:pStyle w:val="5"/>
        <w:spacing w:before="120" w:beforeLines="50"/>
        <w:ind w:firstLine="1630" w:firstLineChars="580"/>
        <w:rPr>
          <w:rFonts w:hint="eastAsia" w:ascii="仿宋" w:hAnsi="仿宋" w:eastAsia="仿宋" w:cs="仿宋"/>
          <w:color w:val="auto"/>
          <w:sz w:val="28"/>
          <w:szCs w:val="28"/>
          <w:highlight w:val="none"/>
        </w:rPr>
      </w:pPr>
      <w:bookmarkStart w:id="227" w:name="_Toc6225_WPSOffice_Level2"/>
      <w:r>
        <w:rPr>
          <w:rFonts w:hint="eastAsia" w:ascii="仿宋" w:hAnsi="仿宋" w:eastAsia="仿宋" w:cs="仿宋"/>
          <w:b/>
          <w:color w:val="auto"/>
          <w:sz w:val="28"/>
          <w:szCs w:val="28"/>
          <w:highlight w:val="none"/>
        </w:rPr>
        <w:t>法定代表人或</w:t>
      </w:r>
      <w:r>
        <w:rPr>
          <w:rFonts w:hint="eastAsia" w:ascii="仿宋" w:hAnsi="仿宋" w:eastAsia="仿宋" w:cs="仿宋"/>
          <w:b/>
          <w:color w:val="auto"/>
          <w:sz w:val="28"/>
          <w:szCs w:val="28"/>
          <w:highlight w:val="none"/>
          <w:lang w:eastAsia="zh-CN"/>
        </w:rPr>
        <w:t>授权代表</w:t>
      </w:r>
      <w:r>
        <w:rPr>
          <w:rFonts w:hint="eastAsia" w:ascii="仿宋" w:hAnsi="仿宋" w:eastAsia="仿宋" w:cs="仿宋"/>
          <w:b/>
          <w:color w:val="auto"/>
          <w:sz w:val="28"/>
          <w:szCs w:val="28"/>
          <w:highlight w:val="none"/>
        </w:rPr>
        <w:t xml:space="preserve">：         </w:t>
      </w:r>
      <w:r>
        <w:rPr>
          <w:rFonts w:hint="eastAsia" w:ascii="仿宋" w:hAnsi="仿宋" w:eastAsia="仿宋" w:cs="仿宋"/>
          <w:color w:val="auto"/>
          <w:sz w:val="28"/>
          <w:szCs w:val="28"/>
          <w:highlight w:val="none"/>
        </w:rPr>
        <w:t>（签字）</w:t>
      </w:r>
      <w:bookmarkEnd w:id="227"/>
    </w:p>
    <w:p w14:paraId="17E097D5">
      <w:pPr>
        <w:pStyle w:val="5"/>
        <w:spacing w:before="120" w:beforeLines="50"/>
        <w:ind w:firstLine="1630" w:firstLineChars="580"/>
        <w:rPr>
          <w:rFonts w:hint="eastAsia" w:ascii="仿宋" w:hAnsi="仿宋" w:eastAsia="仿宋" w:cs="仿宋"/>
          <w:b/>
          <w:color w:val="auto"/>
          <w:sz w:val="28"/>
          <w:szCs w:val="28"/>
          <w:highlight w:val="none"/>
        </w:rPr>
      </w:pPr>
      <w:bookmarkStart w:id="228" w:name="_Toc3756_WPSOffice_Level2"/>
      <w:r>
        <w:rPr>
          <w:rFonts w:hint="eastAsia" w:ascii="仿宋" w:hAnsi="仿宋" w:eastAsia="仿宋" w:cs="仿宋"/>
          <w:b/>
          <w:color w:val="auto"/>
          <w:sz w:val="28"/>
          <w:szCs w:val="28"/>
          <w:highlight w:val="none"/>
        </w:rPr>
        <w:t xml:space="preserve">时  间：      </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 xml:space="preserve">   年  月  日</w:t>
      </w:r>
      <w:bookmarkEnd w:id="228"/>
    </w:p>
    <w:p w14:paraId="3B8065B7">
      <w:pPr>
        <w:bidi w:val="0"/>
        <w:jc w:val="center"/>
        <w:rPr>
          <w:rFonts w:hint="eastAsia" w:ascii="仿宋" w:hAnsi="仿宋" w:eastAsia="仿宋" w:cs="仿宋"/>
          <w:b/>
          <w:bCs/>
          <w:sz w:val="32"/>
          <w:szCs w:val="40"/>
        </w:rPr>
      </w:pPr>
      <w:bookmarkStart w:id="229" w:name="_Toc6933_WPSOffice_Level2"/>
    </w:p>
    <w:p w14:paraId="0DCE5983">
      <w:pPr>
        <w:bidi w:val="0"/>
        <w:jc w:val="center"/>
        <w:rPr>
          <w:rFonts w:hint="eastAsia" w:ascii="仿宋" w:hAnsi="仿宋" w:eastAsia="仿宋" w:cs="仿宋"/>
          <w:b/>
          <w:bCs/>
          <w:sz w:val="32"/>
          <w:szCs w:val="40"/>
        </w:rPr>
      </w:pPr>
    </w:p>
    <w:p w14:paraId="495526B2">
      <w:pPr>
        <w:bidi w:val="0"/>
        <w:jc w:val="center"/>
        <w:rPr>
          <w:rFonts w:hint="eastAsia" w:ascii="仿宋" w:hAnsi="仿宋" w:eastAsia="仿宋" w:cs="仿宋"/>
          <w:b/>
          <w:bCs/>
          <w:sz w:val="32"/>
          <w:szCs w:val="40"/>
        </w:rPr>
      </w:pPr>
    </w:p>
    <w:p w14:paraId="3F7189CB">
      <w:pPr>
        <w:bidi w:val="0"/>
        <w:jc w:val="center"/>
        <w:rPr>
          <w:rFonts w:hint="eastAsia" w:ascii="仿宋" w:hAnsi="仿宋" w:eastAsia="仿宋" w:cs="仿宋"/>
          <w:b/>
          <w:bCs/>
          <w:sz w:val="32"/>
          <w:szCs w:val="40"/>
        </w:rPr>
      </w:pPr>
    </w:p>
    <w:p w14:paraId="6CF01FDD">
      <w:pPr>
        <w:pStyle w:val="5"/>
        <w:spacing w:before="120" w:beforeLines="50" w:after="120" w:afterLines="50"/>
        <w:ind w:firstLine="0"/>
        <w:jc w:val="both"/>
        <w:rPr>
          <w:rFonts w:hint="eastAsia" w:ascii="仿宋" w:hAnsi="仿宋" w:eastAsia="仿宋" w:cs="仿宋"/>
          <w:b/>
          <w:sz w:val="21"/>
          <w:szCs w:val="21"/>
        </w:rPr>
      </w:pPr>
    </w:p>
    <w:p w14:paraId="7E997357">
      <w:pPr>
        <w:rPr>
          <w:rFonts w:hint="eastAsia" w:ascii="仿宋" w:hAnsi="仿宋" w:eastAsia="仿宋" w:cs="仿宋"/>
          <w:b/>
          <w:sz w:val="28"/>
          <w:szCs w:val="28"/>
        </w:rPr>
      </w:pPr>
      <w:r>
        <w:rPr>
          <w:rFonts w:hint="eastAsia" w:ascii="仿宋" w:hAnsi="仿宋" w:eastAsia="仿宋" w:cs="仿宋"/>
          <w:b/>
          <w:sz w:val="28"/>
          <w:szCs w:val="28"/>
        </w:rPr>
        <w:br w:type="page"/>
      </w:r>
    </w:p>
    <w:bookmarkEnd w:id="229"/>
    <w:p w14:paraId="7428095D">
      <w:pPr>
        <w:jc w:val="center"/>
        <w:rPr>
          <w:rFonts w:hint="eastAsia" w:ascii="仿宋" w:hAnsi="仿宋" w:eastAsia="仿宋" w:cs="仿宋"/>
          <w:b/>
          <w:sz w:val="44"/>
          <w:szCs w:val="44"/>
        </w:rPr>
      </w:pPr>
    </w:p>
    <w:p w14:paraId="2B382360">
      <w:pPr>
        <w:jc w:val="center"/>
        <w:rPr>
          <w:rFonts w:hint="eastAsia" w:ascii="仿宋" w:hAnsi="仿宋" w:eastAsia="仿宋" w:cs="仿宋"/>
          <w:b/>
          <w:sz w:val="44"/>
          <w:szCs w:val="44"/>
        </w:rPr>
      </w:pPr>
      <w:r>
        <w:rPr>
          <w:rFonts w:hint="eastAsia" w:ascii="仿宋" w:hAnsi="仿宋" w:eastAsia="仿宋" w:cs="仿宋"/>
          <w:b/>
          <w:sz w:val="44"/>
          <w:szCs w:val="44"/>
        </w:rPr>
        <w:t>目    录</w:t>
      </w:r>
    </w:p>
    <w:p w14:paraId="40D3E5DC">
      <w:pPr>
        <w:spacing w:line="480" w:lineRule="auto"/>
        <w:ind w:left="2100"/>
        <w:jc w:val="left"/>
        <w:rPr>
          <w:rFonts w:hint="eastAsia" w:ascii="仿宋" w:hAnsi="仿宋" w:eastAsia="仿宋" w:cs="仿宋"/>
          <w:sz w:val="28"/>
          <w:szCs w:val="28"/>
        </w:rPr>
      </w:pPr>
    </w:p>
    <w:p w14:paraId="6F92B1EA">
      <w:pPr>
        <w:adjustRightInd w:val="0"/>
        <w:snapToGrid w:val="0"/>
        <w:spacing w:line="360" w:lineRule="auto"/>
        <w:jc w:val="center"/>
        <w:rPr>
          <w:rFonts w:hint="eastAsia" w:ascii="仿宋" w:hAnsi="仿宋" w:eastAsia="仿宋" w:cs="仿宋"/>
          <w:sz w:val="32"/>
          <w:szCs w:val="32"/>
          <w:lang w:eastAsia="zh-CN"/>
        </w:rPr>
      </w:pPr>
    </w:p>
    <w:p w14:paraId="74B0482F">
      <w:pPr>
        <w:adjustRightInd w:val="0"/>
        <w:snapToGrid w:val="0"/>
        <w:spacing w:line="360" w:lineRule="auto"/>
        <w:jc w:val="center"/>
        <w:rPr>
          <w:rFonts w:hint="eastAsia" w:ascii="仿宋" w:hAnsi="仿宋" w:eastAsia="仿宋" w:cs="仿宋"/>
          <w:sz w:val="32"/>
          <w:szCs w:val="32"/>
          <w:lang w:eastAsia="zh-CN"/>
        </w:rPr>
      </w:pPr>
    </w:p>
    <w:p w14:paraId="79EC8B76">
      <w:pPr>
        <w:adjustRightInd w:val="0"/>
        <w:snapToGrid w:val="0"/>
        <w:spacing w:line="360" w:lineRule="auto"/>
        <w:jc w:val="center"/>
        <w:rPr>
          <w:rFonts w:hint="eastAsia" w:ascii="仿宋" w:hAnsi="仿宋" w:eastAsia="仿宋" w:cs="仿宋"/>
          <w:color w:val="auto"/>
          <w:szCs w:val="21"/>
          <w:highlight w:val="none"/>
          <w:lang w:eastAsia="zh-CN"/>
        </w:rPr>
      </w:pPr>
      <w:r>
        <w:rPr>
          <w:rFonts w:hint="eastAsia" w:ascii="仿宋" w:hAnsi="仿宋" w:eastAsia="仿宋" w:cs="仿宋"/>
          <w:sz w:val="32"/>
          <w:szCs w:val="32"/>
          <w:lang w:eastAsia="zh-CN"/>
        </w:rPr>
        <w:t>自行编制</w:t>
      </w:r>
    </w:p>
    <w:p w14:paraId="314FAEF1">
      <w:pPr>
        <w:pStyle w:val="3"/>
        <w:spacing w:line="240" w:lineRule="auto"/>
        <w:rPr>
          <w:rFonts w:hint="eastAsia" w:ascii="仿宋" w:hAnsi="仿宋" w:eastAsia="仿宋" w:cs="仿宋"/>
          <w:sz w:val="22"/>
          <w:szCs w:val="22"/>
        </w:rPr>
      </w:pPr>
      <w:bookmarkStart w:id="230" w:name="_Toc11331_WPSOffice_Level1"/>
      <w:r>
        <w:rPr>
          <w:rFonts w:hint="eastAsia" w:ascii="仿宋" w:hAnsi="仿宋" w:eastAsia="仿宋" w:cs="仿宋"/>
          <w:b/>
          <w:color w:val="auto"/>
          <w:sz w:val="36"/>
          <w:szCs w:val="36"/>
          <w:highlight w:val="none"/>
        </w:rPr>
        <w:br w:type="page"/>
      </w:r>
      <w:bookmarkEnd w:id="230"/>
      <w:r>
        <w:rPr>
          <w:rFonts w:hint="eastAsia" w:ascii="仿宋" w:hAnsi="仿宋" w:eastAsia="仿宋" w:cs="仿宋"/>
          <w:sz w:val="22"/>
          <w:szCs w:val="22"/>
        </w:rPr>
        <w:t>1、磋商函（格式）</w:t>
      </w:r>
    </w:p>
    <w:p w14:paraId="59E75A81">
      <w:pPr>
        <w:ind w:right="-99" w:rightChars="-47"/>
        <w:jc w:val="center"/>
        <w:rPr>
          <w:rFonts w:hint="eastAsia" w:ascii="仿宋" w:hAnsi="仿宋" w:eastAsia="仿宋" w:cs="仿宋"/>
          <w:b/>
          <w:bCs/>
          <w:sz w:val="28"/>
          <w:szCs w:val="28"/>
        </w:rPr>
      </w:pPr>
      <w:r>
        <w:rPr>
          <w:rFonts w:hint="eastAsia" w:ascii="仿宋" w:hAnsi="仿宋" w:eastAsia="仿宋" w:cs="仿宋"/>
          <w:b/>
          <w:bCs/>
          <w:sz w:val="28"/>
          <w:szCs w:val="28"/>
        </w:rPr>
        <w:t>磋 商 函</w:t>
      </w:r>
    </w:p>
    <w:p w14:paraId="3CB444BC">
      <w:pPr>
        <w:spacing w:line="540" w:lineRule="exact"/>
        <w:ind w:right="-99" w:rightChars="-47"/>
        <w:rPr>
          <w:rFonts w:hint="eastAsia" w:ascii="仿宋" w:hAnsi="仿宋" w:eastAsia="仿宋" w:cs="仿宋"/>
          <w:b/>
          <w:sz w:val="22"/>
          <w:szCs w:val="22"/>
          <w:lang w:eastAsia="zh-CN"/>
        </w:rPr>
      </w:pPr>
      <w:r>
        <w:rPr>
          <w:rFonts w:hint="eastAsia" w:ascii="仿宋" w:hAnsi="仿宋" w:eastAsia="仿宋" w:cs="仿宋"/>
          <w:b/>
          <w:sz w:val="22"/>
          <w:szCs w:val="22"/>
        </w:rPr>
        <w:t>致：</w:t>
      </w:r>
      <w:r>
        <w:rPr>
          <w:rFonts w:hint="eastAsia" w:ascii="仿宋" w:hAnsi="仿宋" w:eastAsia="仿宋" w:cs="仿宋"/>
          <w:b/>
          <w:sz w:val="22"/>
          <w:szCs w:val="22"/>
          <w:lang w:eastAsia="zh-CN"/>
        </w:rPr>
        <w:t>陕西佳鸿项目管理咨询有限公司</w:t>
      </w:r>
    </w:p>
    <w:p w14:paraId="3E9A5359">
      <w:pPr>
        <w:spacing w:line="540" w:lineRule="exact"/>
        <w:ind w:right="-99" w:rightChars="-47" w:firstLine="431" w:firstLineChars="196"/>
        <w:rPr>
          <w:rFonts w:hint="eastAsia" w:ascii="仿宋" w:hAnsi="仿宋" w:eastAsia="仿宋" w:cs="仿宋"/>
          <w:sz w:val="22"/>
          <w:szCs w:val="22"/>
        </w:rPr>
      </w:pPr>
      <w:r>
        <w:rPr>
          <w:rFonts w:hint="eastAsia" w:ascii="仿宋" w:hAnsi="仿宋" w:eastAsia="仿宋" w:cs="仿宋"/>
          <w:sz w:val="22"/>
          <w:szCs w:val="22"/>
        </w:rPr>
        <w:t>根据贵单位</w:t>
      </w:r>
      <w:r>
        <w:rPr>
          <w:rFonts w:hint="eastAsia" w:ascii="仿宋" w:hAnsi="仿宋" w:eastAsia="仿宋" w:cs="仿宋"/>
          <w:sz w:val="22"/>
          <w:szCs w:val="22"/>
          <w:u w:val="single"/>
        </w:rPr>
        <w:t xml:space="preserve">         （采</w:t>
      </w:r>
      <w:r>
        <w:rPr>
          <w:rFonts w:hint="eastAsia" w:ascii="仿宋" w:hAnsi="仿宋" w:eastAsia="仿宋" w:cs="仿宋"/>
          <w:sz w:val="22"/>
          <w:szCs w:val="22"/>
          <w:u w:val="single"/>
          <w:lang w:eastAsia="zh-CN"/>
        </w:rPr>
        <w:t>购</w:t>
      </w:r>
      <w:r>
        <w:rPr>
          <w:rFonts w:hint="eastAsia" w:ascii="仿宋" w:hAnsi="仿宋" w:eastAsia="仿宋" w:cs="仿宋"/>
          <w:sz w:val="22"/>
          <w:szCs w:val="22"/>
          <w:u w:val="single"/>
        </w:rPr>
        <w:t xml:space="preserve">项目名称）    </w:t>
      </w:r>
      <w:r>
        <w:rPr>
          <w:rFonts w:hint="eastAsia" w:ascii="仿宋" w:hAnsi="仿宋" w:eastAsia="仿宋" w:cs="仿宋"/>
          <w:sz w:val="22"/>
          <w:szCs w:val="22"/>
        </w:rPr>
        <w:t>项目</w:t>
      </w:r>
      <w:r>
        <w:rPr>
          <w:rFonts w:hint="eastAsia" w:ascii="仿宋" w:hAnsi="仿宋" w:eastAsia="仿宋" w:cs="仿宋"/>
          <w:sz w:val="22"/>
          <w:szCs w:val="22"/>
          <w:u w:val="single"/>
        </w:rPr>
        <w:t>（项目编号）</w:t>
      </w:r>
      <w:r>
        <w:rPr>
          <w:rFonts w:hint="eastAsia" w:ascii="仿宋" w:hAnsi="仿宋" w:eastAsia="仿宋" w:cs="仿宋"/>
          <w:sz w:val="22"/>
          <w:szCs w:val="22"/>
        </w:rPr>
        <w:t>的磋商公告，我方代表</w:t>
      </w:r>
      <w:r>
        <w:rPr>
          <w:rFonts w:hint="eastAsia" w:ascii="仿宋" w:hAnsi="仿宋" w:eastAsia="仿宋" w:cs="仿宋"/>
          <w:sz w:val="22"/>
          <w:szCs w:val="22"/>
          <w:u w:val="single"/>
        </w:rPr>
        <w:t xml:space="preserve">   （姓名、职务）   </w:t>
      </w:r>
      <w:r>
        <w:rPr>
          <w:rFonts w:hint="eastAsia" w:ascii="仿宋" w:hAnsi="仿宋" w:eastAsia="仿宋" w:cs="仿宋"/>
          <w:sz w:val="22"/>
          <w:szCs w:val="22"/>
        </w:rPr>
        <w:t>经正式授权并代表</w:t>
      </w:r>
      <w:r>
        <w:rPr>
          <w:rFonts w:hint="eastAsia" w:ascii="仿宋" w:hAnsi="仿宋" w:eastAsia="仿宋" w:cs="仿宋"/>
          <w:sz w:val="22"/>
          <w:szCs w:val="22"/>
          <w:u w:val="single"/>
        </w:rPr>
        <w:t xml:space="preserve">     （供应商名称）     </w:t>
      </w:r>
      <w:r>
        <w:rPr>
          <w:rFonts w:hint="eastAsia" w:ascii="仿宋" w:hAnsi="仿宋" w:eastAsia="仿宋" w:cs="仿宋"/>
          <w:sz w:val="22"/>
          <w:szCs w:val="22"/>
        </w:rPr>
        <w:t>就该项目进行竞争性磋商。</w:t>
      </w:r>
    </w:p>
    <w:p w14:paraId="42567BC9">
      <w:pPr>
        <w:spacing w:line="540" w:lineRule="exact"/>
        <w:ind w:right="-99" w:rightChars="-47" w:firstLine="442" w:firstLineChars="200"/>
        <w:rPr>
          <w:rFonts w:hint="eastAsia" w:ascii="仿宋" w:hAnsi="仿宋" w:eastAsia="仿宋" w:cs="仿宋"/>
          <w:b/>
          <w:sz w:val="22"/>
          <w:szCs w:val="22"/>
        </w:rPr>
      </w:pPr>
      <w:r>
        <w:rPr>
          <w:rFonts w:hint="eastAsia" w:ascii="仿宋" w:hAnsi="仿宋" w:eastAsia="仿宋" w:cs="仿宋"/>
          <w:b/>
          <w:sz w:val="22"/>
          <w:szCs w:val="22"/>
        </w:rPr>
        <w:t>在此，我方郑重声明以下诸点，并负法律责任：</w:t>
      </w:r>
    </w:p>
    <w:p w14:paraId="6F44AC75">
      <w:pPr>
        <w:spacing w:line="540" w:lineRule="exact"/>
        <w:ind w:right="-99" w:rightChars="-47" w:firstLine="440" w:firstLineChars="200"/>
        <w:rPr>
          <w:rFonts w:hint="eastAsia" w:ascii="仿宋" w:hAnsi="仿宋" w:eastAsia="仿宋" w:cs="仿宋"/>
          <w:sz w:val="22"/>
          <w:szCs w:val="22"/>
        </w:rPr>
      </w:pPr>
      <w:r>
        <w:rPr>
          <w:rFonts w:hint="eastAsia" w:ascii="仿宋" w:hAnsi="仿宋" w:eastAsia="仿宋" w:cs="仿宋"/>
          <w:sz w:val="22"/>
          <w:szCs w:val="22"/>
        </w:rPr>
        <w:t>1、我方提交的磋商响应文件一式</w:t>
      </w:r>
      <w:r>
        <w:rPr>
          <w:rFonts w:hint="eastAsia" w:ascii="仿宋" w:hAnsi="仿宋" w:eastAsia="仿宋" w:cs="仿宋"/>
          <w:sz w:val="22"/>
          <w:szCs w:val="22"/>
          <w:lang w:eastAsia="zh-CN"/>
        </w:rPr>
        <w:t>四</w:t>
      </w:r>
      <w:r>
        <w:rPr>
          <w:rFonts w:hint="eastAsia" w:ascii="仿宋" w:hAnsi="仿宋" w:eastAsia="仿宋" w:cs="仿宋"/>
          <w:sz w:val="22"/>
          <w:szCs w:val="22"/>
        </w:rPr>
        <w:t>份，正本一份，副本</w:t>
      </w:r>
      <w:r>
        <w:rPr>
          <w:rFonts w:hint="eastAsia" w:ascii="仿宋" w:hAnsi="仿宋" w:eastAsia="仿宋" w:cs="仿宋"/>
          <w:sz w:val="22"/>
          <w:szCs w:val="22"/>
          <w:lang w:eastAsia="zh-CN"/>
        </w:rPr>
        <w:t>两</w:t>
      </w:r>
      <w:r>
        <w:rPr>
          <w:rFonts w:hint="eastAsia" w:ascii="仿宋" w:hAnsi="仿宋" w:eastAsia="仿宋" w:cs="仿宋"/>
          <w:sz w:val="22"/>
          <w:szCs w:val="22"/>
        </w:rPr>
        <w:t>份，电子文件（光盘或U盘）一份。</w:t>
      </w:r>
    </w:p>
    <w:p w14:paraId="486666A0">
      <w:pPr>
        <w:spacing w:line="540" w:lineRule="exact"/>
        <w:ind w:right="-99" w:rightChars="-47" w:firstLine="440" w:firstLineChars="200"/>
        <w:rPr>
          <w:rFonts w:hint="eastAsia" w:ascii="仿宋" w:hAnsi="仿宋" w:eastAsia="仿宋" w:cs="仿宋"/>
          <w:sz w:val="22"/>
          <w:szCs w:val="22"/>
        </w:rPr>
      </w:pPr>
      <w:r>
        <w:rPr>
          <w:rFonts w:hint="eastAsia" w:ascii="仿宋" w:hAnsi="仿宋" w:eastAsia="仿宋" w:cs="仿宋"/>
          <w:sz w:val="22"/>
          <w:szCs w:val="22"/>
        </w:rPr>
        <w:t>2、我方所附磋商报价表中应提交和交付的服务磋商</w:t>
      </w:r>
      <w:r>
        <w:rPr>
          <w:rFonts w:hint="eastAsia" w:ascii="仿宋" w:hAnsi="仿宋" w:eastAsia="仿宋" w:cs="仿宋"/>
          <w:sz w:val="22"/>
          <w:szCs w:val="22"/>
          <w:lang w:eastAsia="zh-CN"/>
        </w:rPr>
        <w:t>报价</w:t>
      </w:r>
      <w:r>
        <w:rPr>
          <w:rFonts w:hint="eastAsia" w:ascii="仿宋" w:hAnsi="仿宋" w:eastAsia="仿宋" w:cs="仿宋"/>
          <w:sz w:val="22"/>
          <w:szCs w:val="22"/>
        </w:rPr>
        <w:t>为</w:t>
      </w:r>
      <w:r>
        <w:rPr>
          <w:rFonts w:hint="eastAsia" w:ascii="仿宋" w:hAnsi="仿宋" w:eastAsia="仿宋" w:cs="仿宋"/>
          <w:sz w:val="22"/>
          <w:szCs w:val="22"/>
          <w:lang w:eastAsia="zh-CN"/>
        </w:rPr>
        <w:t>人民币</w:t>
      </w:r>
      <w:r>
        <w:rPr>
          <w:rFonts w:hint="eastAsia" w:ascii="仿宋" w:hAnsi="仿宋" w:eastAsia="仿宋" w:cs="仿宋"/>
          <w:sz w:val="22"/>
          <w:szCs w:val="22"/>
        </w:rPr>
        <w:t>：</w:t>
      </w:r>
      <w:r>
        <w:rPr>
          <w:rFonts w:hint="eastAsia" w:ascii="仿宋" w:hAnsi="仿宋" w:eastAsia="仿宋" w:cs="仿宋"/>
          <w:sz w:val="22"/>
          <w:szCs w:val="22"/>
          <w:u w:val="single"/>
        </w:rPr>
        <w:t>（同时用汉字大写和数字表示的磋商</w:t>
      </w:r>
      <w:r>
        <w:rPr>
          <w:rFonts w:hint="eastAsia" w:ascii="仿宋" w:hAnsi="仿宋" w:eastAsia="仿宋" w:cs="仿宋"/>
          <w:sz w:val="22"/>
          <w:szCs w:val="22"/>
          <w:u w:val="single"/>
          <w:lang w:eastAsia="zh-CN"/>
        </w:rPr>
        <w:t>报价</w:t>
      </w:r>
      <w:r>
        <w:rPr>
          <w:rFonts w:hint="eastAsia" w:ascii="仿宋" w:hAnsi="仿宋" w:eastAsia="仿宋" w:cs="仿宋"/>
          <w:sz w:val="22"/>
          <w:szCs w:val="22"/>
          <w:u w:val="single"/>
        </w:rPr>
        <w:t>）</w:t>
      </w:r>
      <w:r>
        <w:rPr>
          <w:rFonts w:hint="eastAsia" w:ascii="仿宋" w:hAnsi="仿宋" w:eastAsia="仿宋" w:cs="仿宋"/>
          <w:sz w:val="22"/>
          <w:szCs w:val="22"/>
        </w:rPr>
        <w:t>。该报价不受市场因素的影响。</w:t>
      </w:r>
    </w:p>
    <w:p w14:paraId="018A202B">
      <w:pPr>
        <w:spacing w:line="540" w:lineRule="exact"/>
        <w:ind w:right="-99" w:rightChars="-47" w:firstLine="440" w:firstLineChars="200"/>
        <w:rPr>
          <w:rFonts w:hint="eastAsia" w:ascii="仿宋" w:hAnsi="仿宋" w:eastAsia="仿宋" w:cs="仿宋"/>
          <w:sz w:val="22"/>
          <w:szCs w:val="22"/>
        </w:rPr>
      </w:pPr>
      <w:r>
        <w:rPr>
          <w:rFonts w:hint="eastAsia" w:ascii="仿宋" w:hAnsi="仿宋" w:eastAsia="仿宋" w:cs="仿宋"/>
          <w:sz w:val="22"/>
          <w:szCs w:val="22"/>
        </w:rPr>
        <w:t>3、我方已详细审查全部磋商文件，完全理解并同意放弃对这方面有不明及误解质疑、投诉的权力。</w:t>
      </w:r>
    </w:p>
    <w:p w14:paraId="6B2C62B2">
      <w:pPr>
        <w:spacing w:line="540" w:lineRule="exact"/>
        <w:ind w:right="-99" w:rightChars="-47" w:firstLine="440" w:firstLineChars="200"/>
        <w:rPr>
          <w:rFonts w:hint="eastAsia" w:ascii="仿宋" w:hAnsi="仿宋" w:eastAsia="仿宋" w:cs="仿宋"/>
          <w:sz w:val="22"/>
          <w:szCs w:val="22"/>
        </w:rPr>
      </w:pPr>
      <w:r>
        <w:rPr>
          <w:rFonts w:hint="eastAsia" w:ascii="仿宋" w:hAnsi="仿宋" w:eastAsia="仿宋" w:cs="仿宋"/>
          <w:sz w:val="22"/>
          <w:szCs w:val="22"/>
        </w:rPr>
        <w:t>4、我方完全理解并同意磋商文件中有关没收磋商保证金的条款。</w:t>
      </w:r>
    </w:p>
    <w:p w14:paraId="2AC430BA">
      <w:pPr>
        <w:spacing w:line="540" w:lineRule="exact"/>
        <w:ind w:right="-99" w:rightChars="-47" w:firstLine="440" w:firstLineChars="200"/>
        <w:rPr>
          <w:rFonts w:hint="eastAsia" w:ascii="仿宋" w:hAnsi="仿宋" w:eastAsia="仿宋" w:cs="仿宋"/>
          <w:sz w:val="22"/>
          <w:szCs w:val="22"/>
        </w:rPr>
      </w:pPr>
      <w:r>
        <w:rPr>
          <w:rFonts w:hint="eastAsia" w:ascii="仿宋" w:hAnsi="仿宋" w:eastAsia="仿宋" w:cs="仿宋"/>
          <w:sz w:val="22"/>
          <w:szCs w:val="22"/>
        </w:rPr>
        <w:t>5、我方同意按照要求提供磋商有关的一切数据或资料。</w:t>
      </w:r>
    </w:p>
    <w:p w14:paraId="6B99E231">
      <w:pPr>
        <w:spacing w:line="540" w:lineRule="exact"/>
        <w:ind w:right="-99" w:rightChars="-47" w:firstLine="440" w:firstLineChars="200"/>
        <w:rPr>
          <w:rFonts w:hint="eastAsia" w:ascii="仿宋" w:hAnsi="仿宋" w:eastAsia="仿宋" w:cs="仿宋"/>
          <w:sz w:val="22"/>
          <w:szCs w:val="22"/>
        </w:rPr>
      </w:pPr>
      <w:r>
        <w:rPr>
          <w:rFonts w:hint="eastAsia" w:ascii="仿宋" w:hAnsi="仿宋" w:eastAsia="仿宋" w:cs="仿宋"/>
          <w:sz w:val="22"/>
          <w:szCs w:val="22"/>
        </w:rPr>
        <w:t>6、我方将按磋商文件的规定履行合同责任和义务。</w:t>
      </w:r>
    </w:p>
    <w:p w14:paraId="11C951BB">
      <w:pPr>
        <w:spacing w:line="540" w:lineRule="exact"/>
        <w:ind w:right="-99" w:rightChars="-47" w:firstLine="440" w:firstLineChars="200"/>
        <w:rPr>
          <w:rFonts w:hint="eastAsia" w:ascii="仿宋" w:hAnsi="仿宋" w:eastAsia="仿宋" w:cs="仿宋"/>
          <w:sz w:val="22"/>
          <w:szCs w:val="22"/>
        </w:rPr>
      </w:pPr>
      <w:r>
        <w:rPr>
          <w:rFonts w:hint="eastAsia" w:ascii="仿宋" w:hAnsi="仿宋" w:eastAsia="仿宋" w:cs="仿宋"/>
          <w:sz w:val="22"/>
          <w:szCs w:val="22"/>
        </w:rPr>
        <w:t>7、我方完全理解最低报价不是成交的唯一条件，尊重评标委员会的评审结果，并同意放弃对这方面有不明及误解质疑的</w:t>
      </w:r>
      <w:r>
        <w:rPr>
          <w:rFonts w:hint="eastAsia" w:ascii="仿宋" w:hAnsi="仿宋" w:eastAsia="仿宋" w:cs="仿宋"/>
          <w:sz w:val="22"/>
          <w:szCs w:val="22"/>
          <w:lang w:eastAsia="zh-CN"/>
        </w:rPr>
        <w:t>权利</w:t>
      </w:r>
      <w:r>
        <w:rPr>
          <w:rFonts w:hint="eastAsia" w:ascii="仿宋" w:hAnsi="仿宋" w:eastAsia="仿宋" w:cs="仿宋"/>
          <w:sz w:val="22"/>
          <w:szCs w:val="22"/>
        </w:rPr>
        <w:t xml:space="preserve">。 </w:t>
      </w:r>
    </w:p>
    <w:p w14:paraId="32E528E6">
      <w:pPr>
        <w:spacing w:line="540" w:lineRule="exact"/>
        <w:ind w:right="-99" w:rightChars="-47" w:firstLine="440" w:firstLineChars="200"/>
        <w:rPr>
          <w:rFonts w:hint="eastAsia" w:ascii="仿宋" w:hAnsi="仿宋" w:eastAsia="仿宋" w:cs="仿宋"/>
          <w:sz w:val="22"/>
          <w:szCs w:val="22"/>
        </w:rPr>
      </w:pPr>
      <w:r>
        <w:rPr>
          <w:rFonts w:hint="eastAsia" w:ascii="仿宋" w:hAnsi="仿宋" w:eastAsia="仿宋" w:cs="仿宋"/>
          <w:sz w:val="22"/>
          <w:szCs w:val="22"/>
        </w:rPr>
        <w:t>8、我方同意按磋商文件规定，遵守贵方有关磋商的各项规定。</w:t>
      </w:r>
    </w:p>
    <w:p w14:paraId="6A9B7D05">
      <w:pPr>
        <w:spacing w:line="540" w:lineRule="exact"/>
        <w:ind w:right="-99" w:rightChars="-47" w:firstLine="440" w:firstLineChars="200"/>
        <w:rPr>
          <w:rFonts w:hint="eastAsia" w:ascii="仿宋" w:hAnsi="仿宋" w:eastAsia="仿宋" w:cs="仿宋"/>
          <w:sz w:val="22"/>
          <w:szCs w:val="22"/>
        </w:rPr>
      </w:pPr>
      <w:r>
        <w:rPr>
          <w:rFonts w:hint="eastAsia" w:ascii="仿宋" w:hAnsi="仿宋" w:eastAsia="仿宋" w:cs="仿宋"/>
          <w:sz w:val="22"/>
          <w:szCs w:val="22"/>
        </w:rPr>
        <w:t>9、磋商有效期为自磋商之日起</w:t>
      </w:r>
      <w:r>
        <w:rPr>
          <w:rFonts w:hint="eastAsia" w:ascii="仿宋" w:hAnsi="仿宋" w:eastAsia="仿宋" w:cs="仿宋"/>
          <w:sz w:val="22"/>
          <w:szCs w:val="22"/>
          <w:u w:val="single"/>
          <w:lang w:val="en-US" w:eastAsia="zh-CN"/>
        </w:rPr>
        <w:t xml:space="preserve">  90  </w:t>
      </w:r>
      <w:r>
        <w:rPr>
          <w:rFonts w:hint="eastAsia" w:ascii="仿宋" w:hAnsi="仿宋" w:eastAsia="仿宋" w:cs="仿宋"/>
          <w:sz w:val="22"/>
          <w:szCs w:val="22"/>
        </w:rPr>
        <w:t>个日历日。</w:t>
      </w:r>
    </w:p>
    <w:p w14:paraId="233480E3">
      <w:pPr>
        <w:spacing w:line="540" w:lineRule="exact"/>
        <w:ind w:right="-99" w:rightChars="-47"/>
        <w:rPr>
          <w:rFonts w:hint="eastAsia" w:ascii="仿宋" w:hAnsi="仿宋" w:eastAsia="仿宋" w:cs="仿宋"/>
          <w:sz w:val="22"/>
          <w:szCs w:val="22"/>
        </w:rPr>
      </w:pPr>
      <w:r>
        <w:rPr>
          <w:rFonts w:hint="eastAsia" w:ascii="仿宋" w:hAnsi="仿宋" w:eastAsia="仿宋" w:cs="仿宋"/>
          <w:sz w:val="22"/>
          <w:szCs w:val="22"/>
        </w:rPr>
        <w:t xml:space="preserve">    10、所有关于本项目的函电，请按下列地址联系：</w:t>
      </w:r>
    </w:p>
    <w:p w14:paraId="2FCBAC3A">
      <w:pPr>
        <w:spacing w:line="600" w:lineRule="exact"/>
        <w:ind w:right="-99" w:rightChars="-47"/>
        <w:rPr>
          <w:rFonts w:hint="eastAsia" w:ascii="仿宋" w:hAnsi="仿宋" w:eastAsia="仿宋" w:cs="仿宋"/>
          <w:sz w:val="22"/>
          <w:szCs w:val="22"/>
          <w:u w:val="single"/>
        </w:rPr>
      </w:pPr>
      <w:r>
        <w:rPr>
          <w:rFonts w:hint="eastAsia" w:ascii="仿宋" w:hAnsi="仿宋" w:eastAsia="仿宋" w:cs="仿宋"/>
          <w:sz w:val="22"/>
          <w:szCs w:val="22"/>
        </w:rPr>
        <w:t xml:space="preserve">    供应商名称（公章）：</w:t>
      </w:r>
      <w:r>
        <w:rPr>
          <w:rFonts w:hint="eastAsia" w:ascii="仿宋" w:hAnsi="仿宋" w:eastAsia="仿宋" w:cs="仿宋"/>
          <w:sz w:val="22"/>
          <w:szCs w:val="22"/>
          <w:u w:val="single"/>
        </w:rPr>
        <w:t xml:space="preserve">                                </w:t>
      </w:r>
    </w:p>
    <w:p w14:paraId="0EBEACE0">
      <w:pPr>
        <w:spacing w:line="600" w:lineRule="exact"/>
        <w:ind w:right="-99" w:rightChars="-47" w:firstLine="440" w:firstLineChars="200"/>
        <w:rPr>
          <w:rFonts w:hint="eastAsia" w:ascii="仿宋" w:hAnsi="仿宋" w:eastAsia="仿宋" w:cs="仿宋"/>
          <w:sz w:val="22"/>
          <w:szCs w:val="22"/>
          <w:u w:val="single"/>
        </w:rPr>
      </w:pPr>
      <w:r>
        <w:rPr>
          <w:rFonts w:hint="eastAsia" w:ascii="仿宋" w:hAnsi="仿宋" w:eastAsia="仿宋" w:cs="仿宋"/>
          <w:sz w:val="22"/>
          <w:szCs w:val="22"/>
        </w:rPr>
        <w:t>详 细 地 址：</w:t>
      </w:r>
      <w:r>
        <w:rPr>
          <w:rFonts w:hint="eastAsia" w:ascii="仿宋" w:hAnsi="仿宋" w:eastAsia="仿宋" w:cs="仿宋"/>
          <w:sz w:val="22"/>
          <w:szCs w:val="22"/>
          <w:u w:val="single"/>
        </w:rPr>
        <w:t xml:space="preserve">                                      </w:t>
      </w:r>
    </w:p>
    <w:p w14:paraId="742883BF">
      <w:pPr>
        <w:tabs>
          <w:tab w:val="left" w:pos="360"/>
        </w:tabs>
        <w:spacing w:line="600" w:lineRule="exact"/>
        <w:ind w:right="-99" w:rightChars="-47" w:firstLine="440" w:firstLineChars="200"/>
        <w:rPr>
          <w:rFonts w:hint="eastAsia" w:ascii="仿宋" w:hAnsi="仿宋" w:eastAsia="仿宋" w:cs="仿宋"/>
          <w:sz w:val="22"/>
          <w:szCs w:val="22"/>
          <w:u w:val="single"/>
        </w:rPr>
      </w:pPr>
      <w:r>
        <w:rPr>
          <w:rFonts w:hint="eastAsia" w:ascii="仿宋" w:hAnsi="仿宋" w:eastAsia="仿宋" w:cs="仿宋"/>
          <w:sz w:val="22"/>
          <w:szCs w:val="22"/>
        </w:rPr>
        <w:t>邮 政 编 码：</w:t>
      </w:r>
      <w:r>
        <w:rPr>
          <w:rFonts w:hint="eastAsia" w:ascii="仿宋" w:hAnsi="仿宋" w:eastAsia="仿宋" w:cs="仿宋"/>
          <w:sz w:val="22"/>
          <w:szCs w:val="22"/>
          <w:u w:val="single"/>
        </w:rPr>
        <w:t xml:space="preserve">                   </w:t>
      </w:r>
    </w:p>
    <w:p w14:paraId="28BAD7FD">
      <w:pPr>
        <w:autoSpaceDE w:val="0"/>
        <w:autoSpaceDN w:val="0"/>
        <w:adjustRightInd w:val="0"/>
        <w:spacing w:line="600" w:lineRule="exact"/>
        <w:ind w:right="-99" w:rightChars="-47" w:firstLine="440" w:firstLineChars="200"/>
        <w:rPr>
          <w:rFonts w:hint="eastAsia" w:ascii="仿宋" w:hAnsi="仿宋" w:eastAsia="仿宋" w:cs="仿宋"/>
          <w:sz w:val="22"/>
          <w:szCs w:val="22"/>
          <w:u w:val="single"/>
          <w:lang w:val="zh-CN"/>
        </w:rPr>
      </w:pPr>
      <w:r>
        <w:rPr>
          <w:rFonts w:hint="eastAsia" w:ascii="仿宋" w:hAnsi="仿宋" w:eastAsia="仿宋" w:cs="仿宋"/>
          <w:sz w:val="22"/>
          <w:szCs w:val="22"/>
          <w:lang w:val="zh-CN"/>
        </w:rPr>
        <w:t>电       话：</w:t>
      </w:r>
      <w:r>
        <w:rPr>
          <w:rFonts w:hint="eastAsia" w:ascii="仿宋" w:hAnsi="仿宋" w:eastAsia="仿宋" w:cs="仿宋"/>
          <w:sz w:val="22"/>
          <w:szCs w:val="22"/>
          <w:u w:val="single"/>
          <w:lang w:val="zh-CN"/>
        </w:rPr>
        <w:t xml:space="preserve">                   </w:t>
      </w:r>
    </w:p>
    <w:p w14:paraId="22D53F9A">
      <w:pPr>
        <w:autoSpaceDE w:val="0"/>
        <w:autoSpaceDN w:val="0"/>
        <w:adjustRightInd w:val="0"/>
        <w:spacing w:line="600" w:lineRule="exact"/>
        <w:ind w:right="-99" w:rightChars="-47" w:firstLine="440" w:firstLineChars="200"/>
        <w:rPr>
          <w:rFonts w:hint="eastAsia" w:ascii="仿宋" w:hAnsi="仿宋" w:eastAsia="仿宋" w:cs="仿宋"/>
          <w:sz w:val="22"/>
          <w:szCs w:val="22"/>
          <w:lang w:val="zh-CN"/>
        </w:rPr>
      </w:pPr>
      <w:r>
        <w:rPr>
          <w:rFonts w:hint="eastAsia" w:ascii="仿宋" w:hAnsi="仿宋" w:eastAsia="仿宋" w:cs="仿宋"/>
          <w:sz w:val="22"/>
          <w:szCs w:val="22"/>
          <w:lang w:val="zh-CN"/>
        </w:rPr>
        <w:t>传       真：</w:t>
      </w:r>
      <w:r>
        <w:rPr>
          <w:rFonts w:hint="eastAsia" w:ascii="仿宋" w:hAnsi="仿宋" w:eastAsia="仿宋" w:cs="仿宋"/>
          <w:sz w:val="22"/>
          <w:szCs w:val="22"/>
          <w:u w:val="single"/>
          <w:lang w:val="zh-CN"/>
        </w:rPr>
        <w:t xml:space="preserve">                   </w:t>
      </w:r>
    </w:p>
    <w:p w14:paraId="4A248DB0">
      <w:pPr>
        <w:tabs>
          <w:tab w:val="left" w:pos="360"/>
        </w:tabs>
        <w:spacing w:line="600" w:lineRule="exact"/>
        <w:ind w:right="-99" w:rightChars="-47" w:firstLine="440" w:firstLineChars="200"/>
        <w:rPr>
          <w:rFonts w:hint="eastAsia" w:ascii="仿宋" w:hAnsi="仿宋" w:eastAsia="仿宋" w:cs="仿宋"/>
          <w:sz w:val="22"/>
          <w:szCs w:val="22"/>
        </w:rPr>
      </w:pPr>
      <w:r>
        <w:rPr>
          <w:rFonts w:hint="eastAsia" w:ascii="仿宋" w:hAnsi="仿宋" w:eastAsia="仿宋" w:cs="仿宋"/>
          <w:sz w:val="22"/>
          <w:szCs w:val="22"/>
        </w:rPr>
        <w:t>电 子 邮 件：</w:t>
      </w:r>
      <w:r>
        <w:rPr>
          <w:rFonts w:hint="eastAsia" w:ascii="仿宋" w:hAnsi="仿宋" w:eastAsia="仿宋" w:cs="仿宋"/>
          <w:sz w:val="22"/>
          <w:szCs w:val="22"/>
          <w:u w:val="single"/>
        </w:rPr>
        <w:t xml:space="preserve">                   </w:t>
      </w:r>
    </w:p>
    <w:p w14:paraId="1243B567">
      <w:pPr>
        <w:autoSpaceDE w:val="0"/>
        <w:autoSpaceDN w:val="0"/>
        <w:adjustRightInd w:val="0"/>
        <w:spacing w:line="600" w:lineRule="exact"/>
        <w:ind w:right="-99" w:rightChars="-47" w:firstLine="440" w:firstLineChars="200"/>
        <w:rPr>
          <w:rFonts w:hint="eastAsia" w:ascii="仿宋" w:hAnsi="仿宋" w:eastAsia="仿宋" w:cs="仿宋"/>
          <w:sz w:val="22"/>
          <w:szCs w:val="22"/>
          <w:u w:val="single"/>
          <w:lang w:val="zh-CN"/>
        </w:rPr>
      </w:pPr>
      <w:r>
        <w:rPr>
          <w:rFonts w:hint="eastAsia" w:ascii="仿宋" w:hAnsi="仿宋" w:eastAsia="仿宋" w:cs="仿宋"/>
          <w:sz w:val="22"/>
          <w:szCs w:val="22"/>
          <w:lang w:val="zh-CN"/>
        </w:rPr>
        <w:t>开 户 银 行：</w:t>
      </w:r>
      <w:r>
        <w:rPr>
          <w:rFonts w:hint="eastAsia" w:ascii="仿宋" w:hAnsi="仿宋" w:eastAsia="仿宋" w:cs="仿宋"/>
          <w:sz w:val="22"/>
          <w:szCs w:val="22"/>
          <w:u w:val="single"/>
          <w:lang w:val="zh-CN"/>
        </w:rPr>
        <w:t xml:space="preserve">                   </w:t>
      </w:r>
    </w:p>
    <w:p w14:paraId="728FCB3F">
      <w:pPr>
        <w:autoSpaceDE w:val="0"/>
        <w:autoSpaceDN w:val="0"/>
        <w:adjustRightInd w:val="0"/>
        <w:spacing w:line="600" w:lineRule="exact"/>
        <w:ind w:right="-99" w:rightChars="-47" w:firstLine="440" w:firstLineChars="200"/>
        <w:rPr>
          <w:rFonts w:hint="eastAsia" w:ascii="仿宋" w:hAnsi="仿宋" w:eastAsia="仿宋" w:cs="仿宋"/>
          <w:sz w:val="22"/>
          <w:szCs w:val="22"/>
          <w:lang w:val="zh-CN"/>
        </w:rPr>
      </w:pPr>
      <w:r>
        <w:rPr>
          <w:rFonts w:hint="eastAsia" w:ascii="仿宋" w:hAnsi="仿宋" w:eastAsia="仿宋" w:cs="仿宋"/>
          <w:sz w:val="22"/>
          <w:szCs w:val="22"/>
          <w:lang w:val="zh-CN"/>
        </w:rPr>
        <w:t>帐       号：</w:t>
      </w:r>
      <w:r>
        <w:rPr>
          <w:rFonts w:hint="eastAsia" w:ascii="仿宋" w:hAnsi="仿宋" w:eastAsia="仿宋" w:cs="仿宋"/>
          <w:sz w:val="22"/>
          <w:szCs w:val="22"/>
          <w:u w:val="single"/>
          <w:lang w:val="zh-CN"/>
        </w:rPr>
        <w:t xml:space="preserve">                   </w:t>
      </w:r>
    </w:p>
    <w:p w14:paraId="5AF775F9">
      <w:pPr>
        <w:autoSpaceDE w:val="0"/>
        <w:autoSpaceDN w:val="0"/>
        <w:adjustRightInd w:val="0"/>
        <w:spacing w:line="480" w:lineRule="exact"/>
        <w:ind w:right="-99" w:rightChars="-47" w:hanging="600"/>
        <w:rPr>
          <w:rFonts w:hint="eastAsia" w:ascii="仿宋" w:hAnsi="仿宋" w:eastAsia="仿宋" w:cs="仿宋"/>
          <w:sz w:val="22"/>
          <w:szCs w:val="22"/>
          <w:lang w:val="zh-CN"/>
        </w:rPr>
      </w:pPr>
      <w:r>
        <w:rPr>
          <w:rFonts w:hint="eastAsia" w:ascii="仿宋" w:hAnsi="仿宋" w:eastAsia="仿宋" w:cs="仿宋"/>
          <w:sz w:val="22"/>
          <w:szCs w:val="22"/>
          <w:lang w:val="zh-CN"/>
        </w:rPr>
        <w:t xml:space="preserve">             </w:t>
      </w:r>
    </w:p>
    <w:p w14:paraId="237C6FA7">
      <w:pPr>
        <w:autoSpaceDE w:val="0"/>
        <w:autoSpaceDN w:val="0"/>
        <w:adjustRightInd w:val="0"/>
        <w:spacing w:line="480" w:lineRule="exact"/>
        <w:ind w:right="-99" w:rightChars="-47" w:hanging="600"/>
        <w:rPr>
          <w:rFonts w:hint="eastAsia" w:ascii="仿宋" w:hAnsi="仿宋" w:eastAsia="仿宋" w:cs="仿宋"/>
          <w:sz w:val="22"/>
          <w:szCs w:val="22"/>
          <w:lang w:val="zh-CN"/>
        </w:rPr>
      </w:pPr>
    </w:p>
    <w:p w14:paraId="659A24AF">
      <w:pPr>
        <w:autoSpaceDE w:val="0"/>
        <w:autoSpaceDN w:val="0"/>
        <w:adjustRightInd w:val="0"/>
        <w:spacing w:line="480" w:lineRule="exact"/>
        <w:ind w:right="-99" w:rightChars="-47" w:hanging="600"/>
        <w:rPr>
          <w:rFonts w:hint="eastAsia" w:ascii="仿宋" w:hAnsi="仿宋" w:eastAsia="仿宋" w:cs="仿宋"/>
          <w:sz w:val="22"/>
          <w:szCs w:val="22"/>
          <w:lang w:val="zh-CN"/>
        </w:rPr>
      </w:pPr>
    </w:p>
    <w:p w14:paraId="7102D11C">
      <w:pPr>
        <w:autoSpaceDE w:val="0"/>
        <w:autoSpaceDN w:val="0"/>
        <w:adjustRightInd w:val="0"/>
        <w:spacing w:line="480" w:lineRule="exact"/>
        <w:ind w:right="-99" w:rightChars="-47" w:hanging="600"/>
        <w:rPr>
          <w:rFonts w:hint="eastAsia" w:ascii="仿宋" w:hAnsi="仿宋" w:eastAsia="仿宋" w:cs="仿宋"/>
          <w:sz w:val="22"/>
          <w:szCs w:val="22"/>
          <w:lang w:val="zh-CN"/>
        </w:rPr>
      </w:pPr>
    </w:p>
    <w:p w14:paraId="14E2AFC0">
      <w:pPr>
        <w:autoSpaceDE w:val="0"/>
        <w:autoSpaceDN w:val="0"/>
        <w:adjustRightInd w:val="0"/>
        <w:spacing w:line="480" w:lineRule="exact"/>
        <w:ind w:right="-99" w:rightChars="-47" w:hanging="600"/>
        <w:rPr>
          <w:rFonts w:hint="eastAsia" w:ascii="仿宋" w:hAnsi="仿宋" w:eastAsia="仿宋" w:cs="仿宋"/>
          <w:sz w:val="22"/>
          <w:szCs w:val="22"/>
          <w:lang w:val="zh-CN"/>
        </w:rPr>
      </w:pPr>
    </w:p>
    <w:p w14:paraId="43B3FD75">
      <w:pPr>
        <w:autoSpaceDE w:val="0"/>
        <w:autoSpaceDN w:val="0"/>
        <w:adjustRightInd w:val="0"/>
        <w:spacing w:line="480" w:lineRule="exact"/>
        <w:ind w:right="-99" w:rightChars="-47"/>
        <w:rPr>
          <w:rFonts w:hint="eastAsia" w:ascii="仿宋" w:hAnsi="仿宋" w:eastAsia="仿宋" w:cs="仿宋"/>
          <w:sz w:val="22"/>
          <w:szCs w:val="22"/>
          <w:lang w:val="zh-CN"/>
        </w:rPr>
      </w:pPr>
    </w:p>
    <w:p w14:paraId="401ABBF1">
      <w:pPr>
        <w:tabs>
          <w:tab w:val="left" w:pos="7492"/>
        </w:tabs>
        <w:autoSpaceDE w:val="0"/>
        <w:autoSpaceDN w:val="0"/>
        <w:adjustRightInd w:val="0"/>
        <w:spacing w:line="480" w:lineRule="exact"/>
        <w:ind w:right="-99" w:rightChars="-47"/>
        <w:rPr>
          <w:rFonts w:hint="eastAsia" w:ascii="仿宋" w:hAnsi="仿宋" w:eastAsia="仿宋" w:cs="仿宋"/>
          <w:sz w:val="22"/>
          <w:szCs w:val="22"/>
          <w:lang w:val="zh-CN"/>
        </w:rPr>
      </w:pPr>
      <w:r>
        <w:rPr>
          <w:rFonts w:hint="eastAsia" w:ascii="仿宋" w:hAnsi="仿宋" w:eastAsia="仿宋" w:cs="仿宋"/>
          <w:sz w:val="22"/>
          <w:szCs w:val="22"/>
          <w:lang w:val="zh-CN"/>
        </w:rPr>
        <w:tab/>
      </w:r>
    </w:p>
    <w:p w14:paraId="46CCC857">
      <w:pPr>
        <w:autoSpaceDE w:val="0"/>
        <w:autoSpaceDN w:val="0"/>
        <w:adjustRightInd w:val="0"/>
        <w:spacing w:line="480" w:lineRule="exact"/>
        <w:ind w:right="-99" w:rightChars="-47" w:firstLine="3080" w:firstLineChars="1400"/>
        <w:rPr>
          <w:rFonts w:hint="eastAsia" w:ascii="仿宋" w:hAnsi="仿宋" w:eastAsia="仿宋" w:cs="仿宋"/>
          <w:sz w:val="22"/>
          <w:szCs w:val="22"/>
        </w:rPr>
      </w:pPr>
      <w:r>
        <w:rPr>
          <w:rFonts w:hint="eastAsia" w:ascii="仿宋" w:hAnsi="仿宋" w:eastAsia="仿宋" w:cs="仿宋"/>
          <w:sz w:val="22"/>
          <w:szCs w:val="22"/>
          <w:lang w:val="zh-CN" w:eastAsia="zh-CN"/>
        </w:rPr>
        <w:t>法定代表人或授权代表</w:t>
      </w:r>
      <w:r>
        <w:rPr>
          <w:rFonts w:hint="eastAsia" w:ascii="仿宋" w:hAnsi="仿宋" w:eastAsia="仿宋" w:cs="仿宋"/>
          <w:sz w:val="22"/>
          <w:szCs w:val="22"/>
          <w:lang w:val="zh-CN"/>
        </w:rPr>
        <w:t>签名：</w:t>
      </w:r>
      <w:r>
        <w:rPr>
          <w:rFonts w:hint="eastAsia" w:ascii="仿宋" w:hAnsi="仿宋" w:eastAsia="仿宋" w:cs="仿宋"/>
          <w:sz w:val="22"/>
          <w:szCs w:val="22"/>
          <w:u w:val="single"/>
        </w:rPr>
        <w:t xml:space="preserve">               </w:t>
      </w:r>
    </w:p>
    <w:p w14:paraId="0E77F3A6">
      <w:pPr>
        <w:autoSpaceDE w:val="0"/>
        <w:autoSpaceDN w:val="0"/>
        <w:adjustRightInd w:val="0"/>
        <w:spacing w:line="480" w:lineRule="exact"/>
        <w:ind w:right="-99" w:rightChars="-47" w:firstLine="4290" w:firstLineChars="1950"/>
        <w:rPr>
          <w:rFonts w:hint="eastAsia" w:ascii="仿宋" w:hAnsi="仿宋" w:eastAsia="仿宋" w:cs="仿宋"/>
          <w:sz w:val="22"/>
          <w:szCs w:val="22"/>
          <w:u w:val="single"/>
          <w:lang w:val="zh-CN"/>
        </w:rPr>
      </w:pPr>
      <w:r>
        <w:rPr>
          <w:rFonts w:hint="eastAsia" w:ascii="仿宋" w:hAnsi="仿宋" w:eastAsia="仿宋" w:cs="仿宋"/>
          <w:sz w:val="22"/>
          <w:szCs w:val="22"/>
          <w:lang w:val="zh-CN"/>
        </w:rPr>
        <w:t>联系电话/手机：</w:t>
      </w:r>
      <w:r>
        <w:rPr>
          <w:rFonts w:hint="eastAsia" w:ascii="仿宋" w:hAnsi="仿宋" w:eastAsia="仿宋" w:cs="仿宋"/>
          <w:sz w:val="22"/>
          <w:szCs w:val="22"/>
          <w:u w:val="single"/>
          <w:lang w:val="zh-CN"/>
        </w:rPr>
        <w:t xml:space="preserve">               </w:t>
      </w:r>
      <w:r>
        <w:rPr>
          <w:rFonts w:hint="eastAsia" w:ascii="仿宋" w:hAnsi="仿宋" w:eastAsia="仿宋" w:cs="仿宋"/>
          <w:sz w:val="22"/>
          <w:szCs w:val="22"/>
        </w:rPr>
        <w:t xml:space="preserve">  </w:t>
      </w:r>
    </w:p>
    <w:p w14:paraId="1A8E7934">
      <w:pPr>
        <w:spacing w:line="480" w:lineRule="exact"/>
        <w:ind w:right="-99" w:rightChars="-47"/>
        <w:jc w:val="center"/>
        <w:rPr>
          <w:rFonts w:hint="eastAsia" w:ascii="仿宋" w:hAnsi="仿宋" w:eastAsia="仿宋" w:cs="仿宋"/>
          <w:sz w:val="22"/>
          <w:szCs w:val="22"/>
        </w:rPr>
      </w:pPr>
      <w:r>
        <w:rPr>
          <w:rFonts w:hint="eastAsia" w:ascii="仿宋" w:hAnsi="仿宋" w:eastAsia="仿宋" w:cs="仿宋"/>
          <w:sz w:val="22"/>
          <w:szCs w:val="22"/>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年</w:t>
      </w:r>
      <w:r>
        <w:rPr>
          <w:rFonts w:hint="eastAsia" w:ascii="仿宋" w:hAnsi="仿宋" w:eastAsia="仿宋" w:cs="仿宋"/>
          <w:sz w:val="22"/>
          <w:szCs w:val="22"/>
          <w:u w:val="single"/>
        </w:rPr>
        <w:t xml:space="preserve">  </w:t>
      </w:r>
      <w:r>
        <w:rPr>
          <w:rFonts w:hint="eastAsia" w:ascii="仿宋" w:hAnsi="仿宋" w:eastAsia="仿宋" w:cs="仿宋"/>
          <w:sz w:val="22"/>
          <w:szCs w:val="22"/>
        </w:rPr>
        <w:t>月</w:t>
      </w:r>
      <w:r>
        <w:rPr>
          <w:rFonts w:hint="eastAsia" w:ascii="仿宋" w:hAnsi="仿宋" w:eastAsia="仿宋" w:cs="仿宋"/>
          <w:sz w:val="22"/>
          <w:szCs w:val="22"/>
          <w:u w:val="single"/>
        </w:rPr>
        <w:t xml:space="preserve">  </w:t>
      </w:r>
      <w:r>
        <w:rPr>
          <w:rFonts w:hint="eastAsia" w:ascii="仿宋" w:hAnsi="仿宋" w:eastAsia="仿宋" w:cs="仿宋"/>
          <w:sz w:val="22"/>
          <w:szCs w:val="22"/>
        </w:rPr>
        <w:t>日</w:t>
      </w:r>
    </w:p>
    <w:p w14:paraId="4628A487">
      <w:pPr>
        <w:spacing w:line="480" w:lineRule="exact"/>
        <w:ind w:right="-99" w:rightChars="-47"/>
        <w:jc w:val="center"/>
        <w:rPr>
          <w:rFonts w:hint="eastAsia" w:ascii="仿宋" w:hAnsi="仿宋" w:eastAsia="仿宋" w:cs="仿宋"/>
          <w:sz w:val="22"/>
          <w:szCs w:val="22"/>
        </w:rPr>
        <w:sectPr>
          <w:pgSz w:w="11907" w:h="16840"/>
          <w:pgMar w:top="1440" w:right="1803" w:bottom="1440" w:left="1803" w:header="907" w:footer="654" w:gutter="0"/>
          <w:pgNumType w:fmt="decimal"/>
          <w:cols w:space="720" w:num="1"/>
          <w:docGrid w:linePitch="312" w:charSpace="0"/>
        </w:sectPr>
      </w:pPr>
    </w:p>
    <w:p w14:paraId="77ECBAFB">
      <w:pPr>
        <w:pStyle w:val="3"/>
        <w:spacing w:line="240" w:lineRule="auto"/>
        <w:rPr>
          <w:rFonts w:hint="eastAsia" w:ascii="仿宋" w:hAnsi="仿宋" w:eastAsia="仿宋" w:cs="仿宋"/>
          <w:sz w:val="24"/>
        </w:rPr>
      </w:pPr>
      <w:bookmarkStart w:id="231" w:name="_Toc188808834"/>
      <w:bookmarkStart w:id="232" w:name="_Toc194663919"/>
      <w:bookmarkStart w:id="233" w:name="_Toc193126882"/>
      <w:bookmarkStart w:id="234" w:name="_Toc193187098"/>
      <w:r>
        <w:rPr>
          <w:rFonts w:hint="eastAsia" w:ascii="仿宋" w:hAnsi="仿宋" w:eastAsia="仿宋" w:cs="仿宋"/>
          <w:sz w:val="28"/>
          <w:szCs w:val="28"/>
        </w:rPr>
        <w:t>2-1、磋商报价一览表（格式）</w:t>
      </w:r>
      <w:bookmarkEnd w:id="231"/>
      <w:bookmarkEnd w:id="232"/>
      <w:bookmarkEnd w:id="233"/>
      <w:bookmarkEnd w:id="234"/>
      <w:r>
        <w:rPr>
          <w:rFonts w:hint="eastAsia" w:ascii="仿宋" w:hAnsi="仿宋" w:eastAsia="仿宋" w:cs="仿宋"/>
          <w:sz w:val="28"/>
          <w:szCs w:val="28"/>
        </w:rPr>
        <w:t xml:space="preserve">                                                               </w:t>
      </w:r>
    </w:p>
    <w:p w14:paraId="4CA82444">
      <w:pPr>
        <w:spacing w:line="480" w:lineRule="exact"/>
        <w:ind w:left="210" w:leftChars="100" w:right="-99" w:rightChars="-47"/>
        <w:jc w:val="center"/>
        <w:rPr>
          <w:rFonts w:hint="eastAsia" w:ascii="仿宋" w:hAnsi="仿宋" w:eastAsia="仿宋" w:cs="仿宋"/>
          <w:b/>
          <w:bCs/>
          <w:sz w:val="36"/>
          <w:szCs w:val="21"/>
        </w:rPr>
      </w:pPr>
      <w:r>
        <w:rPr>
          <w:rFonts w:hint="eastAsia" w:ascii="仿宋" w:hAnsi="仿宋" w:eastAsia="仿宋" w:cs="仿宋"/>
          <w:b/>
          <w:bCs/>
          <w:sz w:val="36"/>
          <w:szCs w:val="36"/>
        </w:rPr>
        <w:t>磋商报价一览表</w:t>
      </w:r>
    </w:p>
    <w:p w14:paraId="1B4DE779">
      <w:pPr>
        <w:spacing w:line="540" w:lineRule="exact"/>
        <w:ind w:right="-99" w:rightChars="-47" w:firstLine="440" w:firstLineChars="200"/>
        <w:rPr>
          <w:rFonts w:hint="eastAsia" w:ascii="仿宋" w:hAnsi="仿宋" w:eastAsia="仿宋" w:cs="仿宋"/>
          <w:sz w:val="22"/>
          <w:szCs w:val="22"/>
        </w:rPr>
      </w:pPr>
      <w:r>
        <w:rPr>
          <w:rFonts w:hint="eastAsia" w:ascii="仿宋" w:hAnsi="仿宋" w:eastAsia="仿宋" w:cs="仿宋"/>
          <w:sz w:val="22"/>
          <w:szCs w:val="22"/>
        </w:rPr>
        <w:t xml:space="preserve">                                                                      </w:t>
      </w:r>
    </w:p>
    <w:tbl>
      <w:tblPr>
        <w:tblStyle w:val="44"/>
        <w:tblW w:w="1469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48"/>
        <w:gridCol w:w="4399"/>
        <w:gridCol w:w="4460"/>
        <w:gridCol w:w="2792"/>
      </w:tblGrid>
      <w:tr w14:paraId="6ED3A7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632" w:hRule="atLeast"/>
          <w:jc w:val="center"/>
        </w:trPr>
        <w:tc>
          <w:tcPr>
            <w:tcW w:w="3048" w:type="dxa"/>
            <w:vAlign w:val="center"/>
          </w:tcPr>
          <w:p w14:paraId="197DC8FF">
            <w:pPr>
              <w:keepNext w:val="0"/>
              <w:keepLines w:val="0"/>
              <w:suppressLineNumbers w:val="0"/>
              <w:spacing w:before="0" w:beforeAutospacing="0" w:after="0" w:afterAutospacing="0" w:line="540" w:lineRule="exact"/>
              <w:ind w:left="0" w:right="-99" w:rightChars="-47"/>
              <w:jc w:val="center"/>
              <w:rPr>
                <w:rFonts w:hint="eastAsia" w:ascii="仿宋" w:hAnsi="仿宋" w:eastAsia="仿宋" w:cs="仿宋"/>
                <w:b/>
                <w:bCs/>
                <w:sz w:val="22"/>
                <w:szCs w:val="22"/>
              </w:rPr>
            </w:pPr>
            <w:r>
              <w:rPr>
                <w:rFonts w:hint="eastAsia" w:ascii="仿宋" w:hAnsi="仿宋" w:eastAsia="仿宋" w:cs="仿宋"/>
                <w:b/>
                <w:bCs/>
                <w:sz w:val="22"/>
                <w:szCs w:val="22"/>
              </w:rPr>
              <w:t>项目编号</w:t>
            </w:r>
          </w:p>
        </w:tc>
        <w:tc>
          <w:tcPr>
            <w:tcW w:w="4399" w:type="dxa"/>
            <w:vAlign w:val="center"/>
          </w:tcPr>
          <w:p w14:paraId="517DF8B5">
            <w:pPr>
              <w:keepNext w:val="0"/>
              <w:keepLines w:val="0"/>
              <w:suppressLineNumbers w:val="0"/>
              <w:spacing w:before="0" w:beforeAutospacing="0" w:after="0" w:afterAutospacing="0" w:line="540" w:lineRule="exact"/>
              <w:ind w:left="0" w:leftChars="0" w:right="-99" w:rightChars="-47"/>
              <w:jc w:val="center"/>
              <w:rPr>
                <w:rFonts w:hint="eastAsia" w:ascii="仿宋" w:hAnsi="仿宋" w:eastAsia="仿宋" w:cs="仿宋"/>
                <w:b/>
                <w:bCs/>
                <w:sz w:val="22"/>
                <w:szCs w:val="22"/>
              </w:rPr>
            </w:pPr>
            <w:r>
              <w:rPr>
                <w:rFonts w:hint="eastAsia" w:ascii="仿宋" w:hAnsi="仿宋" w:eastAsia="仿宋" w:cs="仿宋"/>
                <w:b/>
                <w:bCs/>
                <w:sz w:val="22"/>
                <w:szCs w:val="22"/>
              </w:rPr>
              <w:t>磋商报价</w:t>
            </w:r>
          </w:p>
        </w:tc>
        <w:tc>
          <w:tcPr>
            <w:tcW w:w="4460" w:type="dxa"/>
            <w:vAlign w:val="center"/>
          </w:tcPr>
          <w:p w14:paraId="31506C1B">
            <w:pPr>
              <w:keepNext w:val="0"/>
              <w:keepLines w:val="0"/>
              <w:suppressLineNumbers w:val="0"/>
              <w:spacing w:before="0" w:beforeAutospacing="0" w:after="0" w:afterAutospacing="0" w:line="540" w:lineRule="exact"/>
              <w:ind w:left="0" w:right="-99" w:rightChars="-47"/>
              <w:jc w:val="center"/>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服务期</w:t>
            </w:r>
          </w:p>
        </w:tc>
        <w:tc>
          <w:tcPr>
            <w:tcW w:w="2792" w:type="dxa"/>
            <w:vAlign w:val="center"/>
          </w:tcPr>
          <w:p w14:paraId="0C265DED">
            <w:pPr>
              <w:keepNext w:val="0"/>
              <w:keepLines w:val="0"/>
              <w:suppressLineNumbers w:val="0"/>
              <w:spacing w:before="0" w:beforeAutospacing="0" w:after="0" w:afterAutospacing="0" w:line="540" w:lineRule="exact"/>
              <w:ind w:left="0" w:right="-99" w:rightChars="-47"/>
              <w:jc w:val="center"/>
              <w:rPr>
                <w:rFonts w:hint="eastAsia" w:ascii="仿宋" w:hAnsi="仿宋" w:eastAsia="仿宋" w:cs="仿宋"/>
                <w:b/>
                <w:bCs/>
                <w:sz w:val="22"/>
                <w:szCs w:val="22"/>
                <w:lang w:eastAsia="zh-CN"/>
              </w:rPr>
            </w:pPr>
            <w:r>
              <w:rPr>
                <w:rFonts w:hint="eastAsia" w:ascii="仿宋" w:hAnsi="仿宋" w:eastAsia="仿宋" w:cs="仿宋"/>
                <w:b/>
                <w:bCs/>
                <w:sz w:val="22"/>
                <w:szCs w:val="22"/>
                <w:lang w:eastAsia="zh-CN"/>
              </w:rPr>
              <w:t>质量</w:t>
            </w:r>
          </w:p>
        </w:tc>
      </w:tr>
      <w:tr w14:paraId="0D4928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723" w:hRule="atLeast"/>
          <w:jc w:val="center"/>
        </w:trPr>
        <w:tc>
          <w:tcPr>
            <w:tcW w:w="3048" w:type="dxa"/>
            <w:vMerge w:val="restart"/>
            <w:vAlign w:val="center"/>
          </w:tcPr>
          <w:p w14:paraId="031692E8">
            <w:pPr>
              <w:keepNext w:val="0"/>
              <w:keepLines w:val="0"/>
              <w:suppressLineNumbers w:val="0"/>
              <w:spacing w:before="0" w:beforeAutospacing="0" w:after="0" w:afterAutospacing="0" w:line="540" w:lineRule="exact"/>
              <w:ind w:left="0" w:right="-99" w:rightChars="-47"/>
              <w:jc w:val="center"/>
              <w:rPr>
                <w:rFonts w:hint="eastAsia" w:ascii="仿宋" w:hAnsi="仿宋" w:eastAsia="仿宋" w:cs="仿宋"/>
                <w:sz w:val="22"/>
                <w:szCs w:val="22"/>
                <w:lang w:eastAsia="zh-CN"/>
              </w:rPr>
            </w:pPr>
            <w:r>
              <w:rPr>
                <w:rFonts w:hint="eastAsia" w:ascii="仿宋" w:hAnsi="仿宋" w:eastAsia="仿宋" w:cs="仿宋"/>
                <w:b/>
                <w:bCs/>
                <w:sz w:val="22"/>
                <w:szCs w:val="22"/>
                <w:lang w:eastAsia="zh-CN"/>
              </w:rPr>
              <w:t>ZCBN-勉县-2025-00009</w:t>
            </w:r>
          </w:p>
        </w:tc>
        <w:tc>
          <w:tcPr>
            <w:tcW w:w="4399" w:type="dxa"/>
            <w:vAlign w:val="center"/>
          </w:tcPr>
          <w:p w14:paraId="284ABE47">
            <w:pPr>
              <w:keepNext w:val="0"/>
              <w:keepLines w:val="0"/>
              <w:suppressLineNumbers w:val="0"/>
              <w:spacing w:before="0" w:beforeAutospacing="0" w:after="0" w:afterAutospacing="0" w:line="540" w:lineRule="exact"/>
              <w:ind w:left="0" w:leftChars="0" w:right="-99" w:rightChars="-47" w:firstLine="440" w:firstLineChars="200"/>
              <w:jc w:val="center"/>
              <w:rPr>
                <w:rFonts w:hint="eastAsia" w:ascii="仿宋" w:hAnsi="仿宋" w:eastAsia="仿宋" w:cs="仿宋"/>
                <w:sz w:val="22"/>
                <w:szCs w:val="22"/>
                <w:lang w:val="en-US" w:eastAsia="zh-CN"/>
              </w:rPr>
            </w:pPr>
          </w:p>
        </w:tc>
        <w:tc>
          <w:tcPr>
            <w:tcW w:w="4460" w:type="dxa"/>
          </w:tcPr>
          <w:p w14:paraId="01011757">
            <w:pPr>
              <w:keepNext w:val="0"/>
              <w:keepLines w:val="0"/>
              <w:suppressLineNumbers w:val="0"/>
              <w:spacing w:before="0" w:beforeAutospacing="0" w:after="0" w:afterAutospacing="0" w:line="540" w:lineRule="exact"/>
              <w:ind w:left="0" w:right="-99" w:rightChars="-47" w:firstLine="440" w:firstLineChars="200"/>
              <w:jc w:val="center"/>
              <w:rPr>
                <w:rFonts w:hint="eastAsia" w:ascii="仿宋" w:hAnsi="仿宋" w:eastAsia="仿宋" w:cs="仿宋"/>
                <w:sz w:val="22"/>
                <w:szCs w:val="22"/>
              </w:rPr>
            </w:pPr>
          </w:p>
        </w:tc>
        <w:tc>
          <w:tcPr>
            <w:tcW w:w="2792" w:type="dxa"/>
            <w:vAlign w:val="center"/>
          </w:tcPr>
          <w:p w14:paraId="5AA93687">
            <w:pPr>
              <w:keepNext w:val="0"/>
              <w:keepLines w:val="0"/>
              <w:suppressLineNumbers w:val="0"/>
              <w:spacing w:before="0" w:beforeAutospacing="0" w:after="0" w:afterAutospacing="0" w:line="540" w:lineRule="exact"/>
              <w:ind w:left="0" w:right="-99" w:rightChars="-47"/>
              <w:jc w:val="center"/>
              <w:rPr>
                <w:rFonts w:hint="eastAsia" w:ascii="仿宋" w:hAnsi="仿宋" w:eastAsia="仿宋" w:cs="仿宋"/>
                <w:sz w:val="22"/>
                <w:szCs w:val="22"/>
                <w:lang w:val="en-US" w:eastAsia="zh-CN"/>
              </w:rPr>
            </w:pPr>
            <w:r>
              <w:rPr>
                <w:rFonts w:hint="eastAsia" w:ascii="仿宋" w:hAnsi="仿宋" w:eastAsia="仿宋" w:cs="仿宋"/>
                <w:sz w:val="22"/>
                <w:szCs w:val="22"/>
                <w:lang w:eastAsia="zh-CN"/>
              </w:rPr>
              <w:t>合格</w:t>
            </w:r>
          </w:p>
        </w:tc>
      </w:tr>
      <w:tr w14:paraId="424B2B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48" w:type="dxa"/>
            <w:vMerge w:val="continue"/>
            <w:tcMar>
              <w:top w:w="57" w:type="dxa"/>
              <w:left w:w="28" w:type="dxa"/>
              <w:bottom w:w="57" w:type="dxa"/>
              <w:right w:w="28" w:type="dxa"/>
            </w:tcMar>
            <w:vAlign w:val="center"/>
          </w:tcPr>
          <w:p w14:paraId="0240849B">
            <w:pPr>
              <w:keepNext w:val="0"/>
              <w:keepLines w:val="0"/>
              <w:suppressLineNumbers w:val="0"/>
              <w:spacing w:before="0" w:beforeAutospacing="0" w:after="0" w:afterAutospacing="0" w:line="540" w:lineRule="exact"/>
              <w:ind w:left="0" w:right="-99" w:rightChars="-47" w:firstLine="440" w:firstLineChars="200"/>
              <w:jc w:val="center"/>
              <w:rPr>
                <w:rFonts w:hint="eastAsia" w:ascii="仿宋" w:hAnsi="仿宋" w:eastAsia="仿宋" w:cs="仿宋"/>
                <w:sz w:val="22"/>
                <w:szCs w:val="22"/>
              </w:rPr>
            </w:pPr>
          </w:p>
        </w:tc>
        <w:tc>
          <w:tcPr>
            <w:tcW w:w="11651" w:type="dxa"/>
            <w:gridSpan w:val="3"/>
          </w:tcPr>
          <w:p w14:paraId="39080926">
            <w:pPr>
              <w:keepNext w:val="0"/>
              <w:keepLines w:val="0"/>
              <w:suppressLineNumbers w:val="0"/>
              <w:spacing w:before="0" w:beforeAutospacing="0" w:after="0" w:afterAutospacing="0" w:line="540" w:lineRule="exact"/>
              <w:ind w:left="0" w:right="-99" w:rightChars="-47"/>
              <w:jc w:val="left"/>
              <w:rPr>
                <w:rFonts w:hint="eastAsia" w:ascii="仿宋" w:hAnsi="仿宋" w:eastAsia="仿宋" w:cs="仿宋"/>
                <w:sz w:val="22"/>
                <w:szCs w:val="22"/>
              </w:rPr>
            </w:pPr>
            <w:r>
              <w:rPr>
                <w:rFonts w:hint="eastAsia" w:ascii="仿宋" w:hAnsi="仿宋" w:eastAsia="仿宋" w:cs="仿宋"/>
                <w:sz w:val="22"/>
                <w:szCs w:val="22"/>
              </w:rPr>
              <w:t>（大写）</w:t>
            </w:r>
          </w:p>
        </w:tc>
      </w:tr>
    </w:tbl>
    <w:p w14:paraId="6E14D5FA">
      <w:pPr>
        <w:spacing w:line="540" w:lineRule="exact"/>
        <w:ind w:right="-99" w:rightChars="-47" w:firstLine="440" w:firstLineChars="200"/>
        <w:rPr>
          <w:rFonts w:hint="eastAsia" w:ascii="仿宋" w:hAnsi="仿宋" w:eastAsia="仿宋" w:cs="仿宋"/>
          <w:sz w:val="22"/>
          <w:szCs w:val="22"/>
        </w:rPr>
      </w:pPr>
      <w:r>
        <w:rPr>
          <w:rFonts w:hint="eastAsia" w:ascii="仿宋" w:hAnsi="仿宋" w:eastAsia="仿宋" w:cs="仿宋"/>
          <w:sz w:val="22"/>
          <w:szCs w:val="22"/>
        </w:rPr>
        <w:t xml:space="preserve"> 注：1、本表价格应按磋商总价填写，同时应保证磋商响应文件的正、副本中仍有此表且一致</w:t>
      </w:r>
      <w:r>
        <w:rPr>
          <w:rFonts w:hint="eastAsia" w:ascii="仿宋" w:hAnsi="仿宋" w:eastAsia="仿宋" w:cs="仿宋"/>
          <w:sz w:val="22"/>
          <w:szCs w:val="22"/>
          <w:lang w:eastAsia="zh-CN"/>
        </w:rPr>
        <w:t>；</w:t>
      </w:r>
      <w:r>
        <w:rPr>
          <w:rFonts w:hint="eastAsia" w:ascii="仿宋" w:hAnsi="仿宋" w:eastAsia="仿宋" w:cs="仿宋"/>
          <w:sz w:val="22"/>
          <w:szCs w:val="22"/>
        </w:rPr>
        <w:t>2、此表中任何信息与响应文件其他处不一致时以此表为准</w:t>
      </w:r>
      <w:r>
        <w:rPr>
          <w:rFonts w:hint="eastAsia" w:ascii="仿宋" w:hAnsi="仿宋" w:eastAsia="仿宋" w:cs="仿宋"/>
          <w:sz w:val="22"/>
          <w:szCs w:val="22"/>
          <w:lang w:eastAsia="zh-CN"/>
        </w:rPr>
        <w:t>；</w:t>
      </w:r>
      <w:r>
        <w:rPr>
          <w:rFonts w:hint="eastAsia" w:ascii="仿宋" w:hAnsi="仿宋" w:eastAsia="仿宋" w:cs="仿宋"/>
          <w:sz w:val="22"/>
          <w:szCs w:val="22"/>
        </w:rPr>
        <w:t>3、报价精确到小数点后两位</w:t>
      </w:r>
      <w:r>
        <w:rPr>
          <w:rFonts w:hint="eastAsia" w:ascii="仿宋" w:hAnsi="仿宋" w:eastAsia="仿宋" w:cs="仿宋"/>
          <w:sz w:val="22"/>
          <w:szCs w:val="22"/>
          <w:lang w:eastAsia="zh-CN"/>
        </w:rPr>
        <w:t>；</w:t>
      </w:r>
    </w:p>
    <w:p w14:paraId="758C795D">
      <w:pPr>
        <w:spacing w:line="540" w:lineRule="exact"/>
        <w:ind w:right="-99" w:rightChars="-47" w:firstLine="440" w:firstLineChars="200"/>
        <w:rPr>
          <w:rFonts w:hint="eastAsia" w:ascii="仿宋" w:hAnsi="仿宋" w:eastAsia="仿宋" w:cs="仿宋"/>
          <w:sz w:val="22"/>
          <w:szCs w:val="22"/>
        </w:rPr>
      </w:pPr>
    </w:p>
    <w:p w14:paraId="475F20EA">
      <w:pPr>
        <w:widowControl/>
        <w:spacing w:line="5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sz w:val="24"/>
          <w:szCs w:val="24"/>
          <w:highlight w:val="none"/>
        </w:rPr>
        <w:t>盖单位章</w:t>
      </w:r>
      <w:r>
        <w:rPr>
          <w:rFonts w:hint="eastAsia" w:ascii="仿宋" w:hAnsi="仿宋" w:eastAsia="仿宋" w:cs="仿宋"/>
          <w:color w:val="auto"/>
          <w:kern w:val="2"/>
          <w:sz w:val="24"/>
          <w:szCs w:val="24"/>
          <w:highlight w:val="none"/>
          <w:lang w:val="en-US" w:eastAsia="zh-CN" w:bidi="ar-SA"/>
        </w:rPr>
        <w:t>）                       法定代表人或授权代表：</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（签字或盖章）</w:t>
      </w:r>
    </w:p>
    <w:p w14:paraId="66338598">
      <w:pPr>
        <w:spacing w:line="540" w:lineRule="exact"/>
        <w:ind w:right="-99" w:rightChars="-47" w:firstLine="480" w:firstLineChars="200"/>
        <w:jc w:val="right"/>
        <w:rPr>
          <w:rFonts w:hint="eastAsia" w:ascii="仿宋" w:hAnsi="仿宋" w:eastAsia="仿宋" w:cs="仿宋"/>
          <w:sz w:val="22"/>
          <w:szCs w:val="22"/>
          <w:u w:val="single"/>
        </w:rPr>
      </w:pPr>
      <w:r>
        <w:rPr>
          <w:rFonts w:hint="eastAsia" w:ascii="仿宋" w:hAnsi="仿宋" w:eastAsia="仿宋" w:cs="仿宋"/>
          <w:color w:val="auto"/>
          <w:kern w:val="2"/>
          <w:sz w:val="24"/>
          <w:szCs w:val="24"/>
          <w:highlight w:val="none"/>
          <w:lang w:val="en-US" w:eastAsia="zh-CN" w:bidi="ar-SA"/>
        </w:rPr>
        <w:t>日期：　　年　月　日</w:t>
      </w:r>
    </w:p>
    <w:p w14:paraId="075C89EA">
      <w:pPr>
        <w:rPr>
          <w:rFonts w:hint="eastAsia" w:ascii="仿宋" w:hAnsi="仿宋" w:eastAsia="仿宋" w:cs="仿宋"/>
          <w:sz w:val="22"/>
          <w:szCs w:val="22"/>
          <w:u w:val="single"/>
        </w:rPr>
      </w:pPr>
      <w:r>
        <w:rPr>
          <w:rFonts w:hint="eastAsia" w:ascii="仿宋" w:hAnsi="仿宋" w:eastAsia="仿宋" w:cs="仿宋"/>
          <w:sz w:val="22"/>
          <w:szCs w:val="22"/>
          <w:u w:val="single"/>
        </w:rPr>
        <w:br w:type="page"/>
      </w:r>
    </w:p>
    <w:p w14:paraId="3DD787C8">
      <w:pPr>
        <w:rPr>
          <w:rFonts w:hint="eastAsia" w:ascii="仿宋" w:hAnsi="仿宋" w:eastAsia="仿宋" w:cs="仿宋"/>
        </w:rPr>
        <w:sectPr>
          <w:headerReference r:id="rId6" w:type="default"/>
          <w:footerReference r:id="rId7" w:type="default"/>
          <w:pgSz w:w="16840" w:h="11907" w:orient="landscape"/>
          <w:pgMar w:top="1803" w:right="1440" w:bottom="1803" w:left="1440" w:header="851" w:footer="1021" w:gutter="0"/>
          <w:pgNumType w:fmt="decimal"/>
          <w:cols w:space="720" w:num="1"/>
          <w:docGrid w:linePitch="312" w:charSpace="0"/>
        </w:sectPr>
      </w:pPr>
    </w:p>
    <w:p w14:paraId="77481E88">
      <w:pPr>
        <w:pStyle w:val="3"/>
        <w:spacing w:line="500" w:lineRule="exact"/>
        <w:rPr>
          <w:rFonts w:hint="eastAsia" w:ascii="仿宋" w:hAnsi="仿宋" w:eastAsia="仿宋" w:cs="仿宋"/>
          <w:b w:val="0"/>
          <w:bCs w:val="0"/>
          <w:sz w:val="36"/>
          <w:szCs w:val="36"/>
        </w:rPr>
      </w:pPr>
      <w:r>
        <w:rPr>
          <w:rFonts w:hint="eastAsia" w:ascii="仿宋" w:hAnsi="仿宋" w:eastAsia="仿宋" w:cs="仿宋"/>
          <w:sz w:val="28"/>
          <w:szCs w:val="28"/>
        </w:rPr>
        <w:t>2-2、投标分项报价表（格式）</w:t>
      </w:r>
    </w:p>
    <w:p w14:paraId="2EDDBE87">
      <w:pPr>
        <w:spacing w:line="500" w:lineRule="exact"/>
        <w:jc w:val="center"/>
        <w:rPr>
          <w:rFonts w:hint="eastAsia" w:ascii="仿宋" w:hAnsi="仿宋" w:eastAsia="仿宋" w:cs="仿宋"/>
          <w:sz w:val="22"/>
          <w:szCs w:val="22"/>
        </w:rPr>
      </w:pPr>
      <w:r>
        <w:rPr>
          <w:rFonts w:hint="eastAsia" w:ascii="仿宋" w:hAnsi="仿宋" w:eastAsia="仿宋" w:cs="仿宋"/>
          <w:b/>
          <w:bCs/>
          <w:sz w:val="36"/>
          <w:szCs w:val="36"/>
        </w:rPr>
        <w:t>投标分项报价表</w:t>
      </w:r>
    </w:p>
    <w:p w14:paraId="643811E1">
      <w:pPr>
        <w:spacing w:line="300" w:lineRule="exact"/>
        <w:rPr>
          <w:rFonts w:hint="eastAsia" w:ascii="仿宋" w:hAnsi="仿宋" w:eastAsia="仿宋" w:cs="仿宋"/>
          <w:b/>
          <w:bCs/>
          <w:sz w:val="28"/>
          <w:szCs w:val="28"/>
          <w:u w:val="none"/>
          <w:lang w:eastAsia="zh-CN"/>
        </w:rPr>
      </w:pPr>
    </w:p>
    <w:tbl>
      <w:tblPr>
        <w:tblStyle w:val="44"/>
        <w:tblW w:w="1435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2759"/>
        <w:gridCol w:w="2033"/>
        <w:gridCol w:w="1843"/>
        <w:gridCol w:w="2420"/>
        <w:gridCol w:w="2217"/>
        <w:gridCol w:w="1928"/>
      </w:tblGrid>
      <w:tr w14:paraId="18719A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155" w:type="dxa"/>
            <w:vAlign w:val="center"/>
          </w:tcPr>
          <w:p w14:paraId="49553593">
            <w:pPr>
              <w:keepNext w:val="0"/>
              <w:keepLines w:val="0"/>
              <w:suppressLineNumbers w:val="0"/>
              <w:spacing w:before="0" w:beforeAutospacing="0" w:after="0" w:afterAutospacing="0" w:line="300" w:lineRule="exact"/>
              <w:ind w:left="0" w:right="0"/>
              <w:rPr>
                <w:rFonts w:hint="eastAsia" w:ascii="仿宋" w:hAnsi="仿宋" w:eastAsia="仿宋" w:cs="仿宋"/>
                <w:b/>
                <w:sz w:val="28"/>
                <w:szCs w:val="28"/>
              </w:rPr>
            </w:pPr>
            <w:r>
              <w:rPr>
                <w:rFonts w:hint="eastAsia" w:ascii="仿宋" w:hAnsi="仿宋" w:eastAsia="仿宋" w:cs="仿宋"/>
                <w:b/>
                <w:sz w:val="28"/>
                <w:szCs w:val="28"/>
              </w:rPr>
              <w:t>序号</w:t>
            </w:r>
          </w:p>
        </w:tc>
        <w:tc>
          <w:tcPr>
            <w:tcW w:w="2759" w:type="dxa"/>
            <w:vAlign w:val="center"/>
          </w:tcPr>
          <w:p w14:paraId="69945B7E">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服务名称</w:t>
            </w:r>
          </w:p>
        </w:tc>
        <w:tc>
          <w:tcPr>
            <w:tcW w:w="2033" w:type="dxa"/>
            <w:vAlign w:val="center"/>
          </w:tcPr>
          <w:p w14:paraId="65928999">
            <w:pPr>
              <w:keepNext w:val="0"/>
              <w:keepLines w:val="0"/>
              <w:suppressLineNumbers w:val="0"/>
              <w:spacing w:before="0" w:beforeAutospacing="0" w:after="0" w:afterAutospacing="0" w:line="480" w:lineRule="exact"/>
              <w:ind w:left="0" w:right="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服务内容</w:t>
            </w:r>
          </w:p>
        </w:tc>
        <w:tc>
          <w:tcPr>
            <w:tcW w:w="1843" w:type="dxa"/>
            <w:vAlign w:val="center"/>
          </w:tcPr>
          <w:p w14:paraId="2554B2B2">
            <w:pPr>
              <w:keepNext w:val="0"/>
              <w:keepLines w:val="0"/>
              <w:suppressLineNumbers w:val="0"/>
              <w:spacing w:before="0" w:beforeAutospacing="0" w:after="0" w:afterAutospacing="0" w:line="300" w:lineRule="exact"/>
              <w:ind w:left="13" w:leftChars="6" w:right="0"/>
              <w:jc w:val="center"/>
              <w:rPr>
                <w:rFonts w:hint="eastAsia" w:ascii="仿宋" w:hAnsi="仿宋" w:eastAsia="仿宋" w:cs="仿宋"/>
                <w:b/>
                <w:sz w:val="28"/>
                <w:szCs w:val="28"/>
              </w:rPr>
            </w:pPr>
            <w:r>
              <w:rPr>
                <w:rFonts w:hint="eastAsia" w:ascii="仿宋" w:hAnsi="仿宋" w:eastAsia="仿宋" w:cs="仿宋"/>
                <w:b/>
                <w:sz w:val="28"/>
                <w:szCs w:val="28"/>
              </w:rPr>
              <w:t>单位/数量</w:t>
            </w:r>
          </w:p>
        </w:tc>
        <w:tc>
          <w:tcPr>
            <w:tcW w:w="2420" w:type="dxa"/>
            <w:tcMar>
              <w:top w:w="28" w:type="dxa"/>
              <w:left w:w="57" w:type="dxa"/>
              <w:bottom w:w="28" w:type="dxa"/>
              <w:right w:w="57" w:type="dxa"/>
            </w:tcMar>
            <w:vAlign w:val="center"/>
          </w:tcPr>
          <w:p w14:paraId="33A49BED">
            <w:pPr>
              <w:keepNext w:val="0"/>
              <w:keepLines w:val="0"/>
              <w:suppressLineNumbers w:val="0"/>
              <w:spacing w:before="0" w:beforeAutospacing="0" w:after="0" w:afterAutospacing="0" w:line="30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单价</w:t>
            </w:r>
          </w:p>
          <w:p w14:paraId="514E0DBC">
            <w:pPr>
              <w:keepNext w:val="0"/>
              <w:keepLines w:val="0"/>
              <w:suppressLineNumbers w:val="0"/>
              <w:spacing w:before="0" w:beforeAutospacing="0" w:after="0" w:afterAutospacing="0" w:line="300" w:lineRule="exact"/>
              <w:ind w:left="46" w:leftChars="22" w:right="0"/>
              <w:jc w:val="center"/>
              <w:rPr>
                <w:rFonts w:hint="eastAsia" w:ascii="仿宋" w:hAnsi="仿宋" w:eastAsia="仿宋" w:cs="仿宋"/>
                <w:b/>
                <w:sz w:val="28"/>
                <w:szCs w:val="28"/>
              </w:rPr>
            </w:pPr>
            <w:r>
              <w:rPr>
                <w:rFonts w:hint="eastAsia" w:ascii="仿宋" w:hAnsi="仿宋" w:eastAsia="仿宋" w:cs="仿宋"/>
                <w:b/>
                <w:sz w:val="28"/>
                <w:szCs w:val="28"/>
              </w:rPr>
              <w:t>（人民币元）</w:t>
            </w:r>
          </w:p>
        </w:tc>
        <w:tc>
          <w:tcPr>
            <w:tcW w:w="2217" w:type="dxa"/>
            <w:tcMar>
              <w:top w:w="28" w:type="dxa"/>
              <w:left w:w="57" w:type="dxa"/>
              <w:bottom w:w="28" w:type="dxa"/>
              <w:right w:w="57" w:type="dxa"/>
            </w:tcMar>
            <w:vAlign w:val="center"/>
          </w:tcPr>
          <w:p w14:paraId="19CF2D89">
            <w:pPr>
              <w:keepNext w:val="0"/>
              <w:keepLines w:val="0"/>
              <w:suppressLineNumbers w:val="0"/>
              <w:spacing w:before="0" w:beforeAutospacing="0" w:after="0" w:afterAutospacing="0" w:line="30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总价</w:t>
            </w:r>
          </w:p>
          <w:p w14:paraId="768BD322">
            <w:pPr>
              <w:keepNext w:val="0"/>
              <w:keepLines w:val="0"/>
              <w:suppressLineNumbers w:val="0"/>
              <w:spacing w:before="0" w:beforeAutospacing="0" w:after="0" w:afterAutospacing="0" w:line="300" w:lineRule="exact"/>
              <w:ind w:left="0" w:right="0"/>
              <w:rPr>
                <w:rFonts w:hint="eastAsia" w:ascii="仿宋" w:hAnsi="仿宋" w:eastAsia="仿宋" w:cs="仿宋"/>
                <w:b/>
                <w:sz w:val="28"/>
                <w:szCs w:val="28"/>
              </w:rPr>
            </w:pPr>
            <w:r>
              <w:rPr>
                <w:rFonts w:hint="eastAsia" w:ascii="仿宋" w:hAnsi="仿宋" w:eastAsia="仿宋" w:cs="仿宋"/>
                <w:b/>
                <w:sz w:val="28"/>
                <w:szCs w:val="28"/>
              </w:rPr>
              <w:t>（人民币元）</w:t>
            </w:r>
          </w:p>
        </w:tc>
        <w:tc>
          <w:tcPr>
            <w:tcW w:w="1928" w:type="dxa"/>
            <w:tcMar>
              <w:top w:w="28" w:type="dxa"/>
              <w:left w:w="57" w:type="dxa"/>
              <w:bottom w:w="28" w:type="dxa"/>
              <w:right w:w="57" w:type="dxa"/>
            </w:tcMar>
            <w:vAlign w:val="center"/>
          </w:tcPr>
          <w:p w14:paraId="3A7B1730">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b/>
                <w:sz w:val="28"/>
                <w:szCs w:val="28"/>
              </w:rPr>
            </w:pPr>
            <w:r>
              <w:rPr>
                <w:rFonts w:hint="eastAsia" w:ascii="仿宋" w:hAnsi="仿宋" w:eastAsia="仿宋" w:cs="仿宋"/>
                <w:b/>
                <w:sz w:val="28"/>
                <w:szCs w:val="28"/>
              </w:rPr>
              <w:t>备注</w:t>
            </w:r>
          </w:p>
        </w:tc>
      </w:tr>
      <w:tr w14:paraId="15E88E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155" w:type="dxa"/>
            <w:tcBorders>
              <w:bottom w:val="single" w:color="auto" w:sz="4" w:space="0"/>
            </w:tcBorders>
            <w:tcMar>
              <w:left w:w="57" w:type="dxa"/>
              <w:right w:w="57" w:type="dxa"/>
            </w:tcMar>
            <w:vAlign w:val="center"/>
          </w:tcPr>
          <w:p w14:paraId="79A3F8DC">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2759" w:type="dxa"/>
            <w:tcBorders>
              <w:bottom w:val="single" w:color="auto" w:sz="4" w:space="0"/>
            </w:tcBorders>
            <w:tcMar>
              <w:left w:w="57" w:type="dxa"/>
              <w:right w:w="57" w:type="dxa"/>
            </w:tcMar>
            <w:vAlign w:val="center"/>
          </w:tcPr>
          <w:p w14:paraId="108DD355">
            <w:pPr>
              <w:keepNext w:val="0"/>
              <w:keepLines w:val="0"/>
              <w:suppressLineNumbers w:val="0"/>
              <w:spacing w:before="0" w:beforeAutospacing="0" w:after="0" w:afterAutospacing="0" w:line="300" w:lineRule="exact"/>
              <w:ind w:left="210" w:leftChars="100" w:right="0"/>
              <w:rPr>
                <w:rFonts w:hint="eastAsia" w:ascii="仿宋" w:hAnsi="仿宋" w:eastAsia="仿宋" w:cs="仿宋"/>
                <w:sz w:val="28"/>
                <w:szCs w:val="28"/>
              </w:rPr>
            </w:pPr>
          </w:p>
        </w:tc>
        <w:tc>
          <w:tcPr>
            <w:tcW w:w="2033" w:type="dxa"/>
            <w:tcBorders>
              <w:bottom w:val="single" w:color="auto" w:sz="4" w:space="0"/>
            </w:tcBorders>
            <w:tcMar>
              <w:left w:w="57" w:type="dxa"/>
              <w:right w:w="57" w:type="dxa"/>
            </w:tcMar>
            <w:vAlign w:val="center"/>
          </w:tcPr>
          <w:p w14:paraId="1817E8DE">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1843" w:type="dxa"/>
            <w:tcBorders>
              <w:bottom w:val="single" w:color="auto" w:sz="4" w:space="0"/>
            </w:tcBorders>
            <w:tcMar>
              <w:left w:w="57" w:type="dxa"/>
              <w:right w:w="57" w:type="dxa"/>
            </w:tcMar>
            <w:vAlign w:val="center"/>
          </w:tcPr>
          <w:p w14:paraId="298925F5">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2420" w:type="dxa"/>
            <w:tcBorders>
              <w:bottom w:val="single" w:color="auto" w:sz="4" w:space="0"/>
            </w:tcBorders>
            <w:tcMar>
              <w:left w:w="57" w:type="dxa"/>
              <w:right w:w="57" w:type="dxa"/>
            </w:tcMar>
          </w:tcPr>
          <w:p w14:paraId="6A70F739">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2217" w:type="dxa"/>
            <w:tcBorders>
              <w:bottom w:val="single" w:color="auto" w:sz="4" w:space="0"/>
            </w:tcBorders>
            <w:tcMar>
              <w:left w:w="57" w:type="dxa"/>
              <w:right w:w="57" w:type="dxa"/>
            </w:tcMar>
            <w:vAlign w:val="center"/>
          </w:tcPr>
          <w:p w14:paraId="45170A41">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1928" w:type="dxa"/>
            <w:tcBorders>
              <w:bottom w:val="single" w:color="auto" w:sz="4" w:space="0"/>
            </w:tcBorders>
            <w:tcMar>
              <w:left w:w="57" w:type="dxa"/>
              <w:right w:w="57" w:type="dxa"/>
            </w:tcMar>
            <w:vAlign w:val="center"/>
          </w:tcPr>
          <w:p w14:paraId="3CC6814D">
            <w:pPr>
              <w:keepNext w:val="0"/>
              <w:keepLines w:val="0"/>
              <w:suppressLineNumbers w:val="0"/>
              <w:spacing w:before="0" w:beforeAutospacing="0" w:after="0" w:afterAutospacing="0" w:line="300" w:lineRule="exact"/>
              <w:ind w:left="210" w:leftChars="100" w:right="0"/>
              <w:rPr>
                <w:rFonts w:hint="eastAsia" w:ascii="仿宋" w:hAnsi="仿宋" w:eastAsia="仿宋" w:cs="仿宋"/>
                <w:sz w:val="28"/>
                <w:szCs w:val="28"/>
              </w:rPr>
            </w:pPr>
          </w:p>
        </w:tc>
      </w:tr>
      <w:tr w14:paraId="4AA412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55" w:type="dxa"/>
            <w:tcBorders>
              <w:bottom w:val="single" w:color="auto" w:sz="4" w:space="0"/>
            </w:tcBorders>
            <w:tcMar>
              <w:left w:w="57" w:type="dxa"/>
              <w:right w:w="57" w:type="dxa"/>
            </w:tcMar>
            <w:vAlign w:val="center"/>
          </w:tcPr>
          <w:p w14:paraId="36A95B63">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2759" w:type="dxa"/>
            <w:tcBorders>
              <w:bottom w:val="single" w:color="auto" w:sz="4" w:space="0"/>
            </w:tcBorders>
            <w:tcMar>
              <w:left w:w="57" w:type="dxa"/>
              <w:right w:w="57" w:type="dxa"/>
            </w:tcMar>
            <w:vAlign w:val="center"/>
          </w:tcPr>
          <w:p w14:paraId="3998C5F4">
            <w:pPr>
              <w:keepNext w:val="0"/>
              <w:keepLines w:val="0"/>
              <w:suppressLineNumbers w:val="0"/>
              <w:spacing w:before="0" w:beforeAutospacing="0" w:after="0" w:afterAutospacing="0" w:line="300" w:lineRule="exact"/>
              <w:ind w:left="210" w:leftChars="100" w:right="0"/>
              <w:rPr>
                <w:rFonts w:hint="eastAsia" w:ascii="仿宋" w:hAnsi="仿宋" w:eastAsia="仿宋" w:cs="仿宋"/>
                <w:sz w:val="28"/>
                <w:szCs w:val="28"/>
              </w:rPr>
            </w:pPr>
          </w:p>
        </w:tc>
        <w:tc>
          <w:tcPr>
            <w:tcW w:w="2033" w:type="dxa"/>
            <w:tcBorders>
              <w:bottom w:val="single" w:color="auto" w:sz="4" w:space="0"/>
            </w:tcBorders>
            <w:tcMar>
              <w:left w:w="57" w:type="dxa"/>
              <w:right w:w="57" w:type="dxa"/>
            </w:tcMar>
            <w:vAlign w:val="center"/>
          </w:tcPr>
          <w:p w14:paraId="66602C9A">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1843" w:type="dxa"/>
            <w:tcBorders>
              <w:bottom w:val="single" w:color="auto" w:sz="4" w:space="0"/>
            </w:tcBorders>
            <w:tcMar>
              <w:left w:w="57" w:type="dxa"/>
              <w:right w:w="57" w:type="dxa"/>
            </w:tcMar>
            <w:vAlign w:val="center"/>
          </w:tcPr>
          <w:p w14:paraId="35727CBD">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2420" w:type="dxa"/>
            <w:tcBorders>
              <w:bottom w:val="single" w:color="auto" w:sz="4" w:space="0"/>
            </w:tcBorders>
            <w:tcMar>
              <w:left w:w="57" w:type="dxa"/>
              <w:right w:w="57" w:type="dxa"/>
            </w:tcMar>
          </w:tcPr>
          <w:p w14:paraId="63349908">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2217" w:type="dxa"/>
            <w:tcBorders>
              <w:bottom w:val="single" w:color="auto" w:sz="4" w:space="0"/>
            </w:tcBorders>
            <w:tcMar>
              <w:left w:w="57" w:type="dxa"/>
              <w:right w:w="57" w:type="dxa"/>
            </w:tcMar>
            <w:vAlign w:val="center"/>
          </w:tcPr>
          <w:p w14:paraId="0859DA5A">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1928" w:type="dxa"/>
            <w:tcBorders>
              <w:bottom w:val="single" w:color="auto" w:sz="4" w:space="0"/>
            </w:tcBorders>
            <w:tcMar>
              <w:left w:w="57" w:type="dxa"/>
              <w:right w:w="57" w:type="dxa"/>
            </w:tcMar>
            <w:vAlign w:val="center"/>
          </w:tcPr>
          <w:p w14:paraId="1FB9B175">
            <w:pPr>
              <w:keepNext w:val="0"/>
              <w:keepLines w:val="0"/>
              <w:suppressLineNumbers w:val="0"/>
              <w:spacing w:before="0" w:beforeAutospacing="0" w:after="0" w:afterAutospacing="0" w:line="300" w:lineRule="exact"/>
              <w:ind w:left="210" w:leftChars="100" w:right="0"/>
              <w:rPr>
                <w:rFonts w:hint="eastAsia" w:ascii="仿宋" w:hAnsi="仿宋" w:eastAsia="仿宋" w:cs="仿宋"/>
                <w:sz w:val="28"/>
                <w:szCs w:val="28"/>
              </w:rPr>
            </w:pPr>
          </w:p>
        </w:tc>
      </w:tr>
      <w:tr w14:paraId="59751E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155" w:type="dxa"/>
            <w:tcBorders>
              <w:bottom w:val="single" w:color="auto" w:sz="4" w:space="0"/>
            </w:tcBorders>
            <w:tcMar>
              <w:left w:w="57" w:type="dxa"/>
              <w:right w:w="57" w:type="dxa"/>
            </w:tcMar>
            <w:vAlign w:val="center"/>
          </w:tcPr>
          <w:p w14:paraId="101C5963">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2759" w:type="dxa"/>
            <w:tcBorders>
              <w:bottom w:val="single" w:color="auto" w:sz="4" w:space="0"/>
            </w:tcBorders>
            <w:tcMar>
              <w:left w:w="57" w:type="dxa"/>
              <w:right w:w="57" w:type="dxa"/>
            </w:tcMar>
            <w:vAlign w:val="center"/>
          </w:tcPr>
          <w:p w14:paraId="376F3E26">
            <w:pPr>
              <w:keepNext w:val="0"/>
              <w:keepLines w:val="0"/>
              <w:suppressLineNumbers w:val="0"/>
              <w:spacing w:before="0" w:beforeAutospacing="0" w:after="0" w:afterAutospacing="0" w:line="300" w:lineRule="exact"/>
              <w:ind w:left="210" w:leftChars="100" w:right="0"/>
              <w:rPr>
                <w:rFonts w:hint="eastAsia" w:ascii="仿宋" w:hAnsi="仿宋" w:eastAsia="仿宋" w:cs="仿宋"/>
                <w:sz w:val="28"/>
                <w:szCs w:val="28"/>
              </w:rPr>
            </w:pPr>
          </w:p>
        </w:tc>
        <w:tc>
          <w:tcPr>
            <w:tcW w:w="2033" w:type="dxa"/>
            <w:tcBorders>
              <w:bottom w:val="single" w:color="auto" w:sz="4" w:space="0"/>
            </w:tcBorders>
            <w:tcMar>
              <w:left w:w="57" w:type="dxa"/>
              <w:right w:w="57" w:type="dxa"/>
            </w:tcMar>
            <w:vAlign w:val="center"/>
          </w:tcPr>
          <w:p w14:paraId="74081F84">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1843" w:type="dxa"/>
            <w:tcBorders>
              <w:bottom w:val="single" w:color="auto" w:sz="4" w:space="0"/>
            </w:tcBorders>
            <w:tcMar>
              <w:left w:w="57" w:type="dxa"/>
              <w:right w:w="57" w:type="dxa"/>
            </w:tcMar>
            <w:vAlign w:val="center"/>
          </w:tcPr>
          <w:p w14:paraId="699ED547">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2420" w:type="dxa"/>
            <w:tcBorders>
              <w:bottom w:val="single" w:color="auto" w:sz="4" w:space="0"/>
            </w:tcBorders>
            <w:tcMar>
              <w:left w:w="57" w:type="dxa"/>
              <w:right w:w="57" w:type="dxa"/>
            </w:tcMar>
          </w:tcPr>
          <w:p w14:paraId="218C0CB8">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2217" w:type="dxa"/>
            <w:tcBorders>
              <w:bottom w:val="single" w:color="auto" w:sz="4" w:space="0"/>
            </w:tcBorders>
            <w:tcMar>
              <w:left w:w="57" w:type="dxa"/>
              <w:right w:w="57" w:type="dxa"/>
            </w:tcMar>
            <w:vAlign w:val="center"/>
          </w:tcPr>
          <w:p w14:paraId="6A3B133F">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1928" w:type="dxa"/>
            <w:tcBorders>
              <w:bottom w:val="single" w:color="auto" w:sz="4" w:space="0"/>
            </w:tcBorders>
            <w:tcMar>
              <w:left w:w="57" w:type="dxa"/>
              <w:right w:w="57" w:type="dxa"/>
            </w:tcMar>
            <w:vAlign w:val="center"/>
          </w:tcPr>
          <w:p w14:paraId="5739630B">
            <w:pPr>
              <w:keepNext w:val="0"/>
              <w:keepLines w:val="0"/>
              <w:suppressLineNumbers w:val="0"/>
              <w:spacing w:before="0" w:beforeAutospacing="0" w:after="0" w:afterAutospacing="0" w:line="300" w:lineRule="exact"/>
              <w:ind w:left="210" w:leftChars="100" w:right="0"/>
              <w:rPr>
                <w:rFonts w:hint="eastAsia" w:ascii="仿宋" w:hAnsi="仿宋" w:eastAsia="仿宋" w:cs="仿宋"/>
                <w:sz w:val="28"/>
                <w:szCs w:val="28"/>
              </w:rPr>
            </w:pPr>
          </w:p>
        </w:tc>
      </w:tr>
      <w:tr w14:paraId="2CB280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155" w:type="dxa"/>
            <w:tcMar>
              <w:left w:w="57" w:type="dxa"/>
              <w:right w:w="57" w:type="dxa"/>
            </w:tcMar>
            <w:vAlign w:val="center"/>
          </w:tcPr>
          <w:p w14:paraId="0851C3DF">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2759" w:type="dxa"/>
            <w:tcMar>
              <w:left w:w="57" w:type="dxa"/>
              <w:right w:w="57" w:type="dxa"/>
            </w:tcMar>
            <w:vAlign w:val="center"/>
          </w:tcPr>
          <w:p w14:paraId="11ED4FC5">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2033" w:type="dxa"/>
            <w:tcMar>
              <w:left w:w="57" w:type="dxa"/>
              <w:right w:w="57" w:type="dxa"/>
            </w:tcMar>
            <w:vAlign w:val="center"/>
          </w:tcPr>
          <w:p w14:paraId="79DBF139">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1843" w:type="dxa"/>
            <w:tcMar>
              <w:left w:w="57" w:type="dxa"/>
              <w:right w:w="57" w:type="dxa"/>
            </w:tcMar>
            <w:vAlign w:val="center"/>
          </w:tcPr>
          <w:p w14:paraId="43B6A053">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2420" w:type="dxa"/>
            <w:tcMar>
              <w:left w:w="57" w:type="dxa"/>
              <w:right w:w="57" w:type="dxa"/>
            </w:tcMar>
          </w:tcPr>
          <w:p w14:paraId="1C962257">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2217" w:type="dxa"/>
            <w:tcMar>
              <w:left w:w="57" w:type="dxa"/>
              <w:right w:w="57" w:type="dxa"/>
            </w:tcMar>
            <w:vAlign w:val="center"/>
          </w:tcPr>
          <w:p w14:paraId="36C2130D">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1928" w:type="dxa"/>
            <w:tcMar>
              <w:left w:w="57" w:type="dxa"/>
              <w:right w:w="57" w:type="dxa"/>
            </w:tcMar>
            <w:vAlign w:val="center"/>
          </w:tcPr>
          <w:p w14:paraId="0F1CC534">
            <w:pPr>
              <w:keepNext w:val="0"/>
              <w:keepLines w:val="0"/>
              <w:suppressLineNumbers w:val="0"/>
              <w:spacing w:before="0" w:beforeAutospacing="0" w:after="0" w:afterAutospacing="0" w:line="300" w:lineRule="exact"/>
              <w:ind w:left="210" w:leftChars="100" w:right="0"/>
              <w:rPr>
                <w:rFonts w:hint="eastAsia" w:ascii="仿宋" w:hAnsi="仿宋" w:eastAsia="仿宋" w:cs="仿宋"/>
                <w:sz w:val="28"/>
                <w:szCs w:val="28"/>
              </w:rPr>
            </w:pPr>
          </w:p>
        </w:tc>
      </w:tr>
      <w:tr w14:paraId="33E47F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155" w:type="dxa"/>
            <w:tcMar>
              <w:left w:w="57" w:type="dxa"/>
              <w:right w:w="57" w:type="dxa"/>
            </w:tcMar>
            <w:vAlign w:val="center"/>
          </w:tcPr>
          <w:p w14:paraId="6B037262">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2759" w:type="dxa"/>
            <w:tcMar>
              <w:left w:w="57" w:type="dxa"/>
              <w:right w:w="57" w:type="dxa"/>
            </w:tcMar>
            <w:vAlign w:val="center"/>
          </w:tcPr>
          <w:p w14:paraId="62ED0602">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2033" w:type="dxa"/>
            <w:tcMar>
              <w:left w:w="57" w:type="dxa"/>
              <w:right w:w="57" w:type="dxa"/>
            </w:tcMar>
            <w:vAlign w:val="center"/>
          </w:tcPr>
          <w:p w14:paraId="2034EB11">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1843" w:type="dxa"/>
            <w:tcMar>
              <w:left w:w="57" w:type="dxa"/>
              <w:right w:w="57" w:type="dxa"/>
            </w:tcMar>
            <w:vAlign w:val="center"/>
          </w:tcPr>
          <w:p w14:paraId="6A058141">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2420" w:type="dxa"/>
            <w:tcMar>
              <w:left w:w="57" w:type="dxa"/>
              <w:right w:w="57" w:type="dxa"/>
            </w:tcMar>
          </w:tcPr>
          <w:p w14:paraId="47B4FA70">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2217" w:type="dxa"/>
            <w:tcMar>
              <w:left w:w="57" w:type="dxa"/>
              <w:right w:w="57" w:type="dxa"/>
            </w:tcMar>
            <w:vAlign w:val="center"/>
          </w:tcPr>
          <w:p w14:paraId="0AA5EC5D">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1928" w:type="dxa"/>
            <w:tcMar>
              <w:left w:w="57" w:type="dxa"/>
              <w:right w:w="57" w:type="dxa"/>
            </w:tcMar>
            <w:vAlign w:val="center"/>
          </w:tcPr>
          <w:p w14:paraId="5BB92448">
            <w:pPr>
              <w:keepNext w:val="0"/>
              <w:keepLines w:val="0"/>
              <w:suppressLineNumbers w:val="0"/>
              <w:spacing w:before="0" w:beforeAutospacing="0" w:after="0" w:afterAutospacing="0" w:line="300" w:lineRule="exact"/>
              <w:ind w:left="210" w:leftChars="100" w:right="0"/>
              <w:rPr>
                <w:rFonts w:hint="eastAsia" w:ascii="仿宋" w:hAnsi="仿宋" w:eastAsia="仿宋" w:cs="仿宋"/>
                <w:sz w:val="28"/>
                <w:szCs w:val="28"/>
              </w:rPr>
            </w:pPr>
          </w:p>
        </w:tc>
      </w:tr>
      <w:tr w14:paraId="6BF2C0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914" w:type="dxa"/>
            <w:gridSpan w:val="2"/>
            <w:tcMar>
              <w:left w:w="57" w:type="dxa"/>
              <w:right w:w="57" w:type="dxa"/>
            </w:tcMar>
            <w:vAlign w:val="center"/>
          </w:tcPr>
          <w:p w14:paraId="6FEA479D">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r>
              <w:rPr>
                <w:rFonts w:hint="eastAsia" w:ascii="仿宋" w:hAnsi="仿宋" w:eastAsia="仿宋" w:cs="仿宋"/>
                <w:sz w:val="28"/>
                <w:szCs w:val="28"/>
              </w:rPr>
              <w:t>总 计（人民币元）</w:t>
            </w:r>
          </w:p>
        </w:tc>
        <w:tc>
          <w:tcPr>
            <w:tcW w:w="3876" w:type="dxa"/>
            <w:gridSpan w:val="2"/>
            <w:tcMar>
              <w:left w:w="57" w:type="dxa"/>
              <w:right w:w="57" w:type="dxa"/>
            </w:tcMar>
            <w:vAlign w:val="center"/>
          </w:tcPr>
          <w:p w14:paraId="74DFAA9C">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6565" w:type="dxa"/>
            <w:gridSpan w:val="3"/>
            <w:tcMar>
              <w:left w:w="57" w:type="dxa"/>
              <w:right w:w="57" w:type="dxa"/>
            </w:tcMar>
            <w:vAlign w:val="center"/>
          </w:tcPr>
          <w:p w14:paraId="7D37C207">
            <w:pPr>
              <w:keepNext w:val="0"/>
              <w:keepLines w:val="0"/>
              <w:suppressLineNumbers w:val="0"/>
              <w:spacing w:before="0" w:beforeAutospacing="0" w:after="0" w:afterAutospacing="0" w:line="300" w:lineRule="exact"/>
              <w:ind w:left="210" w:leftChars="100" w:right="0"/>
              <w:rPr>
                <w:rFonts w:hint="eastAsia" w:ascii="仿宋" w:hAnsi="仿宋" w:eastAsia="仿宋" w:cs="仿宋"/>
                <w:sz w:val="28"/>
                <w:szCs w:val="28"/>
              </w:rPr>
            </w:pPr>
            <w:r>
              <w:rPr>
                <w:rFonts w:hint="eastAsia" w:ascii="仿宋" w:hAnsi="仿宋" w:eastAsia="仿宋" w:cs="仿宋"/>
                <w:sz w:val="28"/>
                <w:szCs w:val="28"/>
              </w:rPr>
              <w:t>¥：</w:t>
            </w:r>
          </w:p>
        </w:tc>
      </w:tr>
    </w:tbl>
    <w:p w14:paraId="0C917D7F">
      <w:pPr>
        <w:spacing w:line="300" w:lineRule="exact"/>
        <w:rPr>
          <w:rFonts w:hint="eastAsia" w:ascii="仿宋" w:hAnsi="仿宋" w:eastAsia="仿宋" w:cs="仿宋"/>
          <w:szCs w:val="21"/>
        </w:rPr>
      </w:pPr>
    </w:p>
    <w:p w14:paraId="07D4796C">
      <w:pPr>
        <w:spacing w:line="300" w:lineRule="exact"/>
        <w:rPr>
          <w:rFonts w:hint="eastAsia" w:ascii="仿宋" w:hAnsi="仿宋" w:eastAsia="仿宋" w:cs="仿宋"/>
          <w:iCs/>
        </w:rPr>
      </w:pPr>
      <w:r>
        <w:rPr>
          <w:rFonts w:hint="eastAsia" w:ascii="仿宋" w:hAnsi="仿宋" w:eastAsia="仿宋" w:cs="仿宋"/>
          <w:szCs w:val="21"/>
        </w:rPr>
        <w:t>注：1.</w:t>
      </w:r>
      <w:r>
        <w:rPr>
          <w:rFonts w:hint="eastAsia" w:ascii="仿宋" w:hAnsi="仿宋" w:eastAsia="仿宋" w:cs="仿宋"/>
          <w:iCs/>
        </w:rPr>
        <w:t>注:本表应按“</w:t>
      </w:r>
      <w:r>
        <w:rPr>
          <w:rFonts w:hint="eastAsia" w:ascii="仿宋" w:hAnsi="仿宋" w:eastAsia="仿宋" w:cs="仿宋"/>
          <w:iCs/>
          <w:lang w:eastAsia="zh-CN"/>
        </w:rPr>
        <w:t>供应商</w:t>
      </w:r>
      <w:r>
        <w:rPr>
          <w:rFonts w:hint="eastAsia" w:ascii="仿宋" w:hAnsi="仿宋" w:eastAsia="仿宋" w:cs="仿宋"/>
          <w:iCs/>
        </w:rPr>
        <w:t>须知”规定的要求填写。</w:t>
      </w:r>
    </w:p>
    <w:p w14:paraId="10074034">
      <w:pPr>
        <w:spacing w:line="300" w:lineRule="exact"/>
        <w:ind w:firstLine="420" w:firstLineChars="200"/>
        <w:rPr>
          <w:rFonts w:hint="eastAsia" w:ascii="仿宋" w:hAnsi="仿宋" w:eastAsia="仿宋" w:cs="仿宋"/>
          <w:szCs w:val="21"/>
          <w:u w:val="single"/>
        </w:rPr>
      </w:pPr>
      <w:r>
        <w:rPr>
          <w:rFonts w:hint="eastAsia" w:ascii="仿宋" w:hAnsi="仿宋" w:eastAsia="仿宋" w:cs="仿宋"/>
          <w:szCs w:val="21"/>
        </w:rPr>
        <w:t>2.如果按单价计算的结果与总价不一致，以单价为准修正总价。</w:t>
      </w:r>
    </w:p>
    <w:p w14:paraId="54D53338">
      <w:pPr>
        <w:spacing w:line="300" w:lineRule="exact"/>
        <w:ind w:firstLine="420" w:firstLineChars="200"/>
        <w:rPr>
          <w:rFonts w:hint="eastAsia" w:ascii="仿宋" w:hAnsi="仿宋" w:eastAsia="仿宋" w:cs="仿宋"/>
          <w:szCs w:val="21"/>
        </w:rPr>
      </w:pPr>
      <w:r>
        <w:rPr>
          <w:rFonts w:hint="eastAsia" w:ascii="仿宋" w:hAnsi="仿宋" w:eastAsia="仿宋" w:cs="仿宋"/>
          <w:szCs w:val="21"/>
        </w:rPr>
        <w:t>3.如果不提供详细分项报价将视为没有实质性响应招标文件。</w:t>
      </w:r>
    </w:p>
    <w:p w14:paraId="4D3EDFF4">
      <w:pPr>
        <w:spacing w:line="300" w:lineRule="exact"/>
        <w:ind w:firstLine="420" w:firstLineChars="200"/>
        <w:rPr>
          <w:rFonts w:hint="eastAsia" w:ascii="仿宋" w:hAnsi="仿宋" w:eastAsia="仿宋" w:cs="仿宋"/>
        </w:rPr>
      </w:pPr>
      <w:r>
        <w:rPr>
          <w:rFonts w:hint="eastAsia" w:ascii="仿宋" w:hAnsi="仿宋" w:eastAsia="仿宋" w:cs="仿宋"/>
          <w:szCs w:val="21"/>
        </w:rPr>
        <w:t>4.</w:t>
      </w:r>
      <w:r>
        <w:rPr>
          <w:rFonts w:hint="eastAsia" w:ascii="仿宋" w:hAnsi="仿宋" w:eastAsia="仿宋" w:cs="仿宋"/>
        </w:rPr>
        <w:t>报价精确到小数点后两位。</w:t>
      </w:r>
    </w:p>
    <w:p w14:paraId="759EC937">
      <w:pPr>
        <w:spacing w:line="300" w:lineRule="exact"/>
        <w:ind w:firstLine="420" w:firstLineChars="200"/>
        <w:rPr>
          <w:rFonts w:hint="eastAsia" w:ascii="仿宋" w:hAnsi="仿宋" w:eastAsia="仿宋" w:cs="仿宋"/>
        </w:rPr>
      </w:pPr>
      <w:r>
        <w:rPr>
          <w:rFonts w:hint="eastAsia" w:ascii="仿宋" w:hAnsi="仿宋" w:eastAsia="仿宋" w:cs="仿宋"/>
        </w:rPr>
        <w:t>5根据实际情况对具体附属服务项目进行说明。</w:t>
      </w:r>
    </w:p>
    <w:p w14:paraId="4E03F406">
      <w:pPr>
        <w:spacing w:line="300" w:lineRule="exact"/>
        <w:ind w:left="210" w:leftChars="100"/>
        <w:rPr>
          <w:rFonts w:hint="eastAsia" w:ascii="仿宋" w:hAnsi="仿宋" w:eastAsia="仿宋" w:cs="仿宋"/>
          <w:lang w:eastAsia="zh-CN"/>
        </w:rPr>
      </w:pPr>
    </w:p>
    <w:p w14:paraId="27558D21">
      <w:pPr>
        <w:widowControl/>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sz w:val="24"/>
          <w:szCs w:val="24"/>
          <w:highlight w:val="none"/>
        </w:rPr>
        <w:t>盖单位章</w:t>
      </w:r>
      <w:r>
        <w:rPr>
          <w:rFonts w:hint="eastAsia" w:ascii="仿宋" w:hAnsi="仿宋" w:eastAsia="仿宋" w:cs="仿宋"/>
          <w:color w:val="auto"/>
          <w:kern w:val="2"/>
          <w:sz w:val="24"/>
          <w:szCs w:val="24"/>
          <w:highlight w:val="none"/>
          <w:lang w:val="en-US" w:eastAsia="zh-CN" w:bidi="ar-SA"/>
        </w:rPr>
        <w:t>）                       法定代表人或授权代表：</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（签字或盖章）</w:t>
      </w:r>
    </w:p>
    <w:p w14:paraId="50D49F22">
      <w:pPr>
        <w:spacing w:line="360" w:lineRule="auto"/>
        <w:ind w:left="210" w:leftChars="100"/>
        <w:jc w:val="right"/>
        <w:rPr>
          <w:rFonts w:hint="eastAsia" w:ascii="仿宋" w:hAnsi="仿宋" w:eastAsia="仿宋" w:cs="仿宋"/>
          <w:u w:val="single"/>
        </w:rPr>
        <w:sectPr>
          <w:headerReference r:id="rId8" w:type="first"/>
          <w:footerReference r:id="rId10" w:type="first"/>
          <w:footerReference r:id="rId9" w:type="default"/>
          <w:pgSz w:w="16840" w:h="11907" w:orient="landscape"/>
          <w:pgMar w:top="1247" w:right="862" w:bottom="1542" w:left="1440" w:header="811" w:footer="1020" w:gutter="0"/>
          <w:pgNumType w:fmt="decimal"/>
          <w:cols w:space="720" w:num="1"/>
          <w:titlePg/>
          <w:docGrid w:linePitch="312" w:charSpace="0"/>
        </w:sectPr>
      </w:pPr>
      <w:r>
        <w:rPr>
          <w:rFonts w:hint="eastAsia" w:ascii="仿宋" w:hAnsi="仿宋" w:eastAsia="仿宋" w:cs="仿宋"/>
          <w:color w:val="auto"/>
          <w:kern w:val="2"/>
          <w:sz w:val="24"/>
          <w:szCs w:val="24"/>
          <w:highlight w:val="none"/>
          <w:lang w:val="en-US" w:eastAsia="zh-CN" w:bidi="ar-SA"/>
        </w:rPr>
        <w:t>日期：　　年　月　日</w:t>
      </w:r>
      <w:bookmarkStart w:id="235" w:name="_Toc194663923"/>
      <w:bookmarkStart w:id="236" w:name="_Toc193187102"/>
      <w:bookmarkStart w:id="237" w:name="_Toc193126886"/>
      <w:bookmarkStart w:id="238" w:name="_Toc188808837"/>
    </w:p>
    <w:bookmarkEnd w:id="235"/>
    <w:bookmarkEnd w:id="236"/>
    <w:bookmarkEnd w:id="237"/>
    <w:bookmarkEnd w:id="238"/>
    <w:p w14:paraId="03240F6A">
      <w:pPr>
        <w:pStyle w:val="3"/>
        <w:spacing w:line="500" w:lineRule="exact"/>
        <w:rPr>
          <w:rFonts w:hint="eastAsia" w:ascii="仿宋" w:hAnsi="仿宋" w:eastAsia="仿宋" w:cs="仿宋"/>
          <w:sz w:val="28"/>
          <w:szCs w:val="28"/>
        </w:rPr>
      </w:pPr>
      <w:bookmarkStart w:id="239" w:name="_Toc416678756"/>
      <w:bookmarkStart w:id="240" w:name="_Toc416530634"/>
      <w:bookmarkStart w:id="241" w:name="_Toc30651"/>
      <w:r>
        <w:rPr>
          <w:rFonts w:hint="eastAsia" w:ascii="仿宋" w:hAnsi="仿宋" w:eastAsia="仿宋" w:cs="仿宋"/>
          <w:sz w:val="28"/>
          <w:szCs w:val="28"/>
        </w:rPr>
        <w:t>3-1.技术偏离表（格式）</w:t>
      </w:r>
      <w:bookmarkEnd w:id="239"/>
      <w:bookmarkEnd w:id="240"/>
      <w:bookmarkEnd w:id="241"/>
    </w:p>
    <w:p w14:paraId="62D78547">
      <w:pPr>
        <w:spacing w:line="500" w:lineRule="exact"/>
        <w:ind w:left="210" w:leftChars="100"/>
        <w:jc w:val="center"/>
        <w:rPr>
          <w:rFonts w:hint="eastAsia" w:ascii="仿宋" w:hAnsi="仿宋" w:eastAsia="仿宋" w:cs="仿宋"/>
          <w:sz w:val="36"/>
          <w:szCs w:val="36"/>
        </w:rPr>
      </w:pPr>
      <w:r>
        <w:rPr>
          <w:rFonts w:hint="eastAsia" w:ascii="仿宋" w:hAnsi="仿宋" w:eastAsia="仿宋" w:cs="仿宋"/>
          <w:b/>
          <w:bCs/>
          <w:sz w:val="36"/>
          <w:szCs w:val="36"/>
        </w:rPr>
        <w:t>技术偏离表</w:t>
      </w:r>
    </w:p>
    <w:tbl>
      <w:tblPr>
        <w:tblStyle w:val="44"/>
        <w:tblpPr w:leftFromText="180" w:rightFromText="180" w:vertAnchor="text" w:horzAnchor="margin" w:tblpXSpec="center" w:tblpY="504"/>
        <w:tblOverlap w:val="never"/>
        <w:tblW w:w="966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126"/>
        <w:gridCol w:w="3327"/>
        <w:gridCol w:w="1689"/>
        <w:gridCol w:w="1788"/>
      </w:tblGrid>
      <w:tr w14:paraId="472A0A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14:paraId="08DE17DC">
            <w:pPr>
              <w:keepNext w:val="0"/>
              <w:keepLines w:val="0"/>
              <w:suppressLineNumbers w:val="0"/>
              <w:spacing w:before="0" w:beforeAutospacing="0" w:after="0" w:afterAutospacing="0" w:line="360" w:lineRule="exact"/>
              <w:ind w:left="40" w:leftChars="19" w:right="0"/>
              <w:jc w:val="center"/>
              <w:rPr>
                <w:rFonts w:hint="eastAsia" w:ascii="仿宋" w:hAnsi="仿宋" w:eastAsia="仿宋" w:cs="仿宋"/>
                <w:b/>
                <w:sz w:val="28"/>
                <w:szCs w:val="28"/>
              </w:rPr>
            </w:pPr>
            <w:r>
              <w:rPr>
                <w:rFonts w:hint="eastAsia" w:ascii="仿宋" w:hAnsi="仿宋" w:eastAsia="仿宋" w:cs="仿宋"/>
                <w:b/>
                <w:sz w:val="28"/>
                <w:szCs w:val="28"/>
              </w:rPr>
              <w:t>序号</w:t>
            </w:r>
          </w:p>
        </w:tc>
        <w:tc>
          <w:tcPr>
            <w:tcW w:w="2126" w:type="dxa"/>
            <w:tcMar>
              <w:top w:w="57" w:type="dxa"/>
              <w:left w:w="28" w:type="dxa"/>
              <w:bottom w:w="57" w:type="dxa"/>
              <w:right w:w="28" w:type="dxa"/>
            </w:tcMar>
            <w:vAlign w:val="center"/>
          </w:tcPr>
          <w:p w14:paraId="3D380F9E">
            <w:pPr>
              <w:keepNext w:val="0"/>
              <w:keepLines w:val="0"/>
              <w:suppressLineNumbers w:val="0"/>
              <w:spacing w:before="0" w:beforeAutospacing="0" w:after="0" w:afterAutospacing="0" w:line="360" w:lineRule="exact"/>
              <w:ind w:left="210" w:leftChars="100" w:right="0"/>
              <w:jc w:val="center"/>
              <w:rPr>
                <w:rFonts w:hint="eastAsia" w:ascii="仿宋" w:hAnsi="仿宋" w:eastAsia="仿宋" w:cs="仿宋"/>
                <w:b/>
                <w:sz w:val="28"/>
                <w:szCs w:val="28"/>
              </w:rPr>
            </w:pPr>
            <w:r>
              <w:rPr>
                <w:rFonts w:hint="eastAsia" w:ascii="仿宋" w:hAnsi="仿宋" w:eastAsia="仿宋" w:cs="仿宋"/>
                <w:b/>
                <w:sz w:val="28"/>
                <w:szCs w:val="28"/>
                <w:lang w:eastAsia="zh-CN"/>
              </w:rPr>
              <w:t>磋商</w:t>
            </w:r>
            <w:r>
              <w:rPr>
                <w:rFonts w:hint="eastAsia" w:ascii="仿宋" w:hAnsi="仿宋" w:eastAsia="仿宋" w:cs="仿宋"/>
                <w:b/>
                <w:sz w:val="28"/>
                <w:szCs w:val="28"/>
              </w:rPr>
              <w:t>文件</w:t>
            </w:r>
          </w:p>
          <w:p w14:paraId="7A9753DC">
            <w:pPr>
              <w:keepNext w:val="0"/>
              <w:keepLines w:val="0"/>
              <w:suppressLineNumbers w:val="0"/>
              <w:spacing w:before="0" w:beforeAutospacing="0" w:after="0" w:afterAutospacing="0" w:line="360" w:lineRule="exact"/>
              <w:ind w:left="210" w:leftChars="100" w:right="0"/>
              <w:jc w:val="center"/>
              <w:rPr>
                <w:rFonts w:hint="eastAsia" w:ascii="仿宋" w:hAnsi="仿宋" w:eastAsia="仿宋" w:cs="仿宋"/>
                <w:b/>
                <w:sz w:val="28"/>
                <w:szCs w:val="28"/>
              </w:rPr>
            </w:pPr>
            <w:r>
              <w:rPr>
                <w:rFonts w:hint="eastAsia" w:ascii="仿宋" w:hAnsi="仿宋" w:eastAsia="仿宋" w:cs="仿宋"/>
                <w:b/>
                <w:sz w:val="28"/>
                <w:szCs w:val="28"/>
              </w:rPr>
              <w:t>采购内容</w:t>
            </w:r>
          </w:p>
        </w:tc>
        <w:tc>
          <w:tcPr>
            <w:tcW w:w="3327" w:type="dxa"/>
            <w:tcMar>
              <w:top w:w="57" w:type="dxa"/>
              <w:left w:w="28" w:type="dxa"/>
              <w:bottom w:w="57" w:type="dxa"/>
              <w:right w:w="28" w:type="dxa"/>
            </w:tcMar>
            <w:vAlign w:val="center"/>
          </w:tcPr>
          <w:p w14:paraId="5E13AB20">
            <w:pPr>
              <w:keepNext w:val="0"/>
              <w:keepLines w:val="0"/>
              <w:suppressLineNumbers w:val="0"/>
              <w:spacing w:before="0" w:beforeAutospacing="0" w:after="0" w:afterAutospacing="0" w:line="360" w:lineRule="exact"/>
              <w:ind w:left="0" w:right="0"/>
              <w:jc w:val="center"/>
              <w:rPr>
                <w:rFonts w:hint="eastAsia" w:ascii="仿宋" w:hAnsi="仿宋" w:eastAsia="仿宋" w:cs="仿宋"/>
                <w:b/>
                <w:sz w:val="28"/>
                <w:szCs w:val="28"/>
              </w:rPr>
            </w:pPr>
            <w:r>
              <w:rPr>
                <w:rFonts w:hint="eastAsia" w:ascii="仿宋" w:hAnsi="仿宋" w:eastAsia="仿宋" w:cs="仿宋"/>
                <w:b/>
                <w:sz w:val="28"/>
                <w:szCs w:val="28"/>
                <w:lang w:eastAsia="zh-CN"/>
              </w:rPr>
              <w:t>磋商响应</w:t>
            </w:r>
            <w:r>
              <w:rPr>
                <w:rFonts w:hint="eastAsia" w:ascii="仿宋" w:hAnsi="仿宋" w:eastAsia="仿宋" w:cs="仿宋"/>
                <w:b/>
                <w:sz w:val="28"/>
                <w:szCs w:val="28"/>
              </w:rPr>
              <w:t>文件</w:t>
            </w:r>
          </w:p>
          <w:p w14:paraId="2790CB1A">
            <w:pPr>
              <w:keepNext w:val="0"/>
              <w:keepLines w:val="0"/>
              <w:suppressLineNumbers w:val="0"/>
              <w:spacing w:before="0" w:beforeAutospacing="0" w:after="0" w:afterAutospacing="0" w:line="360" w:lineRule="exact"/>
              <w:ind w:left="0" w:right="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响应情况</w:t>
            </w:r>
          </w:p>
        </w:tc>
        <w:tc>
          <w:tcPr>
            <w:tcW w:w="1689" w:type="dxa"/>
            <w:tcMar>
              <w:top w:w="57" w:type="dxa"/>
              <w:left w:w="28" w:type="dxa"/>
              <w:bottom w:w="57" w:type="dxa"/>
              <w:right w:w="28" w:type="dxa"/>
            </w:tcMar>
            <w:vAlign w:val="center"/>
          </w:tcPr>
          <w:p w14:paraId="5ADC85BA">
            <w:pPr>
              <w:keepNext w:val="0"/>
              <w:keepLines w:val="0"/>
              <w:suppressLineNumbers w:val="0"/>
              <w:spacing w:before="0" w:beforeAutospacing="0" w:after="0" w:afterAutospacing="0" w:line="36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偏离情况</w:t>
            </w:r>
          </w:p>
        </w:tc>
        <w:tc>
          <w:tcPr>
            <w:tcW w:w="1788" w:type="dxa"/>
            <w:tcMar>
              <w:top w:w="57" w:type="dxa"/>
              <w:left w:w="28" w:type="dxa"/>
              <w:bottom w:w="57" w:type="dxa"/>
              <w:right w:w="28" w:type="dxa"/>
            </w:tcMar>
            <w:vAlign w:val="center"/>
          </w:tcPr>
          <w:p w14:paraId="46D64DFF">
            <w:pPr>
              <w:keepNext w:val="0"/>
              <w:keepLines w:val="0"/>
              <w:suppressLineNumbers w:val="0"/>
              <w:spacing w:before="0" w:beforeAutospacing="0" w:after="0" w:afterAutospacing="0" w:line="36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说 明</w:t>
            </w:r>
          </w:p>
        </w:tc>
      </w:tr>
      <w:tr w14:paraId="7447F8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37" w:type="dxa"/>
            <w:tcBorders>
              <w:bottom w:val="single" w:color="auto" w:sz="4" w:space="0"/>
            </w:tcBorders>
            <w:tcMar>
              <w:top w:w="57" w:type="dxa"/>
              <w:left w:w="28" w:type="dxa"/>
              <w:bottom w:w="57" w:type="dxa"/>
              <w:right w:w="28" w:type="dxa"/>
            </w:tcMar>
            <w:vAlign w:val="center"/>
          </w:tcPr>
          <w:p w14:paraId="114CB067">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2126" w:type="dxa"/>
            <w:tcBorders>
              <w:bottom w:val="single" w:color="auto" w:sz="4" w:space="0"/>
            </w:tcBorders>
            <w:tcMar>
              <w:top w:w="57" w:type="dxa"/>
              <w:left w:w="28" w:type="dxa"/>
              <w:bottom w:w="57" w:type="dxa"/>
              <w:right w:w="28" w:type="dxa"/>
            </w:tcMar>
            <w:vAlign w:val="center"/>
          </w:tcPr>
          <w:p w14:paraId="39F72216">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3327" w:type="dxa"/>
            <w:tcBorders>
              <w:bottom w:val="single" w:color="auto" w:sz="4" w:space="0"/>
            </w:tcBorders>
            <w:tcMar>
              <w:top w:w="57" w:type="dxa"/>
              <w:left w:w="28" w:type="dxa"/>
              <w:bottom w:w="57" w:type="dxa"/>
              <w:right w:w="28" w:type="dxa"/>
            </w:tcMar>
            <w:vAlign w:val="center"/>
          </w:tcPr>
          <w:p w14:paraId="64821977">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1689" w:type="dxa"/>
            <w:tcBorders>
              <w:bottom w:val="single" w:color="auto" w:sz="4" w:space="0"/>
            </w:tcBorders>
            <w:tcMar>
              <w:top w:w="57" w:type="dxa"/>
              <w:left w:w="28" w:type="dxa"/>
              <w:bottom w:w="57" w:type="dxa"/>
              <w:right w:w="28" w:type="dxa"/>
            </w:tcMar>
            <w:vAlign w:val="center"/>
          </w:tcPr>
          <w:p w14:paraId="79A24D29">
            <w:pPr>
              <w:keepNext w:val="0"/>
              <w:keepLines w:val="0"/>
              <w:suppressLineNumbers w:val="0"/>
              <w:spacing w:before="0" w:beforeAutospacing="0" w:after="0" w:afterAutospacing="0" w:line="480" w:lineRule="exact"/>
              <w:ind w:left="0" w:right="0"/>
              <w:rPr>
                <w:rFonts w:hint="eastAsia" w:ascii="仿宋" w:hAnsi="仿宋" w:eastAsia="仿宋" w:cs="仿宋"/>
                <w:sz w:val="28"/>
                <w:szCs w:val="28"/>
              </w:rPr>
            </w:pPr>
          </w:p>
        </w:tc>
        <w:tc>
          <w:tcPr>
            <w:tcW w:w="1788" w:type="dxa"/>
            <w:tcBorders>
              <w:bottom w:val="single" w:color="auto" w:sz="4" w:space="0"/>
            </w:tcBorders>
            <w:tcMar>
              <w:top w:w="57" w:type="dxa"/>
              <w:left w:w="28" w:type="dxa"/>
              <w:bottom w:w="57" w:type="dxa"/>
              <w:right w:w="28" w:type="dxa"/>
            </w:tcMar>
            <w:vAlign w:val="center"/>
          </w:tcPr>
          <w:p w14:paraId="3BA404A6">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r>
      <w:tr w14:paraId="6B8C56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14:paraId="78201123">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2126" w:type="dxa"/>
            <w:tcMar>
              <w:top w:w="57" w:type="dxa"/>
              <w:left w:w="28" w:type="dxa"/>
              <w:bottom w:w="57" w:type="dxa"/>
              <w:right w:w="28" w:type="dxa"/>
            </w:tcMar>
            <w:vAlign w:val="center"/>
          </w:tcPr>
          <w:p w14:paraId="3DB27FA4">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3327" w:type="dxa"/>
            <w:tcMar>
              <w:top w:w="57" w:type="dxa"/>
              <w:left w:w="28" w:type="dxa"/>
              <w:bottom w:w="57" w:type="dxa"/>
              <w:right w:w="28" w:type="dxa"/>
            </w:tcMar>
            <w:vAlign w:val="center"/>
          </w:tcPr>
          <w:p w14:paraId="65E553D5">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1689" w:type="dxa"/>
            <w:tcMar>
              <w:top w:w="57" w:type="dxa"/>
              <w:left w:w="28" w:type="dxa"/>
              <w:bottom w:w="57" w:type="dxa"/>
              <w:right w:w="28" w:type="dxa"/>
            </w:tcMar>
            <w:vAlign w:val="center"/>
          </w:tcPr>
          <w:p w14:paraId="7FEC0ABD">
            <w:pPr>
              <w:keepNext w:val="0"/>
              <w:keepLines w:val="0"/>
              <w:suppressLineNumbers w:val="0"/>
              <w:spacing w:before="0" w:beforeAutospacing="0" w:after="0" w:afterAutospacing="0" w:line="480" w:lineRule="exact"/>
              <w:ind w:left="0" w:right="0"/>
              <w:rPr>
                <w:rFonts w:hint="eastAsia" w:ascii="仿宋" w:hAnsi="仿宋" w:eastAsia="仿宋" w:cs="仿宋"/>
                <w:sz w:val="28"/>
                <w:szCs w:val="28"/>
              </w:rPr>
            </w:pPr>
          </w:p>
        </w:tc>
        <w:tc>
          <w:tcPr>
            <w:tcW w:w="1788" w:type="dxa"/>
            <w:tcMar>
              <w:top w:w="57" w:type="dxa"/>
              <w:left w:w="28" w:type="dxa"/>
              <w:bottom w:w="57" w:type="dxa"/>
              <w:right w:w="28" w:type="dxa"/>
            </w:tcMar>
            <w:vAlign w:val="center"/>
          </w:tcPr>
          <w:p w14:paraId="73A609B6">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r>
      <w:tr w14:paraId="21E6C2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14:paraId="6C735C8B">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2126" w:type="dxa"/>
            <w:tcMar>
              <w:top w:w="57" w:type="dxa"/>
              <w:left w:w="28" w:type="dxa"/>
              <w:bottom w:w="57" w:type="dxa"/>
              <w:right w:w="28" w:type="dxa"/>
            </w:tcMar>
            <w:vAlign w:val="center"/>
          </w:tcPr>
          <w:p w14:paraId="12F22962">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3327" w:type="dxa"/>
            <w:tcMar>
              <w:top w:w="57" w:type="dxa"/>
              <w:left w:w="28" w:type="dxa"/>
              <w:bottom w:w="57" w:type="dxa"/>
              <w:right w:w="28" w:type="dxa"/>
            </w:tcMar>
            <w:vAlign w:val="center"/>
          </w:tcPr>
          <w:p w14:paraId="4AD6BA68">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1689" w:type="dxa"/>
            <w:tcMar>
              <w:top w:w="57" w:type="dxa"/>
              <w:left w:w="28" w:type="dxa"/>
              <w:bottom w:w="57" w:type="dxa"/>
              <w:right w:w="28" w:type="dxa"/>
            </w:tcMar>
            <w:vAlign w:val="center"/>
          </w:tcPr>
          <w:p w14:paraId="64C7BB76">
            <w:pPr>
              <w:keepNext w:val="0"/>
              <w:keepLines w:val="0"/>
              <w:suppressLineNumbers w:val="0"/>
              <w:spacing w:before="0" w:beforeAutospacing="0" w:after="0" w:afterAutospacing="0" w:line="480" w:lineRule="exact"/>
              <w:ind w:left="0" w:right="0"/>
              <w:rPr>
                <w:rFonts w:hint="eastAsia" w:ascii="仿宋" w:hAnsi="仿宋" w:eastAsia="仿宋" w:cs="仿宋"/>
                <w:sz w:val="28"/>
                <w:szCs w:val="28"/>
              </w:rPr>
            </w:pPr>
          </w:p>
        </w:tc>
        <w:tc>
          <w:tcPr>
            <w:tcW w:w="1788" w:type="dxa"/>
            <w:tcMar>
              <w:top w:w="57" w:type="dxa"/>
              <w:left w:w="28" w:type="dxa"/>
              <w:bottom w:w="57" w:type="dxa"/>
              <w:right w:w="28" w:type="dxa"/>
            </w:tcMar>
            <w:vAlign w:val="center"/>
          </w:tcPr>
          <w:p w14:paraId="3056A892">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r>
      <w:tr w14:paraId="35F16E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14:paraId="05FB8F2B">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2126" w:type="dxa"/>
            <w:tcMar>
              <w:top w:w="57" w:type="dxa"/>
              <w:left w:w="28" w:type="dxa"/>
              <w:bottom w:w="57" w:type="dxa"/>
              <w:right w:w="28" w:type="dxa"/>
            </w:tcMar>
            <w:vAlign w:val="center"/>
          </w:tcPr>
          <w:p w14:paraId="1E1BC226">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3327" w:type="dxa"/>
            <w:tcMar>
              <w:top w:w="57" w:type="dxa"/>
              <w:left w:w="28" w:type="dxa"/>
              <w:bottom w:w="57" w:type="dxa"/>
              <w:right w:w="28" w:type="dxa"/>
            </w:tcMar>
            <w:vAlign w:val="center"/>
          </w:tcPr>
          <w:p w14:paraId="59672F9D">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1689" w:type="dxa"/>
            <w:tcMar>
              <w:top w:w="57" w:type="dxa"/>
              <w:left w:w="28" w:type="dxa"/>
              <w:bottom w:w="57" w:type="dxa"/>
              <w:right w:w="28" w:type="dxa"/>
            </w:tcMar>
            <w:vAlign w:val="center"/>
          </w:tcPr>
          <w:p w14:paraId="186C1029">
            <w:pPr>
              <w:keepNext w:val="0"/>
              <w:keepLines w:val="0"/>
              <w:suppressLineNumbers w:val="0"/>
              <w:spacing w:before="0" w:beforeAutospacing="0" w:after="0" w:afterAutospacing="0" w:line="480" w:lineRule="exact"/>
              <w:ind w:left="0" w:right="0"/>
              <w:rPr>
                <w:rFonts w:hint="eastAsia" w:ascii="仿宋" w:hAnsi="仿宋" w:eastAsia="仿宋" w:cs="仿宋"/>
                <w:sz w:val="28"/>
                <w:szCs w:val="28"/>
              </w:rPr>
            </w:pPr>
          </w:p>
        </w:tc>
        <w:tc>
          <w:tcPr>
            <w:tcW w:w="1788" w:type="dxa"/>
            <w:tcMar>
              <w:top w:w="57" w:type="dxa"/>
              <w:left w:w="28" w:type="dxa"/>
              <w:bottom w:w="57" w:type="dxa"/>
              <w:right w:w="28" w:type="dxa"/>
            </w:tcMar>
            <w:vAlign w:val="center"/>
          </w:tcPr>
          <w:p w14:paraId="26F6126D">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r>
      <w:tr w14:paraId="030866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14:paraId="06105186">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2126" w:type="dxa"/>
            <w:tcMar>
              <w:top w:w="57" w:type="dxa"/>
              <w:left w:w="28" w:type="dxa"/>
              <w:bottom w:w="57" w:type="dxa"/>
              <w:right w:w="28" w:type="dxa"/>
            </w:tcMar>
            <w:vAlign w:val="center"/>
          </w:tcPr>
          <w:p w14:paraId="4CCBA647">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3327" w:type="dxa"/>
            <w:tcMar>
              <w:top w:w="57" w:type="dxa"/>
              <w:left w:w="28" w:type="dxa"/>
              <w:bottom w:w="57" w:type="dxa"/>
              <w:right w:w="28" w:type="dxa"/>
            </w:tcMar>
            <w:vAlign w:val="center"/>
          </w:tcPr>
          <w:p w14:paraId="3BB1FFD9">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1689" w:type="dxa"/>
            <w:tcMar>
              <w:top w:w="57" w:type="dxa"/>
              <w:left w:w="28" w:type="dxa"/>
              <w:bottom w:w="57" w:type="dxa"/>
              <w:right w:w="28" w:type="dxa"/>
            </w:tcMar>
            <w:vAlign w:val="center"/>
          </w:tcPr>
          <w:p w14:paraId="77DA45A6">
            <w:pPr>
              <w:keepNext w:val="0"/>
              <w:keepLines w:val="0"/>
              <w:suppressLineNumbers w:val="0"/>
              <w:spacing w:before="0" w:beforeAutospacing="0" w:after="0" w:afterAutospacing="0" w:line="480" w:lineRule="exact"/>
              <w:ind w:left="0" w:right="0"/>
              <w:rPr>
                <w:rFonts w:hint="eastAsia" w:ascii="仿宋" w:hAnsi="仿宋" w:eastAsia="仿宋" w:cs="仿宋"/>
                <w:sz w:val="28"/>
                <w:szCs w:val="28"/>
              </w:rPr>
            </w:pPr>
          </w:p>
        </w:tc>
        <w:tc>
          <w:tcPr>
            <w:tcW w:w="1788" w:type="dxa"/>
            <w:tcMar>
              <w:top w:w="57" w:type="dxa"/>
              <w:left w:w="28" w:type="dxa"/>
              <w:bottom w:w="57" w:type="dxa"/>
              <w:right w:w="28" w:type="dxa"/>
            </w:tcMar>
            <w:vAlign w:val="center"/>
          </w:tcPr>
          <w:p w14:paraId="5FAEABC3">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r>
      <w:tr w14:paraId="11FA48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14:paraId="7B08C3DA">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2126" w:type="dxa"/>
            <w:tcMar>
              <w:top w:w="57" w:type="dxa"/>
              <w:left w:w="28" w:type="dxa"/>
              <w:bottom w:w="57" w:type="dxa"/>
              <w:right w:w="28" w:type="dxa"/>
            </w:tcMar>
            <w:vAlign w:val="center"/>
          </w:tcPr>
          <w:p w14:paraId="49BD1164">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3327" w:type="dxa"/>
            <w:tcMar>
              <w:top w:w="57" w:type="dxa"/>
              <w:left w:w="28" w:type="dxa"/>
              <w:bottom w:w="57" w:type="dxa"/>
              <w:right w:w="28" w:type="dxa"/>
            </w:tcMar>
            <w:vAlign w:val="center"/>
          </w:tcPr>
          <w:p w14:paraId="76223F8E">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1689" w:type="dxa"/>
            <w:tcMar>
              <w:top w:w="57" w:type="dxa"/>
              <w:left w:w="28" w:type="dxa"/>
              <w:bottom w:w="57" w:type="dxa"/>
              <w:right w:w="28" w:type="dxa"/>
            </w:tcMar>
            <w:vAlign w:val="center"/>
          </w:tcPr>
          <w:p w14:paraId="333F8303">
            <w:pPr>
              <w:keepNext w:val="0"/>
              <w:keepLines w:val="0"/>
              <w:suppressLineNumbers w:val="0"/>
              <w:spacing w:before="0" w:beforeAutospacing="0" w:after="0" w:afterAutospacing="0" w:line="480" w:lineRule="exact"/>
              <w:ind w:left="0" w:right="0"/>
              <w:rPr>
                <w:rFonts w:hint="eastAsia" w:ascii="仿宋" w:hAnsi="仿宋" w:eastAsia="仿宋" w:cs="仿宋"/>
                <w:sz w:val="28"/>
                <w:szCs w:val="28"/>
              </w:rPr>
            </w:pPr>
          </w:p>
        </w:tc>
        <w:tc>
          <w:tcPr>
            <w:tcW w:w="1788" w:type="dxa"/>
            <w:tcMar>
              <w:top w:w="57" w:type="dxa"/>
              <w:left w:w="28" w:type="dxa"/>
              <w:bottom w:w="57" w:type="dxa"/>
              <w:right w:w="28" w:type="dxa"/>
            </w:tcMar>
            <w:vAlign w:val="center"/>
          </w:tcPr>
          <w:p w14:paraId="788022DD">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r>
      <w:tr w14:paraId="07EA52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14:paraId="3479CAE6">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2126" w:type="dxa"/>
            <w:tcMar>
              <w:top w:w="57" w:type="dxa"/>
              <w:left w:w="28" w:type="dxa"/>
              <w:bottom w:w="57" w:type="dxa"/>
              <w:right w:w="28" w:type="dxa"/>
            </w:tcMar>
            <w:vAlign w:val="center"/>
          </w:tcPr>
          <w:p w14:paraId="5D95D0E2">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3327" w:type="dxa"/>
            <w:tcMar>
              <w:top w:w="57" w:type="dxa"/>
              <w:left w:w="28" w:type="dxa"/>
              <w:bottom w:w="57" w:type="dxa"/>
              <w:right w:w="28" w:type="dxa"/>
            </w:tcMar>
            <w:vAlign w:val="center"/>
          </w:tcPr>
          <w:p w14:paraId="09F8DCAC">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1689" w:type="dxa"/>
            <w:tcMar>
              <w:top w:w="57" w:type="dxa"/>
              <w:left w:w="28" w:type="dxa"/>
              <w:bottom w:w="57" w:type="dxa"/>
              <w:right w:w="28" w:type="dxa"/>
            </w:tcMar>
            <w:vAlign w:val="center"/>
          </w:tcPr>
          <w:p w14:paraId="0AF75C82">
            <w:pPr>
              <w:keepNext w:val="0"/>
              <w:keepLines w:val="0"/>
              <w:suppressLineNumbers w:val="0"/>
              <w:spacing w:before="0" w:beforeAutospacing="0" w:after="0" w:afterAutospacing="0" w:line="480" w:lineRule="exact"/>
              <w:ind w:left="0" w:right="0"/>
              <w:rPr>
                <w:rFonts w:hint="eastAsia" w:ascii="仿宋" w:hAnsi="仿宋" w:eastAsia="仿宋" w:cs="仿宋"/>
                <w:sz w:val="28"/>
                <w:szCs w:val="28"/>
              </w:rPr>
            </w:pPr>
          </w:p>
        </w:tc>
        <w:tc>
          <w:tcPr>
            <w:tcW w:w="1788" w:type="dxa"/>
            <w:tcMar>
              <w:top w:w="57" w:type="dxa"/>
              <w:left w:w="28" w:type="dxa"/>
              <w:bottom w:w="57" w:type="dxa"/>
              <w:right w:w="28" w:type="dxa"/>
            </w:tcMar>
            <w:vAlign w:val="center"/>
          </w:tcPr>
          <w:p w14:paraId="757863A8">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r>
      <w:tr w14:paraId="71F44B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37" w:type="dxa"/>
            <w:tcBorders>
              <w:bottom w:val="single" w:color="auto" w:sz="4" w:space="0"/>
            </w:tcBorders>
            <w:tcMar>
              <w:top w:w="57" w:type="dxa"/>
              <w:left w:w="28" w:type="dxa"/>
              <w:bottom w:w="57" w:type="dxa"/>
              <w:right w:w="28" w:type="dxa"/>
            </w:tcMar>
            <w:vAlign w:val="center"/>
          </w:tcPr>
          <w:p w14:paraId="6A02EC07">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2126" w:type="dxa"/>
            <w:tcBorders>
              <w:bottom w:val="single" w:color="auto" w:sz="4" w:space="0"/>
            </w:tcBorders>
            <w:tcMar>
              <w:top w:w="57" w:type="dxa"/>
              <w:left w:w="28" w:type="dxa"/>
              <w:bottom w:w="57" w:type="dxa"/>
              <w:right w:w="28" w:type="dxa"/>
            </w:tcMar>
            <w:vAlign w:val="center"/>
          </w:tcPr>
          <w:p w14:paraId="030EC19C">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3327" w:type="dxa"/>
            <w:tcBorders>
              <w:bottom w:val="single" w:color="auto" w:sz="4" w:space="0"/>
            </w:tcBorders>
            <w:tcMar>
              <w:top w:w="57" w:type="dxa"/>
              <w:left w:w="28" w:type="dxa"/>
              <w:bottom w:w="57" w:type="dxa"/>
              <w:right w:w="28" w:type="dxa"/>
            </w:tcMar>
            <w:vAlign w:val="center"/>
          </w:tcPr>
          <w:p w14:paraId="3A01BBAD">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1689" w:type="dxa"/>
            <w:tcBorders>
              <w:bottom w:val="single" w:color="auto" w:sz="4" w:space="0"/>
            </w:tcBorders>
            <w:tcMar>
              <w:top w:w="57" w:type="dxa"/>
              <w:left w:w="28" w:type="dxa"/>
              <w:bottom w:w="57" w:type="dxa"/>
              <w:right w:w="28" w:type="dxa"/>
            </w:tcMar>
            <w:vAlign w:val="center"/>
          </w:tcPr>
          <w:p w14:paraId="42582821">
            <w:pPr>
              <w:keepNext w:val="0"/>
              <w:keepLines w:val="0"/>
              <w:suppressLineNumbers w:val="0"/>
              <w:spacing w:before="0" w:beforeAutospacing="0" w:after="0" w:afterAutospacing="0" w:line="480" w:lineRule="exact"/>
              <w:ind w:left="0" w:right="0"/>
              <w:rPr>
                <w:rFonts w:hint="eastAsia" w:ascii="仿宋" w:hAnsi="仿宋" w:eastAsia="仿宋" w:cs="仿宋"/>
                <w:sz w:val="28"/>
                <w:szCs w:val="28"/>
              </w:rPr>
            </w:pPr>
          </w:p>
        </w:tc>
        <w:tc>
          <w:tcPr>
            <w:tcW w:w="1788" w:type="dxa"/>
            <w:tcBorders>
              <w:bottom w:val="single" w:color="auto" w:sz="4" w:space="0"/>
            </w:tcBorders>
            <w:tcMar>
              <w:top w:w="57" w:type="dxa"/>
              <w:left w:w="28" w:type="dxa"/>
              <w:bottom w:w="57" w:type="dxa"/>
              <w:right w:w="28" w:type="dxa"/>
            </w:tcMar>
            <w:vAlign w:val="center"/>
          </w:tcPr>
          <w:p w14:paraId="3514DA82">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r>
      <w:tr w14:paraId="0C6245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14:paraId="163EBC92">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2126" w:type="dxa"/>
            <w:tcMar>
              <w:top w:w="57" w:type="dxa"/>
              <w:left w:w="28" w:type="dxa"/>
              <w:bottom w:w="57" w:type="dxa"/>
              <w:right w:w="28" w:type="dxa"/>
            </w:tcMar>
            <w:vAlign w:val="center"/>
          </w:tcPr>
          <w:p w14:paraId="3F2C548B">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3327" w:type="dxa"/>
            <w:tcMar>
              <w:top w:w="57" w:type="dxa"/>
              <w:left w:w="28" w:type="dxa"/>
              <w:bottom w:w="57" w:type="dxa"/>
              <w:right w:w="28" w:type="dxa"/>
            </w:tcMar>
            <w:vAlign w:val="center"/>
          </w:tcPr>
          <w:p w14:paraId="59202C0C">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1689" w:type="dxa"/>
            <w:tcMar>
              <w:top w:w="57" w:type="dxa"/>
              <w:left w:w="28" w:type="dxa"/>
              <w:bottom w:w="57" w:type="dxa"/>
              <w:right w:w="28" w:type="dxa"/>
            </w:tcMar>
            <w:vAlign w:val="center"/>
          </w:tcPr>
          <w:p w14:paraId="45B30807">
            <w:pPr>
              <w:keepNext w:val="0"/>
              <w:keepLines w:val="0"/>
              <w:suppressLineNumbers w:val="0"/>
              <w:spacing w:before="0" w:beforeAutospacing="0" w:after="0" w:afterAutospacing="0" w:line="480" w:lineRule="exact"/>
              <w:ind w:left="0" w:right="0"/>
              <w:rPr>
                <w:rFonts w:hint="eastAsia" w:ascii="仿宋" w:hAnsi="仿宋" w:eastAsia="仿宋" w:cs="仿宋"/>
                <w:sz w:val="28"/>
                <w:szCs w:val="28"/>
              </w:rPr>
            </w:pPr>
          </w:p>
        </w:tc>
        <w:tc>
          <w:tcPr>
            <w:tcW w:w="1788" w:type="dxa"/>
            <w:tcMar>
              <w:top w:w="57" w:type="dxa"/>
              <w:left w:w="28" w:type="dxa"/>
              <w:bottom w:w="57" w:type="dxa"/>
              <w:right w:w="28" w:type="dxa"/>
            </w:tcMar>
            <w:vAlign w:val="center"/>
          </w:tcPr>
          <w:p w14:paraId="4B45623B">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r>
    </w:tbl>
    <w:p w14:paraId="7A3C8E44">
      <w:pPr>
        <w:spacing w:line="480" w:lineRule="exact"/>
        <w:rPr>
          <w:rFonts w:hint="eastAsia" w:ascii="仿宋" w:hAnsi="仿宋" w:eastAsia="仿宋" w:cs="仿宋"/>
        </w:rPr>
      </w:pPr>
    </w:p>
    <w:p w14:paraId="2820A761">
      <w:pPr>
        <w:spacing w:line="480" w:lineRule="exact"/>
        <w:rPr>
          <w:rFonts w:hint="eastAsia" w:ascii="仿宋" w:hAnsi="仿宋" w:eastAsia="仿宋" w:cs="仿宋"/>
        </w:rPr>
      </w:pPr>
    </w:p>
    <w:p w14:paraId="262AA14E">
      <w:pPr>
        <w:spacing w:line="480" w:lineRule="exact"/>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eastAsia="zh-CN"/>
        </w:rPr>
        <w:t>1</w:t>
      </w:r>
      <w:r>
        <w:rPr>
          <w:rFonts w:hint="eastAsia" w:ascii="仿宋" w:hAnsi="仿宋" w:eastAsia="仿宋" w:cs="仿宋"/>
        </w:rPr>
        <w:t>.</w:t>
      </w:r>
      <w:r>
        <w:rPr>
          <w:rFonts w:hint="eastAsia" w:ascii="仿宋" w:hAnsi="仿宋" w:eastAsia="仿宋" w:cs="仿宋"/>
          <w:lang w:eastAsia="zh-CN"/>
        </w:rPr>
        <w:t>供应商</w:t>
      </w:r>
      <w:r>
        <w:rPr>
          <w:rFonts w:hint="eastAsia" w:ascii="仿宋" w:hAnsi="仿宋" w:eastAsia="仿宋" w:cs="仿宋"/>
        </w:rPr>
        <w:t>需对</w:t>
      </w:r>
      <w:r>
        <w:rPr>
          <w:rFonts w:hint="eastAsia" w:ascii="仿宋" w:hAnsi="仿宋" w:eastAsia="仿宋" w:cs="仿宋"/>
          <w:lang w:eastAsia="zh-CN"/>
        </w:rPr>
        <w:t>第四章、</w:t>
      </w:r>
      <w:r>
        <w:rPr>
          <w:rFonts w:hint="eastAsia" w:ascii="仿宋" w:hAnsi="仿宋" w:eastAsia="仿宋" w:cs="仿宋"/>
        </w:rPr>
        <w:t>采购内容</w:t>
      </w:r>
      <w:r>
        <w:rPr>
          <w:rFonts w:hint="eastAsia" w:ascii="仿宋" w:hAnsi="仿宋" w:eastAsia="仿宋" w:cs="仿宋"/>
          <w:lang w:eastAsia="zh-CN"/>
        </w:rPr>
        <w:t>及要求</w:t>
      </w:r>
      <w:r>
        <w:rPr>
          <w:rFonts w:hint="eastAsia" w:ascii="仿宋" w:hAnsi="仿宋" w:eastAsia="仿宋" w:cs="仿宋"/>
        </w:rPr>
        <w:t>做出响应，</w:t>
      </w:r>
      <w:r>
        <w:rPr>
          <w:rFonts w:hint="eastAsia" w:ascii="仿宋" w:hAnsi="仿宋" w:eastAsia="仿宋" w:cs="仿宋"/>
          <w:lang w:eastAsia="zh-CN"/>
        </w:rPr>
        <w:t>此表只列明正偏离及负偏离项，未列明项视为无偏离</w:t>
      </w:r>
      <w:r>
        <w:rPr>
          <w:rFonts w:hint="eastAsia" w:ascii="仿宋" w:hAnsi="仿宋" w:eastAsia="仿宋" w:cs="仿宋"/>
        </w:rPr>
        <w:t>。</w:t>
      </w:r>
    </w:p>
    <w:p w14:paraId="27A20BB5">
      <w:pPr>
        <w:spacing w:line="480" w:lineRule="exact"/>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.正偏离需在说明一栏做出详细说明。</w:t>
      </w:r>
    </w:p>
    <w:p w14:paraId="3E63257B">
      <w:pPr>
        <w:spacing w:line="480" w:lineRule="exact"/>
        <w:ind w:firstLine="420" w:firstLineChars="200"/>
        <w:rPr>
          <w:rFonts w:hint="eastAsia" w:ascii="仿宋" w:hAnsi="仿宋" w:eastAsia="仿宋" w:cs="仿宋"/>
          <w:lang w:val="en-US" w:eastAsia="zh-CN"/>
        </w:rPr>
      </w:pPr>
      <w:r>
        <w:rPr>
          <w:rFonts w:hint="eastAsia" w:ascii="仿宋" w:hAnsi="仿宋" w:eastAsia="仿宋" w:cs="仿宋"/>
          <w:lang w:val="en-US" w:eastAsia="zh-CN"/>
        </w:rPr>
        <w:t>3.如供应商全部响应磋商文件</w:t>
      </w:r>
      <w:r>
        <w:rPr>
          <w:rFonts w:hint="eastAsia" w:ascii="仿宋" w:hAnsi="仿宋" w:eastAsia="仿宋" w:cs="仿宋"/>
        </w:rPr>
        <w:t>采购内容</w:t>
      </w:r>
      <w:r>
        <w:rPr>
          <w:rFonts w:hint="eastAsia" w:ascii="仿宋" w:hAnsi="仿宋" w:eastAsia="仿宋" w:cs="仿宋"/>
          <w:lang w:eastAsia="zh-CN"/>
        </w:rPr>
        <w:t>及要求</w:t>
      </w:r>
      <w:r>
        <w:rPr>
          <w:rFonts w:hint="eastAsia" w:ascii="仿宋" w:hAnsi="仿宋" w:eastAsia="仿宋" w:cs="仿宋"/>
          <w:lang w:val="en-US" w:eastAsia="zh-CN"/>
        </w:rPr>
        <w:t>，在“磋商文件采购内容”及“磋商响应文件文件响应情况”栏中填写“全部”字样，在“偏离情况”栏填入“无偏离”字样。</w:t>
      </w:r>
    </w:p>
    <w:p w14:paraId="424545F3">
      <w:pPr>
        <w:wordWrap w:val="0"/>
        <w:spacing w:line="480" w:lineRule="exact"/>
        <w:ind w:right="-99" w:rightChars="-47"/>
        <w:jc w:val="right"/>
        <w:outlineLvl w:val="1"/>
        <w:rPr>
          <w:rFonts w:hint="eastAsia" w:ascii="仿宋" w:hAnsi="仿宋" w:eastAsia="仿宋" w:cs="仿宋"/>
          <w:lang w:eastAsia="zh-CN"/>
        </w:rPr>
      </w:pPr>
    </w:p>
    <w:p w14:paraId="18A5EE62">
      <w:pPr>
        <w:widowControl/>
        <w:spacing w:line="5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sz w:val="24"/>
          <w:szCs w:val="24"/>
          <w:highlight w:val="none"/>
        </w:rPr>
        <w:t>盖单位章</w:t>
      </w:r>
      <w:r>
        <w:rPr>
          <w:rFonts w:hint="eastAsia" w:ascii="仿宋" w:hAnsi="仿宋" w:eastAsia="仿宋" w:cs="仿宋"/>
          <w:color w:val="auto"/>
          <w:kern w:val="2"/>
          <w:sz w:val="24"/>
          <w:szCs w:val="24"/>
          <w:highlight w:val="none"/>
          <w:lang w:val="en-US" w:eastAsia="zh-CN" w:bidi="ar-SA"/>
        </w:rPr>
        <w:t>）</w:t>
      </w:r>
    </w:p>
    <w:p w14:paraId="793D27E4">
      <w:pPr>
        <w:widowControl/>
        <w:spacing w:line="5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法定代表人或授权代表：</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（签字或盖章）</w:t>
      </w:r>
    </w:p>
    <w:p w14:paraId="34F98198">
      <w:pPr>
        <w:wordWrap w:val="0"/>
        <w:spacing w:line="480" w:lineRule="exact"/>
        <w:ind w:right="-99" w:rightChars="-47"/>
        <w:jc w:val="right"/>
        <w:outlineLvl w:val="1"/>
        <w:rPr>
          <w:rFonts w:hint="eastAsia" w:ascii="仿宋" w:hAnsi="仿宋" w:eastAsia="仿宋" w:cs="仿宋"/>
          <w:b/>
          <w:bCs/>
          <w:sz w:val="28"/>
          <w:szCs w:val="28"/>
        </w:rPr>
      </w:pPr>
      <w:r>
        <w:rPr>
          <w:rFonts w:hint="eastAsia" w:ascii="仿宋" w:hAnsi="仿宋" w:eastAsia="仿宋" w:cs="仿宋"/>
          <w:color w:val="auto"/>
          <w:kern w:val="2"/>
          <w:sz w:val="24"/>
          <w:szCs w:val="24"/>
          <w:highlight w:val="none"/>
          <w:lang w:val="en-US" w:eastAsia="zh-CN" w:bidi="ar-SA"/>
        </w:rPr>
        <w:t>日期：　　年　月　日</w:t>
      </w:r>
    </w:p>
    <w:p w14:paraId="476F89B9">
      <w:pPr>
        <w:rPr>
          <w:rFonts w:hint="eastAsia" w:ascii="仿宋" w:hAnsi="仿宋" w:eastAsia="仿宋" w:cs="仿宋"/>
          <w:b/>
          <w:bCs/>
          <w:sz w:val="28"/>
          <w:szCs w:val="28"/>
        </w:rPr>
      </w:pPr>
      <w:r>
        <w:rPr>
          <w:rFonts w:hint="eastAsia" w:ascii="仿宋" w:hAnsi="仿宋" w:eastAsia="仿宋" w:cs="仿宋"/>
          <w:b/>
          <w:bCs/>
          <w:sz w:val="28"/>
          <w:szCs w:val="28"/>
        </w:rPr>
        <w:br w:type="page"/>
      </w:r>
    </w:p>
    <w:p w14:paraId="59AAAE1F">
      <w:pPr>
        <w:spacing w:line="480" w:lineRule="exact"/>
        <w:ind w:right="-99" w:rightChars="-47"/>
        <w:outlineLvl w:val="1"/>
        <w:rPr>
          <w:rFonts w:hint="eastAsia" w:ascii="仿宋" w:hAnsi="仿宋" w:eastAsia="仿宋" w:cs="仿宋"/>
          <w:b/>
          <w:bCs/>
          <w:sz w:val="28"/>
          <w:szCs w:val="28"/>
        </w:rPr>
      </w:pPr>
      <w:r>
        <w:rPr>
          <w:rFonts w:hint="eastAsia" w:ascii="仿宋" w:hAnsi="仿宋" w:eastAsia="仿宋" w:cs="仿宋"/>
          <w:b/>
          <w:bCs/>
          <w:sz w:val="28"/>
          <w:szCs w:val="28"/>
        </w:rPr>
        <w:t>3-2、商务偏离表（格式）</w:t>
      </w:r>
    </w:p>
    <w:p w14:paraId="470149C4">
      <w:pPr>
        <w:spacing w:line="480" w:lineRule="exact"/>
        <w:ind w:right="-99" w:rightChars="-47"/>
        <w:jc w:val="center"/>
        <w:rPr>
          <w:rFonts w:hint="eastAsia" w:ascii="仿宋" w:hAnsi="仿宋" w:eastAsia="仿宋" w:cs="仿宋"/>
          <w:b/>
          <w:bCs/>
          <w:sz w:val="36"/>
          <w:szCs w:val="21"/>
        </w:rPr>
      </w:pPr>
      <w:bookmarkStart w:id="242" w:name="_Toc49019497"/>
      <w:bookmarkStart w:id="243" w:name="_Toc194663925"/>
      <w:bookmarkStart w:id="244" w:name="_Toc188808839"/>
      <w:bookmarkStart w:id="245" w:name="_Toc193126888"/>
      <w:bookmarkStart w:id="246" w:name="_Toc47418255"/>
      <w:bookmarkStart w:id="247" w:name="_Toc49019236"/>
      <w:bookmarkStart w:id="248" w:name="_Toc47261690"/>
      <w:bookmarkStart w:id="249" w:name="_Toc47418731"/>
      <w:bookmarkStart w:id="250" w:name="_Toc47418938"/>
      <w:bookmarkStart w:id="251" w:name="_Toc48791235"/>
      <w:bookmarkStart w:id="252" w:name="_Toc48995851"/>
      <w:bookmarkStart w:id="253" w:name="_Toc193187104"/>
      <w:bookmarkStart w:id="254" w:name="_Toc47261885"/>
      <w:bookmarkStart w:id="255" w:name="_Toc47262069"/>
      <w:r>
        <w:rPr>
          <w:rFonts w:hint="eastAsia" w:ascii="仿宋" w:hAnsi="仿宋" w:eastAsia="仿宋" w:cs="仿宋"/>
          <w:b/>
          <w:bCs/>
          <w:sz w:val="36"/>
          <w:szCs w:val="21"/>
        </w:rPr>
        <w:t>商务偏离表</w:t>
      </w:r>
    </w:p>
    <w:p w14:paraId="2750153E">
      <w:pPr>
        <w:spacing w:line="480" w:lineRule="exact"/>
        <w:ind w:right="-99" w:rightChars="-47"/>
        <w:rPr>
          <w:rFonts w:hint="eastAsia" w:ascii="仿宋" w:hAnsi="仿宋" w:eastAsia="仿宋" w:cs="仿宋"/>
          <w:sz w:val="21"/>
          <w:szCs w:val="21"/>
        </w:rPr>
      </w:pPr>
    </w:p>
    <w:tbl>
      <w:tblPr>
        <w:tblStyle w:val="44"/>
        <w:tblW w:w="929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78"/>
        <w:gridCol w:w="2700"/>
        <w:gridCol w:w="1650"/>
        <w:gridCol w:w="1438"/>
      </w:tblGrid>
      <w:tr w14:paraId="2AD50C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22BD92A2">
            <w:pPr>
              <w:keepNext w:val="0"/>
              <w:keepLines w:val="0"/>
              <w:suppressLineNumbers w:val="0"/>
              <w:spacing w:before="0" w:beforeAutospacing="0" w:after="0" w:afterAutospacing="0" w:line="480" w:lineRule="exact"/>
              <w:ind w:left="0" w:right="-99" w:rightChars="-47"/>
              <w:jc w:val="center"/>
              <w:rPr>
                <w:rFonts w:hint="eastAsia" w:ascii="仿宋" w:hAnsi="仿宋" w:eastAsia="仿宋" w:cs="仿宋"/>
                <w:b/>
                <w:sz w:val="28"/>
                <w:szCs w:val="28"/>
              </w:rPr>
            </w:pPr>
            <w:r>
              <w:rPr>
                <w:rFonts w:hint="eastAsia" w:ascii="仿宋" w:hAnsi="仿宋" w:eastAsia="仿宋" w:cs="仿宋"/>
                <w:b/>
                <w:sz w:val="28"/>
                <w:szCs w:val="28"/>
              </w:rPr>
              <w:t xml:space="preserve"> 序号</w:t>
            </w:r>
          </w:p>
        </w:tc>
        <w:tc>
          <w:tcPr>
            <w:tcW w:w="2678" w:type="dxa"/>
            <w:tcMar>
              <w:top w:w="57" w:type="dxa"/>
              <w:left w:w="28" w:type="dxa"/>
              <w:bottom w:w="57" w:type="dxa"/>
              <w:right w:w="28" w:type="dxa"/>
            </w:tcMar>
            <w:vAlign w:val="center"/>
          </w:tcPr>
          <w:p w14:paraId="34925888">
            <w:pPr>
              <w:keepNext w:val="0"/>
              <w:keepLines w:val="0"/>
              <w:suppressLineNumbers w:val="0"/>
              <w:spacing w:before="0" w:beforeAutospacing="0" w:after="0" w:afterAutospacing="0" w:line="480" w:lineRule="exact"/>
              <w:ind w:left="0" w:right="-99" w:rightChars="-47"/>
              <w:jc w:val="center"/>
              <w:rPr>
                <w:rFonts w:hint="eastAsia" w:ascii="仿宋" w:hAnsi="仿宋" w:eastAsia="仿宋" w:cs="仿宋"/>
                <w:b/>
                <w:sz w:val="28"/>
                <w:szCs w:val="28"/>
              </w:rPr>
            </w:pPr>
            <w:r>
              <w:rPr>
                <w:rFonts w:hint="eastAsia" w:ascii="仿宋" w:hAnsi="仿宋" w:eastAsia="仿宋" w:cs="仿宋"/>
                <w:b/>
                <w:sz w:val="28"/>
                <w:szCs w:val="28"/>
                <w:lang w:eastAsia="zh-CN"/>
              </w:rPr>
              <w:t>磋商</w:t>
            </w:r>
            <w:r>
              <w:rPr>
                <w:rFonts w:hint="eastAsia" w:ascii="仿宋" w:hAnsi="仿宋" w:eastAsia="仿宋" w:cs="仿宋"/>
                <w:b/>
                <w:sz w:val="28"/>
                <w:szCs w:val="28"/>
              </w:rPr>
              <w:t>文件</w:t>
            </w:r>
          </w:p>
          <w:p w14:paraId="46038C0E">
            <w:pPr>
              <w:keepNext w:val="0"/>
              <w:keepLines w:val="0"/>
              <w:suppressLineNumbers w:val="0"/>
              <w:spacing w:before="0" w:beforeAutospacing="0" w:after="0" w:afterAutospacing="0" w:line="480" w:lineRule="exact"/>
              <w:ind w:left="0" w:right="-99" w:rightChars="-47"/>
              <w:jc w:val="center"/>
              <w:rPr>
                <w:rFonts w:hint="eastAsia" w:ascii="仿宋" w:hAnsi="仿宋" w:eastAsia="仿宋" w:cs="仿宋"/>
                <w:b/>
                <w:sz w:val="28"/>
                <w:szCs w:val="28"/>
              </w:rPr>
            </w:pPr>
            <w:r>
              <w:rPr>
                <w:rFonts w:hint="eastAsia" w:ascii="仿宋" w:hAnsi="仿宋" w:eastAsia="仿宋" w:cs="仿宋"/>
                <w:b/>
                <w:sz w:val="28"/>
                <w:szCs w:val="28"/>
              </w:rPr>
              <w:t>商务要求</w:t>
            </w:r>
          </w:p>
        </w:tc>
        <w:tc>
          <w:tcPr>
            <w:tcW w:w="2700" w:type="dxa"/>
            <w:tcMar>
              <w:top w:w="57" w:type="dxa"/>
              <w:left w:w="28" w:type="dxa"/>
              <w:bottom w:w="57" w:type="dxa"/>
              <w:right w:w="28" w:type="dxa"/>
            </w:tcMar>
            <w:vAlign w:val="center"/>
          </w:tcPr>
          <w:p w14:paraId="4FD0FC15">
            <w:pPr>
              <w:keepNext w:val="0"/>
              <w:keepLines w:val="0"/>
              <w:suppressLineNumbers w:val="0"/>
              <w:spacing w:before="0" w:beforeAutospacing="0" w:after="0" w:afterAutospacing="0" w:line="480" w:lineRule="exact"/>
              <w:ind w:left="0" w:right="-99" w:rightChars="-47"/>
              <w:jc w:val="center"/>
              <w:rPr>
                <w:rFonts w:hint="eastAsia" w:ascii="仿宋" w:hAnsi="仿宋" w:eastAsia="仿宋" w:cs="仿宋"/>
                <w:b/>
                <w:sz w:val="28"/>
                <w:szCs w:val="28"/>
              </w:rPr>
            </w:pPr>
            <w:r>
              <w:rPr>
                <w:rFonts w:hint="eastAsia" w:ascii="仿宋" w:hAnsi="仿宋" w:eastAsia="仿宋" w:cs="仿宋"/>
                <w:b/>
                <w:sz w:val="28"/>
                <w:szCs w:val="28"/>
                <w:lang w:eastAsia="zh-CN"/>
              </w:rPr>
              <w:t>磋商响应</w:t>
            </w:r>
            <w:r>
              <w:rPr>
                <w:rFonts w:hint="eastAsia" w:ascii="仿宋" w:hAnsi="仿宋" w:eastAsia="仿宋" w:cs="仿宋"/>
                <w:b/>
                <w:sz w:val="28"/>
                <w:szCs w:val="28"/>
              </w:rPr>
              <w:t>文件</w:t>
            </w:r>
          </w:p>
          <w:p w14:paraId="302BCE60">
            <w:pPr>
              <w:keepNext w:val="0"/>
              <w:keepLines w:val="0"/>
              <w:suppressLineNumbers w:val="0"/>
              <w:spacing w:before="0" w:beforeAutospacing="0" w:after="0" w:afterAutospacing="0" w:line="480" w:lineRule="exact"/>
              <w:ind w:left="0" w:right="-99" w:rightChars="-47"/>
              <w:jc w:val="center"/>
              <w:rPr>
                <w:rFonts w:hint="eastAsia" w:ascii="仿宋" w:hAnsi="仿宋" w:eastAsia="仿宋" w:cs="仿宋"/>
                <w:b/>
                <w:sz w:val="28"/>
                <w:szCs w:val="28"/>
              </w:rPr>
            </w:pPr>
            <w:r>
              <w:rPr>
                <w:rFonts w:hint="eastAsia" w:ascii="仿宋" w:hAnsi="仿宋" w:eastAsia="仿宋" w:cs="仿宋"/>
                <w:b/>
                <w:sz w:val="28"/>
                <w:szCs w:val="28"/>
              </w:rPr>
              <w:t>商务响应</w:t>
            </w:r>
          </w:p>
        </w:tc>
        <w:tc>
          <w:tcPr>
            <w:tcW w:w="1650" w:type="dxa"/>
            <w:tcMar>
              <w:top w:w="57" w:type="dxa"/>
              <w:left w:w="28" w:type="dxa"/>
              <w:bottom w:w="57" w:type="dxa"/>
              <w:right w:w="28" w:type="dxa"/>
            </w:tcMar>
            <w:vAlign w:val="center"/>
          </w:tcPr>
          <w:p w14:paraId="2E5CA161">
            <w:pPr>
              <w:keepNext w:val="0"/>
              <w:keepLines w:val="0"/>
              <w:suppressLineNumbers w:val="0"/>
              <w:spacing w:before="0" w:beforeAutospacing="0" w:after="0" w:afterAutospacing="0" w:line="480" w:lineRule="exact"/>
              <w:ind w:left="0" w:right="-99" w:rightChars="-47"/>
              <w:jc w:val="center"/>
              <w:rPr>
                <w:rFonts w:hint="eastAsia" w:ascii="仿宋" w:hAnsi="仿宋" w:eastAsia="仿宋" w:cs="仿宋"/>
                <w:b/>
                <w:sz w:val="28"/>
                <w:szCs w:val="28"/>
              </w:rPr>
            </w:pPr>
            <w:r>
              <w:rPr>
                <w:rFonts w:hint="eastAsia" w:ascii="仿宋" w:hAnsi="仿宋" w:eastAsia="仿宋" w:cs="仿宋"/>
                <w:b/>
                <w:sz w:val="28"/>
                <w:szCs w:val="28"/>
              </w:rPr>
              <w:t>偏离情况</w:t>
            </w:r>
          </w:p>
        </w:tc>
        <w:tc>
          <w:tcPr>
            <w:tcW w:w="1438" w:type="dxa"/>
            <w:vAlign w:val="center"/>
          </w:tcPr>
          <w:p w14:paraId="7351EADF">
            <w:pPr>
              <w:keepNext w:val="0"/>
              <w:keepLines w:val="0"/>
              <w:suppressLineNumbers w:val="0"/>
              <w:spacing w:before="0" w:beforeAutospacing="0" w:after="0" w:afterAutospacing="0" w:line="480" w:lineRule="exact"/>
              <w:ind w:left="0" w:right="-99" w:rightChars="-47"/>
              <w:jc w:val="center"/>
              <w:rPr>
                <w:rFonts w:hint="eastAsia" w:ascii="仿宋" w:hAnsi="仿宋" w:eastAsia="仿宋" w:cs="仿宋"/>
                <w:b/>
                <w:sz w:val="28"/>
                <w:szCs w:val="28"/>
              </w:rPr>
            </w:pPr>
            <w:r>
              <w:rPr>
                <w:rFonts w:hint="eastAsia" w:ascii="仿宋" w:hAnsi="仿宋" w:eastAsia="仿宋" w:cs="仿宋"/>
                <w:b/>
                <w:sz w:val="28"/>
                <w:szCs w:val="28"/>
              </w:rPr>
              <w:t>说明</w:t>
            </w:r>
          </w:p>
        </w:tc>
      </w:tr>
      <w:tr w14:paraId="7BE848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Borders>
              <w:bottom w:val="single" w:color="auto" w:sz="4" w:space="0"/>
            </w:tcBorders>
            <w:tcMar>
              <w:top w:w="57" w:type="dxa"/>
              <w:left w:w="28" w:type="dxa"/>
              <w:bottom w:w="57" w:type="dxa"/>
              <w:right w:w="28" w:type="dxa"/>
            </w:tcMar>
            <w:vAlign w:val="center"/>
          </w:tcPr>
          <w:p w14:paraId="035AE3BC">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2678" w:type="dxa"/>
            <w:tcBorders>
              <w:bottom w:val="single" w:color="auto" w:sz="4" w:space="0"/>
            </w:tcBorders>
            <w:tcMar>
              <w:top w:w="57" w:type="dxa"/>
              <w:left w:w="28" w:type="dxa"/>
              <w:bottom w:w="57" w:type="dxa"/>
              <w:right w:w="28" w:type="dxa"/>
            </w:tcMar>
            <w:vAlign w:val="center"/>
          </w:tcPr>
          <w:p w14:paraId="00CAF52D">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2700" w:type="dxa"/>
            <w:tcBorders>
              <w:bottom w:val="single" w:color="auto" w:sz="4" w:space="0"/>
            </w:tcBorders>
            <w:tcMar>
              <w:top w:w="57" w:type="dxa"/>
              <w:left w:w="28" w:type="dxa"/>
              <w:bottom w:w="57" w:type="dxa"/>
              <w:right w:w="28" w:type="dxa"/>
            </w:tcMar>
            <w:vAlign w:val="center"/>
          </w:tcPr>
          <w:p w14:paraId="4FA5EF66">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1650" w:type="dxa"/>
            <w:tcBorders>
              <w:bottom w:val="single" w:color="auto" w:sz="4" w:space="0"/>
            </w:tcBorders>
            <w:tcMar>
              <w:top w:w="57" w:type="dxa"/>
              <w:left w:w="28" w:type="dxa"/>
              <w:bottom w:w="57" w:type="dxa"/>
              <w:right w:w="28" w:type="dxa"/>
            </w:tcMar>
            <w:vAlign w:val="center"/>
          </w:tcPr>
          <w:p w14:paraId="0B78E778">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1438" w:type="dxa"/>
            <w:tcBorders>
              <w:bottom w:val="single" w:color="auto" w:sz="4" w:space="0"/>
            </w:tcBorders>
            <w:vAlign w:val="center"/>
          </w:tcPr>
          <w:p w14:paraId="1436760B">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r>
      <w:tr w14:paraId="2E7BF0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Borders>
              <w:bottom w:val="single" w:color="auto" w:sz="4" w:space="0"/>
            </w:tcBorders>
            <w:tcMar>
              <w:top w:w="57" w:type="dxa"/>
              <w:left w:w="28" w:type="dxa"/>
              <w:bottom w:w="57" w:type="dxa"/>
              <w:right w:w="28" w:type="dxa"/>
            </w:tcMar>
            <w:vAlign w:val="center"/>
          </w:tcPr>
          <w:p w14:paraId="3EED12EC">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2678" w:type="dxa"/>
            <w:tcBorders>
              <w:bottom w:val="single" w:color="auto" w:sz="4" w:space="0"/>
            </w:tcBorders>
            <w:tcMar>
              <w:top w:w="57" w:type="dxa"/>
              <w:left w:w="28" w:type="dxa"/>
              <w:bottom w:w="57" w:type="dxa"/>
              <w:right w:w="28" w:type="dxa"/>
            </w:tcMar>
            <w:vAlign w:val="center"/>
          </w:tcPr>
          <w:p w14:paraId="23605FF7">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2700" w:type="dxa"/>
            <w:tcBorders>
              <w:bottom w:val="single" w:color="auto" w:sz="4" w:space="0"/>
            </w:tcBorders>
            <w:tcMar>
              <w:top w:w="57" w:type="dxa"/>
              <w:left w:w="28" w:type="dxa"/>
              <w:bottom w:w="57" w:type="dxa"/>
              <w:right w:w="28" w:type="dxa"/>
            </w:tcMar>
            <w:vAlign w:val="center"/>
          </w:tcPr>
          <w:p w14:paraId="6399170C">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1650" w:type="dxa"/>
            <w:tcBorders>
              <w:bottom w:val="single" w:color="auto" w:sz="4" w:space="0"/>
            </w:tcBorders>
            <w:tcMar>
              <w:top w:w="57" w:type="dxa"/>
              <w:left w:w="28" w:type="dxa"/>
              <w:bottom w:w="57" w:type="dxa"/>
              <w:right w:w="28" w:type="dxa"/>
            </w:tcMar>
            <w:vAlign w:val="center"/>
          </w:tcPr>
          <w:p w14:paraId="7B1B1A75">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1438" w:type="dxa"/>
            <w:tcBorders>
              <w:bottom w:val="single" w:color="auto" w:sz="4" w:space="0"/>
            </w:tcBorders>
            <w:vAlign w:val="center"/>
          </w:tcPr>
          <w:p w14:paraId="2543CDB8">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r>
      <w:tr w14:paraId="09C663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F28C547">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2678" w:type="dxa"/>
            <w:tcMar>
              <w:top w:w="57" w:type="dxa"/>
              <w:left w:w="28" w:type="dxa"/>
              <w:bottom w:w="57" w:type="dxa"/>
              <w:right w:w="28" w:type="dxa"/>
            </w:tcMar>
            <w:vAlign w:val="center"/>
          </w:tcPr>
          <w:p w14:paraId="15A8881D">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2700" w:type="dxa"/>
            <w:tcMar>
              <w:top w:w="57" w:type="dxa"/>
              <w:left w:w="28" w:type="dxa"/>
              <w:bottom w:w="57" w:type="dxa"/>
              <w:right w:w="28" w:type="dxa"/>
            </w:tcMar>
            <w:vAlign w:val="center"/>
          </w:tcPr>
          <w:p w14:paraId="36F0F60C">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1650" w:type="dxa"/>
            <w:tcMar>
              <w:top w:w="57" w:type="dxa"/>
              <w:left w:w="28" w:type="dxa"/>
              <w:bottom w:w="57" w:type="dxa"/>
              <w:right w:w="28" w:type="dxa"/>
            </w:tcMar>
            <w:vAlign w:val="center"/>
          </w:tcPr>
          <w:p w14:paraId="7D192638">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1438" w:type="dxa"/>
            <w:vAlign w:val="center"/>
          </w:tcPr>
          <w:p w14:paraId="1F75DDB9">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r>
      <w:tr w14:paraId="14B2DB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4932A89">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2678" w:type="dxa"/>
            <w:tcMar>
              <w:top w:w="57" w:type="dxa"/>
              <w:left w:w="28" w:type="dxa"/>
              <w:bottom w:w="57" w:type="dxa"/>
              <w:right w:w="28" w:type="dxa"/>
            </w:tcMar>
            <w:vAlign w:val="center"/>
          </w:tcPr>
          <w:p w14:paraId="01C961AC">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2700" w:type="dxa"/>
            <w:tcMar>
              <w:top w:w="57" w:type="dxa"/>
              <w:left w:w="28" w:type="dxa"/>
              <w:bottom w:w="57" w:type="dxa"/>
              <w:right w:w="28" w:type="dxa"/>
            </w:tcMar>
            <w:vAlign w:val="center"/>
          </w:tcPr>
          <w:p w14:paraId="7D429CDA">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1650" w:type="dxa"/>
            <w:tcMar>
              <w:top w:w="57" w:type="dxa"/>
              <w:left w:w="28" w:type="dxa"/>
              <w:bottom w:w="57" w:type="dxa"/>
              <w:right w:w="28" w:type="dxa"/>
            </w:tcMar>
            <w:vAlign w:val="center"/>
          </w:tcPr>
          <w:p w14:paraId="05FCE16A">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1438" w:type="dxa"/>
            <w:vAlign w:val="center"/>
          </w:tcPr>
          <w:p w14:paraId="45E00453">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r>
      <w:tr w14:paraId="7781FA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7093CD7E">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2678" w:type="dxa"/>
            <w:tcMar>
              <w:top w:w="57" w:type="dxa"/>
              <w:left w:w="28" w:type="dxa"/>
              <w:bottom w:w="57" w:type="dxa"/>
              <w:right w:w="28" w:type="dxa"/>
            </w:tcMar>
            <w:vAlign w:val="center"/>
          </w:tcPr>
          <w:p w14:paraId="13EAEE3D">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2700" w:type="dxa"/>
            <w:tcMar>
              <w:top w:w="57" w:type="dxa"/>
              <w:left w:w="28" w:type="dxa"/>
              <w:bottom w:w="57" w:type="dxa"/>
              <w:right w:w="28" w:type="dxa"/>
            </w:tcMar>
            <w:vAlign w:val="center"/>
          </w:tcPr>
          <w:p w14:paraId="0D25053E">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1650" w:type="dxa"/>
            <w:tcMar>
              <w:top w:w="57" w:type="dxa"/>
              <w:left w:w="28" w:type="dxa"/>
              <w:bottom w:w="57" w:type="dxa"/>
              <w:right w:w="28" w:type="dxa"/>
            </w:tcMar>
            <w:vAlign w:val="center"/>
          </w:tcPr>
          <w:p w14:paraId="1F382DB0">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1438" w:type="dxa"/>
            <w:vAlign w:val="center"/>
          </w:tcPr>
          <w:p w14:paraId="6603C023">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r>
      <w:tr w14:paraId="1EAEEC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255FF9A5">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2678" w:type="dxa"/>
            <w:tcMar>
              <w:top w:w="57" w:type="dxa"/>
              <w:left w:w="28" w:type="dxa"/>
              <w:bottom w:w="57" w:type="dxa"/>
              <w:right w:w="28" w:type="dxa"/>
            </w:tcMar>
            <w:vAlign w:val="center"/>
          </w:tcPr>
          <w:p w14:paraId="2E50A8FB">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2700" w:type="dxa"/>
            <w:tcMar>
              <w:top w:w="57" w:type="dxa"/>
              <w:left w:w="28" w:type="dxa"/>
              <w:bottom w:w="57" w:type="dxa"/>
              <w:right w:w="28" w:type="dxa"/>
            </w:tcMar>
            <w:vAlign w:val="center"/>
          </w:tcPr>
          <w:p w14:paraId="3017FC1D">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1650" w:type="dxa"/>
            <w:tcMar>
              <w:top w:w="57" w:type="dxa"/>
              <w:left w:w="28" w:type="dxa"/>
              <w:bottom w:w="57" w:type="dxa"/>
              <w:right w:w="28" w:type="dxa"/>
            </w:tcMar>
            <w:vAlign w:val="center"/>
          </w:tcPr>
          <w:p w14:paraId="3D3C08F8">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1438" w:type="dxa"/>
            <w:vAlign w:val="center"/>
          </w:tcPr>
          <w:p w14:paraId="37526697">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r>
      <w:tr w14:paraId="2805AE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99BD837">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2678" w:type="dxa"/>
            <w:tcMar>
              <w:top w:w="57" w:type="dxa"/>
              <w:left w:w="28" w:type="dxa"/>
              <w:bottom w:w="57" w:type="dxa"/>
              <w:right w:w="28" w:type="dxa"/>
            </w:tcMar>
            <w:vAlign w:val="center"/>
          </w:tcPr>
          <w:p w14:paraId="79F2BF0F">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2700" w:type="dxa"/>
            <w:tcMar>
              <w:top w:w="57" w:type="dxa"/>
              <w:left w:w="28" w:type="dxa"/>
              <w:bottom w:w="57" w:type="dxa"/>
              <w:right w:w="28" w:type="dxa"/>
            </w:tcMar>
            <w:vAlign w:val="center"/>
          </w:tcPr>
          <w:p w14:paraId="1AB1D6B4">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1650" w:type="dxa"/>
            <w:tcMar>
              <w:top w:w="57" w:type="dxa"/>
              <w:left w:w="28" w:type="dxa"/>
              <w:bottom w:w="57" w:type="dxa"/>
              <w:right w:w="28" w:type="dxa"/>
            </w:tcMar>
            <w:vAlign w:val="center"/>
          </w:tcPr>
          <w:p w14:paraId="4E4459DB">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1438" w:type="dxa"/>
            <w:vAlign w:val="center"/>
          </w:tcPr>
          <w:p w14:paraId="39E7475F">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r>
      <w:tr w14:paraId="0A1FA7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7B5D8E69">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2678" w:type="dxa"/>
            <w:tcMar>
              <w:top w:w="57" w:type="dxa"/>
              <w:left w:w="28" w:type="dxa"/>
              <w:bottom w:w="57" w:type="dxa"/>
              <w:right w:w="28" w:type="dxa"/>
            </w:tcMar>
            <w:vAlign w:val="center"/>
          </w:tcPr>
          <w:p w14:paraId="359EB8FD">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2700" w:type="dxa"/>
            <w:tcMar>
              <w:top w:w="57" w:type="dxa"/>
              <w:left w:w="28" w:type="dxa"/>
              <w:bottom w:w="57" w:type="dxa"/>
              <w:right w:w="28" w:type="dxa"/>
            </w:tcMar>
            <w:vAlign w:val="center"/>
          </w:tcPr>
          <w:p w14:paraId="50881A3E">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1650" w:type="dxa"/>
            <w:tcMar>
              <w:top w:w="57" w:type="dxa"/>
              <w:left w:w="28" w:type="dxa"/>
              <w:bottom w:w="57" w:type="dxa"/>
              <w:right w:w="28" w:type="dxa"/>
            </w:tcMar>
            <w:vAlign w:val="center"/>
          </w:tcPr>
          <w:p w14:paraId="2EDDA91B">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1438" w:type="dxa"/>
            <w:vAlign w:val="center"/>
          </w:tcPr>
          <w:p w14:paraId="383210DD">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r>
      <w:tr w14:paraId="58E054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DBF419A">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2678" w:type="dxa"/>
            <w:tcMar>
              <w:top w:w="57" w:type="dxa"/>
              <w:left w:w="28" w:type="dxa"/>
              <w:bottom w:w="57" w:type="dxa"/>
              <w:right w:w="28" w:type="dxa"/>
            </w:tcMar>
            <w:vAlign w:val="center"/>
          </w:tcPr>
          <w:p w14:paraId="46CF1E1F">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2700" w:type="dxa"/>
            <w:tcMar>
              <w:top w:w="57" w:type="dxa"/>
              <w:left w:w="28" w:type="dxa"/>
              <w:bottom w:w="57" w:type="dxa"/>
              <w:right w:w="28" w:type="dxa"/>
            </w:tcMar>
            <w:vAlign w:val="center"/>
          </w:tcPr>
          <w:p w14:paraId="61E967CA">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1650" w:type="dxa"/>
            <w:tcMar>
              <w:top w:w="57" w:type="dxa"/>
              <w:left w:w="28" w:type="dxa"/>
              <w:bottom w:w="57" w:type="dxa"/>
              <w:right w:w="28" w:type="dxa"/>
            </w:tcMar>
            <w:vAlign w:val="center"/>
          </w:tcPr>
          <w:p w14:paraId="3ABF83FD">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1438" w:type="dxa"/>
            <w:vAlign w:val="center"/>
          </w:tcPr>
          <w:p w14:paraId="7AE0ED6B">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r>
      <w:tr w14:paraId="268409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0D21CF8">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2678" w:type="dxa"/>
            <w:tcMar>
              <w:top w:w="57" w:type="dxa"/>
              <w:left w:w="28" w:type="dxa"/>
              <w:bottom w:w="57" w:type="dxa"/>
              <w:right w:w="28" w:type="dxa"/>
            </w:tcMar>
            <w:vAlign w:val="center"/>
          </w:tcPr>
          <w:p w14:paraId="0A28FC77">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2700" w:type="dxa"/>
            <w:tcMar>
              <w:top w:w="57" w:type="dxa"/>
              <w:left w:w="28" w:type="dxa"/>
              <w:bottom w:w="57" w:type="dxa"/>
              <w:right w:w="28" w:type="dxa"/>
            </w:tcMar>
            <w:vAlign w:val="center"/>
          </w:tcPr>
          <w:p w14:paraId="3C3DF823">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1650" w:type="dxa"/>
            <w:tcMar>
              <w:top w:w="57" w:type="dxa"/>
              <w:left w:w="28" w:type="dxa"/>
              <w:bottom w:w="57" w:type="dxa"/>
              <w:right w:w="28" w:type="dxa"/>
            </w:tcMar>
            <w:vAlign w:val="center"/>
          </w:tcPr>
          <w:p w14:paraId="0165F272">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1438" w:type="dxa"/>
            <w:vAlign w:val="center"/>
          </w:tcPr>
          <w:p w14:paraId="1254DF99">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r>
    </w:tbl>
    <w:p w14:paraId="324B0A57">
      <w:pPr>
        <w:spacing w:line="480" w:lineRule="exact"/>
        <w:ind w:right="-99" w:rightChars="-47"/>
        <w:rPr>
          <w:rFonts w:hint="eastAsia" w:ascii="仿宋" w:hAnsi="仿宋" w:eastAsia="仿宋" w:cs="仿宋"/>
          <w:sz w:val="22"/>
          <w:szCs w:val="22"/>
        </w:rPr>
      </w:pPr>
      <w:r>
        <w:rPr>
          <w:rFonts w:hint="eastAsia" w:ascii="仿宋" w:hAnsi="仿宋" w:eastAsia="仿宋" w:cs="仿宋"/>
          <w:sz w:val="22"/>
          <w:szCs w:val="22"/>
        </w:rPr>
        <w:t>声明：</w:t>
      </w:r>
    </w:p>
    <w:p w14:paraId="6783BCF2">
      <w:pPr>
        <w:spacing w:line="480" w:lineRule="exact"/>
        <w:ind w:right="-99" w:rightChars="-47" w:firstLine="440" w:firstLineChars="200"/>
        <w:rPr>
          <w:rFonts w:hint="eastAsia" w:ascii="仿宋" w:hAnsi="仿宋" w:eastAsia="仿宋" w:cs="仿宋"/>
          <w:sz w:val="22"/>
          <w:szCs w:val="22"/>
        </w:rPr>
      </w:pPr>
      <w:r>
        <w:rPr>
          <w:rFonts w:hint="eastAsia" w:ascii="仿宋" w:hAnsi="仿宋" w:eastAsia="仿宋" w:cs="仿宋"/>
          <w:sz w:val="22"/>
          <w:szCs w:val="22"/>
        </w:rPr>
        <w:t>1、供应商如有商务偏离，在表中逐项列明。除本商务偏离表中所列的偏离项目外，其它所有商务响应均完全响应</w:t>
      </w:r>
      <w:r>
        <w:rPr>
          <w:rFonts w:hint="eastAsia" w:ascii="仿宋" w:hAnsi="仿宋" w:eastAsia="仿宋" w:cs="仿宋"/>
          <w:sz w:val="22"/>
          <w:szCs w:val="22"/>
          <w:lang w:eastAsia="zh-CN"/>
        </w:rPr>
        <w:t>磋商</w:t>
      </w:r>
      <w:r>
        <w:rPr>
          <w:rFonts w:hint="eastAsia" w:ascii="仿宋" w:hAnsi="仿宋" w:eastAsia="仿宋" w:cs="仿宋"/>
          <w:sz w:val="22"/>
          <w:szCs w:val="22"/>
        </w:rPr>
        <w:t>文件中的要求。</w:t>
      </w:r>
    </w:p>
    <w:p w14:paraId="43FBE408">
      <w:pPr>
        <w:spacing w:line="480" w:lineRule="exact"/>
        <w:ind w:right="-99" w:rightChars="-47" w:firstLine="440" w:firstLineChars="200"/>
        <w:rPr>
          <w:rFonts w:hint="eastAsia" w:ascii="仿宋" w:hAnsi="仿宋" w:eastAsia="仿宋" w:cs="仿宋"/>
          <w:sz w:val="22"/>
          <w:szCs w:val="22"/>
        </w:rPr>
      </w:pPr>
      <w:r>
        <w:rPr>
          <w:rFonts w:hint="eastAsia" w:ascii="仿宋" w:hAnsi="仿宋" w:eastAsia="仿宋" w:cs="仿宋"/>
          <w:sz w:val="22"/>
          <w:szCs w:val="22"/>
        </w:rPr>
        <w:t>2、如供应商全部响应</w:t>
      </w:r>
      <w:r>
        <w:rPr>
          <w:rFonts w:hint="eastAsia" w:ascii="仿宋" w:hAnsi="仿宋" w:eastAsia="仿宋" w:cs="仿宋"/>
          <w:sz w:val="22"/>
          <w:szCs w:val="22"/>
          <w:lang w:eastAsia="zh-CN"/>
        </w:rPr>
        <w:t>磋商</w:t>
      </w:r>
      <w:r>
        <w:rPr>
          <w:rFonts w:hint="eastAsia" w:ascii="仿宋" w:hAnsi="仿宋" w:eastAsia="仿宋" w:cs="仿宋"/>
          <w:sz w:val="22"/>
          <w:szCs w:val="22"/>
        </w:rPr>
        <w:t>文件商务要求，在“</w:t>
      </w:r>
      <w:r>
        <w:rPr>
          <w:rFonts w:hint="eastAsia" w:ascii="仿宋" w:hAnsi="仿宋" w:eastAsia="仿宋" w:cs="仿宋"/>
          <w:sz w:val="22"/>
          <w:szCs w:val="22"/>
          <w:lang w:eastAsia="zh-CN"/>
        </w:rPr>
        <w:t>磋商</w:t>
      </w:r>
      <w:r>
        <w:rPr>
          <w:rFonts w:hint="eastAsia" w:ascii="仿宋" w:hAnsi="仿宋" w:eastAsia="仿宋" w:cs="仿宋"/>
          <w:sz w:val="22"/>
          <w:szCs w:val="22"/>
        </w:rPr>
        <w:t>文件商务要求”及“</w:t>
      </w:r>
      <w:r>
        <w:rPr>
          <w:rFonts w:hint="eastAsia" w:ascii="仿宋" w:hAnsi="仿宋" w:eastAsia="仿宋" w:cs="仿宋"/>
          <w:sz w:val="22"/>
          <w:szCs w:val="22"/>
          <w:lang w:eastAsia="zh-CN"/>
        </w:rPr>
        <w:t>磋商响应文件</w:t>
      </w:r>
      <w:r>
        <w:rPr>
          <w:rFonts w:hint="eastAsia" w:ascii="仿宋" w:hAnsi="仿宋" w:eastAsia="仿宋" w:cs="仿宋"/>
          <w:sz w:val="22"/>
          <w:szCs w:val="22"/>
        </w:rPr>
        <w:t>文件商务要求”栏中填写“全部”字样，在“偏离情况”栏填入“无偏离”字样。</w:t>
      </w:r>
    </w:p>
    <w:p w14:paraId="1285C341">
      <w:pPr>
        <w:spacing w:line="480" w:lineRule="exact"/>
        <w:ind w:right="-99" w:rightChars="-47" w:firstLine="440" w:firstLineChars="200"/>
        <w:rPr>
          <w:rFonts w:hint="eastAsia" w:ascii="仿宋" w:hAnsi="仿宋" w:eastAsia="仿宋" w:cs="仿宋"/>
          <w:sz w:val="22"/>
          <w:szCs w:val="22"/>
        </w:rPr>
      </w:pPr>
    </w:p>
    <w:p w14:paraId="4AC06881">
      <w:pPr>
        <w:spacing w:line="480" w:lineRule="exact"/>
        <w:ind w:right="-99" w:rightChars="-47" w:firstLine="440" w:firstLineChars="200"/>
        <w:rPr>
          <w:rFonts w:hint="eastAsia" w:ascii="仿宋" w:hAnsi="仿宋" w:eastAsia="仿宋" w:cs="仿宋"/>
          <w:sz w:val="22"/>
          <w:szCs w:val="22"/>
        </w:rPr>
      </w:pPr>
    </w:p>
    <w:p w14:paraId="452C8F01">
      <w:pPr>
        <w:widowControl/>
        <w:spacing w:line="5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sz w:val="24"/>
          <w:szCs w:val="24"/>
          <w:highlight w:val="none"/>
        </w:rPr>
        <w:t>盖单位章</w:t>
      </w:r>
      <w:r>
        <w:rPr>
          <w:rFonts w:hint="eastAsia" w:ascii="仿宋" w:hAnsi="仿宋" w:eastAsia="仿宋" w:cs="仿宋"/>
          <w:color w:val="auto"/>
          <w:kern w:val="2"/>
          <w:sz w:val="24"/>
          <w:szCs w:val="24"/>
          <w:highlight w:val="none"/>
          <w:lang w:val="en-US" w:eastAsia="zh-CN" w:bidi="ar-SA"/>
        </w:rPr>
        <w:t>）</w:t>
      </w:r>
    </w:p>
    <w:p w14:paraId="2F8C11D3">
      <w:pPr>
        <w:widowControl/>
        <w:spacing w:line="5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法定代表人或授权代表：</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（签字或盖章）</w:t>
      </w:r>
    </w:p>
    <w:p w14:paraId="03EE566D">
      <w:pPr>
        <w:spacing w:line="480" w:lineRule="exact"/>
        <w:ind w:right="-99" w:rightChars="-47"/>
        <w:jc w:val="right"/>
        <w:rPr>
          <w:rFonts w:hint="eastAsia" w:ascii="仿宋" w:hAnsi="仿宋" w:eastAsia="仿宋" w:cs="仿宋"/>
          <w:sz w:val="22"/>
          <w:szCs w:val="22"/>
          <w:u w:val="single"/>
        </w:rPr>
      </w:pPr>
      <w:r>
        <w:rPr>
          <w:rFonts w:hint="eastAsia" w:ascii="仿宋" w:hAnsi="仿宋" w:eastAsia="仿宋" w:cs="仿宋"/>
          <w:color w:val="auto"/>
          <w:kern w:val="2"/>
          <w:sz w:val="24"/>
          <w:szCs w:val="24"/>
          <w:highlight w:val="none"/>
          <w:lang w:val="en-US" w:eastAsia="zh-CN" w:bidi="ar-SA"/>
        </w:rPr>
        <w:t>日期：　　年　月　日</w:t>
      </w:r>
    </w:p>
    <w:p w14:paraId="57DCC7D0">
      <w:pPr>
        <w:rPr>
          <w:rFonts w:hint="eastAsia" w:ascii="仿宋" w:hAnsi="仿宋" w:eastAsia="仿宋" w:cs="仿宋"/>
        </w:rPr>
      </w:pPr>
    </w:p>
    <w:p w14:paraId="60ACA946">
      <w:pPr>
        <w:rPr>
          <w:rFonts w:hint="eastAsia" w:ascii="仿宋" w:hAnsi="仿宋" w:eastAsia="仿宋" w:cs="仿宋"/>
        </w:rPr>
      </w:pPr>
    </w:p>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14:paraId="73C5CA03">
      <w:pPr>
        <w:pStyle w:val="3"/>
        <w:numPr>
          <w:ilvl w:val="0"/>
          <w:numId w:val="0"/>
        </w:num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资格证明文件</w:t>
      </w:r>
      <w:bookmarkStart w:id="256" w:name="_Toc193126904"/>
      <w:bookmarkStart w:id="257" w:name="_Toc193187110"/>
      <w:bookmarkStart w:id="258" w:name="_Toc194663941"/>
      <w:bookmarkStart w:id="259" w:name="_Toc188808854"/>
    </w:p>
    <w:p w14:paraId="51A23939">
      <w:pPr>
        <w:rPr>
          <w:rFonts w:hint="eastAsia" w:ascii="仿宋" w:hAnsi="仿宋" w:eastAsia="仿宋" w:cs="仿宋"/>
          <w:b/>
          <w:kern w:val="2"/>
          <w:sz w:val="24"/>
          <w:szCs w:val="24"/>
          <w:lang w:val="en-US" w:eastAsia="zh-CN" w:bidi="ar-SA"/>
        </w:rPr>
      </w:pPr>
    </w:p>
    <w:p w14:paraId="50DB70FB">
      <w:pPr>
        <w:rPr>
          <w:rFonts w:hint="eastAsia" w:ascii="仿宋" w:hAnsi="仿宋" w:eastAsia="仿宋" w:cs="仿宋"/>
          <w:b/>
          <w:kern w:val="2"/>
          <w:sz w:val="24"/>
          <w:szCs w:val="24"/>
          <w:lang w:val="en-US" w:eastAsia="zh-CN" w:bidi="ar-SA"/>
        </w:rPr>
      </w:pPr>
    </w:p>
    <w:p w14:paraId="1E4D47C7">
      <w:pPr>
        <w:rPr>
          <w:rFonts w:hint="eastAsia" w:ascii="仿宋" w:hAnsi="仿宋" w:eastAsia="仿宋" w:cs="仿宋"/>
          <w:b/>
          <w:kern w:val="2"/>
          <w:sz w:val="24"/>
          <w:szCs w:val="24"/>
          <w:lang w:val="en-US" w:eastAsia="zh-CN" w:bidi="ar-SA"/>
        </w:rPr>
      </w:pPr>
    </w:p>
    <w:p w14:paraId="36448BA7">
      <w:pPr>
        <w:rPr>
          <w:rFonts w:hint="eastAsia" w:ascii="仿宋" w:hAnsi="仿宋" w:eastAsia="仿宋" w:cs="仿宋"/>
          <w:b/>
          <w:kern w:val="2"/>
          <w:sz w:val="24"/>
          <w:szCs w:val="24"/>
          <w:lang w:val="en-US" w:eastAsia="zh-CN" w:bidi="ar-SA"/>
        </w:rPr>
      </w:pPr>
    </w:p>
    <w:p w14:paraId="0EC01197">
      <w:pPr>
        <w:rPr>
          <w:rFonts w:hint="eastAsia" w:ascii="仿宋" w:hAnsi="仿宋" w:eastAsia="仿宋" w:cs="仿宋"/>
          <w:b/>
          <w:kern w:val="2"/>
          <w:sz w:val="24"/>
          <w:szCs w:val="24"/>
          <w:lang w:val="en-US" w:eastAsia="zh-CN" w:bidi="ar-SA"/>
        </w:rPr>
      </w:pPr>
    </w:p>
    <w:p w14:paraId="276F7207">
      <w:pPr>
        <w:rPr>
          <w:rFonts w:hint="eastAsia" w:ascii="仿宋" w:hAnsi="仿宋" w:eastAsia="仿宋" w:cs="仿宋"/>
          <w:b/>
          <w:kern w:val="2"/>
          <w:sz w:val="24"/>
          <w:szCs w:val="24"/>
          <w:lang w:val="en-US" w:eastAsia="zh-CN" w:bidi="ar-SA"/>
        </w:rPr>
      </w:pPr>
    </w:p>
    <w:p w14:paraId="1DEA194D">
      <w:pPr>
        <w:spacing w:line="360" w:lineRule="auto"/>
        <w:rPr>
          <w:rFonts w:hint="eastAsia" w:ascii="仿宋" w:hAnsi="仿宋" w:eastAsia="仿宋" w:cs="仿宋"/>
          <w:sz w:val="28"/>
          <w:szCs w:val="28"/>
          <w:lang w:val="en-US" w:eastAsia="zh-CN"/>
        </w:rPr>
      </w:pPr>
      <w:r>
        <w:rPr>
          <w:rFonts w:hint="eastAsia" w:ascii="仿宋" w:hAnsi="仿宋" w:eastAsia="仿宋" w:cs="仿宋"/>
          <w:b/>
          <w:kern w:val="2"/>
          <w:sz w:val="28"/>
          <w:szCs w:val="28"/>
          <w:lang w:val="en-US" w:eastAsia="zh-CN" w:bidi="ar-SA"/>
        </w:rPr>
        <w:t>4-1、具有独立承担民事责任能力的法人、其他组织或自然人，提供合法有效的统一社会信用代码营业执照（事业单位提供事业单位法人证书，自然人提供身份证明）</w:t>
      </w:r>
    </w:p>
    <w:p w14:paraId="0852F567">
      <w:pPr>
        <w:pStyle w:val="18"/>
        <w:rPr>
          <w:rFonts w:hint="eastAsia" w:ascii="仿宋" w:hAnsi="仿宋" w:eastAsia="仿宋" w:cs="仿宋"/>
        </w:rPr>
      </w:pPr>
    </w:p>
    <w:p w14:paraId="5F3D1425">
      <w:pPr>
        <w:rPr>
          <w:rFonts w:hint="eastAsia" w:ascii="仿宋" w:hAnsi="仿宋" w:eastAsia="仿宋" w:cs="仿宋"/>
        </w:rPr>
      </w:pPr>
    </w:p>
    <w:p w14:paraId="61DE8F11">
      <w:pPr>
        <w:pStyle w:val="18"/>
        <w:rPr>
          <w:rFonts w:hint="eastAsia" w:ascii="仿宋" w:hAnsi="仿宋" w:eastAsia="仿宋" w:cs="仿宋"/>
        </w:rPr>
      </w:pPr>
    </w:p>
    <w:p w14:paraId="5358BF33">
      <w:pPr>
        <w:rPr>
          <w:rFonts w:hint="eastAsia" w:ascii="仿宋" w:hAnsi="仿宋" w:eastAsia="仿宋" w:cs="仿宋"/>
        </w:rPr>
      </w:pPr>
    </w:p>
    <w:p w14:paraId="11F9FB9F">
      <w:pPr>
        <w:rPr>
          <w:rFonts w:hint="eastAsia" w:ascii="仿宋" w:hAnsi="仿宋" w:eastAsia="仿宋" w:cs="仿宋"/>
        </w:rPr>
      </w:pPr>
      <w:r>
        <w:rPr>
          <w:rFonts w:hint="eastAsia" w:ascii="仿宋" w:hAnsi="仿宋" w:eastAsia="仿宋" w:cs="仿宋"/>
        </w:rPr>
        <w:br w:type="page"/>
      </w:r>
    </w:p>
    <w:p w14:paraId="27D373BB">
      <w:pPr>
        <w:pStyle w:val="4"/>
        <w:spacing w:line="240" w:lineRule="auto"/>
        <w:jc w:val="center"/>
        <w:rPr>
          <w:rFonts w:hint="eastAsia" w:ascii="仿宋" w:hAnsi="仿宋" w:eastAsia="仿宋" w:cs="仿宋"/>
        </w:rPr>
      </w:pPr>
      <w:r>
        <w:rPr>
          <w:rFonts w:hint="eastAsia" w:ascii="仿宋" w:hAnsi="仿宋" w:eastAsia="仿宋" w:cs="仿宋"/>
        </w:rPr>
        <w:t>4-</w:t>
      </w:r>
      <w:r>
        <w:rPr>
          <w:rFonts w:hint="eastAsia" w:ascii="仿宋" w:hAnsi="仿宋" w:eastAsia="仿宋" w:cs="仿宋"/>
          <w:lang w:val="en-US" w:eastAsia="zh-CN"/>
        </w:rPr>
        <w:t>2-1</w:t>
      </w:r>
      <w:r>
        <w:rPr>
          <w:rFonts w:hint="eastAsia" w:ascii="仿宋" w:hAnsi="仿宋" w:eastAsia="仿宋" w:cs="仿宋"/>
        </w:rPr>
        <w:t>、法定代表人证明书</w:t>
      </w:r>
    </w:p>
    <w:tbl>
      <w:tblPr>
        <w:tblStyle w:val="4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460"/>
        <w:gridCol w:w="2330"/>
        <w:gridCol w:w="1234"/>
        <w:gridCol w:w="1896"/>
      </w:tblGrid>
      <w:tr w14:paraId="7427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5"/>
          </w:tcPr>
          <w:p w14:paraId="2F59B739">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lang w:eastAsia="zh-CN"/>
              </w:rPr>
            </w:pPr>
            <w:r>
              <w:rPr>
                <w:rFonts w:hint="eastAsia" w:ascii="仿宋" w:hAnsi="仿宋" w:eastAsia="仿宋" w:cs="仿宋"/>
                <w:bCs/>
                <w:caps/>
                <w:sz w:val="22"/>
                <w:szCs w:val="22"/>
              </w:rPr>
              <w:t>致：</w:t>
            </w:r>
            <w:r>
              <w:rPr>
                <w:rFonts w:hint="eastAsia" w:ascii="仿宋" w:hAnsi="仿宋" w:eastAsia="仿宋" w:cs="仿宋"/>
                <w:bCs/>
                <w:caps/>
                <w:sz w:val="22"/>
                <w:szCs w:val="22"/>
                <w:lang w:eastAsia="zh-CN"/>
              </w:rPr>
              <w:t>陕西佳鸿项目管理咨询有限公司</w:t>
            </w:r>
          </w:p>
        </w:tc>
      </w:tr>
      <w:tr w14:paraId="5FED0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tcPr>
          <w:p w14:paraId="661EF491">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220" w:firstLineChars="100"/>
              <w:jc w:val="left"/>
              <w:rPr>
                <w:rFonts w:hint="eastAsia" w:ascii="仿宋" w:hAnsi="仿宋" w:eastAsia="仿宋" w:cs="仿宋"/>
                <w:bCs/>
                <w:caps/>
                <w:sz w:val="22"/>
                <w:szCs w:val="22"/>
              </w:rPr>
            </w:pPr>
          </w:p>
          <w:p w14:paraId="400EED60">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220" w:firstLineChars="100"/>
              <w:jc w:val="left"/>
              <w:rPr>
                <w:rFonts w:hint="eastAsia" w:ascii="仿宋" w:hAnsi="仿宋" w:eastAsia="仿宋" w:cs="仿宋"/>
                <w:bCs/>
                <w:caps/>
                <w:sz w:val="22"/>
                <w:szCs w:val="22"/>
              </w:rPr>
            </w:pPr>
          </w:p>
          <w:p w14:paraId="3D1AD407">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220" w:firstLineChars="100"/>
              <w:jc w:val="left"/>
              <w:rPr>
                <w:rFonts w:hint="eastAsia" w:ascii="仿宋" w:hAnsi="仿宋" w:eastAsia="仿宋" w:cs="仿宋"/>
                <w:bCs/>
                <w:caps/>
                <w:sz w:val="22"/>
                <w:szCs w:val="22"/>
              </w:rPr>
            </w:pPr>
            <w:r>
              <w:rPr>
                <w:rFonts w:hint="eastAsia" w:ascii="仿宋" w:hAnsi="仿宋" w:eastAsia="仿宋" w:cs="仿宋"/>
                <w:bCs/>
                <w:caps/>
                <w:sz w:val="22"/>
                <w:szCs w:val="22"/>
              </w:rPr>
              <w:t>企</w:t>
            </w:r>
          </w:p>
          <w:p w14:paraId="55A65819">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220" w:firstLineChars="100"/>
              <w:jc w:val="left"/>
              <w:rPr>
                <w:rFonts w:hint="eastAsia" w:ascii="仿宋" w:hAnsi="仿宋" w:eastAsia="仿宋" w:cs="仿宋"/>
                <w:bCs/>
                <w:caps/>
                <w:sz w:val="22"/>
                <w:szCs w:val="22"/>
              </w:rPr>
            </w:pPr>
            <w:r>
              <w:rPr>
                <w:rFonts w:hint="eastAsia" w:ascii="仿宋" w:hAnsi="仿宋" w:eastAsia="仿宋" w:cs="仿宋"/>
                <w:bCs/>
                <w:caps/>
                <w:sz w:val="22"/>
                <w:szCs w:val="22"/>
              </w:rPr>
              <w:t>业</w:t>
            </w:r>
          </w:p>
          <w:p w14:paraId="3B53C2DE">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220" w:firstLineChars="100"/>
              <w:jc w:val="left"/>
              <w:rPr>
                <w:rFonts w:hint="eastAsia" w:ascii="仿宋" w:hAnsi="仿宋" w:eastAsia="仿宋" w:cs="仿宋"/>
                <w:bCs/>
                <w:caps/>
                <w:sz w:val="22"/>
                <w:szCs w:val="22"/>
              </w:rPr>
            </w:pPr>
            <w:r>
              <w:rPr>
                <w:rFonts w:hint="eastAsia" w:ascii="仿宋" w:hAnsi="仿宋" w:eastAsia="仿宋" w:cs="仿宋"/>
                <w:bCs/>
                <w:caps/>
                <w:sz w:val="22"/>
                <w:szCs w:val="22"/>
              </w:rPr>
              <w:t>法</w:t>
            </w:r>
          </w:p>
          <w:p w14:paraId="36BE9E8A">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220" w:firstLineChars="100"/>
              <w:jc w:val="left"/>
              <w:rPr>
                <w:rFonts w:hint="eastAsia" w:ascii="仿宋" w:hAnsi="仿宋" w:eastAsia="仿宋" w:cs="仿宋"/>
                <w:bCs/>
                <w:caps/>
                <w:sz w:val="22"/>
                <w:szCs w:val="22"/>
              </w:rPr>
            </w:pPr>
            <w:r>
              <w:rPr>
                <w:rFonts w:hint="eastAsia" w:ascii="仿宋" w:hAnsi="仿宋" w:eastAsia="仿宋" w:cs="仿宋"/>
                <w:bCs/>
                <w:caps/>
                <w:sz w:val="22"/>
                <w:szCs w:val="22"/>
              </w:rPr>
              <w:t>人</w:t>
            </w:r>
          </w:p>
        </w:tc>
        <w:tc>
          <w:tcPr>
            <w:tcW w:w="2460" w:type="dxa"/>
          </w:tcPr>
          <w:p w14:paraId="243E24EF">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 xml:space="preserve">企 业 名 称 </w:t>
            </w:r>
          </w:p>
        </w:tc>
        <w:tc>
          <w:tcPr>
            <w:tcW w:w="5460" w:type="dxa"/>
            <w:gridSpan w:val="3"/>
          </w:tcPr>
          <w:p w14:paraId="6AB4BE3A">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r>
      <w:tr w14:paraId="62D1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Pr>
          <w:p w14:paraId="2CEFBEAC">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c>
          <w:tcPr>
            <w:tcW w:w="2460" w:type="dxa"/>
          </w:tcPr>
          <w:p w14:paraId="0C2FFCC5">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lang w:eastAsia="zh-CN"/>
              </w:rPr>
            </w:pPr>
            <w:r>
              <w:rPr>
                <w:rFonts w:hint="eastAsia" w:ascii="仿宋" w:hAnsi="仿宋" w:eastAsia="仿宋" w:cs="仿宋"/>
                <w:bCs/>
                <w:caps/>
                <w:sz w:val="22"/>
                <w:szCs w:val="22"/>
              </w:rPr>
              <w:t xml:space="preserve">法 定 </w:t>
            </w:r>
            <w:r>
              <w:rPr>
                <w:rFonts w:hint="eastAsia" w:ascii="仿宋" w:hAnsi="仿宋" w:eastAsia="仿宋" w:cs="仿宋"/>
                <w:bCs/>
                <w:caps/>
                <w:sz w:val="22"/>
                <w:szCs w:val="22"/>
                <w:lang w:eastAsia="zh-CN"/>
              </w:rPr>
              <w:t>住</w:t>
            </w:r>
            <w:r>
              <w:rPr>
                <w:rFonts w:hint="eastAsia" w:ascii="仿宋" w:hAnsi="仿宋" w:eastAsia="仿宋" w:cs="仿宋"/>
                <w:bCs/>
                <w:caps/>
                <w:sz w:val="22"/>
                <w:szCs w:val="22"/>
                <w:lang w:val="en-US" w:eastAsia="zh-CN"/>
              </w:rPr>
              <w:t xml:space="preserve"> </w:t>
            </w:r>
            <w:r>
              <w:rPr>
                <w:rFonts w:hint="eastAsia" w:ascii="仿宋" w:hAnsi="仿宋" w:eastAsia="仿宋" w:cs="仿宋"/>
                <w:bCs/>
                <w:caps/>
                <w:sz w:val="22"/>
                <w:szCs w:val="22"/>
                <w:lang w:eastAsia="zh-CN"/>
              </w:rPr>
              <w:t>所</w:t>
            </w:r>
          </w:p>
        </w:tc>
        <w:tc>
          <w:tcPr>
            <w:tcW w:w="5460" w:type="dxa"/>
            <w:gridSpan w:val="3"/>
          </w:tcPr>
          <w:p w14:paraId="5592559F">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r>
      <w:tr w14:paraId="4204A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Pr>
          <w:p w14:paraId="6907BB9D">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c>
          <w:tcPr>
            <w:tcW w:w="2460" w:type="dxa"/>
          </w:tcPr>
          <w:p w14:paraId="78D376D8">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邮 政 编 码</w:t>
            </w:r>
          </w:p>
        </w:tc>
        <w:tc>
          <w:tcPr>
            <w:tcW w:w="5460" w:type="dxa"/>
            <w:gridSpan w:val="3"/>
          </w:tcPr>
          <w:p w14:paraId="297A332E">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r>
      <w:tr w14:paraId="18373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Pr>
          <w:p w14:paraId="6D03D468">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c>
          <w:tcPr>
            <w:tcW w:w="2460" w:type="dxa"/>
          </w:tcPr>
          <w:p w14:paraId="7C0A6617">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网       址</w:t>
            </w:r>
          </w:p>
        </w:tc>
        <w:tc>
          <w:tcPr>
            <w:tcW w:w="5460" w:type="dxa"/>
            <w:gridSpan w:val="3"/>
          </w:tcPr>
          <w:p w14:paraId="1027E7A6">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r>
      <w:tr w14:paraId="67894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Pr>
          <w:p w14:paraId="04C6C7D3">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c>
          <w:tcPr>
            <w:tcW w:w="2460" w:type="dxa"/>
          </w:tcPr>
          <w:p w14:paraId="3A2F25A1">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工商登记机关</w:t>
            </w:r>
          </w:p>
        </w:tc>
        <w:tc>
          <w:tcPr>
            <w:tcW w:w="5460" w:type="dxa"/>
            <w:gridSpan w:val="3"/>
          </w:tcPr>
          <w:p w14:paraId="5280FB04">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2200" w:firstLineChars="1000"/>
              <w:jc w:val="left"/>
              <w:rPr>
                <w:rFonts w:hint="eastAsia" w:ascii="仿宋" w:hAnsi="仿宋" w:eastAsia="仿宋" w:cs="仿宋"/>
                <w:bCs/>
                <w:caps/>
                <w:sz w:val="22"/>
                <w:szCs w:val="22"/>
              </w:rPr>
            </w:pPr>
          </w:p>
        </w:tc>
      </w:tr>
      <w:tr w14:paraId="0117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80" w:type="dxa"/>
            <w:vMerge w:val="continue"/>
          </w:tcPr>
          <w:p w14:paraId="184109AE">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c>
          <w:tcPr>
            <w:tcW w:w="2460" w:type="dxa"/>
            <w:vAlign w:val="center"/>
          </w:tcPr>
          <w:p w14:paraId="37C3AC77">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rPr>
                <w:rFonts w:hint="eastAsia" w:ascii="仿宋" w:hAnsi="仿宋" w:eastAsia="仿宋" w:cs="仿宋"/>
                <w:bCs/>
                <w:caps/>
                <w:sz w:val="22"/>
                <w:szCs w:val="22"/>
              </w:rPr>
            </w:pPr>
            <w:r>
              <w:rPr>
                <w:rFonts w:hint="eastAsia" w:ascii="仿宋" w:hAnsi="仿宋" w:eastAsia="仿宋" w:cs="仿宋"/>
                <w:bCs/>
                <w:caps/>
                <w:sz w:val="22"/>
                <w:szCs w:val="22"/>
              </w:rPr>
              <w:t>税务登记机关</w:t>
            </w:r>
          </w:p>
        </w:tc>
        <w:tc>
          <w:tcPr>
            <w:tcW w:w="5460" w:type="dxa"/>
            <w:gridSpan w:val="3"/>
          </w:tcPr>
          <w:p w14:paraId="6C5B3E4A">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r>
      <w:tr w14:paraId="7429C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080" w:type="dxa"/>
            <w:vMerge w:val="continue"/>
          </w:tcPr>
          <w:p w14:paraId="7FAB759C">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c>
          <w:tcPr>
            <w:tcW w:w="4790" w:type="dxa"/>
            <w:gridSpan w:val="2"/>
          </w:tcPr>
          <w:p w14:paraId="706E4788">
            <w:pPr>
              <w:keepNext w:val="0"/>
              <w:keepLines w:val="0"/>
              <w:suppressLineNumbers w:val="0"/>
              <w:tabs>
                <w:tab w:val="right" w:leader="dot" w:pos="9022"/>
              </w:tabs>
              <w:autoSpaceDE w:val="0"/>
              <w:autoSpaceDN w:val="0"/>
              <w:adjustRightInd w:val="0"/>
              <w:spacing w:before="0" w:beforeAutospacing="0" w:after="0" w:afterAutospacing="0" w:line="240" w:lineRule="auto"/>
              <w:ind w:left="0" w:right="-99" w:rightChars="-47"/>
              <w:jc w:val="center"/>
              <w:rPr>
                <w:rFonts w:hint="eastAsia" w:ascii="仿宋" w:hAnsi="仿宋" w:eastAsia="仿宋" w:cs="仿宋"/>
                <w:bCs/>
                <w:caps/>
                <w:sz w:val="22"/>
                <w:szCs w:val="22"/>
              </w:rPr>
            </w:pPr>
            <w:r>
              <w:rPr>
                <w:rFonts w:hint="eastAsia" w:ascii="仿宋" w:hAnsi="仿宋" w:eastAsia="仿宋" w:cs="仿宋"/>
                <w:bCs/>
                <w:caps/>
                <w:sz w:val="22"/>
                <w:szCs w:val="22"/>
              </w:rPr>
              <w:t>机构代码证号</w:t>
            </w:r>
          </w:p>
          <w:p w14:paraId="00C30C74">
            <w:pPr>
              <w:keepNext w:val="0"/>
              <w:keepLines w:val="0"/>
              <w:suppressLineNumbers w:val="0"/>
              <w:tabs>
                <w:tab w:val="right" w:leader="dot" w:pos="9022"/>
              </w:tabs>
              <w:autoSpaceDE w:val="0"/>
              <w:autoSpaceDN w:val="0"/>
              <w:adjustRightInd w:val="0"/>
              <w:spacing w:before="0" w:beforeAutospacing="0" w:after="0" w:afterAutospacing="0" w:line="240" w:lineRule="auto"/>
              <w:ind w:left="0" w:right="-99" w:rightChars="-47"/>
              <w:jc w:val="center"/>
              <w:rPr>
                <w:rFonts w:hint="eastAsia" w:ascii="仿宋" w:hAnsi="仿宋" w:eastAsia="仿宋" w:cs="仿宋"/>
                <w:bCs/>
                <w:caps/>
                <w:sz w:val="22"/>
                <w:szCs w:val="22"/>
              </w:rPr>
            </w:pPr>
            <w:r>
              <w:rPr>
                <w:rFonts w:hint="eastAsia" w:ascii="仿宋" w:hAnsi="仿宋" w:eastAsia="仿宋" w:cs="仿宋"/>
                <w:bCs/>
                <w:caps/>
                <w:sz w:val="22"/>
                <w:szCs w:val="22"/>
              </w:rPr>
              <w:t>（或统一社会信用代码证号）</w:t>
            </w:r>
          </w:p>
        </w:tc>
        <w:tc>
          <w:tcPr>
            <w:tcW w:w="3130" w:type="dxa"/>
            <w:gridSpan w:val="2"/>
          </w:tcPr>
          <w:p w14:paraId="0944F064">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r>
      <w:tr w14:paraId="393BA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vAlign w:val="center"/>
          </w:tcPr>
          <w:p w14:paraId="32749AE9">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rPr>
                <w:rFonts w:hint="eastAsia" w:ascii="仿宋" w:hAnsi="仿宋" w:eastAsia="仿宋" w:cs="仿宋"/>
                <w:bCs/>
                <w:caps/>
                <w:sz w:val="22"/>
                <w:szCs w:val="22"/>
              </w:rPr>
            </w:pPr>
            <w:r>
              <w:rPr>
                <w:rFonts w:hint="eastAsia" w:ascii="仿宋" w:hAnsi="仿宋" w:eastAsia="仿宋" w:cs="仿宋"/>
                <w:bCs/>
                <w:caps/>
                <w:sz w:val="22"/>
                <w:szCs w:val="22"/>
              </w:rPr>
              <w:t>法 定</w:t>
            </w:r>
          </w:p>
          <w:p w14:paraId="0EA43B93">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rPr>
                <w:rFonts w:hint="eastAsia" w:ascii="仿宋" w:hAnsi="仿宋" w:eastAsia="仿宋" w:cs="仿宋"/>
                <w:bCs/>
                <w:caps/>
                <w:sz w:val="22"/>
                <w:szCs w:val="22"/>
              </w:rPr>
            </w:pPr>
            <w:r>
              <w:rPr>
                <w:rFonts w:hint="eastAsia" w:ascii="仿宋" w:hAnsi="仿宋" w:eastAsia="仿宋" w:cs="仿宋"/>
                <w:bCs/>
                <w:caps/>
                <w:sz w:val="22"/>
                <w:szCs w:val="22"/>
              </w:rPr>
              <w:t>代 表</w:t>
            </w:r>
          </w:p>
          <w:p w14:paraId="21E9F876">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220" w:firstLineChars="100"/>
              <w:rPr>
                <w:rFonts w:hint="eastAsia" w:ascii="仿宋" w:hAnsi="仿宋" w:eastAsia="仿宋" w:cs="仿宋"/>
                <w:bCs/>
                <w:caps/>
                <w:sz w:val="22"/>
                <w:szCs w:val="22"/>
              </w:rPr>
            </w:pPr>
            <w:r>
              <w:rPr>
                <w:rFonts w:hint="eastAsia" w:ascii="仿宋" w:hAnsi="仿宋" w:eastAsia="仿宋" w:cs="仿宋"/>
                <w:bCs/>
                <w:caps/>
                <w:sz w:val="22"/>
                <w:szCs w:val="22"/>
              </w:rPr>
              <w:t>人</w:t>
            </w:r>
          </w:p>
        </w:tc>
        <w:tc>
          <w:tcPr>
            <w:tcW w:w="2460" w:type="dxa"/>
          </w:tcPr>
          <w:p w14:paraId="582AD448">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220" w:firstLineChars="100"/>
              <w:jc w:val="left"/>
              <w:rPr>
                <w:rFonts w:hint="eastAsia" w:ascii="仿宋" w:hAnsi="仿宋" w:eastAsia="仿宋" w:cs="仿宋"/>
                <w:bCs/>
                <w:caps/>
                <w:sz w:val="22"/>
                <w:szCs w:val="22"/>
              </w:rPr>
            </w:pPr>
            <w:r>
              <w:rPr>
                <w:rFonts w:hint="eastAsia" w:ascii="仿宋" w:hAnsi="仿宋" w:eastAsia="仿宋" w:cs="仿宋"/>
                <w:bCs/>
                <w:caps/>
                <w:sz w:val="22"/>
                <w:szCs w:val="22"/>
              </w:rPr>
              <w:t>姓    名</w:t>
            </w:r>
          </w:p>
        </w:tc>
        <w:tc>
          <w:tcPr>
            <w:tcW w:w="2330" w:type="dxa"/>
          </w:tcPr>
          <w:p w14:paraId="0C64984E">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c>
          <w:tcPr>
            <w:tcW w:w="1234" w:type="dxa"/>
          </w:tcPr>
          <w:p w14:paraId="0047AE96">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性    别</w:t>
            </w:r>
          </w:p>
        </w:tc>
        <w:tc>
          <w:tcPr>
            <w:tcW w:w="1896" w:type="dxa"/>
          </w:tcPr>
          <w:p w14:paraId="5CD85516">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r>
      <w:tr w14:paraId="3FDF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Pr>
          <w:p w14:paraId="19DE0996">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c>
          <w:tcPr>
            <w:tcW w:w="2460" w:type="dxa"/>
          </w:tcPr>
          <w:p w14:paraId="06231B45">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220" w:firstLineChars="100"/>
              <w:jc w:val="left"/>
              <w:rPr>
                <w:rFonts w:hint="eastAsia" w:ascii="仿宋" w:hAnsi="仿宋" w:eastAsia="仿宋" w:cs="仿宋"/>
                <w:bCs/>
                <w:caps/>
                <w:sz w:val="22"/>
                <w:szCs w:val="22"/>
              </w:rPr>
            </w:pPr>
            <w:r>
              <w:rPr>
                <w:rFonts w:hint="eastAsia" w:ascii="仿宋" w:hAnsi="仿宋" w:eastAsia="仿宋" w:cs="仿宋"/>
                <w:bCs/>
                <w:caps/>
                <w:sz w:val="22"/>
                <w:szCs w:val="22"/>
              </w:rPr>
              <w:t>职    务</w:t>
            </w:r>
          </w:p>
        </w:tc>
        <w:tc>
          <w:tcPr>
            <w:tcW w:w="2330" w:type="dxa"/>
          </w:tcPr>
          <w:p w14:paraId="3F610425">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c>
          <w:tcPr>
            <w:tcW w:w="1234" w:type="dxa"/>
          </w:tcPr>
          <w:p w14:paraId="03B9E1CF">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联系电话</w:t>
            </w:r>
          </w:p>
        </w:tc>
        <w:tc>
          <w:tcPr>
            <w:tcW w:w="1896" w:type="dxa"/>
          </w:tcPr>
          <w:p w14:paraId="167D1E3C">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r>
      <w:tr w14:paraId="1369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tcPr>
          <w:p w14:paraId="02AAA87B">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c>
          <w:tcPr>
            <w:tcW w:w="2460" w:type="dxa"/>
          </w:tcPr>
          <w:p w14:paraId="6A7C5E8A">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220" w:firstLineChars="100"/>
              <w:jc w:val="left"/>
              <w:rPr>
                <w:rFonts w:hint="eastAsia" w:ascii="仿宋" w:hAnsi="仿宋" w:eastAsia="仿宋" w:cs="仿宋"/>
                <w:bCs/>
                <w:caps/>
                <w:sz w:val="22"/>
                <w:szCs w:val="22"/>
              </w:rPr>
            </w:pPr>
            <w:r>
              <w:rPr>
                <w:rFonts w:hint="eastAsia" w:ascii="仿宋" w:hAnsi="仿宋" w:eastAsia="仿宋" w:cs="仿宋"/>
                <w:bCs/>
                <w:caps/>
                <w:sz w:val="22"/>
                <w:szCs w:val="22"/>
              </w:rPr>
              <w:t>传    真</w:t>
            </w:r>
          </w:p>
        </w:tc>
        <w:tc>
          <w:tcPr>
            <w:tcW w:w="5460" w:type="dxa"/>
            <w:gridSpan w:val="3"/>
          </w:tcPr>
          <w:p w14:paraId="07568EF4">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r>
      <w:tr w14:paraId="5945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1080" w:type="dxa"/>
            <w:vMerge w:val="restart"/>
          </w:tcPr>
          <w:p w14:paraId="4EFAFD8D">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p w14:paraId="5192A62F">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p w14:paraId="57CF665B">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p w14:paraId="6D83C244">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法定代表人（负责人）身份证</w:t>
            </w:r>
          </w:p>
        </w:tc>
        <w:tc>
          <w:tcPr>
            <w:tcW w:w="4790" w:type="dxa"/>
            <w:gridSpan w:val="2"/>
            <w:vMerge w:val="restart"/>
            <w:vAlign w:val="center"/>
          </w:tcPr>
          <w:p w14:paraId="20382BFE">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rPr>
                <w:rFonts w:hint="eastAsia" w:ascii="仿宋" w:hAnsi="仿宋" w:eastAsia="仿宋" w:cs="仿宋"/>
                <w:bCs/>
                <w:caps/>
                <w:sz w:val="22"/>
                <w:szCs w:val="22"/>
              </w:rPr>
            </w:pPr>
          </w:p>
          <w:p w14:paraId="00E004B5">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sz w:val="22"/>
                <w:szCs w:val="22"/>
                <w:lang w:eastAsia="zh-CN"/>
              </w:rPr>
            </w:pPr>
            <w:r>
              <w:rPr>
                <w:rFonts w:hint="eastAsia" w:ascii="仿宋" w:hAnsi="仿宋" w:eastAsia="仿宋" w:cs="仿宋"/>
                <w:bCs/>
                <w:caps/>
                <w:sz w:val="22"/>
                <w:szCs w:val="22"/>
                <w:lang w:eastAsia="zh-CN"/>
              </w:rPr>
              <w:t>（打印或粘贴）</w:t>
            </w:r>
          </w:p>
          <w:p w14:paraId="00474E22">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sz w:val="22"/>
                <w:szCs w:val="22"/>
              </w:rPr>
            </w:pPr>
          </w:p>
          <w:p w14:paraId="2722D746">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sz w:val="22"/>
                <w:szCs w:val="22"/>
              </w:rPr>
            </w:pPr>
          </w:p>
          <w:p w14:paraId="48D259A4">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sz w:val="22"/>
                <w:szCs w:val="22"/>
              </w:rPr>
            </w:pPr>
          </w:p>
        </w:tc>
        <w:tc>
          <w:tcPr>
            <w:tcW w:w="3130" w:type="dxa"/>
            <w:gridSpan w:val="2"/>
          </w:tcPr>
          <w:p w14:paraId="4B681266">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（法定代表人签字）</w:t>
            </w:r>
          </w:p>
        </w:tc>
      </w:tr>
      <w:tr w14:paraId="5D8D4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jc w:val="center"/>
        </w:trPr>
        <w:tc>
          <w:tcPr>
            <w:tcW w:w="1080" w:type="dxa"/>
            <w:vMerge w:val="continue"/>
          </w:tcPr>
          <w:p w14:paraId="4138F085">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c>
          <w:tcPr>
            <w:tcW w:w="4790" w:type="dxa"/>
            <w:gridSpan w:val="2"/>
            <w:vMerge w:val="continue"/>
          </w:tcPr>
          <w:p w14:paraId="42411AA0">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sz w:val="22"/>
                <w:szCs w:val="22"/>
              </w:rPr>
            </w:pPr>
          </w:p>
        </w:tc>
        <w:tc>
          <w:tcPr>
            <w:tcW w:w="3130" w:type="dxa"/>
            <w:gridSpan w:val="2"/>
          </w:tcPr>
          <w:p w14:paraId="79702420">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p w14:paraId="61174979">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p w14:paraId="725E3789">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p w14:paraId="6EC82594">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110" w:firstLineChars="50"/>
              <w:jc w:val="left"/>
              <w:rPr>
                <w:rFonts w:hint="eastAsia" w:ascii="仿宋" w:hAnsi="仿宋" w:eastAsia="仿宋" w:cs="仿宋"/>
                <w:bCs/>
                <w:caps/>
                <w:sz w:val="22"/>
                <w:szCs w:val="22"/>
              </w:rPr>
            </w:pPr>
            <w:r>
              <w:rPr>
                <w:rFonts w:hint="eastAsia" w:ascii="仿宋" w:hAnsi="仿宋" w:eastAsia="仿宋" w:cs="仿宋"/>
                <w:bCs/>
                <w:caps/>
                <w:sz w:val="22"/>
                <w:szCs w:val="22"/>
              </w:rPr>
              <w:t>（</w:t>
            </w:r>
            <w:r>
              <w:rPr>
                <w:rFonts w:hint="eastAsia" w:ascii="仿宋" w:hAnsi="仿宋" w:eastAsia="仿宋" w:cs="仿宋"/>
                <w:color w:val="auto"/>
                <w:sz w:val="24"/>
                <w:szCs w:val="24"/>
                <w:highlight w:val="none"/>
              </w:rPr>
              <w:t>盖单位章</w:t>
            </w:r>
            <w:r>
              <w:rPr>
                <w:rFonts w:hint="eastAsia" w:ascii="仿宋" w:hAnsi="仿宋" w:eastAsia="仿宋" w:cs="仿宋"/>
                <w:bCs/>
                <w:caps/>
                <w:sz w:val="22"/>
                <w:szCs w:val="22"/>
              </w:rPr>
              <w:t>）</w:t>
            </w:r>
          </w:p>
          <w:p w14:paraId="4ED07B78">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 xml:space="preserve">   </w:t>
            </w:r>
          </w:p>
          <w:p w14:paraId="56A97778">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1320" w:firstLineChars="600"/>
              <w:jc w:val="left"/>
              <w:rPr>
                <w:rFonts w:hint="eastAsia" w:ascii="仿宋" w:hAnsi="仿宋" w:eastAsia="仿宋" w:cs="仿宋"/>
                <w:bCs/>
                <w:caps/>
                <w:sz w:val="22"/>
                <w:szCs w:val="22"/>
              </w:rPr>
            </w:pPr>
            <w:r>
              <w:rPr>
                <w:rFonts w:hint="eastAsia" w:ascii="仿宋" w:hAnsi="仿宋" w:eastAsia="仿宋" w:cs="仿宋"/>
                <w:bCs/>
                <w:caps/>
                <w:sz w:val="22"/>
                <w:szCs w:val="22"/>
              </w:rPr>
              <w:t>年  月  日</w:t>
            </w:r>
          </w:p>
        </w:tc>
      </w:tr>
    </w:tbl>
    <w:p w14:paraId="4C827A9A">
      <w:pPr>
        <w:spacing w:line="480" w:lineRule="exact"/>
        <w:ind w:right="-99" w:rightChars="-47"/>
        <w:outlineLvl w:val="1"/>
        <w:rPr>
          <w:rFonts w:hint="eastAsia" w:ascii="仿宋" w:hAnsi="仿宋" w:eastAsia="仿宋" w:cs="仿宋"/>
          <w:b/>
          <w:bCs/>
          <w:sz w:val="28"/>
          <w:szCs w:val="28"/>
        </w:rPr>
        <w:sectPr>
          <w:headerReference r:id="rId11" w:type="default"/>
          <w:footerReference r:id="rId12" w:type="default"/>
          <w:pgSz w:w="11907" w:h="16840"/>
          <w:pgMar w:top="1440" w:right="1803" w:bottom="1440" w:left="1803" w:header="851" w:footer="992" w:gutter="0"/>
          <w:pgNumType w:fmt="decimal"/>
          <w:cols w:space="720" w:num="1"/>
          <w:docGrid w:linePitch="312" w:charSpace="0"/>
        </w:sectPr>
      </w:pPr>
    </w:p>
    <w:p w14:paraId="2D820893">
      <w:pPr>
        <w:pStyle w:val="4"/>
        <w:spacing w:line="240" w:lineRule="auto"/>
        <w:jc w:val="center"/>
        <w:rPr>
          <w:rFonts w:hint="eastAsia" w:ascii="仿宋" w:hAnsi="仿宋" w:eastAsia="仿宋" w:cs="仿宋"/>
          <w:sz w:val="28"/>
          <w:szCs w:val="28"/>
        </w:rPr>
      </w:pPr>
      <w:r>
        <w:rPr>
          <w:rFonts w:hint="eastAsia" w:ascii="仿宋" w:hAnsi="仿宋" w:eastAsia="仿宋" w:cs="仿宋"/>
          <w:sz w:val="28"/>
          <w:szCs w:val="28"/>
        </w:rPr>
        <w:t>4-2</w:t>
      </w:r>
      <w:r>
        <w:rPr>
          <w:rFonts w:hint="eastAsia" w:ascii="仿宋" w:hAnsi="仿宋" w:eastAsia="仿宋" w:cs="仿宋"/>
          <w:sz w:val="28"/>
          <w:szCs w:val="28"/>
          <w:lang w:val="en-US" w:eastAsia="zh-CN"/>
        </w:rPr>
        <w:t>-2</w:t>
      </w:r>
      <w:r>
        <w:rPr>
          <w:rFonts w:hint="eastAsia" w:ascii="仿宋" w:hAnsi="仿宋" w:eastAsia="仿宋" w:cs="仿宋"/>
          <w:sz w:val="28"/>
          <w:szCs w:val="28"/>
        </w:rPr>
        <w:t>、法定代表人授权书</w:t>
      </w:r>
    </w:p>
    <w:tbl>
      <w:tblPr>
        <w:tblStyle w:val="44"/>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440"/>
        <w:gridCol w:w="2709"/>
        <w:gridCol w:w="651"/>
        <w:gridCol w:w="1440"/>
        <w:gridCol w:w="2400"/>
      </w:tblGrid>
      <w:tr w14:paraId="3090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8" w:type="dxa"/>
            <w:gridSpan w:val="6"/>
          </w:tcPr>
          <w:p w14:paraId="52BA51FF">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lang w:eastAsia="zh-CN"/>
              </w:rPr>
            </w:pPr>
            <w:r>
              <w:rPr>
                <w:rFonts w:hint="eastAsia" w:ascii="仿宋" w:hAnsi="仿宋" w:eastAsia="仿宋" w:cs="仿宋"/>
                <w:bCs/>
                <w:caps/>
                <w:sz w:val="22"/>
                <w:szCs w:val="22"/>
              </w:rPr>
              <w:t>致：</w:t>
            </w:r>
            <w:r>
              <w:rPr>
                <w:rFonts w:hint="eastAsia" w:ascii="仿宋" w:hAnsi="仿宋" w:eastAsia="仿宋" w:cs="仿宋"/>
                <w:bCs/>
                <w:caps/>
                <w:sz w:val="22"/>
                <w:szCs w:val="22"/>
                <w:lang w:eastAsia="zh-CN"/>
              </w:rPr>
              <w:t>陕西佳鸿项目管理咨询有限公司</w:t>
            </w:r>
          </w:p>
        </w:tc>
      </w:tr>
      <w:tr w14:paraId="1258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28" w:type="dxa"/>
            <w:vMerge w:val="restart"/>
            <w:vAlign w:val="center"/>
          </w:tcPr>
          <w:p w14:paraId="279C7A57">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rPr>
                <w:rFonts w:hint="eastAsia" w:ascii="仿宋" w:hAnsi="仿宋" w:eastAsia="仿宋" w:cs="仿宋"/>
                <w:bCs/>
                <w:caps/>
                <w:sz w:val="22"/>
                <w:szCs w:val="22"/>
                <w:lang w:eastAsia="zh-CN"/>
              </w:rPr>
            </w:pPr>
            <w:r>
              <w:rPr>
                <w:rFonts w:hint="eastAsia" w:ascii="仿宋" w:hAnsi="仿宋" w:eastAsia="仿宋" w:cs="仿宋"/>
                <w:bCs/>
                <w:caps/>
                <w:sz w:val="22"/>
                <w:szCs w:val="22"/>
                <w:lang w:eastAsia="zh-CN"/>
              </w:rPr>
              <w:t>授权代表</w:t>
            </w:r>
          </w:p>
        </w:tc>
        <w:tc>
          <w:tcPr>
            <w:tcW w:w="1440" w:type="dxa"/>
          </w:tcPr>
          <w:p w14:paraId="064EA0C7">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姓    名</w:t>
            </w:r>
          </w:p>
        </w:tc>
        <w:tc>
          <w:tcPr>
            <w:tcW w:w="3360" w:type="dxa"/>
            <w:gridSpan w:val="2"/>
          </w:tcPr>
          <w:p w14:paraId="50E406C7">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c>
          <w:tcPr>
            <w:tcW w:w="1440" w:type="dxa"/>
          </w:tcPr>
          <w:p w14:paraId="6C666C4F">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性    别</w:t>
            </w:r>
          </w:p>
        </w:tc>
        <w:tc>
          <w:tcPr>
            <w:tcW w:w="2400" w:type="dxa"/>
          </w:tcPr>
          <w:p w14:paraId="1D2D19DF">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r>
      <w:tr w14:paraId="3CFC3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28" w:type="dxa"/>
            <w:vMerge w:val="continue"/>
          </w:tcPr>
          <w:p w14:paraId="06E326BC">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c>
          <w:tcPr>
            <w:tcW w:w="1440" w:type="dxa"/>
          </w:tcPr>
          <w:p w14:paraId="0B02771C">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职    务</w:t>
            </w:r>
          </w:p>
        </w:tc>
        <w:tc>
          <w:tcPr>
            <w:tcW w:w="3360" w:type="dxa"/>
            <w:gridSpan w:val="2"/>
          </w:tcPr>
          <w:p w14:paraId="0E517E3B">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c>
          <w:tcPr>
            <w:tcW w:w="1440" w:type="dxa"/>
          </w:tcPr>
          <w:p w14:paraId="5D14F9BF">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手机号码</w:t>
            </w:r>
          </w:p>
        </w:tc>
        <w:tc>
          <w:tcPr>
            <w:tcW w:w="2400" w:type="dxa"/>
          </w:tcPr>
          <w:p w14:paraId="3CD00D10">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r>
      <w:tr w14:paraId="7443D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Merge w:val="continue"/>
          </w:tcPr>
          <w:p w14:paraId="0DB98680">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c>
          <w:tcPr>
            <w:tcW w:w="1440" w:type="dxa"/>
          </w:tcPr>
          <w:p w14:paraId="22963739">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联系电话</w:t>
            </w:r>
          </w:p>
        </w:tc>
        <w:tc>
          <w:tcPr>
            <w:tcW w:w="3360" w:type="dxa"/>
            <w:gridSpan w:val="2"/>
          </w:tcPr>
          <w:p w14:paraId="5A90980A">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c>
          <w:tcPr>
            <w:tcW w:w="1440" w:type="dxa"/>
          </w:tcPr>
          <w:p w14:paraId="6BEC9307">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图文传真</w:t>
            </w:r>
          </w:p>
        </w:tc>
        <w:tc>
          <w:tcPr>
            <w:tcW w:w="2400" w:type="dxa"/>
          </w:tcPr>
          <w:p w14:paraId="1906789B">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r>
      <w:tr w14:paraId="01F1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Merge w:val="continue"/>
          </w:tcPr>
          <w:p w14:paraId="15627E78">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c>
          <w:tcPr>
            <w:tcW w:w="1440" w:type="dxa"/>
          </w:tcPr>
          <w:p w14:paraId="1A576C60">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通讯地址</w:t>
            </w:r>
          </w:p>
        </w:tc>
        <w:tc>
          <w:tcPr>
            <w:tcW w:w="7200" w:type="dxa"/>
            <w:gridSpan w:val="4"/>
          </w:tcPr>
          <w:p w14:paraId="4DA51C1D">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r>
      <w:tr w14:paraId="7562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Merge w:val="continue"/>
          </w:tcPr>
          <w:p w14:paraId="5DF3B4BF">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c>
          <w:tcPr>
            <w:tcW w:w="1440" w:type="dxa"/>
          </w:tcPr>
          <w:p w14:paraId="3F939950">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网    址</w:t>
            </w:r>
          </w:p>
        </w:tc>
        <w:tc>
          <w:tcPr>
            <w:tcW w:w="7200" w:type="dxa"/>
            <w:gridSpan w:val="4"/>
          </w:tcPr>
          <w:p w14:paraId="36DC777F">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r>
      <w:tr w14:paraId="6B72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Merge w:val="restart"/>
          </w:tcPr>
          <w:p w14:paraId="77FA9A1D">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被</w:t>
            </w:r>
          </w:p>
          <w:p w14:paraId="28286B91">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授</w:t>
            </w:r>
          </w:p>
          <w:p w14:paraId="093ED389">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权</w:t>
            </w:r>
          </w:p>
          <w:p w14:paraId="6F2CA16B">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项</w:t>
            </w:r>
          </w:p>
          <w:p w14:paraId="654D5533">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目</w:t>
            </w:r>
          </w:p>
          <w:p w14:paraId="319E25A8">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与</w:t>
            </w:r>
          </w:p>
          <w:p w14:paraId="5A4AB86E">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内</w:t>
            </w:r>
          </w:p>
          <w:p w14:paraId="69E7B9E5">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容</w:t>
            </w:r>
          </w:p>
        </w:tc>
        <w:tc>
          <w:tcPr>
            <w:tcW w:w="1440" w:type="dxa"/>
          </w:tcPr>
          <w:p w14:paraId="467C8415">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项目名称</w:t>
            </w:r>
          </w:p>
        </w:tc>
        <w:tc>
          <w:tcPr>
            <w:tcW w:w="7200" w:type="dxa"/>
            <w:gridSpan w:val="4"/>
          </w:tcPr>
          <w:p w14:paraId="64DE3353">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r>
      <w:tr w14:paraId="0E49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Merge w:val="continue"/>
          </w:tcPr>
          <w:p w14:paraId="5B8B6343">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c>
          <w:tcPr>
            <w:tcW w:w="1440" w:type="dxa"/>
          </w:tcPr>
          <w:p w14:paraId="7510D664">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文件编号</w:t>
            </w:r>
          </w:p>
        </w:tc>
        <w:tc>
          <w:tcPr>
            <w:tcW w:w="7200" w:type="dxa"/>
            <w:gridSpan w:val="4"/>
          </w:tcPr>
          <w:p w14:paraId="1260428A">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sz w:val="22"/>
                <w:szCs w:val="22"/>
                <w:lang w:eastAsia="zh-CN"/>
              </w:rPr>
            </w:pPr>
            <w:r>
              <w:rPr>
                <w:rFonts w:hint="eastAsia" w:ascii="仿宋" w:hAnsi="仿宋" w:eastAsia="仿宋" w:cs="仿宋"/>
                <w:sz w:val="22"/>
                <w:szCs w:val="22"/>
                <w:lang w:eastAsia="zh-CN"/>
              </w:rPr>
              <w:t>ZCBN-勉县-2025-00009</w:t>
            </w:r>
          </w:p>
        </w:tc>
      </w:tr>
      <w:tr w14:paraId="4EC8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Merge w:val="continue"/>
          </w:tcPr>
          <w:p w14:paraId="6265D5AB">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c>
          <w:tcPr>
            <w:tcW w:w="1440" w:type="dxa"/>
            <w:vAlign w:val="center"/>
          </w:tcPr>
          <w:p w14:paraId="22A0E336">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sz w:val="22"/>
                <w:szCs w:val="22"/>
              </w:rPr>
            </w:pPr>
            <w:r>
              <w:rPr>
                <w:rFonts w:hint="eastAsia" w:ascii="仿宋" w:hAnsi="仿宋" w:eastAsia="仿宋" w:cs="仿宋"/>
                <w:bCs/>
                <w:caps/>
                <w:sz w:val="22"/>
                <w:szCs w:val="22"/>
              </w:rPr>
              <w:t>授权范围</w:t>
            </w:r>
          </w:p>
        </w:tc>
        <w:tc>
          <w:tcPr>
            <w:tcW w:w="7200" w:type="dxa"/>
            <w:gridSpan w:val="4"/>
          </w:tcPr>
          <w:p w14:paraId="19B63B48">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全权办理本次采购项目的磋商、现场澄清、联系、洽谈、签约、执行等具体事务，签署全部有关文件、文书、协议及合同。</w:t>
            </w:r>
          </w:p>
        </w:tc>
      </w:tr>
      <w:tr w14:paraId="1033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28" w:type="dxa"/>
            <w:vMerge w:val="continue"/>
          </w:tcPr>
          <w:p w14:paraId="572EB80B">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c>
          <w:tcPr>
            <w:tcW w:w="1440" w:type="dxa"/>
          </w:tcPr>
          <w:p w14:paraId="1AA77CF0">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法律责任</w:t>
            </w:r>
          </w:p>
        </w:tc>
        <w:tc>
          <w:tcPr>
            <w:tcW w:w="7200" w:type="dxa"/>
            <w:gridSpan w:val="4"/>
          </w:tcPr>
          <w:p w14:paraId="094BFA8A">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本公司对</w:t>
            </w:r>
            <w:r>
              <w:rPr>
                <w:rFonts w:hint="eastAsia" w:ascii="仿宋" w:hAnsi="仿宋" w:eastAsia="仿宋" w:cs="仿宋"/>
                <w:bCs/>
                <w:caps/>
                <w:sz w:val="22"/>
                <w:szCs w:val="22"/>
                <w:lang w:eastAsia="zh-CN"/>
              </w:rPr>
              <w:t>授权代表</w:t>
            </w:r>
            <w:r>
              <w:rPr>
                <w:rFonts w:hint="eastAsia" w:ascii="仿宋" w:hAnsi="仿宋" w:eastAsia="仿宋" w:cs="仿宋"/>
                <w:bCs/>
                <w:caps/>
                <w:sz w:val="22"/>
                <w:szCs w:val="22"/>
              </w:rPr>
              <w:t>在本项目中的签名承担全部法律责任。</w:t>
            </w:r>
          </w:p>
        </w:tc>
      </w:tr>
      <w:tr w14:paraId="76D5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Merge w:val="continue"/>
          </w:tcPr>
          <w:p w14:paraId="7F41F909">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c>
          <w:tcPr>
            <w:tcW w:w="1440" w:type="dxa"/>
            <w:vAlign w:val="center"/>
          </w:tcPr>
          <w:p w14:paraId="7CB31CAE">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rPr>
                <w:rFonts w:hint="eastAsia" w:ascii="仿宋" w:hAnsi="仿宋" w:eastAsia="仿宋" w:cs="仿宋"/>
                <w:bCs/>
                <w:caps/>
                <w:sz w:val="22"/>
                <w:szCs w:val="22"/>
              </w:rPr>
            </w:pPr>
            <w:r>
              <w:rPr>
                <w:rFonts w:hint="eastAsia" w:ascii="仿宋" w:hAnsi="仿宋" w:eastAsia="仿宋" w:cs="仿宋"/>
                <w:bCs/>
                <w:caps/>
                <w:sz w:val="22"/>
                <w:szCs w:val="22"/>
              </w:rPr>
              <w:t>授权期限</w:t>
            </w:r>
          </w:p>
        </w:tc>
        <w:tc>
          <w:tcPr>
            <w:tcW w:w="7200" w:type="dxa"/>
            <w:gridSpan w:val="4"/>
            <w:vAlign w:val="center"/>
          </w:tcPr>
          <w:p w14:paraId="28E7C2EB">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rPr>
                <w:rFonts w:hint="eastAsia" w:ascii="仿宋" w:hAnsi="仿宋" w:eastAsia="仿宋" w:cs="仿宋"/>
                <w:bCs/>
                <w:caps/>
                <w:sz w:val="22"/>
                <w:szCs w:val="22"/>
                <w:lang w:eastAsia="zh-CN"/>
              </w:rPr>
            </w:pPr>
            <w:r>
              <w:rPr>
                <w:rFonts w:hint="eastAsia" w:ascii="仿宋" w:hAnsi="仿宋" w:eastAsia="仿宋" w:cs="仿宋"/>
                <w:bCs/>
                <w:caps/>
                <w:sz w:val="22"/>
                <w:szCs w:val="22"/>
              </w:rPr>
              <w:t>本授权书自磋商大会之日计算有效期为</w:t>
            </w:r>
            <w:r>
              <w:rPr>
                <w:rFonts w:hint="eastAsia" w:ascii="仿宋" w:hAnsi="仿宋" w:eastAsia="仿宋" w:cs="仿宋"/>
                <w:bCs/>
                <w:caps/>
                <w:sz w:val="22"/>
                <w:szCs w:val="22"/>
                <w:u w:val="single"/>
              </w:rPr>
              <w:t xml:space="preserve"> </w:t>
            </w:r>
            <w:r>
              <w:rPr>
                <w:rFonts w:hint="eastAsia" w:ascii="仿宋" w:hAnsi="仿宋" w:eastAsia="仿宋" w:cs="仿宋"/>
                <w:bCs/>
                <w:caps/>
                <w:sz w:val="22"/>
                <w:szCs w:val="22"/>
                <w:u w:val="single"/>
                <w:lang w:val="en-US" w:eastAsia="zh-CN"/>
              </w:rPr>
              <w:t xml:space="preserve">    </w:t>
            </w:r>
            <w:r>
              <w:rPr>
                <w:rFonts w:hint="eastAsia" w:ascii="仿宋" w:hAnsi="仿宋" w:eastAsia="仿宋" w:cs="仿宋"/>
                <w:bCs/>
                <w:caps/>
                <w:sz w:val="22"/>
                <w:szCs w:val="22"/>
                <w:u w:val="single"/>
              </w:rPr>
              <w:t xml:space="preserve"> </w:t>
            </w:r>
            <w:r>
              <w:rPr>
                <w:rFonts w:hint="eastAsia" w:ascii="仿宋" w:hAnsi="仿宋" w:eastAsia="仿宋" w:cs="仿宋"/>
                <w:bCs/>
                <w:caps/>
                <w:sz w:val="22"/>
                <w:szCs w:val="22"/>
              </w:rPr>
              <w:t>天</w:t>
            </w:r>
            <w:r>
              <w:rPr>
                <w:rFonts w:hint="eastAsia" w:ascii="仿宋" w:hAnsi="仿宋" w:eastAsia="仿宋" w:cs="仿宋"/>
                <w:bCs/>
                <w:caps/>
                <w:sz w:val="22"/>
                <w:szCs w:val="22"/>
                <w:lang w:eastAsia="zh-CN"/>
              </w:rPr>
              <w:t>（需满足磋商有效期要求）</w:t>
            </w:r>
          </w:p>
        </w:tc>
      </w:tr>
      <w:tr w14:paraId="661C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677" w:type="dxa"/>
            <w:gridSpan w:val="3"/>
          </w:tcPr>
          <w:p w14:paraId="3FC2FBA9">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560"/>
              <w:jc w:val="left"/>
              <w:rPr>
                <w:rFonts w:hint="eastAsia" w:ascii="仿宋" w:hAnsi="仿宋" w:eastAsia="仿宋" w:cs="仿宋"/>
                <w:bCs/>
                <w:caps/>
                <w:sz w:val="22"/>
                <w:szCs w:val="22"/>
              </w:rPr>
            </w:pPr>
            <w:r>
              <w:rPr>
                <w:rFonts w:hint="eastAsia" w:ascii="仿宋" w:hAnsi="仿宋" w:eastAsia="仿宋" w:cs="仿宋"/>
                <w:bCs/>
                <w:caps/>
                <w:sz w:val="22"/>
                <w:szCs w:val="22"/>
                <w:lang w:eastAsia="zh-CN"/>
              </w:rPr>
              <w:t>授权代表</w:t>
            </w:r>
            <w:r>
              <w:rPr>
                <w:rFonts w:hint="eastAsia" w:ascii="仿宋" w:hAnsi="仿宋" w:eastAsia="仿宋" w:cs="仿宋"/>
                <w:bCs/>
                <w:caps/>
                <w:sz w:val="22"/>
                <w:szCs w:val="22"/>
              </w:rPr>
              <w:t>身份证</w:t>
            </w:r>
          </w:p>
        </w:tc>
        <w:tc>
          <w:tcPr>
            <w:tcW w:w="4491" w:type="dxa"/>
            <w:gridSpan w:val="3"/>
          </w:tcPr>
          <w:p w14:paraId="4D6AC5C8">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440" w:firstLineChars="200"/>
              <w:jc w:val="left"/>
              <w:rPr>
                <w:rFonts w:hint="eastAsia" w:ascii="仿宋" w:hAnsi="仿宋" w:eastAsia="仿宋" w:cs="仿宋"/>
                <w:bCs/>
                <w:caps/>
                <w:sz w:val="22"/>
                <w:szCs w:val="22"/>
              </w:rPr>
            </w:pPr>
            <w:r>
              <w:rPr>
                <w:rFonts w:hint="eastAsia" w:ascii="仿宋" w:hAnsi="仿宋" w:eastAsia="仿宋" w:cs="仿宋"/>
                <w:bCs/>
                <w:caps/>
                <w:sz w:val="22"/>
                <w:szCs w:val="22"/>
              </w:rPr>
              <w:t>法定代表人签署栏</w:t>
            </w:r>
          </w:p>
        </w:tc>
      </w:tr>
      <w:tr w14:paraId="77D07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atLeast"/>
          <w:jc w:val="center"/>
        </w:trPr>
        <w:tc>
          <w:tcPr>
            <w:tcW w:w="4677" w:type="dxa"/>
            <w:gridSpan w:val="3"/>
            <w:vMerge w:val="restart"/>
            <w:vAlign w:val="center"/>
          </w:tcPr>
          <w:p w14:paraId="223F8C82">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rPr>
                <w:rFonts w:hint="eastAsia" w:ascii="仿宋" w:hAnsi="仿宋" w:eastAsia="仿宋" w:cs="仿宋"/>
                <w:bCs/>
                <w:caps/>
                <w:sz w:val="22"/>
                <w:szCs w:val="22"/>
              </w:rPr>
            </w:pPr>
          </w:p>
          <w:p w14:paraId="550AE1F1">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sz w:val="22"/>
                <w:szCs w:val="22"/>
              </w:rPr>
            </w:pPr>
          </w:p>
          <w:p w14:paraId="7D803AE6">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sz w:val="22"/>
                <w:szCs w:val="22"/>
                <w:lang w:eastAsia="zh-CN"/>
              </w:rPr>
            </w:pPr>
            <w:r>
              <w:rPr>
                <w:rFonts w:hint="eastAsia" w:ascii="仿宋" w:hAnsi="仿宋" w:eastAsia="仿宋" w:cs="仿宋"/>
                <w:bCs/>
                <w:caps/>
                <w:sz w:val="22"/>
                <w:szCs w:val="22"/>
                <w:lang w:eastAsia="zh-CN"/>
              </w:rPr>
              <w:t>（打印或粘贴）</w:t>
            </w:r>
          </w:p>
          <w:p w14:paraId="3A5AEA4F">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sz w:val="22"/>
                <w:szCs w:val="22"/>
              </w:rPr>
            </w:pPr>
          </w:p>
          <w:p w14:paraId="72153DC8">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sz w:val="22"/>
                <w:szCs w:val="22"/>
              </w:rPr>
            </w:pPr>
          </w:p>
          <w:p w14:paraId="702B8824">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sz w:val="22"/>
                <w:szCs w:val="22"/>
              </w:rPr>
            </w:pPr>
          </w:p>
        </w:tc>
        <w:tc>
          <w:tcPr>
            <w:tcW w:w="4491" w:type="dxa"/>
            <w:gridSpan w:val="3"/>
          </w:tcPr>
          <w:p w14:paraId="0C66AC3A">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440" w:firstLineChars="200"/>
              <w:jc w:val="left"/>
              <w:rPr>
                <w:rFonts w:hint="eastAsia" w:ascii="仿宋" w:hAnsi="仿宋" w:eastAsia="仿宋" w:cs="仿宋"/>
                <w:bCs/>
                <w:caps/>
                <w:sz w:val="22"/>
                <w:szCs w:val="22"/>
              </w:rPr>
            </w:pPr>
          </w:p>
          <w:p w14:paraId="07817B87">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440" w:firstLineChars="200"/>
              <w:jc w:val="left"/>
              <w:rPr>
                <w:rFonts w:hint="eastAsia" w:ascii="仿宋" w:hAnsi="仿宋" w:eastAsia="仿宋" w:cs="仿宋"/>
                <w:bCs/>
                <w:caps/>
                <w:sz w:val="22"/>
                <w:szCs w:val="22"/>
              </w:rPr>
            </w:pPr>
            <w:r>
              <w:rPr>
                <w:rFonts w:hint="eastAsia" w:ascii="仿宋" w:hAnsi="仿宋" w:eastAsia="仿宋" w:cs="仿宋"/>
                <w:bCs/>
                <w:caps/>
                <w:sz w:val="22"/>
                <w:szCs w:val="22"/>
              </w:rPr>
              <w:t>（法定代表人签字）</w:t>
            </w:r>
          </w:p>
        </w:tc>
      </w:tr>
      <w:tr w14:paraId="1B35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4677" w:type="dxa"/>
            <w:gridSpan w:val="3"/>
            <w:vMerge w:val="continue"/>
          </w:tcPr>
          <w:p w14:paraId="1B2E3705">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sz w:val="22"/>
                <w:szCs w:val="22"/>
              </w:rPr>
            </w:pPr>
          </w:p>
        </w:tc>
        <w:tc>
          <w:tcPr>
            <w:tcW w:w="4491" w:type="dxa"/>
            <w:gridSpan w:val="3"/>
          </w:tcPr>
          <w:p w14:paraId="1496E21F">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w:t>
            </w:r>
            <w:r>
              <w:rPr>
                <w:rFonts w:hint="eastAsia" w:ascii="仿宋" w:hAnsi="仿宋" w:eastAsia="仿宋" w:cs="仿宋"/>
                <w:color w:val="auto"/>
                <w:sz w:val="24"/>
                <w:szCs w:val="24"/>
                <w:highlight w:val="none"/>
              </w:rPr>
              <w:t>盖单位章</w:t>
            </w:r>
            <w:r>
              <w:rPr>
                <w:rFonts w:hint="eastAsia" w:ascii="仿宋" w:hAnsi="仿宋" w:eastAsia="仿宋" w:cs="仿宋"/>
                <w:bCs/>
                <w:caps/>
                <w:sz w:val="22"/>
                <w:szCs w:val="22"/>
              </w:rPr>
              <w:t>）</w:t>
            </w:r>
          </w:p>
          <w:p w14:paraId="51D287DB">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 xml:space="preserve">                  </w:t>
            </w:r>
          </w:p>
          <w:p w14:paraId="6AC2F7C8">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1870" w:firstLineChars="850"/>
              <w:jc w:val="left"/>
              <w:rPr>
                <w:rFonts w:hint="eastAsia" w:ascii="仿宋" w:hAnsi="仿宋" w:eastAsia="仿宋" w:cs="仿宋"/>
                <w:bCs/>
                <w:caps/>
                <w:sz w:val="22"/>
                <w:szCs w:val="22"/>
              </w:rPr>
            </w:pPr>
          </w:p>
          <w:p w14:paraId="4A8D22C8">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2090" w:firstLineChars="950"/>
              <w:jc w:val="left"/>
              <w:rPr>
                <w:rFonts w:hint="eastAsia" w:ascii="仿宋" w:hAnsi="仿宋" w:eastAsia="仿宋" w:cs="仿宋"/>
                <w:bCs/>
                <w:caps/>
                <w:sz w:val="22"/>
                <w:szCs w:val="22"/>
              </w:rPr>
            </w:pPr>
            <w:r>
              <w:rPr>
                <w:rFonts w:hint="eastAsia" w:ascii="仿宋" w:hAnsi="仿宋" w:eastAsia="仿宋" w:cs="仿宋"/>
                <w:bCs/>
                <w:caps/>
                <w:sz w:val="22"/>
                <w:szCs w:val="22"/>
              </w:rPr>
              <w:t xml:space="preserve"> 年  月  日</w:t>
            </w:r>
          </w:p>
        </w:tc>
      </w:tr>
    </w:tbl>
    <w:p w14:paraId="7FC31AC0">
      <w:pPr>
        <w:pStyle w:val="18"/>
        <w:rPr>
          <w:rFonts w:hint="eastAsia" w:ascii="仿宋" w:hAnsi="仿宋" w:eastAsia="仿宋" w:cs="仿宋"/>
          <w:b/>
          <w:bCs/>
          <w:lang w:eastAsia="zh-CN"/>
        </w:rPr>
      </w:pPr>
      <w:r>
        <w:rPr>
          <w:rFonts w:hint="eastAsia" w:ascii="仿宋" w:hAnsi="仿宋" w:eastAsia="仿宋" w:cs="仿宋"/>
          <w:b/>
          <w:bCs/>
          <w:lang w:eastAsia="zh-CN"/>
        </w:rPr>
        <w:t>法定代表人直接参与投标，无授权代表的，可删除此表</w:t>
      </w:r>
    </w:p>
    <w:p w14:paraId="291717EC">
      <w:pPr>
        <w:rPr>
          <w:rFonts w:hint="eastAsia" w:ascii="仿宋" w:hAnsi="仿宋" w:eastAsia="仿宋" w:cs="仿宋"/>
        </w:rPr>
      </w:pPr>
    </w:p>
    <w:p w14:paraId="341AA19B">
      <w:pPr>
        <w:pStyle w:val="18"/>
        <w:rPr>
          <w:rFonts w:hint="eastAsia" w:ascii="仿宋" w:hAnsi="仿宋" w:eastAsia="仿宋" w:cs="仿宋"/>
        </w:rPr>
      </w:pPr>
    </w:p>
    <w:p w14:paraId="50BDBC4C">
      <w:pPr>
        <w:rPr>
          <w:rFonts w:hint="default" w:ascii="仿宋" w:hAnsi="仿宋" w:eastAsia="仿宋" w:cs="仿宋"/>
          <w:b/>
          <w:kern w:val="2"/>
          <w:sz w:val="28"/>
          <w:szCs w:val="18"/>
          <w:lang w:val="en-US" w:eastAsia="zh-CN" w:bidi="ar-SA"/>
        </w:rPr>
      </w:pPr>
      <w:r>
        <w:rPr>
          <w:rFonts w:hint="eastAsia" w:ascii="仿宋" w:hAnsi="仿宋" w:eastAsia="仿宋" w:cs="仿宋"/>
          <w:b/>
          <w:kern w:val="2"/>
          <w:sz w:val="28"/>
          <w:szCs w:val="18"/>
          <w:lang w:val="en-US" w:eastAsia="zh-CN" w:bidi="ar-SA"/>
        </w:rPr>
        <w:t>4-3、汉中市政府采购供应商资格承诺函</w:t>
      </w:r>
    </w:p>
    <w:p w14:paraId="25A632E7">
      <w:pPr>
        <w:rPr>
          <w:rFonts w:hint="eastAsia" w:ascii="仿宋" w:hAnsi="仿宋" w:eastAsia="仿宋" w:cs="仿宋"/>
          <w:b/>
          <w:kern w:val="2"/>
          <w:sz w:val="28"/>
          <w:szCs w:val="18"/>
          <w:lang w:val="en-US" w:eastAsia="zh-CN" w:bidi="ar-SA"/>
        </w:rPr>
      </w:pPr>
    </w:p>
    <w:p w14:paraId="5A8AA214">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
          <w:bCs w:val="0"/>
          <w:caps/>
          <w:sz w:val="36"/>
          <w:szCs w:val="36"/>
          <w:lang w:val="en-US" w:eastAsia="zh-CN"/>
        </w:rPr>
      </w:pPr>
    </w:p>
    <w:p w14:paraId="5C9EDFBF">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
          <w:bCs w:val="0"/>
          <w:caps/>
          <w:sz w:val="36"/>
          <w:szCs w:val="36"/>
          <w:lang w:val="en-US" w:eastAsia="zh-CN"/>
        </w:rPr>
      </w:pPr>
      <w:r>
        <w:rPr>
          <w:rFonts w:hint="eastAsia" w:ascii="仿宋" w:hAnsi="仿宋" w:eastAsia="仿宋" w:cs="仿宋"/>
          <w:b/>
          <w:bCs w:val="0"/>
          <w:caps/>
          <w:sz w:val="36"/>
          <w:szCs w:val="36"/>
          <w:lang w:val="en-US" w:eastAsia="zh-CN"/>
        </w:rPr>
        <w:t>汉中市政府采购供应商资格承诺函</w:t>
      </w:r>
    </w:p>
    <w:p w14:paraId="76377906">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8"/>
          <w:szCs w:val="28"/>
          <w:lang w:val="en-US" w:eastAsia="zh-CN"/>
        </w:rPr>
      </w:pPr>
    </w:p>
    <w:p w14:paraId="6BCE6B60">
      <w:pPr>
        <w:keepNext w:val="0"/>
        <w:keepLines w:val="0"/>
        <w:suppressLineNumbers w:val="0"/>
        <w:tabs>
          <w:tab w:val="right" w:leader="dot" w:pos="9022"/>
        </w:tabs>
        <w:autoSpaceDE w:val="0"/>
        <w:autoSpaceDN w:val="0"/>
        <w:adjustRightInd w:val="0"/>
        <w:spacing w:before="0" w:beforeAutospacing="0" w:after="0" w:afterAutospacing="0" w:line="360" w:lineRule="auto"/>
        <w:ind w:left="0" w:right="-99" w:rightChars="-47"/>
        <w:jc w:val="left"/>
        <w:rPr>
          <w:rFonts w:hint="eastAsia" w:ascii="仿宋" w:hAnsi="仿宋" w:eastAsia="仿宋" w:cs="仿宋"/>
          <w:bCs/>
          <w:caps/>
          <w:sz w:val="28"/>
          <w:szCs w:val="28"/>
          <w:lang w:val="en-US" w:eastAsia="zh-CN"/>
        </w:rPr>
      </w:pPr>
      <w:r>
        <w:rPr>
          <w:rFonts w:hint="eastAsia" w:ascii="仿宋" w:hAnsi="仿宋" w:eastAsia="仿宋" w:cs="仿宋"/>
          <w:bCs/>
          <w:caps/>
          <w:sz w:val="28"/>
          <w:szCs w:val="28"/>
          <w:lang w:val="en-US" w:eastAsia="zh-CN"/>
        </w:rPr>
        <w:t>致:(采购人、采购代理机构名称)</w:t>
      </w:r>
    </w:p>
    <w:p w14:paraId="4429CE43">
      <w:pPr>
        <w:keepNext w:val="0"/>
        <w:keepLines w:val="0"/>
        <w:suppressLineNumbers w:val="0"/>
        <w:tabs>
          <w:tab w:val="right" w:leader="dot" w:pos="9022"/>
        </w:tabs>
        <w:autoSpaceDE w:val="0"/>
        <w:autoSpaceDN w:val="0"/>
        <w:adjustRightInd w:val="0"/>
        <w:spacing w:before="0" w:beforeAutospacing="0" w:after="0" w:afterAutospacing="0" w:line="360" w:lineRule="auto"/>
        <w:ind w:left="0" w:right="-99" w:rightChars="-47" w:firstLine="560" w:firstLineChars="200"/>
        <w:jc w:val="left"/>
        <w:rPr>
          <w:rFonts w:hint="eastAsia" w:ascii="仿宋" w:hAnsi="仿宋" w:eastAsia="仿宋" w:cs="仿宋"/>
          <w:bCs/>
          <w:caps/>
          <w:sz w:val="28"/>
          <w:szCs w:val="28"/>
          <w:lang w:val="en-US" w:eastAsia="zh-CN"/>
        </w:rPr>
      </w:pPr>
      <w:r>
        <w:rPr>
          <w:rFonts w:hint="eastAsia" w:ascii="仿宋" w:hAnsi="仿宋" w:eastAsia="仿宋" w:cs="仿宋"/>
          <w:bCs/>
          <w:caps/>
          <w:sz w:val="28"/>
          <w:szCs w:val="28"/>
          <w:lang w:val="en-US" w:eastAsia="zh-CN"/>
        </w:rPr>
        <w:t>(投标人名称)郑重承诺:</w:t>
      </w:r>
    </w:p>
    <w:p w14:paraId="4C9F250E">
      <w:pPr>
        <w:keepNext w:val="0"/>
        <w:keepLines w:val="0"/>
        <w:suppressLineNumbers w:val="0"/>
        <w:tabs>
          <w:tab w:val="right" w:leader="dot" w:pos="9022"/>
        </w:tabs>
        <w:autoSpaceDE w:val="0"/>
        <w:autoSpaceDN w:val="0"/>
        <w:adjustRightInd w:val="0"/>
        <w:spacing w:before="0" w:beforeAutospacing="0" w:after="0" w:afterAutospacing="0" w:line="360" w:lineRule="auto"/>
        <w:ind w:right="-99" w:rightChars="-47" w:firstLine="560" w:firstLineChars="200"/>
        <w:jc w:val="left"/>
        <w:rPr>
          <w:rFonts w:hint="eastAsia" w:ascii="仿宋" w:hAnsi="仿宋" w:eastAsia="仿宋" w:cs="仿宋"/>
          <w:bCs/>
          <w:caps/>
          <w:sz w:val="28"/>
          <w:szCs w:val="28"/>
          <w:lang w:val="en-US" w:eastAsia="zh-CN"/>
        </w:rPr>
      </w:pPr>
      <w:r>
        <w:rPr>
          <w:rFonts w:hint="eastAsia" w:ascii="仿宋" w:hAnsi="仿宋" w:eastAsia="仿宋" w:cs="仿宋"/>
          <w:bCs/>
          <w:caps/>
          <w:sz w:val="28"/>
          <w:szCs w:val="28"/>
          <w:lang w:val="en-US" w:eastAsia="zh-CN"/>
        </w:rPr>
        <w:t>1.我方具有良好的商业信誉和健全的财务会计制度,具有履行合同所必需的设备和专业技术能力，具有依法缴纳税收和社会保障金的良好记录，参加本项目采购活动前三年内无重大违法活动记录。</w:t>
      </w:r>
    </w:p>
    <w:p w14:paraId="35B0C80B">
      <w:pPr>
        <w:spacing w:line="360" w:lineRule="auto"/>
        <w:ind w:firstLine="560" w:firstLineChars="200"/>
        <w:rPr>
          <w:rFonts w:hint="eastAsia" w:ascii="仿宋" w:hAnsi="仿宋" w:eastAsia="仿宋" w:cs="仿宋"/>
          <w:bCs/>
          <w:caps/>
          <w:sz w:val="28"/>
          <w:szCs w:val="28"/>
          <w:lang w:val="en-US" w:eastAsia="zh-CN"/>
        </w:rPr>
      </w:pPr>
      <w:r>
        <w:rPr>
          <w:rFonts w:hint="eastAsia" w:ascii="仿宋" w:hAnsi="仿宋" w:eastAsia="仿宋" w:cs="仿宋"/>
          <w:bCs/>
          <w:caps/>
          <w:sz w:val="28"/>
          <w:szCs w:val="28"/>
          <w:lang w:val="en-US" w:eastAsia="zh-CN"/>
        </w:rPr>
        <w:t>2.我方未列入在信用中国网站“失信被执行人”、“重大税收违法案件当事人名单”中(</w:t>
      </w:r>
      <w:r>
        <w:rPr>
          <w:rFonts w:hint="eastAsia" w:ascii="仿宋" w:hAnsi="仿宋" w:eastAsia="仿宋" w:cs="仿宋"/>
          <w:sz w:val="28"/>
          <w:szCs w:val="28"/>
        </w:rPr>
        <w:t>www.creditchina.gov.cn</w:t>
      </w:r>
      <w:r>
        <w:rPr>
          <w:rFonts w:hint="eastAsia" w:ascii="仿宋" w:hAnsi="仿宋" w:eastAsia="仿宋" w:cs="仿宋"/>
          <w:bCs/>
          <w:caps/>
          <w:sz w:val="28"/>
          <w:szCs w:val="28"/>
          <w:lang w:val="en-US" w:eastAsia="zh-CN"/>
        </w:rPr>
        <w:t>)，也未列入中国政府采购网“政府采购严重违法失信行为记录名单”中(</w:t>
      </w:r>
      <w:r>
        <w:rPr>
          <w:rFonts w:hint="eastAsia" w:ascii="仿宋" w:hAnsi="仿宋" w:eastAsia="仿宋" w:cs="仿宋"/>
          <w:sz w:val="28"/>
          <w:szCs w:val="28"/>
          <w:lang w:val="en-US" w:eastAsia="zh-CN"/>
        </w:rPr>
        <w:t xml:space="preserve">www. ccgp. gov.cn </w:t>
      </w:r>
      <w:r>
        <w:rPr>
          <w:rFonts w:hint="eastAsia" w:ascii="仿宋" w:hAnsi="仿宋" w:eastAsia="仿宋" w:cs="仿宋"/>
          <w:bCs/>
          <w:caps/>
          <w:sz w:val="28"/>
          <w:szCs w:val="28"/>
          <w:lang w:val="en-US" w:eastAsia="zh-CN"/>
        </w:rPr>
        <w:t>)</w:t>
      </w:r>
    </w:p>
    <w:p w14:paraId="7E6CB68B">
      <w:pPr>
        <w:keepNext w:val="0"/>
        <w:keepLines w:val="0"/>
        <w:suppressLineNumbers w:val="0"/>
        <w:tabs>
          <w:tab w:val="right" w:leader="dot" w:pos="9022"/>
        </w:tabs>
        <w:autoSpaceDE w:val="0"/>
        <w:autoSpaceDN w:val="0"/>
        <w:adjustRightInd w:val="0"/>
        <w:spacing w:before="0" w:beforeAutospacing="0" w:after="0" w:afterAutospacing="0" w:line="360" w:lineRule="auto"/>
        <w:ind w:left="0" w:right="-99" w:rightChars="-47" w:firstLine="560" w:firstLineChars="200"/>
        <w:jc w:val="left"/>
        <w:rPr>
          <w:rFonts w:hint="eastAsia" w:ascii="仿宋" w:hAnsi="仿宋" w:eastAsia="仿宋" w:cs="仿宋"/>
          <w:bCs/>
          <w:caps/>
          <w:sz w:val="28"/>
          <w:szCs w:val="28"/>
          <w:lang w:val="en-US" w:eastAsia="zh-CN"/>
        </w:rPr>
      </w:pPr>
      <w:r>
        <w:rPr>
          <w:rFonts w:hint="eastAsia" w:ascii="仿宋" w:hAnsi="仿宋" w:eastAsia="仿宋" w:cs="仿宋"/>
          <w:bCs/>
          <w:caps/>
          <w:sz w:val="28"/>
          <w:szCs w:val="28"/>
          <w:lang w:val="en-US" w:eastAsia="zh-CN"/>
        </w:rPr>
        <w:t>3.我方在采购项目评审(评标)环节结束后，随时接受采购人、采购代理机构的检查验证，配合提供相关证明材料，证明符合《中华人民共和国政府采购法》规定的投标人基本资格条件，</w:t>
      </w:r>
    </w:p>
    <w:p w14:paraId="0D8C7DCC">
      <w:pPr>
        <w:keepNext w:val="0"/>
        <w:keepLines w:val="0"/>
        <w:suppressLineNumbers w:val="0"/>
        <w:tabs>
          <w:tab w:val="right" w:leader="dot" w:pos="9022"/>
        </w:tabs>
        <w:autoSpaceDE w:val="0"/>
        <w:autoSpaceDN w:val="0"/>
        <w:adjustRightInd w:val="0"/>
        <w:spacing w:before="0" w:beforeAutospacing="0" w:after="0" w:afterAutospacing="0" w:line="360" w:lineRule="auto"/>
        <w:ind w:left="0" w:right="-99" w:rightChars="-47" w:firstLine="562" w:firstLineChars="200"/>
        <w:jc w:val="left"/>
        <w:rPr>
          <w:rFonts w:hint="eastAsia" w:ascii="仿宋" w:hAnsi="仿宋" w:eastAsia="仿宋" w:cs="仿宋"/>
          <w:b/>
          <w:bCs w:val="0"/>
          <w:caps/>
          <w:sz w:val="28"/>
          <w:szCs w:val="28"/>
          <w:lang w:val="en-US" w:eastAsia="zh-CN"/>
        </w:rPr>
      </w:pPr>
      <w:r>
        <w:rPr>
          <w:rFonts w:hint="eastAsia" w:ascii="仿宋" w:hAnsi="仿宋" w:eastAsia="仿宋" w:cs="仿宋"/>
          <w:b/>
          <w:bCs w:val="0"/>
          <w:caps/>
          <w:sz w:val="28"/>
          <w:szCs w:val="28"/>
          <w:lang w:val="en-US" w:eastAsia="zh-CN"/>
        </w:rPr>
        <w:t>我方对以上承诺负全部法律责任。</w:t>
      </w:r>
    </w:p>
    <w:p w14:paraId="1D24ECE6">
      <w:pPr>
        <w:keepNext w:val="0"/>
        <w:keepLines w:val="0"/>
        <w:suppressLineNumbers w:val="0"/>
        <w:tabs>
          <w:tab w:val="right" w:leader="dot" w:pos="9022"/>
        </w:tabs>
        <w:autoSpaceDE w:val="0"/>
        <w:autoSpaceDN w:val="0"/>
        <w:adjustRightInd w:val="0"/>
        <w:spacing w:before="0" w:beforeAutospacing="0" w:after="0" w:afterAutospacing="0" w:line="360" w:lineRule="auto"/>
        <w:ind w:left="0" w:right="-99" w:rightChars="-47" w:firstLine="560" w:firstLineChars="200"/>
        <w:jc w:val="left"/>
        <w:rPr>
          <w:rFonts w:hint="eastAsia" w:ascii="仿宋" w:hAnsi="仿宋" w:eastAsia="仿宋" w:cs="仿宋"/>
          <w:bCs/>
          <w:caps/>
          <w:sz w:val="28"/>
          <w:szCs w:val="28"/>
          <w:lang w:val="en-US" w:eastAsia="zh-CN"/>
        </w:rPr>
      </w:pPr>
    </w:p>
    <w:p w14:paraId="3C065147">
      <w:pPr>
        <w:keepNext w:val="0"/>
        <w:keepLines w:val="0"/>
        <w:suppressLineNumbers w:val="0"/>
        <w:tabs>
          <w:tab w:val="right" w:leader="dot" w:pos="9022"/>
        </w:tabs>
        <w:autoSpaceDE w:val="0"/>
        <w:autoSpaceDN w:val="0"/>
        <w:adjustRightInd w:val="0"/>
        <w:spacing w:before="0" w:beforeAutospacing="0" w:after="0" w:afterAutospacing="0" w:line="360" w:lineRule="auto"/>
        <w:ind w:left="0" w:right="-99" w:rightChars="-47" w:firstLine="560" w:firstLineChars="200"/>
        <w:jc w:val="left"/>
        <w:rPr>
          <w:rFonts w:hint="eastAsia" w:ascii="仿宋" w:hAnsi="仿宋" w:eastAsia="仿宋" w:cs="仿宋"/>
          <w:bCs/>
          <w:caps/>
          <w:sz w:val="28"/>
          <w:szCs w:val="28"/>
          <w:lang w:val="en-US" w:eastAsia="zh-CN"/>
        </w:rPr>
      </w:pPr>
      <w:r>
        <w:rPr>
          <w:rFonts w:hint="eastAsia" w:ascii="仿宋" w:hAnsi="仿宋" w:eastAsia="仿宋" w:cs="仿宋"/>
          <w:bCs/>
          <w:caps/>
          <w:sz w:val="28"/>
          <w:szCs w:val="28"/>
          <w:lang w:val="en-US" w:eastAsia="zh-CN"/>
        </w:rPr>
        <w:t>特此承诺</w:t>
      </w:r>
    </w:p>
    <w:p w14:paraId="43AF4B2F">
      <w:pPr>
        <w:keepNext w:val="0"/>
        <w:keepLines w:val="0"/>
        <w:suppressLineNumbers w:val="0"/>
        <w:tabs>
          <w:tab w:val="right" w:leader="dot" w:pos="9022"/>
        </w:tabs>
        <w:autoSpaceDE w:val="0"/>
        <w:autoSpaceDN w:val="0"/>
        <w:adjustRightInd w:val="0"/>
        <w:spacing w:before="0" w:beforeAutospacing="0" w:after="0" w:afterAutospacing="0" w:line="360" w:lineRule="auto"/>
        <w:ind w:left="0" w:right="-99" w:rightChars="-47"/>
        <w:jc w:val="right"/>
        <w:rPr>
          <w:rFonts w:hint="eastAsia" w:ascii="仿宋" w:hAnsi="仿宋" w:eastAsia="仿宋" w:cs="仿宋"/>
          <w:bCs/>
          <w:caps/>
          <w:sz w:val="28"/>
          <w:szCs w:val="28"/>
          <w:lang w:val="en-US" w:eastAsia="zh-CN"/>
        </w:rPr>
      </w:pPr>
    </w:p>
    <w:p w14:paraId="2EFB8465">
      <w:pPr>
        <w:keepNext w:val="0"/>
        <w:keepLines w:val="0"/>
        <w:suppressLineNumbers w:val="0"/>
        <w:tabs>
          <w:tab w:val="right" w:leader="dot" w:pos="9022"/>
        </w:tabs>
        <w:autoSpaceDE w:val="0"/>
        <w:autoSpaceDN w:val="0"/>
        <w:adjustRightInd w:val="0"/>
        <w:spacing w:before="0" w:beforeAutospacing="0" w:after="0" w:afterAutospacing="0" w:line="360" w:lineRule="auto"/>
        <w:ind w:left="0" w:right="-99" w:rightChars="-47"/>
        <w:jc w:val="right"/>
        <w:rPr>
          <w:rFonts w:hint="eastAsia" w:ascii="仿宋" w:hAnsi="仿宋" w:eastAsia="仿宋" w:cs="仿宋"/>
          <w:bCs/>
          <w:caps/>
          <w:sz w:val="28"/>
          <w:szCs w:val="28"/>
          <w:lang w:val="en-US" w:eastAsia="zh-CN"/>
        </w:rPr>
      </w:pPr>
      <w:r>
        <w:rPr>
          <w:rFonts w:hint="eastAsia" w:ascii="仿宋" w:hAnsi="仿宋" w:eastAsia="仿宋" w:cs="仿宋"/>
          <w:bCs/>
          <w:caps/>
          <w:sz w:val="28"/>
          <w:szCs w:val="28"/>
          <w:lang w:val="en-US" w:eastAsia="zh-CN"/>
        </w:rPr>
        <w:t>(投标人公章)</w:t>
      </w:r>
    </w:p>
    <w:p w14:paraId="31270034">
      <w:pPr>
        <w:keepNext w:val="0"/>
        <w:keepLines w:val="0"/>
        <w:suppressLineNumbers w:val="0"/>
        <w:tabs>
          <w:tab w:val="right" w:leader="dot" w:pos="9022"/>
        </w:tabs>
        <w:wordWrap w:val="0"/>
        <w:autoSpaceDE w:val="0"/>
        <w:autoSpaceDN w:val="0"/>
        <w:adjustRightInd w:val="0"/>
        <w:spacing w:before="0" w:beforeAutospacing="0" w:after="0" w:afterAutospacing="0" w:line="360" w:lineRule="auto"/>
        <w:ind w:left="0" w:right="-99" w:rightChars="-47"/>
        <w:jc w:val="right"/>
        <w:rPr>
          <w:rFonts w:hint="default" w:ascii="仿宋" w:hAnsi="仿宋" w:eastAsia="仿宋" w:cs="仿宋"/>
          <w:bCs/>
          <w:caps/>
          <w:sz w:val="28"/>
          <w:szCs w:val="28"/>
          <w:lang w:val="en-US" w:eastAsia="zh-CN"/>
        </w:rPr>
      </w:pPr>
      <w:r>
        <w:rPr>
          <w:rFonts w:hint="eastAsia" w:ascii="仿宋" w:hAnsi="仿宋" w:eastAsia="仿宋" w:cs="仿宋"/>
          <w:bCs/>
          <w:caps/>
          <w:sz w:val="28"/>
          <w:szCs w:val="28"/>
          <w:lang w:val="en-US" w:eastAsia="zh-CN"/>
        </w:rPr>
        <w:t>日期:  年  月  日</w:t>
      </w:r>
    </w:p>
    <w:p w14:paraId="41E471BE">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right"/>
        <w:rPr>
          <w:rFonts w:hint="eastAsia" w:ascii="仿宋" w:hAnsi="仿宋" w:eastAsia="仿宋" w:cs="仿宋"/>
          <w:bCs/>
          <w:caps/>
          <w:sz w:val="28"/>
          <w:szCs w:val="28"/>
          <w:lang w:val="en-US" w:eastAsia="zh-CN"/>
        </w:rPr>
      </w:pPr>
      <w:r>
        <w:rPr>
          <w:rFonts w:hint="eastAsia" w:ascii="仿宋" w:hAnsi="仿宋" w:eastAsia="仿宋" w:cs="仿宋"/>
          <w:bCs/>
          <w:caps/>
          <w:sz w:val="28"/>
          <w:szCs w:val="28"/>
          <w:lang w:val="en-US" w:eastAsia="zh-CN"/>
        </w:rPr>
        <w:br w:type="page"/>
      </w:r>
    </w:p>
    <w:p w14:paraId="6000FD64">
      <w:pPr>
        <w:bidi w:val="0"/>
        <w:jc w:val="both"/>
        <w:rPr>
          <w:rFonts w:hint="eastAsia" w:ascii="仿宋" w:hAnsi="仿宋" w:eastAsia="仿宋" w:cs="仿宋"/>
          <w:b/>
          <w:kern w:val="2"/>
          <w:sz w:val="28"/>
          <w:szCs w:val="18"/>
          <w:lang w:val="en-US" w:eastAsia="zh-CN" w:bidi="ar-SA"/>
        </w:rPr>
      </w:pPr>
      <w:r>
        <w:rPr>
          <w:rFonts w:hint="eastAsia" w:ascii="仿宋" w:hAnsi="仿宋" w:eastAsia="仿宋" w:cs="仿宋"/>
          <w:b/>
          <w:kern w:val="2"/>
          <w:sz w:val="28"/>
          <w:szCs w:val="18"/>
          <w:lang w:val="en-US" w:eastAsia="zh-CN" w:bidi="ar-SA"/>
        </w:rPr>
        <w:t>4-4、其他承诺或说明。</w:t>
      </w:r>
    </w:p>
    <w:p w14:paraId="6DC6B8B4">
      <w:pPr>
        <w:bidi w:val="0"/>
        <w:jc w:val="center"/>
        <w:rPr>
          <w:rFonts w:hint="eastAsia" w:ascii="仿宋" w:hAnsi="仿宋" w:eastAsia="仿宋" w:cs="仿宋"/>
          <w:b/>
          <w:bCs/>
          <w:kern w:val="2"/>
          <w:sz w:val="36"/>
          <w:szCs w:val="36"/>
          <w:lang w:val="en-US" w:eastAsia="zh-CN" w:bidi="ar-SA"/>
        </w:rPr>
      </w:pPr>
    </w:p>
    <w:p w14:paraId="3605E08B">
      <w:pPr>
        <w:bidi w:val="0"/>
        <w:jc w:val="center"/>
        <w:rPr>
          <w:rFonts w:hint="eastAsia" w:ascii="仿宋" w:hAnsi="仿宋" w:eastAsia="仿宋" w:cs="仿宋"/>
          <w:lang w:val="en-US" w:eastAsia="zh-CN"/>
        </w:rPr>
      </w:pPr>
      <w:r>
        <w:rPr>
          <w:rFonts w:hint="eastAsia" w:ascii="仿宋" w:hAnsi="仿宋" w:eastAsia="仿宋" w:cs="仿宋"/>
          <w:b/>
          <w:bCs/>
          <w:kern w:val="2"/>
          <w:sz w:val="36"/>
          <w:szCs w:val="36"/>
          <w:lang w:val="en-US" w:eastAsia="zh-CN" w:bidi="ar-SA"/>
        </w:rPr>
        <w:t>中小企业声明函（服务）</w:t>
      </w:r>
    </w:p>
    <w:p w14:paraId="11E22674">
      <w:pPr>
        <w:rPr>
          <w:rFonts w:hint="eastAsia" w:ascii="仿宋" w:hAnsi="仿宋" w:eastAsia="仿宋" w:cs="仿宋"/>
          <w:b w:val="0"/>
          <w:kern w:val="2"/>
          <w:sz w:val="22"/>
          <w:szCs w:val="22"/>
          <w:lang w:val="en-US" w:eastAsia="zh-CN" w:bidi="ar-SA"/>
        </w:rPr>
      </w:pPr>
    </w:p>
    <w:p w14:paraId="72B99A70">
      <w:pPr>
        <w:spacing w:line="588" w:lineRule="exact"/>
        <w:ind w:firstLine="440" w:firstLineChars="200"/>
        <w:rPr>
          <w:rFonts w:hint="eastAsia" w:ascii="仿宋" w:hAnsi="仿宋" w:eastAsia="仿宋" w:cs="仿宋"/>
          <w:b w:val="0"/>
          <w:kern w:val="2"/>
          <w:sz w:val="22"/>
          <w:szCs w:val="22"/>
          <w:lang w:val="en-US" w:eastAsia="zh-CN" w:bidi="ar-SA"/>
        </w:rPr>
      </w:pPr>
      <w:r>
        <w:rPr>
          <w:rFonts w:hint="eastAsia" w:ascii="仿宋" w:hAnsi="仿宋" w:eastAsia="仿宋" w:cs="仿宋"/>
          <w:b w:val="0"/>
          <w:kern w:val="2"/>
          <w:sz w:val="22"/>
          <w:szCs w:val="22"/>
          <w:lang w:val="en-US" w:eastAsia="zh-CN" w:bidi="ar-SA"/>
        </w:rPr>
        <w:t>本公司（联合体）郑重声明，根据《政府采购促进中小企业发展管理办法》（财库﹝2020﹞46 号）的规定，本公司（联合体）参加</w:t>
      </w:r>
      <w:r>
        <w:rPr>
          <w:rFonts w:hint="eastAsia" w:ascii="仿宋" w:hAnsi="仿宋" w:eastAsia="仿宋" w:cs="仿宋"/>
          <w:b w:val="0"/>
          <w:kern w:val="2"/>
          <w:sz w:val="22"/>
          <w:szCs w:val="22"/>
          <w:u w:val="single"/>
          <w:lang w:val="en-US" w:eastAsia="zh-CN" w:bidi="ar-SA"/>
        </w:rPr>
        <w:t>（单位名称）</w:t>
      </w:r>
      <w:r>
        <w:rPr>
          <w:rFonts w:hint="eastAsia" w:ascii="仿宋" w:hAnsi="仿宋" w:eastAsia="仿宋" w:cs="仿宋"/>
          <w:b w:val="0"/>
          <w:kern w:val="2"/>
          <w:sz w:val="22"/>
          <w:szCs w:val="22"/>
          <w:lang w:val="en-US" w:eastAsia="zh-CN" w:bidi="ar-SA"/>
        </w:rPr>
        <w:t>的</w:t>
      </w:r>
      <w:r>
        <w:rPr>
          <w:rFonts w:hint="eastAsia" w:ascii="仿宋" w:hAnsi="仿宋" w:eastAsia="仿宋" w:cs="仿宋"/>
          <w:b w:val="0"/>
          <w:kern w:val="2"/>
          <w:sz w:val="22"/>
          <w:szCs w:val="22"/>
          <w:u w:val="single"/>
          <w:lang w:val="en-US" w:eastAsia="zh-CN" w:bidi="ar-SA"/>
        </w:rPr>
        <w:t>（项目名称）</w:t>
      </w:r>
      <w:r>
        <w:rPr>
          <w:rFonts w:hint="eastAsia" w:ascii="仿宋" w:hAnsi="仿宋" w:eastAsia="仿宋" w:cs="仿宋"/>
          <w:b w:val="0"/>
          <w:kern w:val="2"/>
          <w:sz w:val="22"/>
          <w:szCs w:val="22"/>
          <w:lang w:val="en-US" w:eastAsia="zh-CN" w:bidi="ar-SA"/>
        </w:rPr>
        <w:t>采购活动，服务全部由符合政策要求的中小企业承接。相关企业（含联合体中的中小企业、签订分包意向协议的中小企业）的具体情况如下：</w:t>
      </w:r>
    </w:p>
    <w:p w14:paraId="3B7DC9C2">
      <w:pPr>
        <w:spacing w:line="588" w:lineRule="exact"/>
        <w:ind w:firstLine="440" w:firstLineChars="200"/>
        <w:rPr>
          <w:rFonts w:hint="eastAsia" w:ascii="仿宋" w:hAnsi="仿宋" w:eastAsia="仿宋" w:cs="仿宋"/>
          <w:b w:val="0"/>
          <w:kern w:val="2"/>
          <w:sz w:val="22"/>
          <w:szCs w:val="22"/>
          <w:lang w:val="en-US" w:eastAsia="zh-CN" w:bidi="ar-SA"/>
        </w:rPr>
      </w:pPr>
      <w:r>
        <w:rPr>
          <w:rFonts w:hint="eastAsia" w:ascii="仿宋" w:hAnsi="仿宋" w:eastAsia="仿宋" w:cs="仿宋"/>
          <w:b w:val="0"/>
          <w:kern w:val="2"/>
          <w:sz w:val="22"/>
          <w:szCs w:val="22"/>
          <w:lang w:val="en-US" w:eastAsia="zh-CN" w:bidi="ar-SA"/>
        </w:rPr>
        <w:t>1、</w:t>
      </w:r>
      <w:r>
        <w:rPr>
          <w:rFonts w:hint="eastAsia" w:ascii="仿宋" w:hAnsi="仿宋" w:eastAsia="仿宋" w:cs="仿宋"/>
          <w:b w:val="0"/>
          <w:kern w:val="2"/>
          <w:sz w:val="22"/>
          <w:szCs w:val="22"/>
          <w:u w:val="single"/>
          <w:lang w:val="en-US" w:eastAsia="zh-CN" w:bidi="ar-SA"/>
        </w:rPr>
        <w:t>（</w:t>
      </w:r>
      <w:r>
        <w:rPr>
          <w:rFonts w:hint="eastAsia" w:ascii="仿宋" w:hAnsi="仿宋" w:eastAsia="仿宋" w:cs="仿宋"/>
          <w:b w:val="0"/>
          <w:bCs w:val="0"/>
          <w:sz w:val="24"/>
          <w:szCs w:val="24"/>
          <w:u w:val="single"/>
          <w:lang w:val="en-US" w:eastAsia="zh-CN"/>
        </w:rPr>
        <w:t>勉县森林草原湿地荒漠化普查工作</w:t>
      </w:r>
      <w:r>
        <w:rPr>
          <w:rFonts w:hint="eastAsia" w:ascii="仿宋" w:hAnsi="仿宋" w:eastAsia="仿宋" w:cs="仿宋"/>
          <w:b w:val="0"/>
          <w:kern w:val="2"/>
          <w:sz w:val="22"/>
          <w:szCs w:val="22"/>
          <w:u w:val="single"/>
          <w:lang w:val="en-US" w:eastAsia="zh-CN" w:bidi="ar-SA"/>
        </w:rPr>
        <w:t>）</w:t>
      </w:r>
      <w:r>
        <w:rPr>
          <w:rFonts w:hint="eastAsia" w:ascii="仿宋" w:hAnsi="仿宋" w:eastAsia="仿宋" w:cs="仿宋"/>
          <w:b w:val="0"/>
          <w:kern w:val="2"/>
          <w:sz w:val="22"/>
          <w:szCs w:val="22"/>
          <w:lang w:val="en-US" w:eastAsia="zh-CN" w:bidi="ar-SA"/>
        </w:rPr>
        <w:t>，属于</w:t>
      </w:r>
      <w:r>
        <w:rPr>
          <w:rFonts w:hint="eastAsia" w:ascii="仿宋" w:hAnsi="仿宋" w:eastAsia="仿宋" w:cs="仿宋"/>
          <w:b w:val="0"/>
          <w:kern w:val="2"/>
          <w:sz w:val="22"/>
          <w:szCs w:val="22"/>
          <w:u w:val="single"/>
          <w:lang w:val="en-US" w:eastAsia="zh-CN" w:bidi="ar-SA"/>
        </w:rPr>
        <w:t>（其他未列明行业）</w:t>
      </w:r>
      <w:r>
        <w:rPr>
          <w:rFonts w:hint="eastAsia" w:ascii="仿宋" w:hAnsi="仿宋" w:eastAsia="仿宋" w:cs="仿宋"/>
          <w:b w:val="0"/>
          <w:kern w:val="2"/>
          <w:sz w:val="22"/>
          <w:szCs w:val="22"/>
          <w:lang w:val="en-US" w:eastAsia="zh-CN" w:bidi="ar-SA"/>
        </w:rPr>
        <w:t>；</w:t>
      </w:r>
    </w:p>
    <w:p w14:paraId="435AC365">
      <w:pPr>
        <w:spacing w:line="588" w:lineRule="exact"/>
        <w:ind w:firstLine="440" w:firstLineChars="200"/>
        <w:rPr>
          <w:rFonts w:hint="eastAsia" w:ascii="仿宋" w:hAnsi="仿宋" w:eastAsia="仿宋" w:cs="仿宋"/>
          <w:b w:val="0"/>
          <w:kern w:val="2"/>
          <w:sz w:val="22"/>
          <w:szCs w:val="22"/>
          <w:lang w:val="en-US" w:eastAsia="zh-CN" w:bidi="ar-SA"/>
        </w:rPr>
      </w:pPr>
      <w:r>
        <w:rPr>
          <w:rFonts w:hint="eastAsia" w:ascii="仿宋" w:hAnsi="仿宋" w:eastAsia="仿宋" w:cs="仿宋"/>
          <w:b w:val="0"/>
          <w:kern w:val="2"/>
          <w:sz w:val="22"/>
          <w:szCs w:val="22"/>
          <w:lang w:val="en-US" w:eastAsia="zh-CN" w:bidi="ar-SA"/>
        </w:rPr>
        <w:t>承建（承接）企业为</w:t>
      </w:r>
      <w:r>
        <w:rPr>
          <w:rFonts w:hint="eastAsia" w:ascii="仿宋" w:hAnsi="仿宋" w:eastAsia="仿宋" w:cs="仿宋"/>
          <w:b w:val="0"/>
          <w:kern w:val="2"/>
          <w:sz w:val="22"/>
          <w:szCs w:val="22"/>
          <w:u w:val="single"/>
          <w:lang w:val="en-US" w:eastAsia="zh-CN" w:bidi="ar-SA"/>
        </w:rPr>
        <w:t>（企业名称）</w:t>
      </w:r>
      <w:r>
        <w:rPr>
          <w:rFonts w:hint="eastAsia" w:ascii="仿宋" w:hAnsi="仿宋" w:eastAsia="仿宋" w:cs="仿宋"/>
          <w:b w:val="0"/>
          <w:kern w:val="2"/>
          <w:sz w:val="22"/>
          <w:szCs w:val="22"/>
          <w:lang w:val="en-US" w:eastAsia="zh-CN" w:bidi="ar-SA"/>
        </w:rPr>
        <w:t>，从业人员</w:t>
      </w:r>
      <w:r>
        <w:rPr>
          <w:rFonts w:hint="eastAsia" w:ascii="仿宋" w:hAnsi="仿宋" w:eastAsia="仿宋" w:cs="仿宋"/>
          <w:b w:val="0"/>
          <w:kern w:val="2"/>
          <w:sz w:val="22"/>
          <w:szCs w:val="22"/>
          <w:u w:val="single"/>
          <w:lang w:val="en-US" w:eastAsia="zh-CN" w:bidi="ar-SA"/>
        </w:rPr>
        <w:t xml:space="preserve">      </w:t>
      </w:r>
      <w:r>
        <w:rPr>
          <w:rFonts w:hint="eastAsia" w:ascii="仿宋" w:hAnsi="仿宋" w:eastAsia="仿宋" w:cs="仿宋"/>
          <w:b w:val="0"/>
          <w:kern w:val="2"/>
          <w:sz w:val="22"/>
          <w:szCs w:val="22"/>
          <w:u w:val="single"/>
          <w:lang w:val="en-US" w:eastAsia="zh-CN" w:bidi="ar-SA"/>
        </w:rPr>
        <w:tab/>
      </w:r>
      <w:r>
        <w:rPr>
          <w:rFonts w:hint="eastAsia" w:ascii="仿宋" w:hAnsi="仿宋" w:eastAsia="仿宋" w:cs="仿宋"/>
          <w:b w:val="0"/>
          <w:kern w:val="2"/>
          <w:sz w:val="22"/>
          <w:szCs w:val="22"/>
          <w:lang w:val="en-US" w:eastAsia="zh-CN" w:bidi="ar-SA"/>
        </w:rPr>
        <w:t>人，营业收入为</w:t>
      </w:r>
      <w:r>
        <w:rPr>
          <w:rFonts w:hint="eastAsia" w:ascii="仿宋" w:hAnsi="仿宋" w:eastAsia="仿宋" w:cs="仿宋"/>
          <w:b w:val="0"/>
          <w:kern w:val="2"/>
          <w:sz w:val="22"/>
          <w:szCs w:val="22"/>
          <w:u w:val="single"/>
          <w:lang w:val="en-US" w:eastAsia="zh-CN" w:bidi="ar-SA"/>
        </w:rPr>
        <w:t xml:space="preserve"> </w:t>
      </w:r>
      <w:r>
        <w:rPr>
          <w:rFonts w:hint="eastAsia" w:ascii="仿宋" w:hAnsi="仿宋" w:eastAsia="仿宋" w:cs="仿宋"/>
          <w:b w:val="0"/>
          <w:kern w:val="2"/>
          <w:sz w:val="22"/>
          <w:szCs w:val="22"/>
          <w:u w:val="single"/>
          <w:lang w:val="en-US" w:eastAsia="zh-CN" w:bidi="ar-SA"/>
        </w:rPr>
        <w:tab/>
      </w:r>
      <w:r>
        <w:rPr>
          <w:rFonts w:hint="eastAsia" w:ascii="仿宋" w:hAnsi="仿宋" w:eastAsia="仿宋" w:cs="仿宋"/>
          <w:b w:val="0"/>
          <w:kern w:val="2"/>
          <w:sz w:val="22"/>
          <w:szCs w:val="22"/>
          <w:u w:val="single"/>
          <w:lang w:val="en-US" w:eastAsia="zh-CN" w:bidi="ar-SA"/>
        </w:rPr>
        <w:t xml:space="preserve">   </w:t>
      </w:r>
      <w:r>
        <w:rPr>
          <w:rFonts w:hint="eastAsia" w:ascii="仿宋" w:hAnsi="仿宋" w:eastAsia="仿宋" w:cs="仿宋"/>
          <w:b w:val="0"/>
          <w:kern w:val="2"/>
          <w:sz w:val="22"/>
          <w:szCs w:val="22"/>
          <w:lang w:val="en-US" w:eastAsia="zh-CN" w:bidi="ar-SA"/>
        </w:rPr>
        <w:t>万元，资产总额为</w:t>
      </w:r>
      <w:r>
        <w:rPr>
          <w:rFonts w:hint="eastAsia" w:ascii="仿宋" w:hAnsi="仿宋" w:eastAsia="仿宋" w:cs="仿宋"/>
          <w:b w:val="0"/>
          <w:kern w:val="2"/>
          <w:sz w:val="22"/>
          <w:szCs w:val="22"/>
          <w:u w:val="single"/>
          <w:lang w:val="en-US" w:eastAsia="zh-CN" w:bidi="ar-SA"/>
        </w:rPr>
        <w:t xml:space="preserve"> </w:t>
      </w:r>
      <w:r>
        <w:rPr>
          <w:rFonts w:hint="eastAsia" w:ascii="仿宋" w:hAnsi="仿宋" w:eastAsia="仿宋" w:cs="仿宋"/>
          <w:b w:val="0"/>
          <w:kern w:val="2"/>
          <w:sz w:val="22"/>
          <w:szCs w:val="22"/>
          <w:u w:val="single"/>
          <w:lang w:val="en-US" w:eastAsia="zh-CN" w:bidi="ar-SA"/>
        </w:rPr>
        <w:tab/>
      </w:r>
      <w:r>
        <w:rPr>
          <w:rFonts w:hint="eastAsia" w:ascii="仿宋" w:hAnsi="仿宋" w:eastAsia="仿宋" w:cs="仿宋"/>
          <w:b w:val="0"/>
          <w:kern w:val="2"/>
          <w:sz w:val="22"/>
          <w:szCs w:val="22"/>
          <w:u w:val="single"/>
          <w:lang w:val="en-US" w:eastAsia="zh-CN" w:bidi="ar-SA"/>
        </w:rPr>
        <w:t xml:space="preserve">    </w:t>
      </w:r>
      <w:r>
        <w:rPr>
          <w:rFonts w:hint="eastAsia" w:ascii="仿宋" w:hAnsi="仿宋" w:eastAsia="仿宋" w:cs="仿宋"/>
          <w:b w:val="0"/>
          <w:kern w:val="2"/>
          <w:sz w:val="22"/>
          <w:szCs w:val="22"/>
          <w:lang w:val="en-US" w:eastAsia="zh-CN" w:bidi="ar-SA"/>
        </w:rPr>
        <w:t>万元，属于</w:t>
      </w:r>
      <w:r>
        <w:rPr>
          <w:rFonts w:hint="eastAsia" w:ascii="仿宋" w:hAnsi="仿宋" w:eastAsia="仿宋" w:cs="仿宋"/>
          <w:b w:val="0"/>
          <w:kern w:val="2"/>
          <w:sz w:val="22"/>
          <w:szCs w:val="22"/>
          <w:u w:val="single"/>
          <w:lang w:val="en-US" w:eastAsia="zh-CN" w:bidi="ar-SA"/>
        </w:rPr>
        <w:t>（中型企业、小型企业、微型企业）</w:t>
      </w:r>
      <w:r>
        <w:rPr>
          <w:rFonts w:hint="eastAsia" w:ascii="仿宋" w:hAnsi="仿宋" w:eastAsia="仿宋" w:cs="仿宋"/>
          <w:b w:val="0"/>
          <w:kern w:val="2"/>
          <w:sz w:val="22"/>
          <w:szCs w:val="22"/>
          <w:lang w:val="en-US" w:eastAsia="zh-CN" w:bidi="ar-SA"/>
        </w:rPr>
        <w:t>；</w:t>
      </w:r>
    </w:p>
    <w:p w14:paraId="00D0B8AC">
      <w:pPr>
        <w:spacing w:line="588" w:lineRule="exact"/>
        <w:ind w:firstLine="440" w:firstLineChars="200"/>
        <w:rPr>
          <w:rFonts w:hint="eastAsia" w:ascii="仿宋" w:hAnsi="仿宋" w:eastAsia="仿宋" w:cs="仿宋"/>
          <w:b w:val="0"/>
          <w:kern w:val="2"/>
          <w:sz w:val="22"/>
          <w:szCs w:val="22"/>
          <w:lang w:val="en-US" w:eastAsia="zh-CN" w:bidi="ar-SA"/>
        </w:rPr>
      </w:pPr>
      <w:r>
        <w:rPr>
          <w:rFonts w:hint="eastAsia" w:ascii="仿宋" w:hAnsi="仿宋" w:eastAsia="仿宋" w:cs="仿宋"/>
          <w:b w:val="0"/>
          <w:kern w:val="2"/>
          <w:sz w:val="22"/>
          <w:szCs w:val="22"/>
          <w:lang w:val="en-US" w:eastAsia="zh-CN" w:bidi="ar-SA"/>
        </w:rPr>
        <w:t>以上企业，不属于大企业的分支机构，不存在控股股东为大企业的情形，也不存在与大企业的负责人为同一人的情形。</w:t>
      </w:r>
    </w:p>
    <w:p w14:paraId="72176ACC">
      <w:pPr>
        <w:spacing w:line="588" w:lineRule="exact"/>
        <w:ind w:firstLine="440" w:firstLineChars="200"/>
        <w:rPr>
          <w:rFonts w:hint="eastAsia" w:ascii="仿宋" w:hAnsi="仿宋" w:eastAsia="仿宋" w:cs="仿宋"/>
          <w:b w:val="0"/>
          <w:kern w:val="2"/>
          <w:sz w:val="22"/>
          <w:szCs w:val="22"/>
          <w:lang w:val="en-US" w:eastAsia="zh-CN" w:bidi="ar-SA"/>
        </w:rPr>
      </w:pPr>
      <w:r>
        <w:rPr>
          <w:rFonts w:hint="eastAsia" w:ascii="仿宋" w:hAnsi="仿宋" w:eastAsia="仿宋" w:cs="仿宋"/>
          <w:b w:val="0"/>
          <w:kern w:val="2"/>
          <w:sz w:val="22"/>
          <w:szCs w:val="22"/>
          <w:lang w:val="en-US" w:eastAsia="zh-CN" w:bidi="ar-SA"/>
        </w:rPr>
        <w:t>本企业对上述声明内容的真实性负责。如有虚假，将依法承担相应责任。</w:t>
      </w:r>
    </w:p>
    <w:p w14:paraId="1F5A082F">
      <w:pPr>
        <w:spacing w:line="588" w:lineRule="exact"/>
        <w:ind w:firstLine="440" w:firstLineChars="200"/>
        <w:jc w:val="center"/>
        <w:rPr>
          <w:rFonts w:hint="eastAsia" w:ascii="仿宋" w:hAnsi="仿宋" w:eastAsia="仿宋" w:cs="仿宋"/>
          <w:b w:val="0"/>
          <w:kern w:val="2"/>
          <w:sz w:val="22"/>
          <w:szCs w:val="22"/>
          <w:lang w:val="en-US" w:eastAsia="zh-CN" w:bidi="ar-SA"/>
        </w:rPr>
      </w:pPr>
      <w:r>
        <w:rPr>
          <w:rFonts w:hint="eastAsia" w:ascii="仿宋" w:hAnsi="仿宋" w:eastAsia="仿宋" w:cs="仿宋"/>
          <w:b w:val="0"/>
          <w:kern w:val="2"/>
          <w:sz w:val="22"/>
          <w:szCs w:val="22"/>
          <w:lang w:val="en-US" w:eastAsia="zh-CN" w:bidi="ar-SA"/>
        </w:rPr>
        <w:t xml:space="preserve">   企业名称（盖章）：</w:t>
      </w:r>
    </w:p>
    <w:p w14:paraId="6B3DF806">
      <w:pPr>
        <w:spacing w:line="588" w:lineRule="exact"/>
        <w:ind w:firstLine="440" w:firstLineChars="200"/>
        <w:rPr>
          <w:rFonts w:hint="eastAsia" w:ascii="仿宋" w:hAnsi="仿宋" w:eastAsia="仿宋" w:cs="仿宋"/>
          <w:spacing w:val="6"/>
          <w:sz w:val="30"/>
          <w:szCs w:val="30"/>
        </w:rPr>
      </w:pPr>
      <w:r>
        <w:rPr>
          <w:rFonts w:hint="eastAsia" w:ascii="仿宋" w:hAnsi="仿宋" w:eastAsia="仿宋" w:cs="仿宋"/>
          <w:b w:val="0"/>
          <w:kern w:val="2"/>
          <w:sz w:val="22"/>
          <w:szCs w:val="22"/>
          <w:lang w:val="en-US" w:eastAsia="zh-CN" w:bidi="ar-SA"/>
        </w:rPr>
        <w:t xml:space="preserve">                            日期：</w:t>
      </w:r>
    </w:p>
    <w:p w14:paraId="2AEF9202">
      <w:pPr>
        <w:pStyle w:val="5"/>
        <w:spacing w:line="360" w:lineRule="auto"/>
        <w:ind w:firstLine="570"/>
        <w:rPr>
          <w:rFonts w:hint="eastAsia" w:ascii="仿宋" w:hAnsi="仿宋" w:eastAsia="仿宋" w:cs="仿宋"/>
          <w:b w:val="0"/>
          <w:kern w:val="2"/>
          <w:sz w:val="22"/>
          <w:szCs w:val="22"/>
          <w:lang w:val="en-US" w:eastAsia="zh-CN" w:bidi="ar-SA"/>
        </w:rPr>
      </w:pPr>
    </w:p>
    <w:p w14:paraId="3C326F12">
      <w:pPr>
        <w:pStyle w:val="5"/>
        <w:spacing w:line="360" w:lineRule="auto"/>
        <w:ind w:firstLine="570"/>
        <w:rPr>
          <w:rFonts w:hint="eastAsia" w:ascii="仿宋" w:hAnsi="仿宋" w:eastAsia="仿宋" w:cs="仿宋"/>
          <w:b w:val="0"/>
          <w:kern w:val="2"/>
          <w:sz w:val="22"/>
          <w:szCs w:val="22"/>
          <w:lang w:val="en-US" w:eastAsia="zh-CN" w:bidi="ar-SA"/>
        </w:rPr>
      </w:pPr>
      <w:r>
        <w:rPr>
          <w:rFonts w:hint="eastAsia" w:ascii="仿宋" w:hAnsi="仿宋" w:eastAsia="仿宋" w:cs="仿宋"/>
          <w:b w:val="0"/>
          <w:kern w:val="2"/>
          <w:sz w:val="22"/>
          <w:szCs w:val="22"/>
          <w:lang w:val="en-US" w:eastAsia="zh-CN" w:bidi="ar-SA"/>
        </w:rPr>
        <w:t>注：1、中小企业在参与本项目采购活动时，需按上述给定格式提供声明函。未提供或未按要求填报的，不享受中小企业扶持政策。</w:t>
      </w:r>
    </w:p>
    <w:p w14:paraId="31C333F5">
      <w:pPr>
        <w:pStyle w:val="5"/>
        <w:spacing w:line="360" w:lineRule="auto"/>
        <w:ind w:firstLine="570"/>
        <w:rPr>
          <w:rFonts w:hint="eastAsia" w:ascii="仿宋" w:hAnsi="仿宋" w:eastAsia="仿宋" w:cs="仿宋"/>
          <w:b w:val="0"/>
          <w:kern w:val="2"/>
          <w:sz w:val="22"/>
          <w:szCs w:val="22"/>
          <w:lang w:val="en-US" w:eastAsia="zh-CN" w:bidi="ar-SA"/>
        </w:rPr>
      </w:pPr>
      <w:r>
        <w:rPr>
          <w:rFonts w:hint="eastAsia" w:ascii="仿宋" w:hAnsi="仿宋" w:eastAsia="仿宋" w:cs="仿宋"/>
          <w:b w:val="0"/>
          <w:kern w:val="2"/>
          <w:sz w:val="22"/>
          <w:szCs w:val="22"/>
          <w:lang w:val="en-US" w:eastAsia="zh-CN" w:bidi="ar-SA"/>
        </w:rPr>
        <w:t>2、接受联合体或者分包时，组成联合体或者接受分包的小微企业与联合体内其他企业、分包企业之间存在直接控股、管理关系的，不享受价格扣除优惠政策。</w:t>
      </w:r>
    </w:p>
    <w:p w14:paraId="4012E9E7">
      <w:pPr>
        <w:pStyle w:val="5"/>
        <w:spacing w:line="360" w:lineRule="auto"/>
        <w:ind w:firstLine="570"/>
        <w:rPr>
          <w:rFonts w:hint="eastAsia" w:ascii="仿宋" w:hAnsi="仿宋" w:eastAsia="仿宋" w:cs="仿宋"/>
          <w:b w:val="0"/>
          <w:kern w:val="2"/>
          <w:sz w:val="22"/>
          <w:szCs w:val="22"/>
          <w:lang w:val="en-US" w:eastAsia="zh-CN" w:bidi="ar-SA"/>
        </w:rPr>
      </w:pPr>
      <w:r>
        <w:rPr>
          <w:rFonts w:hint="eastAsia" w:ascii="仿宋" w:hAnsi="仿宋" w:eastAsia="仿宋" w:cs="仿宋"/>
          <w:b w:val="0"/>
          <w:kern w:val="2"/>
          <w:sz w:val="22"/>
          <w:szCs w:val="22"/>
          <w:lang w:val="en-US" w:eastAsia="zh-CN" w:bidi="ar-SA"/>
        </w:rPr>
        <w:t>3、声明函中“从业人员”、“营业收入”、“资产总额”填报上一年度数据，无上一年度数据的新成立企业可不填报。</w:t>
      </w:r>
    </w:p>
    <w:p w14:paraId="73B9F6E8">
      <w:pPr>
        <w:adjustRightInd w:val="0"/>
        <w:snapToGrid w:val="0"/>
        <w:spacing w:line="360" w:lineRule="exact"/>
        <w:ind w:firstLine="550" w:firstLineChars="250"/>
        <w:rPr>
          <w:rFonts w:hint="eastAsia" w:ascii="仿宋" w:hAnsi="仿宋" w:eastAsia="仿宋" w:cs="仿宋"/>
          <w:b w:val="0"/>
          <w:kern w:val="2"/>
          <w:sz w:val="22"/>
          <w:szCs w:val="22"/>
          <w:lang w:val="en-US" w:eastAsia="zh-CN" w:bidi="ar-SA"/>
        </w:rPr>
      </w:pPr>
      <w:r>
        <w:rPr>
          <w:rFonts w:hint="eastAsia" w:ascii="仿宋" w:hAnsi="仿宋" w:eastAsia="仿宋" w:cs="仿宋"/>
          <w:b w:val="0"/>
          <w:kern w:val="2"/>
          <w:sz w:val="22"/>
          <w:szCs w:val="22"/>
          <w:lang w:val="en-US" w:eastAsia="zh-CN" w:bidi="ar-SA"/>
        </w:rPr>
        <w:t>4、依据工业和信息化部、国家统计局、国家发展和改革委员会、财政部《关于印发中小企业划型标准规定的通知》（工信部联企业〔2011〕300号），本项目〈采购标的〉对应的中小企业划分标准所属行业为：其他未列明行业。</w:t>
      </w:r>
    </w:p>
    <w:p w14:paraId="15AC5506">
      <w:pPr>
        <w:adjustRightInd w:val="0"/>
        <w:snapToGrid w:val="0"/>
        <w:spacing w:line="360" w:lineRule="exact"/>
        <w:ind w:firstLine="525" w:firstLineChars="250"/>
        <w:rPr>
          <w:rFonts w:hint="eastAsia" w:ascii="仿宋" w:hAnsi="仿宋" w:eastAsia="仿宋" w:cs="仿宋"/>
          <w:bCs/>
          <w:color w:val="auto"/>
          <w:szCs w:val="21"/>
          <w:highlight w:val="none"/>
        </w:rPr>
      </w:pPr>
    </w:p>
    <w:p w14:paraId="1807CA5A">
      <w:pPr>
        <w:tabs>
          <w:tab w:val="left" w:pos="6818"/>
        </w:tabs>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p>
    <w:p w14:paraId="23DBB1B1">
      <w:pPr>
        <w:spacing w:line="588" w:lineRule="exact"/>
        <w:jc w:val="center"/>
        <w:rPr>
          <w:rFonts w:hint="eastAsia" w:ascii="仿宋" w:hAnsi="仿宋" w:eastAsia="仿宋" w:cs="仿宋"/>
          <w:b/>
          <w:color w:val="auto"/>
          <w:spacing w:val="6"/>
          <w:sz w:val="36"/>
          <w:szCs w:val="36"/>
          <w:highlight w:val="none"/>
        </w:rPr>
      </w:pPr>
      <w:r>
        <w:rPr>
          <w:rFonts w:hint="eastAsia" w:ascii="仿宋" w:hAnsi="仿宋" w:eastAsia="仿宋" w:cs="仿宋"/>
          <w:b/>
          <w:color w:val="auto"/>
          <w:spacing w:val="6"/>
          <w:sz w:val="36"/>
          <w:szCs w:val="36"/>
          <w:highlight w:val="none"/>
        </w:rPr>
        <w:t>残疾人福利性单位声明函</w:t>
      </w:r>
    </w:p>
    <w:p w14:paraId="3B1A5038">
      <w:pPr>
        <w:spacing w:line="588" w:lineRule="exact"/>
        <w:rPr>
          <w:rFonts w:hint="eastAsia" w:ascii="仿宋" w:hAnsi="仿宋" w:eastAsia="仿宋" w:cs="仿宋"/>
          <w:b/>
          <w:color w:val="auto"/>
          <w:spacing w:val="6"/>
          <w:sz w:val="30"/>
          <w:szCs w:val="30"/>
          <w:highlight w:val="none"/>
        </w:rPr>
      </w:pPr>
    </w:p>
    <w:p w14:paraId="6997B4F1">
      <w:pPr>
        <w:spacing w:line="360" w:lineRule="auto"/>
        <w:ind w:firstLine="444"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本单位郑重声明，根据《财政部 民政部 中国残疾人联合会关于促进残疾人就业政府采购政策的通知》（财库</w:t>
      </w:r>
      <w:r>
        <w:rPr>
          <w:rFonts w:hint="eastAsia" w:ascii="仿宋" w:hAnsi="仿宋" w:eastAsia="仿宋" w:cs="仿宋"/>
          <w:color w:val="auto"/>
          <w:szCs w:val="21"/>
          <w:highlight w:val="none"/>
        </w:rPr>
        <w:t>〔2017〕 141</w:t>
      </w:r>
      <w:r>
        <w:rPr>
          <w:rFonts w:hint="eastAsia" w:ascii="仿宋" w:hAnsi="仿宋" w:eastAsia="仿宋" w:cs="仿宋"/>
          <w:color w:val="auto"/>
          <w:spacing w:val="6"/>
          <w:szCs w:val="21"/>
          <w:highlight w:val="none"/>
        </w:rPr>
        <w:t>号）的规定，本单位为符合条件的残疾人福利性单位，且本单位参加</w:t>
      </w:r>
      <w:r>
        <w:rPr>
          <w:rFonts w:hint="eastAsia" w:ascii="仿宋" w:hAnsi="仿宋" w:eastAsia="仿宋" w:cs="仿宋"/>
          <w:color w:val="auto"/>
          <w:spacing w:val="6"/>
          <w:szCs w:val="21"/>
          <w:highlight w:val="none"/>
          <w:u w:val="single"/>
          <w:lang w:val="en-US" w:eastAsia="zh-CN"/>
        </w:rPr>
        <w:t xml:space="preserve">       </w:t>
      </w:r>
      <w:r>
        <w:rPr>
          <w:rFonts w:hint="eastAsia" w:ascii="仿宋" w:hAnsi="仿宋" w:eastAsia="仿宋" w:cs="仿宋"/>
          <w:color w:val="auto"/>
          <w:spacing w:val="6"/>
          <w:szCs w:val="21"/>
          <w:highlight w:val="none"/>
        </w:rPr>
        <w:t>项目采购活动提供本单位制造的货物（由本单位承担工程/提供服务），或者提供其他残疾人福利性单位制造的货物（不包括使用非残疾人福利性单位注册商标的货物）。</w:t>
      </w:r>
    </w:p>
    <w:p w14:paraId="4B836749">
      <w:pPr>
        <w:spacing w:line="360" w:lineRule="auto"/>
        <w:ind w:firstLine="444"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本单位对上述声明的真实性负责。如有虚假，将依法承担相应责任。</w:t>
      </w:r>
    </w:p>
    <w:p w14:paraId="40DF7F68">
      <w:pPr>
        <w:spacing w:line="360" w:lineRule="auto"/>
        <w:ind w:firstLine="444" w:firstLineChars="200"/>
        <w:rPr>
          <w:rFonts w:hint="eastAsia" w:ascii="仿宋" w:hAnsi="仿宋" w:eastAsia="仿宋" w:cs="仿宋"/>
          <w:color w:val="auto"/>
          <w:spacing w:val="6"/>
          <w:szCs w:val="21"/>
          <w:highlight w:val="none"/>
        </w:rPr>
      </w:pPr>
    </w:p>
    <w:p w14:paraId="59B825BD">
      <w:pPr>
        <w:spacing w:line="360" w:lineRule="auto"/>
        <w:ind w:firstLine="444" w:firstLineChars="200"/>
        <w:rPr>
          <w:rFonts w:hint="eastAsia" w:ascii="仿宋" w:hAnsi="仿宋" w:eastAsia="仿宋" w:cs="仿宋"/>
          <w:color w:val="auto"/>
          <w:spacing w:val="6"/>
          <w:szCs w:val="21"/>
          <w:highlight w:val="none"/>
        </w:rPr>
      </w:pPr>
    </w:p>
    <w:p w14:paraId="4F8FDA75">
      <w:pPr>
        <w:tabs>
          <w:tab w:val="left" w:pos="4860"/>
        </w:tabs>
        <w:spacing w:line="360" w:lineRule="auto"/>
        <w:ind w:right="1560" w:firstLine="444" w:firstLineChars="200"/>
        <w:jc w:val="center"/>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 xml:space="preserve">                    单位名称：</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（盖单位章）</w:t>
      </w:r>
    </w:p>
    <w:p w14:paraId="65C3C53B">
      <w:pPr>
        <w:tabs>
          <w:tab w:val="left" w:pos="4860"/>
        </w:tabs>
        <w:spacing w:line="360" w:lineRule="auto"/>
        <w:ind w:right="1560" w:firstLine="444" w:firstLineChars="200"/>
        <w:jc w:val="center"/>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 xml:space="preserve"> </w:t>
      </w:r>
    </w:p>
    <w:p w14:paraId="780C6B5B">
      <w:pPr>
        <w:tabs>
          <w:tab w:val="left" w:pos="4860"/>
        </w:tabs>
        <w:spacing w:line="360" w:lineRule="auto"/>
        <w:ind w:right="1560" w:firstLine="444" w:firstLineChars="200"/>
        <w:jc w:val="center"/>
        <w:rPr>
          <w:rFonts w:hint="eastAsia" w:ascii="仿宋" w:hAnsi="仿宋" w:eastAsia="仿宋" w:cs="仿宋"/>
          <w:color w:val="auto"/>
          <w:szCs w:val="21"/>
          <w:highlight w:val="none"/>
        </w:rPr>
      </w:pPr>
      <w:r>
        <w:rPr>
          <w:rFonts w:hint="eastAsia" w:ascii="仿宋" w:hAnsi="仿宋" w:eastAsia="仿宋" w:cs="仿宋"/>
          <w:color w:val="auto"/>
          <w:spacing w:val="6"/>
          <w:szCs w:val="21"/>
          <w:highlight w:val="none"/>
        </w:rPr>
        <w:t xml:space="preserve">                   日     期：    年   月  日</w:t>
      </w:r>
    </w:p>
    <w:p w14:paraId="4A66C021">
      <w:pPr>
        <w:adjustRightInd w:val="0"/>
        <w:snapToGrid w:val="0"/>
        <w:spacing w:line="360" w:lineRule="auto"/>
        <w:rPr>
          <w:rFonts w:hint="eastAsia" w:ascii="仿宋" w:hAnsi="仿宋" w:eastAsia="仿宋" w:cs="仿宋"/>
          <w:b/>
          <w:color w:val="auto"/>
          <w:sz w:val="24"/>
          <w:highlight w:val="none"/>
        </w:rPr>
      </w:pPr>
    </w:p>
    <w:p w14:paraId="13AF7779">
      <w:pPr>
        <w:adjustRightInd w:val="0"/>
        <w:snapToGrid w:val="0"/>
        <w:spacing w:before="50" w:line="360" w:lineRule="auto"/>
        <w:jc w:val="center"/>
        <w:rPr>
          <w:rFonts w:hint="eastAsia" w:ascii="仿宋" w:hAnsi="仿宋" w:eastAsia="仿宋" w:cs="仿宋"/>
          <w:b/>
          <w:color w:val="auto"/>
          <w:sz w:val="36"/>
          <w:szCs w:val="36"/>
          <w:highlight w:val="none"/>
        </w:rPr>
      </w:pPr>
    </w:p>
    <w:p w14:paraId="6F0FEB63">
      <w:pPr>
        <w:adjustRightInd w:val="0"/>
        <w:snapToGrid w:val="0"/>
        <w:spacing w:before="50" w:line="360" w:lineRule="auto"/>
        <w:jc w:val="left"/>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（非</w:t>
      </w:r>
      <w:r>
        <w:rPr>
          <w:rFonts w:hint="eastAsia" w:ascii="仿宋" w:hAnsi="仿宋" w:eastAsia="仿宋" w:cs="仿宋"/>
          <w:b/>
          <w:color w:val="auto"/>
          <w:spacing w:val="6"/>
          <w:sz w:val="24"/>
          <w:szCs w:val="24"/>
          <w:highlight w:val="none"/>
        </w:rPr>
        <w:t>残疾人福利性单位</w:t>
      </w:r>
      <w:r>
        <w:rPr>
          <w:rFonts w:hint="eastAsia" w:ascii="仿宋" w:hAnsi="仿宋" w:eastAsia="仿宋" w:cs="仿宋"/>
          <w:b/>
          <w:color w:val="auto"/>
          <w:spacing w:val="6"/>
          <w:sz w:val="24"/>
          <w:szCs w:val="24"/>
          <w:highlight w:val="none"/>
          <w:lang w:eastAsia="zh-CN"/>
        </w:rPr>
        <w:t>可删除此项</w:t>
      </w:r>
      <w:r>
        <w:rPr>
          <w:rFonts w:hint="eastAsia" w:ascii="仿宋" w:hAnsi="仿宋" w:eastAsia="仿宋" w:cs="仿宋"/>
          <w:b/>
          <w:color w:val="auto"/>
          <w:sz w:val="24"/>
          <w:szCs w:val="24"/>
          <w:highlight w:val="none"/>
          <w:lang w:eastAsia="zh-CN"/>
        </w:rPr>
        <w:t>）</w:t>
      </w:r>
    </w:p>
    <w:p w14:paraId="16DF1125">
      <w:pPr>
        <w:adjustRightInd w:val="0"/>
        <w:snapToGrid w:val="0"/>
        <w:spacing w:before="50" w:line="360" w:lineRule="auto"/>
        <w:jc w:val="center"/>
        <w:rPr>
          <w:rFonts w:hint="eastAsia" w:ascii="仿宋" w:hAnsi="仿宋" w:eastAsia="仿宋" w:cs="仿宋"/>
          <w:b/>
          <w:color w:val="auto"/>
          <w:sz w:val="36"/>
          <w:szCs w:val="36"/>
          <w:highlight w:val="none"/>
        </w:rPr>
      </w:pPr>
    </w:p>
    <w:p w14:paraId="78C1C7F5">
      <w:pPr>
        <w:adjustRightInd w:val="0"/>
        <w:snapToGrid w:val="0"/>
        <w:spacing w:before="50" w:line="360" w:lineRule="auto"/>
        <w:jc w:val="center"/>
        <w:rPr>
          <w:rFonts w:hint="eastAsia" w:ascii="仿宋" w:hAnsi="仿宋" w:eastAsia="仿宋" w:cs="仿宋"/>
          <w:b/>
          <w:color w:val="auto"/>
          <w:sz w:val="36"/>
          <w:szCs w:val="36"/>
          <w:highlight w:val="none"/>
        </w:rPr>
      </w:pPr>
    </w:p>
    <w:p w14:paraId="79AD70FA">
      <w:pPr>
        <w:adjustRightInd w:val="0"/>
        <w:snapToGrid w:val="0"/>
        <w:spacing w:before="50" w:line="360" w:lineRule="auto"/>
        <w:rPr>
          <w:rFonts w:hint="eastAsia" w:ascii="仿宋" w:hAnsi="仿宋" w:eastAsia="仿宋" w:cs="仿宋"/>
          <w:b/>
          <w:color w:val="auto"/>
          <w:sz w:val="36"/>
          <w:szCs w:val="36"/>
          <w:highlight w:val="none"/>
        </w:rPr>
      </w:pPr>
    </w:p>
    <w:p w14:paraId="372FD663">
      <w:pPr>
        <w:adjustRightInd w:val="0"/>
        <w:snapToGrid w:val="0"/>
        <w:spacing w:line="360" w:lineRule="exact"/>
        <w:ind w:firstLine="525"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注：供应商应仔细阅读《财政部 民政部 中国残疾人联合会关于促进残疾人就业政府采购政策的通知》，并如实填写本表，符合条件的供应商未按上述要求提供、填写的，评审时不予以考虑。</w:t>
      </w:r>
      <w:r>
        <w:rPr>
          <w:rFonts w:hint="eastAsia" w:ascii="仿宋" w:hAnsi="仿宋" w:eastAsia="仿宋" w:cs="仿宋"/>
          <w:b/>
          <w:bCs/>
          <w:color w:val="auto"/>
          <w:szCs w:val="21"/>
          <w:highlight w:val="none"/>
        </w:rPr>
        <w:t>不符合条件的供应商无需填写。如果出现虚假应标，由此产生的后果由供应商自行负责。</w:t>
      </w:r>
    </w:p>
    <w:p w14:paraId="18299238">
      <w:pPr>
        <w:adjustRightInd w:val="0"/>
        <w:snapToGrid w:val="0"/>
        <w:spacing w:line="360" w:lineRule="exact"/>
        <w:ind w:firstLine="525" w:firstLineChars="250"/>
        <w:rPr>
          <w:rFonts w:hint="eastAsia" w:ascii="仿宋" w:hAnsi="仿宋" w:eastAsia="仿宋" w:cs="仿宋"/>
          <w:color w:val="auto"/>
          <w:szCs w:val="21"/>
          <w:highlight w:val="none"/>
        </w:rPr>
      </w:pPr>
    </w:p>
    <w:p w14:paraId="431AA4D3">
      <w:pPr>
        <w:spacing w:before="240" w:beforeLines="100" w:line="360" w:lineRule="auto"/>
        <w:ind w:firstLine="409" w:firstLineChars="195"/>
        <w:rPr>
          <w:rFonts w:hint="eastAsia" w:ascii="仿宋" w:hAnsi="仿宋" w:eastAsia="仿宋" w:cs="仿宋"/>
          <w:bCs/>
          <w:iCs/>
          <w:color w:val="auto"/>
          <w:highlight w:val="none"/>
        </w:rPr>
      </w:pPr>
    </w:p>
    <w:p w14:paraId="549BC7C9">
      <w:pPr>
        <w:spacing w:before="240" w:beforeLines="100" w:line="360" w:lineRule="auto"/>
        <w:ind w:firstLine="409" w:firstLineChars="195"/>
        <w:rPr>
          <w:rFonts w:hint="eastAsia" w:ascii="仿宋" w:hAnsi="仿宋" w:eastAsia="仿宋" w:cs="仿宋"/>
          <w:bCs/>
          <w:iCs/>
          <w:color w:val="auto"/>
          <w:highlight w:val="none"/>
        </w:rPr>
      </w:pPr>
    </w:p>
    <w:p w14:paraId="78D1765B">
      <w:pPr>
        <w:adjustRightInd w:val="0"/>
        <w:snapToGrid w:val="0"/>
        <w:spacing w:before="50" w:line="360" w:lineRule="auto"/>
        <w:jc w:val="center"/>
        <w:rPr>
          <w:rFonts w:hint="eastAsia" w:ascii="仿宋" w:hAnsi="仿宋" w:eastAsia="仿宋" w:cs="仿宋"/>
          <w:b/>
          <w:color w:val="auto"/>
          <w:sz w:val="36"/>
          <w:szCs w:val="36"/>
          <w:highlight w:val="none"/>
        </w:rPr>
      </w:pPr>
    </w:p>
    <w:p w14:paraId="351DBC97">
      <w:pPr>
        <w:adjustRightInd w:val="0"/>
        <w:snapToGrid w:val="0"/>
        <w:spacing w:before="50" w:line="360" w:lineRule="auto"/>
        <w:jc w:val="center"/>
        <w:rPr>
          <w:rFonts w:hint="eastAsia" w:ascii="仿宋" w:hAnsi="仿宋" w:eastAsia="仿宋" w:cs="仿宋"/>
          <w:b/>
          <w:color w:val="auto"/>
          <w:sz w:val="36"/>
          <w:szCs w:val="36"/>
          <w:highlight w:val="none"/>
        </w:rPr>
      </w:pPr>
    </w:p>
    <w:p w14:paraId="55C98408">
      <w:pPr>
        <w:adjustRightInd w:val="0"/>
        <w:snapToGrid w:val="0"/>
        <w:spacing w:before="50"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监狱企业证明文件</w:t>
      </w:r>
    </w:p>
    <w:p w14:paraId="4A98F9BF">
      <w:pPr>
        <w:adjustRightInd w:val="0"/>
        <w:snapToGrid w:val="0"/>
        <w:spacing w:before="50" w:line="360" w:lineRule="auto"/>
        <w:jc w:val="center"/>
        <w:rPr>
          <w:rFonts w:hint="eastAsia" w:ascii="仿宋" w:hAnsi="仿宋" w:eastAsia="仿宋" w:cs="仿宋"/>
          <w:b/>
          <w:color w:val="auto"/>
          <w:sz w:val="36"/>
          <w:szCs w:val="36"/>
          <w:highlight w:val="none"/>
        </w:rPr>
      </w:pPr>
    </w:p>
    <w:p w14:paraId="62B95319">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p w14:paraId="349F6CF2">
      <w:pPr>
        <w:adjustRightInd w:val="0"/>
        <w:snapToGrid w:val="0"/>
        <w:spacing w:line="360" w:lineRule="auto"/>
        <w:ind w:firstLine="525"/>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1.无格式要求，由出具监狱企业证明的单位自行拟定；</w:t>
      </w:r>
    </w:p>
    <w:p w14:paraId="2A537DAB">
      <w:pPr>
        <w:adjustRightInd w:val="0"/>
        <w:snapToGrid w:val="0"/>
        <w:spacing w:line="360" w:lineRule="auto"/>
        <w:ind w:firstLine="525"/>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2.供应商未提供的，评审时不视为中小企业。</w:t>
      </w:r>
    </w:p>
    <w:p w14:paraId="19AADFBD">
      <w:pPr>
        <w:adjustRightInd w:val="0"/>
        <w:snapToGrid w:val="0"/>
        <w:spacing w:line="360" w:lineRule="auto"/>
        <w:ind w:firstLine="525"/>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b/>
          <w:bCs/>
          <w:color w:val="auto"/>
          <w:szCs w:val="21"/>
          <w:highlight w:val="none"/>
        </w:rPr>
        <w:t>不符合条件的供应商无需填写。如果出现虚假应标，由此产生的后果由供应商自行负责。</w:t>
      </w:r>
    </w:p>
    <w:p w14:paraId="50AF39D7">
      <w:pPr>
        <w:adjustRightInd w:val="0"/>
        <w:snapToGrid w:val="0"/>
        <w:spacing w:before="50" w:line="360" w:lineRule="auto"/>
        <w:jc w:val="left"/>
        <w:rPr>
          <w:rFonts w:hint="eastAsia" w:ascii="仿宋" w:hAnsi="仿宋" w:eastAsia="仿宋" w:cs="仿宋"/>
          <w:color w:val="auto"/>
          <w:sz w:val="28"/>
          <w:szCs w:val="28"/>
          <w:highlight w:val="none"/>
        </w:rPr>
      </w:pPr>
    </w:p>
    <w:p w14:paraId="4F7716ED">
      <w:pPr>
        <w:adjustRightInd w:val="0"/>
        <w:snapToGrid w:val="0"/>
        <w:spacing w:before="50" w:line="360" w:lineRule="auto"/>
        <w:jc w:val="left"/>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（非</w:t>
      </w:r>
      <w:r>
        <w:rPr>
          <w:rFonts w:hint="eastAsia" w:ascii="仿宋" w:hAnsi="仿宋" w:eastAsia="仿宋" w:cs="仿宋"/>
          <w:b/>
          <w:color w:val="auto"/>
          <w:spacing w:val="6"/>
          <w:sz w:val="24"/>
          <w:szCs w:val="24"/>
          <w:highlight w:val="none"/>
          <w:lang w:eastAsia="zh-CN"/>
        </w:rPr>
        <w:t>监狱企业可删除此项</w:t>
      </w:r>
      <w:r>
        <w:rPr>
          <w:rFonts w:hint="eastAsia" w:ascii="仿宋" w:hAnsi="仿宋" w:eastAsia="仿宋" w:cs="仿宋"/>
          <w:b/>
          <w:color w:val="auto"/>
          <w:sz w:val="24"/>
          <w:szCs w:val="24"/>
          <w:highlight w:val="none"/>
          <w:lang w:eastAsia="zh-CN"/>
        </w:rPr>
        <w:t>）</w:t>
      </w:r>
    </w:p>
    <w:p w14:paraId="7EB0D544">
      <w:pPr>
        <w:adjustRightInd w:val="0"/>
        <w:snapToGrid w:val="0"/>
        <w:spacing w:before="50" w:line="360" w:lineRule="auto"/>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br w:type="page"/>
      </w:r>
    </w:p>
    <w:p w14:paraId="3961769C">
      <w:pPr>
        <w:jc w:val="center"/>
        <w:rPr>
          <w:rFonts w:hint="eastAsia" w:ascii="仿宋" w:hAnsi="仿宋" w:eastAsia="仿宋" w:cs="仿宋"/>
          <w:b/>
          <w:bCs/>
          <w:sz w:val="22"/>
          <w:szCs w:val="22"/>
          <w:lang w:val="zh-CN" w:eastAsia="zh-CN"/>
        </w:rPr>
      </w:pPr>
      <w:r>
        <w:rPr>
          <w:rFonts w:hint="eastAsia" w:ascii="仿宋" w:hAnsi="仿宋" w:eastAsia="仿宋" w:cs="仿宋"/>
          <w:b/>
          <w:bCs/>
          <w:kern w:val="0"/>
          <w:sz w:val="28"/>
          <w:szCs w:val="28"/>
          <w:lang w:val="zh-CN" w:eastAsia="zh-CN"/>
        </w:rPr>
        <w:t>供应商企业关系关联承诺书</w:t>
      </w:r>
    </w:p>
    <w:p w14:paraId="78D88FDC">
      <w:pPr>
        <w:pageBreakBefore w:val="0"/>
        <w:numPr>
          <w:ilvl w:val="0"/>
          <w:numId w:val="0"/>
        </w:numPr>
        <w:kinsoku/>
        <w:wordWrap/>
        <w:overflowPunct/>
        <w:topLinePunct w:val="0"/>
        <w:autoSpaceDE w:val="0"/>
        <w:autoSpaceDN w:val="0"/>
        <w:bidi w:val="0"/>
        <w:adjustRightInd w:val="0"/>
        <w:snapToGrid w:val="0"/>
        <w:spacing w:line="360" w:lineRule="auto"/>
        <w:ind w:firstLine="440" w:firstLineChars="200"/>
        <w:rPr>
          <w:rFonts w:hint="eastAsia" w:ascii="仿宋" w:hAnsi="仿宋" w:eastAsia="仿宋" w:cs="仿宋"/>
          <w:color w:val="auto"/>
          <w:sz w:val="22"/>
          <w:szCs w:val="22"/>
        </w:rPr>
      </w:pPr>
    </w:p>
    <w:p w14:paraId="21480121">
      <w:pPr>
        <w:pageBreakBefore w:val="0"/>
        <w:numPr>
          <w:ilvl w:val="0"/>
          <w:numId w:val="0"/>
        </w:numPr>
        <w:kinsoku/>
        <w:wordWrap/>
        <w:overflowPunct/>
        <w:topLinePunct w:val="0"/>
        <w:autoSpaceDE w:val="0"/>
        <w:autoSpaceDN w:val="0"/>
        <w:bidi w:val="0"/>
        <w:adjustRightInd w:val="0"/>
        <w:snapToGrid w:val="0"/>
        <w:spacing w:line="360" w:lineRule="auto"/>
        <w:ind w:firstLine="440" w:firstLineChars="200"/>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我公司在本项目投标中，不存在与其它供应商负责人为同一人，有控股、管理等关联关系</w:t>
      </w:r>
      <w:r>
        <w:rPr>
          <w:rFonts w:hint="eastAsia" w:ascii="仿宋" w:hAnsi="仿宋" w:eastAsia="仿宋" w:cs="仿宋"/>
          <w:color w:val="auto"/>
          <w:sz w:val="22"/>
          <w:szCs w:val="22"/>
          <w:lang w:eastAsia="zh-CN"/>
        </w:rPr>
        <w:t>：</w:t>
      </w:r>
    </w:p>
    <w:p w14:paraId="6004BA54">
      <w:pPr>
        <w:pageBreakBefore w:val="0"/>
        <w:kinsoku/>
        <w:wordWrap/>
        <w:overflowPunct/>
        <w:topLinePunct w:val="0"/>
        <w:bidi w:val="0"/>
        <w:snapToGrid w:val="0"/>
        <w:spacing w:line="360" w:lineRule="auto"/>
        <w:rPr>
          <w:rFonts w:hint="eastAsia" w:ascii="仿宋" w:hAnsi="仿宋" w:eastAsia="仿宋" w:cs="仿宋"/>
          <w:color w:val="auto"/>
          <w:sz w:val="22"/>
          <w:szCs w:val="22"/>
        </w:rPr>
      </w:pPr>
      <w:r>
        <w:rPr>
          <w:rFonts w:hint="eastAsia" w:ascii="仿宋" w:hAnsi="仿宋" w:eastAsia="仿宋" w:cs="仿宋"/>
          <w:color w:val="auto"/>
          <w:sz w:val="22"/>
          <w:szCs w:val="22"/>
        </w:rPr>
        <w:t>1、管理关系说明：</w:t>
      </w:r>
    </w:p>
    <w:p w14:paraId="2C6C038A">
      <w:pPr>
        <w:pageBreakBefore w:val="0"/>
        <w:kinsoku/>
        <w:wordWrap/>
        <w:overflowPunct/>
        <w:topLinePunct w:val="0"/>
        <w:bidi w:val="0"/>
        <w:snapToGrid w:val="0"/>
        <w:spacing w:line="360"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我单位管理的具有独立法人的下属单位有：</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w:t>
      </w:r>
    </w:p>
    <w:p w14:paraId="78FE9F21">
      <w:pPr>
        <w:pageBreakBefore w:val="0"/>
        <w:kinsoku/>
        <w:wordWrap/>
        <w:overflowPunct/>
        <w:topLinePunct w:val="0"/>
        <w:bidi w:val="0"/>
        <w:snapToGrid w:val="0"/>
        <w:spacing w:line="360"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我单位的上级管理单位有</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w:t>
      </w:r>
    </w:p>
    <w:p w14:paraId="298282B6">
      <w:pPr>
        <w:pageBreakBefore w:val="0"/>
        <w:kinsoku/>
        <w:wordWrap/>
        <w:overflowPunct/>
        <w:topLinePunct w:val="0"/>
        <w:bidi w:val="0"/>
        <w:snapToGrid w:val="0"/>
        <w:spacing w:line="360" w:lineRule="auto"/>
        <w:rPr>
          <w:rFonts w:hint="eastAsia" w:ascii="仿宋" w:hAnsi="仿宋" w:eastAsia="仿宋" w:cs="仿宋"/>
          <w:color w:val="auto"/>
          <w:sz w:val="22"/>
          <w:szCs w:val="22"/>
        </w:rPr>
      </w:pPr>
      <w:r>
        <w:rPr>
          <w:rFonts w:hint="eastAsia" w:ascii="仿宋" w:hAnsi="仿宋" w:eastAsia="仿宋" w:cs="仿宋"/>
          <w:color w:val="auto"/>
          <w:sz w:val="22"/>
          <w:szCs w:val="22"/>
        </w:rPr>
        <w:t>2、股权关系说明：</w:t>
      </w:r>
    </w:p>
    <w:p w14:paraId="4D936239">
      <w:pPr>
        <w:pageBreakBefore w:val="0"/>
        <w:kinsoku/>
        <w:wordWrap/>
        <w:overflowPunct/>
        <w:topLinePunct w:val="0"/>
        <w:bidi w:val="0"/>
        <w:snapToGrid w:val="0"/>
        <w:spacing w:line="360"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我单位控股的单位有</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w:t>
      </w:r>
    </w:p>
    <w:p w14:paraId="726D50DB">
      <w:pPr>
        <w:pageBreakBefore w:val="0"/>
        <w:kinsoku/>
        <w:wordWrap/>
        <w:overflowPunct/>
        <w:topLinePunct w:val="0"/>
        <w:bidi w:val="0"/>
        <w:snapToGrid w:val="0"/>
        <w:spacing w:line="360"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我单位被</w:t>
      </w:r>
      <w:r>
        <w:rPr>
          <w:rFonts w:hint="eastAsia" w:ascii="仿宋" w:hAnsi="仿宋" w:eastAsia="仿宋" w:cs="仿宋"/>
          <w:i/>
          <w:color w:val="auto"/>
          <w:sz w:val="22"/>
          <w:szCs w:val="22"/>
          <w:u w:val="single"/>
        </w:rPr>
        <w:t xml:space="preserve">             </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单位控股。</w:t>
      </w:r>
    </w:p>
    <w:p w14:paraId="210DF292">
      <w:pPr>
        <w:pageBreakBefore w:val="0"/>
        <w:kinsoku/>
        <w:wordWrap/>
        <w:overflowPunct/>
        <w:topLinePunct w:val="0"/>
        <w:autoSpaceDE w:val="0"/>
        <w:autoSpaceDN w:val="0"/>
        <w:bidi w:val="0"/>
        <w:adjustRightInd w:val="0"/>
        <w:snapToGrid w:val="0"/>
        <w:spacing w:line="360" w:lineRule="auto"/>
        <w:rPr>
          <w:rFonts w:hint="eastAsia" w:ascii="仿宋" w:hAnsi="仿宋" w:eastAsia="仿宋" w:cs="仿宋"/>
          <w:color w:val="auto"/>
          <w:sz w:val="22"/>
          <w:szCs w:val="22"/>
          <w:lang w:eastAsia="zh-CN"/>
        </w:rPr>
      </w:pPr>
      <w:r>
        <w:rPr>
          <w:rFonts w:hint="eastAsia" w:ascii="仿宋" w:hAnsi="仿宋" w:eastAsia="仿宋" w:cs="仿宋"/>
          <w:color w:val="auto"/>
          <w:sz w:val="22"/>
          <w:szCs w:val="22"/>
        </w:rPr>
        <w:t>3、单位负责人：</w:t>
      </w:r>
      <w:r>
        <w:rPr>
          <w:rFonts w:hint="eastAsia" w:ascii="仿宋" w:hAnsi="仿宋" w:eastAsia="仿宋" w:cs="仿宋"/>
          <w:i/>
          <w:color w:val="auto"/>
          <w:sz w:val="22"/>
          <w:szCs w:val="22"/>
          <w:u w:val="single"/>
        </w:rPr>
        <w:t xml:space="preserve">             </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none"/>
          <w:lang w:eastAsia="zh-CN"/>
        </w:rPr>
        <w:t>（</w:t>
      </w:r>
      <w:r>
        <w:rPr>
          <w:rFonts w:hint="eastAsia" w:ascii="仿宋" w:hAnsi="仿宋" w:eastAsia="仿宋" w:cs="仿宋"/>
          <w:color w:val="auto"/>
          <w:sz w:val="22"/>
          <w:szCs w:val="22"/>
          <w:lang w:val="en-US" w:eastAsia="zh-CN"/>
        </w:rPr>
        <w:t>姓名）</w:t>
      </w:r>
    </w:p>
    <w:p w14:paraId="7236CCAB">
      <w:pPr>
        <w:pageBreakBefore w:val="0"/>
        <w:kinsoku/>
        <w:wordWrap/>
        <w:overflowPunct/>
        <w:topLinePunct w:val="0"/>
        <w:autoSpaceDE w:val="0"/>
        <w:autoSpaceDN w:val="0"/>
        <w:bidi w:val="0"/>
        <w:adjustRightInd w:val="0"/>
        <w:spacing w:line="360" w:lineRule="auto"/>
        <w:rPr>
          <w:rFonts w:hint="eastAsia" w:ascii="仿宋" w:hAnsi="仿宋" w:eastAsia="仿宋" w:cs="仿宋"/>
          <w:bCs/>
          <w:color w:val="auto"/>
          <w:sz w:val="22"/>
          <w:szCs w:val="22"/>
        </w:rPr>
      </w:pPr>
      <w:r>
        <w:rPr>
          <w:rFonts w:hint="eastAsia" w:ascii="仿宋" w:hAnsi="仿宋" w:eastAsia="仿宋" w:cs="仿宋"/>
          <w:bCs/>
          <w:color w:val="auto"/>
          <w:sz w:val="22"/>
          <w:szCs w:val="22"/>
          <w:lang w:val="en-US" w:eastAsia="zh-CN"/>
        </w:rPr>
        <w:t>4</w:t>
      </w:r>
      <w:r>
        <w:rPr>
          <w:rFonts w:hint="eastAsia" w:ascii="仿宋" w:hAnsi="仿宋" w:eastAsia="仿宋" w:cs="仿宋"/>
          <w:bCs/>
          <w:color w:val="auto"/>
          <w:sz w:val="22"/>
          <w:szCs w:val="22"/>
        </w:rPr>
        <w:t xml:space="preserve">、 </w:t>
      </w:r>
      <w:r>
        <w:rPr>
          <w:rFonts w:hint="eastAsia" w:ascii="仿宋" w:hAnsi="仿宋" w:eastAsia="仿宋" w:cs="仿宋"/>
          <w:i/>
          <w:color w:val="auto"/>
          <w:sz w:val="22"/>
          <w:szCs w:val="22"/>
          <w:u w:val="single"/>
        </w:rPr>
        <w:t xml:space="preserve">             </w:t>
      </w:r>
      <w:r>
        <w:rPr>
          <w:rFonts w:hint="eastAsia" w:ascii="仿宋" w:hAnsi="仿宋" w:eastAsia="仿宋" w:cs="仿宋"/>
          <w:color w:val="auto"/>
          <w:sz w:val="22"/>
          <w:szCs w:val="22"/>
          <w:u w:val="single"/>
        </w:rPr>
        <w:t xml:space="preserve">（是或否） </w:t>
      </w:r>
      <w:r>
        <w:rPr>
          <w:rFonts w:hint="eastAsia" w:ascii="仿宋" w:hAnsi="仿宋" w:eastAsia="仿宋" w:cs="仿宋"/>
          <w:bCs/>
          <w:color w:val="auto"/>
          <w:sz w:val="22"/>
          <w:szCs w:val="22"/>
        </w:rPr>
        <w:t>为采购项目提供整体设计、规范编制或者项目管理、监理、检测等服务的供应商。</w:t>
      </w:r>
    </w:p>
    <w:p w14:paraId="4D5E88C0">
      <w:pPr>
        <w:pageBreakBefore w:val="0"/>
        <w:kinsoku/>
        <w:wordWrap/>
        <w:overflowPunct/>
        <w:topLinePunct w:val="0"/>
        <w:autoSpaceDE w:val="0"/>
        <w:autoSpaceDN w:val="0"/>
        <w:bidi w:val="0"/>
        <w:adjustRightInd w:val="0"/>
        <w:spacing w:line="360" w:lineRule="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5</w:t>
      </w:r>
      <w:r>
        <w:rPr>
          <w:rFonts w:hint="eastAsia" w:ascii="仿宋" w:hAnsi="仿宋" w:eastAsia="仿宋" w:cs="仿宋"/>
          <w:color w:val="auto"/>
          <w:sz w:val="22"/>
          <w:szCs w:val="22"/>
        </w:rPr>
        <w:t>、其他与本项目有关的利害关系说明</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i w:val="0"/>
          <w:iCs/>
          <w:color w:val="auto"/>
          <w:sz w:val="22"/>
          <w:szCs w:val="22"/>
          <w:u w:val="single"/>
          <w:lang w:eastAsia="zh-CN"/>
        </w:rPr>
        <w:t>（如有）</w:t>
      </w:r>
    </w:p>
    <w:p w14:paraId="298A9F21">
      <w:pPr>
        <w:pageBreakBefore w:val="0"/>
        <w:kinsoku/>
        <w:wordWrap/>
        <w:overflowPunct/>
        <w:topLinePunct w:val="0"/>
        <w:autoSpaceDE w:val="0"/>
        <w:autoSpaceDN w:val="0"/>
        <w:bidi w:val="0"/>
        <w:adjustRightInd w:val="0"/>
        <w:spacing w:line="360" w:lineRule="auto"/>
        <w:ind w:firstLine="440" w:firstLineChars="200"/>
        <w:rPr>
          <w:rFonts w:hint="eastAsia" w:ascii="仿宋" w:hAnsi="仿宋" w:eastAsia="仿宋" w:cs="仿宋"/>
          <w:color w:val="auto"/>
          <w:sz w:val="22"/>
          <w:szCs w:val="22"/>
        </w:rPr>
      </w:pPr>
    </w:p>
    <w:p w14:paraId="051E2BD2">
      <w:pPr>
        <w:pageBreakBefore w:val="0"/>
        <w:kinsoku/>
        <w:wordWrap/>
        <w:overflowPunct/>
        <w:topLinePunct w:val="0"/>
        <w:autoSpaceDE w:val="0"/>
        <w:autoSpaceDN w:val="0"/>
        <w:bidi w:val="0"/>
        <w:adjustRightInd w:val="0"/>
        <w:spacing w:line="360"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我单位承诺以上说明真实有效，无虚假内容或隐瞒。</w:t>
      </w:r>
    </w:p>
    <w:p w14:paraId="1C48AFE1">
      <w:pPr>
        <w:pageBreakBefore w:val="0"/>
        <w:kinsoku/>
        <w:wordWrap/>
        <w:overflowPunct/>
        <w:topLinePunct w:val="0"/>
        <w:autoSpaceDE w:val="0"/>
        <w:autoSpaceDN w:val="0"/>
        <w:bidi w:val="0"/>
        <w:adjustRightInd w:val="0"/>
        <w:spacing w:line="360" w:lineRule="auto"/>
        <w:rPr>
          <w:rFonts w:hint="eastAsia" w:ascii="仿宋" w:hAnsi="仿宋" w:eastAsia="仿宋" w:cs="仿宋"/>
          <w:color w:val="auto"/>
          <w:sz w:val="22"/>
          <w:szCs w:val="22"/>
        </w:rPr>
      </w:pPr>
    </w:p>
    <w:p w14:paraId="645BA132">
      <w:pPr>
        <w:pageBreakBefore w:val="0"/>
        <w:kinsoku/>
        <w:wordWrap/>
        <w:overflowPunct/>
        <w:topLinePunct w:val="0"/>
        <w:autoSpaceDE w:val="0"/>
        <w:autoSpaceDN w:val="0"/>
        <w:bidi w:val="0"/>
        <w:adjustRightInd w:val="0"/>
        <w:spacing w:line="360" w:lineRule="auto"/>
        <w:rPr>
          <w:rFonts w:hint="eastAsia" w:ascii="仿宋" w:hAnsi="仿宋" w:eastAsia="仿宋" w:cs="仿宋"/>
          <w:b/>
          <w:color w:val="auto"/>
          <w:sz w:val="22"/>
          <w:szCs w:val="22"/>
        </w:rPr>
      </w:pPr>
    </w:p>
    <w:p w14:paraId="634463BA">
      <w:pPr>
        <w:widowControl/>
        <w:spacing w:line="5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sz w:val="24"/>
          <w:szCs w:val="24"/>
          <w:highlight w:val="none"/>
        </w:rPr>
        <w:t>盖单位章</w:t>
      </w:r>
      <w:r>
        <w:rPr>
          <w:rFonts w:hint="eastAsia" w:ascii="仿宋" w:hAnsi="仿宋" w:eastAsia="仿宋" w:cs="仿宋"/>
          <w:color w:val="auto"/>
          <w:kern w:val="2"/>
          <w:sz w:val="24"/>
          <w:szCs w:val="24"/>
          <w:highlight w:val="none"/>
          <w:lang w:val="en-US" w:eastAsia="zh-CN" w:bidi="ar-SA"/>
        </w:rPr>
        <w:t>）</w:t>
      </w:r>
    </w:p>
    <w:p w14:paraId="2323EB5E">
      <w:pPr>
        <w:widowControl/>
        <w:spacing w:line="5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法定代表人或授权代表：</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（签字或盖章）</w:t>
      </w:r>
    </w:p>
    <w:p w14:paraId="00177AEE">
      <w:pPr>
        <w:pageBreakBefore w:val="0"/>
        <w:kinsoku/>
        <w:wordWrap/>
        <w:overflowPunct/>
        <w:topLinePunct w:val="0"/>
        <w:autoSpaceDE w:val="0"/>
        <w:autoSpaceDN w:val="0"/>
        <w:bidi w:val="0"/>
        <w:adjustRightInd w:val="0"/>
        <w:spacing w:line="360" w:lineRule="auto"/>
        <w:ind w:firstLine="240" w:firstLineChars="100"/>
        <w:jc w:val="right"/>
        <w:rPr>
          <w:rFonts w:hint="eastAsia" w:ascii="仿宋" w:hAnsi="仿宋" w:eastAsia="仿宋" w:cs="仿宋"/>
          <w:b/>
          <w:bCs/>
          <w:color w:val="auto"/>
          <w:sz w:val="22"/>
          <w:szCs w:val="22"/>
          <w:lang w:val="zh-CN"/>
        </w:rPr>
      </w:pPr>
      <w:r>
        <w:rPr>
          <w:rFonts w:hint="eastAsia" w:ascii="仿宋" w:hAnsi="仿宋" w:eastAsia="仿宋" w:cs="仿宋"/>
          <w:color w:val="auto"/>
          <w:kern w:val="2"/>
          <w:sz w:val="24"/>
          <w:szCs w:val="24"/>
          <w:highlight w:val="none"/>
          <w:lang w:val="en-US" w:eastAsia="zh-CN" w:bidi="ar-SA"/>
        </w:rPr>
        <w:t>日期：　　年　月　日</w:t>
      </w:r>
    </w:p>
    <w:p w14:paraId="7DA47F9A">
      <w:pPr>
        <w:pStyle w:val="5"/>
        <w:pageBreakBefore w:val="0"/>
        <w:kinsoku/>
        <w:wordWrap/>
        <w:overflowPunct/>
        <w:topLinePunct w:val="0"/>
        <w:bidi w:val="0"/>
        <w:spacing w:before="120" w:beforeLines="50" w:line="360" w:lineRule="auto"/>
        <w:ind w:firstLine="1276" w:firstLineChars="580"/>
        <w:rPr>
          <w:rFonts w:hint="eastAsia" w:ascii="仿宋" w:hAnsi="仿宋" w:eastAsia="仿宋" w:cs="仿宋"/>
          <w:color w:val="auto"/>
          <w:sz w:val="22"/>
          <w:szCs w:val="22"/>
          <w:highlight w:val="none"/>
          <w:lang w:val="en-US" w:eastAsia="zh-CN"/>
        </w:rPr>
      </w:pPr>
    </w:p>
    <w:p w14:paraId="7F619181">
      <w:pPr>
        <w:pStyle w:val="42"/>
        <w:pageBreakBefore w:val="0"/>
        <w:kinsoku/>
        <w:wordWrap/>
        <w:overflowPunct/>
        <w:topLinePunct w:val="0"/>
        <w:bidi w:val="0"/>
        <w:spacing w:line="360" w:lineRule="auto"/>
        <w:rPr>
          <w:rFonts w:hint="eastAsia" w:ascii="仿宋" w:hAnsi="仿宋" w:eastAsia="仿宋" w:cs="仿宋"/>
          <w:sz w:val="22"/>
          <w:szCs w:val="22"/>
        </w:rPr>
      </w:pPr>
    </w:p>
    <w:p w14:paraId="54A79B25">
      <w:pPr>
        <w:pStyle w:val="42"/>
        <w:jc w:val="left"/>
        <w:rPr>
          <w:rFonts w:hint="eastAsia" w:ascii="仿宋" w:hAnsi="仿宋" w:eastAsia="仿宋" w:cs="仿宋"/>
          <w:b/>
          <w:kern w:val="2"/>
          <w:sz w:val="28"/>
          <w:szCs w:val="18"/>
          <w:lang w:val="en-US" w:eastAsia="zh-CN" w:bidi="ar-SA"/>
        </w:rPr>
      </w:pPr>
      <w:r>
        <w:rPr>
          <w:rFonts w:hint="eastAsia" w:ascii="仿宋" w:hAnsi="仿宋" w:eastAsia="仿宋" w:cs="仿宋"/>
          <w:b/>
          <w:bCs/>
          <w:sz w:val="22"/>
          <w:szCs w:val="22"/>
          <w:lang w:eastAsia="zh-CN"/>
        </w:rPr>
        <w:t>（如有请如实填写，无请打“</w:t>
      </w:r>
      <w:r>
        <w:rPr>
          <w:rFonts w:hint="eastAsia" w:ascii="仿宋" w:hAnsi="仿宋" w:eastAsia="仿宋" w:cs="仿宋"/>
          <w:b/>
          <w:bCs/>
          <w:sz w:val="22"/>
          <w:szCs w:val="22"/>
          <w:lang w:val="en-US" w:eastAsia="zh-CN"/>
        </w:rPr>
        <w:t>/</w:t>
      </w:r>
      <w:r>
        <w:rPr>
          <w:rFonts w:hint="eastAsia" w:ascii="仿宋" w:hAnsi="仿宋" w:eastAsia="仿宋" w:cs="仿宋"/>
          <w:b/>
          <w:bCs/>
          <w:sz w:val="22"/>
          <w:szCs w:val="22"/>
          <w:lang w:eastAsia="zh-CN"/>
        </w:rPr>
        <w:t>”或写“无”）</w:t>
      </w:r>
    </w:p>
    <w:p w14:paraId="1CD7A1CD">
      <w:pPr>
        <w:rPr>
          <w:rFonts w:hint="eastAsia" w:ascii="仿宋" w:hAnsi="仿宋" w:eastAsia="仿宋" w:cs="仿宋"/>
          <w:b/>
          <w:kern w:val="2"/>
          <w:sz w:val="28"/>
          <w:szCs w:val="18"/>
          <w:lang w:val="en-US" w:eastAsia="zh-CN" w:bidi="ar-SA"/>
        </w:rPr>
      </w:pPr>
      <w:r>
        <w:rPr>
          <w:rFonts w:hint="eastAsia" w:ascii="仿宋" w:hAnsi="仿宋" w:eastAsia="仿宋" w:cs="仿宋"/>
          <w:b/>
          <w:kern w:val="2"/>
          <w:sz w:val="28"/>
          <w:szCs w:val="18"/>
          <w:lang w:val="en-US" w:eastAsia="zh-CN" w:bidi="ar-SA"/>
        </w:rPr>
        <w:br w:type="page"/>
      </w:r>
    </w:p>
    <w:p w14:paraId="7338F81A">
      <w:pPr>
        <w:widowControl/>
        <w:spacing w:line="480" w:lineRule="exact"/>
        <w:ind w:right="-99" w:rightChars="-47"/>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陕西省政府采购供应商</w:t>
      </w:r>
    </w:p>
    <w:p w14:paraId="3D51C30D">
      <w:pPr>
        <w:widowControl/>
        <w:spacing w:line="480" w:lineRule="exact"/>
        <w:ind w:right="-99" w:rightChars="-47"/>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拒绝政府采购领域商业贿赂承诺书</w:t>
      </w:r>
    </w:p>
    <w:p w14:paraId="06FBE672">
      <w:pPr>
        <w:widowControl/>
        <w:spacing w:line="540" w:lineRule="exact"/>
        <w:ind w:right="-99" w:rightChars="-47" w:firstLine="660" w:firstLineChars="300"/>
        <w:rPr>
          <w:rFonts w:hint="eastAsia" w:ascii="仿宋" w:hAnsi="仿宋" w:eastAsia="仿宋" w:cs="仿宋"/>
          <w:sz w:val="22"/>
          <w:szCs w:val="22"/>
        </w:rPr>
      </w:pPr>
      <w:r>
        <w:rPr>
          <w:rFonts w:hint="eastAsia" w:ascii="仿宋" w:hAnsi="仿宋" w:eastAsia="仿宋" w:cs="仿宋"/>
          <w:sz w:val="22"/>
          <w:szCs w:val="22"/>
        </w:rPr>
        <w:t xml:space="preserve">为响应党中央、国务院关于治理政府采购领域商业贿赂行为的号召，我单位在此庄严承诺： </w:t>
      </w:r>
    </w:p>
    <w:p w14:paraId="3C79E5A2">
      <w:pPr>
        <w:widowControl/>
        <w:numPr>
          <w:ilvl w:val="0"/>
          <w:numId w:val="8"/>
        </w:numPr>
        <w:spacing w:line="540" w:lineRule="exact"/>
        <w:ind w:right="-99" w:rightChars="-47" w:firstLine="440" w:firstLineChars="200"/>
        <w:rPr>
          <w:rFonts w:hint="eastAsia" w:ascii="仿宋" w:hAnsi="仿宋" w:eastAsia="仿宋" w:cs="仿宋"/>
          <w:kern w:val="0"/>
          <w:sz w:val="22"/>
          <w:szCs w:val="22"/>
        </w:rPr>
      </w:pPr>
      <w:r>
        <w:rPr>
          <w:rFonts w:hint="eastAsia" w:ascii="仿宋" w:hAnsi="仿宋" w:eastAsia="仿宋" w:cs="仿宋"/>
          <w:sz w:val="22"/>
          <w:szCs w:val="22"/>
        </w:rPr>
        <w:t xml:space="preserve">在参与政府采购活动中遵纪守法、诚信经营、公平竞标。 </w:t>
      </w:r>
    </w:p>
    <w:p w14:paraId="18B76F6C">
      <w:pPr>
        <w:widowControl/>
        <w:numPr>
          <w:ilvl w:val="0"/>
          <w:numId w:val="8"/>
        </w:numPr>
        <w:spacing w:line="540" w:lineRule="exact"/>
        <w:ind w:right="-99" w:rightChars="-47" w:firstLine="440" w:firstLineChars="200"/>
        <w:rPr>
          <w:rFonts w:hint="eastAsia" w:ascii="仿宋" w:hAnsi="仿宋" w:eastAsia="仿宋" w:cs="仿宋"/>
          <w:kern w:val="0"/>
          <w:sz w:val="22"/>
          <w:szCs w:val="22"/>
        </w:rPr>
      </w:pPr>
      <w:r>
        <w:rPr>
          <w:rFonts w:hint="eastAsia" w:ascii="仿宋" w:hAnsi="仿宋" w:eastAsia="仿宋" w:cs="仿宋"/>
          <w:sz w:val="22"/>
          <w:szCs w:val="22"/>
        </w:rPr>
        <w:t xml:space="preserve">不向采购人、采购代理机构和政府采购磋商专家进行任何形式的商业贿赂以谋取交易机会。 </w:t>
      </w:r>
    </w:p>
    <w:p w14:paraId="37B8E7B3">
      <w:pPr>
        <w:widowControl/>
        <w:spacing w:line="540" w:lineRule="exact"/>
        <w:ind w:right="-99" w:rightChars="-47"/>
        <w:rPr>
          <w:rFonts w:hint="eastAsia" w:ascii="仿宋" w:hAnsi="仿宋" w:eastAsia="仿宋" w:cs="仿宋"/>
          <w:sz w:val="22"/>
          <w:szCs w:val="22"/>
        </w:rPr>
      </w:pPr>
      <w:r>
        <w:rPr>
          <w:rFonts w:hint="eastAsia" w:ascii="仿宋" w:hAnsi="仿宋" w:eastAsia="仿宋" w:cs="仿宋"/>
          <w:sz w:val="22"/>
          <w:szCs w:val="22"/>
        </w:rPr>
        <w:t xml:space="preserve">   3、不向政府采购采购代理机构和采购人提供虚假资质文件或采用虚假应标方式参与政府采购市场竞争并谋取成交。 </w:t>
      </w:r>
    </w:p>
    <w:p w14:paraId="1A2C8890">
      <w:pPr>
        <w:widowControl/>
        <w:spacing w:line="540" w:lineRule="exact"/>
        <w:ind w:right="-99" w:rightChars="-47"/>
        <w:rPr>
          <w:rFonts w:hint="eastAsia" w:ascii="仿宋" w:hAnsi="仿宋" w:eastAsia="仿宋" w:cs="仿宋"/>
          <w:sz w:val="22"/>
          <w:szCs w:val="22"/>
        </w:rPr>
      </w:pPr>
      <w:r>
        <w:rPr>
          <w:rFonts w:hint="eastAsia" w:ascii="仿宋" w:hAnsi="仿宋" w:eastAsia="仿宋" w:cs="仿宋"/>
          <w:sz w:val="22"/>
          <w:szCs w:val="22"/>
        </w:rPr>
        <w:t>   4、不采取“围标、陪标”等商业欺诈手段获得政府采购定单。</w:t>
      </w:r>
    </w:p>
    <w:p w14:paraId="526BB31E">
      <w:pPr>
        <w:widowControl/>
        <w:numPr>
          <w:ilvl w:val="0"/>
          <w:numId w:val="9"/>
        </w:numPr>
        <w:spacing w:line="540" w:lineRule="exact"/>
        <w:ind w:right="-99" w:rightChars="-47" w:firstLine="440" w:firstLineChars="200"/>
        <w:rPr>
          <w:rFonts w:hint="eastAsia" w:ascii="仿宋" w:hAnsi="仿宋" w:eastAsia="仿宋" w:cs="仿宋"/>
          <w:kern w:val="0"/>
          <w:sz w:val="22"/>
          <w:szCs w:val="22"/>
        </w:rPr>
      </w:pPr>
      <w:r>
        <w:rPr>
          <w:rFonts w:hint="eastAsia" w:ascii="仿宋" w:hAnsi="仿宋" w:eastAsia="仿宋" w:cs="仿宋"/>
          <w:sz w:val="22"/>
          <w:szCs w:val="22"/>
        </w:rPr>
        <w:t>不采取不正当手段诋毁、排挤其他供应商。</w:t>
      </w:r>
    </w:p>
    <w:p w14:paraId="2EFE586A">
      <w:pPr>
        <w:widowControl/>
        <w:spacing w:line="540" w:lineRule="exact"/>
        <w:ind w:right="-99" w:rightChars="-47"/>
        <w:rPr>
          <w:rFonts w:hint="eastAsia" w:ascii="仿宋" w:hAnsi="仿宋" w:eastAsia="仿宋" w:cs="仿宋"/>
          <w:sz w:val="22"/>
          <w:szCs w:val="22"/>
        </w:rPr>
      </w:pPr>
      <w:r>
        <w:rPr>
          <w:rFonts w:hint="eastAsia" w:ascii="仿宋" w:hAnsi="仿宋" w:eastAsia="仿宋" w:cs="仿宋"/>
          <w:sz w:val="22"/>
          <w:szCs w:val="22"/>
        </w:rPr>
        <w:t xml:space="preserve">   6、不在提供商品和服务时“偷梁换柱、以次充好”损害采购人的合法权益。     </w:t>
      </w:r>
    </w:p>
    <w:p w14:paraId="6BBE090F">
      <w:pPr>
        <w:widowControl/>
        <w:numPr>
          <w:ilvl w:val="0"/>
          <w:numId w:val="10"/>
        </w:numPr>
        <w:spacing w:line="540" w:lineRule="exact"/>
        <w:ind w:right="-99" w:rightChars="-47" w:firstLine="440" w:firstLineChars="200"/>
        <w:rPr>
          <w:rFonts w:hint="eastAsia" w:ascii="仿宋" w:hAnsi="仿宋" w:eastAsia="仿宋" w:cs="仿宋"/>
          <w:kern w:val="0"/>
          <w:sz w:val="22"/>
          <w:szCs w:val="22"/>
        </w:rPr>
      </w:pPr>
      <w:r>
        <w:rPr>
          <w:rFonts w:hint="eastAsia" w:ascii="仿宋" w:hAnsi="仿宋" w:eastAsia="仿宋" w:cs="仿宋"/>
          <w:sz w:val="22"/>
          <w:szCs w:val="22"/>
        </w:rPr>
        <w:t>不与采购人、采购代理机构政府采购磋商专家或其它供应商恶意串通，进行质疑和投诉，维护政府采购市场秩序。</w:t>
      </w:r>
    </w:p>
    <w:p w14:paraId="48C51D3B">
      <w:pPr>
        <w:widowControl/>
        <w:spacing w:line="540" w:lineRule="exact"/>
        <w:ind w:right="-99" w:rightChars="-47" w:firstLine="440" w:firstLineChars="200"/>
        <w:rPr>
          <w:rFonts w:hint="eastAsia" w:ascii="仿宋" w:hAnsi="仿宋" w:eastAsia="仿宋" w:cs="仿宋"/>
          <w:sz w:val="22"/>
          <w:szCs w:val="22"/>
        </w:rPr>
      </w:pPr>
      <w:r>
        <w:rPr>
          <w:rFonts w:hint="eastAsia" w:ascii="仿宋" w:hAnsi="仿宋" w:eastAsia="仿宋" w:cs="仿宋"/>
          <w:sz w:val="22"/>
          <w:szCs w:val="22"/>
        </w:rPr>
        <w:t>8、尊重和接受政府采购监督管理部门的监督和政府采购代理机构采购要求，承担因违约行为给采购人造成的损失。</w:t>
      </w:r>
    </w:p>
    <w:p w14:paraId="7D25D857">
      <w:pPr>
        <w:widowControl/>
        <w:spacing w:line="540" w:lineRule="exact"/>
        <w:ind w:right="-99" w:rightChars="-47" w:firstLine="440" w:firstLineChars="200"/>
        <w:rPr>
          <w:rFonts w:hint="eastAsia" w:ascii="仿宋" w:hAnsi="仿宋" w:eastAsia="仿宋" w:cs="仿宋"/>
          <w:kern w:val="0"/>
          <w:sz w:val="22"/>
          <w:szCs w:val="22"/>
        </w:rPr>
      </w:pPr>
      <w:r>
        <w:rPr>
          <w:rFonts w:hint="eastAsia" w:ascii="仿宋" w:hAnsi="仿宋" w:eastAsia="仿宋" w:cs="仿宋"/>
          <w:sz w:val="22"/>
          <w:szCs w:val="22"/>
        </w:rPr>
        <w:t xml:space="preserve">9、不发生其他有悖于政府采购公开、公平、公正和诚信原则的行为。 </w:t>
      </w:r>
    </w:p>
    <w:p w14:paraId="4E3AA11C">
      <w:pPr>
        <w:widowControl/>
        <w:spacing w:line="500" w:lineRule="exact"/>
        <w:ind w:firstLine="480" w:firstLineChars="200"/>
        <w:rPr>
          <w:rFonts w:hint="eastAsia" w:ascii="仿宋" w:hAnsi="仿宋" w:eastAsia="仿宋" w:cs="仿宋"/>
          <w:color w:val="auto"/>
          <w:kern w:val="2"/>
          <w:sz w:val="24"/>
          <w:szCs w:val="24"/>
          <w:highlight w:val="none"/>
          <w:lang w:val="en-US" w:eastAsia="zh-CN" w:bidi="ar-SA"/>
        </w:rPr>
      </w:pPr>
    </w:p>
    <w:p w14:paraId="40872F92">
      <w:pPr>
        <w:widowControl/>
        <w:spacing w:line="5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sz w:val="24"/>
          <w:szCs w:val="24"/>
          <w:highlight w:val="none"/>
        </w:rPr>
        <w:t>盖单位章</w:t>
      </w:r>
      <w:r>
        <w:rPr>
          <w:rFonts w:hint="eastAsia" w:ascii="仿宋" w:hAnsi="仿宋" w:eastAsia="仿宋" w:cs="仿宋"/>
          <w:color w:val="auto"/>
          <w:kern w:val="2"/>
          <w:sz w:val="24"/>
          <w:szCs w:val="24"/>
          <w:highlight w:val="none"/>
          <w:lang w:val="en-US" w:eastAsia="zh-CN" w:bidi="ar-SA"/>
        </w:rPr>
        <w:t>）</w:t>
      </w:r>
    </w:p>
    <w:p w14:paraId="6D901A19">
      <w:pPr>
        <w:widowControl/>
        <w:spacing w:line="5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法定代表人或授权代表：</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（签字或盖章）</w:t>
      </w:r>
    </w:p>
    <w:p w14:paraId="5C7EC239">
      <w:pPr>
        <w:jc w:val="right"/>
        <w:rPr>
          <w:rFonts w:hint="eastAsia" w:ascii="仿宋" w:hAnsi="仿宋" w:eastAsia="仿宋" w:cs="仿宋"/>
          <w:b/>
          <w:kern w:val="2"/>
          <w:sz w:val="28"/>
          <w:szCs w:val="18"/>
          <w:lang w:val="en-US" w:eastAsia="zh-CN" w:bidi="ar-SA"/>
        </w:rPr>
        <w:sectPr>
          <w:headerReference r:id="rId13" w:type="default"/>
          <w:footerReference r:id="rId14" w:type="default"/>
          <w:pgSz w:w="11906" w:h="16838"/>
          <w:pgMar w:top="1440" w:right="1803" w:bottom="1440" w:left="1803" w:header="851" w:footer="992" w:gutter="0"/>
          <w:pgNumType w:fmt="decimal"/>
          <w:cols w:space="720" w:num="1"/>
          <w:docGrid w:linePitch="312" w:charSpace="0"/>
        </w:sectPr>
      </w:pPr>
      <w:r>
        <w:rPr>
          <w:rFonts w:hint="eastAsia" w:ascii="仿宋" w:hAnsi="仿宋" w:eastAsia="仿宋" w:cs="仿宋"/>
          <w:color w:val="auto"/>
          <w:kern w:val="2"/>
          <w:sz w:val="24"/>
          <w:szCs w:val="24"/>
          <w:highlight w:val="none"/>
          <w:lang w:val="en-US" w:eastAsia="zh-CN" w:bidi="ar-SA"/>
        </w:rPr>
        <w:t>日期：　　年　月　日</w:t>
      </w:r>
    </w:p>
    <w:bookmarkEnd w:id="256"/>
    <w:bookmarkEnd w:id="257"/>
    <w:bookmarkEnd w:id="258"/>
    <w:bookmarkEnd w:id="259"/>
    <w:p w14:paraId="1136D1CB">
      <w:pPr>
        <w:pStyle w:val="3"/>
        <w:numPr>
          <w:ilvl w:val="0"/>
          <w:numId w:val="11"/>
        </w:numPr>
        <w:spacing w:line="24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项目方案</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依据评审方法，自行编制</w:t>
      </w:r>
      <w:r>
        <w:rPr>
          <w:rFonts w:hint="eastAsia" w:ascii="仿宋" w:hAnsi="仿宋" w:eastAsia="仿宋" w:cs="仿宋"/>
          <w:sz w:val="28"/>
          <w:szCs w:val="28"/>
          <w:lang w:eastAsia="zh-CN"/>
        </w:rPr>
        <w:t>）</w:t>
      </w:r>
    </w:p>
    <w:p w14:paraId="6CC7A833">
      <w:pPr>
        <w:rPr>
          <w:rFonts w:hint="eastAsia" w:ascii="仿宋" w:hAnsi="仿宋" w:eastAsia="仿宋" w:cs="仿宋"/>
          <w:sz w:val="28"/>
          <w:szCs w:val="28"/>
        </w:rPr>
      </w:pPr>
    </w:p>
    <w:p w14:paraId="5AB44BD0">
      <w:pPr>
        <w:pStyle w:val="42"/>
        <w:rPr>
          <w:rFonts w:hint="eastAsia" w:ascii="仿宋" w:hAnsi="仿宋" w:eastAsia="仿宋" w:cs="仿宋"/>
          <w:sz w:val="28"/>
          <w:szCs w:val="28"/>
        </w:rPr>
      </w:pPr>
    </w:p>
    <w:p w14:paraId="1A48A49B">
      <w:pPr>
        <w:pStyle w:val="42"/>
        <w:rPr>
          <w:rFonts w:hint="eastAsia" w:ascii="仿宋" w:hAnsi="仿宋" w:eastAsia="仿宋" w:cs="仿宋"/>
          <w:sz w:val="28"/>
          <w:szCs w:val="28"/>
        </w:rPr>
      </w:pPr>
    </w:p>
    <w:p w14:paraId="74E10F60">
      <w:pPr>
        <w:pStyle w:val="42"/>
        <w:rPr>
          <w:rFonts w:hint="eastAsia" w:ascii="仿宋" w:hAnsi="仿宋" w:eastAsia="仿宋" w:cs="仿宋"/>
          <w:sz w:val="28"/>
          <w:szCs w:val="28"/>
        </w:rPr>
      </w:pPr>
    </w:p>
    <w:p w14:paraId="5BEAE3A8">
      <w:pPr>
        <w:pStyle w:val="42"/>
        <w:rPr>
          <w:rFonts w:hint="eastAsia" w:ascii="仿宋" w:hAnsi="仿宋" w:eastAsia="仿宋" w:cs="仿宋"/>
          <w:sz w:val="28"/>
          <w:szCs w:val="28"/>
        </w:rPr>
      </w:pPr>
    </w:p>
    <w:p w14:paraId="4ABFD77D">
      <w:pPr>
        <w:pStyle w:val="42"/>
        <w:rPr>
          <w:rFonts w:hint="eastAsia" w:ascii="仿宋" w:hAnsi="仿宋" w:eastAsia="仿宋" w:cs="仿宋"/>
          <w:sz w:val="28"/>
          <w:szCs w:val="28"/>
        </w:rPr>
      </w:pPr>
    </w:p>
    <w:p w14:paraId="485E78ED">
      <w:pPr>
        <w:pStyle w:val="42"/>
        <w:rPr>
          <w:rFonts w:hint="eastAsia" w:ascii="仿宋" w:hAnsi="仿宋" w:eastAsia="仿宋" w:cs="仿宋"/>
          <w:sz w:val="28"/>
          <w:szCs w:val="28"/>
        </w:rPr>
      </w:pPr>
    </w:p>
    <w:p w14:paraId="297A495E">
      <w:pPr>
        <w:pStyle w:val="42"/>
        <w:rPr>
          <w:rFonts w:hint="eastAsia" w:ascii="仿宋" w:hAnsi="仿宋" w:eastAsia="仿宋" w:cs="仿宋"/>
          <w:sz w:val="28"/>
          <w:szCs w:val="28"/>
        </w:rPr>
      </w:pPr>
    </w:p>
    <w:p w14:paraId="4DF81407">
      <w:pPr>
        <w:pStyle w:val="42"/>
        <w:rPr>
          <w:rFonts w:hint="eastAsia" w:ascii="仿宋" w:hAnsi="仿宋" w:eastAsia="仿宋" w:cs="仿宋"/>
          <w:sz w:val="28"/>
          <w:szCs w:val="28"/>
        </w:rPr>
      </w:pPr>
    </w:p>
    <w:p w14:paraId="10539B42">
      <w:pPr>
        <w:pStyle w:val="42"/>
        <w:rPr>
          <w:rFonts w:hint="eastAsia" w:ascii="仿宋" w:hAnsi="仿宋" w:eastAsia="仿宋" w:cs="仿宋"/>
          <w:sz w:val="28"/>
          <w:szCs w:val="28"/>
        </w:rPr>
      </w:pPr>
    </w:p>
    <w:p w14:paraId="45E1D026">
      <w:pPr>
        <w:pStyle w:val="42"/>
        <w:rPr>
          <w:rFonts w:hint="eastAsia" w:ascii="仿宋" w:hAnsi="仿宋" w:eastAsia="仿宋" w:cs="仿宋"/>
          <w:sz w:val="28"/>
          <w:szCs w:val="28"/>
        </w:rPr>
      </w:pPr>
    </w:p>
    <w:p w14:paraId="178732C9">
      <w:pPr>
        <w:pStyle w:val="42"/>
        <w:rPr>
          <w:rFonts w:hint="eastAsia" w:ascii="仿宋" w:hAnsi="仿宋" w:eastAsia="仿宋" w:cs="仿宋"/>
          <w:sz w:val="28"/>
          <w:szCs w:val="28"/>
        </w:rPr>
      </w:pPr>
    </w:p>
    <w:p w14:paraId="40E83490">
      <w:pPr>
        <w:pStyle w:val="42"/>
        <w:rPr>
          <w:rFonts w:hint="eastAsia" w:ascii="仿宋" w:hAnsi="仿宋" w:eastAsia="仿宋" w:cs="仿宋"/>
          <w:sz w:val="28"/>
          <w:szCs w:val="28"/>
        </w:rPr>
      </w:pPr>
    </w:p>
    <w:p w14:paraId="5CD243C2">
      <w:pPr>
        <w:pStyle w:val="42"/>
        <w:rPr>
          <w:rFonts w:hint="eastAsia" w:ascii="仿宋" w:hAnsi="仿宋" w:eastAsia="仿宋" w:cs="仿宋"/>
          <w:sz w:val="28"/>
          <w:szCs w:val="28"/>
        </w:rPr>
      </w:pPr>
    </w:p>
    <w:p w14:paraId="2AC81A93">
      <w:pPr>
        <w:pStyle w:val="42"/>
        <w:rPr>
          <w:rFonts w:hint="eastAsia" w:ascii="仿宋" w:hAnsi="仿宋" w:eastAsia="仿宋" w:cs="仿宋"/>
          <w:sz w:val="28"/>
          <w:szCs w:val="28"/>
        </w:rPr>
      </w:pPr>
    </w:p>
    <w:p w14:paraId="50F3243A">
      <w:pPr>
        <w:pStyle w:val="42"/>
        <w:rPr>
          <w:rFonts w:hint="eastAsia" w:ascii="仿宋" w:hAnsi="仿宋" w:eastAsia="仿宋" w:cs="仿宋"/>
          <w:sz w:val="28"/>
          <w:szCs w:val="28"/>
        </w:rPr>
      </w:pPr>
    </w:p>
    <w:p w14:paraId="1EDAC52A">
      <w:pPr>
        <w:pStyle w:val="42"/>
        <w:rPr>
          <w:rFonts w:hint="eastAsia" w:ascii="仿宋" w:hAnsi="仿宋" w:eastAsia="仿宋" w:cs="仿宋"/>
          <w:sz w:val="28"/>
          <w:szCs w:val="28"/>
        </w:rPr>
      </w:pPr>
    </w:p>
    <w:p w14:paraId="28C09344">
      <w:pPr>
        <w:pStyle w:val="42"/>
        <w:rPr>
          <w:rFonts w:hint="eastAsia" w:ascii="仿宋" w:hAnsi="仿宋" w:eastAsia="仿宋" w:cs="仿宋"/>
          <w:sz w:val="28"/>
          <w:szCs w:val="28"/>
        </w:rPr>
      </w:pPr>
    </w:p>
    <w:p w14:paraId="3755E7F5">
      <w:pPr>
        <w:pStyle w:val="42"/>
        <w:rPr>
          <w:rFonts w:hint="eastAsia" w:ascii="仿宋" w:hAnsi="仿宋" w:eastAsia="仿宋" w:cs="仿宋"/>
          <w:sz w:val="28"/>
          <w:szCs w:val="28"/>
        </w:rPr>
      </w:pPr>
    </w:p>
    <w:p w14:paraId="53FE7A6F">
      <w:pPr>
        <w:pStyle w:val="42"/>
        <w:rPr>
          <w:rFonts w:hint="eastAsia" w:ascii="仿宋" w:hAnsi="仿宋" w:eastAsia="仿宋" w:cs="仿宋"/>
          <w:sz w:val="28"/>
          <w:szCs w:val="28"/>
        </w:rPr>
      </w:pPr>
    </w:p>
    <w:p w14:paraId="12078881">
      <w:pPr>
        <w:pStyle w:val="42"/>
        <w:rPr>
          <w:rFonts w:hint="eastAsia" w:ascii="仿宋" w:hAnsi="仿宋" w:eastAsia="仿宋" w:cs="仿宋"/>
          <w:sz w:val="28"/>
          <w:szCs w:val="28"/>
        </w:rPr>
      </w:pPr>
    </w:p>
    <w:p w14:paraId="572E6D3F">
      <w:pPr>
        <w:pStyle w:val="42"/>
        <w:rPr>
          <w:rFonts w:hint="eastAsia" w:ascii="仿宋" w:hAnsi="仿宋" w:eastAsia="仿宋" w:cs="仿宋"/>
          <w:sz w:val="28"/>
          <w:szCs w:val="28"/>
        </w:rPr>
      </w:pPr>
    </w:p>
    <w:p w14:paraId="45159A39">
      <w:pPr>
        <w:pStyle w:val="42"/>
        <w:rPr>
          <w:rFonts w:hint="eastAsia" w:ascii="仿宋" w:hAnsi="仿宋" w:eastAsia="仿宋" w:cs="仿宋"/>
          <w:sz w:val="28"/>
          <w:szCs w:val="28"/>
        </w:rPr>
      </w:pPr>
    </w:p>
    <w:p w14:paraId="0CE08B55">
      <w:pPr>
        <w:pStyle w:val="42"/>
        <w:rPr>
          <w:rFonts w:hint="eastAsia" w:ascii="仿宋" w:hAnsi="仿宋" w:eastAsia="仿宋" w:cs="仿宋"/>
          <w:sz w:val="28"/>
          <w:szCs w:val="28"/>
        </w:rPr>
      </w:pPr>
    </w:p>
    <w:p w14:paraId="6CDD6BAD">
      <w:pPr>
        <w:pStyle w:val="42"/>
        <w:rPr>
          <w:rFonts w:hint="eastAsia" w:ascii="仿宋" w:hAnsi="仿宋" w:eastAsia="仿宋" w:cs="仿宋"/>
          <w:sz w:val="28"/>
          <w:szCs w:val="28"/>
        </w:rPr>
      </w:pPr>
    </w:p>
    <w:p w14:paraId="6DF0D05B">
      <w:pPr>
        <w:pStyle w:val="42"/>
        <w:rPr>
          <w:rFonts w:hint="eastAsia" w:ascii="仿宋" w:hAnsi="仿宋" w:eastAsia="仿宋" w:cs="仿宋"/>
          <w:sz w:val="28"/>
          <w:szCs w:val="28"/>
        </w:rPr>
      </w:pPr>
    </w:p>
    <w:p w14:paraId="266A93B6">
      <w:pPr>
        <w:pStyle w:val="42"/>
        <w:rPr>
          <w:rFonts w:hint="eastAsia" w:ascii="仿宋" w:hAnsi="仿宋" w:eastAsia="仿宋" w:cs="仿宋"/>
          <w:sz w:val="28"/>
          <w:szCs w:val="28"/>
        </w:rPr>
      </w:pPr>
    </w:p>
    <w:p w14:paraId="6684D4B9">
      <w:pPr>
        <w:pStyle w:val="42"/>
        <w:rPr>
          <w:rFonts w:hint="eastAsia" w:ascii="仿宋" w:hAnsi="仿宋" w:eastAsia="仿宋" w:cs="仿宋"/>
          <w:sz w:val="28"/>
          <w:szCs w:val="28"/>
        </w:rPr>
      </w:pPr>
    </w:p>
    <w:p w14:paraId="6EDE4CD8">
      <w:pPr>
        <w:pStyle w:val="42"/>
        <w:rPr>
          <w:rFonts w:hint="eastAsia" w:ascii="仿宋" w:hAnsi="仿宋" w:eastAsia="仿宋" w:cs="仿宋"/>
          <w:sz w:val="28"/>
          <w:szCs w:val="28"/>
        </w:rPr>
      </w:pPr>
    </w:p>
    <w:p w14:paraId="40D78CD4">
      <w:pPr>
        <w:pStyle w:val="42"/>
        <w:rPr>
          <w:rFonts w:hint="eastAsia" w:ascii="仿宋" w:hAnsi="仿宋" w:eastAsia="仿宋" w:cs="仿宋"/>
          <w:sz w:val="28"/>
          <w:szCs w:val="28"/>
        </w:rPr>
      </w:pPr>
    </w:p>
    <w:p w14:paraId="0D98F839">
      <w:pPr>
        <w:pStyle w:val="42"/>
        <w:rPr>
          <w:rFonts w:hint="eastAsia" w:ascii="仿宋" w:hAnsi="仿宋" w:eastAsia="仿宋" w:cs="仿宋"/>
          <w:sz w:val="28"/>
          <w:szCs w:val="28"/>
        </w:rPr>
      </w:pPr>
    </w:p>
    <w:p w14:paraId="2E95D5D7">
      <w:pPr>
        <w:pStyle w:val="42"/>
        <w:rPr>
          <w:rFonts w:hint="eastAsia" w:ascii="仿宋" w:hAnsi="仿宋" w:eastAsia="仿宋" w:cs="仿宋"/>
          <w:sz w:val="28"/>
          <w:szCs w:val="28"/>
        </w:rPr>
      </w:pPr>
    </w:p>
    <w:p w14:paraId="3BE2C7C2">
      <w:pPr>
        <w:pStyle w:val="42"/>
        <w:rPr>
          <w:rFonts w:hint="eastAsia" w:ascii="仿宋" w:hAnsi="仿宋" w:eastAsia="仿宋" w:cs="仿宋"/>
          <w:sz w:val="28"/>
          <w:szCs w:val="28"/>
        </w:rPr>
      </w:pPr>
    </w:p>
    <w:p w14:paraId="727CE7FE">
      <w:pPr>
        <w:pStyle w:val="42"/>
        <w:rPr>
          <w:rFonts w:hint="eastAsia" w:ascii="仿宋" w:hAnsi="仿宋" w:eastAsia="仿宋" w:cs="仿宋"/>
          <w:sz w:val="28"/>
          <w:szCs w:val="28"/>
        </w:rPr>
      </w:pPr>
    </w:p>
    <w:p w14:paraId="65C73A4D">
      <w:pPr>
        <w:pStyle w:val="42"/>
        <w:rPr>
          <w:rFonts w:hint="eastAsia" w:ascii="仿宋" w:hAnsi="仿宋" w:eastAsia="仿宋" w:cs="仿宋"/>
          <w:sz w:val="28"/>
          <w:szCs w:val="28"/>
        </w:rPr>
      </w:pPr>
    </w:p>
    <w:p w14:paraId="317FBF3D">
      <w:pPr>
        <w:pStyle w:val="42"/>
        <w:rPr>
          <w:rFonts w:hint="eastAsia" w:ascii="仿宋" w:hAnsi="仿宋" w:eastAsia="仿宋" w:cs="仿宋"/>
          <w:sz w:val="28"/>
          <w:szCs w:val="28"/>
        </w:rPr>
      </w:pPr>
    </w:p>
    <w:p w14:paraId="54D76A6C">
      <w:pPr>
        <w:pStyle w:val="3"/>
        <w:numPr>
          <w:ilvl w:val="0"/>
          <w:numId w:val="11"/>
        </w:numPr>
        <w:spacing w:line="24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其它证明资料</w:t>
      </w:r>
    </w:p>
    <w:p w14:paraId="6D660BC5">
      <w:pPr>
        <w:widowControl w:val="0"/>
        <w:numPr>
          <w:ilvl w:val="0"/>
          <w:numId w:val="0"/>
        </w:numPr>
        <w:jc w:val="both"/>
        <w:rPr>
          <w:rFonts w:hint="eastAsia" w:ascii="仿宋" w:hAnsi="仿宋" w:eastAsia="仿宋" w:cs="仿宋"/>
        </w:rPr>
      </w:pPr>
    </w:p>
    <w:p w14:paraId="4F258166">
      <w:pPr>
        <w:pStyle w:val="42"/>
        <w:rPr>
          <w:rFonts w:hint="eastAsia" w:ascii="仿宋" w:hAnsi="仿宋" w:eastAsia="仿宋" w:cs="仿宋"/>
        </w:rPr>
      </w:pPr>
    </w:p>
    <w:p w14:paraId="75D36C08">
      <w:pPr>
        <w:autoSpaceDE w:val="0"/>
        <w:autoSpaceDN w:val="0"/>
        <w:adjustRightInd w:val="0"/>
        <w:spacing w:line="360" w:lineRule="auto"/>
        <w:jc w:val="center"/>
        <w:rPr>
          <w:rFonts w:hint="eastAsia" w:ascii="仿宋" w:hAnsi="仿宋" w:eastAsia="仿宋" w:cs="仿宋"/>
          <w:b/>
          <w:bCs w:val="0"/>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t>业绩证明资料</w:t>
      </w:r>
    </w:p>
    <w:tbl>
      <w:tblPr>
        <w:tblStyle w:val="44"/>
        <w:tblW w:w="88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046"/>
        <w:gridCol w:w="2600"/>
        <w:gridCol w:w="1697"/>
        <w:gridCol w:w="1657"/>
      </w:tblGrid>
      <w:tr w14:paraId="3C04F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05" w:type="dxa"/>
            <w:noWrap w:val="0"/>
            <w:vAlign w:val="center"/>
          </w:tcPr>
          <w:p w14:paraId="076B1040">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2046" w:type="dxa"/>
            <w:noWrap w:val="0"/>
            <w:vAlign w:val="center"/>
          </w:tcPr>
          <w:p w14:paraId="481088E5">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项目名称</w:t>
            </w:r>
          </w:p>
        </w:tc>
        <w:tc>
          <w:tcPr>
            <w:tcW w:w="2600" w:type="dxa"/>
            <w:noWrap w:val="0"/>
            <w:vAlign w:val="center"/>
          </w:tcPr>
          <w:p w14:paraId="194027A0">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采购人</w:t>
            </w:r>
            <w:r>
              <w:rPr>
                <w:rFonts w:hint="eastAsia" w:ascii="仿宋" w:hAnsi="仿宋" w:eastAsia="仿宋" w:cs="仿宋"/>
                <w:b/>
                <w:color w:val="auto"/>
                <w:sz w:val="24"/>
                <w:szCs w:val="24"/>
              </w:rPr>
              <w:t>名称</w:t>
            </w:r>
          </w:p>
        </w:tc>
        <w:tc>
          <w:tcPr>
            <w:tcW w:w="1697" w:type="dxa"/>
            <w:noWrap w:val="0"/>
            <w:vAlign w:val="center"/>
          </w:tcPr>
          <w:p w14:paraId="1683BD73">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合同金额</w:t>
            </w:r>
          </w:p>
        </w:tc>
        <w:tc>
          <w:tcPr>
            <w:tcW w:w="1657" w:type="dxa"/>
            <w:noWrap w:val="0"/>
            <w:vAlign w:val="center"/>
          </w:tcPr>
          <w:p w14:paraId="19DFF079">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合同</w:t>
            </w:r>
          </w:p>
          <w:p w14:paraId="541E64E0">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签订时间</w:t>
            </w:r>
          </w:p>
        </w:tc>
      </w:tr>
      <w:tr w14:paraId="0EF770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05" w:type="dxa"/>
            <w:noWrap w:val="0"/>
            <w:vAlign w:val="top"/>
          </w:tcPr>
          <w:p w14:paraId="6F7F97BD">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046" w:type="dxa"/>
            <w:noWrap w:val="0"/>
            <w:vAlign w:val="top"/>
          </w:tcPr>
          <w:p w14:paraId="3C56BB84">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600" w:type="dxa"/>
            <w:noWrap w:val="0"/>
            <w:vAlign w:val="top"/>
          </w:tcPr>
          <w:p w14:paraId="6569EE61">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97" w:type="dxa"/>
            <w:noWrap w:val="0"/>
            <w:vAlign w:val="top"/>
          </w:tcPr>
          <w:p w14:paraId="1DEACD09">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57" w:type="dxa"/>
            <w:noWrap w:val="0"/>
            <w:vAlign w:val="top"/>
          </w:tcPr>
          <w:p w14:paraId="7E91DBEB">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r>
      <w:tr w14:paraId="0A6F4F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05" w:type="dxa"/>
            <w:noWrap w:val="0"/>
            <w:vAlign w:val="top"/>
          </w:tcPr>
          <w:p w14:paraId="460402B8">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046" w:type="dxa"/>
            <w:noWrap w:val="0"/>
            <w:vAlign w:val="top"/>
          </w:tcPr>
          <w:p w14:paraId="30B79EB7">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600" w:type="dxa"/>
            <w:noWrap w:val="0"/>
            <w:vAlign w:val="top"/>
          </w:tcPr>
          <w:p w14:paraId="7579A600">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97" w:type="dxa"/>
            <w:noWrap w:val="0"/>
            <w:vAlign w:val="top"/>
          </w:tcPr>
          <w:p w14:paraId="19EC7B4A">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57" w:type="dxa"/>
            <w:noWrap w:val="0"/>
            <w:vAlign w:val="top"/>
          </w:tcPr>
          <w:p w14:paraId="11A9BEFC">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r>
      <w:tr w14:paraId="15024E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05" w:type="dxa"/>
            <w:noWrap w:val="0"/>
            <w:vAlign w:val="top"/>
          </w:tcPr>
          <w:p w14:paraId="2A1AB420">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046" w:type="dxa"/>
            <w:noWrap w:val="0"/>
            <w:vAlign w:val="top"/>
          </w:tcPr>
          <w:p w14:paraId="5BBF153F">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600" w:type="dxa"/>
            <w:noWrap w:val="0"/>
            <w:vAlign w:val="top"/>
          </w:tcPr>
          <w:p w14:paraId="6BE0C875">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97" w:type="dxa"/>
            <w:noWrap w:val="0"/>
            <w:vAlign w:val="top"/>
          </w:tcPr>
          <w:p w14:paraId="1CA2FB59">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57" w:type="dxa"/>
            <w:noWrap w:val="0"/>
            <w:vAlign w:val="top"/>
          </w:tcPr>
          <w:p w14:paraId="525BEEA7">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r>
      <w:tr w14:paraId="452898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05" w:type="dxa"/>
            <w:noWrap w:val="0"/>
            <w:vAlign w:val="top"/>
          </w:tcPr>
          <w:p w14:paraId="4CFF179D">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046" w:type="dxa"/>
            <w:noWrap w:val="0"/>
            <w:vAlign w:val="top"/>
          </w:tcPr>
          <w:p w14:paraId="2B272F9C">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600" w:type="dxa"/>
            <w:noWrap w:val="0"/>
            <w:vAlign w:val="top"/>
          </w:tcPr>
          <w:p w14:paraId="14E3B6AC">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97" w:type="dxa"/>
            <w:noWrap w:val="0"/>
            <w:vAlign w:val="top"/>
          </w:tcPr>
          <w:p w14:paraId="3E28910E">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57" w:type="dxa"/>
            <w:noWrap w:val="0"/>
            <w:vAlign w:val="top"/>
          </w:tcPr>
          <w:p w14:paraId="0702E3A1">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r>
      <w:tr w14:paraId="5D1C8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05" w:type="dxa"/>
            <w:noWrap w:val="0"/>
            <w:vAlign w:val="top"/>
          </w:tcPr>
          <w:p w14:paraId="0A93158C">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046" w:type="dxa"/>
            <w:noWrap w:val="0"/>
            <w:vAlign w:val="top"/>
          </w:tcPr>
          <w:p w14:paraId="3F79166A">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600" w:type="dxa"/>
            <w:noWrap w:val="0"/>
            <w:vAlign w:val="top"/>
          </w:tcPr>
          <w:p w14:paraId="129C827F">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97" w:type="dxa"/>
            <w:noWrap w:val="0"/>
            <w:vAlign w:val="top"/>
          </w:tcPr>
          <w:p w14:paraId="6B012BA9">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57" w:type="dxa"/>
            <w:noWrap w:val="0"/>
            <w:vAlign w:val="top"/>
          </w:tcPr>
          <w:p w14:paraId="093335CA">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r>
      <w:tr w14:paraId="5E8592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05" w:type="dxa"/>
            <w:noWrap w:val="0"/>
            <w:vAlign w:val="top"/>
          </w:tcPr>
          <w:p w14:paraId="46AAB338">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046" w:type="dxa"/>
            <w:noWrap w:val="0"/>
            <w:vAlign w:val="top"/>
          </w:tcPr>
          <w:p w14:paraId="14DB0E9A">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600" w:type="dxa"/>
            <w:noWrap w:val="0"/>
            <w:vAlign w:val="top"/>
          </w:tcPr>
          <w:p w14:paraId="5DC87253">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97" w:type="dxa"/>
            <w:noWrap w:val="0"/>
            <w:vAlign w:val="top"/>
          </w:tcPr>
          <w:p w14:paraId="1249E80C">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57" w:type="dxa"/>
            <w:noWrap w:val="0"/>
            <w:vAlign w:val="top"/>
          </w:tcPr>
          <w:p w14:paraId="76D7E1BD">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r>
      <w:tr w14:paraId="717D91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05" w:type="dxa"/>
            <w:noWrap w:val="0"/>
            <w:vAlign w:val="top"/>
          </w:tcPr>
          <w:p w14:paraId="42C55EE3">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046" w:type="dxa"/>
            <w:noWrap w:val="0"/>
            <w:vAlign w:val="top"/>
          </w:tcPr>
          <w:p w14:paraId="7C67C5D0">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600" w:type="dxa"/>
            <w:noWrap w:val="0"/>
            <w:vAlign w:val="top"/>
          </w:tcPr>
          <w:p w14:paraId="116ACA1A">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97" w:type="dxa"/>
            <w:noWrap w:val="0"/>
            <w:vAlign w:val="top"/>
          </w:tcPr>
          <w:p w14:paraId="3FBE18FD">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57" w:type="dxa"/>
            <w:noWrap w:val="0"/>
            <w:vAlign w:val="top"/>
          </w:tcPr>
          <w:p w14:paraId="3C786CBB">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r>
      <w:tr w14:paraId="20F071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05" w:type="dxa"/>
            <w:noWrap w:val="0"/>
            <w:vAlign w:val="top"/>
          </w:tcPr>
          <w:p w14:paraId="16429D78">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046" w:type="dxa"/>
            <w:noWrap w:val="0"/>
            <w:vAlign w:val="top"/>
          </w:tcPr>
          <w:p w14:paraId="5C0C3656">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600" w:type="dxa"/>
            <w:noWrap w:val="0"/>
            <w:vAlign w:val="top"/>
          </w:tcPr>
          <w:p w14:paraId="0C7A95A4">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97" w:type="dxa"/>
            <w:noWrap w:val="0"/>
            <w:vAlign w:val="top"/>
          </w:tcPr>
          <w:p w14:paraId="383FFDD3">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57" w:type="dxa"/>
            <w:noWrap w:val="0"/>
            <w:vAlign w:val="top"/>
          </w:tcPr>
          <w:p w14:paraId="4F048DAD">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r>
      <w:tr w14:paraId="75D646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05" w:type="dxa"/>
            <w:noWrap w:val="0"/>
            <w:vAlign w:val="top"/>
          </w:tcPr>
          <w:p w14:paraId="538E0487">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046" w:type="dxa"/>
            <w:noWrap w:val="0"/>
            <w:vAlign w:val="top"/>
          </w:tcPr>
          <w:p w14:paraId="0C5FC3D0">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600" w:type="dxa"/>
            <w:noWrap w:val="0"/>
            <w:vAlign w:val="top"/>
          </w:tcPr>
          <w:p w14:paraId="34C079F2">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97" w:type="dxa"/>
            <w:noWrap w:val="0"/>
            <w:vAlign w:val="top"/>
          </w:tcPr>
          <w:p w14:paraId="3C1C39DE">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57" w:type="dxa"/>
            <w:noWrap w:val="0"/>
            <w:vAlign w:val="top"/>
          </w:tcPr>
          <w:p w14:paraId="11B2ECEF">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r>
      <w:tr w14:paraId="20903F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05" w:type="dxa"/>
            <w:noWrap w:val="0"/>
            <w:vAlign w:val="top"/>
          </w:tcPr>
          <w:p w14:paraId="5DD82CD7">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046" w:type="dxa"/>
            <w:noWrap w:val="0"/>
            <w:vAlign w:val="top"/>
          </w:tcPr>
          <w:p w14:paraId="178710F9">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600" w:type="dxa"/>
            <w:noWrap w:val="0"/>
            <w:vAlign w:val="top"/>
          </w:tcPr>
          <w:p w14:paraId="2E9E2571">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97" w:type="dxa"/>
            <w:noWrap w:val="0"/>
            <w:vAlign w:val="top"/>
          </w:tcPr>
          <w:p w14:paraId="11757804">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57" w:type="dxa"/>
            <w:noWrap w:val="0"/>
            <w:vAlign w:val="top"/>
          </w:tcPr>
          <w:p w14:paraId="186E2243">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r>
    </w:tbl>
    <w:p w14:paraId="6F3208B1">
      <w:pPr>
        <w:rPr>
          <w:rFonts w:hint="eastAsia" w:ascii="仿宋" w:hAnsi="仿宋" w:eastAsia="仿宋" w:cs="仿宋"/>
          <w:color w:val="auto"/>
          <w:sz w:val="28"/>
          <w:szCs w:val="28"/>
        </w:rPr>
      </w:pPr>
    </w:p>
    <w:p w14:paraId="23F4B5C2">
      <w:pPr>
        <w:autoSpaceDE w:val="0"/>
        <w:autoSpaceDN w:val="0"/>
        <w:adjustRightInd w:val="0"/>
        <w:spacing w:line="560" w:lineRule="exact"/>
        <w:ind w:firstLine="420" w:firstLineChars="200"/>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注：本表后附合同复印件，签订时间及金额以合同中的内容为准。</w:t>
      </w:r>
    </w:p>
    <w:p w14:paraId="4B541F93">
      <w:pPr>
        <w:spacing w:line="540" w:lineRule="exact"/>
        <w:ind w:right="-197" w:rightChars="-94" w:firstLine="560" w:firstLineChars="200"/>
        <w:jc w:val="left"/>
        <w:rPr>
          <w:rFonts w:hint="eastAsia" w:ascii="仿宋" w:hAnsi="仿宋" w:eastAsia="仿宋" w:cs="仿宋"/>
          <w:color w:val="auto"/>
          <w:sz w:val="28"/>
          <w:szCs w:val="28"/>
        </w:rPr>
      </w:pPr>
    </w:p>
    <w:p w14:paraId="57585951">
      <w:pPr>
        <w:spacing w:line="540" w:lineRule="exact"/>
        <w:ind w:right="-197" w:rightChars="-94" w:firstLine="560" w:firstLineChars="200"/>
        <w:jc w:val="left"/>
        <w:rPr>
          <w:rFonts w:hint="eastAsia" w:ascii="仿宋" w:hAnsi="仿宋" w:eastAsia="仿宋" w:cs="仿宋"/>
          <w:color w:val="auto"/>
          <w:sz w:val="28"/>
          <w:szCs w:val="28"/>
        </w:rPr>
      </w:pPr>
    </w:p>
    <w:p w14:paraId="6E4EEE0E">
      <w:pPr>
        <w:widowControl/>
        <w:spacing w:line="5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sz w:val="24"/>
          <w:szCs w:val="24"/>
          <w:highlight w:val="none"/>
        </w:rPr>
        <w:t>盖单位章</w:t>
      </w:r>
      <w:r>
        <w:rPr>
          <w:rFonts w:hint="eastAsia" w:ascii="仿宋" w:hAnsi="仿宋" w:eastAsia="仿宋" w:cs="仿宋"/>
          <w:color w:val="auto"/>
          <w:kern w:val="2"/>
          <w:sz w:val="24"/>
          <w:szCs w:val="24"/>
          <w:highlight w:val="none"/>
          <w:lang w:val="en-US" w:eastAsia="zh-CN" w:bidi="ar-SA"/>
        </w:rPr>
        <w:t>）</w:t>
      </w:r>
    </w:p>
    <w:p w14:paraId="47876207">
      <w:pPr>
        <w:widowControl/>
        <w:spacing w:line="5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法定代表人或授权代表：</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（签字或盖章）</w:t>
      </w:r>
    </w:p>
    <w:p w14:paraId="415B2579">
      <w:pPr>
        <w:autoSpaceDE w:val="0"/>
        <w:autoSpaceDN w:val="0"/>
        <w:adjustRightInd w:val="0"/>
        <w:spacing w:line="360" w:lineRule="auto"/>
        <w:ind w:firstLine="240" w:firstLineChars="100"/>
        <w:jc w:val="right"/>
        <w:rPr>
          <w:rFonts w:hint="eastAsia" w:ascii="仿宋" w:hAnsi="仿宋" w:eastAsia="仿宋" w:cs="仿宋"/>
          <w:b/>
          <w:bCs/>
          <w:color w:val="auto"/>
          <w:sz w:val="21"/>
          <w:szCs w:val="21"/>
          <w:lang w:val="zh-CN" w:eastAsia="zh-CN"/>
        </w:rPr>
      </w:pPr>
      <w:r>
        <w:rPr>
          <w:rFonts w:hint="eastAsia" w:ascii="仿宋" w:hAnsi="仿宋" w:eastAsia="仿宋" w:cs="仿宋"/>
          <w:color w:val="auto"/>
          <w:kern w:val="2"/>
          <w:sz w:val="24"/>
          <w:szCs w:val="24"/>
          <w:highlight w:val="none"/>
          <w:lang w:val="en-US" w:eastAsia="zh-CN" w:bidi="ar-SA"/>
        </w:rPr>
        <w:t>日期：　　年　月　日</w:t>
      </w:r>
    </w:p>
    <w:p w14:paraId="2387322D">
      <w:pPr>
        <w:pStyle w:val="42"/>
        <w:rPr>
          <w:rFonts w:hint="eastAsia" w:ascii="仿宋" w:hAnsi="仿宋" w:eastAsia="仿宋" w:cs="仿宋"/>
        </w:rPr>
      </w:pPr>
    </w:p>
    <w:p w14:paraId="52A09A9B">
      <w:pPr>
        <w:pStyle w:val="42"/>
        <w:rPr>
          <w:rFonts w:hint="eastAsia" w:ascii="仿宋" w:hAnsi="仿宋" w:eastAsia="仿宋" w:cs="仿宋"/>
        </w:rPr>
      </w:pPr>
    </w:p>
    <w:p w14:paraId="748A3C51">
      <w:pPr>
        <w:pStyle w:val="42"/>
        <w:rPr>
          <w:rFonts w:hint="eastAsia" w:ascii="仿宋" w:hAnsi="仿宋" w:eastAsia="仿宋" w:cs="仿宋"/>
        </w:rPr>
      </w:pPr>
    </w:p>
    <w:p w14:paraId="50150C5B">
      <w:pPr>
        <w:pStyle w:val="42"/>
        <w:rPr>
          <w:rFonts w:hint="eastAsia" w:ascii="仿宋" w:hAnsi="仿宋" w:eastAsia="仿宋" w:cs="仿宋"/>
        </w:rPr>
      </w:pPr>
    </w:p>
    <w:p w14:paraId="1577470C">
      <w:pPr>
        <w:pStyle w:val="42"/>
        <w:rPr>
          <w:rFonts w:hint="eastAsia" w:ascii="仿宋" w:hAnsi="仿宋" w:eastAsia="仿宋" w:cs="仿宋"/>
        </w:rPr>
      </w:pPr>
    </w:p>
    <w:p w14:paraId="133BD222">
      <w:pPr>
        <w:spacing w:line="480" w:lineRule="auto"/>
        <w:jc w:val="left"/>
        <w:rPr>
          <w:rFonts w:hint="eastAsia" w:ascii="仿宋" w:hAnsi="仿宋" w:eastAsia="仿宋" w:cs="仿宋"/>
          <w:b/>
          <w:bCs/>
          <w:sz w:val="28"/>
          <w:szCs w:val="28"/>
          <w:lang w:eastAsia="zh-CN"/>
        </w:rPr>
      </w:pPr>
    </w:p>
    <w:p w14:paraId="1D659B1E">
      <w:pPr>
        <w:rPr>
          <w:rFonts w:hint="eastAsia" w:ascii="仿宋" w:hAnsi="仿宋" w:eastAsia="仿宋" w:cs="仿宋"/>
          <w:sz w:val="28"/>
          <w:szCs w:val="28"/>
        </w:rPr>
      </w:pPr>
    </w:p>
    <w:p w14:paraId="0E5C571A">
      <w:pPr>
        <w:pStyle w:val="84"/>
        <w:spacing w:line="400" w:lineRule="exact"/>
        <w:rPr>
          <w:rFonts w:hint="eastAsia" w:ascii="仿宋" w:hAnsi="仿宋" w:eastAsia="仿宋" w:cs="仿宋"/>
          <w:color w:val="auto"/>
          <w:highlight w:val="none"/>
        </w:rPr>
      </w:pP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b/>
          <w:bCs/>
          <w:sz w:val="28"/>
          <w:szCs w:val="28"/>
          <w:lang w:eastAsia="zh-CN"/>
        </w:rPr>
        <w:t>其它需说明事宜</w:t>
      </w:r>
    </w:p>
    <w:sectPr>
      <w:pgSz w:w="11906" w:h="16838"/>
      <w:pgMar w:top="1440" w:right="1803" w:bottom="1440" w:left="1803"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A3D2D8-83E8-4548-9212-A10CBB80B6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EAC27496-058A-4BBB-8509-211EBA3EE261}"/>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embedRegular r:id="rId3" w:fontKey="{EBD637AA-D738-4E0B-BF3D-D346F9A8D6C2}"/>
  </w:font>
  <w:font w:name="AGYXIQ+Frutiger-Cn">
    <w:altName w:val="宋体"/>
    <w:panose1 w:val="00000000000000000000"/>
    <w:charset w:val="86"/>
    <w:family w:val="swiss"/>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embedRegular r:id="rId4" w:fontKey="{5CECB625-3473-4D74-ABE7-846C72C976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F0D29">
    <w:pPr>
      <w:pStyle w:val="29"/>
      <w:ind w:right="360"/>
      <w:jc w:val="center"/>
      <w:rPr>
        <w:rFonts w:hint="eastAsia"/>
      </w:rPr>
    </w:pPr>
    <w:r>
      <w:rPr>
        <w:rFonts w:hint="eastAsia"/>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150EA">
    <w:pPr>
      <w:pStyle w:val="29"/>
      <w:ind w:right="360"/>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84CE79">
                          <w:pPr>
                            <w:pStyle w:val="2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584CE79">
                    <w:pPr>
                      <w:pStyle w:val="2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65</w:t>
                    </w:r>
                    <w:r>
                      <w:rPr>
                        <w:rFonts w:hint="eastAsia"/>
                        <w:lang w:eastAsia="zh-CN"/>
                      </w:rPr>
                      <w:fldChar w:fldCharType="end"/>
                    </w:r>
                    <w:r>
                      <w:rPr>
                        <w:rFonts w:hint="eastAsia"/>
                        <w:lang w:eastAsia="zh-CN"/>
                      </w:rPr>
                      <w:t xml:space="preserve"> 页</w:t>
                    </w:r>
                  </w:p>
                </w:txbxContent>
              </v:textbox>
            </v:shape>
          </w:pict>
        </mc:Fallback>
      </mc:AlternateContent>
    </w:r>
    <w:r>
      <w:rPr>
        <w:rFonts w:hint="eastAsia"/>
        <w:kern w:val="0"/>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A0710">
    <w:pPr>
      <w:spacing w:line="280" w:lineRule="exact"/>
      <w:jc w:val="center"/>
      <w:rPr>
        <w:rFonts w:ascii="宋体" w:hAnsi="宋体" w:cs="宋体"/>
        <w:b/>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102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13DABD41">
                          <w:pPr>
                            <w:pStyle w:val="2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65</w:t>
                          </w:r>
                          <w:r>
                            <w:rPr>
                              <w:rFonts w:hint="eastAsia"/>
                              <w:lang w:eastAsia="zh-CN"/>
                            </w:rPr>
                            <w:fldChar w:fldCharType="end"/>
                          </w:r>
                          <w:r>
                            <w:rPr>
                              <w:rFonts w:hint="eastAsia"/>
                              <w:lang w:eastAsia="zh-CN"/>
                            </w:rPr>
                            <w:t xml:space="preserve"> 页</w:t>
                          </w:r>
                        </w:p>
                      </w:txbxContent>
                    </wps:txbx>
                    <wps:bodyPr wrap="none" lIns="0" tIns="0" rIns="0" bIns="0" upright="1">
                      <a:spAutoFit/>
                    </wps:bodyPr>
                  </wps:wsp>
                </a:graphicData>
              </a:graphic>
            </wp:anchor>
          </w:drawing>
        </mc:Choice>
        <mc:Fallback>
          <w:pict>
            <v:rect id="文本框 102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XW5UtAAAAAFAQAADwAAAAAAAAABACAAAAAiAAAAZHJzL2Rvd25y&#10;ZXYueG1sUEsBAhQAFAAAAAgAh07iQL8i4vzNAQAAowMAAA4AAAAAAAAAAQAgAAAAHwEAAGRycy9l&#10;Mm9Eb2MueG1sUEsFBgAAAAAGAAYAWQEAAF4FAAAAAA==&#10;">
              <v:fill on="f" focussize="0,0"/>
              <v:stroke on="f"/>
              <v:imagedata o:title=""/>
              <o:lock v:ext="edit" aspectratio="f"/>
              <v:textbox inset="0mm,0mm,0mm,0mm" style="mso-fit-shape-to-text:t;">
                <w:txbxContent>
                  <w:p w14:paraId="13DABD41">
                    <w:pPr>
                      <w:pStyle w:val="2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65</w:t>
                    </w:r>
                    <w:r>
                      <w:rPr>
                        <w:rFonts w:hint="eastAsia"/>
                        <w:lang w:eastAsia="zh-CN"/>
                      </w:rPr>
                      <w:fldChar w:fldCharType="end"/>
                    </w:r>
                    <w:r>
                      <w:rPr>
                        <w:rFonts w:hint="eastAsia"/>
                        <w:lang w:eastAsia="zh-CN"/>
                      </w:rPr>
                      <w:t xml:space="preserve"> 页</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CE5AB">
    <w:pPr>
      <w:pStyle w:val="29"/>
      <w:tabs>
        <w:tab w:val="center" w:pos="4140"/>
        <w:tab w:val="right" w:pos="8300"/>
        <w:tab w:val="clear" w:pos="4153"/>
        <w:tab w:val="clear" w:pos="8306"/>
      </w:tabs>
      <w:rPr>
        <w:rStyle w:val="49"/>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A2FCBDA">
                          <w:pPr>
                            <w:pStyle w:val="29"/>
                            <w:tabs>
                              <w:tab w:val="center" w:pos="4140"/>
                              <w:tab w:val="right" w:pos="8300"/>
                              <w:tab w:val="clear" w:pos="4153"/>
                              <w:tab w:val="clear" w:pos="8306"/>
                            </w:tabs>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65</w:t>
                          </w:r>
                          <w:r>
                            <w:rPr>
                              <w:rFonts w:hint="eastAsia"/>
                              <w:lang w:eastAsia="zh-CN"/>
                            </w:rPr>
                            <w:fldChar w:fldCharType="end"/>
                          </w:r>
                          <w:r>
                            <w:rPr>
                              <w:rFonts w:hint="eastAsia"/>
                              <w:lang w:eastAsia="zh-CN"/>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fill on="f" focussize="0,0"/>
              <v:stroke on="f"/>
              <v:imagedata o:title=""/>
              <o:lock v:ext="edit" aspectratio="f"/>
              <v:textbox inset="0mm,0mm,0mm,0mm" style="mso-fit-shape-to-text:t;">
                <w:txbxContent>
                  <w:p w14:paraId="3A2FCBDA">
                    <w:pPr>
                      <w:pStyle w:val="29"/>
                      <w:tabs>
                        <w:tab w:val="center" w:pos="4140"/>
                        <w:tab w:val="right" w:pos="8300"/>
                        <w:tab w:val="clear" w:pos="4153"/>
                        <w:tab w:val="clear" w:pos="8306"/>
                      </w:tabs>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65</w:t>
                    </w:r>
                    <w:r>
                      <w:rPr>
                        <w:rFonts w:hint="eastAsia"/>
                        <w:lang w:eastAsia="zh-CN"/>
                      </w:rPr>
                      <w:fldChar w:fldCharType="end"/>
                    </w:r>
                    <w:r>
                      <w:rPr>
                        <w:rFonts w:hint="eastAsia"/>
                        <w:lang w:eastAsia="zh-CN"/>
                      </w:rPr>
                      <w:t xml:space="preserve"> 页</w:t>
                    </w:r>
                  </w:p>
                </w:txbxContent>
              </v:textbox>
            </v:shape>
          </w:pict>
        </mc:Fallback>
      </mc:AlternateContent>
    </w:r>
  </w:p>
  <w:p w14:paraId="5D4EF8F0">
    <w:pPr>
      <w:spacing w:line="280" w:lineRule="exact"/>
      <w:jc w:val="center"/>
      <w:rPr>
        <w:rFonts w:ascii="黑体" w:hAnsi="黑体" w:eastAsia="黑体" w:cs="黑体"/>
        <w:b/>
        <w:sz w:val="18"/>
        <w:szCs w:val="18"/>
        <w:u w:val="single"/>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EEE42">
    <w:pPr>
      <w:spacing w:line="280" w:lineRule="exact"/>
      <w:jc w:val="center"/>
      <w:rPr>
        <w:rFonts w:ascii="黑体" w:hAnsi="黑体" w:eastAsia="黑体" w:cs="黑体"/>
        <w:b/>
        <w:sz w:val="18"/>
        <w:szCs w:val="18"/>
        <w:u w:val="single"/>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D1D70E8">
                          <w:pPr>
                            <w:pStyle w:val="29"/>
                            <w:tabs>
                              <w:tab w:val="center" w:pos="4140"/>
                              <w:tab w:val="right" w:pos="8300"/>
                              <w:tab w:val="clear" w:pos="4153"/>
                              <w:tab w:val="clear" w:pos="8306"/>
                            </w:tabs>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65</w:t>
                          </w:r>
                          <w:r>
                            <w:rPr>
                              <w:rFonts w:hint="eastAsia"/>
                              <w:lang w:eastAsia="zh-CN"/>
                            </w:rPr>
                            <w:fldChar w:fldCharType="end"/>
                          </w:r>
                          <w:r>
                            <w:rPr>
                              <w:rFonts w:hint="eastAsia"/>
                              <w:lang w:eastAsia="zh-CN"/>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14:paraId="3D1D70E8">
                    <w:pPr>
                      <w:pStyle w:val="29"/>
                      <w:tabs>
                        <w:tab w:val="center" w:pos="4140"/>
                        <w:tab w:val="right" w:pos="8300"/>
                        <w:tab w:val="clear" w:pos="4153"/>
                        <w:tab w:val="clear" w:pos="8306"/>
                      </w:tabs>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65</w:t>
                    </w:r>
                    <w:r>
                      <w:rPr>
                        <w:rFonts w:hint="eastAsia"/>
                        <w:lang w:eastAsia="zh-CN"/>
                      </w:rPr>
                      <w:fldChar w:fldCharType="end"/>
                    </w:r>
                    <w:r>
                      <w:rPr>
                        <w:rFonts w:hint="eastAsia"/>
                        <w:lang w:eastAsia="zh-CN"/>
                      </w:rPr>
                      <w:t xml:space="preserve"> 页</w:t>
                    </w:r>
                  </w:p>
                </w:txbxContent>
              </v:textbox>
            </v:shape>
          </w:pict>
        </mc:Fallback>
      </mc:AlternateContent>
    </w:r>
    <w:r>
      <w:rPr>
        <w:rFonts w:hint="eastAsia"/>
        <w:b/>
        <w:szCs w:val="21"/>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AD351">
    <w:pPr>
      <w:spacing w:line="280" w:lineRule="exact"/>
      <w:rPr>
        <w:rFonts w:ascii="宋体" w:hAnsi="宋体" w:cs="宋体"/>
        <w:b/>
        <w:szCs w:val="21"/>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102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18B54654">
                          <w:pPr>
                            <w:pStyle w:val="2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65</w:t>
                          </w:r>
                          <w:r>
                            <w:rPr>
                              <w:rFonts w:hint="eastAsia"/>
                              <w:lang w:eastAsia="zh-CN"/>
                            </w:rPr>
                            <w:fldChar w:fldCharType="end"/>
                          </w:r>
                          <w:r>
                            <w:rPr>
                              <w:rFonts w:hint="eastAsia"/>
                              <w:lang w:eastAsia="zh-CN"/>
                            </w:rPr>
                            <w:t xml:space="preserve"> 页</w:t>
                          </w:r>
                        </w:p>
                      </w:txbxContent>
                    </wps:txbx>
                    <wps:bodyPr wrap="none" lIns="0" tIns="0" rIns="0" bIns="0" upright="1">
                      <a:spAutoFit/>
                    </wps:bodyPr>
                  </wps:wsp>
                </a:graphicData>
              </a:graphic>
            </wp:anchor>
          </w:drawing>
        </mc:Choice>
        <mc:Fallback>
          <w:pict>
            <v:rect id="文本框 1029"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l1uVLQAAAABQEAAA8AAAAAAAAAAQAgAAAAIgAAAGRycy9kb3du&#10;cmV2LnhtbFBLAQIUABQAAAAIAIdO4kDm+n1dzgEAAKMDAAAOAAAAAAAAAAEAIAAAAB8BAABkcnMv&#10;ZTJvRG9jLnhtbFBLBQYAAAAABgAGAFkBAABfBQAAAAA=&#10;">
              <v:fill on="f" focussize="0,0"/>
              <v:stroke on="f"/>
              <v:imagedata o:title=""/>
              <o:lock v:ext="edit" aspectratio="f"/>
              <v:textbox inset="0mm,0mm,0mm,0mm" style="mso-fit-shape-to-text:t;">
                <w:txbxContent>
                  <w:p w14:paraId="18B54654">
                    <w:pPr>
                      <w:pStyle w:val="2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65</w:t>
                    </w:r>
                    <w:r>
                      <w:rPr>
                        <w:rFonts w:hint="eastAsia"/>
                        <w:lang w:eastAsia="zh-CN"/>
                      </w:rPr>
                      <w:fldChar w:fldCharType="end"/>
                    </w:r>
                    <w:r>
                      <w:rPr>
                        <w:rFonts w:hint="eastAsia"/>
                        <w:lang w:eastAsia="zh-CN"/>
                      </w:rPr>
                      <w:t xml:space="preserve"> 页</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B46F9">
    <w:pPr>
      <w:pStyle w:val="29"/>
      <w:ind w:right="360"/>
      <w:jc w:val="center"/>
      <w:rPr>
        <w:rFonts w:hint="eastAsia"/>
        <w:kern w:val="0"/>
        <w:szCs w:val="2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649DC7">
                          <w:pPr>
                            <w:pStyle w:val="2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F649DC7">
                    <w:pPr>
                      <w:pStyle w:val="2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65</w:t>
                    </w:r>
                    <w:r>
                      <w:rPr>
                        <w:rFonts w:hint="eastAsia"/>
                        <w:lang w:eastAsia="zh-CN"/>
                      </w:rPr>
                      <w:fldChar w:fldCharType="end"/>
                    </w:r>
                    <w:r>
                      <w:rPr>
                        <w:rFonts w:hint="eastAsia"/>
                        <w:lang w:eastAsia="zh-CN"/>
                      </w:rPr>
                      <w:t xml:space="preserve"> 页</w:t>
                    </w:r>
                  </w:p>
                </w:txbxContent>
              </v:textbox>
            </v:shape>
          </w:pict>
        </mc:Fallback>
      </mc:AlternateContent>
    </w:r>
  </w:p>
  <w:p w14:paraId="6431DF4C">
    <w:pPr>
      <w:pStyle w:val="29"/>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5FBBB">
    <w:pPr>
      <w:pStyle w:val="30"/>
      <w:pBdr>
        <w:bottom w:val="none" w:color="auto" w:sz="0" w:space="1"/>
      </w:pBdr>
      <w:jc w:val="center"/>
      <w:rPr>
        <w:rFonts w:hint="eastAsia" w:ascii="仿宋_GB2312" w:hAnsi="仿宋_GB2312" w:eastAsia="仿宋_GB2312" w:cs="仿宋_GB2312"/>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F1228">
    <w:pPr>
      <w:spacing w:line="460" w:lineRule="exact"/>
      <w:jc w:val="center"/>
      <w:rPr>
        <w:rFonts w:ascii="宋体" w:hAnsi="宋体"/>
        <w:b/>
        <w:szCs w:val="21"/>
        <w:u w:val="single"/>
        <w:shd w:val="pct10" w:color="auto" w:fill="FFFFF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3D431">
    <w:pPr>
      <w:spacing w:line="220" w:lineRule="atLeast"/>
      <w:rPr>
        <w:rFonts w:ascii="黑体" w:hAnsi="黑体" w:eastAsia="黑体" w:cs="黑体"/>
        <w:b/>
        <w:bCs/>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0966B">
    <w:pPr>
      <w:spacing w:line="460" w:lineRule="exact"/>
      <w:rPr>
        <w:rFonts w:ascii="宋体" w:hAnsi="宋体"/>
        <w:b/>
        <w:szCs w:val="21"/>
        <w:u w:val="single"/>
        <w:shd w:val="pct10" w:color="auto" w:fill="FFFFFF"/>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46C9B">
    <w:pPr>
      <w:spacing w:line="460" w:lineRule="exact"/>
      <w:rPr>
        <w:rFonts w:ascii="宋体" w:hAnsi="宋体"/>
        <w:b/>
        <w:szCs w:val="21"/>
        <w:u w:val="single"/>
        <w:shd w:val="pct10" w:color="auto" w:fil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4D519"/>
    <w:multiLevelType w:val="singleLevel"/>
    <w:tmpl w:val="8344D519"/>
    <w:lvl w:ilvl="0" w:tentative="0">
      <w:start w:val="5"/>
      <w:numFmt w:val="decimal"/>
      <w:suff w:val="nothing"/>
      <w:lvlText w:val="%1、"/>
      <w:lvlJc w:val="left"/>
    </w:lvl>
  </w:abstractNum>
  <w:abstractNum w:abstractNumId="1">
    <w:nsid w:val="B5B0B6FF"/>
    <w:multiLevelType w:val="singleLevel"/>
    <w:tmpl w:val="B5B0B6FF"/>
    <w:lvl w:ilvl="0" w:tentative="0">
      <w:start w:val="1"/>
      <w:numFmt w:val="decimal"/>
      <w:lvlText w:val="%1."/>
      <w:lvlJc w:val="left"/>
      <w:pPr>
        <w:tabs>
          <w:tab w:val="left" w:pos="312"/>
        </w:tabs>
      </w:pPr>
    </w:lvl>
  </w:abstractNum>
  <w:abstractNum w:abstractNumId="2">
    <w:nsid w:val="E48839A0"/>
    <w:multiLevelType w:val="singleLevel"/>
    <w:tmpl w:val="E48839A0"/>
    <w:lvl w:ilvl="0" w:tentative="0">
      <w:start w:val="6"/>
      <w:numFmt w:val="chineseCounting"/>
      <w:suff w:val="space"/>
      <w:lvlText w:val="第%1章"/>
      <w:lvlJc w:val="left"/>
      <w:rPr>
        <w:rFonts w:hint="eastAsia"/>
      </w:rPr>
    </w:lvl>
  </w:abstractNum>
  <w:abstractNum w:abstractNumId="3">
    <w:nsid w:val="00000003"/>
    <w:multiLevelType w:val="singleLevel"/>
    <w:tmpl w:val="00000003"/>
    <w:lvl w:ilvl="0" w:tentative="0">
      <w:start w:val="7"/>
      <w:numFmt w:val="decimal"/>
      <w:suff w:val="nothing"/>
      <w:lvlText w:val="%1、"/>
      <w:lvlJc w:val="left"/>
    </w:lvl>
  </w:abstractNum>
  <w:abstractNum w:abstractNumId="4">
    <w:nsid w:val="00000007"/>
    <w:multiLevelType w:val="singleLevel"/>
    <w:tmpl w:val="00000007"/>
    <w:lvl w:ilvl="0" w:tentative="0">
      <w:start w:val="1"/>
      <w:numFmt w:val="decimal"/>
      <w:suff w:val="nothing"/>
      <w:lvlText w:val="%1、"/>
      <w:lvlJc w:val="left"/>
    </w:lvl>
  </w:abstractNum>
  <w:abstractNum w:abstractNumId="5">
    <w:nsid w:val="00000009"/>
    <w:multiLevelType w:val="singleLevel"/>
    <w:tmpl w:val="00000009"/>
    <w:lvl w:ilvl="0" w:tentative="0">
      <w:start w:val="5"/>
      <w:numFmt w:val="decimal"/>
      <w:suff w:val="nothing"/>
      <w:lvlText w:val="%1、"/>
      <w:lvlJc w:val="left"/>
    </w:lvl>
  </w:abstractNum>
  <w:abstractNum w:abstractNumId="6">
    <w:nsid w:val="0E70071A"/>
    <w:multiLevelType w:val="multilevel"/>
    <w:tmpl w:val="0E70071A"/>
    <w:lvl w:ilvl="0" w:tentative="0">
      <w:start w:val="4"/>
      <w:numFmt w:val="bullet"/>
      <w:lvlText w:val="□"/>
      <w:lvlJc w:val="left"/>
      <w:pPr>
        <w:tabs>
          <w:tab w:val="left" w:pos="420"/>
        </w:tabs>
        <w:ind w:left="420" w:hanging="210"/>
      </w:pPr>
      <w:rPr>
        <w:rFonts w:hint="eastAsia" w:ascii="宋体" w:hAnsi="宋体" w:eastAsia="宋体" w:cs="宋体"/>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abstractNum w:abstractNumId="7">
    <w:nsid w:val="1AC38F43"/>
    <w:multiLevelType w:val="singleLevel"/>
    <w:tmpl w:val="1AC38F43"/>
    <w:lvl w:ilvl="0" w:tentative="0">
      <w:start w:val="4"/>
      <w:numFmt w:val="chineseCounting"/>
      <w:suff w:val="space"/>
      <w:lvlText w:val="第%1章"/>
      <w:lvlJc w:val="left"/>
      <w:rPr>
        <w:rFonts w:hint="eastAsia"/>
        <w:sz w:val="44"/>
        <w:szCs w:val="44"/>
      </w:rPr>
    </w:lvl>
  </w:abstractNum>
  <w:abstractNum w:abstractNumId="8">
    <w:nsid w:val="22055814"/>
    <w:multiLevelType w:val="multilevel"/>
    <w:tmpl w:val="22055814"/>
    <w:lvl w:ilvl="0" w:tentative="0">
      <w:start w:val="1"/>
      <w:numFmt w:val="decimal"/>
      <w:pStyle w:val="7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10">
    <w:nsid w:val="3E4A5899"/>
    <w:multiLevelType w:val="multilevel"/>
    <w:tmpl w:val="3E4A5899"/>
    <w:lvl w:ilvl="0" w:tentative="0">
      <w:start w:val="4"/>
      <w:numFmt w:val="bullet"/>
      <w:lvlText w:val="□"/>
      <w:lvlJc w:val="left"/>
      <w:pPr>
        <w:tabs>
          <w:tab w:val="left" w:pos="570"/>
        </w:tabs>
        <w:ind w:left="570" w:hanging="360"/>
      </w:pPr>
      <w:rPr>
        <w:rFonts w:hint="eastAsia" w:ascii="宋体" w:hAnsi="宋体" w:eastAsia="宋体" w:cs="Times New Roman"/>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10"/>
  </w:num>
  <w:num w:numId="5">
    <w:abstractNumId w:val="1"/>
  </w:num>
  <w:num w:numId="6">
    <w:abstractNumId w:val="7"/>
  </w:num>
  <w:num w:numId="7">
    <w:abstractNumId w:val="2"/>
  </w:num>
  <w:num w:numId="8">
    <w:abstractNumId w:val="4"/>
  </w:num>
  <w:num w:numId="9">
    <w:abstractNumId w:val="5"/>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NmQ2NTMxZGE3YjNjZjI5NTA3YjZhOTMyZGJmYjAifQ=="/>
  </w:docVars>
  <w:rsids>
    <w:rsidRoot w:val="00E07E8D"/>
    <w:rsid w:val="0000069E"/>
    <w:rsid w:val="00000750"/>
    <w:rsid w:val="000007BB"/>
    <w:rsid w:val="000017F6"/>
    <w:rsid w:val="000022B9"/>
    <w:rsid w:val="00002731"/>
    <w:rsid w:val="00002972"/>
    <w:rsid w:val="00002D20"/>
    <w:rsid w:val="00002F7A"/>
    <w:rsid w:val="00003615"/>
    <w:rsid w:val="00003C7F"/>
    <w:rsid w:val="000040DC"/>
    <w:rsid w:val="00004491"/>
    <w:rsid w:val="0000477A"/>
    <w:rsid w:val="00005385"/>
    <w:rsid w:val="00005EA6"/>
    <w:rsid w:val="000065CF"/>
    <w:rsid w:val="00006F96"/>
    <w:rsid w:val="000074B7"/>
    <w:rsid w:val="00007669"/>
    <w:rsid w:val="00007D47"/>
    <w:rsid w:val="000107A6"/>
    <w:rsid w:val="00010F17"/>
    <w:rsid w:val="000112F4"/>
    <w:rsid w:val="000119A1"/>
    <w:rsid w:val="00011CB5"/>
    <w:rsid w:val="0001236F"/>
    <w:rsid w:val="00012598"/>
    <w:rsid w:val="00012C61"/>
    <w:rsid w:val="00013BA0"/>
    <w:rsid w:val="000140A6"/>
    <w:rsid w:val="0001500A"/>
    <w:rsid w:val="0001581C"/>
    <w:rsid w:val="00016B35"/>
    <w:rsid w:val="00016CC4"/>
    <w:rsid w:val="00016DF8"/>
    <w:rsid w:val="00017925"/>
    <w:rsid w:val="00017BA8"/>
    <w:rsid w:val="00017D45"/>
    <w:rsid w:val="00017E02"/>
    <w:rsid w:val="00017F51"/>
    <w:rsid w:val="000200BB"/>
    <w:rsid w:val="000203D3"/>
    <w:rsid w:val="00020477"/>
    <w:rsid w:val="000207EC"/>
    <w:rsid w:val="00020D27"/>
    <w:rsid w:val="000217DD"/>
    <w:rsid w:val="000218BE"/>
    <w:rsid w:val="00021AE9"/>
    <w:rsid w:val="00022627"/>
    <w:rsid w:val="0002333B"/>
    <w:rsid w:val="00023569"/>
    <w:rsid w:val="00023733"/>
    <w:rsid w:val="00023E59"/>
    <w:rsid w:val="0002418E"/>
    <w:rsid w:val="000249DF"/>
    <w:rsid w:val="00024DA6"/>
    <w:rsid w:val="000261A3"/>
    <w:rsid w:val="00026B21"/>
    <w:rsid w:val="00027108"/>
    <w:rsid w:val="00027190"/>
    <w:rsid w:val="000274A5"/>
    <w:rsid w:val="00027B9A"/>
    <w:rsid w:val="0003048D"/>
    <w:rsid w:val="00030BA1"/>
    <w:rsid w:val="00030D9B"/>
    <w:rsid w:val="00031163"/>
    <w:rsid w:val="0003181B"/>
    <w:rsid w:val="00031B94"/>
    <w:rsid w:val="00031C12"/>
    <w:rsid w:val="00031D3B"/>
    <w:rsid w:val="00032573"/>
    <w:rsid w:val="0003269B"/>
    <w:rsid w:val="00032A8D"/>
    <w:rsid w:val="00033A36"/>
    <w:rsid w:val="00033E77"/>
    <w:rsid w:val="000341F0"/>
    <w:rsid w:val="000342F8"/>
    <w:rsid w:val="00034485"/>
    <w:rsid w:val="000349A2"/>
    <w:rsid w:val="00035340"/>
    <w:rsid w:val="000353EF"/>
    <w:rsid w:val="000362E9"/>
    <w:rsid w:val="00036855"/>
    <w:rsid w:val="00036BD5"/>
    <w:rsid w:val="00037195"/>
    <w:rsid w:val="000371FE"/>
    <w:rsid w:val="000377D9"/>
    <w:rsid w:val="000379DA"/>
    <w:rsid w:val="00040272"/>
    <w:rsid w:val="0004115D"/>
    <w:rsid w:val="0004150C"/>
    <w:rsid w:val="00041D91"/>
    <w:rsid w:val="000420AB"/>
    <w:rsid w:val="00042979"/>
    <w:rsid w:val="000433B9"/>
    <w:rsid w:val="00043ECA"/>
    <w:rsid w:val="000443F3"/>
    <w:rsid w:val="00044997"/>
    <w:rsid w:val="0004577D"/>
    <w:rsid w:val="00045977"/>
    <w:rsid w:val="00045E36"/>
    <w:rsid w:val="00046582"/>
    <w:rsid w:val="00046A51"/>
    <w:rsid w:val="000500AF"/>
    <w:rsid w:val="000501D5"/>
    <w:rsid w:val="00051D6F"/>
    <w:rsid w:val="00051FFC"/>
    <w:rsid w:val="00052F51"/>
    <w:rsid w:val="00053172"/>
    <w:rsid w:val="0005443B"/>
    <w:rsid w:val="000544AB"/>
    <w:rsid w:val="000544BB"/>
    <w:rsid w:val="00054888"/>
    <w:rsid w:val="000551FD"/>
    <w:rsid w:val="000554F2"/>
    <w:rsid w:val="00055BF1"/>
    <w:rsid w:val="000561CD"/>
    <w:rsid w:val="00056351"/>
    <w:rsid w:val="000578D3"/>
    <w:rsid w:val="00060260"/>
    <w:rsid w:val="00060B4C"/>
    <w:rsid w:val="000612C9"/>
    <w:rsid w:val="00061B6E"/>
    <w:rsid w:val="00061C1A"/>
    <w:rsid w:val="0006207C"/>
    <w:rsid w:val="00062E4A"/>
    <w:rsid w:val="00063CD5"/>
    <w:rsid w:val="00064E95"/>
    <w:rsid w:val="00065286"/>
    <w:rsid w:val="0006604A"/>
    <w:rsid w:val="0006675E"/>
    <w:rsid w:val="000668A3"/>
    <w:rsid w:val="0006703E"/>
    <w:rsid w:val="00067B1B"/>
    <w:rsid w:val="00067B34"/>
    <w:rsid w:val="00070C3E"/>
    <w:rsid w:val="00071238"/>
    <w:rsid w:val="0007142D"/>
    <w:rsid w:val="0007190E"/>
    <w:rsid w:val="000722EA"/>
    <w:rsid w:val="00072537"/>
    <w:rsid w:val="00072590"/>
    <w:rsid w:val="000727D1"/>
    <w:rsid w:val="00072F21"/>
    <w:rsid w:val="00072FDD"/>
    <w:rsid w:val="000731E2"/>
    <w:rsid w:val="00073752"/>
    <w:rsid w:val="00074A65"/>
    <w:rsid w:val="00075104"/>
    <w:rsid w:val="00075E0B"/>
    <w:rsid w:val="00076569"/>
    <w:rsid w:val="00076ACA"/>
    <w:rsid w:val="0007760B"/>
    <w:rsid w:val="00077933"/>
    <w:rsid w:val="000779F1"/>
    <w:rsid w:val="00077EC3"/>
    <w:rsid w:val="00080359"/>
    <w:rsid w:val="00080440"/>
    <w:rsid w:val="00081035"/>
    <w:rsid w:val="0008239F"/>
    <w:rsid w:val="000825C8"/>
    <w:rsid w:val="0008287C"/>
    <w:rsid w:val="000837F0"/>
    <w:rsid w:val="00086189"/>
    <w:rsid w:val="00086728"/>
    <w:rsid w:val="000868AC"/>
    <w:rsid w:val="00086CA1"/>
    <w:rsid w:val="00086DB5"/>
    <w:rsid w:val="00087F47"/>
    <w:rsid w:val="0009005B"/>
    <w:rsid w:val="00090CA3"/>
    <w:rsid w:val="00091B7D"/>
    <w:rsid w:val="0009201E"/>
    <w:rsid w:val="000927DE"/>
    <w:rsid w:val="0009285B"/>
    <w:rsid w:val="00092AB2"/>
    <w:rsid w:val="00092F8F"/>
    <w:rsid w:val="0009371E"/>
    <w:rsid w:val="00093DE4"/>
    <w:rsid w:val="00093E47"/>
    <w:rsid w:val="000945C6"/>
    <w:rsid w:val="000946D3"/>
    <w:rsid w:val="00094760"/>
    <w:rsid w:val="000949E2"/>
    <w:rsid w:val="0009512C"/>
    <w:rsid w:val="00095192"/>
    <w:rsid w:val="000955F2"/>
    <w:rsid w:val="00095796"/>
    <w:rsid w:val="00095841"/>
    <w:rsid w:val="00095EC0"/>
    <w:rsid w:val="00096778"/>
    <w:rsid w:val="00096A79"/>
    <w:rsid w:val="00096E8E"/>
    <w:rsid w:val="0009711C"/>
    <w:rsid w:val="00097367"/>
    <w:rsid w:val="000973A0"/>
    <w:rsid w:val="0009782D"/>
    <w:rsid w:val="00097C26"/>
    <w:rsid w:val="00097E7A"/>
    <w:rsid w:val="000A1078"/>
    <w:rsid w:val="000A1612"/>
    <w:rsid w:val="000A1BD8"/>
    <w:rsid w:val="000A26FF"/>
    <w:rsid w:val="000A2DAC"/>
    <w:rsid w:val="000A34CA"/>
    <w:rsid w:val="000A3947"/>
    <w:rsid w:val="000A3CF2"/>
    <w:rsid w:val="000A3D69"/>
    <w:rsid w:val="000A403F"/>
    <w:rsid w:val="000A412E"/>
    <w:rsid w:val="000A4391"/>
    <w:rsid w:val="000A45DB"/>
    <w:rsid w:val="000A4823"/>
    <w:rsid w:val="000A494C"/>
    <w:rsid w:val="000A4BE9"/>
    <w:rsid w:val="000A50B7"/>
    <w:rsid w:val="000A646D"/>
    <w:rsid w:val="000A6827"/>
    <w:rsid w:val="000A6CAA"/>
    <w:rsid w:val="000A7111"/>
    <w:rsid w:val="000A7411"/>
    <w:rsid w:val="000A75D5"/>
    <w:rsid w:val="000A766E"/>
    <w:rsid w:val="000A776B"/>
    <w:rsid w:val="000B0B6E"/>
    <w:rsid w:val="000B0B74"/>
    <w:rsid w:val="000B0E51"/>
    <w:rsid w:val="000B0F3E"/>
    <w:rsid w:val="000B12AF"/>
    <w:rsid w:val="000B21A0"/>
    <w:rsid w:val="000B2517"/>
    <w:rsid w:val="000B26CB"/>
    <w:rsid w:val="000B3C24"/>
    <w:rsid w:val="000B4208"/>
    <w:rsid w:val="000B43A7"/>
    <w:rsid w:val="000B4E99"/>
    <w:rsid w:val="000B5F7E"/>
    <w:rsid w:val="000B7773"/>
    <w:rsid w:val="000B78DE"/>
    <w:rsid w:val="000B7D12"/>
    <w:rsid w:val="000C0130"/>
    <w:rsid w:val="000C03C2"/>
    <w:rsid w:val="000C05F5"/>
    <w:rsid w:val="000C06F1"/>
    <w:rsid w:val="000C1477"/>
    <w:rsid w:val="000C18DA"/>
    <w:rsid w:val="000C1A60"/>
    <w:rsid w:val="000C1FDA"/>
    <w:rsid w:val="000C252A"/>
    <w:rsid w:val="000C2E15"/>
    <w:rsid w:val="000C31D9"/>
    <w:rsid w:val="000C3353"/>
    <w:rsid w:val="000C45B5"/>
    <w:rsid w:val="000C57F6"/>
    <w:rsid w:val="000C5B36"/>
    <w:rsid w:val="000C6027"/>
    <w:rsid w:val="000C6149"/>
    <w:rsid w:val="000C6174"/>
    <w:rsid w:val="000C6BD2"/>
    <w:rsid w:val="000C6D58"/>
    <w:rsid w:val="000D09C2"/>
    <w:rsid w:val="000D0AC8"/>
    <w:rsid w:val="000D0DA0"/>
    <w:rsid w:val="000D11D7"/>
    <w:rsid w:val="000D14D4"/>
    <w:rsid w:val="000D1580"/>
    <w:rsid w:val="000D2034"/>
    <w:rsid w:val="000D211D"/>
    <w:rsid w:val="000D216A"/>
    <w:rsid w:val="000D3E80"/>
    <w:rsid w:val="000D40DF"/>
    <w:rsid w:val="000D435B"/>
    <w:rsid w:val="000D48DB"/>
    <w:rsid w:val="000D4E6D"/>
    <w:rsid w:val="000D505C"/>
    <w:rsid w:val="000D5130"/>
    <w:rsid w:val="000D5222"/>
    <w:rsid w:val="000D5CA1"/>
    <w:rsid w:val="000D6547"/>
    <w:rsid w:val="000D69D8"/>
    <w:rsid w:val="000D6B0A"/>
    <w:rsid w:val="000D769C"/>
    <w:rsid w:val="000D79A1"/>
    <w:rsid w:val="000D7A08"/>
    <w:rsid w:val="000E000E"/>
    <w:rsid w:val="000E04D5"/>
    <w:rsid w:val="000E12AF"/>
    <w:rsid w:val="000E3A7D"/>
    <w:rsid w:val="000E44D5"/>
    <w:rsid w:val="000E450C"/>
    <w:rsid w:val="000E45DD"/>
    <w:rsid w:val="000E4FFE"/>
    <w:rsid w:val="000E5BF4"/>
    <w:rsid w:val="000E62FD"/>
    <w:rsid w:val="000E639E"/>
    <w:rsid w:val="000E65DB"/>
    <w:rsid w:val="000E66A1"/>
    <w:rsid w:val="000E7429"/>
    <w:rsid w:val="000E75D2"/>
    <w:rsid w:val="000E7812"/>
    <w:rsid w:val="000E7856"/>
    <w:rsid w:val="000E7DDB"/>
    <w:rsid w:val="000F099F"/>
    <w:rsid w:val="000F0F52"/>
    <w:rsid w:val="000F1020"/>
    <w:rsid w:val="000F13C1"/>
    <w:rsid w:val="000F1761"/>
    <w:rsid w:val="000F193D"/>
    <w:rsid w:val="000F197B"/>
    <w:rsid w:val="000F19D2"/>
    <w:rsid w:val="000F1B02"/>
    <w:rsid w:val="000F1FD4"/>
    <w:rsid w:val="000F26F1"/>
    <w:rsid w:val="000F2C30"/>
    <w:rsid w:val="000F2FCF"/>
    <w:rsid w:val="000F3994"/>
    <w:rsid w:val="000F3AC0"/>
    <w:rsid w:val="000F3AFE"/>
    <w:rsid w:val="000F3E28"/>
    <w:rsid w:val="000F4903"/>
    <w:rsid w:val="000F4D99"/>
    <w:rsid w:val="000F575B"/>
    <w:rsid w:val="000F5874"/>
    <w:rsid w:val="000F6488"/>
    <w:rsid w:val="000F65A1"/>
    <w:rsid w:val="000F6F99"/>
    <w:rsid w:val="000F733B"/>
    <w:rsid w:val="000F7DFC"/>
    <w:rsid w:val="000F7EF6"/>
    <w:rsid w:val="001007DA"/>
    <w:rsid w:val="001010BE"/>
    <w:rsid w:val="0010261B"/>
    <w:rsid w:val="00102BC2"/>
    <w:rsid w:val="00104B6E"/>
    <w:rsid w:val="00104D09"/>
    <w:rsid w:val="00104DCA"/>
    <w:rsid w:val="00106EA2"/>
    <w:rsid w:val="00107250"/>
    <w:rsid w:val="00107F37"/>
    <w:rsid w:val="001101E6"/>
    <w:rsid w:val="001102CC"/>
    <w:rsid w:val="00110D6A"/>
    <w:rsid w:val="00111706"/>
    <w:rsid w:val="0011178F"/>
    <w:rsid w:val="00111A38"/>
    <w:rsid w:val="001122FB"/>
    <w:rsid w:val="00113423"/>
    <w:rsid w:val="00113F51"/>
    <w:rsid w:val="00114D24"/>
    <w:rsid w:val="00115838"/>
    <w:rsid w:val="00115ECB"/>
    <w:rsid w:val="0011640B"/>
    <w:rsid w:val="00116653"/>
    <w:rsid w:val="001169AC"/>
    <w:rsid w:val="00116CE8"/>
    <w:rsid w:val="001172EB"/>
    <w:rsid w:val="001173EF"/>
    <w:rsid w:val="001174C6"/>
    <w:rsid w:val="0011788F"/>
    <w:rsid w:val="00120B6A"/>
    <w:rsid w:val="00120BA6"/>
    <w:rsid w:val="00120F8B"/>
    <w:rsid w:val="001214F4"/>
    <w:rsid w:val="001215FD"/>
    <w:rsid w:val="00121EA8"/>
    <w:rsid w:val="00122275"/>
    <w:rsid w:val="0012286F"/>
    <w:rsid w:val="0012305D"/>
    <w:rsid w:val="00123132"/>
    <w:rsid w:val="001235AA"/>
    <w:rsid w:val="00123626"/>
    <w:rsid w:val="00123B12"/>
    <w:rsid w:val="00123F03"/>
    <w:rsid w:val="001242C0"/>
    <w:rsid w:val="00126512"/>
    <w:rsid w:val="0012672F"/>
    <w:rsid w:val="00126766"/>
    <w:rsid w:val="001267D4"/>
    <w:rsid w:val="001278FB"/>
    <w:rsid w:val="001279FA"/>
    <w:rsid w:val="0013002F"/>
    <w:rsid w:val="00130DD5"/>
    <w:rsid w:val="00131051"/>
    <w:rsid w:val="001317B6"/>
    <w:rsid w:val="001318EE"/>
    <w:rsid w:val="00131AD6"/>
    <w:rsid w:val="00131BAF"/>
    <w:rsid w:val="00131F73"/>
    <w:rsid w:val="00134C8A"/>
    <w:rsid w:val="0013529E"/>
    <w:rsid w:val="00135913"/>
    <w:rsid w:val="00135D48"/>
    <w:rsid w:val="001361C5"/>
    <w:rsid w:val="001369C7"/>
    <w:rsid w:val="00137115"/>
    <w:rsid w:val="001376FA"/>
    <w:rsid w:val="00137A6A"/>
    <w:rsid w:val="00137E4B"/>
    <w:rsid w:val="00140600"/>
    <w:rsid w:val="00140B7A"/>
    <w:rsid w:val="00140D50"/>
    <w:rsid w:val="00141457"/>
    <w:rsid w:val="001419B6"/>
    <w:rsid w:val="00141B50"/>
    <w:rsid w:val="00141C27"/>
    <w:rsid w:val="00141C80"/>
    <w:rsid w:val="00142FBD"/>
    <w:rsid w:val="0014329F"/>
    <w:rsid w:val="0014361E"/>
    <w:rsid w:val="001437ED"/>
    <w:rsid w:val="00143853"/>
    <w:rsid w:val="001441BB"/>
    <w:rsid w:val="0014435D"/>
    <w:rsid w:val="001444EA"/>
    <w:rsid w:val="001449BE"/>
    <w:rsid w:val="001454DC"/>
    <w:rsid w:val="00145935"/>
    <w:rsid w:val="001475B0"/>
    <w:rsid w:val="001479D9"/>
    <w:rsid w:val="0015044A"/>
    <w:rsid w:val="00150A0A"/>
    <w:rsid w:val="00150FD4"/>
    <w:rsid w:val="00151A8A"/>
    <w:rsid w:val="001520A4"/>
    <w:rsid w:val="001521FF"/>
    <w:rsid w:val="0015222A"/>
    <w:rsid w:val="00152D48"/>
    <w:rsid w:val="0015323F"/>
    <w:rsid w:val="00153607"/>
    <w:rsid w:val="001542EC"/>
    <w:rsid w:val="0015590F"/>
    <w:rsid w:val="00155A0B"/>
    <w:rsid w:val="00155FA7"/>
    <w:rsid w:val="0015718E"/>
    <w:rsid w:val="00157814"/>
    <w:rsid w:val="00160013"/>
    <w:rsid w:val="001615B7"/>
    <w:rsid w:val="001615ED"/>
    <w:rsid w:val="001623A6"/>
    <w:rsid w:val="0016247D"/>
    <w:rsid w:val="001629B0"/>
    <w:rsid w:val="00162DD3"/>
    <w:rsid w:val="00163714"/>
    <w:rsid w:val="00163B7B"/>
    <w:rsid w:val="00163DD1"/>
    <w:rsid w:val="001647AA"/>
    <w:rsid w:val="00164C1D"/>
    <w:rsid w:val="001660B9"/>
    <w:rsid w:val="00166103"/>
    <w:rsid w:val="00166502"/>
    <w:rsid w:val="001667B2"/>
    <w:rsid w:val="001669AF"/>
    <w:rsid w:val="001677A6"/>
    <w:rsid w:val="0017046B"/>
    <w:rsid w:val="001706FD"/>
    <w:rsid w:val="001707E5"/>
    <w:rsid w:val="00170EBF"/>
    <w:rsid w:val="00171298"/>
    <w:rsid w:val="0017256A"/>
    <w:rsid w:val="00172BC2"/>
    <w:rsid w:val="00172C82"/>
    <w:rsid w:val="001730A8"/>
    <w:rsid w:val="001732F3"/>
    <w:rsid w:val="0017384A"/>
    <w:rsid w:val="00173956"/>
    <w:rsid w:val="00174733"/>
    <w:rsid w:val="00174F76"/>
    <w:rsid w:val="0017522E"/>
    <w:rsid w:val="001757AA"/>
    <w:rsid w:val="001757EC"/>
    <w:rsid w:val="00175C11"/>
    <w:rsid w:val="00176668"/>
    <w:rsid w:val="00176D84"/>
    <w:rsid w:val="00181CB0"/>
    <w:rsid w:val="00182AC6"/>
    <w:rsid w:val="001831B0"/>
    <w:rsid w:val="001833FF"/>
    <w:rsid w:val="00183B68"/>
    <w:rsid w:val="00183D6B"/>
    <w:rsid w:val="001842A8"/>
    <w:rsid w:val="00184DB2"/>
    <w:rsid w:val="0018523A"/>
    <w:rsid w:val="00185D69"/>
    <w:rsid w:val="00187096"/>
    <w:rsid w:val="0018716C"/>
    <w:rsid w:val="001905BD"/>
    <w:rsid w:val="00190D3A"/>
    <w:rsid w:val="00190FA0"/>
    <w:rsid w:val="0019113C"/>
    <w:rsid w:val="001919B3"/>
    <w:rsid w:val="00192180"/>
    <w:rsid w:val="001926DC"/>
    <w:rsid w:val="00192D0E"/>
    <w:rsid w:val="001931AD"/>
    <w:rsid w:val="001937A6"/>
    <w:rsid w:val="001941A7"/>
    <w:rsid w:val="00194380"/>
    <w:rsid w:val="001947A6"/>
    <w:rsid w:val="00194B5A"/>
    <w:rsid w:val="00194CDC"/>
    <w:rsid w:val="0019573C"/>
    <w:rsid w:val="00195CDE"/>
    <w:rsid w:val="00196E1C"/>
    <w:rsid w:val="0019724F"/>
    <w:rsid w:val="00197390"/>
    <w:rsid w:val="0019768F"/>
    <w:rsid w:val="00197CA6"/>
    <w:rsid w:val="00197FF1"/>
    <w:rsid w:val="001A16BB"/>
    <w:rsid w:val="001A1A39"/>
    <w:rsid w:val="001A1BB4"/>
    <w:rsid w:val="001A200A"/>
    <w:rsid w:val="001A25B5"/>
    <w:rsid w:val="001A2859"/>
    <w:rsid w:val="001A31E7"/>
    <w:rsid w:val="001A333A"/>
    <w:rsid w:val="001A3B61"/>
    <w:rsid w:val="001A3F97"/>
    <w:rsid w:val="001A4351"/>
    <w:rsid w:val="001A48D6"/>
    <w:rsid w:val="001A4CBB"/>
    <w:rsid w:val="001A4F13"/>
    <w:rsid w:val="001A51FF"/>
    <w:rsid w:val="001A5341"/>
    <w:rsid w:val="001A5FB9"/>
    <w:rsid w:val="001A6402"/>
    <w:rsid w:val="001A6456"/>
    <w:rsid w:val="001A6914"/>
    <w:rsid w:val="001A7279"/>
    <w:rsid w:val="001A7815"/>
    <w:rsid w:val="001A7948"/>
    <w:rsid w:val="001B08B7"/>
    <w:rsid w:val="001B0D44"/>
    <w:rsid w:val="001B0F19"/>
    <w:rsid w:val="001B10A4"/>
    <w:rsid w:val="001B11EF"/>
    <w:rsid w:val="001B134C"/>
    <w:rsid w:val="001B1BCC"/>
    <w:rsid w:val="001B1F0D"/>
    <w:rsid w:val="001B276D"/>
    <w:rsid w:val="001B27D3"/>
    <w:rsid w:val="001B3B1B"/>
    <w:rsid w:val="001B3BDA"/>
    <w:rsid w:val="001B4452"/>
    <w:rsid w:val="001B4995"/>
    <w:rsid w:val="001B4C29"/>
    <w:rsid w:val="001B593D"/>
    <w:rsid w:val="001B6214"/>
    <w:rsid w:val="001B62A7"/>
    <w:rsid w:val="001B6719"/>
    <w:rsid w:val="001B67E0"/>
    <w:rsid w:val="001B710E"/>
    <w:rsid w:val="001B7DEB"/>
    <w:rsid w:val="001C049F"/>
    <w:rsid w:val="001C057A"/>
    <w:rsid w:val="001C0694"/>
    <w:rsid w:val="001C1468"/>
    <w:rsid w:val="001C177D"/>
    <w:rsid w:val="001C17D7"/>
    <w:rsid w:val="001C1B0E"/>
    <w:rsid w:val="001C1CD6"/>
    <w:rsid w:val="001C1DA7"/>
    <w:rsid w:val="001C23BC"/>
    <w:rsid w:val="001C2C6F"/>
    <w:rsid w:val="001C3129"/>
    <w:rsid w:val="001C356F"/>
    <w:rsid w:val="001C4011"/>
    <w:rsid w:val="001C455E"/>
    <w:rsid w:val="001C466D"/>
    <w:rsid w:val="001C4D56"/>
    <w:rsid w:val="001C5087"/>
    <w:rsid w:val="001C52AA"/>
    <w:rsid w:val="001C5AD8"/>
    <w:rsid w:val="001C6427"/>
    <w:rsid w:val="001C6628"/>
    <w:rsid w:val="001C7A24"/>
    <w:rsid w:val="001D0639"/>
    <w:rsid w:val="001D06A5"/>
    <w:rsid w:val="001D0A8F"/>
    <w:rsid w:val="001D15BD"/>
    <w:rsid w:val="001D19F9"/>
    <w:rsid w:val="001D25DD"/>
    <w:rsid w:val="001D2684"/>
    <w:rsid w:val="001D336D"/>
    <w:rsid w:val="001D4463"/>
    <w:rsid w:val="001D44A2"/>
    <w:rsid w:val="001D46A7"/>
    <w:rsid w:val="001D48FF"/>
    <w:rsid w:val="001D4A63"/>
    <w:rsid w:val="001D4E47"/>
    <w:rsid w:val="001D584C"/>
    <w:rsid w:val="001D5987"/>
    <w:rsid w:val="001D598B"/>
    <w:rsid w:val="001D65D9"/>
    <w:rsid w:val="001D66B4"/>
    <w:rsid w:val="001D69CE"/>
    <w:rsid w:val="001D6CB4"/>
    <w:rsid w:val="001D7177"/>
    <w:rsid w:val="001D719E"/>
    <w:rsid w:val="001D73CF"/>
    <w:rsid w:val="001D7DBF"/>
    <w:rsid w:val="001E0AF6"/>
    <w:rsid w:val="001E0BB2"/>
    <w:rsid w:val="001E0CBB"/>
    <w:rsid w:val="001E1ED0"/>
    <w:rsid w:val="001E204F"/>
    <w:rsid w:val="001E2B1A"/>
    <w:rsid w:val="001E304C"/>
    <w:rsid w:val="001E3078"/>
    <w:rsid w:val="001E3C15"/>
    <w:rsid w:val="001E3DA8"/>
    <w:rsid w:val="001E44B5"/>
    <w:rsid w:val="001E5DD0"/>
    <w:rsid w:val="001E61DA"/>
    <w:rsid w:val="001E652F"/>
    <w:rsid w:val="001E6720"/>
    <w:rsid w:val="001E682F"/>
    <w:rsid w:val="001E6B5D"/>
    <w:rsid w:val="001E74AF"/>
    <w:rsid w:val="001F0232"/>
    <w:rsid w:val="001F090D"/>
    <w:rsid w:val="001F09E3"/>
    <w:rsid w:val="001F1593"/>
    <w:rsid w:val="001F2048"/>
    <w:rsid w:val="001F2D43"/>
    <w:rsid w:val="001F33C0"/>
    <w:rsid w:val="001F3490"/>
    <w:rsid w:val="001F3A08"/>
    <w:rsid w:val="001F3ED3"/>
    <w:rsid w:val="001F46BD"/>
    <w:rsid w:val="001F4AFE"/>
    <w:rsid w:val="001F4EE5"/>
    <w:rsid w:val="001F58EA"/>
    <w:rsid w:val="001F5CC9"/>
    <w:rsid w:val="001F652E"/>
    <w:rsid w:val="001F6596"/>
    <w:rsid w:val="001F65A6"/>
    <w:rsid w:val="001F6C15"/>
    <w:rsid w:val="001F6F07"/>
    <w:rsid w:val="001F7974"/>
    <w:rsid w:val="001F7B87"/>
    <w:rsid w:val="001F7CCB"/>
    <w:rsid w:val="001F7D2E"/>
    <w:rsid w:val="00200242"/>
    <w:rsid w:val="00200C8F"/>
    <w:rsid w:val="0020112E"/>
    <w:rsid w:val="00201BA6"/>
    <w:rsid w:val="0020244B"/>
    <w:rsid w:val="0020253F"/>
    <w:rsid w:val="00203D56"/>
    <w:rsid w:val="00204469"/>
    <w:rsid w:val="002048D3"/>
    <w:rsid w:val="00204D67"/>
    <w:rsid w:val="0020517F"/>
    <w:rsid w:val="00205401"/>
    <w:rsid w:val="00205537"/>
    <w:rsid w:val="002059A6"/>
    <w:rsid w:val="00206EB2"/>
    <w:rsid w:val="00207013"/>
    <w:rsid w:val="002073EA"/>
    <w:rsid w:val="00207505"/>
    <w:rsid w:val="00210804"/>
    <w:rsid w:val="00210A7F"/>
    <w:rsid w:val="00210FD7"/>
    <w:rsid w:val="00211192"/>
    <w:rsid w:val="00211D38"/>
    <w:rsid w:val="0021293B"/>
    <w:rsid w:val="00212B2B"/>
    <w:rsid w:val="00212D70"/>
    <w:rsid w:val="00214833"/>
    <w:rsid w:val="002148F4"/>
    <w:rsid w:val="002154A7"/>
    <w:rsid w:val="0021575B"/>
    <w:rsid w:val="002157BF"/>
    <w:rsid w:val="002163A8"/>
    <w:rsid w:val="002178E9"/>
    <w:rsid w:val="00217D62"/>
    <w:rsid w:val="00220101"/>
    <w:rsid w:val="00220357"/>
    <w:rsid w:val="002203C9"/>
    <w:rsid w:val="0022061B"/>
    <w:rsid w:val="002207BF"/>
    <w:rsid w:val="0022111A"/>
    <w:rsid w:val="00221660"/>
    <w:rsid w:val="00221976"/>
    <w:rsid w:val="0022203A"/>
    <w:rsid w:val="00222318"/>
    <w:rsid w:val="0022430D"/>
    <w:rsid w:val="0022431F"/>
    <w:rsid w:val="0022472C"/>
    <w:rsid w:val="002263A9"/>
    <w:rsid w:val="00226424"/>
    <w:rsid w:val="00226925"/>
    <w:rsid w:val="00227107"/>
    <w:rsid w:val="0022722F"/>
    <w:rsid w:val="00227490"/>
    <w:rsid w:val="002274C9"/>
    <w:rsid w:val="00227D9A"/>
    <w:rsid w:val="0023047A"/>
    <w:rsid w:val="00230F38"/>
    <w:rsid w:val="0023127E"/>
    <w:rsid w:val="00232314"/>
    <w:rsid w:val="00232944"/>
    <w:rsid w:val="00232EE5"/>
    <w:rsid w:val="00233069"/>
    <w:rsid w:val="002331C6"/>
    <w:rsid w:val="002338A3"/>
    <w:rsid w:val="00233A41"/>
    <w:rsid w:val="0023507F"/>
    <w:rsid w:val="00235B94"/>
    <w:rsid w:val="00235CD7"/>
    <w:rsid w:val="00235D8A"/>
    <w:rsid w:val="00235F2F"/>
    <w:rsid w:val="00235FC7"/>
    <w:rsid w:val="0023732A"/>
    <w:rsid w:val="00237472"/>
    <w:rsid w:val="0023797A"/>
    <w:rsid w:val="002400C2"/>
    <w:rsid w:val="002404A5"/>
    <w:rsid w:val="00240926"/>
    <w:rsid w:val="0024098C"/>
    <w:rsid w:val="00240DCF"/>
    <w:rsid w:val="00240F8A"/>
    <w:rsid w:val="00241AC6"/>
    <w:rsid w:val="00242477"/>
    <w:rsid w:val="00243542"/>
    <w:rsid w:val="00243721"/>
    <w:rsid w:val="002439C7"/>
    <w:rsid w:val="00244286"/>
    <w:rsid w:val="0024440D"/>
    <w:rsid w:val="00244497"/>
    <w:rsid w:val="00245077"/>
    <w:rsid w:val="002452FC"/>
    <w:rsid w:val="00245553"/>
    <w:rsid w:val="00245799"/>
    <w:rsid w:val="002459F4"/>
    <w:rsid w:val="0024631A"/>
    <w:rsid w:val="00246336"/>
    <w:rsid w:val="00246A70"/>
    <w:rsid w:val="00247B3C"/>
    <w:rsid w:val="00250BB4"/>
    <w:rsid w:val="00251F54"/>
    <w:rsid w:val="00252085"/>
    <w:rsid w:val="0025374C"/>
    <w:rsid w:val="00253C49"/>
    <w:rsid w:val="0025431D"/>
    <w:rsid w:val="0025480E"/>
    <w:rsid w:val="00254C78"/>
    <w:rsid w:val="00255656"/>
    <w:rsid w:val="0025569A"/>
    <w:rsid w:val="00255B6A"/>
    <w:rsid w:val="00255CB8"/>
    <w:rsid w:val="0025665A"/>
    <w:rsid w:val="00256913"/>
    <w:rsid w:val="00256A01"/>
    <w:rsid w:val="00257526"/>
    <w:rsid w:val="002579DF"/>
    <w:rsid w:val="00260083"/>
    <w:rsid w:val="0026076F"/>
    <w:rsid w:val="002609B6"/>
    <w:rsid w:val="002612EF"/>
    <w:rsid w:val="00261BCF"/>
    <w:rsid w:val="002627A9"/>
    <w:rsid w:val="00262F17"/>
    <w:rsid w:val="00263316"/>
    <w:rsid w:val="00263B9C"/>
    <w:rsid w:val="002645AE"/>
    <w:rsid w:val="00265263"/>
    <w:rsid w:val="002652BE"/>
    <w:rsid w:val="002653B9"/>
    <w:rsid w:val="00265869"/>
    <w:rsid w:val="00265DB6"/>
    <w:rsid w:val="002660DA"/>
    <w:rsid w:val="00266DDB"/>
    <w:rsid w:val="00267067"/>
    <w:rsid w:val="00267B37"/>
    <w:rsid w:val="00267F6F"/>
    <w:rsid w:val="00270095"/>
    <w:rsid w:val="002702A3"/>
    <w:rsid w:val="002702D2"/>
    <w:rsid w:val="00270756"/>
    <w:rsid w:val="0027107B"/>
    <w:rsid w:val="00271AEB"/>
    <w:rsid w:val="002728E8"/>
    <w:rsid w:val="002731DD"/>
    <w:rsid w:val="002738FA"/>
    <w:rsid w:val="00273D58"/>
    <w:rsid w:val="002743F7"/>
    <w:rsid w:val="00274537"/>
    <w:rsid w:val="0027491D"/>
    <w:rsid w:val="00274E96"/>
    <w:rsid w:val="00275BB1"/>
    <w:rsid w:val="0027628E"/>
    <w:rsid w:val="00276AF5"/>
    <w:rsid w:val="002801F8"/>
    <w:rsid w:val="002802C9"/>
    <w:rsid w:val="00280B19"/>
    <w:rsid w:val="002812EC"/>
    <w:rsid w:val="00281DEE"/>
    <w:rsid w:val="002828E0"/>
    <w:rsid w:val="00282F8B"/>
    <w:rsid w:val="00283275"/>
    <w:rsid w:val="002833D5"/>
    <w:rsid w:val="00283591"/>
    <w:rsid w:val="00283654"/>
    <w:rsid w:val="00284241"/>
    <w:rsid w:val="002855FD"/>
    <w:rsid w:val="00285701"/>
    <w:rsid w:val="00286253"/>
    <w:rsid w:val="002866A2"/>
    <w:rsid w:val="00286871"/>
    <w:rsid w:val="00286F65"/>
    <w:rsid w:val="0028712E"/>
    <w:rsid w:val="00287A5A"/>
    <w:rsid w:val="00287FBE"/>
    <w:rsid w:val="0029009F"/>
    <w:rsid w:val="0029027D"/>
    <w:rsid w:val="00290DDC"/>
    <w:rsid w:val="00291026"/>
    <w:rsid w:val="00292458"/>
    <w:rsid w:val="002924FF"/>
    <w:rsid w:val="00293581"/>
    <w:rsid w:val="00293B34"/>
    <w:rsid w:val="00293C92"/>
    <w:rsid w:val="002942A8"/>
    <w:rsid w:val="002945D4"/>
    <w:rsid w:val="0029524A"/>
    <w:rsid w:val="002956F2"/>
    <w:rsid w:val="00295788"/>
    <w:rsid w:val="00295F0E"/>
    <w:rsid w:val="002960A5"/>
    <w:rsid w:val="002960C1"/>
    <w:rsid w:val="0029641A"/>
    <w:rsid w:val="002967BB"/>
    <w:rsid w:val="00296B0A"/>
    <w:rsid w:val="002A0372"/>
    <w:rsid w:val="002A1572"/>
    <w:rsid w:val="002A1738"/>
    <w:rsid w:val="002A180A"/>
    <w:rsid w:val="002A1832"/>
    <w:rsid w:val="002A1D82"/>
    <w:rsid w:val="002A2B22"/>
    <w:rsid w:val="002A31EA"/>
    <w:rsid w:val="002A3818"/>
    <w:rsid w:val="002A3C56"/>
    <w:rsid w:val="002A3DDF"/>
    <w:rsid w:val="002A4996"/>
    <w:rsid w:val="002A4A73"/>
    <w:rsid w:val="002A5275"/>
    <w:rsid w:val="002A5823"/>
    <w:rsid w:val="002A58F0"/>
    <w:rsid w:val="002A59F9"/>
    <w:rsid w:val="002A5B8C"/>
    <w:rsid w:val="002A5C37"/>
    <w:rsid w:val="002A61A2"/>
    <w:rsid w:val="002A663E"/>
    <w:rsid w:val="002A6C08"/>
    <w:rsid w:val="002A6D8D"/>
    <w:rsid w:val="002A75D1"/>
    <w:rsid w:val="002A7F13"/>
    <w:rsid w:val="002B09C0"/>
    <w:rsid w:val="002B0A7D"/>
    <w:rsid w:val="002B0DCA"/>
    <w:rsid w:val="002B1570"/>
    <w:rsid w:val="002B17B0"/>
    <w:rsid w:val="002B226D"/>
    <w:rsid w:val="002B2457"/>
    <w:rsid w:val="002B32B4"/>
    <w:rsid w:val="002B37FB"/>
    <w:rsid w:val="002B4586"/>
    <w:rsid w:val="002B4B5B"/>
    <w:rsid w:val="002B550E"/>
    <w:rsid w:val="002B5FD8"/>
    <w:rsid w:val="002B6304"/>
    <w:rsid w:val="002B6379"/>
    <w:rsid w:val="002B7483"/>
    <w:rsid w:val="002B7722"/>
    <w:rsid w:val="002B78CB"/>
    <w:rsid w:val="002B7BA4"/>
    <w:rsid w:val="002B7D3B"/>
    <w:rsid w:val="002C052E"/>
    <w:rsid w:val="002C0FA9"/>
    <w:rsid w:val="002C10AB"/>
    <w:rsid w:val="002C13CC"/>
    <w:rsid w:val="002C2BDC"/>
    <w:rsid w:val="002C40AF"/>
    <w:rsid w:val="002C41F8"/>
    <w:rsid w:val="002C4726"/>
    <w:rsid w:val="002C4EF7"/>
    <w:rsid w:val="002C50DF"/>
    <w:rsid w:val="002C5A41"/>
    <w:rsid w:val="002C6930"/>
    <w:rsid w:val="002C6C5B"/>
    <w:rsid w:val="002C6CBA"/>
    <w:rsid w:val="002C7130"/>
    <w:rsid w:val="002C7B81"/>
    <w:rsid w:val="002C7BEC"/>
    <w:rsid w:val="002C7FAB"/>
    <w:rsid w:val="002D035D"/>
    <w:rsid w:val="002D0512"/>
    <w:rsid w:val="002D15A8"/>
    <w:rsid w:val="002D1DD9"/>
    <w:rsid w:val="002D2043"/>
    <w:rsid w:val="002D2922"/>
    <w:rsid w:val="002D314D"/>
    <w:rsid w:val="002D3676"/>
    <w:rsid w:val="002D3ACE"/>
    <w:rsid w:val="002D3CC8"/>
    <w:rsid w:val="002D3D09"/>
    <w:rsid w:val="002D4863"/>
    <w:rsid w:val="002D4B56"/>
    <w:rsid w:val="002D4DE3"/>
    <w:rsid w:val="002D4EE4"/>
    <w:rsid w:val="002D5000"/>
    <w:rsid w:val="002D5011"/>
    <w:rsid w:val="002D54B0"/>
    <w:rsid w:val="002D57FE"/>
    <w:rsid w:val="002D67BD"/>
    <w:rsid w:val="002D6A87"/>
    <w:rsid w:val="002D6AA2"/>
    <w:rsid w:val="002D7ADA"/>
    <w:rsid w:val="002E0128"/>
    <w:rsid w:val="002E141C"/>
    <w:rsid w:val="002E1B66"/>
    <w:rsid w:val="002E2164"/>
    <w:rsid w:val="002E23C3"/>
    <w:rsid w:val="002E2AC3"/>
    <w:rsid w:val="002E2DDC"/>
    <w:rsid w:val="002E3396"/>
    <w:rsid w:val="002E41EE"/>
    <w:rsid w:val="002E43A6"/>
    <w:rsid w:val="002E6576"/>
    <w:rsid w:val="002E663A"/>
    <w:rsid w:val="002E670B"/>
    <w:rsid w:val="002E6A2E"/>
    <w:rsid w:val="002E74E9"/>
    <w:rsid w:val="002F08FE"/>
    <w:rsid w:val="002F19E0"/>
    <w:rsid w:val="002F1D53"/>
    <w:rsid w:val="002F2177"/>
    <w:rsid w:val="002F250E"/>
    <w:rsid w:val="002F28E1"/>
    <w:rsid w:val="002F36C6"/>
    <w:rsid w:val="002F37E9"/>
    <w:rsid w:val="002F38AF"/>
    <w:rsid w:val="002F4292"/>
    <w:rsid w:val="002F4EAA"/>
    <w:rsid w:val="002F649C"/>
    <w:rsid w:val="002F68B7"/>
    <w:rsid w:val="002F71A5"/>
    <w:rsid w:val="002F767A"/>
    <w:rsid w:val="002F773B"/>
    <w:rsid w:val="002F7C8F"/>
    <w:rsid w:val="00300B25"/>
    <w:rsid w:val="00300C60"/>
    <w:rsid w:val="00300E08"/>
    <w:rsid w:val="00301B7E"/>
    <w:rsid w:val="00301C60"/>
    <w:rsid w:val="00301C78"/>
    <w:rsid w:val="0030216B"/>
    <w:rsid w:val="00302699"/>
    <w:rsid w:val="003028C1"/>
    <w:rsid w:val="00302E62"/>
    <w:rsid w:val="00302EB7"/>
    <w:rsid w:val="003033B4"/>
    <w:rsid w:val="00304E15"/>
    <w:rsid w:val="00304FC8"/>
    <w:rsid w:val="00305140"/>
    <w:rsid w:val="0030515E"/>
    <w:rsid w:val="00306559"/>
    <w:rsid w:val="00306819"/>
    <w:rsid w:val="003106E6"/>
    <w:rsid w:val="00310D85"/>
    <w:rsid w:val="00311258"/>
    <w:rsid w:val="003112AB"/>
    <w:rsid w:val="00311E05"/>
    <w:rsid w:val="00311F59"/>
    <w:rsid w:val="00312335"/>
    <w:rsid w:val="00312C09"/>
    <w:rsid w:val="00312F5E"/>
    <w:rsid w:val="00314667"/>
    <w:rsid w:val="0031480C"/>
    <w:rsid w:val="00314828"/>
    <w:rsid w:val="00314A89"/>
    <w:rsid w:val="00314B35"/>
    <w:rsid w:val="003153E0"/>
    <w:rsid w:val="0031584E"/>
    <w:rsid w:val="00316001"/>
    <w:rsid w:val="00316476"/>
    <w:rsid w:val="00316BFC"/>
    <w:rsid w:val="0031729C"/>
    <w:rsid w:val="00317CCF"/>
    <w:rsid w:val="00317E54"/>
    <w:rsid w:val="003207E9"/>
    <w:rsid w:val="0032082E"/>
    <w:rsid w:val="00320D7B"/>
    <w:rsid w:val="0032138B"/>
    <w:rsid w:val="0032157B"/>
    <w:rsid w:val="00321764"/>
    <w:rsid w:val="0032193A"/>
    <w:rsid w:val="00321F4F"/>
    <w:rsid w:val="00321F8E"/>
    <w:rsid w:val="0032206E"/>
    <w:rsid w:val="00322446"/>
    <w:rsid w:val="003224B5"/>
    <w:rsid w:val="00322583"/>
    <w:rsid w:val="0032275F"/>
    <w:rsid w:val="00322D2F"/>
    <w:rsid w:val="0032355E"/>
    <w:rsid w:val="00323B8D"/>
    <w:rsid w:val="0032421B"/>
    <w:rsid w:val="0032443B"/>
    <w:rsid w:val="00324A6C"/>
    <w:rsid w:val="0032537F"/>
    <w:rsid w:val="00325880"/>
    <w:rsid w:val="00326524"/>
    <w:rsid w:val="003265F5"/>
    <w:rsid w:val="00327B51"/>
    <w:rsid w:val="00327E83"/>
    <w:rsid w:val="0033018B"/>
    <w:rsid w:val="00330277"/>
    <w:rsid w:val="00330458"/>
    <w:rsid w:val="003310B9"/>
    <w:rsid w:val="00331884"/>
    <w:rsid w:val="003322DA"/>
    <w:rsid w:val="003323B7"/>
    <w:rsid w:val="003329DC"/>
    <w:rsid w:val="00333541"/>
    <w:rsid w:val="00333597"/>
    <w:rsid w:val="0033375D"/>
    <w:rsid w:val="00334289"/>
    <w:rsid w:val="003348CA"/>
    <w:rsid w:val="00334B76"/>
    <w:rsid w:val="003352A6"/>
    <w:rsid w:val="0033554D"/>
    <w:rsid w:val="00335E22"/>
    <w:rsid w:val="00335F4C"/>
    <w:rsid w:val="00336E42"/>
    <w:rsid w:val="00337228"/>
    <w:rsid w:val="00337B2D"/>
    <w:rsid w:val="0034048B"/>
    <w:rsid w:val="00340864"/>
    <w:rsid w:val="0034165E"/>
    <w:rsid w:val="00341FB5"/>
    <w:rsid w:val="003422DB"/>
    <w:rsid w:val="00343129"/>
    <w:rsid w:val="003431CE"/>
    <w:rsid w:val="00343833"/>
    <w:rsid w:val="00343EDC"/>
    <w:rsid w:val="00343EF3"/>
    <w:rsid w:val="0034553C"/>
    <w:rsid w:val="00345692"/>
    <w:rsid w:val="00346240"/>
    <w:rsid w:val="0034632E"/>
    <w:rsid w:val="003464FC"/>
    <w:rsid w:val="0034671B"/>
    <w:rsid w:val="00346964"/>
    <w:rsid w:val="00346A36"/>
    <w:rsid w:val="003471A3"/>
    <w:rsid w:val="003471C3"/>
    <w:rsid w:val="00347D20"/>
    <w:rsid w:val="00350537"/>
    <w:rsid w:val="0035081B"/>
    <w:rsid w:val="00350B38"/>
    <w:rsid w:val="003511C6"/>
    <w:rsid w:val="00351283"/>
    <w:rsid w:val="00351F70"/>
    <w:rsid w:val="00353323"/>
    <w:rsid w:val="003544D6"/>
    <w:rsid w:val="00354ADD"/>
    <w:rsid w:val="00355019"/>
    <w:rsid w:val="00355346"/>
    <w:rsid w:val="00355358"/>
    <w:rsid w:val="00355956"/>
    <w:rsid w:val="00355E6B"/>
    <w:rsid w:val="003561A4"/>
    <w:rsid w:val="00356291"/>
    <w:rsid w:val="003563EB"/>
    <w:rsid w:val="00356787"/>
    <w:rsid w:val="00356AD3"/>
    <w:rsid w:val="00356B8F"/>
    <w:rsid w:val="00356F5F"/>
    <w:rsid w:val="00357322"/>
    <w:rsid w:val="003573EB"/>
    <w:rsid w:val="00361DFA"/>
    <w:rsid w:val="00363E11"/>
    <w:rsid w:val="003641D9"/>
    <w:rsid w:val="00364A60"/>
    <w:rsid w:val="00364BB2"/>
    <w:rsid w:val="00364C05"/>
    <w:rsid w:val="00364F98"/>
    <w:rsid w:val="00365355"/>
    <w:rsid w:val="0036661B"/>
    <w:rsid w:val="00366751"/>
    <w:rsid w:val="00366B35"/>
    <w:rsid w:val="0036710B"/>
    <w:rsid w:val="00367C5D"/>
    <w:rsid w:val="00370727"/>
    <w:rsid w:val="003707DA"/>
    <w:rsid w:val="00370B8D"/>
    <w:rsid w:val="00370BD8"/>
    <w:rsid w:val="00371160"/>
    <w:rsid w:val="00371637"/>
    <w:rsid w:val="00372BFC"/>
    <w:rsid w:val="003730E3"/>
    <w:rsid w:val="0037313B"/>
    <w:rsid w:val="003734F9"/>
    <w:rsid w:val="00373C40"/>
    <w:rsid w:val="00374088"/>
    <w:rsid w:val="003740B7"/>
    <w:rsid w:val="00374728"/>
    <w:rsid w:val="00374A5E"/>
    <w:rsid w:val="00374F74"/>
    <w:rsid w:val="00375414"/>
    <w:rsid w:val="003758F9"/>
    <w:rsid w:val="00375A53"/>
    <w:rsid w:val="00376346"/>
    <w:rsid w:val="00377434"/>
    <w:rsid w:val="00377D8C"/>
    <w:rsid w:val="00380116"/>
    <w:rsid w:val="003801E0"/>
    <w:rsid w:val="00381776"/>
    <w:rsid w:val="00381C6B"/>
    <w:rsid w:val="00381D55"/>
    <w:rsid w:val="00381DDA"/>
    <w:rsid w:val="00381E2D"/>
    <w:rsid w:val="003826B1"/>
    <w:rsid w:val="003828F3"/>
    <w:rsid w:val="00383063"/>
    <w:rsid w:val="00383B6C"/>
    <w:rsid w:val="00383BAA"/>
    <w:rsid w:val="00384337"/>
    <w:rsid w:val="0038483D"/>
    <w:rsid w:val="00385552"/>
    <w:rsid w:val="00385662"/>
    <w:rsid w:val="00386494"/>
    <w:rsid w:val="00386724"/>
    <w:rsid w:val="00386B30"/>
    <w:rsid w:val="00386EB5"/>
    <w:rsid w:val="00387659"/>
    <w:rsid w:val="00390059"/>
    <w:rsid w:val="00390284"/>
    <w:rsid w:val="003903A7"/>
    <w:rsid w:val="0039061B"/>
    <w:rsid w:val="00390AED"/>
    <w:rsid w:val="003914BE"/>
    <w:rsid w:val="00392E52"/>
    <w:rsid w:val="003931D3"/>
    <w:rsid w:val="00393454"/>
    <w:rsid w:val="0039357D"/>
    <w:rsid w:val="003935F3"/>
    <w:rsid w:val="003939EC"/>
    <w:rsid w:val="00393B8B"/>
    <w:rsid w:val="00393C58"/>
    <w:rsid w:val="003946A3"/>
    <w:rsid w:val="0039529B"/>
    <w:rsid w:val="003953DE"/>
    <w:rsid w:val="0039540F"/>
    <w:rsid w:val="003957B1"/>
    <w:rsid w:val="00395883"/>
    <w:rsid w:val="00395D72"/>
    <w:rsid w:val="00396215"/>
    <w:rsid w:val="003962D6"/>
    <w:rsid w:val="00396A3E"/>
    <w:rsid w:val="00396ABD"/>
    <w:rsid w:val="00396F96"/>
    <w:rsid w:val="00397274"/>
    <w:rsid w:val="00397DC1"/>
    <w:rsid w:val="003A0323"/>
    <w:rsid w:val="003A207B"/>
    <w:rsid w:val="003A337B"/>
    <w:rsid w:val="003A3BE1"/>
    <w:rsid w:val="003A3D9B"/>
    <w:rsid w:val="003A42CD"/>
    <w:rsid w:val="003A4618"/>
    <w:rsid w:val="003A4A8E"/>
    <w:rsid w:val="003A4E23"/>
    <w:rsid w:val="003A5A10"/>
    <w:rsid w:val="003A7457"/>
    <w:rsid w:val="003A77FD"/>
    <w:rsid w:val="003B015B"/>
    <w:rsid w:val="003B02CF"/>
    <w:rsid w:val="003B04D9"/>
    <w:rsid w:val="003B0C36"/>
    <w:rsid w:val="003B0C4B"/>
    <w:rsid w:val="003B0E47"/>
    <w:rsid w:val="003B0FFC"/>
    <w:rsid w:val="003B10DD"/>
    <w:rsid w:val="003B1145"/>
    <w:rsid w:val="003B18A1"/>
    <w:rsid w:val="003B1F23"/>
    <w:rsid w:val="003B2BB8"/>
    <w:rsid w:val="003B4BE3"/>
    <w:rsid w:val="003B5071"/>
    <w:rsid w:val="003B563E"/>
    <w:rsid w:val="003B657B"/>
    <w:rsid w:val="003B6889"/>
    <w:rsid w:val="003B6E50"/>
    <w:rsid w:val="003B7226"/>
    <w:rsid w:val="003C0B2F"/>
    <w:rsid w:val="003C0DB2"/>
    <w:rsid w:val="003C1534"/>
    <w:rsid w:val="003C24BD"/>
    <w:rsid w:val="003C2575"/>
    <w:rsid w:val="003C268F"/>
    <w:rsid w:val="003C35EF"/>
    <w:rsid w:val="003C365B"/>
    <w:rsid w:val="003C3870"/>
    <w:rsid w:val="003C391D"/>
    <w:rsid w:val="003C3924"/>
    <w:rsid w:val="003C4874"/>
    <w:rsid w:val="003C4B97"/>
    <w:rsid w:val="003C51BF"/>
    <w:rsid w:val="003C5620"/>
    <w:rsid w:val="003C5994"/>
    <w:rsid w:val="003C5BCD"/>
    <w:rsid w:val="003C6C4C"/>
    <w:rsid w:val="003C6FCC"/>
    <w:rsid w:val="003C728F"/>
    <w:rsid w:val="003C7453"/>
    <w:rsid w:val="003C7534"/>
    <w:rsid w:val="003C7BD0"/>
    <w:rsid w:val="003C7DC9"/>
    <w:rsid w:val="003D04AE"/>
    <w:rsid w:val="003D0AD3"/>
    <w:rsid w:val="003D1A2A"/>
    <w:rsid w:val="003D1B22"/>
    <w:rsid w:val="003D204F"/>
    <w:rsid w:val="003D2162"/>
    <w:rsid w:val="003D2439"/>
    <w:rsid w:val="003D2630"/>
    <w:rsid w:val="003D2706"/>
    <w:rsid w:val="003D3692"/>
    <w:rsid w:val="003D4062"/>
    <w:rsid w:val="003D4AE8"/>
    <w:rsid w:val="003D55C6"/>
    <w:rsid w:val="003D59F9"/>
    <w:rsid w:val="003D5B5A"/>
    <w:rsid w:val="003D6B22"/>
    <w:rsid w:val="003D6C1A"/>
    <w:rsid w:val="003D71F7"/>
    <w:rsid w:val="003E088B"/>
    <w:rsid w:val="003E1127"/>
    <w:rsid w:val="003E12F8"/>
    <w:rsid w:val="003E1A30"/>
    <w:rsid w:val="003E2861"/>
    <w:rsid w:val="003E29C5"/>
    <w:rsid w:val="003E2C08"/>
    <w:rsid w:val="003E2EF4"/>
    <w:rsid w:val="003E3662"/>
    <w:rsid w:val="003E396F"/>
    <w:rsid w:val="003E4D9A"/>
    <w:rsid w:val="003E5091"/>
    <w:rsid w:val="003E5A58"/>
    <w:rsid w:val="003E6352"/>
    <w:rsid w:val="003E648F"/>
    <w:rsid w:val="003E6A8D"/>
    <w:rsid w:val="003E6E29"/>
    <w:rsid w:val="003E747F"/>
    <w:rsid w:val="003E7F03"/>
    <w:rsid w:val="003F0748"/>
    <w:rsid w:val="003F0D12"/>
    <w:rsid w:val="003F0E11"/>
    <w:rsid w:val="003F0EF5"/>
    <w:rsid w:val="003F0F03"/>
    <w:rsid w:val="003F1542"/>
    <w:rsid w:val="003F1830"/>
    <w:rsid w:val="003F1E78"/>
    <w:rsid w:val="003F290A"/>
    <w:rsid w:val="003F2B91"/>
    <w:rsid w:val="003F2DD7"/>
    <w:rsid w:val="003F341D"/>
    <w:rsid w:val="003F3EF7"/>
    <w:rsid w:val="003F428A"/>
    <w:rsid w:val="003F43B4"/>
    <w:rsid w:val="003F4413"/>
    <w:rsid w:val="003F4CB1"/>
    <w:rsid w:val="003F583B"/>
    <w:rsid w:val="003F593E"/>
    <w:rsid w:val="003F5B25"/>
    <w:rsid w:val="003F6893"/>
    <w:rsid w:val="003F7B50"/>
    <w:rsid w:val="003F7EEF"/>
    <w:rsid w:val="004002F8"/>
    <w:rsid w:val="004008F7"/>
    <w:rsid w:val="0040176E"/>
    <w:rsid w:val="00402433"/>
    <w:rsid w:val="00402858"/>
    <w:rsid w:val="00402F62"/>
    <w:rsid w:val="00403FF7"/>
    <w:rsid w:val="00404853"/>
    <w:rsid w:val="00404B0D"/>
    <w:rsid w:val="004053F8"/>
    <w:rsid w:val="00405703"/>
    <w:rsid w:val="0040583E"/>
    <w:rsid w:val="004058AB"/>
    <w:rsid w:val="0040695F"/>
    <w:rsid w:val="004074B6"/>
    <w:rsid w:val="004076D5"/>
    <w:rsid w:val="004102B2"/>
    <w:rsid w:val="00410911"/>
    <w:rsid w:val="004109EA"/>
    <w:rsid w:val="0041154D"/>
    <w:rsid w:val="00411796"/>
    <w:rsid w:val="00412843"/>
    <w:rsid w:val="00412BF2"/>
    <w:rsid w:val="00413CCA"/>
    <w:rsid w:val="00414060"/>
    <w:rsid w:val="004141DF"/>
    <w:rsid w:val="00414326"/>
    <w:rsid w:val="004152DE"/>
    <w:rsid w:val="00415DCE"/>
    <w:rsid w:val="00416032"/>
    <w:rsid w:val="004171DD"/>
    <w:rsid w:val="00417238"/>
    <w:rsid w:val="00417F34"/>
    <w:rsid w:val="0042061D"/>
    <w:rsid w:val="004210D1"/>
    <w:rsid w:val="004216B8"/>
    <w:rsid w:val="00421C89"/>
    <w:rsid w:val="00421D23"/>
    <w:rsid w:val="00422920"/>
    <w:rsid w:val="00422EAC"/>
    <w:rsid w:val="0042350E"/>
    <w:rsid w:val="0042388B"/>
    <w:rsid w:val="004239F0"/>
    <w:rsid w:val="00423EBE"/>
    <w:rsid w:val="004246C8"/>
    <w:rsid w:val="00424792"/>
    <w:rsid w:val="00424A93"/>
    <w:rsid w:val="00424D63"/>
    <w:rsid w:val="0042593A"/>
    <w:rsid w:val="00425BD4"/>
    <w:rsid w:val="004267E6"/>
    <w:rsid w:val="00426A31"/>
    <w:rsid w:val="00426D55"/>
    <w:rsid w:val="00430E97"/>
    <w:rsid w:val="0043135E"/>
    <w:rsid w:val="004317D4"/>
    <w:rsid w:val="004318FF"/>
    <w:rsid w:val="00431D61"/>
    <w:rsid w:val="00432542"/>
    <w:rsid w:val="00432945"/>
    <w:rsid w:val="00432C83"/>
    <w:rsid w:val="004339C6"/>
    <w:rsid w:val="00433AC3"/>
    <w:rsid w:val="00433B45"/>
    <w:rsid w:val="00433E47"/>
    <w:rsid w:val="004343E1"/>
    <w:rsid w:val="00434968"/>
    <w:rsid w:val="00434A35"/>
    <w:rsid w:val="00435058"/>
    <w:rsid w:val="004350DF"/>
    <w:rsid w:val="00435679"/>
    <w:rsid w:val="004360B8"/>
    <w:rsid w:val="00436FAC"/>
    <w:rsid w:val="004374D4"/>
    <w:rsid w:val="00437FF0"/>
    <w:rsid w:val="004401D2"/>
    <w:rsid w:val="00440652"/>
    <w:rsid w:val="00440750"/>
    <w:rsid w:val="004415F7"/>
    <w:rsid w:val="00442A9D"/>
    <w:rsid w:val="00442D87"/>
    <w:rsid w:val="004432DB"/>
    <w:rsid w:val="00443432"/>
    <w:rsid w:val="00443714"/>
    <w:rsid w:val="00443AF9"/>
    <w:rsid w:val="00444619"/>
    <w:rsid w:val="004447BE"/>
    <w:rsid w:val="00444B9F"/>
    <w:rsid w:val="00444D0A"/>
    <w:rsid w:val="00444FC2"/>
    <w:rsid w:val="00445C88"/>
    <w:rsid w:val="00445D24"/>
    <w:rsid w:val="004461C3"/>
    <w:rsid w:val="004466CE"/>
    <w:rsid w:val="004467D9"/>
    <w:rsid w:val="00447637"/>
    <w:rsid w:val="004476EC"/>
    <w:rsid w:val="0045042F"/>
    <w:rsid w:val="00451FA0"/>
    <w:rsid w:val="004523CB"/>
    <w:rsid w:val="00452903"/>
    <w:rsid w:val="004533F3"/>
    <w:rsid w:val="00453B16"/>
    <w:rsid w:val="00454ACA"/>
    <w:rsid w:val="00454AE2"/>
    <w:rsid w:val="00454CBF"/>
    <w:rsid w:val="00454CFB"/>
    <w:rsid w:val="00455C75"/>
    <w:rsid w:val="00456115"/>
    <w:rsid w:val="0045662D"/>
    <w:rsid w:val="004577B1"/>
    <w:rsid w:val="0045780E"/>
    <w:rsid w:val="00457859"/>
    <w:rsid w:val="0045789C"/>
    <w:rsid w:val="00460343"/>
    <w:rsid w:val="004607AE"/>
    <w:rsid w:val="00460AA0"/>
    <w:rsid w:val="00460C45"/>
    <w:rsid w:val="00460CA0"/>
    <w:rsid w:val="0046109C"/>
    <w:rsid w:val="00461945"/>
    <w:rsid w:val="00461A5E"/>
    <w:rsid w:val="00461B58"/>
    <w:rsid w:val="00461FEB"/>
    <w:rsid w:val="00464025"/>
    <w:rsid w:val="00464308"/>
    <w:rsid w:val="00464329"/>
    <w:rsid w:val="00464643"/>
    <w:rsid w:val="00465015"/>
    <w:rsid w:val="00465044"/>
    <w:rsid w:val="00465286"/>
    <w:rsid w:val="00465376"/>
    <w:rsid w:val="00465A06"/>
    <w:rsid w:val="00465A23"/>
    <w:rsid w:val="00465D98"/>
    <w:rsid w:val="00466CEE"/>
    <w:rsid w:val="004676B2"/>
    <w:rsid w:val="00467947"/>
    <w:rsid w:val="004679F6"/>
    <w:rsid w:val="00470143"/>
    <w:rsid w:val="004703CB"/>
    <w:rsid w:val="00470D68"/>
    <w:rsid w:val="00471F93"/>
    <w:rsid w:val="00472BC3"/>
    <w:rsid w:val="00473494"/>
    <w:rsid w:val="0047378E"/>
    <w:rsid w:val="00474115"/>
    <w:rsid w:val="004742D5"/>
    <w:rsid w:val="00474FFB"/>
    <w:rsid w:val="0047515B"/>
    <w:rsid w:val="00475449"/>
    <w:rsid w:val="0047581F"/>
    <w:rsid w:val="004761BC"/>
    <w:rsid w:val="004762A2"/>
    <w:rsid w:val="0047647D"/>
    <w:rsid w:val="0047659F"/>
    <w:rsid w:val="004767C6"/>
    <w:rsid w:val="00476B42"/>
    <w:rsid w:val="00476D82"/>
    <w:rsid w:val="00476E19"/>
    <w:rsid w:val="00476EE6"/>
    <w:rsid w:val="0047769A"/>
    <w:rsid w:val="00477A5A"/>
    <w:rsid w:val="004808BF"/>
    <w:rsid w:val="00480CAF"/>
    <w:rsid w:val="0048218A"/>
    <w:rsid w:val="00482880"/>
    <w:rsid w:val="00482B9B"/>
    <w:rsid w:val="00482C88"/>
    <w:rsid w:val="00483AA6"/>
    <w:rsid w:val="00483B0E"/>
    <w:rsid w:val="00484134"/>
    <w:rsid w:val="00484170"/>
    <w:rsid w:val="00485CC8"/>
    <w:rsid w:val="00485F03"/>
    <w:rsid w:val="0048608C"/>
    <w:rsid w:val="00486603"/>
    <w:rsid w:val="00486680"/>
    <w:rsid w:val="00486953"/>
    <w:rsid w:val="00486BF3"/>
    <w:rsid w:val="00486E76"/>
    <w:rsid w:val="004876A8"/>
    <w:rsid w:val="0048777A"/>
    <w:rsid w:val="004908BA"/>
    <w:rsid w:val="00492167"/>
    <w:rsid w:val="004921AF"/>
    <w:rsid w:val="004922F8"/>
    <w:rsid w:val="0049298C"/>
    <w:rsid w:val="00492FAB"/>
    <w:rsid w:val="0049313A"/>
    <w:rsid w:val="0049316E"/>
    <w:rsid w:val="00493811"/>
    <w:rsid w:val="004940F8"/>
    <w:rsid w:val="004950C6"/>
    <w:rsid w:val="00495477"/>
    <w:rsid w:val="004958F0"/>
    <w:rsid w:val="00495AB1"/>
    <w:rsid w:val="004972CA"/>
    <w:rsid w:val="00497878"/>
    <w:rsid w:val="00497910"/>
    <w:rsid w:val="00497CFE"/>
    <w:rsid w:val="00497F7D"/>
    <w:rsid w:val="004A0571"/>
    <w:rsid w:val="004A09C9"/>
    <w:rsid w:val="004A0F19"/>
    <w:rsid w:val="004A1FCC"/>
    <w:rsid w:val="004A268E"/>
    <w:rsid w:val="004A3140"/>
    <w:rsid w:val="004A321A"/>
    <w:rsid w:val="004A3E10"/>
    <w:rsid w:val="004A457B"/>
    <w:rsid w:val="004A4AA8"/>
    <w:rsid w:val="004A4D6D"/>
    <w:rsid w:val="004A5792"/>
    <w:rsid w:val="004A5EBC"/>
    <w:rsid w:val="004A6033"/>
    <w:rsid w:val="004A6BA8"/>
    <w:rsid w:val="004A6C03"/>
    <w:rsid w:val="004A6E1D"/>
    <w:rsid w:val="004A6F89"/>
    <w:rsid w:val="004A70C2"/>
    <w:rsid w:val="004A7867"/>
    <w:rsid w:val="004A79F2"/>
    <w:rsid w:val="004A7A68"/>
    <w:rsid w:val="004A7ED9"/>
    <w:rsid w:val="004A7FAA"/>
    <w:rsid w:val="004B0033"/>
    <w:rsid w:val="004B0197"/>
    <w:rsid w:val="004B0201"/>
    <w:rsid w:val="004B05C8"/>
    <w:rsid w:val="004B1BB8"/>
    <w:rsid w:val="004B1DFD"/>
    <w:rsid w:val="004B2C17"/>
    <w:rsid w:val="004B3ED9"/>
    <w:rsid w:val="004B4595"/>
    <w:rsid w:val="004B4707"/>
    <w:rsid w:val="004B52CF"/>
    <w:rsid w:val="004B53AD"/>
    <w:rsid w:val="004B54FD"/>
    <w:rsid w:val="004B5ED1"/>
    <w:rsid w:val="004B65CF"/>
    <w:rsid w:val="004B6613"/>
    <w:rsid w:val="004B72C1"/>
    <w:rsid w:val="004B7631"/>
    <w:rsid w:val="004B7AFD"/>
    <w:rsid w:val="004B7B83"/>
    <w:rsid w:val="004B7CEF"/>
    <w:rsid w:val="004C0E2B"/>
    <w:rsid w:val="004C0E69"/>
    <w:rsid w:val="004C1CB1"/>
    <w:rsid w:val="004C29C5"/>
    <w:rsid w:val="004C2C94"/>
    <w:rsid w:val="004C31F4"/>
    <w:rsid w:val="004C3404"/>
    <w:rsid w:val="004C3468"/>
    <w:rsid w:val="004C3527"/>
    <w:rsid w:val="004C365F"/>
    <w:rsid w:val="004C4166"/>
    <w:rsid w:val="004C42FE"/>
    <w:rsid w:val="004C472B"/>
    <w:rsid w:val="004C4992"/>
    <w:rsid w:val="004C512E"/>
    <w:rsid w:val="004C51FD"/>
    <w:rsid w:val="004C5B27"/>
    <w:rsid w:val="004C5FC5"/>
    <w:rsid w:val="004C6ACC"/>
    <w:rsid w:val="004C7210"/>
    <w:rsid w:val="004C73C2"/>
    <w:rsid w:val="004C79AE"/>
    <w:rsid w:val="004C79FA"/>
    <w:rsid w:val="004C7B72"/>
    <w:rsid w:val="004C7D1F"/>
    <w:rsid w:val="004C7E85"/>
    <w:rsid w:val="004D1023"/>
    <w:rsid w:val="004D1B9D"/>
    <w:rsid w:val="004D20A2"/>
    <w:rsid w:val="004D235F"/>
    <w:rsid w:val="004D23A4"/>
    <w:rsid w:val="004D24D5"/>
    <w:rsid w:val="004D391E"/>
    <w:rsid w:val="004D4CF9"/>
    <w:rsid w:val="004D500E"/>
    <w:rsid w:val="004D5BF5"/>
    <w:rsid w:val="004D6055"/>
    <w:rsid w:val="004D6995"/>
    <w:rsid w:val="004D7200"/>
    <w:rsid w:val="004D7229"/>
    <w:rsid w:val="004D77C4"/>
    <w:rsid w:val="004E04EB"/>
    <w:rsid w:val="004E07E3"/>
    <w:rsid w:val="004E08ED"/>
    <w:rsid w:val="004E0FC9"/>
    <w:rsid w:val="004E14E2"/>
    <w:rsid w:val="004E1B5C"/>
    <w:rsid w:val="004E2802"/>
    <w:rsid w:val="004E2ADC"/>
    <w:rsid w:val="004E3351"/>
    <w:rsid w:val="004E33C6"/>
    <w:rsid w:val="004E34F0"/>
    <w:rsid w:val="004E4AB3"/>
    <w:rsid w:val="004E5121"/>
    <w:rsid w:val="004E5AF9"/>
    <w:rsid w:val="004E61C5"/>
    <w:rsid w:val="004E6AFB"/>
    <w:rsid w:val="004E6C36"/>
    <w:rsid w:val="004E74F3"/>
    <w:rsid w:val="004E7833"/>
    <w:rsid w:val="004E7D61"/>
    <w:rsid w:val="004E7F93"/>
    <w:rsid w:val="004F01C7"/>
    <w:rsid w:val="004F0905"/>
    <w:rsid w:val="004F1362"/>
    <w:rsid w:val="004F20F3"/>
    <w:rsid w:val="004F2F26"/>
    <w:rsid w:val="004F3486"/>
    <w:rsid w:val="004F3576"/>
    <w:rsid w:val="004F391D"/>
    <w:rsid w:val="004F4B9A"/>
    <w:rsid w:val="004F4EC4"/>
    <w:rsid w:val="004F4F72"/>
    <w:rsid w:val="004F57B6"/>
    <w:rsid w:val="004F5990"/>
    <w:rsid w:val="004F625E"/>
    <w:rsid w:val="004F7720"/>
    <w:rsid w:val="004F7CC9"/>
    <w:rsid w:val="00500607"/>
    <w:rsid w:val="00500A09"/>
    <w:rsid w:val="00501225"/>
    <w:rsid w:val="0050154D"/>
    <w:rsid w:val="00501EE0"/>
    <w:rsid w:val="005027CB"/>
    <w:rsid w:val="0050287A"/>
    <w:rsid w:val="00503387"/>
    <w:rsid w:val="00503C30"/>
    <w:rsid w:val="00504DFC"/>
    <w:rsid w:val="005054BB"/>
    <w:rsid w:val="00505502"/>
    <w:rsid w:val="005057E0"/>
    <w:rsid w:val="0050592D"/>
    <w:rsid w:val="00505AC2"/>
    <w:rsid w:val="00505D90"/>
    <w:rsid w:val="00505DAA"/>
    <w:rsid w:val="0050647B"/>
    <w:rsid w:val="0050666A"/>
    <w:rsid w:val="0050696D"/>
    <w:rsid w:val="00506B5E"/>
    <w:rsid w:val="00506FAD"/>
    <w:rsid w:val="0051008D"/>
    <w:rsid w:val="00510162"/>
    <w:rsid w:val="00511CCC"/>
    <w:rsid w:val="00512F1B"/>
    <w:rsid w:val="0051361C"/>
    <w:rsid w:val="00513B63"/>
    <w:rsid w:val="00514198"/>
    <w:rsid w:val="0051494F"/>
    <w:rsid w:val="00514CF6"/>
    <w:rsid w:val="00514D69"/>
    <w:rsid w:val="0051517F"/>
    <w:rsid w:val="005151E3"/>
    <w:rsid w:val="0051540E"/>
    <w:rsid w:val="00515569"/>
    <w:rsid w:val="00515CB2"/>
    <w:rsid w:val="00515EA1"/>
    <w:rsid w:val="005160AF"/>
    <w:rsid w:val="00516371"/>
    <w:rsid w:val="00516712"/>
    <w:rsid w:val="00516C7E"/>
    <w:rsid w:val="00516D0D"/>
    <w:rsid w:val="005178C9"/>
    <w:rsid w:val="00517A49"/>
    <w:rsid w:val="00517FA3"/>
    <w:rsid w:val="00520163"/>
    <w:rsid w:val="00520685"/>
    <w:rsid w:val="00520E7A"/>
    <w:rsid w:val="0052179A"/>
    <w:rsid w:val="00522113"/>
    <w:rsid w:val="00523070"/>
    <w:rsid w:val="00523929"/>
    <w:rsid w:val="00523DF3"/>
    <w:rsid w:val="0052531E"/>
    <w:rsid w:val="005259C2"/>
    <w:rsid w:val="005259D4"/>
    <w:rsid w:val="005265A9"/>
    <w:rsid w:val="00526CED"/>
    <w:rsid w:val="00527506"/>
    <w:rsid w:val="00530755"/>
    <w:rsid w:val="0053082B"/>
    <w:rsid w:val="00533017"/>
    <w:rsid w:val="0053393F"/>
    <w:rsid w:val="00534094"/>
    <w:rsid w:val="00534357"/>
    <w:rsid w:val="005355FB"/>
    <w:rsid w:val="00535D61"/>
    <w:rsid w:val="00535EBD"/>
    <w:rsid w:val="00537088"/>
    <w:rsid w:val="00537101"/>
    <w:rsid w:val="00537D00"/>
    <w:rsid w:val="0054046A"/>
    <w:rsid w:val="00540AA6"/>
    <w:rsid w:val="00541246"/>
    <w:rsid w:val="00541EB7"/>
    <w:rsid w:val="005421D0"/>
    <w:rsid w:val="00542489"/>
    <w:rsid w:val="00542713"/>
    <w:rsid w:val="00542B1C"/>
    <w:rsid w:val="00542B79"/>
    <w:rsid w:val="00543500"/>
    <w:rsid w:val="00543DF8"/>
    <w:rsid w:val="0054432D"/>
    <w:rsid w:val="00544654"/>
    <w:rsid w:val="00545664"/>
    <w:rsid w:val="00545A3F"/>
    <w:rsid w:val="00545D7C"/>
    <w:rsid w:val="00546301"/>
    <w:rsid w:val="005463D1"/>
    <w:rsid w:val="00546486"/>
    <w:rsid w:val="00546F53"/>
    <w:rsid w:val="00547274"/>
    <w:rsid w:val="00547482"/>
    <w:rsid w:val="005477F2"/>
    <w:rsid w:val="00547905"/>
    <w:rsid w:val="00547AFC"/>
    <w:rsid w:val="00547DCA"/>
    <w:rsid w:val="00550736"/>
    <w:rsid w:val="00550893"/>
    <w:rsid w:val="00550AB5"/>
    <w:rsid w:val="0055161E"/>
    <w:rsid w:val="005523D2"/>
    <w:rsid w:val="005524D6"/>
    <w:rsid w:val="00552BFC"/>
    <w:rsid w:val="00553211"/>
    <w:rsid w:val="00553DD3"/>
    <w:rsid w:val="00554690"/>
    <w:rsid w:val="0055473F"/>
    <w:rsid w:val="00554CCF"/>
    <w:rsid w:val="00554F15"/>
    <w:rsid w:val="0055602B"/>
    <w:rsid w:val="00556780"/>
    <w:rsid w:val="00556AB5"/>
    <w:rsid w:val="0055705B"/>
    <w:rsid w:val="00557611"/>
    <w:rsid w:val="00557967"/>
    <w:rsid w:val="005603FD"/>
    <w:rsid w:val="0056088C"/>
    <w:rsid w:val="005610CC"/>
    <w:rsid w:val="0056136E"/>
    <w:rsid w:val="00561C09"/>
    <w:rsid w:val="00562397"/>
    <w:rsid w:val="0056293C"/>
    <w:rsid w:val="00562AD0"/>
    <w:rsid w:val="00562B5E"/>
    <w:rsid w:val="00562CB9"/>
    <w:rsid w:val="00562F7C"/>
    <w:rsid w:val="005644C5"/>
    <w:rsid w:val="00564717"/>
    <w:rsid w:val="00565912"/>
    <w:rsid w:val="00566B4C"/>
    <w:rsid w:val="00567365"/>
    <w:rsid w:val="00570370"/>
    <w:rsid w:val="0057074D"/>
    <w:rsid w:val="005707D5"/>
    <w:rsid w:val="00570C02"/>
    <w:rsid w:val="00571153"/>
    <w:rsid w:val="00571633"/>
    <w:rsid w:val="0057163E"/>
    <w:rsid w:val="0057290B"/>
    <w:rsid w:val="00572C82"/>
    <w:rsid w:val="00573184"/>
    <w:rsid w:val="005731F8"/>
    <w:rsid w:val="005737AC"/>
    <w:rsid w:val="00573A46"/>
    <w:rsid w:val="00574037"/>
    <w:rsid w:val="00574635"/>
    <w:rsid w:val="0057483D"/>
    <w:rsid w:val="00574BAB"/>
    <w:rsid w:val="00574D13"/>
    <w:rsid w:val="005759A5"/>
    <w:rsid w:val="00575AA4"/>
    <w:rsid w:val="00576A57"/>
    <w:rsid w:val="00576E6B"/>
    <w:rsid w:val="00576F56"/>
    <w:rsid w:val="00577E9A"/>
    <w:rsid w:val="0058039F"/>
    <w:rsid w:val="00580915"/>
    <w:rsid w:val="005813B3"/>
    <w:rsid w:val="00581D82"/>
    <w:rsid w:val="00582721"/>
    <w:rsid w:val="00582729"/>
    <w:rsid w:val="0058272C"/>
    <w:rsid w:val="00582865"/>
    <w:rsid w:val="00582CFE"/>
    <w:rsid w:val="00583009"/>
    <w:rsid w:val="00583E0F"/>
    <w:rsid w:val="00584E3A"/>
    <w:rsid w:val="00585EB1"/>
    <w:rsid w:val="0058635D"/>
    <w:rsid w:val="005866A7"/>
    <w:rsid w:val="00586C08"/>
    <w:rsid w:val="00586C5C"/>
    <w:rsid w:val="00586D05"/>
    <w:rsid w:val="005871FE"/>
    <w:rsid w:val="005875D4"/>
    <w:rsid w:val="00587646"/>
    <w:rsid w:val="00587756"/>
    <w:rsid w:val="00587F57"/>
    <w:rsid w:val="0059001F"/>
    <w:rsid w:val="005904EA"/>
    <w:rsid w:val="005907B1"/>
    <w:rsid w:val="00591217"/>
    <w:rsid w:val="0059141A"/>
    <w:rsid w:val="005915B6"/>
    <w:rsid w:val="00591C17"/>
    <w:rsid w:val="0059224F"/>
    <w:rsid w:val="00592A88"/>
    <w:rsid w:val="00592DD8"/>
    <w:rsid w:val="00593393"/>
    <w:rsid w:val="00593F83"/>
    <w:rsid w:val="00594248"/>
    <w:rsid w:val="005947C5"/>
    <w:rsid w:val="00594CED"/>
    <w:rsid w:val="00594CFD"/>
    <w:rsid w:val="0059502D"/>
    <w:rsid w:val="00595032"/>
    <w:rsid w:val="005954C3"/>
    <w:rsid w:val="00595B3F"/>
    <w:rsid w:val="00595E39"/>
    <w:rsid w:val="00596F8F"/>
    <w:rsid w:val="005978C9"/>
    <w:rsid w:val="005979A7"/>
    <w:rsid w:val="00597D47"/>
    <w:rsid w:val="00597F08"/>
    <w:rsid w:val="005A0880"/>
    <w:rsid w:val="005A099C"/>
    <w:rsid w:val="005A0E04"/>
    <w:rsid w:val="005A0FEB"/>
    <w:rsid w:val="005A1257"/>
    <w:rsid w:val="005A1899"/>
    <w:rsid w:val="005A1E65"/>
    <w:rsid w:val="005A21D8"/>
    <w:rsid w:val="005A2B2D"/>
    <w:rsid w:val="005A2FB5"/>
    <w:rsid w:val="005A2FDC"/>
    <w:rsid w:val="005A3807"/>
    <w:rsid w:val="005A3B39"/>
    <w:rsid w:val="005A5A3D"/>
    <w:rsid w:val="005A5BB3"/>
    <w:rsid w:val="005A6186"/>
    <w:rsid w:val="005A6627"/>
    <w:rsid w:val="005A6AEC"/>
    <w:rsid w:val="005A6F64"/>
    <w:rsid w:val="005A7196"/>
    <w:rsid w:val="005A74F6"/>
    <w:rsid w:val="005A78CE"/>
    <w:rsid w:val="005B003D"/>
    <w:rsid w:val="005B01C8"/>
    <w:rsid w:val="005B045F"/>
    <w:rsid w:val="005B12D0"/>
    <w:rsid w:val="005B1929"/>
    <w:rsid w:val="005B28C0"/>
    <w:rsid w:val="005B316F"/>
    <w:rsid w:val="005B3C5C"/>
    <w:rsid w:val="005B406C"/>
    <w:rsid w:val="005B4570"/>
    <w:rsid w:val="005B45A1"/>
    <w:rsid w:val="005B4692"/>
    <w:rsid w:val="005B4B95"/>
    <w:rsid w:val="005B5A57"/>
    <w:rsid w:val="005B5DE4"/>
    <w:rsid w:val="005B5E6E"/>
    <w:rsid w:val="005B5F16"/>
    <w:rsid w:val="005B609A"/>
    <w:rsid w:val="005B62ED"/>
    <w:rsid w:val="005B6F18"/>
    <w:rsid w:val="005B761C"/>
    <w:rsid w:val="005C005E"/>
    <w:rsid w:val="005C00FC"/>
    <w:rsid w:val="005C0128"/>
    <w:rsid w:val="005C012E"/>
    <w:rsid w:val="005C03A5"/>
    <w:rsid w:val="005C0DDA"/>
    <w:rsid w:val="005C0F51"/>
    <w:rsid w:val="005C1371"/>
    <w:rsid w:val="005C19E7"/>
    <w:rsid w:val="005C2364"/>
    <w:rsid w:val="005C36FC"/>
    <w:rsid w:val="005C379D"/>
    <w:rsid w:val="005C3D15"/>
    <w:rsid w:val="005C5884"/>
    <w:rsid w:val="005C60A3"/>
    <w:rsid w:val="005C659C"/>
    <w:rsid w:val="005C68A8"/>
    <w:rsid w:val="005C6DFC"/>
    <w:rsid w:val="005C6F87"/>
    <w:rsid w:val="005C7BBD"/>
    <w:rsid w:val="005C7F33"/>
    <w:rsid w:val="005D1B0B"/>
    <w:rsid w:val="005D3E4C"/>
    <w:rsid w:val="005D41B2"/>
    <w:rsid w:val="005D4E46"/>
    <w:rsid w:val="005D50A7"/>
    <w:rsid w:val="005D53A0"/>
    <w:rsid w:val="005D5439"/>
    <w:rsid w:val="005D5746"/>
    <w:rsid w:val="005D58A3"/>
    <w:rsid w:val="005D5D7C"/>
    <w:rsid w:val="005D5EC0"/>
    <w:rsid w:val="005D6049"/>
    <w:rsid w:val="005D723A"/>
    <w:rsid w:val="005D74EA"/>
    <w:rsid w:val="005D761E"/>
    <w:rsid w:val="005E02C5"/>
    <w:rsid w:val="005E0342"/>
    <w:rsid w:val="005E03F1"/>
    <w:rsid w:val="005E0A69"/>
    <w:rsid w:val="005E0D01"/>
    <w:rsid w:val="005E1EA6"/>
    <w:rsid w:val="005E2117"/>
    <w:rsid w:val="005E22DE"/>
    <w:rsid w:val="005E23EE"/>
    <w:rsid w:val="005E269D"/>
    <w:rsid w:val="005E2AE3"/>
    <w:rsid w:val="005E2F5F"/>
    <w:rsid w:val="005E3EDE"/>
    <w:rsid w:val="005E461A"/>
    <w:rsid w:val="005E4DCB"/>
    <w:rsid w:val="005E52A6"/>
    <w:rsid w:val="005E53D1"/>
    <w:rsid w:val="005E6146"/>
    <w:rsid w:val="005E64F5"/>
    <w:rsid w:val="005E6C3C"/>
    <w:rsid w:val="005E6F02"/>
    <w:rsid w:val="005E7720"/>
    <w:rsid w:val="005E792C"/>
    <w:rsid w:val="005E79E3"/>
    <w:rsid w:val="005E7DDB"/>
    <w:rsid w:val="005F0384"/>
    <w:rsid w:val="005F0E94"/>
    <w:rsid w:val="005F1549"/>
    <w:rsid w:val="005F1ABF"/>
    <w:rsid w:val="005F2B29"/>
    <w:rsid w:val="005F2D9F"/>
    <w:rsid w:val="005F37D0"/>
    <w:rsid w:val="005F3A84"/>
    <w:rsid w:val="005F450B"/>
    <w:rsid w:val="005F4892"/>
    <w:rsid w:val="005F520D"/>
    <w:rsid w:val="005F56FC"/>
    <w:rsid w:val="005F5C8D"/>
    <w:rsid w:val="005F5CF8"/>
    <w:rsid w:val="005F6205"/>
    <w:rsid w:val="005F6533"/>
    <w:rsid w:val="005F6B7D"/>
    <w:rsid w:val="005F6BB8"/>
    <w:rsid w:val="0060064A"/>
    <w:rsid w:val="00600CFA"/>
    <w:rsid w:val="00601396"/>
    <w:rsid w:val="00601936"/>
    <w:rsid w:val="00601AAE"/>
    <w:rsid w:val="00601BF1"/>
    <w:rsid w:val="006025CB"/>
    <w:rsid w:val="006027F0"/>
    <w:rsid w:val="00603072"/>
    <w:rsid w:val="00603E4F"/>
    <w:rsid w:val="00604726"/>
    <w:rsid w:val="00605381"/>
    <w:rsid w:val="00605CC1"/>
    <w:rsid w:val="006061D0"/>
    <w:rsid w:val="006062F1"/>
    <w:rsid w:val="00606ED2"/>
    <w:rsid w:val="006071D3"/>
    <w:rsid w:val="006079F5"/>
    <w:rsid w:val="00607D8E"/>
    <w:rsid w:val="006106BE"/>
    <w:rsid w:val="006114EB"/>
    <w:rsid w:val="00611740"/>
    <w:rsid w:val="00612126"/>
    <w:rsid w:val="006124EC"/>
    <w:rsid w:val="006129E5"/>
    <w:rsid w:val="00612F2B"/>
    <w:rsid w:val="006134C3"/>
    <w:rsid w:val="006147A6"/>
    <w:rsid w:val="006147D2"/>
    <w:rsid w:val="00614F06"/>
    <w:rsid w:val="00614F32"/>
    <w:rsid w:val="00615077"/>
    <w:rsid w:val="006150AB"/>
    <w:rsid w:val="0061568A"/>
    <w:rsid w:val="00615FE0"/>
    <w:rsid w:val="00617011"/>
    <w:rsid w:val="0061718D"/>
    <w:rsid w:val="00617260"/>
    <w:rsid w:val="00617415"/>
    <w:rsid w:val="006218BF"/>
    <w:rsid w:val="00622026"/>
    <w:rsid w:val="00622B31"/>
    <w:rsid w:val="00623535"/>
    <w:rsid w:val="006235E6"/>
    <w:rsid w:val="0062370D"/>
    <w:rsid w:val="006243D3"/>
    <w:rsid w:val="006244E4"/>
    <w:rsid w:val="0062478F"/>
    <w:rsid w:val="00624B57"/>
    <w:rsid w:val="006253DD"/>
    <w:rsid w:val="0062563C"/>
    <w:rsid w:val="00625D41"/>
    <w:rsid w:val="006267A2"/>
    <w:rsid w:val="006277D4"/>
    <w:rsid w:val="006306EA"/>
    <w:rsid w:val="00630F29"/>
    <w:rsid w:val="006314A6"/>
    <w:rsid w:val="0063153A"/>
    <w:rsid w:val="00631769"/>
    <w:rsid w:val="00631985"/>
    <w:rsid w:val="00631F30"/>
    <w:rsid w:val="00632414"/>
    <w:rsid w:val="0063258C"/>
    <w:rsid w:val="006325F0"/>
    <w:rsid w:val="00632AE3"/>
    <w:rsid w:val="00632B13"/>
    <w:rsid w:val="00633490"/>
    <w:rsid w:val="0063384C"/>
    <w:rsid w:val="006338C8"/>
    <w:rsid w:val="00633FA1"/>
    <w:rsid w:val="00635F55"/>
    <w:rsid w:val="00636488"/>
    <w:rsid w:val="00636903"/>
    <w:rsid w:val="006373F5"/>
    <w:rsid w:val="00637D2F"/>
    <w:rsid w:val="00637D4A"/>
    <w:rsid w:val="006400D4"/>
    <w:rsid w:val="00640444"/>
    <w:rsid w:val="0064080D"/>
    <w:rsid w:val="0064089D"/>
    <w:rsid w:val="006409B1"/>
    <w:rsid w:val="00640B77"/>
    <w:rsid w:val="00640BE0"/>
    <w:rsid w:val="00640F7E"/>
    <w:rsid w:val="006414E2"/>
    <w:rsid w:val="00642453"/>
    <w:rsid w:val="0064286E"/>
    <w:rsid w:val="00642AF6"/>
    <w:rsid w:val="00643CD5"/>
    <w:rsid w:val="00644D8A"/>
    <w:rsid w:val="00644EC7"/>
    <w:rsid w:val="00645037"/>
    <w:rsid w:val="006451B9"/>
    <w:rsid w:val="0064652E"/>
    <w:rsid w:val="00647F22"/>
    <w:rsid w:val="006504C4"/>
    <w:rsid w:val="00650A73"/>
    <w:rsid w:val="00651111"/>
    <w:rsid w:val="006512C7"/>
    <w:rsid w:val="00651419"/>
    <w:rsid w:val="006514C8"/>
    <w:rsid w:val="006517BE"/>
    <w:rsid w:val="00652293"/>
    <w:rsid w:val="00652627"/>
    <w:rsid w:val="00652C42"/>
    <w:rsid w:val="00652CCA"/>
    <w:rsid w:val="0065332E"/>
    <w:rsid w:val="00653518"/>
    <w:rsid w:val="00654913"/>
    <w:rsid w:val="00654B37"/>
    <w:rsid w:val="00654DDD"/>
    <w:rsid w:val="00654E8A"/>
    <w:rsid w:val="006557CD"/>
    <w:rsid w:val="0065637F"/>
    <w:rsid w:val="006567DC"/>
    <w:rsid w:val="006572D0"/>
    <w:rsid w:val="00657EE7"/>
    <w:rsid w:val="0066067B"/>
    <w:rsid w:val="0066109A"/>
    <w:rsid w:val="00661459"/>
    <w:rsid w:val="006624F4"/>
    <w:rsid w:val="00662A44"/>
    <w:rsid w:val="006631A5"/>
    <w:rsid w:val="00663D20"/>
    <w:rsid w:val="0066507B"/>
    <w:rsid w:val="006657E1"/>
    <w:rsid w:val="006667A9"/>
    <w:rsid w:val="00666824"/>
    <w:rsid w:val="00666AF5"/>
    <w:rsid w:val="00667133"/>
    <w:rsid w:val="00667DB9"/>
    <w:rsid w:val="006702AC"/>
    <w:rsid w:val="00670913"/>
    <w:rsid w:val="006715C8"/>
    <w:rsid w:val="006719BC"/>
    <w:rsid w:val="0067210C"/>
    <w:rsid w:val="00672AAC"/>
    <w:rsid w:val="00672BD0"/>
    <w:rsid w:val="0067336C"/>
    <w:rsid w:val="00673537"/>
    <w:rsid w:val="006741F4"/>
    <w:rsid w:val="0067443A"/>
    <w:rsid w:val="0067491D"/>
    <w:rsid w:val="00674D69"/>
    <w:rsid w:val="006754F4"/>
    <w:rsid w:val="00675513"/>
    <w:rsid w:val="006759AD"/>
    <w:rsid w:val="00676078"/>
    <w:rsid w:val="00676496"/>
    <w:rsid w:val="00676904"/>
    <w:rsid w:val="00676956"/>
    <w:rsid w:val="00677F0B"/>
    <w:rsid w:val="00680551"/>
    <w:rsid w:val="00680696"/>
    <w:rsid w:val="006806DD"/>
    <w:rsid w:val="00680DA3"/>
    <w:rsid w:val="006812FE"/>
    <w:rsid w:val="006815A5"/>
    <w:rsid w:val="0068230E"/>
    <w:rsid w:val="0068258A"/>
    <w:rsid w:val="00682632"/>
    <w:rsid w:val="00682FA9"/>
    <w:rsid w:val="00683F4A"/>
    <w:rsid w:val="00684999"/>
    <w:rsid w:val="00685309"/>
    <w:rsid w:val="00685BF6"/>
    <w:rsid w:val="00685C6C"/>
    <w:rsid w:val="00685D2F"/>
    <w:rsid w:val="00686589"/>
    <w:rsid w:val="00686AA5"/>
    <w:rsid w:val="00687BE4"/>
    <w:rsid w:val="00690F4E"/>
    <w:rsid w:val="006911F0"/>
    <w:rsid w:val="006917E3"/>
    <w:rsid w:val="00691A43"/>
    <w:rsid w:val="006923D5"/>
    <w:rsid w:val="00692CFB"/>
    <w:rsid w:val="00693649"/>
    <w:rsid w:val="00693F02"/>
    <w:rsid w:val="00694107"/>
    <w:rsid w:val="0069418A"/>
    <w:rsid w:val="00695715"/>
    <w:rsid w:val="00695964"/>
    <w:rsid w:val="00695991"/>
    <w:rsid w:val="006959A6"/>
    <w:rsid w:val="00696709"/>
    <w:rsid w:val="00696A90"/>
    <w:rsid w:val="00697165"/>
    <w:rsid w:val="0069747A"/>
    <w:rsid w:val="00697B7A"/>
    <w:rsid w:val="00697F74"/>
    <w:rsid w:val="006A07D6"/>
    <w:rsid w:val="006A0F19"/>
    <w:rsid w:val="006A1A83"/>
    <w:rsid w:val="006A26CA"/>
    <w:rsid w:val="006A355B"/>
    <w:rsid w:val="006A3EEA"/>
    <w:rsid w:val="006A3F2A"/>
    <w:rsid w:val="006A4891"/>
    <w:rsid w:val="006A4C01"/>
    <w:rsid w:val="006A4EEF"/>
    <w:rsid w:val="006A54EF"/>
    <w:rsid w:val="006A5636"/>
    <w:rsid w:val="006A5F90"/>
    <w:rsid w:val="006A68A8"/>
    <w:rsid w:val="006A6903"/>
    <w:rsid w:val="006A6A04"/>
    <w:rsid w:val="006A6F33"/>
    <w:rsid w:val="006A6F69"/>
    <w:rsid w:val="006A77DF"/>
    <w:rsid w:val="006B10C6"/>
    <w:rsid w:val="006B18DF"/>
    <w:rsid w:val="006B1D66"/>
    <w:rsid w:val="006B233B"/>
    <w:rsid w:val="006B2557"/>
    <w:rsid w:val="006B2616"/>
    <w:rsid w:val="006B280B"/>
    <w:rsid w:val="006B2A5C"/>
    <w:rsid w:val="006B3FD7"/>
    <w:rsid w:val="006B4B26"/>
    <w:rsid w:val="006B5065"/>
    <w:rsid w:val="006B7557"/>
    <w:rsid w:val="006C01ED"/>
    <w:rsid w:val="006C0856"/>
    <w:rsid w:val="006C0DE8"/>
    <w:rsid w:val="006C12ED"/>
    <w:rsid w:val="006C1EAC"/>
    <w:rsid w:val="006C2950"/>
    <w:rsid w:val="006C2D0A"/>
    <w:rsid w:val="006C2DBC"/>
    <w:rsid w:val="006C3302"/>
    <w:rsid w:val="006C3433"/>
    <w:rsid w:val="006C35EF"/>
    <w:rsid w:val="006C505A"/>
    <w:rsid w:val="006C5FA6"/>
    <w:rsid w:val="006C7B7A"/>
    <w:rsid w:val="006D00EF"/>
    <w:rsid w:val="006D01FA"/>
    <w:rsid w:val="006D208A"/>
    <w:rsid w:val="006D220B"/>
    <w:rsid w:val="006D3005"/>
    <w:rsid w:val="006D3193"/>
    <w:rsid w:val="006D32B7"/>
    <w:rsid w:val="006D3964"/>
    <w:rsid w:val="006D39C1"/>
    <w:rsid w:val="006D3ADF"/>
    <w:rsid w:val="006D3F92"/>
    <w:rsid w:val="006D3FEB"/>
    <w:rsid w:val="006D420C"/>
    <w:rsid w:val="006D4581"/>
    <w:rsid w:val="006D6B94"/>
    <w:rsid w:val="006D71FE"/>
    <w:rsid w:val="006D7314"/>
    <w:rsid w:val="006D7A76"/>
    <w:rsid w:val="006D7D7D"/>
    <w:rsid w:val="006E0329"/>
    <w:rsid w:val="006E050D"/>
    <w:rsid w:val="006E1257"/>
    <w:rsid w:val="006E2109"/>
    <w:rsid w:val="006E248A"/>
    <w:rsid w:val="006E24D6"/>
    <w:rsid w:val="006E3DE4"/>
    <w:rsid w:val="006E4300"/>
    <w:rsid w:val="006E4F19"/>
    <w:rsid w:val="006E571B"/>
    <w:rsid w:val="006E583F"/>
    <w:rsid w:val="006E5A5B"/>
    <w:rsid w:val="006E5F7D"/>
    <w:rsid w:val="006E6B65"/>
    <w:rsid w:val="006E6C70"/>
    <w:rsid w:val="006E6F2E"/>
    <w:rsid w:val="006E7399"/>
    <w:rsid w:val="006E7421"/>
    <w:rsid w:val="006E7C62"/>
    <w:rsid w:val="006F04B9"/>
    <w:rsid w:val="006F054C"/>
    <w:rsid w:val="006F06D8"/>
    <w:rsid w:val="006F0795"/>
    <w:rsid w:val="006F0EFB"/>
    <w:rsid w:val="006F1E8D"/>
    <w:rsid w:val="006F26D5"/>
    <w:rsid w:val="006F2E82"/>
    <w:rsid w:val="006F406F"/>
    <w:rsid w:val="006F5419"/>
    <w:rsid w:val="006F56AA"/>
    <w:rsid w:val="006F5D25"/>
    <w:rsid w:val="006F6477"/>
    <w:rsid w:val="006F6516"/>
    <w:rsid w:val="006F68F0"/>
    <w:rsid w:val="006F79B5"/>
    <w:rsid w:val="006F79DF"/>
    <w:rsid w:val="007007E0"/>
    <w:rsid w:val="007009DC"/>
    <w:rsid w:val="00700B38"/>
    <w:rsid w:val="00700EB7"/>
    <w:rsid w:val="00700F50"/>
    <w:rsid w:val="00701000"/>
    <w:rsid w:val="0070140A"/>
    <w:rsid w:val="007015E1"/>
    <w:rsid w:val="00701A74"/>
    <w:rsid w:val="00701BD2"/>
    <w:rsid w:val="00701DAC"/>
    <w:rsid w:val="00701F39"/>
    <w:rsid w:val="00703551"/>
    <w:rsid w:val="0070370C"/>
    <w:rsid w:val="007039D0"/>
    <w:rsid w:val="00703C05"/>
    <w:rsid w:val="00703EBB"/>
    <w:rsid w:val="00704D77"/>
    <w:rsid w:val="00704FED"/>
    <w:rsid w:val="00705392"/>
    <w:rsid w:val="007055A1"/>
    <w:rsid w:val="00705B14"/>
    <w:rsid w:val="007062CD"/>
    <w:rsid w:val="007065AD"/>
    <w:rsid w:val="007066D1"/>
    <w:rsid w:val="00706A7A"/>
    <w:rsid w:val="00706D43"/>
    <w:rsid w:val="007072BC"/>
    <w:rsid w:val="007072E5"/>
    <w:rsid w:val="00710044"/>
    <w:rsid w:val="00710060"/>
    <w:rsid w:val="00710FBF"/>
    <w:rsid w:val="00711A52"/>
    <w:rsid w:val="00711DF0"/>
    <w:rsid w:val="00711E62"/>
    <w:rsid w:val="0071222F"/>
    <w:rsid w:val="00712F8B"/>
    <w:rsid w:val="00713714"/>
    <w:rsid w:val="00713AA1"/>
    <w:rsid w:val="00713BF0"/>
    <w:rsid w:val="00713F8D"/>
    <w:rsid w:val="00714F19"/>
    <w:rsid w:val="00714FB3"/>
    <w:rsid w:val="00715153"/>
    <w:rsid w:val="00715634"/>
    <w:rsid w:val="00715A73"/>
    <w:rsid w:val="00716185"/>
    <w:rsid w:val="00716334"/>
    <w:rsid w:val="007172A8"/>
    <w:rsid w:val="00717932"/>
    <w:rsid w:val="00717B5D"/>
    <w:rsid w:val="0072055F"/>
    <w:rsid w:val="00720F17"/>
    <w:rsid w:val="00720F95"/>
    <w:rsid w:val="00721D94"/>
    <w:rsid w:val="007221F4"/>
    <w:rsid w:val="007221FF"/>
    <w:rsid w:val="00722301"/>
    <w:rsid w:val="007225CB"/>
    <w:rsid w:val="00722C87"/>
    <w:rsid w:val="00722E38"/>
    <w:rsid w:val="00724D0D"/>
    <w:rsid w:val="00724D35"/>
    <w:rsid w:val="00724E07"/>
    <w:rsid w:val="007262AF"/>
    <w:rsid w:val="007263D1"/>
    <w:rsid w:val="007265B3"/>
    <w:rsid w:val="00726CCB"/>
    <w:rsid w:val="00727202"/>
    <w:rsid w:val="00727C6C"/>
    <w:rsid w:val="00727CB3"/>
    <w:rsid w:val="007302DC"/>
    <w:rsid w:val="007303CD"/>
    <w:rsid w:val="007316BA"/>
    <w:rsid w:val="007319E3"/>
    <w:rsid w:val="00731B92"/>
    <w:rsid w:val="00732044"/>
    <w:rsid w:val="00732DFF"/>
    <w:rsid w:val="0073323C"/>
    <w:rsid w:val="00733853"/>
    <w:rsid w:val="00733C4E"/>
    <w:rsid w:val="00734784"/>
    <w:rsid w:val="007358C4"/>
    <w:rsid w:val="00735919"/>
    <w:rsid w:val="00735D24"/>
    <w:rsid w:val="007364DF"/>
    <w:rsid w:val="007368C8"/>
    <w:rsid w:val="007400E1"/>
    <w:rsid w:val="0074059A"/>
    <w:rsid w:val="0074074F"/>
    <w:rsid w:val="00740908"/>
    <w:rsid w:val="00740965"/>
    <w:rsid w:val="00740AE2"/>
    <w:rsid w:val="007415FF"/>
    <w:rsid w:val="00741F54"/>
    <w:rsid w:val="00742013"/>
    <w:rsid w:val="00742645"/>
    <w:rsid w:val="007427BD"/>
    <w:rsid w:val="00742D37"/>
    <w:rsid w:val="00743296"/>
    <w:rsid w:val="00743680"/>
    <w:rsid w:val="00743A99"/>
    <w:rsid w:val="00743C34"/>
    <w:rsid w:val="00744033"/>
    <w:rsid w:val="00744745"/>
    <w:rsid w:val="007448A9"/>
    <w:rsid w:val="00744B8F"/>
    <w:rsid w:val="00745C65"/>
    <w:rsid w:val="00745D04"/>
    <w:rsid w:val="007461C0"/>
    <w:rsid w:val="00747A11"/>
    <w:rsid w:val="00747BD6"/>
    <w:rsid w:val="00747E6E"/>
    <w:rsid w:val="00747F44"/>
    <w:rsid w:val="007506D7"/>
    <w:rsid w:val="00750A2F"/>
    <w:rsid w:val="00751FA8"/>
    <w:rsid w:val="007526BD"/>
    <w:rsid w:val="007527CC"/>
    <w:rsid w:val="00752B74"/>
    <w:rsid w:val="00752CFE"/>
    <w:rsid w:val="00753164"/>
    <w:rsid w:val="00753273"/>
    <w:rsid w:val="00753AB8"/>
    <w:rsid w:val="00753BFB"/>
    <w:rsid w:val="00753EED"/>
    <w:rsid w:val="00754245"/>
    <w:rsid w:val="00754C4A"/>
    <w:rsid w:val="00754FBB"/>
    <w:rsid w:val="0075516B"/>
    <w:rsid w:val="007553AA"/>
    <w:rsid w:val="007553D8"/>
    <w:rsid w:val="00755490"/>
    <w:rsid w:val="00755803"/>
    <w:rsid w:val="00755C3E"/>
    <w:rsid w:val="007565F0"/>
    <w:rsid w:val="00756734"/>
    <w:rsid w:val="00756B96"/>
    <w:rsid w:val="00760165"/>
    <w:rsid w:val="00761969"/>
    <w:rsid w:val="00761BEF"/>
    <w:rsid w:val="007625E6"/>
    <w:rsid w:val="00762772"/>
    <w:rsid w:val="00762994"/>
    <w:rsid w:val="00762BFF"/>
    <w:rsid w:val="007633D5"/>
    <w:rsid w:val="00764066"/>
    <w:rsid w:val="0076420D"/>
    <w:rsid w:val="007643E1"/>
    <w:rsid w:val="007646F5"/>
    <w:rsid w:val="00765275"/>
    <w:rsid w:val="00765277"/>
    <w:rsid w:val="007653C0"/>
    <w:rsid w:val="00765891"/>
    <w:rsid w:val="00765A7C"/>
    <w:rsid w:val="00765CFA"/>
    <w:rsid w:val="00765E94"/>
    <w:rsid w:val="00766281"/>
    <w:rsid w:val="00766570"/>
    <w:rsid w:val="007672E6"/>
    <w:rsid w:val="007674FB"/>
    <w:rsid w:val="0076790E"/>
    <w:rsid w:val="007700D1"/>
    <w:rsid w:val="00770716"/>
    <w:rsid w:val="0077095E"/>
    <w:rsid w:val="007712AC"/>
    <w:rsid w:val="0077179A"/>
    <w:rsid w:val="00771A25"/>
    <w:rsid w:val="00771D5D"/>
    <w:rsid w:val="0077242E"/>
    <w:rsid w:val="00772EED"/>
    <w:rsid w:val="007735AC"/>
    <w:rsid w:val="00773F25"/>
    <w:rsid w:val="00775216"/>
    <w:rsid w:val="00775DB1"/>
    <w:rsid w:val="007767FF"/>
    <w:rsid w:val="00776B79"/>
    <w:rsid w:val="0077754B"/>
    <w:rsid w:val="007777C9"/>
    <w:rsid w:val="00777881"/>
    <w:rsid w:val="00777953"/>
    <w:rsid w:val="00777B68"/>
    <w:rsid w:val="0078039D"/>
    <w:rsid w:val="00781330"/>
    <w:rsid w:val="00781680"/>
    <w:rsid w:val="007816FB"/>
    <w:rsid w:val="00782309"/>
    <w:rsid w:val="00782636"/>
    <w:rsid w:val="00782639"/>
    <w:rsid w:val="00782A72"/>
    <w:rsid w:val="00783924"/>
    <w:rsid w:val="00783FFA"/>
    <w:rsid w:val="007840C9"/>
    <w:rsid w:val="0078425A"/>
    <w:rsid w:val="00784E87"/>
    <w:rsid w:val="007850A5"/>
    <w:rsid w:val="0078619C"/>
    <w:rsid w:val="0078623E"/>
    <w:rsid w:val="007876DC"/>
    <w:rsid w:val="00787844"/>
    <w:rsid w:val="00787F97"/>
    <w:rsid w:val="00790D62"/>
    <w:rsid w:val="00790EE1"/>
    <w:rsid w:val="00790F10"/>
    <w:rsid w:val="007925C4"/>
    <w:rsid w:val="00792AB3"/>
    <w:rsid w:val="007938D9"/>
    <w:rsid w:val="00794641"/>
    <w:rsid w:val="00794BF0"/>
    <w:rsid w:val="007950E9"/>
    <w:rsid w:val="00795702"/>
    <w:rsid w:val="0079572D"/>
    <w:rsid w:val="00795A66"/>
    <w:rsid w:val="00795E49"/>
    <w:rsid w:val="0079643D"/>
    <w:rsid w:val="00797BF8"/>
    <w:rsid w:val="00797E39"/>
    <w:rsid w:val="007A08DD"/>
    <w:rsid w:val="007A134C"/>
    <w:rsid w:val="007A15D2"/>
    <w:rsid w:val="007A1662"/>
    <w:rsid w:val="007A1B70"/>
    <w:rsid w:val="007A42E2"/>
    <w:rsid w:val="007A511E"/>
    <w:rsid w:val="007A5371"/>
    <w:rsid w:val="007A5B53"/>
    <w:rsid w:val="007A5F3C"/>
    <w:rsid w:val="007A60AB"/>
    <w:rsid w:val="007A64AD"/>
    <w:rsid w:val="007A67C1"/>
    <w:rsid w:val="007B01F0"/>
    <w:rsid w:val="007B0FD5"/>
    <w:rsid w:val="007B1272"/>
    <w:rsid w:val="007B17AB"/>
    <w:rsid w:val="007B1A32"/>
    <w:rsid w:val="007B1E9E"/>
    <w:rsid w:val="007B2F39"/>
    <w:rsid w:val="007B3042"/>
    <w:rsid w:val="007B3489"/>
    <w:rsid w:val="007B3D7B"/>
    <w:rsid w:val="007B45EB"/>
    <w:rsid w:val="007B4C71"/>
    <w:rsid w:val="007B4EED"/>
    <w:rsid w:val="007B52E7"/>
    <w:rsid w:val="007B5609"/>
    <w:rsid w:val="007B5A46"/>
    <w:rsid w:val="007B5F76"/>
    <w:rsid w:val="007B6BAD"/>
    <w:rsid w:val="007B79B1"/>
    <w:rsid w:val="007C0961"/>
    <w:rsid w:val="007C1E61"/>
    <w:rsid w:val="007C1F33"/>
    <w:rsid w:val="007C2608"/>
    <w:rsid w:val="007C2FBF"/>
    <w:rsid w:val="007C3130"/>
    <w:rsid w:val="007C3344"/>
    <w:rsid w:val="007C37A4"/>
    <w:rsid w:val="007C3EA7"/>
    <w:rsid w:val="007C4019"/>
    <w:rsid w:val="007C4868"/>
    <w:rsid w:val="007C4ACF"/>
    <w:rsid w:val="007C52CB"/>
    <w:rsid w:val="007C597E"/>
    <w:rsid w:val="007C6331"/>
    <w:rsid w:val="007C69DB"/>
    <w:rsid w:val="007C6F31"/>
    <w:rsid w:val="007C755D"/>
    <w:rsid w:val="007D022D"/>
    <w:rsid w:val="007D023E"/>
    <w:rsid w:val="007D0F57"/>
    <w:rsid w:val="007D177D"/>
    <w:rsid w:val="007D1FDC"/>
    <w:rsid w:val="007D25FE"/>
    <w:rsid w:val="007D2BCC"/>
    <w:rsid w:val="007D2DF7"/>
    <w:rsid w:val="007D30F6"/>
    <w:rsid w:val="007D3D53"/>
    <w:rsid w:val="007D3E27"/>
    <w:rsid w:val="007D3F9C"/>
    <w:rsid w:val="007D414D"/>
    <w:rsid w:val="007D45BB"/>
    <w:rsid w:val="007D5013"/>
    <w:rsid w:val="007D5264"/>
    <w:rsid w:val="007D5893"/>
    <w:rsid w:val="007D58EA"/>
    <w:rsid w:val="007D5B46"/>
    <w:rsid w:val="007D6636"/>
    <w:rsid w:val="007D66DD"/>
    <w:rsid w:val="007D6EF9"/>
    <w:rsid w:val="007D7907"/>
    <w:rsid w:val="007D7ADD"/>
    <w:rsid w:val="007E072F"/>
    <w:rsid w:val="007E07B3"/>
    <w:rsid w:val="007E08BC"/>
    <w:rsid w:val="007E0D0F"/>
    <w:rsid w:val="007E0F81"/>
    <w:rsid w:val="007E1093"/>
    <w:rsid w:val="007E10F5"/>
    <w:rsid w:val="007E1347"/>
    <w:rsid w:val="007E16A4"/>
    <w:rsid w:val="007E2598"/>
    <w:rsid w:val="007E2794"/>
    <w:rsid w:val="007E2D9B"/>
    <w:rsid w:val="007E2E81"/>
    <w:rsid w:val="007E4289"/>
    <w:rsid w:val="007E447F"/>
    <w:rsid w:val="007E4A8F"/>
    <w:rsid w:val="007E5288"/>
    <w:rsid w:val="007E5346"/>
    <w:rsid w:val="007E562F"/>
    <w:rsid w:val="007E5664"/>
    <w:rsid w:val="007E589A"/>
    <w:rsid w:val="007E6506"/>
    <w:rsid w:val="007E672A"/>
    <w:rsid w:val="007E6878"/>
    <w:rsid w:val="007E704E"/>
    <w:rsid w:val="007E76BE"/>
    <w:rsid w:val="007E7E71"/>
    <w:rsid w:val="007F03A8"/>
    <w:rsid w:val="007F06BB"/>
    <w:rsid w:val="007F07C5"/>
    <w:rsid w:val="007F0FB7"/>
    <w:rsid w:val="007F1872"/>
    <w:rsid w:val="007F2A37"/>
    <w:rsid w:val="007F301B"/>
    <w:rsid w:val="007F32F2"/>
    <w:rsid w:val="007F34CF"/>
    <w:rsid w:val="007F3F8E"/>
    <w:rsid w:val="007F417C"/>
    <w:rsid w:val="007F4AD2"/>
    <w:rsid w:val="007F4B95"/>
    <w:rsid w:val="007F6564"/>
    <w:rsid w:val="007F6886"/>
    <w:rsid w:val="007F69AB"/>
    <w:rsid w:val="007F6A94"/>
    <w:rsid w:val="007F6EF2"/>
    <w:rsid w:val="00800145"/>
    <w:rsid w:val="00800BC3"/>
    <w:rsid w:val="008017D1"/>
    <w:rsid w:val="00802B13"/>
    <w:rsid w:val="0080341C"/>
    <w:rsid w:val="00804615"/>
    <w:rsid w:val="00804D3F"/>
    <w:rsid w:val="00805C68"/>
    <w:rsid w:val="008061E0"/>
    <w:rsid w:val="00806351"/>
    <w:rsid w:val="00806672"/>
    <w:rsid w:val="008069D1"/>
    <w:rsid w:val="00807DD1"/>
    <w:rsid w:val="008111B2"/>
    <w:rsid w:val="00811FC6"/>
    <w:rsid w:val="00812565"/>
    <w:rsid w:val="00813A46"/>
    <w:rsid w:val="00813B39"/>
    <w:rsid w:val="00814455"/>
    <w:rsid w:val="00814AE4"/>
    <w:rsid w:val="00815032"/>
    <w:rsid w:val="00816808"/>
    <w:rsid w:val="00816C3E"/>
    <w:rsid w:val="008177BA"/>
    <w:rsid w:val="00820351"/>
    <w:rsid w:val="008208CE"/>
    <w:rsid w:val="00820A9A"/>
    <w:rsid w:val="00820CD0"/>
    <w:rsid w:val="0082116A"/>
    <w:rsid w:val="008219BF"/>
    <w:rsid w:val="00821B5C"/>
    <w:rsid w:val="00822504"/>
    <w:rsid w:val="00822706"/>
    <w:rsid w:val="00822F19"/>
    <w:rsid w:val="00824F2C"/>
    <w:rsid w:val="0082500E"/>
    <w:rsid w:val="00825597"/>
    <w:rsid w:val="008256C3"/>
    <w:rsid w:val="00826FAC"/>
    <w:rsid w:val="00827C7B"/>
    <w:rsid w:val="00830021"/>
    <w:rsid w:val="00830293"/>
    <w:rsid w:val="008313E8"/>
    <w:rsid w:val="008322C2"/>
    <w:rsid w:val="0083250E"/>
    <w:rsid w:val="0083296B"/>
    <w:rsid w:val="00832ACA"/>
    <w:rsid w:val="00832EC9"/>
    <w:rsid w:val="008335AE"/>
    <w:rsid w:val="00833779"/>
    <w:rsid w:val="0083384F"/>
    <w:rsid w:val="00833AF4"/>
    <w:rsid w:val="00834759"/>
    <w:rsid w:val="00834950"/>
    <w:rsid w:val="00834B2C"/>
    <w:rsid w:val="00834C82"/>
    <w:rsid w:val="00834D81"/>
    <w:rsid w:val="00835216"/>
    <w:rsid w:val="0083572C"/>
    <w:rsid w:val="00835783"/>
    <w:rsid w:val="00835BB1"/>
    <w:rsid w:val="00835BEE"/>
    <w:rsid w:val="0083625E"/>
    <w:rsid w:val="008368EB"/>
    <w:rsid w:val="008369AE"/>
    <w:rsid w:val="00837574"/>
    <w:rsid w:val="00837753"/>
    <w:rsid w:val="0083788F"/>
    <w:rsid w:val="00837AF4"/>
    <w:rsid w:val="0084015C"/>
    <w:rsid w:val="008402B2"/>
    <w:rsid w:val="00840C1B"/>
    <w:rsid w:val="00840C76"/>
    <w:rsid w:val="0084177B"/>
    <w:rsid w:val="00841D62"/>
    <w:rsid w:val="00841E74"/>
    <w:rsid w:val="008425D4"/>
    <w:rsid w:val="00842E80"/>
    <w:rsid w:val="00843D4D"/>
    <w:rsid w:val="00844158"/>
    <w:rsid w:val="008450A8"/>
    <w:rsid w:val="00845FA1"/>
    <w:rsid w:val="00847161"/>
    <w:rsid w:val="0084780B"/>
    <w:rsid w:val="00847ABD"/>
    <w:rsid w:val="00847C9D"/>
    <w:rsid w:val="00850A88"/>
    <w:rsid w:val="00850E8A"/>
    <w:rsid w:val="0085127D"/>
    <w:rsid w:val="008516D1"/>
    <w:rsid w:val="00851AFC"/>
    <w:rsid w:val="00851D87"/>
    <w:rsid w:val="00852A7F"/>
    <w:rsid w:val="00852A89"/>
    <w:rsid w:val="008531DE"/>
    <w:rsid w:val="008534C6"/>
    <w:rsid w:val="00853E5C"/>
    <w:rsid w:val="0085496E"/>
    <w:rsid w:val="00855072"/>
    <w:rsid w:val="008551E0"/>
    <w:rsid w:val="00855F9F"/>
    <w:rsid w:val="008561DD"/>
    <w:rsid w:val="00856241"/>
    <w:rsid w:val="00856798"/>
    <w:rsid w:val="008567BD"/>
    <w:rsid w:val="00857B87"/>
    <w:rsid w:val="00857F62"/>
    <w:rsid w:val="0086045B"/>
    <w:rsid w:val="008604E9"/>
    <w:rsid w:val="008605E4"/>
    <w:rsid w:val="00862091"/>
    <w:rsid w:val="00862CEA"/>
    <w:rsid w:val="00863106"/>
    <w:rsid w:val="008637D6"/>
    <w:rsid w:val="008639A5"/>
    <w:rsid w:val="00863F71"/>
    <w:rsid w:val="008641D8"/>
    <w:rsid w:val="00864CA8"/>
    <w:rsid w:val="008657B0"/>
    <w:rsid w:val="00865886"/>
    <w:rsid w:val="00865A22"/>
    <w:rsid w:val="008672E9"/>
    <w:rsid w:val="008677EB"/>
    <w:rsid w:val="00867E38"/>
    <w:rsid w:val="0087000B"/>
    <w:rsid w:val="00870112"/>
    <w:rsid w:val="0087044E"/>
    <w:rsid w:val="00870A48"/>
    <w:rsid w:val="008711D1"/>
    <w:rsid w:val="00871771"/>
    <w:rsid w:val="00871AE1"/>
    <w:rsid w:val="00871D75"/>
    <w:rsid w:val="00871FE8"/>
    <w:rsid w:val="00872C4C"/>
    <w:rsid w:val="00872F3E"/>
    <w:rsid w:val="008742AE"/>
    <w:rsid w:val="008743E5"/>
    <w:rsid w:val="00874D51"/>
    <w:rsid w:val="008750DF"/>
    <w:rsid w:val="00875A4F"/>
    <w:rsid w:val="00875C9C"/>
    <w:rsid w:val="00876F92"/>
    <w:rsid w:val="0087738A"/>
    <w:rsid w:val="00877402"/>
    <w:rsid w:val="0087780E"/>
    <w:rsid w:val="008778BA"/>
    <w:rsid w:val="00877AA3"/>
    <w:rsid w:val="00877E9A"/>
    <w:rsid w:val="00880412"/>
    <w:rsid w:val="00880EE6"/>
    <w:rsid w:val="008819CD"/>
    <w:rsid w:val="00881C57"/>
    <w:rsid w:val="00881E2A"/>
    <w:rsid w:val="00881E98"/>
    <w:rsid w:val="00881EE9"/>
    <w:rsid w:val="008836F9"/>
    <w:rsid w:val="008845D9"/>
    <w:rsid w:val="00884B50"/>
    <w:rsid w:val="008853C3"/>
    <w:rsid w:val="008853F2"/>
    <w:rsid w:val="0088658E"/>
    <w:rsid w:val="00886F13"/>
    <w:rsid w:val="00886F43"/>
    <w:rsid w:val="008874D7"/>
    <w:rsid w:val="00887904"/>
    <w:rsid w:val="00887D82"/>
    <w:rsid w:val="008909E2"/>
    <w:rsid w:val="00892073"/>
    <w:rsid w:val="00892772"/>
    <w:rsid w:val="00892816"/>
    <w:rsid w:val="008933D2"/>
    <w:rsid w:val="008944D0"/>
    <w:rsid w:val="00894E4E"/>
    <w:rsid w:val="00895459"/>
    <w:rsid w:val="008955AF"/>
    <w:rsid w:val="00895A1F"/>
    <w:rsid w:val="008977F5"/>
    <w:rsid w:val="008A055A"/>
    <w:rsid w:val="008A0573"/>
    <w:rsid w:val="008A06AB"/>
    <w:rsid w:val="008A07AD"/>
    <w:rsid w:val="008A0EFE"/>
    <w:rsid w:val="008A177D"/>
    <w:rsid w:val="008A1DF8"/>
    <w:rsid w:val="008A1E23"/>
    <w:rsid w:val="008A2124"/>
    <w:rsid w:val="008A2846"/>
    <w:rsid w:val="008A2B23"/>
    <w:rsid w:val="008A2EE9"/>
    <w:rsid w:val="008A2F71"/>
    <w:rsid w:val="008A3181"/>
    <w:rsid w:val="008A3DAE"/>
    <w:rsid w:val="008A40AD"/>
    <w:rsid w:val="008A4964"/>
    <w:rsid w:val="008A5303"/>
    <w:rsid w:val="008A5461"/>
    <w:rsid w:val="008A56BD"/>
    <w:rsid w:val="008A6067"/>
    <w:rsid w:val="008A688B"/>
    <w:rsid w:val="008A7A19"/>
    <w:rsid w:val="008B0720"/>
    <w:rsid w:val="008B28C2"/>
    <w:rsid w:val="008B2C04"/>
    <w:rsid w:val="008B2D66"/>
    <w:rsid w:val="008B2E3D"/>
    <w:rsid w:val="008B33BD"/>
    <w:rsid w:val="008B33F4"/>
    <w:rsid w:val="008B35D3"/>
    <w:rsid w:val="008B39F0"/>
    <w:rsid w:val="008B39F6"/>
    <w:rsid w:val="008B48F7"/>
    <w:rsid w:val="008B4A90"/>
    <w:rsid w:val="008B5189"/>
    <w:rsid w:val="008B540F"/>
    <w:rsid w:val="008B565B"/>
    <w:rsid w:val="008B59E2"/>
    <w:rsid w:val="008B5AEE"/>
    <w:rsid w:val="008B5F30"/>
    <w:rsid w:val="008B6228"/>
    <w:rsid w:val="008B6AF4"/>
    <w:rsid w:val="008B6EF1"/>
    <w:rsid w:val="008B716C"/>
    <w:rsid w:val="008C01B4"/>
    <w:rsid w:val="008C0342"/>
    <w:rsid w:val="008C0B03"/>
    <w:rsid w:val="008C1782"/>
    <w:rsid w:val="008C19E0"/>
    <w:rsid w:val="008C20A1"/>
    <w:rsid w:val="008C238B"/>
    <w:rsid w:val="008C2770"/>
    <w:rsid w:val="008C2B12"/>
    <w:rsid w:val="008C32E1"/>
    <w:rsid w:val="008C3B94"/>
    <w:rsid w:val="008C4218"/>
    <w:rsid w:val="008C4E01"/>
    <w:rsid w:val="008C4E39"/>
    <w:rsid w:val="008C54E6"/>
    <w:rsid w:val="008C566E"/>
    <w:rsid w:val="008C6307"/>
    <w:rsid w:val="008C6340"/>
    <w:rsid w:val="008C648E"/>
    <w:rsid w:val="008C6563"/>
    <w:rsid w:val="008C6628"/>
    <w:rsid w:val="008C6D50"/>
    <w:rsid w:val="008C709F"/>
    <w:rsid w:val="008C75E4"/>
    <w:rsid w:val="008C77F8"/>
    <w:rsid w:val="008C7883"/>
    <w:rsid w:val="008D0122"/>
    <w:rsid w:val="008D039B"/>
    <w:rsid w:val="008D0FC9"/>
    <w:rsid w:val="008D0FD6"/>
    <w:rsid w:val="008D13A1"/>
    <w:rsid w:val="008D1441"/>
    <w:rsid w:val="008D197B"/>
    <w:rsid w:val="008D1BBF"/>
    <w:rsid w:val="008D1C30"/>
    <w:rsid w:val="008D1CAF"/>
    <w:rsid w:val="008D25FE"/>
    <w:rsid w:val="008D286F"/>
    <w:rsid w:val="008D2C6D"/>
    <w:rsid w:val="008D2E4E"/>
    <w:rsid w:val="008D302A"/>
    <w:rsid w:val="008D327E"/>
    <w:rsid w:val="008D32C8"/>
    <w:rsid w:val="008D3572"/>
    <w:rsid w:val="008D3AC1"/>
    <w:rsid w:val="008D3BFE"/>
    <w:rsid w:val="008D3CFF"/>
    <w:rsid w:val="008D3D40"/>
    <w:rsid w:val="008D3F08"/>
    <w:rsid w:val="008D444E"/>
    <w:rsid w:val="008D53A3"/>
    <w:rsid w:val="008D56CD"/>
    <w:rsid w:val="008D5DDB"/>
    <w:rsid w:val="008D7897"/>
    <w:rsid w:val="008E11D9"/>
    <w:rsid w:val="008E1266"/>
    <w:rsid w:val="008E1522"/>
    <w:rsid w:val="008E192D"/>
    <w:rsid w:val="008E1932"/>
    <w:rsid w:val="008E1AF9"/>
    <w:rsid w:val="008E1DBF"/>
    <w:rsid w:val="008E209A"/>
    <w:rsid w:val="008E2296"/>
    <w:rsid w:val="008E2370"/>
    <w:rsid w:val="008E2558"/>
    <w:rsid w:val="008E2668"/>
    <w:rsid w:val="008E28FA"/>
    <w:rsid w:val="008E2B7A"/>
    <w:rsid w:val="008E3009"/>
    <w:rsid w:val="008E31C3"/>
    <w:rsid w:val="008E3319"/>
    <w:rsid w:val="008E3C0C"/>
    <w:rsid w:val="008E44EF"/>
    <w:rsid w:val="008E4589"/>
    <w:rsid w:val="008E4A27"/>
    <w:rsid w:val="008E4AFB"/>
    <w:rsid w:val="008E534E"/>
    <w:rsid w:val="008E63B8"/>
    <w:rsid w:val="008E66C1"/>
    <w:rsid w:val="008E7B9E"/>
    <w:rsid w:val="008F07C4"/>
    <w:rsid w:val="008F0EBF"/>
    <w:rsid w:val="008F1534"/>
    <w:rsid w:val="008F16ED"/>
    <w:rsid w:val="008F2528"/>
    <w:rsid w:val="008F3037"/>
    <w:rsid w:val="008F33AE"/>
    <w:rsid w:val="008F367C"/>
    <w:rsid w:val="008F39CE"/>
    <w:rsid w:val="008F3CE7"/>
    <w:rsid w:val="008F3ED0"/>
    <w:rsid w:val="008F787B"/>
    <w:rsid w:val="008F7ED8"/>
    <w:rsid w:val="00900141"/>
    <w:rsid w:val="009002FE"/>
    <w:rsid w:val="009015F3"/>
    <w:rsid w:val="009023C8"/>
    <w:rsid w:val="00902B65"/>
    <w:rsid w:val="00903A42"/>
    <w:rsid w:val="00903BF3"/>
    <w:rsid w:val="00904C64"/>
    <w:rsid w:val="009052A9"/>
    <w:rsid w:val="00905827"/>
    <w:rsid w:val="0090592B"/>
    <w:rsid w:val="00905C24"/>
    <w:rsid w:val="009060F4"/>
    <w:rsid w:val="00906775"/>
    <w:rsid w:val="009106CD"/>
    <w:rsid w:val="00911444"/>
    <w:rsid w:val="0091147E"/>
    <w:rsid w:val="0091161A"/>
    <w:rsid w:val="00911B18"/>
    <w:rsid w:val="00911B90"/>
    <w:rsid w:val="00912224"/>
    <w:rsid w:val="009123DB"/>
    <w:rsid w:val="00913B8B"/>
    <w:rsid w:val="00914934"/>
    <w:rsid w:val="00914EC6"/>
    <w:rsid w:val="00914FE3"/>
    <w:rsid w:val="00915046"/>
    <w:rsid w:val="0091525F"/>
    <w:rsid w:val="00915C64"/>
    <w:rsid w:val="00915F51"/>
    <w:rsid w:val="00916049"/>
    <w:rsid w:val="00916D77"/>
    <w:rsid w:val="00916E59"/>
    <w:rsid w:val="009170B1"/>
    <w:rsid w:val="00917329"/>
    <w:rsid w:val="009178E5"/>
    <w:rsid w:val="00917B55"/>
    <w:rsid w:val="00920320"/>
    <w:rsid w:val="00920493"/>
    <w:rsid w:val="009204D3"/>
    <w:rsid w:val="00920F08"/>
    <w:rsid w:val="009211ED"/>
    <w:rsid w:val="0092124C"/>
    <w:rsid w:val="009229E6"/>
    <w:rsid w:val="00922C83"/>
    <w:rsid w:val="00922DF1"/>
    <w:rsid w:val="009230F0"/>
    <w:rsid w:val="00923537"/>
    <w:rsid w:val="00924AB6"/>
    <w:rsid w:val="00924C38"/>
    <w:rsid w:val="00924F65"/>
    <w:rsid w:val="00926094"/>
    <w:rsid w:val="00926239"/>
    <w:rsid w:val="00926EFA"/>
    <w:rsid w:val="009270AD"/>
    <w:rsid w:val="00927330"/>
    <w:rsid w:val="009273ED"/>
    <w:rsid w:val="009279FF"/>
    <w:rsid w:val="0093038C"/>
    <w:rsid w:val="00930806"/>
    <w:rsid w:val="00930B50"/>
    <w:rsid w:val="00930F1F"/>
    <w:rsid w:val="00932A19"/>
    <w:rsid w:val="00932F42"/>
    <w:rsid w:val="009331BE"/>
    <w:rsid w:val="00933523"/>
    <w:rsid w:val="009335E9"/>
    <w:rsid w:val="00933A16"/>
    <w:rsid w:val="00933B76"/>
    <w:rsid w:val="00934749"/>
    <w:rsid w:val="00935061"/>
    <w:rsid w:val="0093514D"/>
    <w:rsid w:val="0093515E"/>
    <w:rsid w:val="00935840"/>
    <w:rsid w:val="009359B1"/>
    <w:rsid w:val="00935BC2"/>
    <w:rsid w:val="009366F4"/>
    <w:rsid w:val="009368D5"/>
    <w:rsid w:val="00936B94"/>
    <w:rsid w:val="00937C70"/>
    <w:rsid w:val="00941B6D"/>
    <w:rsid w:val="00941F07"/>
    <w:rsid w:val="0094213B"/>
    <w:rsid w:val="00942570"/>
    <w:rsid w:val="009428D9"/>
    <w:rsid w:val="00942E5F"/>
    <w:rsid w:val="00943365"/>
    <w:rsid w:val="0094387C"/>
    <w:rsid w:val="00943AB4"/>
    <w:rsid w:val="00943BA0"/>
    <w:rsid w:val="00943D98"/>
    <w:rsid w:val="0094454F"/>
    <w:rsid w:val="00944AFD"/>
    <w:rsid w:val="00945029"/>
    <w:rsid w:val="0094530C"/>
    <w:rsid w:val="00945BD9"/>
    <w:rsid w:val="00945E92"/>
    <w:rsid w:val="009465A9"/>
    <w:rsid w:val="0094687E"/>
    <w:rsid w:val="00946B8D"/>
    <w:rsid w:val="00946DE5"/>
    <w:rsid w:val="00947A8D"/>
    <w:rsid w:val="00950655"/>
    <w:rsid w:val="00950891"/>
    <w:rsid w:val="00950948"/>
    <w:rsid w:val="00950999"/>
    <w:rsid w:val="00950AE8"/>
    <w:rsid w:val="00950B15"/>
    <w:rsid w:val="00950D53"/>
    <w:rsid w:val="00951D1A"/>
    <w:rsid w:val="009521B5"/>
    <w:rsid w:val="00952B2E"/>
    <w:rsid w:val="00952E76"/>
    <w:rsid w:val="00953BE0"/>
    <w:rsid w:val="0095555E"/>
    <w:rsid w:val="00956DEA"/>
    <w:rsid w:val="00956E28"/>
    <w:rsid w:val="0096012B"/>
    <w:rsid w:val="00960E8F"/>
    <w:rsid w:val="00961754"/>
    <w:rsid w:val="00962633"/>
    <w:rsid w:val="009629A5"/>
    <w:rsid w:val="00962D2A"/>
    <w:rsid w:val="0096382C"/>
    <w:rsid w:val="00965923"/>
    <w:rsid w:val="00966B32"/>
    <w:rsid w:val="00966D10"/>
    <w:rsid w:val="00967164"/>
    <w:rsid w:val="00967429"/>
    <w:rsid w:val="00971489"/>
    <w:rsid w:val="009715B4"/>
    <w:rsid w:val="009716C8"/>
    <w:rsid w:val="00971B58"/>
    <w:rsid w:val="00973331"/>
    <w:rsid w:val="0097359A"/>
    <w:rsid w:val="0097412A"/>
    <w:rsid w:val="00974210"/>
    <w:rsid w:val="009750DE"/>
    <w:rsid w:val="00975D66"/>
    <w:rsid w:val="009763E1"/>
    <w:rsid w:val="009766CD"/>
    <w:rsid w:val="00976E8E"/>
    <w:rsid w:val="00976EAD"/>
    <w:rsid w:val="009773E9"/>
    <w:rsid w:val="009777AB"/>
    <w:rsid w:val="009804D0"/>
    <w:rsid w:val="00980914"/>
    <w:rsid w:val="00980EFE"/>
    <w:rsid w:val="00980F62"/>
    <w:rsid w:val="0098132F"/>
    <w:rsid w:val="00981F2C"/>
    <w:rsid w:val="00982185"/>
    <w:rsid w:val="009824F3"/>
    <w:rsid w:val="00982AFC"/>
    <w:rsid w:val="00983BB9"/>
    <w:rsid w:val="00983D2E"/>
    <w:rsid w:val="00984F89"/>
    <w:rsid w:val="00984FFE"/>
    <w:rsid w:val="009853D4"/>
    <w:rsid w:val="009856F8"/>
    <w:rsid w:val="0098684F"/>
    <w:rsid w:val="00986D6C"/>
    <w:rsid w:val="009871CE"/>
    <w:rsid w:val="00987804"/>
    <w:rsid w:val="00987EC1"/>
    <w:rsid w:val="00990333"/>
    <w:rsid w:val="00990877"/>
    <w:rsid w:val="00990EAC"/>
    <w:rsid w:val="00991A10"/>
    <w:rsid w:val="00993036"/>
    <w:rsid w:val="00993336"/>
    <w:rsid w:val="00993887"/>
    <w:rsid w:val="00993BB8"/>
    <w:rsid w:val="009943EC"/>
    <w:rsid w:val="00994C4B"/>
    <w:rsid w:val="00994C5B"/>
    <w:rsid w:val="00994DEA"/>
    <w:rsid w:val="009952FE"/>
    <w:rsid w:val="00995560"/>
    <w:rsid w:val="009956D0"/>
    <w:rsid w:val="00995AE1"/>
    <w:rsid w:val="00996508"/>
    <w:rsid w:val="00996A69"/>
    <w:rsid w:val="00996D38"/>
    <w:rsid w:val="009970AD"/>
    <w:rsid w:val="00997755"/>
    <w:rsid w:val="00997895"/>
    <w:rsid w:val="009A048C"/>
    <w:rsid w:val="009A06A2"/>
    <w:rsid w:val="009A08D8"/>
    <w:rsid w:val="009A0EC3"/>
    <w:rsid w:val="009A2D74"/>
    <w:rsid w:val="009A3B2D"/>
    <w:rsid w:val="009A3D81"/>
    <w:rsid w:val="009A3E31"/>
    <w:rsid w:val="009A5EA3"/>
    <w:rsid w:val="009A6046"/>
    <w:rsid w:val="009A7393"/>
    <w:rsid w:val="009A7EA7"/>
    <w:rsid w:val="009B04D5"/>
    <w:rsid w:val="009B05C7"/>
    <w:rsid w:val="009B0E3E"/>
    <w:rsid w:val="009B2667"/>
    <w:rsid w:val="009B2793"/>
    <w:rsid w:val="009B2FDB"/>
    <w:rsid w:val="009B36BE"/>
    <w:rsid w:val="009B38FD"/>
    <w:rsid w:val="009B3B5A"/>
    <w:rsid w:val="009B3D13"/>
    <w:rsid w:val="009B3DA5"/>
    <w:rsid w:val="009B4BC4"/>
    <w:rsid w:val="009B4F11"/>
    <w:rsid w:val="009B54B1"/>
    <w:rsid w:val="009B596F"/>
    <w:rsid w:val="009B5F10"/>
    <w:rsid w:val="009B66FC"/>
    <w:rsid w:val="009B6B21"/>
    <w:rsid w:val="009B6F36"/>
    <w:rsid w:val="009B6FD4"/>
    <w:rsid w:val="009B797F"/>
    <w:rsid w:val="009B7EF4"/>
    <w:rsid w:val="009B7F82"/>
    <w:rsid w:val="009C059E"/>
    <w:rsid w:val="009C113C"/>
    <w:rsid w:val="009C12B2"/>
    <w:rsid w:val="009C1BCA"/>
    <w:rsid w:val="009C1D20"/>
    <w:rsid w:val="009C263F"/>
    <w:rsid w:val="009C27DC"/>
    <w:rsid w:val="009C28C1"/>
    <w:rsid w:val="009C2F0A"/>
    <w:rsid w:val="009C3521"/>
    <w:rsid w:val="009C3AA3"/>
    <w:rsid w:val="009C3D4D"/>
    <w:rsid w:val="009C3F11"/>
    <w:rsid w:val="009C4022"/>
    <w:rsid w:val="009C4538"/>
    <w:rsid w:val="009C4C8B"/>
    <w:rsid w:val="009C4DC4"/>
    <w:rsid w:val="009C550B"/>
    <w:rsid w:val="009C5C34"/>
    <w:rsid w:val="009C5CE3"/>
    <w:rsid w:val="009C6173"/>
    <w:rsid w:val="009C6884"/>
    <w:rsid w:val="009C69BC"/>
    <w:rsid w:val="009C6D8D"/>
    <w:rsid w:val="009C70D7"/>
    <w:rsid w:val="009C731E"/>
    <w:rsid w:val="009C7A6A"/>
    <w:rsid w:val="009C7CD7"/>
    <w:rsid w:val="009C7DA3"/>
    <w:rsid w:val="009D009F"/>
    <w:rsid w:val="009D018D"/>
    <w:rsid w:val="009D03AE"/>
    <w:rsid w:val="009D12FE"/>
    <w:rsid w:val="009D155D"/>
    <w:rsid w:val="009D159E"/>
    <w:rsid w:val="009D22BC"/>
    <w:rsid w:val="009D2BC2"/>
    <w:rsid w:val="009D3985"/>
    <w:rsid w:val="009D42A7"/>
    <w:rsid w:val="009D43F4"/>
    <w:rsid w:val="009D49A1"/>
    <w:rsid w:val="009D5510"/>
    <w:rsid w:val="009D5611"/>
    <w:rsid w:val="009D56C2"/>
    <w:rsid w:val="009D63EA"/>
    <w:rsid w:val="009D6BFB"/>
    <w:rsid w:val="009D7364"/>
    <w:rsid w:val="009E044A"/>
    <w:rsid w:val="009E062F"/>
    <w:rsid w:val="009E0D30"/>
    <w:rsid w:val="009E1617"/>
    <w:rsid w:val="009E1794"/>
    <w:rsid w:val="009E1F5F"/>
    <w:rsid w:val="009E2280"/>
    <w:rsid w:val="009E2552"/>
    <w:rsid w:val="009E273E"/>
    <w:rsid w:val="009E2C72"/>
    <w:rsid w:val="009E337B"/>
    <w:rsid w:val="009E3661"/>
    <w:rsid w:val="009E42A6"/>
    <w:rsid w:val="009E493C"/>
    <w:rsid w:val="009E4D48"/>
    <w:rsid w:val="009E5605"/>
    <w:rsid w:val="009E683B"/>
    <w:rsid w:val="009E6AAD"/>
    <w:rsid w:val="009E6AC2"/>
    <w:rsid w:val="009E70A8"/>
    <w:rsid w:val="009E7424"/>
    <w:rsid w:val="009E7BF3"/>
    <w:rsid w:val="009E7C5B"/>
    <w:rsid w:val="009F0802"/>
    <w:rsid w:val="009F0822"/>
    <w:rsid w:val="009F0C87"/>
    <w:rsid w:val="009F0CEA"/>
    <w:rsid w:val="009F1185"/>
    <w:rsid w:val="009F18BB"/>
    <w:rsid w:val="009F23D2"/>
    <w:rsid w:val="009F3266"/>
    <w:rsid w:val="009F4D58"/>
    <w:rsid w:val="009F5626"/>
    <w:rsid w:val="009F5B90"/>
    <w:rsid w:val="009F6EF7"/>
    <w:rsid w:val="009F7D3F"/>
    <w:rsid w:val="009F7FCD"/>
    <w:rsid w:val="00A003A8"/>
    <w:rsid w:val="00A00528"/>
    <w:rsid w:val="00A00BB9"/>
    <w:rsid w:val="00A01EDF"/>
    <w:rsid w:val="00A01FCE"/>
    <w:rsid w:val="00A02006"/>
    <w:rsid w:val="00A02044"/>
    <w:rsid w:val="00A02D16"/>
    <w:rsid w:val="00A02DB0"/>
    <w:rsid w:val="00A041FF"/>
    <w:rsid w:val="00A04A2A"/>
    <w:rsid w:val="00A0546E"/>
    <w:rsid w:val="00A055A8"/>
    <w:rsid w:val="00A05736"/>
    <w:rsid w:val="00A05AB4"/>
    <w:rsid w:val="00A05C81"/>
    <w:rsid w:val="00A06603"/>
    <w:rsid w:val="00A066DA"/>
    <w:rsid w:val="00A068AC"/>
    <w:rsid w:val="00A06A50"/>
    <w:rsid w:val="00A06A69"/>
    <w:rsid w:val="00A0757F"/>
    <w:rsid w:val="00A07B0A"/>
    <w:rsid w:val="00A07D43"/>
    <w:rsid w:val="00A104E5"/>
    <w:rsid w:val="00A10645"/>
    <w:rsid w:val="00A10797"/>
    <w:rsid w:val="00A10840"/>
    <w:rsid w:val="00A110F1"/>
    <w:rsid w:val="00A114E0"/>
    <w:rsid w:val="00A118BD"/>
    <w:rsid w:val="00A11ADE"/>
    <w:rsid w:val="00A11F66"/>
    <w:rsid w:val="00A12258"/>
    <w:rsid w:val="00A12EDC"/>
    <w:rsid w:val="00A12F6A"/>
    <w:rsid w:val="00A1315B"/>
    <w:rsid w:val="00A13527"/>
    <w:rsid w:val="00A137F3"/>
    <w:rsid w:val="00A13AE1"/>
    <w:rsid w:val="00A13BE9"/>
    <w:rsid w:val="00A14033"/>
    <w:rsid w:val="00A1409D"/>
    <w:rsid w:val="00A14B97"/>
    <w:rsid w:val="00A14BC4"/>
    <w:rsid w:val="00A15522"/>
    <w:rsid w:val="00A15A1C"/>
    <w:rsid w:val="00A161A3"/>
    <w:rsid w:val="00A16C7E"/>
    <w:rsid w:val="00A170F4"/>
    <w:rsid w:val="00A17BED"/>
    <w:rsid w:val="00A17DF9"/>
    <w:rsid w:val="00A17F47"/>
    <w:rsid w:val="00A20BB1"/>
    <w:rsid w:val="00A21320"/>
    <w:rsid w:val="00A21779"/>
    <w:rsid w:val="00A21ADF"/>
    <w:rsid w:val="00A225FC"/>
    <w:rsid w:val="00A2283A"/>
    <w:rsid w:val="00A22B86"/>
    <w:rsid w:val="00A22C7A"/>
    <w:rsid w:val="00A23104"/>
    <w:rsid w:val="00A23DD1"/>
    <w:rsid w:val="00A23EAF"/>
    <w:rsid w:val="00A244CC"/>
    <w:rsid w:val="00A246C8"/>
    <w:rsid w:val="00A248B2"/>
    <w:rsid w:val="00A24AEE"/>
    <w:rsid w:val="00A24CC8"/>
    <w:rsid w:val="00A259E3"/>
    <w:rsid w:val="00A25EF6"/>
    <w:rsid w:val="00A26753"/>
    <w:rsid w:val="00A26A28"/>
    <w:rsid w:val="00A301FC"/>
    <w:rsid w:val="00A3020F"/>
    <w:rsid w:val="00A302B2"/>
    <w:rsid w:val="00A30A55"/>
    <w:rsid w:val="00A31588"/>
    <w:rsid w:val="00A32393"/>
    <w:rsid w:val="00A327A2"/>
    <w:rsid w:val="00A3325E"/>
    <w:rsid w:val="00A348DB"/>
    <w:rsid w:val="00A34B56"/>
    <w:rsid w:val="00A35129"/>
    <w:rsid w:val="00A353C8"/>
    <w:rsid w:val="00A35D7C"/>
    <w:rsid w:val="00A368A3"/>
    <w:rsid w:val="00A36BD0"/>
    <w:rsid w:val="00A37148"/>
    <w:rsid w:val="00A377C9"/>
    <w:rsid w:val="00A401D5"/>
    <w:rsid w:val="00A40DE1"/>
    <w:rsid w:val="00A41E4E"/>
    <w:rsid w:val="00A42024"/>
    <w:rsid w:val="00A42485"/>
    <w:rsid w:val="00A424CF"/>
    <w:rsid w:val="00A4335C"/>
    <w:rsid w:val="00A4363C"/>
    <w:rsid w:val="00A43959"/>
    <w:rsid w:val="00A440C1"/>
    <w:rsid w:val="00A4417E"/>
    <w:rsid w:val="00A446C9"/>
    <w:rsid w:val="00A44FB8"/>
    <w:rsid w:val="00A453E6"/>
    <w:rsid w:val="00A45D67"/>
    <w:rsid w:val="00A46050"/>
    <w:rsid w:val="00A46637"/>
    <w:rsid w:val="00A46C36"/>
    <w:rsid w:val="00A46E15"/>
    <w:rsid w:val="00A46ECE"/>
    <w:rsid w:val="00A47127"/>
    <w:rsid w:val="00A472B7"/>
    <w:rsid w:val="00A47A27"/>
    <w:rsid w:val="00A47A8C"/>
    <w:rsid w:val="00A47C44"/>
    <w:rsid w:val="00A505BC"/>
    <w:rsid w:val="00A50B3E"/>
    <w:rsid w:val="00A51190"/>
    <w:rsid w:val="00A51DF4"/>
    <w:rsid w:val="00A51F1E"/>
    <w:rsid w:val="00A52E31"/>
    <w:rsid w:val="00A53297"/>
    <w:rsid w:val="00A537E5"/>
    <w:rsid w:val="00A5417C"/>
    <w:rsid w:val="00A54517"/>
    <w:rsid w:val="00A5484C"/>
    <w:rsid w:val="00A55297"/>
    <w:rsid w:val="00A55BF6"/>
    <w:rsid w:val="00A563D2"/>
    <w:rsid w:val="00A5676B"/>
    <w:rsid w:val="00A569B7"/>
    <w:rsid w:val="00A56AC1"/>
    <w:rsid w:val="00A57011"/>
    <w:rsid w:val="00A570DB"/>
    <w:rsid w:val="00A57594"/>
    <w:rsid w:val="00A575CA"/>
    <w:rsid w:val="00A57749"/>
    <w:rsid w:val="00A57958"/>
    <w:rsid w:val="00A60289"/>
    <w:rsid w:val="00A60A3C"/>
    <w:rsid w:val="00A60A67"/>
    <w:rsid w:val="00A6179C"/>
    <w:rsid w:val="00A61B25"/>
    <w:rsid w:val="00A6202B"/>
    <w:rsid w:val="00A6213A"/>
    <w:rsid w:val="00A62464"/>
    <w:rsid w:val="00A63167"/>
    <w:rsid w:val="00A6333A"/>
    <w:rsid w:val="00A63AD6"/>
    <w:rsid w:val="00A63BA1"/>
    <w:rsid w:val="00A63BDA"/>
    <w:rsid w:val="00A646D2"/>
    <w:rsid w:val="00A65375"/>
    <w:rsid w:val="00A654D6"/>
    <w:rsid w:val="00A66515"/>
    <w:rsid w:val="00A665C7"/>
    <w:rsid w:val="00A666A6"/>
    <w:rsid w:val="00A71776"/>
    <w:rsid w:val="00A71D37"/>
    <w:rsid w:val="00A71F60"/>
    <w:rsid w:val="00A726F4"/>
    <w:rsid w:val="00A73B52"/>
    <w:rsid w:val="00A749B3"/>
    <w:rsid w:val="00A753D2"/>
    <w:rsid w:val="00A7618F"/>
    <w:rsid w:val="00A7642D"/>
    <w:rsid w:val="00A76BD6"/>
    <w:rsid w:val="00A77326"/>
    <w:rsid w:val="00A77453"/>
    <w:rsid w:val="00A77EE9"/>
    <w:rsid w:val="00A80EBE"/>
    <w:rsid w:val="00A8101A"/>
    <w:rsid w:val="00A8166A"/>
    <w:rsid w:val="00A816EE"/>
    <w:rsid w:val="00A820B9"/>
    <w:rsid w:val="00A82B11"/>
    <w:rsid w:val="00A82C50"/>
    <w:rsid w:val="00A82FCA"/>
    <w:rsid w:val="00A83D73"/>
    <w:rsid w:val="00A83ED7"/>
    <w:rsid w:val="00A8437B"/>
    <w:rsid w:val="00A84684"/>
    <w:rsid w:val="00A847AC"/>
    <w:rsid w:val="00A85164"/>
    <w:rsid w:val="00A85539"/>
    <w:rsid w:val="00A859E2"/>
    <w:rsid w:val="00A85BF3"/>
    <w:rsid w:val="00A86306"/>
    <w:rsid w:val="00A86DF9"/>
    <w:rsid w:val="00A874CC"/>
    <w:rsid w:val="00A900ED"/>
    <w:rsid w:val="00A90D8B"/>
    <w:rsid w:val="00A90D98"/>
    <w:rsid w:val="00A90F88"/>
    <w:rsid w:val="00A91723"/>
    <w:rsid w:val="00A91865"/>
    <w:rsid w:val="00A927AF"/>
    <w:rsid w:val="00A93FD9"/>
    <w:rsid w:val="00A94245"/>
    <w:rsid w:val="00A944A1"/>
    <w:rsid w:val="00A94ECD"/>
    <w:rsid w:val="00A95176"/>
    <w:rsid w:val="00A9541E"/>
    <w:rsid w:val="00A9595F"/>
    <w:rsid w:val="00A96491"/>
    <w:rsid w:val="00A971CB"/>
    <w:rsid w:val="00A9740F"/>
    <w:rsid w:val="00AA0975"/>
    <w:rsid w:val="00AA10FA"/>
    <w:rsid w:val="00AA19C7"/>
    <w:rsid w:val="00AA1C63"/>
    <w:rsid w:val="00AA3238"/>
    <w:rsid w:val="00AA3A42"/>
    <w:rsid w:val="00AA3B24"/>
    <w:rsid w:val="00AA453C"/>
    <w:rsid w:val="00AA4561"/>
    <w:rsid w:val="00AA4686"/>
    <w:rsid w:val="00AA4BE1"/>
    <w:rsid w:val="00AA51AF"/>
    <w:rsid w:val="00AA5BDB"/>
    <w:rsid w:val="00AA78C2"/>
    <w:rsid w:val="00AA7AD9"/>
    <w:rsid w:val="00AB174A"/>
    <w:rsid w:val="00AB22F2"/>
    <w:rsid w:val="00AB2D20"/>
    <w:rsid w:val="00AB2FA4"/>
    <w:rsid w:val="00AB391A"/>
    <w:rsid w:val="00AB393F"/>
    <w:rsid w:val="00AB3AE1"/>
    <w:rsid w:val="00AB4169"/>
    <w:rsid w:val="00AB4221"/>
    <w:rsid w:val="00AB4330"/>
    <w:rsid w:val="00AB4418"/>
    <w:rsid w:val="00AB4618"/>
    <w:rsid w:val="00AB49C0"/>
    <w:rsid w:val="00AB4A74"/>
    <w:rsid w:val="00AB4C1B"/>
    <w:rsid w:val="00AB5112"/>
    <w:rsid w:val="00AB5119"/>
    <w:rsid w:val="00AB5292"/>
    <w:rsid w:val="00AB5350"/>
    <w:rsid w:val="00AB5358"/>
    <w:rsid w:val="00AB53E8"/>
    <w:rsid w:val="00AB6205"/>
    <w:rsid w:val="00AB6388"/>
    <w:rsid w:val="00AB639A"/>
    <w:rsid w:val="00AB6AD1"/>
    <w:rsid w:val="00AB7B5D"/>
    <w:rsid w:val="00AC08FA"/>
    <w:rsid w:val="00AC0D41"/>
    <w:rsid w:val="00AC10D1"/>
    <w:rsid w:val="00AC146C"/>
    <w:rsid w:val="00AC17A8"/>
    <w:rsid w:val="00AC18CF"/>
    <w:rsid w:val="00AC23AE"/>
    <w:rsid w:val="00AC3546"/>
    <w:rsid w:val="00AC3F66"/>
    <w:rsid w:val="00AC40B6"/>
    <w:rsid w:val="00AC4673"/>
    <w:rsid w:val="00AC48CB"/>
    <w:rsid w:val="00AC5A0D"/>
    <w:rsid w:val="00AC6463"/>
    <w:rsid w:val="00AC6E68"/>
    <w:rsid w:val="00AD0552"/>
    <w:rsid w:val="00AD0E04"/>
    <w:rsid w:val="00AD1413"/>
    <w:rsid w:val="00AD1CE8"/>
    <w:rsid w:val="00AD1D1E"/>
    <w:rsid w:val="00AD2195"/>
    <w:rsid w:val="00AD2A71"/>
    <w:rsid w:val="00AD2AD5"/>
    <w:rsid w:val="00AD2B87"/>
    <w:rsid w:val="00AD2CF4"/>
    <w:rsid w:val="00AD3838"/>
    <w:rsid w:val="00AD4375"/>
    <w:rsid w:val="00AD456B"/>
    <w:rsid w:val="00AD5577"/>
    <w:rsid w:val="00AD5F45"/>
    <w:rsid w:val="00AD62CF"/>
    <w:rsid w:val="00AD6737"/>
    <w:rsid w:val="00AD6A09"/>
    <w:rsid w:val="00AD6AE7"/>
    <w:rsid w:val="00AD7028"/>
    <w:rsid w:val="00AD717C"/>
    <w:rsid w:val="00AD7396"/>
    <w:rsid w:val="00AD753F"/>
    <w:rsid w:val="00AD76C7"/>
    <w:rsid w:val="00AE0DE8"/>
    <w:rsid w:val="00AE13E3"/>
    <w:rsid w:val="00AE150C"/>
    <w:rsid w:val="00AE1653"/>
    <w:rsid w:val="00AE19A6"/>
    <w:rsid w:val="00AE2490"/>
    <w:rsid w:val="00AE2729"/>
    <w:rsid w:val="00AE284E"/>
    <w:rsid w:val="00AE28B0"/>
    <w:rsid w:val="00AE322C"/>
    <w:rsid w:val="00AE3E1D"/>
    <w:rsid w:val="00AE40D9"/>
    <w:rsid w:val="00AE45C0"/>
    <w:rsid w:val="00AE5019"/>
    <w:rsid w:val="00AE50BF"/>
    <w:rsid w:val="00AE558C"/>
    <w:rsid w:val="00AE58C7"/>
    <w:rsid w:val="00AE5C15"/>
    <w:rsid w:val="00AE5C8C"/>
    <w:rsid w:val="00AE6092"/>
    <w:rsid w:val="00AE626A"/>
    <w:rsid w:val="00AE63C4"/>
    <w:rsid w:val="00AE6D97"/>
    <w:rsid w:val="00AE73A3"/>
    <w:rsid w:val="00AE74AD"/>
    <w:rsid w:val="00AE74F7"/>
    <w:rsid w:val="00AF00E7"/>
    <w:rsid w:val="00AF03CD"/>
    <w:rsid w:val="00AF0C44"/>
    <w:rsid w:val="00AF2313"/>
    <w:rsid w:val="00AF2A56"/>
    <w:rsid w:val="00AF2E03"/>
    <w:rsid w:val="00AF3714"/>
    <w:rsid w:val="00AF3838"/>
    <w:rsid w:val="00AF3E77"/>
    <w:rsid w:val="00AF421B"/>
    <w:rsid w:val="00AF454C"/>
    <w:rsid w:val="00AF5058"/>
    <w:rsid w:val="00AF5679"/>
    <w:rsid w:val="00AF5A46"/>
    <w:rsid w:val="00AF609E"/>
    <w:rsid w:val="00AF60EA"/>
    <w:rsid w:val="00AF6387"/>
    <w:rsid w:val="00AF6B95"/>
    <w:rsid w:val="00AF6BEF"/>
    <w:rsid w:val="00AF71B8"/>
    <w:rsid w:val="00AF73B3"/>
    <w:rsid w:val="00B00B73"/>
    <w:rsid w:val="00B00EBA"/>
    <w:rsid w:val="00B01458"/>
    <w:rsid w:val="00B01476"/>
    <w:rsid w:val="00B01A33"/>
    <w:rsid w:val="00B01AE4"/>
    <w:rsid w:val="00B01BDC"/>
    <w:rsid w:val="00B02500"/>
    <w:rsid w:val="00B02AEB"/>
    <w:rsid w:val="00B02DFB"/>
    <w:rsid w:val="00B03307"/>
    <w:rsid w:val="00B035F7"/>
    <w:rsid w:val="00B04174"/>
    <w:rsid w:val="00B0435E"/>
    <w:rsid w:val="00B0495A"/>
    <w:rsid w:val="00B04A39"/>
    <w:rsid w:val="00B0512E"/>
    <w:rsid w:val="00B05C07"/>
    <w:rsid w:val="00B063E8"/>
    <w:rsid w:val="00B06597"/>
    <w:rsid w:val="00B06654"/>
    <w:rsid w:val="00B06BF0"/>
    <w:rsid w:val="00B06F77"/>
    <w:rsid w:val="00B0731E"/>
    <w:rsid w:val="00B07890"/>
    <w:rsid w:val="00B11975"/>
    <w:rsid w:val="00B12244"/>
    <w:rsid w:val="00B127C7"/>
    <w:rsid w:val="00B13131"/>
    <w:rsid w:val="00B131DE"/>
    <w:rsid w:val="00B134CF"/>
    <w:rsid w:val="00B150F3"/>
    <w:rsid w:val="00B174D5"/>
    <w:rsid w:val="00B178C7"/>
    <w:rsid w:val="00B20D57"/>
    <w:rsid w:val="00B20DFE"/>
    <w:rsid w:val="00B21023"/>
    <w:rsid w:val="00B21D49"/>
    <w:rsid w:val="00B22C6D"/>
    <w:rsid w:val="00B232A6"/>
    <w:rsid w:val="00B23904"/>
    <w:rsid w:val="00B24ED1"/>
    <w:rsid w:val="00B250E2"/>
    <w:rsid w:val="00B250E8"/>
    <w:rsid w:val="00B2510E"/>
    <w:rsid w:val="00B2624E"/>
    <w:rsid w:val="00B265E3"/>
    <w:rsid w:val="00B26CDE"/>
    <w:rsid w:val="00B2707F"/>
    <w:rsid w:val="00B2727B"/>
    <w:rsid w:val="00B27AC2"/>
    <w:rsid w:val="00B27C32"/>
    <w:rsid w:val="00B27FB5"/>
    <w:rsid w:val="00B30468"/>
    <w:rsid w:val="00B307C6"/>
    <w:rsid w:val="00B30E45"/>
    <w:rsid w:val="00B31ADE"/>
    <w:rsid w:val="00B3335A"/>
    <w:rsid w:val="00B33AF3"/>
    <w:rsid w:val="00B34578"/>
    <w:rsid w:val="00B3482A"/>
    <w:rsid w:val="00B3492B"/>
    <w:rsid w:val="00B34E62"/>
    <w:rsid w:val="00B359EB"/>
    <w:rsid w:val="00B361E3"/>
    <w:rsid w:val="00B366D0"/>
    <w:rsid w:val="00B36E4C"/>
    <w:rsid w:val="00B37E1B"/>
    <w:rsid w:val="00B401CE"/>
    <w:rsid w:val="00B401DF"/>
    <w:rsid w:val="00B40783"/>
    <w:rsid w:val="00B407B3"/>
    <w:rsid w:val="00B40DEC"/>
    <w:rsid w:val="00B412E2"/>
    <w:rsid w:val="00B4130C"/>
    <w:rsid w:val="00B413FD"/>
    <w:rsid w:val="00B42020"/>
    <w:rsid w:val="00B43151"/>
    <w:rsid w:val="00B431B8"/>
    <w:rsid w:val="00B4358A"/>
    <w:rsid w:val="00B440DD"/>
    <w:rsid w:val="00B45056"/>
    <w:rsid w:val="00B454F1"/>
    <w:rsid w:val="00B45DDA"/>
    <w:rsid w:val="00B4602D"/>
    <w:rsid w:val="00B46734"/>
    <w:rsid w:val="00B46792"/>
    <w:rsid w:val="00B46A04"/>
    <w:rsid w:val="00B46BFC"/>
    <w:rsid w:val="00B47552"/>
    <w:rsid w:val="00B5022D"/>
    <w:rsid w:val="00B5102C"/>
    <w:rsid w:val="00B52042"/>
    <w:rsid w:val="00B52225"/>
    <w:rsid w:val="00B52DAA"/>
    <w:rsid w:val="00B52FC1"/>
    <w:rsid w:val="00B536CC"/>
    <w:rsid w:val="00B5416A"/>
    <w:rsid w:val="00B54F5A"/>
    <w:rsid w:val="00B54FBC"/>
    <w:rsid w:val="00B5521D"/>
    <w:rsid w:val="00B5619F"/>
    <w:rsid w:val="00B56866"/>
    <w:rsid w:val="00B56AED"/>
    <w:rsid w:val="00B56DCE"/>
    <w:rsid w:val="00B5706D"/>
    <w:rsid w:val="00B57239"/>
    <w:rsid w:val="00B57334"/>
    <w:rsid w:val="00B57ABC"/>
    <w:rsid w:val="00B604F2"/>
    <w:rsid w:val="00B6071A"/>
    <w:rsid w:val="00B60EAB"/>
    <w:rsid w:val="00B61389"/>
    <w:rsid w:val="00B617C3"/>
    <w:rsid w:val="00B62605"/>
    <w:rsid w:val="00B630E0"/>
    <w:rsid w:val="00B6357F"/>
    <w:rsid w:val="00B63614"/>
    <w:rsid w:val="00B63AB7"/>
    <w:rsid w:val="00B63DC3"/>
    <w:rsid w:val="00B64248"/>
    <w:rsid w:val="00B642AB"/>
    <w:rsid w:val="00B648D1"/>
    <w:rsid w:val="00B64B31"/>
    <w:rsid w:val="00B6545F"/>
    <w:rsid w:val="00B65631"/>
    <w:rsid w:val="00B66157"/>
    <w:rsid w:val="00B66555"/>
    <w:rsid w:val="00B66651"/>
    <w:rsid w:val="00B6680B"/>
    <w:rsid w:val="00B669D0"/>
    <w:rsid w:val="00B674B3"/>
    <w:rsid w:val="00B702AB"/>
    <w:rsid w:val="00B717E9"/>
    <w:rsid w:val="00B71AF4"/>
    <w:rsid w:val="00B71C54"/>
    <w:rsid w:val="00B7259B"/>
    <w:rsid w:val="00B72897"/>
    <w:rsid w:val="00B72E63"/>
    <w:rsid w:val="00B7388E"/>
    <w:rsid w:val="00B73F60"/>
    <w:rsid w:val="00B744C2"/>
    <w:rsid w:val="00B74F35"/>
    <w:rsid w:val="00B7549C"/>
    <w:rsid w:val="00B7604B"/>
    <w:rsid w:val="00B76103"/>
    <w:rsid w:val="00B76408"/>
    <w:rsid w:val="00B77969"/>
    <w:rsid w:val="00B800B4"/>
    <w:rsid w:val="00B81472"/>
    <w:rsid w:val="00B816E0"/>
    <w:rsid w:val="00B81BD2"/>
    <w:rsid w:val="00B81D52"/>
    <w:rsid w:val="00B83901"/>
    <w:rsid w:val="00B83E3B"/>
    <w:rsid w:val="00B846F1"/>
    <w:rsid w:val="00B848A8"/>
    <w:rsid w:val="00B852A0"/>
    <w:rsid w:val="00B85F03"/>
    <w:rsid w:val="00B863A6"/>
    <w:rsid w:val="00B8707C"/>
    <w:rsid w:val="00B87244"/>
    <w:rsid w:val="00B8758A"/>
    <w:rsid w:val="00B9053F"/>
    <w:rsid w:val="00B90C53"/>
    <w:rsid w:val="00B90EA7"/>
    <w:rsid w:val="00B9123E"/>
    <w:rsid w:val="00B9194F"/>
    <w:rsid w:val="00B91E13"/>
    <w:rsid w:val="00B94649"/>
    <w:rsid w:val="00B94AB8"/>
    <w:rsid w:val="00B95546"/>
    <w:rsid w:val="00B9566C"/>
    <w:rsid w:val="00B95A7A"/>
    <w:rsid w:val="00B95B8C"/>
    <w:rsid w:val="00B96697"/>
    <w:rsid w:val="00B96B82"/>
    <w:rsid w:val="00B96FA5"/>
    <w:rsid w:val="00B97B22"/>
    <w:rsid w:val="00BA16CB"/>
    <w:rsid w:val="00BA1808"/>
    <w:rsid w:val="00BA221A"/>
    <w:rsid w:val="00BA3427"/>
    <w:rsid w:val="00BA38C7"/>
    <w:rsid w:val="00BA40AB"/>
    <w:rsid w:val="00BA48D8"/>
    <w:rsid w:val="00BA4E1A"/>
    <w:rsid w:val="00BA5269"/>
    <w:rsid w:val="00BA5485"/>
    <w:rsid w:val="00BA55EA"/>
    <w:rsid w:val="00BA5D6C"/>
    <w:rsid w:val="00BA5FD0"/>
    <w:rsid w:val="00BA652B"/>
    <w:rsid w:val="00BA6686"/>
    <w:rsid w:val="00BA6BE8"/>
    <w:rsid w:val="00BA6D41"/>
    <w:rsid w:val="00BA6F4F"/>
    <w:rsid w:val="00BA739D"/>
    <w:rsid w:val="00BB0169"/>
    <w:rsid w:val="00BB05FA"/>
    <w:rsid w:val="00BB06EC"/>
    <w:rsid w:val="00BB0DD3"/>
    <w:rsid w:val="00BB1A8A"/>
    <w:rsid w:val="00BB22F7"/>
    <w:rsid w:val="00BB2FA5"/>
    <w:rsid w:val="00BB3561"/>
    <w:rsid w:val="00BB3A11"/>
    <w:rsid w:val="00BB3A2C"/>
    <w:rsid w:val="00BB3A8F"/>
    <w:rsid w:val="00BB3D8C"/>
    <w:rsid w:val="00BB4D2E"/>
    <w:rsid w:val="00BB4D9F"/>
    <w:rsid w:val="00BB5ABD"/>
    <w:rsid w:val="00BB64EB"/>
    <w:rsid w:val="00BB660D"/>
    <w:rsid w:val="00BB6929"/>
    <w:rsid w:val="00BB767B"/>
    <w:rsid w:val="00BB7C6C"/>
    <w:rsid w:val="00BC0244"/>
    <w:rsid w:val="00BC113B"/>
    <w:rsid w:val="00BC15E7"/>
    <w:rsid w:val="00BC21D1"/>
    <w:rsid w:val="00BC2708"/>
    <w:rsid w:val="00BC3413"/>
    <w:rsid w:val="00BC3D5F"/>
    <w:rsid w:val="00BC3F35"/>
    <w:rsid w:val="00BC4768"/>
    <w:rsid w:val="00BC5323"/>
    <w:rsid w:val="00BC56F7"/>
    <w:rsid w:val="00BC59EA"/>
    <w:rsid w:val="00BC5C5A"/>
    <w:rsid w:val="00BC5DC3"/>
    <w:rsid w:val="00BC628A"/>
    <w:rsid w:val="00BC6BF6"/>
    <w:rsid w:val="00BC6BF9"/>
    <w:rsid w:val="00BC73E4"/>
    <w:rsid w:val="00BC7D97"/>
    <w:rsid w:val="00BD0584"/>
    <w:rsid w:val="00BD0C55"/>
    <w:rsid w:val="00BD106A"/>
    <w:rsid w:val="00BD13E6"/>
    <w:rsid w:val="00BD15B9"/>
    <w:rsid w:val="00BD1AA7"/>
    <w:rsid w:val="00BD1CAE"/>
    <w:rsid w:val="00BD25EE"/>
    <w:rsid w:val="00BD2962"/>
    <w:rsid w:val="00BD3355"/>
    <w:rsid w:val="00BD4662"/>
    <w:rsid w:val="00BD4858"/>
    <w:rsid w:val="00BD602D"/>
    <w:rsid w:val="00BD67BD"/>
    <w:rsid w:val="00BD6A51"/>
    <w:rsid w:val="00BD6DEF"/>
    <w:rsid w:val="00BD7186"/>
    <w:rsid w:val="00BE039E"/>
    <w:rsid w:val="00BE044C"/>
    <w:rsid w:val="00BE0461"/>
    <w:rsid w:val="00BE07A3"/>
    <w:rsid w:val="00BE153B"/>
    <w:rsid w:val="00BE19D3"/>
    <w:rsid w:val="00BE2A61"/>
    <w:rsid w:val="00BE2C19"/>
    <w:rsid w:val="00BE3077"/>
    <w:rsid w:val="00BE33F7"/>
    <w:rsid w:val="00BE3BFA"/>
    <w:rsid w:val="00BE43A5"/>
    <w:rsid w:val="00BE4DDD"/>
    <w:rsid w:val="00BE54C8"/>
    <w:rsid w:val="00BE5767"/>
    <w:rsid w:val="00BE5795"/>
    <w:rsid w:val="00BE5990"/>
    <w:rsid w:val="00BE74FA"/>
    <w:rsid w:val="00BE7AC3"/>
    <w:rsid w:val="00BE7FAD"/>
    <w:rsid w:val="00BF0B35"/>
    <w:rsid w:val="00BF145A"/>
    <w:rsid w:val="00BF188D"/>
    <w:rsid w:val="00BF301D"/>
    <w:rsid w:val="00BF3179"/>
    <w:rsid w:val="00BF334F"/>
    <w:rsid w:val="00BF39DC"/>
    <w:rsid w:val="00BF3BF4"/>
    <w:rsid w:val="00BF43D0"/>
    <w:rsid w:val="00BF444A"/>
    <w:rsid w:val="00BF49AF"/>
    <w:rsid w:val="00BF49F3"/>
    <w:rsid w:val="00BF616F"/>
    <w:rsid w:val="00BF6E7E"/>
    <w:rsid w:val="00BF7534"/>
    <w:rsid w:val="00BF7D31"/>
    <w:rsid w:val="00C00111"/>
    <w:rsid w:val="00C003CC"/>
    <w:rsid w:val="00C0134F"/>
    <w:rsid w:val="00C02877"/>
    <w:rsid w:val="00C028C8"/>
    <w:rsid w:val="00C02E81"/>
    <w:rsid w:val="00C0392C"/>
    <w:rsid w:val="00C03C74"/>
    <w:rsid w:val="00C03CD7"/>
    <w:rsid w:val="00C041D1"/>
    <w:rsid w:val="00C04460"/>
    <w:rsid w:val="00C047E8"/>
    <w:rsid w:val="00C0489F"/>
    <w:rsid w:val="00C0521B"/>
    <w:rsid w:val="00C05B9A"/>
    <w:rsid w:val="00C06BE1"/>
    <w:rsid w:val="00C06E58"/>
    <w:rsid w:val="00C06FEB"/>
    <w:rsid w:val="00C1044B"/>
    <w:rsid w:val="00C1050B"/>
    <w:rsid w:val="00C1150D"/>
    <w:rsid w:val="00C11561"/>
    <w:rsid w:val="00C11ED2"/>
    <w:rsid w:val="00C11F2B"/>
    <w:rsid w:val="00C12096"/>
    <w:rsid w:val="00C125E7"/>
    <w:rsid w:val="00C136B9"/>
    <w:rsid w:val="00C148E3"/>
    <w:rsid w:val="00C1495C"/>
    <w:rsid w:val="00C150EC"/>
    <w:rsid w:val="00C15122"/>
    <w:rsid w:val="00C15308"/>
    <w:rsid w:val="00C157B5"/>
    <w:rsid w:val="00C158A1"/>
    <w:rsid w:val="00C159D6"/>
    <w:rsid w:val="00C16B8E"/>
    <w:rsid w:val="00C16FE5"/>
    <w:rsid w:val="00C17051"/>
    <w:rsid w:val="00C17130"/>
    <w:rsid w:val="00C175C5"/>
    <w:rsid w:val="00C17886"/>
    <w:rsid w:val="00C17A14"/>
    <w:rsid w:val="00C17A3C"/>
    <w:rsid w:val="00C17FE8"/>
    <w:rsid w:val="00C200E6"/>
    <w:rsid w:val="00C2050D"/>
    <w:rsid w:val="00C20567"/>
    <w:rsid w:val="00C20578"/>
    <w:rsid w:val="00C209EB"/>
    <w:rsid w:val="00C2150B"/>
    <w:rsid w:val="00C21D00"/>
    <w:rsid w:val="00C222DF"/>
    <w:rsid w:val="00C22A28"/>
    <w:rsid w:val="00C22AE1"/>
    <w:rsid w:val="00C23D63"/>
    <w:rsid w:val="00C23DE7"/>
    <w:rsid w:val="00C24AFB"/>
    <w:rsid w:val="00C25346"/>
    <w:rsid w:val="00C25F35"/>
    <w:rsid w:val="00C2622F"/>
    <w:rsid w:val="00C26D69"/>
    <w:rsid w:val="00C271A7"/>
    <w:rsid w:val="00C300D4"/>
    <w:rsid w:val="00C30B99"/>
    <w:rsid w:val="00C30E71"/>
    <w:rsid w:val="00C31114"/>
    <w:rsid w:val="00C31B38"/>
    <w:rsid w:val="00C31BA4"/>
    <w:rsid w:val="00C3267F"/>
    <w:rsid w:val="00C326B2"/>
    <w:rsid w:val="00C32A07"/>
    <w:rsid w:val="00C32AE5"/>
    <w:rsid w:val="00C34252"/>
    <w:rsid w:val="00C34689"/>
    <w:rsid w:val="00C34B56"/>
    <w:rsid w:val="00C34FED"/>
    <w:rsid w:val="00C35710"/>
    <w:rsid w:val="00C35BB3"/>
    <w:rsid w:val="00C35EB8"/>
    <w:rsid w:val="00C36068"/>
    <w:rsid w:val="00C36585"/>
    <w:rsid w:val="00C36E8F"/>
    <w:rsid w:val="00C36EF2"/>
    <w:rsid w:val="00C376E9"/>
    <w:rsid w:val="00C377BB"/>
    <w:rsid w:val="00C3784A"/>
    <w:rsid w:val="00C37A45"/>
    <w:rsid w:val="00C37E05"/>
    <w:rsid w:val="00C4022A"/>
    <w:rsid w:val="00C40E91"/>
    <w:rsid w:val="00C413B6"/>
    <w:rsid w:val="00C41416"/>
    <w:rsid w:val="00C4155A"/>
    <w:rsid w:val="00C41DE6"/>
    <w:rsid w:val="00C41DE9"/>
    <w:rsid w:val="00C42418"/>
    <w:rsid w:val="00C425B9"/>
    <w:rsid w:val="00C43854"/>
    <w:rsid w:val="00C43A18"/>
    <w:rsid w:val="00C43E04"/>
    <w:rsid w:val="00C43E9C"/>
    <w:rsid w:val="00C447BB"/>
    <w:rsid w:val="00C44805"/>
    <w:rsid w:val="00C4492F"/>
    <w:rsid w:val="00C44E15"/>
    <w:rsid w:val="00C451A2"/>
    <w:rsid w:val="00C458C4"/>
    <w:rsid w:val="00C45C8E"/>
    <w:rsid w:val="00C46268"/>
    <w:rsid w:val="00C464C9"/>
    <w:rsid w:val="00C46C86"/>
    <w:rsid w:val="00C46DC6"/>
    <w:rsid w:val="00C4719F"/>
    <w:rsid w:val="00C47347"/>
    <w:rsid w:val="00C47A0B"/>
    <w:rsid w:val="00C47DB3"/>
    <w:rsid w:val="00C50974"/>
    <w:rsid w:val="00C51536"/>
    <w:rsid w:val="00C51BFC"/>
    <w:rsid w:val="00C52088"/>
    <w:rsid w:val="00C5268A"/>
    <w:rsid w:val="00C53742"/>
    <w:rsid w:val="00C546C9"/>
    <w:rsid w:val="00C54EB8"/>
    <w:rsid w:val="00C54F31"/>
    <w:rsid w:val="00C5571D"/>
    <w:rsid w:val="00C6000A"/>
    <w:rsid w:val="00C6060B"/>
    <w:rsid w:val="00C60E68"/>
    <w:rsid w:val="00C6132E"/>
    <w:rsid w:val="00C619F6"/>
    <w:rsid w:val="00C61CB6"/>
    <w:rsid w:val="00C6209A"/>
    <w:rsid w:val="00C621E3"/>
    <w:rsid w:val="00C62726"/>
    <w:rsid w:val="00C62F9A"/>
    <w:rsid w:val="00C63A70"/>
    <w:rsid w:val="00C63B06"/>
    <w:rsid w:val="00C63BB4"/>
    <w:rsid w:val="00C63D57"/>
    <w:rsid w:val="00C64BD3"/>
    <w:rsid w:val="00C65071"/>
    <w:rsid w:val="00C6613C"/>
    <w:rsid w:val="00C662FE"/>
    <w:rsid w:val="00C66495"/>
    <w:rsid w:val="00C665B5"/>
    <w:rsid w:val="00C66BB3"/>
    <w:rsid w:val="00C67073"/>
    <w:rsid w:val="00C67FDF"/>
    <w:rsid w:val="00C70533"/>
    <w:rsid w:val="00C70AB6"/>
    <w:rsid w:val="00C70AE5"/>
    <w:rsid w:val="00C70D06"/>
    <w:rsid w:val="00C71F8D"/>
    <w:rsid w:val="00C7209A"/>
    <w:rsid w:val="00C72A48"/>
    <w:rsid w:val="00C72A7D"/>
    <w:rsid w:val="00C732C2"/>
    <w:rsid w:val="00C73CB9"/>
    <w:rsid w:val="00C73D85"/>
    <w:rsid w:val="00C7407D"/>
    <w:rsid w:val="00C740FA"/>
    <w:rsid w:val="00C74D73"/>
    <w:rsid w:val="00C7509B"/>
    <w:rsid w:val="00C75219"/>
    <w:rsid w:val="00C75552"/>
    <w:rsid w:val="00C757C9"/>
    <w:rsid w:val="00C75901"/>
    <w:rsid w:val="00C75B23"/>
    <w:rsid w:val="00C75F37"/>
    <w:rsid w:val="00C7603D"/>
    <w:rsid w:val="00C76256"/>
    <w:rsid w:val="00C76FF7"/>
    <w:rsid w:val="00C77195"/>
    <w:rsid w:val="00C7745B"/>
    <w:rsid w:val="00C77A17"/>
    <w:rsid w:val="00C77B02"/>
    <w:rsid w:val="00C77C06"/>
    <w:rsid w:val="00C77C0F"/>
    <w:rsid w:val="00C77E33"/>
    <w:rsid w:val="00C77ED9"/>
    <w:rsid w:val="00C8022A"/>
    <w:rsid w:val="00C8109F"/>
    <w:rsid w:val="00C81B82"/>
    <w:rsid w:val="00C81C44"/>
    <w:rsid w:val="00C828B9"/>
    <w:rsid w:val="00C839D1"/>
    <w:rsid w:val="00C84375"/>
    <w:rsid w:val="00C84E38"/>
    <w:rsid w:val="00C84FA4"/>
    <w:rsid w:val="00C862D3"/>
    <w:rsid w:val="00C864C4"/>
    <w:rsid w:val="00C86756"/>
    <w:rsid w:val="00C86A86"/>
    <w:rsid w:val="00C86E25"/>
    <w:rsid w:val="00C86E69"/>
    <w:rsid w:val="00C87813"/>
    <w:rsid w:val="00C90346"/>
    <w:rsid w:val="00C918B1"/>
    <w:rsid w:val="00C936BE"/>
    <w:rsid w:val="00C93A07"/>
    <w:rsid w:val="00C94116"/>
    <w:rsid w:val="00C94D62"/>
    <w:rsid w:val="00C9553E"/>
    <w:rsid w:val="00C95718"/>
    <w:rsid w:val="00C96F15"/>
    <w:rsid w:val="00C97EA4"/>
    <w:rsid w:val="00CA01DD"/>
    <w:rsid w:val="00CA021B"/>
    <w:rsid w:val="00CA0C18"/>
    <w:rsid w:val="00CA1EB7"/>
    <w:rsid w:val="00CA22B3"/>
    <w:rsid w:val="00CA271F"/>
    <w:rsid w:val="00CA30BE"/>
    <w:rsid w:val="00CA37B6"/>
    <w:rsid w:val="00CA3867"/>
    <w:rsid w:val="00CA4153"/>
    <w:rsid w:val="00CA43FC"/>
    <w:rsid w:val="00CA4ECC"/>
    <w:rsid w:val="00CA5F07"/>
    <w:rsid w:val="00CA609B"/>
    <w:rsid w:val="00CA611B"/>
    <w:rsid w:val="00CA63BB"/>
    <w:rsid w:val="00CA7332"/>
    <w:rsid w:val="00CA78DA"/>
    <w:rsid w:val="00CA7D07"/>
    <w:rsid w:val="00CA7F3F"/>
    <w:rsid w:val="00CB01E1"/>
    <w:rsid w:val="00CB04E6"/>
    <w:rsid w:val="00CB1031"/>
    <w:rsid w:val="00CB1465"/>
    <w:rsid w:val="00CB197D"/>
    <w:rsid w:val="00CB1E28"/>
    <w:rsid w:val="00CB204E"/>
    <w:rsid w:val="00CB2325"/>
    <w:rsid w:val="00CB23D1"/>
    <w:rsid w:val="00CB2760"/>
    <w:rsid w:val="00CB2AE8"/>
    <w:rsid w:val="00CB2E7C"/>
    <w:rsid w:val="00CB2F71"/>
    <w:rsid w:val="00CB30E4"/>
    <w:rsid w:val="00CB3D4D"/>
    <w:rsid w:val="00CB407A"/>
    <w:rsid w:val="00CB49B3"/>
    <w:rsid w:val="00CB4A86"/>
    <w:rsid w:val="00CB5612"/>
    <w:rsid w:val="00CB5986"/>
    <w:rsid w:val="00CB7148"/>
    <w:rsid w:val="00CB776B"/>
    <w:rsid w:val="00CB78C7"/>
    <w:rsid w:val="00CB7E1F"/>
    <w:rsid w:val="00CC038A"/>
    <w:rsid w:val="00CC0916"/>
    <w:rsid w:val="00CC0A1E"/>
    <w:rsid w:val="00CC0BE3"/>
    <w:rsid w:val="00CC146D"/>
    <w:rsid w:val="00CC16BC"/>
    <w:rsid w:val="00CC1743"/>
    <w:rsid w:val="00CC1AD0"/>
    <w:rsid w:val="00CC2256"/>
    <w:rsid w:val="00CC245F"/>
    <w:rsid w:val="00CC2D24"/>
    <w:rsid w:val="00CC32BB"/>
    <w:rsid w:val="00CC3613"/>
    <w:rsid w:val="00CC3C62"/>
    <w:rsid w:val="00CC4232"/>
    <w:rsid w:val="00CC51B5"/>
    <w:rsid w:val="00CC5C5F"/>
    <w:rsid w:val="00CC66A6"/>
    <w:rsid w:val="00CC7593"/>
    <w:rsid w:val="00CC781A"/>
    <w:rsid w:val="00CD0466"/>
    <w:rsid w:val="00CD0483"/>
    <w:rsid w:val="00CD04BC"/>
    <w:rsid w:val="00CD0626"/>
    <w:rsid w:val="00CD064E"/>
    <w:rsid w:val="00CD0BE8"/>
    <w:rsid w:val="00CD20E8"/>
    <w:rsid w:val="00CD21BC"/>
    <w:rsid w:val="00CD2855"/>
    <w:rsid w:val="00CD2C1C"/>
    <w:rsid w:val="00CD3279"/>
    <w:rsid w:val="00CD375E"/>
    <w:rsid w:val="00CD3D2B"/>
    <w:rsid w:val="00CD43B2"/>
    <w:rsid w:val="00CD497F"/>
    <w:rsid w:val="00CD4A3E"/>
    <w:rsid w:val="00CD5377"/>
    <w:rsid w:val="00CD58A1"/>
    <w:rsid w:val="00CD5BDA"/>
    <w:rsid w:val="00CD6102"/>
    <w:rsid w:val="00CD65FE"/>
    <w:rsid w:val="00CD669D"/>
    <w:rsid w:val="00CD6B0D"/>
    <w:rsid w:val="00CE08AF"/>
    <w:rsid w:val="00CE0D85"/>
    <w:rsid w:val="00CE0F03"/>
    <w:rsid w:val="00CE1FAF"/>
    <w:rsid w:val="00CE213A"/>
    <w:rsid w:val="00CE23F0"/>
    <w:rsid w:val="00CE26FC"/>
    <w:rsid w:val="00CE2BA1"/>
    <w:rsid w:val="00CE4FBD"/>
    <w:rsid w:val="00CE5545"/>
    <w:rsid w:val="00CE6449"/>
    <w:rsid w:val="00CE7260"/>
    <w:rsid w:val="00CE76A6"/>
    <w:rsid w:val="00CE7C1C"/>
    <w:rsid w:val="00CE7E6E"/>
    <w:rsid w:val="00CF123C"/>
    <w:rsid w:val="00CF12BA"/>
    <w:rsid w:val="00CF174B"/>
    <w:rsid w:val="00CF1896"/>
    <w:rsid w:val="00CF1E2D"/>
    <w:rsid w:val="00CF2F52"/>
    <w:rsid w:val="00CF306C"/>
    <w:rsid w:val="00CF37F0"/>
    <w:rsid w:val="00CF3B0C"/>
    <w:rsid w:val="00CF454A"/>
    <w:rsid w:val="00CF5136"/>
    <w:rsid w:val="00CF5528"/>
    <w:rsid w:val="00CF5ABF"/>
    <w:rsid w:val="00CF62DA"/>
    <w:rsid w:val="00CF72BD"/>
    <w:rsid w:val="00CF7449"/>
    <w:rsid w:val="00CF76DD"/>
    <w:rsid w:val="00CF798C"/>
    <w:rsid w:val="00D00E0A"/>
    <w:rsid w:val="00D01587"/>
    <w:rsid w:val="00D0195A"/>
    <w:rsid w:val="00D02663"/>
    <w:rsid w:val="00D02C7C"/>
    <w:rsid w:val="00D032E9"/>
    <w:rsid w:val="00D0372E"/>
    <w:rsid w:val="00D04011"/>
    <w:rsid w:val="00D05C72"/>
    <w:rsid w:val="00D05D31"/>
    <w:rsid w:val="00D05F43"/>
    <w:rsid w:val="00D0660B"/>
    <w:rsid w:val="00D0689D"/>
    <w:rsid w:val="00D06EDB"/>
    <w:rsid w:val="00D06F8C"/>
    <w:rsid w:val="00D0796F"/>
    <w:rsid w:val="00D07A05"/>
    <w:rsid w:val="00D12131"/>
    <w:rsid w:val="00D125F0"/>
    <w:rsid w:val="00D126DB"/>
    <w:rsid w:val="00D130B9"/>
    <w:rsid w:val="00D13416"/>
    <w:rsid w:val="00D13779"/>
    <w:rsid w:val="00D13A27"/>
    <w:rsid w:val="00D13D3A"/>
    <w:rsid w:val="00D1488A"/>
    <w:rsid w:val="00D151EA"/>
    <w:rsid w:val="00D158CF"/>
    <w:rsid w:val="00D15ABB"/>
    <w:rsid w:val="00D16142"/>
    <w:rsid w:val="00D16897"/>
    <w:rsid w:val="00D16F63"/>
    <w:rsid w:val="00D172D1"/>
    <w:rsid w:val="00D17BB9"/>
    <w:rsid w:val="00D17BEE"/>
    <w:rsid w:val="00D2034E"/>
    <w:rsid w:val="00D2130D"/>
    <w:rsid w:val="00D2193D"/>
    <w:rsid w:val="00D222D6"/>
    <w:rsid w:val="00D22DEB"/>
    <w:rsid w:val="00D239A5"/>
    <w:rsid w:val="00D2469F"/>
    <w:rsid w:val="00D24F63"/>
    <w:rsid w:val="00D25308"/>
    <w:rsid w:val="00D25B51"/>
    <w:rsid w:val="00D25E03"/>
    <w:rsid w:val="00D26045"/>
    <w:rsid w:val="00D26E67"/>
    <w:rsid w:val="00D27A22"/>
    <w:rsid w:val="00D304BB"/>
    <w:rsid w:val="00D30E02"/>
    <w:rsid w:val="00D317FB"/>
    <w:rsid w:val="00D31A68"/>
    <w:rsid w:val="00D31E68"/>
    <w:rsid w:val="00D32B30"/>
    <w:rsid w:val="00D32D57"/>
    <w:rsid w:val="00D332F7"/>
    <w:rsid w:val="00D33355"/>
    <w:rsid w:val="00D335F5"/>
    <w:rsid w:val="00D33B10"/>
    <w:rsid w:val="00D3452E"/>
    <w:rsid w:val="00D345F9"/>
    <w:rsid w:val="00D34D6F"/>
    <w:rsid w:val="00D34D87"/>
    <w:rsid w:val="00D34F00"/>
    <w:rsid w:val="00D35222"/>
    <w:rsid w:val="00D35870"/>
    <w:rsid w:val="00D35942"/>
    <w:rsid w:val="00D35A1A"/>
    <w:rsid w:val="00D35B2D"/>
    <w:rsid w:val="00D36170"/>
    <w:rsid w:val="00D362C4"/>
    <w:rsid w:val="00D368AD"/>
    <w:rsid w:val="00D36AEE"/>
    <w:rsid w:val="00D3743F"/>
    <w:rsid w:val="00D374E3"/>
    <w:rsid w:val="00D37778"/>
    <w:rsid w:val="00D37A4C"/>
    <w:rsid w:val="00D406EA"/>
    <w:rsid w:val="00D41220"/>
    <w:rsid w:val="00D416B1"/>
    <w:rsid w:val="00D41F7A"/>
    <w:rsid w:val="00D4300D"/>
    <w:rsid w:val="00D44B63"/>
    <w:rsid w:val="00D44D16"/>
    <w:rsid w:val="00D473DC"/>
    <w:rsid w:val="00D47563"/>
    <w:rsid w:val="00D4762B"/>
    <w:rsid w:val="00D478D6"/>
    <w:rsid w:val="00D479D3"/>
    <w:rsid w:val="00D50597"/>
    <w:rsid w:val="00D51FBA"/>
    <w:rsid w:val="00D526E3"/>
    <w:rsid w:val="00D52DE4"/>
    <w:rsid w:val="00D534A7"/>
    <w:rsid w:val="00D53BB9"/>
    <w:rsid w:val="00D53F7E"/>
    <w:rsid w:val="00D53F7F"/>
    <w:rsid w:val="00D542B7"/>
    <w:rsid w:val="00D5465C"/>
    <w:rsid w:val="00D54B76"/>
    <w:rsid w:val="00D54F45"/>
    <w:rsid w:val="00D551D0"/>
    <w:rsid w:val="00D553DC"/>
    <w:rsid w:val="00D5544D"/>
    <w:rsid w:val="00D554C8"/>
    <w:rsid w:val="00D560EE"/>
    <w:rsid w:val="00D56281"/>
    <w:rsid w:val="00D56343"/>
    <w:rsid w:val="00D5674B"/>
    <w:rsid w:val="00D56861"/>
    <w:rsid w:val="00D56A53"/>
    <w:rsid w:val="00D574E2"/>
    <w:rsid w:val="00D5761C"/>
    <w:rsid w:val="00D57D60"/>
    <w:rsid w:val="00D57F7C"/>
    <w:rsid w:val="00D60973"/>
    <w:rsid w:val="00D61B47"/>
    <w:rsid w:val="00D61CB1"/>
    <w:rsid w:val="00D61D71"/>
    <w:rsid w:val="00D62477"/>
    <w:rsid w:val="00D627AA"/>
    <w:rsid w:val="00D629F4"/>
    <w:rsid w:val="00D62FF7"/>
    <w:rsid w:val="00D631FD"/>
    <w:rsid w:val="00D636E5"/>
    <w:rsid w:val="00D638D2"/>
    <w:rsid w:val="00D65291"/>
    <w:rsid w:val="00D658BB"/>
    <w:rsid w:val="00D65F79"/>
    <w:rsid w:val="00D65FB4"/>
    <w:rsid w:val="00D66CA4"/>
    <w:rsid w:val="00D66F85"/>
    <w:rsid w:val="00D66F8D"/>
    <w:rsid w:val="00D67183"/>
    <w:rsid w:val="00D676C0"/>
    <w:rsid w:val="00D70D85"/>
    <w:rsid w:val="00D70E4D"/>
    <w:rsid w:val="00D715A4"/>
    <w:rsid w:val="00D7160E"/>
    <w:rsid w:val="00D71CC0"/>
    <w:rsid w:val="00D71F0E"/>
    <w:rsid w:val="00D730D4"/>
    <w:rsid w:val="00D736C5"/>
    <w:rsid w:val="00D74347"/>
    <w:rsid w:val="00D75798"/>
    <w:rsid w:val="00D766F6"/>
    <w:rsid w:val="00D76EC5"/>
    <w:rsid w:val="00D7758E"/>
    <w:rsid w:val="00D8060B"/>
    <w:rsid w:val="00D80719"/>
    <w:rsid w:val="00D808DB"/>
    <w:rsid w:val="00D80C2B"/>
    <w:rsid w:val="00D81B45"/>
    <w:rsid w:val="00D81DCA"/>
    <w:rsid w:val="00D82034"/>
    <w:rsid w:val="00D8250B"/>
    <w:rsid w:val="00D825D2"/>
    <w:rsid w:val="00D82E8E"/>
    <w:rsid w:val="00D82F4C"/>
    <w:rsid w:val="00D82FC0"/>
    <w:rsid w:val="00D83002"/>
    <w:rsid w:val="00D836A7"/>
    <w:rsid w:val="00D8422F"/>
    <w:rsid w:val="00D845A3"/>
    <w:rsid w:val="00D845C9"/>
    <w:rsid w:val="00D84BF3"/>
    <w:rsid w:val="00D85212"/>
    <w:rsid w:val="00D858EB"/>
    <w:rsid w:val="00D8621A"/>
    <w:rsid w:val="00D86226"/>
    <w:rsid w:val="00D86896"/>
    <w:rsid w:val="00D86D7C"/>
    <w:rsid w:val="00D8734E"/>
    <w:rsid w:val="00D873AB"/>
    <w:rsid w:val="00D876A4"/>
    <w:rsid w:val="00D87A83"/>
    <w:rsid w:val="00D9017C"/>
    <w:rsid w:val="00D902FC"/>
    <w:rsid w:val="00D9041A"/>
    <w:rsid w:val="00D90F8D"/>
    <w:rsid w:val="00D9120F"/>
    <w:rsid w:val="00D913DF"/>
    <w:rsid w:val="00D914AE"/>
    <w:rsid w:val="00D9200B"/>
    <w:rsid w:val="00D92330"/>
    <w:rsid w:val="00D92588"/>
    <w:rsid w:val="00D9279F"/>
    <w:rsid w:val="00D927C1"/>
    <w:rsid w:val="00D93AFB"/>
    <w:rsid w:val="00D93CCF"/>
    <w:rsid w:val="00D93F23"/>
    <w:rsid w:val="00D93F5C"/>
    <w:rsid w:val="00D941F8"/>
    <w:rsid w:val="00D955E3"/>
    <w:rsid w:val="00D959D7"/>
    <w:rsid w:val="00D95A4C"/>
    <w:rsid w:val="00D96946"/>
    <w:rsid w:val="00D96CA5"/>
    <w:rsid w:val="00D97103"/>
    <w:rsid w:val="00D97979"/>
    <w:rsid w:val="00D97F14"/>
    <w:rsid w:val="00DA02C5"/>
    <w:rsid w:val="00DA0BD0"/>
    <w:rsid w:val="00DA0CAE"/>
    <w:rsid w:val="00DA1B8D"/>
    <w:rsid w:val="00DA285F"/>
    <w:rsid w:val="00DA2FE2"/>
    <w:rsid w:val="00DA3532"/>
    <w:rsid w:val="00DA39EE"/>
    <w:rsid w:val="00DA3CEF"/>
    <w:rsid w:val="00DA4641"/>
    <w:rsid w:val="00DA46A1"/>
    <w:rsid w:val="00DA47F4"/>
    <w:rsid w:val="00DA4B3A"/>
    <w:rsid w:val="00DA50AB"/>
    <w:rsid w:val="00DA5206"/>
    <w:rsid w:val="00DA521A"/>
    <w:rsid w:val="00DA605D"/>
    <w:rsid w:val="00DA64DD"/>
    <w:rsid w:val="00DA7826"/>
    <w:rsid w:val="00DA78E1"/>
    <w:rsid w:val="00DA7DFB"/>
    <w:rsid w:val="00DB05DE"/>
    <w:rsid w:val="00DB06D1"/>
    <w:rsid w:val="00DB0EB5"/>
    <w:rsid w:val="00DB141B"/>
    <w:rsid w:val="00DB1480"/>
    <w:rsid w:val="00DB155F"/>
    <w:rsid w:val="00DB1708"/>
    <w:rsid w:val="00DB2016"/>
    <w:rsid w:val="00DB24D1"/>
    <w:rsid w:val="00DB28D7"/>
    <w:rsid w:val="00DB2C30"/>
    <w:rsid w:val="00DB2E19"/>
    <w:rsid w:val="00DB2F15"/>
    <w:rsid w:val="00DB328C"/>
    <w:rsid w:val="00DB36E9"/>
    <w:rsid w:val="00DB3823"/>
    <w:rsid w:val="00DB3AD2"/>
    <w:rsid w:val="00DB3C70"/>
    <w:rsid w:val="00DB3CBA"/>
    <w:rsid w:val="00DB3E4B"/>
    <w:rsid w:val="00DB4596"/>
    <w:rsid w:val="00DB5329"/>
    <w:rsid w:val="00DB535C"/>
    <w:rsid w:val="00DB56F7"/>
    <w:rsid w:val="00DB5AE6"/>
    <w:rsid w:val="00DB62FC"/>
    <w:rsid w:val="00DB6D70"/>
    <w:rsid w:val="00DB7365"/>
    <w:rsid w:val="00DB7E8F"/>
    <w:rsid w:val="00DC02ED"/>
    <w:rsid w:val="00DC0981"/>
    <w:rsid w:val="00DC0C45"/>
    <w:rsid w:val="00DC0D30"/>
    <w:rsid w:val="00DC1263"/>
    <w:rsid w:val="00DC1C8F"/>
    <w:rsid w:val="00DC28AF"/>
    <w:rsid w:val="00DC29AA"/>
    <w:rsid w:val="00DC357F"/>
    <w:rsid w:val="00DC3999"/>
    <w:rsid w:val="00DC3EEE"/>
    <w:rsid w:val="00DC4E16"/>
    <w:rsid w:val="00DC503A"/>
    <w:rsid w:val="00DC5B50"/>
    <w:rsid w:val="00DC5C2C"/>
    <w:rsid w:val="00DC6423"/>
    <w:rsid w:val="00DD00A5"/>
    <w:rsid w:val="00DD0D7A"/>
    <w:rsid w:val="00DD1063"/>
    <w:rsid w:val="00DD1693"/>
    <w:rsid w:val="00DD1F24"/>
    <w:rsid w:val="00DD21C9"/>
    <w:rsid w:val="00DD28FD"/>
    <w:rsid w:val="00DD2B74"/>
    <w:rsid w:val="00DD3758"/>
    <w:rsid w:val="00DD47F1"/>
    <w:rsid w:val="00DD4827"/>
    <w:rsid w:val="00DD4AA4"/>
    <w:rsid w:val="00DD4F1C"/>
    <w:rsid w:val="00DD4F63"/>
    <w:rsid w:val="00DD522B"/>
    <w:rsid w:val="00DD54EF"/>
    <w:rsid w:val="00DD6BC7"/>
    <w:rsid w:val="00DD772C"/>
    <w:rsid w:val="00DD7897"/>
    <w:rsid w:val="00DD7CF5"/>
    <w:rsid w:val="00DD7D21"/>
    <w:rsid w:val="00DE10FC"/>
    <w:rsid w:val="00DE1466"/>
    <w:rsid w:val="00DE28C7"/>
    <w:rsid w:val="00DE2C0E"/>
    <w:rsid w:val="00DE2F20"/>
    <w:rsid w:val="00DE35DD"/>
    <w:rsid w:val="00DE393A"/>
    <w:rsid w:val="00DE393D"/>
    <w:rsid w:val="00DE3B10"/>
    <w:rsid w:val="00DE43D8"/>
    <w:rsid w:val="00DE4A2C"/>
    <w:rsid w:val="00DE563A"/>
    <w:rsid w:val="00DE5FCB"/>
    <w:rsid w:val="00DE63FE"/>
    <w:rsid w:val="00DE671F"/>
    <w:rsid w:val="00DE6A41"/>
    <w:rsid w:val="00DE6C65"/>
    <w:rsid w:val="00DE6CB3"/>
    <w:rsid w:val="00DE7045"/>
    <w:rsid w:val="00DE7653"/>
    <w:rsid w:val="00DE765D"/>
    <w:rsid w:val="00DE7CE6"/>
    <w:rsid w:val="00DF0135"/>
    <w:rsid w:val="00DF067A"/>
    <w:rsid w:val="00DF0E8D"/>
    <w:rsid w:val="00DF13B1"/>
    <w:rsid w:val="00DF1A9B"/>
    <w:rsid w:val="00DF1D70"/>
    <w:rsid w:val="00DF2624"/>
    <w:rsid w:val="00DF2A01"/>
    <w:rsid w:val="00DF32FC"/>
    <w:rsid w:val="00DF3A9A"/>
    <w:rsid w:val="00DF3E12"/>
    <w:rsid w:val="00DF4096"/>
    <w:rsid w:val="00DF42D1"/>
    <w:rsid w:val="00DF42FE"/>
    <w:rsid w:val="00DF4D3E"/>
    <w:rsid w:val="00DF6766"/>
    <w:rsid w:val="00DF6A8B"/>
    <w:rsid w:val="00DF7457"/>
    <w:rsid w:val="00DF75B0"/>
    <w:rsid w:val="00DF7883"/>
    <w:rsid w:val="00E00989"/>
    <w:rsid w:val="00E00B14"/>
    <w:rsid w:val="00E00FE9"/>
    <w:rsid w:val="00E021A8"/>
    <w:rsid w:val="00E02218"/>
    <w:rsid w:val="00E02E56"/>
    <w:rsid w:val="00E030D8"/>
    <w:rsid w:val="00E04046"/>
    <w:rsid w:val="00E04857"/>
    <w:rsid w:val="00E048FC"/>
    <w:rsid w:val="00E04AF3"/>
    <w:rsid w:val="00E060EF"/>
    <w:rsid w:val="00E062AE"/>
    <w:rsid w:val="00E06528"/>
    <w:rsid w:val="00E066BA"/>
    <w:rsid w:val="00E0679B"/>
    <w:rsid w:val="00E06ABB"/>
    <w:rsid w:val="00E07E8D"/>
    <w:rsid w:val="00E07F7C"/>
    <w:rsid w:val="00E106BA"/>
    <w:rsid w:val="00E1106F"/>
    <w:rsid w:val="00E112CE"/>
    <w:rsid w:val="00E119DE"/>
    <w:rsid w:val="00E12A9A"/>
    <w:rsid w:val="00E1413A"/>
    <w:rsid w:val="00E1460D"/>
    <w:rsid w:val="00E1478F"/>
    <w:rsid w:val="00E151B2"/>
    <w:rsid w:val="00E15405"/>
    <w:rsid w:val="00E157F9"/>
    <w:rsid w:val="00E15EEF"/>
    <w:rsid w:val="00E16130"/>
    <w:rsid w:val="00E16BD2"/>
    <w:rsid w:val="00E17057"/>
    <w:rsid w:val="00E17F6B"/>
    <w:rsid w:val="00E21313"/>
    <w:rsid w:val="00E214B9"/>
    <w:rsid w:val="00E21501"/>
    <w:rsid w:val="00E222F7"/>
    <w:rsid w:val="00E224CC"/>
    <w:rsid w:val="00E229C7"/>
    <w:rsid w:val="00E22B16"/>
    <w:rsid w:val="00E22E00"/>
    <w:rsid w:val="00E231DF"/>
    <w:rsid w:val="00E23AE1"/>
    <w:rsid w:val="00E24008"/>
    <w:rsid w:val="00E24730"/>
    <w:rsid w:val="00E247C2"/>
    <w:rsid w:val="00E24A71"/>
    <w:rsid w:val="00E25817"/>
    <w:rsid w:val="00E25A02"/>
    <w:rsid w:val="00E265DA"/>
    <w:rsid w:val="00E267D9"/>
    <w:rsid w:val="00E26E72"/>
    <w:rsid w:val="00E26FA7"/>
    <w:rsid w:val="00E271FF"/>
    <w:rsid w:val="00E2754E"/>
    <w:rsid w:val="00E2774E"/>
    <w:rsid w:val="00E27FA9"/>
    <w:rsid w:val="00E300B9"/>
    <w:rsid w:val="00E30D1E"/>
    <w:rsid w:val="00E3104D"/>
    <w:rsid w:val="00E32049"/>
    <w:rsid w:val="00E320B6"/>
    <w:rsid w:val="00E32B43"/>
    <w:rsid w:val="00E336A9"/>
    <w:rsid w:val="00E3394F"/>
    <w:rsid w:val="00E33C63"/>
    <w:rsid w:val="00E33D6D"/>
    <w:rsid w:val="00E354E7"/>
    <w:rsid w:val="00E355AE"/>
    <w:rsid w:val="00E35613"/>
    <w:rsid w:val="00E35963"/>
    <w:rsid w:val="00E35A51"/>
    <w:rsid w:val="00E35EE5"/>
    <w:rsid w:val="00E361ED"/>
    <w:rsid w:val="00E3656E"/>
    <w:rsid w:val="00E3671F"/>
    <w:rsid w:val="00E36723"/>
    <w:rsid w:val="00E36BFB"/>
    <w:rsid w:val="00E36CE6"/>
    <w:rsid w:val="00E375EA"/>
    <w:rsid w:val="00E4052D"/>
    <w:rsid w:val="00E4184A"/>
    <w:rsid w:val="00E42051"/>
    <w:rsid w:val="00E425C4"/>
    <w:rsid w:val="00E43A35"/>
    <w:rsid w:val="00E448C4"/>
    <w:rsid w:val="00E452A5"/>
    <w:rsid w:val="00E4533C"/>
    <w:rsid w:val="00E45FFB"/>
    <w:rsid w:val="00E460B3"/>
    <w:rsid w:val="00E46B2F"/>
    <w:rsid w:val="00E46D22"/>
    <w:rsid w:val="00E4749B"/>
    <w:rsid w:val="00E47C37"/>
    <w:rsid w:val="00E47D9A"/>
    <w:rsid w:val="00E50675"/>
    <w:rsid w:val="00E506B6"/>
    <w:rsid w:val="00E50A6A"/>
    <w:rsid w:val="00E50BB9"/>
    <w:rsid w:val="00E51997"/>
    <w:rsid w:val="00E51A5B"/>
    <w:rsid w:val="00E52673"/>
    <w:rsid w:val="00E526B9"/>
    <w:rsid w:val="00E528B7"/>
    <w:rsid w:val="00E53D0F"/>
    <w:rsid w:val="00E54047"/>
    <w:rsid w:val="00E5435D"/>
    <w:rsid w:val="00E55C07"/>
    <w:rsid w:val="00E55D85"/>
    <w:rsid w:val="00E56175"/>
    <w:rsid w:val="00E5703D"/>
    <w:rsid w:val="00E57E6C"/>
    <w:rsid w:val="00E6013B"/>
    <w:rsid w:val="00E603C0"/>
    <w:rsid w:val="00E60EE0"/>
    <w:rsid w:val="00E60F0D"/>
    <w:rsid w:val="00E61163"/>
    <w:rsid w:val="00E618E0"/>
    <w:rsid w:val="00E620CD"/>
    <w:rsid w:val="00E62C5A"/>
    <w:rsid w:val="00E63387"/>
    <w:rsid w:val="00E63798"/>
    <w:rsid w:val="00E64B88"/>
    <w:rsid w:val="00E65654"/>
    <w:rsid w:val="00E66016"/>
    <w:rsid w:val="00E675D7"/>
    <w:rsid w:val="00E67672"/>
    <w:rsid w:val="00E705B1"/>
    <w:rsid w:val="00E70C4C"/>
    <w:rsid w:val="00E7119E"/>
    <w:rsid w:val="00E71510"/>
    <w:rsid w:val="00E71569"/>
    <w:rsid w:val="00E71934"/>
    <w:rsid w:val="00E71A79"/>
    <w:rsid w:val="00E726CA"/>
    <w:rsid w:val="00E72C97"/>
    <w:rsid w:val="00E72D1F"/>
    <w:rsid w:val="00E73404"/>
    <w:rsid w:val="00E73532"/>
    <w:rsid w:val="00E735D2"/>
    <w:rsid w:val="00E735F6"/>
    <w:rsid w:val="00E7361E"/>
    <w:rsid w:val="00E73709"/>
    <w:rsid w:val="00E73DD3"/>
    <w:rsid w:val="00E73EC8"/>
    <w:rsid w:val="00E74A23"/>
    <w:rsid w:val="00E751DB"/>
    <w:rsid w:val="00E75425"/>
    <w:rsid w:val="00E75701"/>
    <w:rsid w:val="00E75719"/>
    <w:rsid w:val="00E75ECA"/>
    <w:rsid w:val="00E774FB"/>
    <w:rsid w:val="00E7788A"/>
    <w:rsid w:val="00E77A8B"/>
    <w:rsid w:val="00E80424"/>
    <w:rsid w:val="00E80F50"/>
    <w:rsid w:val="00E81EDC"/>
    <w:rsid w:val="00E82779"/>
    <w:rsid w:val="00E827DF"/>
    <w:rsid w:val="00E8291E"/>
    <w:rsid w:val="00E82DF1"/>
    <w:rsid w:val="00E83157"/>
    <w:rsid w:val="00E83F35"/>
    <w:rsid w:val="00E8410E"/>
    <w:rsid w:val="00E849F6"/>
    <w:rsid w:val="00E8521D"/>
    <w:rsid w:val="00E85389"/>
    <w:rsid w:val="00E854DD"/>
    <w:rsid w:val="00E85918"/>
    <w:rsid w:val="00E8604F"/>
    <w:rsid w:val="00E8615D"/>
    <w:rsid w:val="00E86A3D"/>
    <w:rsid w:val="00E86AC8"/>
    <w:rsid w:val="00E87095"/>
    <w:rsid w:val="00E8727C"/>
    <w:rsid w:val="00E87826"/>
    <w:rsid w:val="00E916D4"/>
    <w:rsid w:val="00E9195E"/>
    <w:rsid w:val="00E91983"/>
    <w:rsid w:val="00E94742"/>
    <w:rsid w:val="00E9481C"/>
    <w:rsid w:val="00E949C6"/>
    <w:rsid w:val="00E94C3E"/>
    <w:rsid w:val="00E94ECD"/>
    <w:rsid w:val="00E954E4"/>
    <w:rsid w:val="00E957CB"/>
    <w:rsid w:val="00E96FF9"/>
    <w:rsid w:val="00E97247"/>
    <w:rsid w:val="00E97C2B"/>
    <w:rsid w:val="00EA0180"/>
    <w:rsid w:val="00EA0465"/>
    <w:rsid w:val="00EA081D"/>
    <w:rsid w:val="00EA0C14"/>
    <w:rsid w:val="00EA1430"/>
    <w:rsid w:val="00EA260F"/>
    <w:rsid w:val="00EA2C4B"/>
    <w:rsid w:val="00EA3142"/>
    <w:rsid w:val="00EA43C1"/>
    <w:rsid w:val="00EA463B"/>
    <w:rsid w:val="00EA4AFF"/>
    <w:rsid w:val="00EA50A1"/>
    <w:rsid w:val="00EA60D8"/>
    <w:rsid w:val="00EA6BC9"/>
    <w:rsid w:val="00EA76BF"/>
    <w:rsid w:val="00EA7727"/>
    <w:rsid w:val="00EA7A40"/>
    <w:rsid w:val="00EB02E6"/>
    <w:rsid w:val="00EB1304"/>
    <w:rsid w:val="00EB1D5B"/>
    <w:rsid w:val="00EB2696"/>
    <w:rsid w:val="00EB2958"/>
    <w:rsid w:val="00EB33EA"/>
    <w:rsid w:val="00EB3567"/>
    <w:rsid w:val="00EB397F"/>
    <w:rsid w:val="00EB3D5E"/>
    <w:rsid w:val="00EB3FC3"/>
    <w:rsid w:val="00EB42B0"/>
    <w:rsid w:val="00EB45FA"/>
    <w:rsid w:val="00EB4AAA"/>
    <w:rsid w:val="00EB4D93"/>
    <w:rsid w:val="00EB4E08"/>
    <w:rsid w:val="00EB581E"/>
    <w:rsid w:val="00EB5862"/>
    <w:rsid w:val="00EB58FA"/>
    <w:rsid w:val="00EB5963"/>
    <w:rsid w:val="00EB59D0"/>
    <w:rsid w:val="00EB5EFB"/>
    <w:rsid w:val="00EB663E"/>
    <w:rsid w:val="00EB6DB6"/>
    <w:rsid w:val="00EB6F2C"/>
    <w:rsid w:val="00EC00BA"/>
    <w:rsid w:val="00EC0183"/>
    <w:rsid w:val="00EC0968"/>
    <w:rsid w:val="00EC1160"/>
    <w:rsid w:val="00EC15CF"/>
    <w:rsid w:val="00EC16B6"/>
    <w:rsid w:val="00EC1FA6"/>
    <w:rsid w:val="00EC2220"/>
    <w:rsid w:val="00EC23A0"/>
    <w:rsid w:val="00EC2578"/>
    <w:rsid w:val="00EC29B9"/>
    <w:rsid w:val="00EC2AEB"/>
    <w:rsid w:val="00EC339D"/>
    <w:rsid w:val="00EC3626"/>
    <w:rsid w:val="00EC46B3"/>
    <w:rsid w:val="00EC49D0"/>
    <w:rsid w:val="00EC608E"/>
    <w:rsid w:val="00EC6C11"/>
    <w:rsid w:val="00EC70FF"/>
    <w:rsid w:val="00EC77A9"/>
    <w:rsid w:val="00EC7B23"/>
    <w:rsid w:val="00ED03EF"/>
    <w:rsid w:val="00ED0ACF"/>
    <w:rsid w:val="00ED1A2D"/>
    <w:rsid w:val="00ED1A7E"/>
    <w:rsid w:val="00ED1D37"/>
    <w:rsid w:val="00ED1FD5"/>
    <w:rsid w:val="00ED2B23"/>
    <w:rsid w:val="00ED2CBC"/>
    <w:rsid w:val="00ED38A1"/>
    <w:rsid w:val="00ED3929"/>
    <w:rsid w:val="00ED499B"/>
    <w:rsid w:val="00ED5544"/>
    <w:rsid w:val="00ED5940"/>
    <w:rsid w:val="00ED5E7B"/>
    <w:rsid w:val="00ED657B"/>
    <w:rsid w:val="00ED6642"/>
    <w:rsid w:val="00ED6A36"/>
    <w:rsid w:val="00ED6D86"/>
    <w:rsid w:val="00ED6E30"/>
    <w:rsid w:val="00ED70B7"/>
    <w:rsid w:val="00ED7282"/>
    <w:rsid w:val="00ED72C6"/>
    <w:rsid w:val="00ED794E"/>
    <w:rsid w:val="00EE001B"/>
    <w:rsid w:val="00EE00D4"/>
    <w:rsid w:val="00EE0E46"/>
    <w:rsid w:val="00EE16A1"/>
    <w:rsid w:val="00EE1B92"/>
    <w:rsid w:val="00EE2165"/>
    <w:rsid w:val="00EE2968"/>
    <w:rsid w:val="00EE2E23"/>
    <w:rsid w:val="00EE3007"/>
    <w:rsid w:val="00EE3213"/>
    <w:rsid w:val="00EE39DD"/>
    <w:rsid w:val="00EE39E7"/>
    <w:rsid w:val="00EE5EEB"/>
    <w:rsid w:val="00EE5F32"/>
    <w:rsid w:val="00EE6144"/>
    <w:rsid w:val="00EE6170"/>
    <w:rsid w:val="00EE7624"/>
    <w:rsid w:val="00EF01F6"/>
    <w:rsid w:val="00EF03A0"/>
    <w:rsid w:val="00EF0BD0"/>
    <w:rsid w:val="00EF0BE0"/>
    <w:rsid w:val="00EF16FF"/>
    <w:rsid w:val="00EF1880"/>
    <w:rsid w:val="00EF1AF1"/>
    <w:rsid w:val="00EF1EC0"/>
    <w:rsid w:val="00EF28A0"/>
    <w:rsid w:val="00EF2E1F"/>
    <w:rsid w:val="00EF3376"/>
    <w:rsid w:val="00EF390C"/>
    <w:rsid w:val="00EF3F8C"/>
    <w:rsid w:val="00EF492A"/>
    <w:rsid w:val="00EF4EC0"/>
    <w:rsid w:val="00EF50F2"/>
    <w:rsid w:val="00EF5134"/>
    <w:rsid w:val="00EF579B"/>
    <w:rsid w:val="00EF5804"/>
    <w:rsid w:val="00EF58C2"/>
    <w:rsid w:val="00EF6BEA"/>
    <w:rsid w:val="00EF7490"/>
    <w:rsid w:val="00EF7B59"/>
    <w:rsid w:val="00F00548"/>
    <w:rsid w:val="00F00FAB"/>
    <w:rsid w:val="00F0104A"/>
    <w:rsid w:val="00F01065"/>
    <w:rsid w:val="00F0112D"/>
    <w:rsid w:val="00F01305"/>
    <w:rsid w:val="00F01492"/>
    <w:rsid w:val="00F01BE9"/>
    <w:rsid w:val="00F02F4F"/>
    <w:rsid w:val="00F0371F"/>
    <w:rsid w:val="00F03904"/>
    <w:rsid w:val="00F03B75"/>
    <w:rsid w:val="00F0413B"/>
    <w:rsid w:val="00F04154"/>
    <w:rsid w:val="00F042AB"/>
    <w:rsid w:val="00F06353"/>
    <w:rsid w:val="00F06696"/>
    <w:rsid w:val="00F07054"/>
    <w:rsid w:val="00F07498"/>
    <w:rsid w:val="00F07D62"/>
    <w:rsid w:val="00F109D6"/>
    <w:rsid w:val="00F109E9"/>
    <w:rsid w:val="00F11022"/>
    <w:rsid w:val="00F110E9"/>
    <w:rsid w:val="00F11130"/>
    <w:rsid w:val="00F12A7A"/>
    <w:rsid w:val="00F132E6"/>
    <w:rsid w:val="00F134C7"/>
    <w:rsid w:val="00F14060"/>
    <w:rsid w:val="00F14338"/>
    <w:rsid w:val="00F14E13"/>
    <w:rsid w:val="00F151CE"/>
    <w:rsid w:val="00F16D96"/>
    <w:rsid w:val="00F17871"/>
    <w:rsid w:val="00F17EF8"/>
    <w:rsid w:val="00F203A0"/>
    <w:rsid w:val="00F2174E"/>
    <w:rsid w:val="00F218CF"/>
    <w:rsid w:val="00F21D30"/>
    <w:rsid w:val="00F22041"/>
    <w:rsid w:val="00F22401"/>
    <w:rsid w:val="00F225EC"/>
    <w:rsid w:val="00F22F80"/>
    <w:rsid w:val="00F2326E"/>
    <w:rsid w:val="00F2337D"/>
    <w:rsid w:val="00F2372A"/>
    <w:rsid w:val="00F23B63"/>
    <w:rsid w:val="00F25E88"/>
    <w:rsid w:val="00F26293"/>
    <w:rsid w:val="00F26318"/>
    <w:rsid w:val="00F26570"/>
    <w:rsid w:val="00F26920"/>
    <w:rsid w:val="00F273DA"/>
    <w:rsid w:val="00F27796"/>
    <w:rsid w:val="00F279CF"/>
    <w:rsid w:val="00F27A50"/>
    <w:rsid w:val="00F301CB"/>
    <w:rsid w:val="00F30438"/>
    <w:rsid w:val="00F31794"/>
    <w:rsid w:val="00F31901"/>
    <w:rsid w:val="00F31AFF"/>
    <w:rsid w:val="00F31BB6"/>
    <w:rsid w:val="00F31DB6"/>
    <w:rsid w:val="00F321B0"/>
    <w:rsid w:val="00F32417"/>
    <w:rsid w:val="00F325B4"/>
    <w:rsid w:val="00F32B38"/>
    <w:rsid w:val="00F32D41"/>
    <w:rsid w:val="00F33CED"/>
    <w:rsid w:val="00F34147"/>
    <w:rsid w:val="00F34149"/>
    <w:rsid w:val="00F35386"/>
    <w:rsid w:val="00F354EC"/>
    <w:rsid w:val="00F35E25"/>
    <w:rsid w:val="00F367D4"/>
    <w:rsid w:val="00F36C54"/>
    <w:rsid w:val="00F379D2"/>
    <w:rsid w:val="00F40278"/>
    <w:rsid w:val="00F40BC6"/>
    <w:rsid w:val="00F40CBE"/>
    <w:rsid w:val="00F40FBF"/>
    <w:rsid w:val="00F41396"/>
    <w:rsid w:val="00F4175F"/>
    <w:rsid w:val="00F41A91"/>
    <w:rsid w:val="00F41AA9"/>
    <w:rsid w:val="00F41FF0"/>
    <w:rsid w:val="00F421AC"/>
    <w:rsid w:val="00F4347F"/>
    <w:rsid w:val="00F43C86"/>
    <w:rsid w:val="00F43E65"/>
    <w:rsid w:val="00F4406D"/>
    <w:rsid w:val="00F44195"/>
    <w:rsid w:val="00F44D71"/>
    <w:rsid w:val="00F451AE"/>
    <w:rsid w:val="00F46AB4"/>
    <w:rsid w:val="00F4701B"/>
    <w:rsid w:val="00F4723D"/>
    <w:rsid w:val="00F4767F"/>
    <w:rsid w:val="00F47AF8"/>
    <w:rsid w:val="00F50EDB"/>
    <w:rsid w:val="00F51089"/>
    <w:rsid w:val="00F512D6"/>
    <w:rsid w:val="00F51CAA"/>
    <w:rsid w:val="00F520EA"/>
    <w:rsid w:val="00F52962"/>
    <w:rsid w:val="00F52A3D"/>
    <w:rsid w:val="00F53560"/>
    <w:rsid w:val="00F53687"/>
    <w:rsid w:val="00F53A11"/>
    <w:rsid w:val="00F53DAA"/>
    <w:rsid w:val="00F53DCD"/>
    <w:rsid w:val="00F540CF"/>
    <w:rsid w:val="00F5486C"/>
    <w:rsid w:val="00F54E62"/>
    <w:rsid w:val="00F551E3"/>
    <w:rsid w:val="00F551ED"/>
    <w:rsid w:val="00F55694"/>
    <w:rsid w:val="00F5576F"/>
    <w:rsid w:val="00F557EA"/>
    <w:rsid w:val="00F55FD5"/>
    <w:rsid w:val="00F5640E"/>
    <w:rsid w:val="00F56D57"/>
    <w:rsid w:val="00F56DB0"/>
    <w:rsid w:val="00F56F50"/>
    <w:rsid w:val="00F57A35"/>
    <w:rsid w:val="00F6042E"/>
    <w:rsid w:val="00F60C57"/>
    <w:rsid w:val="00F61742"/>
    <w:rsid w:val="00F624D4"/>
    <w:rsid w:val="00F624EB"/>
    <w:rsid w:val="00F62AB4"/>
    <w:rsid w:val="00F631EA"/>
    <w:rsid w:val="00F63324"/>
    <w:rsid w:val="00F6465A"/>
    <w:rsid w:val="00F6549D"/>
    <w:rsid w:val="00F65561"/>
    <w:rsid w:val="00F6566E"/>
    <w:rsid w:val="00F657AE"/>
    <w:rsid w:val="00F658C2"/>
    <w:rsid w:val="00F65B68"/>
    <w:rsid w:val="00F660B3"/>
    <w:rsid w:val="00F66E7B"/>
    <w:rsid w:val="00F672AA"/>
    <w:rsid w:val="00F67CB0"/>
    <w:rsid w:val="00F7045A"/>
    <w:rsid w:val="00F707AB"/>
    <w:rsid w:val="00F711B4"/>
    <w:rsid w:val="00F711B5"/>
    <w:rsid w:val="00F714EC"/>
    <w:rsid w:val="00F718D5"/>
    <w:rsid w:val="00F71AC3"/>
    <w:rsid w:val="00F71CB0"/>
    <w:rsid w:val="00F72232"/>
    <w:rsid w:val="00F72577"/>
    <w:rsid w:val="00F72D08"/>
    <w:rsid w:val="00F736FC"/>
    <w:rsid w:val="00F7424E"/>
    <w:rsid w:val="00F7427B"/>
    <w:rsid w:val="00F7487E"/>
    <w:rsid w:val="00F74FC2"/>
    <w:rsid w:val="00F75497"/>
    <w:rsid w:val="00F75837"/>
    <w:rsid w:val="00F7659B"/>
    <w:rsid w:val="00F76669"/>
    <w:rsid w:val="00F77A49"/>
    <w:rsid w:val="00F77C73"/>
    <w:rsid w:val="00F77E6A"/>
    <w:rsid w:val="00F80507"/>
    <w:rsid w:val="00F80536"/>
    <w:rsid w:val="00F80A5D"/>
    <w:rsid w:val="00F80EF1"/>
    <w:rsid w:val="00F81031"/>
    <w:rsid w:val="00F81437"/>
    <w:rsid w:val="00F815A6"/>
    <w:rsid w:val="00F8181E"/>
    <w:rsid w:val="00F81DF0"/>
    <w:rsid w:val="00F82628"/>
    <w:rsid w:val="00F83FC5"/>
    <w:rsid w:val="00F85055"/>
    <w:rsid w:val="00F859ED"/>
    <w:rsid w:val="00F8663E"/>
    <w:rsid w:val="00F86733"/>
    <w:rsid w:val="00F86BB3"/>
    <w:rsid w:val="00F86FF9"/>
    <w:rsid w:val="00F8736C"/>
    <w:rsid w:val="00F8785A"/>
    <w:rsid w:val="00F87A9A"/>
    <w:rsid w:val="00F87AB7"/>
    <w:rsid w:val="00F90288"/>
    <w:rsid w:val="00F916A1"/>
    <w:rsid w:val="00F91B00"/>
    <w:rsid w:val="00F91D3C"/>
    <w:rsid w:val="00F934F1"/>
    <w:rsid w:val="00F935A6"/>
    <w:rsid w:val="00F94243"/>
    <w:rsid w:val="00F94593"/>
    <w:rsid w:val="00F94903"/>
    <w:rsid w:val="00F95564"/>
    <w:rsid w:val="00F95EE7"/>
    <w:rsid w:val="00F95F44"/>
    <w:rsid w:val="00F9752A"/>
    <w:rsid w:val="00F975F0"/>
    <w:rsid w:val="00F97CE7"/>
    <w:rsid w:val="00FA0467"/>
    <w:rsid w:val="00FA054E"/>
    <w:rsid w:val="00FA156E"/>
    <w:rsid w:val="00FA1A30"/>
    <w:rsid w:val="00FA2093"/>
    <w:rsid w:val="00FA27B9"/>
    <w:rsid w:val="00FA28B0"/>
    <w:rsid w:val="00FA2B69"/>
    <w:rsid w:val="00FA311D"/>
    <w:rsid w:val="00FA50B6"/>
    <w:rsid w:val="00FA618F"/>
    <w:rsid w:val="00FA689D"/>
    <w:rsid w:val="00FA6AB9"/>
    <w:rsid w:val="00FA6E16"/>
    <w:rsid w:val="00FA7265"/>
    <w:rsid w:val="00FA72BC"/>
    <w:rsid w:val="00FB0B01"/>
    <w:rsid w:val="00FB1B76"/>
    <w:rsid w:val="00FB1C45"/>
    <w:rsid w:val="00FB1EF0"/>
    <w:rsid w:val="00FB2766"/>
    <w:rsid w:val="00FB2FD5"/>
    <w:rsid w:val="00FB3098"/>
    <w:rsid w:val="00FB39A5"/>
    <w:rsid w:val="00FB3B23"/>
    <w:rsid w:val="00FB49A6"/>
    <w:rsid w:val="00FB49DF"/>
    <w:rsid w:val="00FB5886"/>
    <w:rsid w:val="00FB5FF8"/>
    <w:rsid w:val="00FB6711"/>
    <w:rsid w:val="00FB695F"/>
    <w:rsid w:val="00FB6D77"/>
    <w:rsid w:val="00FB7308"/>
    <w:rsid w:val="00FB775E"/>
    <w:rsid w:val="00FB77ED"/>
    <w:rsid w:val="00FB78CC"/>
    <w:rsid w:val="00FC0B02"/>
    <w:rsid w:val="00FC0B5C"/>
    <w:rsid w:val="00FC1551"/>
    <w:rsid w:val="00FC16C6"/>
    <w:rsid w:val="00FC1C37"/>
    <w:rsid w:val="00FC1F78"/>
    <w:rsid w:val="00FC28EA"/>
    <w:rsid w:val="00FC298B"/>
    <w:rsid w:val="00FC2CB4"/>
    <w:rsid w:val="00FC2E81"/>
    <w:rsid w:val="00FC3C0B"/>
    <w:rsid w:val="00FC44F3"/>
    <w:rsid w:val="00FC4973"/>
    <w:rsid w:val="00FC5498"/>
    <w:rsid w:val="00FC5A4F"/>
    <w:rsid w:val="00FC6013"/>
    <w:rsid w:val="00FC6BAD"/>
    <w:rsid w:val="00FC6E24"/>
    <w:rsid w:val="00FC720E"/>
    <w:rsid w:val="00FC72EB"/>
    <w:rsid w:val="00FC7644"/>
    <w:rsid w:val="00FC7BCA"/>
    <w:rsid w:val="00FC7FA0"/>
    <w:rsid w:val="00FD004B"/>
    <w:rsid w:val="00FD037C"/>
    <w:rsid w:val="00FD0C36"/>
    <w:rsid w:val="00FD1023"/>
    <w:rsid w:val="00FD1454"/>
    <w:rsid w:val="00FD19F5"/>
    <w:rsid w:val="00FD1F00"/>
    <w:rsid w:val="00FD218C"/>
    <w:rsid w:val="00FD237A"/>
    <w:rsid w:val="00FD2395"/>
    <w:rsid w:val="00FD2580"/>
    <w:rsid w:val="00FD2607"/>
    <w:rsid w:val="00FD343A"/>
    <w:rsid w:val="00FD5557"/>
    <w:rsid w:val="00FD5F94"/>
    <w:rsid w:val="00FD6174"/>
    <w:rsid w:val="00FD6398"/>
    <w:rsid w:val="00FD643D"/>
    <w:rsid w:val="00FD6B29"/>
    <w:rsid w:val="00FD6B90"/>
    <w:rsid w:val="00FD6E14"/>
    <w:rsid w:val="00FD7035"/>
    <w:rsid w:val="00FD77E2"/>
    <w:rsid w:val="00FD7CC4"/>
    <w:rsid w:val="00FE01EF"/>
    <w:rsid w:val="00FE1201"/>
    <w:rsid w:val="00FE1E04"/>
    <w:rsid w:val="00FE29A4"/>
    <w:rsid w:val="00FE2A4D"/>
    <w:rsid w:val="00FE4559"/>
    <w:rsid w:val="00FE4A89"/>
    <w:rsid w:val="00FE55D5"/>
    <w:rsid w:val="00FE58E5"/>
    <w:rsid w:val="00FE5F38"/>
    <w:rsid w:val="00FE6463"/>
    <w:rsid w:val="00FE702E"/>
    <w:rsid w:val="00FF053C"/>
    <w:rsid w:val="00FF0549"/>
    <w:rsid w:val="00FF0815"/>
    <w:rsid w:val="00FF0E06"/>
    <w:rsid w:val="00FF0F33"/>
    <w:rsid w:val="00FF12AB"/>
    <w:rsid w:val="00FF1E07"/>
    <w:rsid w:val="00FF287E"/>
    <w:rsid w:val="00FF3E36"/>
    <w:rsid w:val="00FF40D2"/>
    <w:rsid w:val="00FF4202"/>
    <w:rsid w:val="00FF5792"/>
    <w:rsid w:val="00FF5945"/>
    <w:rsid w:val="00FF61E0"/>
    <w:rsid w:val="00FF64C1"/>
    <w:rsid w:val="00FF6B4F"/>
    <w:rsid w:val="00FF7931"/>
    <w:rsid w:val="00FF7DF3"/>
    <w:rsid w:val="01087921"/>
    <w:rsid w:val="013740C7"/>
    <w:rsid w:val="013A0983"/>
    <w:rsid w:val="01657547"/>
    <w:rsid w:val="01DF0B44"/>
    <w:rsid w:val="01E50D53"/>
    <w:rsid w:val="01F01484"/>
    <w:rsid w:val="020C49A1"/>
    <w:rsid w:val="02462873"/>
    <w:rsid w:val="025979B0"/>
    <w:rsid w:val="025A2A49"/>
    <w:rsid w:val="025D250C"/>
    <w:rsid w:val="025F4F14"/>
    <w:rsid w:val="02761525"/>
    <w:rsid w:val="02BA21E0"/>
    <w:rsid w:val="034E4A80"/>
    <w:rsid w:val="035832E5"/>
    <w:rsid w:val="03947B1F"/>
    <w:rsid w:val="03A60CAF"/>
    <w:rsid w:val="03AC6AE9"/>
    <w:rsid w:val="03BB7FBE"/>
    <w:rsid w:val="040C2682"/>
    <w:rsid w:val="0472170A"/>
    <w:rsid w:val="04876132"/>
    <w:rsid w:val="04B026FF"/>
    <w:rsid w:val="0501275A"/>
    <w:rsid w:val="0510062E"/>
    <w:rsid w:val="05187EB4"/>
    <w:rsid w:val="05B71D21"/>
    <w:rsid w:val="05D51D1D"/>
    <w:rsid w:val="06167378"/>
    <w:rsid w:val="063B16BD"/>
    <w:rsid w:val="065664E8"/>
    <w:rsid w:val="068721B0"/>
    <w:rsid w:val="06DB481E"/>
    <w:rsid w:val="06DC05C8"/>
    <w:rsid w:val="06F058E2"/>
    <w:rsid w:val="06F17BC9"/>
    <w:rsid w:val="06F5044A"/>
    <w:rsid w:val="070457D8"/>
    <w:rsid w:val="071807FD"/>
    <w:rsid w:val="072B5543"/>
    <w:rsid w:val="072C0774"/>
    <w:rsid w:val="072F3960"/>
    <w:rsid w:val="074C3154"/>
    <w:rsid w:val="07505BCD"/>
    <w:rsid w:val="076A0C82"/>
    <w:rsid w:val="077E4D7C"/>
    <w:rsid w:val="077F1C2A"/>
    <w:rsid w:val="077F291D"/>
    <w:rsid w:val="07806899"/>
    <w:rsid w:val="079F5C53"/>
    <w:rsid w:val="07AE2E73"/>
    <w:rsid w:val="07BE5F7A"/>
    <w:rsid w:val="07C338E5"/>
    <w:rsid w:val="07F13DA6"/>
    <w:rsid w:val="081D74F8"/>
    <w:rsid w:val="083D52C7"/>
    <w:rsid w:val="084B0747"/>
    <w:rsid w:val="08564ECB"/>
    <w:rsid w:val="086B3224"/>
    <w:rsid w:val="088713CF"/>
    <w:rsid w:val="08DD1E40"/>
    <w:rsid w:val="094B1A36"/>
    <w:rsid w:val="099F454C"/>
    <w:rsid w:val="09CA058E"/>
    <w:rsid w:val="09FA711F"/>
    <w:rsid w:val="0A2A0F76"/>
    <w:rsid w:val="0A2B172E"/>
    <w:rsid w:val="0A452E9B"/>
    <w:rsid w:val="0A874A8B"/>
    <w:rsid w:val="0B013C93"/>
    <w:rsid w:val="0B074EEB"/>
    <w:rsid w:val="0B6223F2"/>
    <w:rsid w:val="0BC542E9"/>
    <w:rsid w:val="0BD575CF"/>
    <w:rsid w:val="0BFD1F0A"/>
    <w:rsid w:val="0C011912"/>
    <w:rsid w:val="0C070F6C"/>
    <w:rsid w:val="0C2C0215"/>
    <w:rsid w:val="0C3E4108"/>
    <w:rsid w:val="0C4C0604"/>
    <w:rsid w:val="0C8D385C"/>
    <w:rsid w:val="0C9F06C7"/>
    <w:rsid w:val="0CAB778A"/>
    <w:rsid w:val="0CCB0F69"/>
    <w:rsid w:val="0CED5EDE"/>
    <w:rsid w:val="0CF47DD7"/>
    <w:rsid w:val="0D0259DA"/>
    <w:rsid w:val="0D177EAC"/>
    <w:rsid w:val="0D26140B"/>
    <w:rsid w:val="0D276B24"/>
    <w:rsid w:val="0D2F5B3A"/>
    <w:rsid w:val="0D9517F4"/>
    <w:rsid w:val="0DAC24A0"/>
    <w:rsid w:val="0DC908AF"/>
    <w:rsid w:val="0DD269B4"/>
    <w:rsid w:val="0E194BFE"/>
    <w:rsid w:val="0E2E2E20"/>
    <w:rsid w:val="0E7F6B7E"/>
    <w:rsid w:val="0EAA5CD4"/>
    <w:rsid w:val="0EE64C44"/>
    <w:rsid w:val="0EF36C51"/>
    <w:rsid w:val="0EF776D2"/>
    <w:rsid w:val="0F690F4A"/>
    <w:rsid w:val="0F9A2B59"/>
    <w:rsid w:val="0FA4736A"/>
    <w:rsid w:val="0FE72873"/>
    <w:rsid w:val="0FFB2B9B"/>
    <w:rsid w:val="102410C6"/>
    <w:rsid w:val="105231B3"/>
    <w:rsid w:val="107B3450"/>
    <w:rsid w:val="10A339C2"/>
    <w:rsid w:val="10AA4456"/>
    <w:rsid w:val="10FF75DF"/>
    <w:rsid w:val="110D65DA"/>
    <w:rsid w:val="11235234"/>
    <w:rsid w:val="11300749"/>
    <w:rsid w:val="11567BA9"/>
    <w:rsid w:val="117A78EF"/>
    <w:rsid w:val="11C17FA8"/>
    <w:rsid w:val="11DC0469"/>
    <w:rsid w:val="11EF35C5"/>
    <w:rsid w:val="12356796"/>
    <w:rsid w:val="1295383B"/>
    <w:rsid w:val="12A54532"/>
    <w:rsid w:val="12BD638D"/>
    <w:rsid w:val="13236053"/>
    <w:rsid w:val="133C0C7E"/>
    <w:rsid w:val="13475173"/>
    <w:rsid w:val="13581E49"/>
    <w:rsid w:val="13B13A0A"/>
    <w:rsid w:val="141451BB"/>
    <w:rsid w:val="14721F7F"/>
    <w:rsid w:val="14880E34"/>
    <w:rsid w:val="148C19C8"/>
    <w:rsid w:val="14DB1649"/>
    <w:rsid w:val="14DE4121"/>
    <w:rsid w:val="14E92C0A"/>
    <w:rsid w:val="14F529CC"/>
    <w:rsid w:val="158972F3"/>
    <w:rsid w:val="159D1999"/>
    <w:rsid w:val="15D218F8"/>
    <w:rsid w:val="15F459AB"/>
    <w:rsid w:val="16134523"/>
    <w:rsid w:val="16194382"/>
    <w:rsid w:val="165813C4"/>
    <w:rsid w:val="16867B7A"/>
    <w:rsid w:val="16910B82"/>
    <w:rsid w:val="16A01B34"/>
    <w:rsid w:val="16A90140"/>
    <w:rsid w:val="16C07FEF"/>
    <w:rsid w:val="16C219E9"/>
    <w:rsid w:val="1713477B"/>
    <w:rsid w:val="1750746F"/>
    <w:rsid w:val="177F3F6A"/>
    <w:rsid w:val="17D3400A"/>
    <w:rsid w:val="17D93278"/>
    <w:rsid w:val="180F1DBD"/>
    <w:rsid w:val="181C2C32"/>
    <w:rsid w:val="18271B83"/>
    <w:rsid w:val="1827373C"/>
    <w:rsid w:val="18295280"/>
    <w:rsid w:val="185E488C"/>
    <w:rsid w:val="18A5507B"/>
    <w:rsid w:val="18CC7763"/>
    <w:rsid w:val="19094FE8"/>
    <w:rsid w:val="191215A4"/>
    <w:rsid w:val="19134B61"/>
    <w:rsid w:val="192D4EDF"/>
    <w:rsid w:val="19561A3B"/>
    <w:rsid w:val="196A298B"/>
    <w:rsid w:val="19A34EB2"/>
    <w:rsid w:val="1A146F90"/>
    <w:rsid w:val="1A8E715A"/>
    <w:rsid w:val="1A907B5F"/>
    <w:rsid w:val="1AD87065"/>
    <w:rsid w:val="1ADB550A"/>
    <w:rsid w:val="1AF128EB"/>
    <w:rsid w:val="1B2202C4"/>
    <w:rsid w:val="1B331036"/>
    <w:rsid w:val="1B392EBA"/>
    <w:rsid w:val="1B707AD4"/>
    <w:rsid w:val="1B76162A"/>
    <w:rsid w:val="1B7C4393"/>
    <w:rsid w:val="1B7F0850"/>
    <w:rsid w:val="1B8367C3"/>
    <w:rsid w:val="1B947B53"/>
    <w:rsid w:val="1BA31D0E"/>
    <w:rsid w:val="1BC620D9"/>
    <w:rsid w:val="1BF303E9"/>
    <w:rsid w:val="1C1C5DBD"/>
    <w:rsid w:val="1C4A5887"/>
    <w:rsid w:val="1C530CBA"/>
    <w:rsid w:val="1C747784"/>
    <w:rsid w:val="1CB826E0"/>
    <w:rsid w:val="1CCE5BC2"/>
    <w:rsid w:val="1CF3362F"/>
    <w:rsid w:val="1D000A34"/>
    <w:rsid w:val="1D586676"/>
    <w:rsid w:val="1D9146BD"/>
    <w:rsid w:val="1DC43031"/>
    <w:rsid w:val="1DD42501"/>
    <w:rsid w:val="1E096343"/>
    <w:rsid w:val="1E344773"/>
    <w:rsid w:val="1EA8381C"/>
    <w:rsid w:val="1EB32A5C"/>
    <w:rsid w:val="1EB34A2D"/>
    <w:rsid w:val="1EB87597"/>
    <w:rsid w:val="1EC738EA"/>
    <w:rsid w:val="1ED76B49"/>
    <w:rsid w:val="1EE7108E"/>
    <w:rsid w:val="1EFB4ECA"/>
    <w:rsid w:val="1F0974EB"/>
    <w:rsid w:val="1F342A56"/>
    <w:rsid w:val="1F4E31C7"/>
    <w:rsid w:val="1F57306A"/>
    <w:rsid w:val="1FE72131"/>
    <w:rsid w:val="1FF51647"/>
    <w:rsid w:val="2025417D"/>
    <w:rsid w:val="20B4784E"/>
    <w:rsid w:val="20EC1EDF"/>
    <w:rsid w:val="20F913FF"/>
    <w:rsid w:val="210B39A1"/>
    <w:rsid w:val="217E2785"/>
    <w:rsid w:val="2180094C"/>
    <w:rsid w:val="21921906"/>
    <w:rsid w:val="21B31372"/>
    <w:rsid w:val="21EA3D5D"/>
    <w:rsid w:val="222B0C77"/>
    <w:rsid w:val="22735240"/>
    <w:rsid w:val="22BB7CE7"/>
    <w:rsid w:val="22D8603F"/>
    <w:rsid w:val="22EB225B"/>
    <w:rsid w:val="22F92DE8"/>
    <w:rsid w:val="23047455"/>
    <w:rsid w:val="23C92C6E"/>
    <w:rsid w:val="23D3083B"/>
    <w:rsid w:val="23E629DD"/>
    <w:rsid w:val="23ED46EB"/>
    <w:rsid w:val="23FF170E"/>
    <w:rsid w:val="24025648"/>
    <w:rsid w:val="2436620B"/>
    <w:rsid w:val="247D2DB0"/>
    <w:rsid w:val="24810CCB"/>
    <w:rsid w:val="24FF139E"/>
    <w:rsid w:val="25470C94"/>
    <w:rsid w:val="25703D14"/>
    <w:rsid w:val="26015B0F"/>
    <w:rsid w:val="26243031"/>
    <w:rsid w:val="264B47D4"/>
    <w:rsid w:val="26917171"/>
    <w:rsid w:val="26C6192F"/>
    <w:rsid w:val="270368A5"/>
    <w:rsid w:val="2709377B"/>
    <w:rsid w:val="27174C6B"/>
    <w:rsid w:val="276819BA"/>
    <w:rsid w:val="277F476C"/>
    <w:rsid w:val="278338DC"/>
    <w:rsid w:val="278970EC"/>
    <w:rsid w:val="27B16125"/>
    <w:rsid w:val="27D82559"/>
    <w:rsid w:val="27F137D5"/>
    <w:rsid w:val="280B39EC"/>
    <w:rsid w:val="280D4ECB"/>
    <w:rsid w:val="281369AE"/>
    <w:rsid w:val="282A0D99"/>
    <w:rsid w:val="285424D3"/>
    <w:rsid w:val="28542963"/>
    <w:rsid w:val="28655613"/>
    <w:rsid w:val="28910EE1"/>
    <w:rsid w:val="289F7620"/>
    <w:rsid w:val="28E440CB"/>
    <w:rsid w:val="291D5F93"/>
    <w:rsid w:val="293B49B3"/>
    <w:rsid w:val="295E7ADC"/>
    <w:rsid w:val="2972319A"/>
    <w:rsid w:val="2974494B"/>
    <w:rsid w:val="2981560F"/>
    <w:rsid w:val="29876296"/>
    <w:rsid w:val="29B005FC"/>
    <w:rsid w:val="29D609B1"/>
    <w:rsid w:val="29E234CB"/>
    <w:rsid w:val="29FB0865"/>
    <w:rsid w:val="2A001052"/>
    <w:rsid w:val="2A1654C7"/>
    <w:rsid w:val="2A2F5E6F"/>
    <w:rsid w:val="2A397DBC"/>
    <w:rsid w:val="2A570D05"/>
    <w:rsid w:val="2A7678BD"/>
    <w:rsid w:val="2A8E0AB8"/>
    <w:rsid w:val="2A95491E"/>
    <w:rsid w:val="2ACC56A3"/>
    <w:rsid w:val="2AF76857"/>
    <w:rsid w:val="2B0271EB"/>
    <w:rsid w:val="2B0A3C4B"/>
    <w:rsid w:val="2B2F225E"/>
    <w:rsid w:val="2B320029"/>
    <w:rsid w:val="2B704049"/>
    <w:rsid w:val="2BB539CA"/>
    <w:rsid w:val="2BC72F4D"/>
    <w:rsid w:val="2BCB3F1D"/>
    <w:rsid w:val="2BD246FA"/>
    <w:rsid w:val="2BD31A99"/>
    <w:rsid w:val="2BF5348F"/>
    <w:rsid w:val="2C073BDC"/>
    <w:rsid w:val="2C717D0A"/>
    <w:rsid w:val="2C79084D"/>
    <w:rsid w:val="2C796DB8"/>
    <w:rsid w:val="2C9424B7"/>
    <w:rsid w:val="2CE03226"/>
    <w:rsid w:val="2D3A69CD"/>
    <w:rsid w:val="2D3E41FC"/>
    <w:rsid w:val="2D674746"/>
    <w:rsid w:val="2D8245B2"/>
    <w:rsid w:val="2DCE6B5D"/>
    <w:rsid w:val="2E027B8B"/>
    <w:rsid w:val="2E12335B"/>
    <w:rsid w:val="2E203AB2"/>
    <w:rsid w:val="2E3E070B"/>
    <w:rsid w:val="2E644C2A"/>
    <w:rsid w:val="2E7B47A6"/>
    <w:rsid w:val="2E9F3EB4"/>
    <w:rsid w:val="2ED156DE"/>
    <w:rsid w:val="2EE746E9"/>
    <w:rsid w:val="2F340BB0"/>
    <w:rsid w:val="2FCA4C95"/>
    <w:rsid w:val="3002621D"/>
    <w:rsid w:val="306D4FD8"/>
    <w:rsid w:val="30DF048C"/>
    <w:rsid w:val="30E03411"/>
    <w:rsid w:val="30E62243"/>
    <w:rsid w:val="312732DE"/>
    <w:rsid w:val="31355142"/>
    <w:rsid w:val="31376D40"/>
    <w:rsid w:val="31476550"/>
    <w:rsid w:val="315E31E3"/>
    <w:rsid w:val="3198380B"/>
    <w:rsid w:val="31B04860"/>
    <w:rsid w:val="31B34852"/>
    <w:rsid w:val="31BA4390"/>
    <w:rsid w:val="31C22E2E"/>
    <w:rsid w:val="31F80E92"/>
    <w:rsid w:val="32336DA4"/>
    <w:rsid w:val="32576732"/>
    <w:rsid w:val="326E13C7"/>
    <w:rsid w:val="32B4277E"/>
    <w:rsid w:val="32F46FC2"/>
    <w:rsid w:val="330176E2"/>
    <w:rsid w:val="33092D40"/>
    <w:rsid w:val="332F53E5"/>
    <w:rsid w:val="33A900ED"/>
    <w:rsid w:val="33C400BF"/>
    <w:rsid w:val="33F813B8"/>
    <w:rsid w:val="346150DF"/>
    <w:rsid w:val="348672AD"/>
    <w:rsid w:val="34E71D2F"/>
    <w:rsid w:val="34EB792B"/>
    <w:rsid w:val="352D2D85"/>
    <w:rsid w:val="353A10F0"/>
    <w:rsid w:val="35534721"/>
    <w:rsid w:val="355447E0"/>
    <w:rsid w:val="3572431A"/>
    <w:rsid w:val="35DB624B"/>
    <w:rsid w:val="35F37A74"/>
    <w:rsid w:val="35F57CD1"/>
    <w:rsid w:val="365531D5"/>
    <w:rsid w:val="36673091"/>
    <w:rsid w:val="367F5267"/>
    <w:rsid w:val="368F3D27"/>
    <w:rsid w:val="37060090"/>
    <w:rsid w:val="370A148E"/>
    <w:rsid w:val="3722005D"/>
    <w:rsid w:val="37431804"/>
    <w:rsid w:val="37530180"/>
    <w:rsid w:val="37B671B0"/>
    <w:rsid w:val="37C054C1"/>
    <w:rsid w:val="37C444C8"/>
    <w:rsid w:val="37E70595"/>
    <w:rsid w:val="37EF6EBB"/>
    <w:rsid w:val="38237A95"/>
    <w:rsid w:val="384D06A9"/>
    <w:rsid w:val="38821D04"/>
    <w:rsid w:val="38DB6696"/>
    <w:rsid w:val="38F10F0E"/>
    <w:rsid w:val="393269F4"/>
    <w:rsid w:val="3938474D"/>
    <w:rsid w:val="396C250A"/>
    <w:rsid w:val="399E27F6"/>
    <w:rsid w:val="39C61073"/>
    <w:rsid w:val="39DA2862"/>
    <w:rsid w:val="3A750D8C"/>
    <w:rsid w:val="3AFC4BB7"/>
    <w:rsid w:val="3B34257F"/>
    <w:rsid w:val="3B854E3C"/>
    <w:rsid w:val="3B8D2E62"/>
    <w:rsid w:val="3B9A105F"/>
    <w:rsid w:val="3BBE0FAD"/>
    <w:rsid w:val="3BE62F7B"/>
    <w:rsid w:val="3C6549D8"/>
    <w:rsid w:val="3C7021F2"/>
    <w:rsid w:val="3C7C11BA"/>
    <w:rsid w:val="3C7D700F"/>
    <w:rsid w:val="3CC752F6"/>
    <w:rsid w:val="3CD42058"/>
    <w:rsid w:val="3D0D7F35"/>
    <w:rsid w:val="3D2E3AD0"/>
    <w:rsid w:val="3D576E4D"/>
    <w:rsid w:val="3D5C0027"/>
    <w:rsid w:val="3D6B0368"/>
    <w:rsid w:val="3D91058D"/>
    <w:rsid w:val="3DD15B01"/>
    <w:rsid w:val="3DDD495D"/>
    <w:rsid w:val="3DE94D46"/>
    <w:rsid w:val="3DF2281A"/>
    <w:rsid w:val="3E1E4746"/>
    <w:rsid w:val="3E4C7651"/>
    <w:rsid w:val="3EA61B67"/>
    <w:rsid w:val="3EB04FB3"/>
    <w:rsid w:val="3EC577CE"/>
    <w:rsid w:val="3ECD44BA"/>
    <w:rsid w:val="3EDE5BE9"/>
    <w:rsid w:val="3EE80289"/>
    <w:rsid w:val="3EF22CEA"/>
    <w:rsid w:val="3F1E7DB9"/>
    <w:rsid w:val="3F250F6F"/>
    <w:rsid w:val="3F4579CC"/>
    <w:rsid w:val="3F5E3ACD"/>
    <w:rsid w:val="3F790C5F"/>
    <w:rsid w:val="3F890756"/>
    <w:rsid w:val="3F990CB6"/>
    <w:rsid w:val="3FDD11BE"/>
    <w:rsid w:val="400D443B"/>
    <w:rsid w:val="401D0C50"/>
    <w:rsid w:val="401E6996"/>
    <w:rsid w:val="404D5CDB"/>
    <w:rsid w:val="405C6914"/>
    <w:rsid w:val="406325FC"/>
    <w:rsid w:val="40842252"/>
    <w:rsid w:val="40914CE3"/>
    <w:rsid w:val="40DD4E66"/>
    <w:rsid w:val="40F15F4B"/>
    <w:rsid w:val="410560EC"/>
    <w:rsid w:val="410632F7"/>
    <w:rsid w:val="41A24A30"/>
    <w:rsid w:val="41F64A9D"/>
    <w:rsid w:val="42103B68"/>
    <w:rsid w:val="42595F52"/>
    <w:rsid w:val="426B5BC3"/>
    <w:rsid w:val="4274508B"/>
    <w:rsid w:val="42786774"/>
    <w:rsid w:val="429043C0"/>
    <w:rsid w:val="42B91124"/>
    <w:rsid w:val="42F34585"/>
    <w:rsid w:val="43165686"/>
    <w:rsid w:val="432F56FC"/>
    <w:rsid w:val="43372236"/>
    <w:rsid w:val="433930C1"/>
    <w:rsid w:val="435269FA"/>
    <w:rsid w:val="43736F3E"/>
    <w:rsid w:val="43A56361"/>
    <w:rsid w:val="43BB496C"/>
    <w:rsid w:val="43E41382"/>
    <w:rsid w:val="43E5547F"/>
    <w:rsid w:val="43EE573A"/>
    <w:rsid w:val="44195DBC"/>
    <w:rsid w:val="44C965AE"/>
    <w:rsid w:val="45022B91"/>
    <w:rsid w:val="453F2CE0"/>
    <w:rsid w:val="4585782A"/>
    <w:rsid w:val="459F5134"/>
    <w:rsid w:val="45A54E4D"/>
    <w:rsid w:val="45B626AF"/>
    <w:rsid w:val="45B85FEE"/>
    <w:rsid w:val="45BC4486"/>
    <w:rsid w:val="45CF0C65"/>
    <w:rsid w:val="4607150E"/>
    <w:rsid w:val="46442791"/>
    <w:rsid w:val="46CA371B"/>
    <w:rsid w:val="472A5625"/>
    <w:rsid w:val="472C697F"/>
    <w:rsid w:val="47376008"/>
    <w:rsid w:val="477A607D"/>
    <w:rsid w:val="47A17BE1"/>
    <w:rsid w:val="47AE3F08"/>
    <w:rsid w:val="47FC705A"/>
    <w:rsid w:val="48294017"/>
    <w:rsid w:val="482C6852"/>
    <w:rsid w:val="486A50DB"/>
    <w:rsid w:val="487C1A48"/>
    <w:rsid w:val="48900FB5"/>
    <w:rsid w:val="48DB63D6"/>
    <w:rsid w:val="49303A91"/>
    <w:rsid w:val="49482743"/>
    <w:rsid w:val="4964616A"/>
    <w:rsid w:val="497964D5"/>
    <w:rsid w:val="499423C3"/>
    <w:rsid w:val="49A8294B"/>
    <w:rsid w:val="49E3502F"/>
    <w:rsid w:val="49EA6EE4"/>
    <w:rsid w:val="4A042449"/>
    <w:rsid w:val="4A0D1FEA"/>
    <w:rsid w:val="4A0E68B9"/>
    <w:rsid w:val="4A21091C"/>
    <w:rsid w:val="4A311C3C"/>
    <w:rsid w:val="4A365018"/>
    <w:rsid w:val="4A4023E1"/>
    <w:rsid w:val="4A8057BE"/>
    <w:rsid w:val="4A8A2770"/>
    <w:rsid w:val="4AE76F88"/>
    <w:rsid w:val="4B2636B7"/>
    <w:rsid w:val="4B280987"/>
    <w:rsid w:val="4B427D92"/>
    <w:rsid w:val="4B4C3318"/>
    <w:rsid w:val="4B60499A"/>
    <w:rsid w:val="4B622735"/>
    <w:rsid w:val="4B7E2C6D"/>
    <w:rsid w:val="4B8C0EE4"/>
    <w:rsid w:val="4BA96CF9"/>
    <w:rsid w:val="4BC70A64"/>
    <w:rsid w:val="4BE07B8E"/>
    <w:rsid w:val="4BF91E4D"/>
    <w:rsid w:val="4C0C52EE"/>
    <w:rsid w:val="4C161718"/>
    <w:rsid w:val="4C402893"/>
    <w:rsid w:val="4C6A7E48"/>
    <w:rsid w:val="4C9E3370"/>
    <w:rsid w:val="4CB2340C"/>
    <w:rsid w:val="4D1D530D"/>
    <w:rsid w:val="4D2C03E8"/>
    <w:rsid w:val="4D2F41FE"/>
    <w:rsid w:val="4D3F561B"/>
    <w:rsid w:val="4D4B21E3"/>
    <w:rsid w:val="4D9B4C52"/>
    <w:rsid w:val="4DC44B93"/>
    <w:rsid w:val="4DFD40C0"/>
    <w:rsid w:val="4E157C24"/>
    <w:rsid w:val="4E3976BB"/>
    <w:rsid w:val="4E877D43"/>
    <w:rsid w:val="4E972856"/>
    <w:rsid w:val="4F0016F7"/>
    <w:rsid w:val="4F2E4538"/>
    <w:rsid w:val="4F580DE7"/>
    <w:rsid w:val="4F593890"/>
    <w:rsid w:val="4F6472B1"/>
    <w:rsid w:val="4F9D52A5"/>
    <w:rsid w:val="4FA4609F"/>
    <w:rsid w:val="4FAA0B86"/>
    <w:rsid w:val="4FB938A1"/>
    <w:rsid w:val="4FED057D"/>
    <w:rsid w:val="50A542C1"/>
    <w:rsid w:val="50A852B2"/>
    <w:rsid w:val="50AF4C9D"/>
    <w:rsid w:val="50BC51F2"/>
    <w:rsid w:val="50C121C9"/>
    <w:rsid w:val="50E83041"/>
    <w:rsid w:val="510B4F8E"/>
    <w:rsid w:val="511B74DF"/>
    <w:rsid w:val="512D73DA"/>
    <w:rsid w:val="514A14D1"/>
    <w:rsid w:val="51561FEF"/>
    <w:rsid w:val="516C77CE"/>
    <w:rsid w:val="517F58CF"/>
    <w:rsid w:val="519431D8"/>
    <w:rsid w:val="51FE26DD"/>
    <w:rsid w:val="5217423B"/>
    <w:rsid w:val="521A1F41"/>
    <w:rsid w:val="521F7AA6"/>
    <w:rsid w:val="526473C9"/>
    <w:rsid w:val="52673D19"/>
    <w:rsid w:val="527C069C"/>
    <w:rsid w:val="528B6208"/>
    <w:rsid w:val="52B831DF"/>
    <w:rsid w:val="52DB7796"/>
    <w:rsid w:val="53056435"/>
    <w:rsid w:val="5347402E"/>
    <w:rsid w:val="5379571A"/>
    <w:rsid w:val="538D6B07"/>
    <w:rsid w:val="53BE278C"/>
    <w:rsid w:val="53C41B58"/>
    <w:rsid w:val="53C9756F"/>
    <w:rsid w:val="54010D21"/>
    <w:rsid w:val="54453E24"/>
    <w:rsid w:val="54477B04"/>
    <w:rsid w:val="548F0ECC"/>
    <w:rsid w:val="549C13A7"/>
    <w:rsid w:val="54DA2731"/>
    <w:rsid w:val="54E35FFA"/>
    <w:rsid w:val="54EA57BF"/>
    <w:rsid w:val="550B5A18"/>
    <w:rsid w:val="557C4262"/>
    <w:rsid w:val="55C10F32"/>
    <w:rsid w:val="55C83AD8"/>
    <w:rsid w:val="55D944EA"/>
    <w:rsid w:val="55EC5128"/>
    <w:rsid w:val="562B5327"/>
    <w:rsid w:val="56322BCC"/>
    <w:rsid w:val="56340FA8"/>
    <w:rsid w:val="569B19F8"/>
    <w:rsid w:val="56AD61FF"/>
    <w:rsid w:val="56D07096"/>
    <w:rsid w:val="56F86282"/>
    <w:rsid w:val="56FE4C36"/>
    <w:rsid w:val="570F2349"/>
    <w:rsid w:val="57132598"/>
    <w:rsid w:val="576120B0"/>
    <w:rsid w:val="578D45DC"/>
    <w:rsid w:val="57C54141"/>
    <w:rsid w:val="583354EA"/>
    <w:rsid w:val="587E0D6B"/>
    <w:rsid w:val="5886185F"/>
    <w:rsid w:val="58A23D20"/>
    <w:rsid w:val="58A45194"/>
    <w:rsid w:val="58B77A14"/>
    <w:rsid w:val="58BB07D5"/>
    <w:rsid w:val="58C64669"/>
    <w:rsid w:val="58CE6357"/>
    <w:rsid w:val="58D455F0"/>
    <w:rsid w:val="590116F0"/>
    <w:rsid w:val="59241ECC"/>
    <w:rsid w:val="592606B9"/>
    <w:rsid w:val="5943734F"/>
    <w:rsid w:val="5949057B"/>
    <w:rsid w:val="596B6232"/>
    <w:rsid w:val="596D4E12"/>
    <w:rsid w:val="597C0677"/>
    <w:rsid w:val="5986071D"/>
    <w:rsid w:val="598E005F"/>
    <w:rsid w:val="5A395DF9"/>
    <w:rsid w:val="5A3F31ED"/>
    <w:rsid w:val="5A7A44CD"/>
    <w:rsid w:val="5A8136AC"/>
    <w:rsid w:val="5A8167A3"/>
    <w:rsid w:val="5A842A4C"/>
    <w:rsid w:val="5A9B3463"/>
    <w:rsid w:val="5AC24B0D"/>
    <w:rsid w:val="5AC92D10"/>
    <w:rsid w:val="5AD2635A"/>
    <w:rsid w:val="5AFE38A0"/>
    <w:rsid w:val="5B0B591B"/>
    <w:rsid w:val="5B244126"/>
    <w:rsid w:val="5B362690"/>
    <w:rsid w:val="5B7913E7"/>
    <w:rsid w:val="5BC94E13"/>
    <w:rsid w:val="5BE463A7"/>
    <w:rsid w:val="5C06153A"/>
    <w:rsid w:val="5C097AF8"/>
    <w:rsid w:val="5C17068B"/>
    <w:rsid w:val="5C352E9E"/>
    <w:rsid w:val="5C356CDA"/>
    <w:rsid w:val="5C60064A"/>
    <w:rsid w:val="5C73458C"/>
    <w:rsid w:val="5C993C55"/>
    <w:rsid w:val="5C9A27FC"/>
    <w:rsid w:val="5C9A3EAA"/>
    <w:rsid w:val="5D1111F3"/>
    <w:rsid w:val="5D455433"/>
    <w:rsid w:val="5D5A24A5"/>
    <w:rsid w:val="5D696BFC"/>
    <w:rsid w:val="5D6E0BAE"/>
    <w:rsid w:val="5D7A01D5"/>
    <w:rsid w:val="5D895F6D"/>
    <w:rsid w:val="5DBD6477"/>
    <w:rsid w:val="5DC94036"/>
    <w:rsid w:val="5DE45BB2"/>
    <w:rsid w:val="5DF14FC0"/>
    <w:rsid w:val="5DFF67C0"/>
    <w:rsid w:val="5E05684C"/>
    <w:rsid w:val="5E0C30A2"/>
    <w:rsid w:val="5E152542"/>
    <w:rsid w:val="5E246F41"/>
    <w:rsid w:val="5E4C0F4B"/>
    <w:rsid w:val="5E6C38E5"/>
    <w:rsid w:val="5E9D68A0"/>
    <w:rsid w:val="5EBB5F52"/>
    <w:rsid w:val="5F247FCF"/>
    <w:rsid w:val="5F37043F"/>
    <w:rsid w:val="5F494852"/>
    <w:rsid w:val="5F5058FD"/>
    <w:rsid w:val="5F932737"/>
    <w:rsid w:val="5FB62FA8"/>
    <w:rsid w:val="5FBE5FB6"/>
    <w:rsid w:val="5FC670EC"/>
    <w:rsid w:val="5FCF35B6"/>
    <w:rsid w:val="5FDE51CF"/>
    <w:rsid w:val="60081EB9"/>
    <w:rsid w:val="600B7455"/>
    <w:rsid w:val="60425259"/>
    <w:rsid w:val="60482FB0"/>
    <w:rsid w:val="607466A0"/>
    <w:rsid w:val="608E4A56"/>
    <w:rsid w:val="608F79C8"/>
    <w:rsid w:val="60915982"/>
    <w:rsid w:val="60F51E55"/>
    <w:rsid w:val="611B137E"/>
    <w:rsid w:val="61312F54"/>
    <w:rsid w:val="6142168F"/>
    <w:rsid w:val="614D4842"/>
    <w:rsid w:val="61780576"/>
    <w:rsid w:val="61955691"/>
    <w:rsid w:val="61B0416E"/>
    <w:rsid w:val="61B45453"/>
    <w:rsid w:val="61CA6479"/>
    <w:rsid w:val="61D57C4E"/>
    <w:rsid w:val="61EE359C"/>
    <w:rsid w:val="61F3216C"/>
    <w:rsid w:val="621403F2"/>
    <w:rsid w:val="622E2A9D"/>
    <w:rsid w:val="624015DB"/>
    <w:rsid w:val="62454CEC"/>
    <w:rsid w:val="625200D9"/>
    <w:rsid w:val="62571FDB"/>
    <w:rsid w:val="625B3509"/>
    <w:rsid w:val="62696CD8"/>
    <w:rsid w:val="62C30A64"/>
    <w:rsid w:val="62DA27D3"/>
    <w:rsid w:val="62E305FD"/>
    <w:rsid w:val="63055F18"/>
    <w:rsid w:val="63331267"/>
    <w:rsid w:val="63350368"/>
    <w:rsid w:val="634618F9"/>
    <w:rsid w:val="634B6E79"/>
    <w:rsid w:val="634C303D"/>
    <w:rsid w:val="635251A9"/>
    <w:rsid w:val="635765A9"/>
    <w:rsid w:val="636C2A7B"/>
    <w:rsid w:val="63B149A3"/>
    <w:rsid w:val="63B81B33"/>
    <w:rsid w:val="63C01BFB"/>
    <w:rsid w:val="63D20A8A"/>
    <w:rsid w:val="64042AD6"/>
    <w:rsid w:val="64362280"/>
    <w:rsid w:val="64814219"/>
    <w:rsid w:val="649E201C"/>
    <w:rsid w:val="64CA68E0"/>
    <w:rsid w:val="64CE5F6F"/>
    <w:rsid w:val="64F96942"/>
    <w:rsid w:val="65444E42"/>
    <w:rsid w:val="65530293"/>
    <w:rsid w:val="65737188"/>
    <w:rsid w:val="659375C8"/>
    <w:rsid w:val="659B26D3"/>
    <w:rsid w:val="65C17CA2"/>
    <w:rsid w:val="65C40065"/>
    <w:rsid w:val="65C92484"/>
    <w:rsid w:val="65DB20C9"/>
    <w:rsid w:val="65E9611E"/>
    <w:rsid w:val="66B345CC"/>
    <w:rsid w:val="66CF5D4E"/>
    <w:rsid w:val="66EC10D7"/>
    <w:rsid w:val="67093277"/>
    <w:rsid w:val="67192450"/>
    <w:rsid w:val="676F12EA"/>
    <w:rsid w:val="67850E31"/>
    <w:rsid w:val="678D3629"/>
    <w:rsid w:val="679B7FEA"/>
    <w:rsid w:val="67B558F4"/>
    <w:rsid w:val="67C1181B"/>
    <w:rsid w:val="67DC35C6"/>
    <w:rsid w:val="67EE32B0"/>
    <w:rsid w:val="67FF7C0E"/>
    <w:rsid w:val="68374295"/>
    <w:rsid w:val="683D6804"/>
    <w:rsid w:val="68B82FDD"/>
    <w:rsid w:val="693E6BE5"/>
    <w:rsid w:val="698D7B85"/>
    <w:rsid w:val="69995B45"/>
    <w:rsid w:val="69F51C14"/>
    <w:rsid w:val="6A1B27BD"/>
    <w:rsid w:val="6A2B0AFE"/>
    <w:rsid w:val="6A4B7F53"/>
    <w:rsid w:val="6A6F6B0D"/>
    <w:rsid w:val="6A911C54"/>
    <w:rsid w:val="6A9D367C"/>
    <w:rsid w:val="6ABA1302"/>
    <w:rsid w:val="6AC57D73"/>
    <w:rsid w:val="6B8E5616"/>
    <w:rsid w:val="6B92329A"/>
    <w:rsid w:val="6BA91851"/>
    <w:rsid w:val="6BEA20E8"/>
    <w:rsid w:val="6C1D2147"/>
    <w:rsid w:val="6C6C582F"/>
    <w:rsid w:val="6C6E10A8"/>
    <w:rsid w:val="6C700183"/>
    <w:rsid w:val="6C755679"/>
    <w:rsid w:val="6C7B37A7"/>
    <w:rsid w:val="6C7B69A5"/>
    <w:rsid w:val="6C9360FF"/>
    <w:rsid w:val="6CBC23FC"/>
    <w:rsid w:val="6CF74025"/>
    <w:rsid w:val="6D237406"/>
    <w:rsid w:val="6D261363"/>
    <w:rsid w:val="6D2A73B7"/>
    <w:rsid w:val="6D630F17"/>
    <w:rsid w:val="6D657534"/>
    <w:rsid w:val="6D6B70CC"/>
    <w:rsid w:val="6D7360DF"/>
    <w:rsid w:val="6D75783F"/>
    <w:rsid w:val="6DB16CC5"/>
    <w:rsid w:val="6DC468C4"/>
    <w:rsid w:val="6DF97399"/>
    <w:rsid w:val="6DFF1EAA"/>
    <w:rsid w:val="6E1D2BC6"/>
    <w:rsid w:val="6E53273B"/>
    <w:rsid w:val="6E606402"/>
    <w:rsid w:val="6E765058"/>
    <w:rsid w:val="6EA41728"/>
    <w:rsid w:val="6EE96530"/>
    <w:rsid w:val="6EF91C79"/>
    <w:rsid w:val="6EFA1187"/>
    <w:rsid w:val="6F1D0B9E"/>
    <w:rsid w:val="6F2F2CB4"/>
    <w:rsid w:val="6F511F7B"/>
    <w:rsid w:val="6F924A50"/>
    <w:rsid w:val="6FAB62CF"/>
    <w:rsid w:val="6FF86AB2"/>
    <w:rsid w:val="703C2DD8"/>
    <w:rsid w:val="7064279B"/>
    <w:rsid w:val="715F6F32"/>
    <w:rsid w:val="71766497"/>
    <w:rsid w:val="71995F2C"/>
    <w:rsid w:val="719D2C55"/>
    <w:rsid w:val="71A64ED8"/>
    <w:rsid w:val="71F32259"/>
    <w:rsid w:val="720E3106"/>
    <w:rsid w:val="72796D87"/>
    <w:rsid w:val="72A53545"/>
    <w:rsid w:val="72DD3F90"/>
    <w:rsid w:val="730507F7"/>
    <w:rsid w:val="73183A6A"/>
    <w:rsid w:val="73A75FC7"/>
    <w:rsid w:val="74035637"/>
    <w:rsid w:val="74173DD8"/>
    <w:rsid w:val="742066E6"/>
    <w:rsid w:val="7446375E"/>
    <w:rsid w:val="744D77F4"/>
    <w:rsid w:val="745444B9"/>
    <w:rsid w:val="74783292"/>
    <w:rsid w:val="74994CBD"/>
    <w:rsid w:val="74A93531"/>
    <w:rsid w:val="74E85ACF"/>
    <w:rsid w:val="74FE76C4"/>
    <w:rsid w:val="756D5575"/>
    <w:rsid w:val="75900F5E"/>
    <w:rsid w:val="7594504F"/>
    <w:rsid w:val="75A52514"/>
    <w:rsid w:val="75A609B4"/>
    <w:rsid w:val="75BA430D"/>
    <w:rsid w:val="75C877B1"/>
    <w:rsid w:val="75E40C59"/>
    <w:rsid w:val="76346562"/>
    <w:rsid w:val="76363021"/>
    <w:rsid w:val="763A57B0"/>
    <w:rsid w:val="76461967"/>
    <w:rsid w:val="76AA1309"/>
    <w:rsid w:val="76C762BE"/>
    <w:rsid w:val="76E7046E"/>
    <w:rsid w:val="76E719E2"/>
    <w:rsid w:val="77123979"/>
    <w:rsid w:val="77135045"/>
    <w:rsid w:val="77713376"/>
    <w:rsid w:val="77722137"/>
    <w:rsid w:val="7774418D"/>
    <w:rsid w:val="77801AD2"/>
    <w:rsid w:val="7783277A"/>
    <w:rsid w:val="77A37C45"/>
    <w:rsid w:val="77A96E9E"/>
    <w:rsid w:val="77CB00FA"/>
    <w:rsid w:val="77EE7469"/>
    <w:rsid w:val="77FF7B09"/>
    <w:rsid w:val="788319F0"/>
    <w:rsid w:val="78C7646D"/>
    <w:rsid w:val="78ED74AB"/>
    <w:rsid w:val="790A0B48"/>
    <w:rsid w:val="790B0B92"/>
    <w:rsid w:val="79150D0E"/>
    <w:rsid w:val="7930082E"/>
    <w:rsid w:val="79317305"/>
    <w:rsid w:val="79464952"/>
    <w:rsid w:val="79AD1219"/>
    <w:rsid w:val="79BE5AC5"/>
    <w:rsid w:val="79FD3320"/>
    <w:rsid w:val="7A1F5229"/>
    <w:rsid w:val="7A3C4FAD"/>
    <w:rsid w:val="7A410E72"/>
    <w:rsid w:val="7A6B2AB8"/>
    <w:rsid w:val="7A6C5D7A"/>
    <w:rsid w:val="7A763C0A"/>
    <w:rsid w:val="7ABA39B2"/>
    <w:rsid w:val="7ACC7131"/>
    <w:rsid w:val="7AD641FA"/>
    <w:rsid w:val="7ADF3B44"/>
    <w:rsid w:val="7AE46A56"/>
    <w:rsid w:val="7AF52D5A"/>
    <w:rsid w:val="7AFA2168"/>
    <w:rsid w:val="7B0E7F4B"/>
    <w:rsid w:val="7B157452"/>
    <w:rsid w:val="7B1A4995"/>
    <w:rsid w:val="7B22521E"/>
    <w:rsid w:val="7B714E52"/>
    <w:rsid w:val="7B9314EA"/>
    <w:rsid w:val="7BAA7163"/>
    <w:rsid w:val="7BAF5939"/>
    <w:rsid w:val="7BB05AC5"/>
    <w:rsid w:val="7BF60006"/>
    <w:rsid w:val="7C1C0937"/>
    <w:rsid w:val="7C214CA5"/>
    <w:rsid w:val="7C3D1381"/>
    <w:rsid w:val="7C7E4854"/>
    <w:rsid w:val="7C7F1D95"/>
    <w:rsid w:val="7CB273BE"/>
    <w:rsid w:val="7CBB460B"/>
    <w:rsid w:val="7CBD4814"/>
    <w:rsid w:val="7CC67DE9"/>
    <w:rsid w:val="7D2E4040"/>
    <w:rsid w:val="7D361602"/>
    <w:rsid w:val="7D486F24"/>
    <w:rsid w:val="7D6C09D3"/>
    <w:rsid w:val="7D793E25"/>
    <w:rsid w:val="7D9360A2"/>
    <w:rsid w:val="7E125107"/>
    <w:rsid w:val="7E20336E"/>
    <w:rsid w:val="7E374B3D"/>
    <w:rsid w:val="7E5B37E4"/>
    <w:rsid w:val="7E7370FF"/>
    <w:rsid w:val="7E755767"/>
    <w:rsid w:val="7E902018"/>
    <w:rsid w:val="7EA1211B"/>
    <w:rsid w:val="7EC32F0D"/>
    <w:rsid w:val="7EC66716"/>
    <w:rsid w:val="7EDA0EBD"/>
    <w:rsid w:val="7EEC56FB"/>
    <w:rsid w:val="7F0A526A"/>
    <w:rsid w:val="7FA206DC"/>
    <w:rsid w:val="7FB824BB"/>
    <w:rsid w:val="7FC057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3"/>
    <w:qFormat/>
    <w:uiPriority w:val="0"/>
    <w:pPr>
      <w:keepNext/>
      <w:keepLines/>
      <w:spacing w:before="340" w:after="330" w:line="576" w:lineRule="auto"/>
      <w:outlineLvl w:val="0"/>
    </w:pPr>
    <w:rPr>
      <w:b/>
      <w:kern w:val="44"/>
      <w:sz w:val="32"/>
      <w:szCs w:val="20"/>
    </w:rPr>
  </w:style>
  <w:style w:type="paragraph" w:styleId="3">
    <w:name w:val="heading 2"/>
    <w:basedOn w:val="1"/>
    <w:next w:val="1"/>
    <w:link w:val="123"/>
    <w:qFormat/>
    <w:uiPriority w:val="0"/>
    <w:pPr>
      <w:keepNext/>
      <w:keepLines/>
      <w:spacing w:before="260" w:after="260" w:line="500" w:lineRule="exact"/>
      <w:outlineLvl w:val="1"/>
    </w:pPr>
    <w:rPr>
      <w:rFonts w:ascii="Arial" w:hAnsi="Arial" w:eastAsia="黑体"/>
      <w:b/>
      <w:sz w:val="28"/>
      <w:szCs w:val="20"/>
    </w:rPr>
  </w:style>
  <w:style w:type="paragraph" w:styleId="4">
    <w:name w:val="heading 3"/>
    <w:basedOn w:val="1"/>
    <w:next w:val="5"/>
    <w:link w:val="142"/>
    <w:qFormat/>
    <w:uiPriority w:val="0"/>
    <w:pPr>
      <w:keepNext/>
      <w:keepLines/>
      <w:spacing w:before="260" w:after="260" w:line="412" w:lineRule="auto"/>
      <w:outlineLvl w:val="2"/>
    </w:pPr>
    <w:rPr>
      <w:b/>
      <w:sz w:val="32"/>
      <w:szCs w:val="20"/>
    </w:rPr>
  </w:style>
  <w:style w:type="paragraph" w:styleId="6">
    <w:name w:val="heading 4"/>
    <w:basedOn w:val="1"/>
    <w:next w:val="1"/>
    <w:link w:val="172"/>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5"/>
    <w:link w:val="128"/>
    <w:qFormat/>
    <w:uiPriority w:val="0"/>
    <w:pPr>
      <w:keepNext/>
      <w:keepLines/>
      <w:numPr>
        <w:ilvl w:val="4"/>
        <w:numId w:val="1"/>
      </w:numPr>
      <w:spacing w:before="280" w:after="290" w:line="372" w:lineRule="auto"/>
      <w:outlineLvl w:val="4"/>
    </w:pPr>
    <w:rPr>
      <w:b/>
      <w:sz w:val="28"/>
    </w:rPr>
  </w:style>
  <w:style w:type="paragraph" w:styleId="8">
    <w:name w:val="heading 6"/>
    <w:basedOn w:val="1"/>
    <w:next w:val="5"/>
    <w:link w:val="132"/>
    <w:qFormat/>
    <w:uiPriority w:val="0"/>
    <w:pPr>
      <w:keepNext/>
      <w:keepLines/>
      <w:numPr>
        <w:ilvl w:val="5"/>
        <w:numId w:val="1"/>
      </w:numPr>
      <w:spacing w:before="240" w:after="64" w:line="316" w:lineRule="auto"/>
      <w:outlineLvl w:val="5"/>
    </w:pPr>
    <w:rPr>
      <w:rFonts w:ascii="Arial" w:hAnsi="Arial" w:eastAsia="黑体"/>
      <w:b/>
      <w:sz w:val="24"/>
    </w:rPr>
  </w:style>
  <w:style w:type="paragraph" w:styleId="9">
    <w:name w:val="heading 7"/>
    <w:basedOn w:val="1"/>
    <w:next w:val="5"/>
    <w:link w:val="139"/>
    <w:qFormat/>
    <w:uiPriority w:val="0"/>
    <w:pPr>
      <w:keepNext/>
      <w:keepLines/>
      <w:numPr>
        <w:ilvl w:val="6"/>
        <w:numId w:val="1"/>
      </w:numPr>
      <w:spacing w:before="240" w:after="64" w:line="316" w:lineRule="auto"/>
      <w:outlineLvl w:val="6"/>
    </w:pPr>
    <w:rPr>
      <w:b/>
      <w:sz w:val="24"/>
    </w:rPr>
  </w:style>
  <w:style w:type="paragraph" w:styleId="10">
    <w:name w:val="heading 8"/>
    <w:basedOn w:val="1"/>
    <w:next w:val="5"/>
    <w:link w:val="154"/>
    <w:qFormat/>
    <w:uiPriority w:val="0"/>
    <w:pPr>
      <w:keepNext/>
      <w:keepLines/>
      <w:numPr>
        <w:ilvl w:val="7"/>
        <w:numId w:val="1"/>
      </w:numPr>
      <w:spacing w:before="240" w:after="64" w:line="316" w:lineRule="auto"/>
      <w:outlineLvl w:val="7"/>
    </w:pPr>
    <w:rPr>
      <w:rFonts w:ascii="Arial" w:hAnsi="Arial" w:eastAsia="黑体"/>
      <w:sz w:val="24"/>
    </w:rPr>
  </w:style>
  <w:style w:type="paragraph" w:styleId="11">
    <w:name w:val="heading 9"/>
    <w:basedOn w:val="1"/>
    <w:next w:val="5"/>
    <w:link w:val="147"/>
    <w:qFormat/>
    <w:uiPriority w:val="0"/>
    <w:pPr>
      <w:keepNext/>
      <w:keepLines/>
      <w:numPr>
        <w:ilvl w:val="8"/>
        <w:numId w:val="1"/>
      </w:numPr>
      <w:spacing w:before="240" w:after="64" w:line="316" w:lineRule="auto"/>
      <w:outlineLvl w:val="8"/>
    </w:pPr>
    <w:rPr>
      <w:rFonts w:ascii="Arial" w:hAnsi="Arial" w:eastAsia="黑体"/>
    </w:rPr>
  </w:style>
  <w:style w:type="character" w:default="1" w:styleId="47">
    <w:name w:val="Default Paragraph Font"/>
    <w:semiHidden/>
    <w:qFormat/>
    <w:uiPriority w:val="0"/>
  </w:style>
  <w:style w:type="table" w:default="1" w:styleId="44">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5">
    <w:name w:val="Normal Indent"/>
    <w:basedOn w:val="1"/>
    <w:link w:val="157"/>
    <w:qFormat/>
    <w:uiPriority w:val="0"/>
    <w:pPr>
      <w:ind w:firstLine="420"/>
    </w:pPr>
    <w:rPr>
      <w:szCs w:val="20"/>
    </w:rPr>
  </w:style>
  <w:style w:type="paragraph" w:styleId="12">
    <w:name w:val="toc 7"/>
    <w:basedOn w:val="1"/>
    <w:next w:val="1"/>
    <w:qFormat/>
    <w:uiPriority w:val="0"/>
    <w:pPr>
      <w:ind w:left="2520" w:leftChars="1200"/>
    </w:pPr>
    <w:rPr>
      <w:rFonts w:ascii="Calibri" w:hAnsi="Calibri"/>
      <w:szCs w:val="22"/>
    </w:rPr>
  </w:style>
  <w:style w:type="paragraph" w:styleId="13">
    <w:name w:val="Note Heading"/>
    <w:basedOn w:val="1"/>
    <w:next w:val="1"/>
    <w:qFormat/>
    <w:uiPriority w:val="0"/>
    <w:pPr>
      <w:jc w:val="center"/>
    </w:p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19"/>
    <w:qFormat/>
    <w:uiPriority w:val="0"/>
    <w:pPr>
      <w:shd w:val="clear" w:color="auto" w:fill="000080"/>
    </w:pPr>
  </w:style>
  <w:style w:type="paragraph" w:styleId="16">
    <w:name w:val="annotation text"/>
    <w:basedOn w:val="1"/>
    <w:link w:val="126"/>
    <w:qFormat/>
    <w:uiPriority w:val="0"/>
    <w:pPr>
      <w:adjustRightInd w:val="0"/>
      <w:spacing w:line="360" w:lineRule="atLeast"/>
      <w:jc w:val="left"/>
      <w:textAlignment w:val="baseline"/>
    </w:pPr>
    <w:rPr>
      <w:kern w:val="0"/>
      <w:sz w:val="24"/>
      <w:szCs w:val="20"/>
    </w:rPr>
  </w:style>
  <w:style w:type="paragraph" w:styleId="17">
    <w:name w:val="Body Text 3"/>
    <w:basedOn w:val="1"/>
    <w:link w:val="170"/>
    <w:qFormat/>
    <w:uiPriority w:val="0"/>
    <w:pPr>
      <w:widowControl/>
      <w:spacing w:after="120"/>
      <w:jc w:val="left"/>
    </w:pPr>
    <w:rPr>
      <w:kern w:val="0"/>
      <w:sz w:val="16"/>
      <w:szCs w:val="16"/>
    </w:rPr>
  </w:style>
  <w:style w:type="paragraph" w:styleId="18">
    <w:name w:val="Body Text"/>
    <w:basedOn w:val="1"/>
    <w:next w:val="1"/>
    <w:link w:val="134"/>
    <w:qFormat/>
    <w:uiPriority w:val="0"/>
    <w:pPr>
      <w:widowControl/>
      <w:jc w:val="left"/>
    </w:pPr>
    <w:rPr>
      <w:kern w:val="0"/>
      <w:sz w:val="24"/>
      <w:szCs w:val="20"/>
    </w:rPr>
  </w:style>
  <w:style w:type="paragraph" w:styleId="19">
    <w:name w:val="Body Text Indent"/>
    <w:basedOn w:val="1"/>
    <w:link w:val="118"/>
    <w:qFormat/>
    <w:uiPriority w:val="0"/>
    <w:pPr>
      <w:ind w:firstLine="630"/>
    </w:pPr>
    <w:rPr>
      <w:sz w:val="32"/>
      <w:szCs w:val="20"/>
    </w:rPr>
  </w:style>
  <w:style w:type="paragraph" w:styleId="20">
    <w:name w:val="Block Text"/>
    <w:basedOn w:val="1"/>
    <w:qFormat/>
    <w:uiPriority w:val="0"/>
    <w:pPr>
      <w:adjustRightInd w:val="0"/>
      <w:ind w:left="420" w:right="33"/>
      <w:jc w:val="left"/>
      <w:textAlignment w:val="baseline"/>
    </w:pPr>
    <w:rPr>
      <w:kern w:val="0"/>
      <w:sz w:val="24"/>
      <w:szCs w:val="20"/>
    </w:rPr>
  </w:style>
  <w:style w:type="paragraph" w:styleId="21">
    <w:name w:val="index 4"/>
    <w:basedOn w:val="1"/>
    <w:next w:val="1"/>
    <w:qFormat/>
    <w:uiPriority w:val="0"/>
    <w:pPr>
      <w:ind w:left="600" w:leftChars="600"/>
    </w:pPr>
  </w:style>
  <w:style w:type="paragraph" w:styleId="22">
    <w:name w:val="toc 5"/>
    <w:basedOn w:val="1"/>
    <w:next w:val="1"/>
    <w:qFormat/>
    <w:uiPriority w:val="0"/>
    <w:pPr>
      <w:tabs>
        <w:tab w:val="right" w:leader="dot" w:pos="8296"/>
      </w:tabs>
      <w:ind w:left="1050" w:leftChars="500"/>
    </w:pPr>
    <w:rPr>
      <w:rFonts w:ascii="Calibri" w:hAnsi="Calibri"/>
      <w:szCs w:val="22"/>
    </w:rPr>
  </w:style>
  <w:style w:type="paragraph" w:styleId="23">
    <w:name w:val="toc 3"/>
    <w:basedOn w:val="1"/>
    <w:next w:val="1"/>
    <w:qFormat/>
    <w:uiPriority w:val="0"/>
    <w:pPr>
      <w:ind w:left="840" w:leftChars="400"/>
    </w:pPr>
  </w:style>
  <w:style w:type="paragraph" w:styleId="24">
    <w:name w:val="Plain Text"/>
    <w:basedOn w:val="1"/>
    <w:link w:val="129"/>
    <w:qFormat/>
    <w:uiPriority w:val="0"/>
    <w:rPr>
      <w:rFonts w:ascii="宋体" w:hAnsi="Courier New" w:cs="Courier New"/>
      <w:szCs w:val="21"/>
    </w:rPr>
  </w:style>
  <w:style w:type="paragraph" w:styleId="25">
    <w:name w:val="toc 8"/>
    <w:basedOn w:val="1"/>
    <w:next w:val="1"/>
    <w:qFormat/>
    <w:uiPriority w:val="0"/>
    <w:pPr>
      <w:ind w:left="2940" w:leftChars="1400"/>
    </w:pPr>
    <w:rPr>
      <w:rFonts w:ascii="Calibri" w:hAnsi="Calibri"/>
      <w:szCs w:val="22"/>
    </w:rPr>
  </w:style>
  <w:style w:type="paragraph" w:styleId="26">
    <w:name w:val="Date"/>
    <w:basedOn w:val="1"/>
    <w:next w:val="1"/>
    <w:link w:val="152"/>
    <w:qFormat/>
    <w:uiPriority w:val="0"/>
    <w:pPr>
      <w:ind w:left="100" w:leftChars="2500"/>
    </w:pPr>
  </w:style>
  <w:style w:type="paragraph" w:styleId="27">
    <w:name w:val="Body Text Indent 2"/>
    <w:basedOn w:val="1"/>
    <w:link w:val="131"/>
    <w:qFormat/>
    <w:uiPriority w:val="0"/>
    <w:pPr>
      <w:ind w:firstLine="630"/>
    </w:pPr>
    <w:rPr>
      <w:sz w:val="32"/>
      <w:szCs w:val="20"/>
    </w:rPr>
  </w:style>
  <w:style w:type="paragraph" w:styleId="28">
    <w:name w:val="Balloon Text"/>
    <w:basedOn w:val="1"/>
    <w:link w:val="138"/>
    <w:qFormat/>
    <w:uiPriority w:val="0"/>
    <w:rPr>
      <w:sz w:val="18"/>
      <w:szCs w:val="18"/>
    </w:rPr>
  </w:style>
  <w:style w:type="paragraph" w:styleId="29">
    <w:name w:val="footer"/>
    <w:basedOn w:val="1"/>
    <w:link w:val="124"/>
    <w:qFormat/>
    <w:uiPriority w:val="0"/>
    <w:pPr>
      <w:tabs>
        <w:tab w:val="center" w:pos="4153"/>
        <w:tab w:val="right" w:pos="8306"/>
      </w:tabs>
      <w:snapToGrid w:val="0"/>
      <w:jc w:val="left"/>
    </w:pPr>
    <w:rPr>
      <w:sz w:val="18"/>
      <w:szCs w:val="20"/>
    </w:rPr>
  </w:style>
  <w:style w:type="paragraph" w:styleId="30">
    <w:name w:val="header"/>
    <w:basedOn w:val="1"/>
    <w:link w:val="136"/>
    <w:qFormat/>
    <w:uiPriority w:val="0"/>
    <w:pPr>
      <w:pBdr>
        <w:bottom w:val="single" w:color="auto" w:sz="6" w:space="1"/>
      </w:pBdr>
      <w:tabs>
        <w:tab w:val="center" w:pos="4153"/>
        <w:tab w:val="right" w:pos="8306"/>
      </w:tabs>
      <w:snapToGrid w:val="0"/>
      <w:jc w:val="center"/>
    </w:pPr>
    <w:rPr>
      <w:sz w:val="18"/>
      <w:szCs w:val="20"/>
    </w:rPr>
  </w:style>
  <w:style w:type="paragraph" w:styleId="31">
    <w:name w:val="toc 1"/>
    <w:basedOn w:val="1"/>
    <w:next w:val="1"/>
    <w:qFormat/>
    <w:uiPriority w:val="39"/>
    <w:pPr>
      <w:tabs>
        <w:tab w:val="right" w:leader="dot" w:pos="9060"/>
      </w:tabs>
      <w:spacing w:line="720" w:lineRule="auto"/>
    </w:pPr>
  </w:style>
  <w:style w:type="paragraph" w:styleId="32">
    <w:name w:val="toc 4"/>
    <w:basedOn w:val="1"/>
    <w:next w:val="1"/>
    <w:qFormat/>
    <w:uiPriority w:val="0"/>
    <w:pPr>
      <w:tabs>
        <w:tab w:val="left" w:pos="1890"/>
        <w:tab w:val="right" w:leader="dot" w:pos="8296"/>
      </w:tabs>
      <w:ind w:left="630" w:leftChars="300"/>
    </w:pPr>
    <w:rPr>
      <w:rFonts w:ascii="Calibri" w:hAnsi="Calibri"/>
      <w:szCs w:val="22"/>
    </w:rPr>
  </w:style>
  <w:style w:type="paragraph" w:styleId="33">
    <w:name w:val="Subtitle"/>
    <w:basedOn w:val="1"/>
    <w:next w:val="1"/>
    <w:link w:val="141"/>
    <w:qFormat/>
    <w:uiPriority w:val="0"/>
    <w:pPr>
      <w:spacing w:before="240" w:after="60" w:line="312" w:lineRule="auto"/>
      <w:jc w:val="center"/>
      <w:outlineLvl w:val="1"/>
    </w:pPr>
    <w:rPr>
      <w:rFonts w:ascii="Cambria" w:hAnsi="Cambria"/>
      <w:b/>
      <w:bCs/>
      <w:kern w:val="28"/>
      <w:sz w:val="32"/>
      <w:szCs w:val="32"/>
    </w:rPr>
  </w:style>
  <w:style w:type="paragraph" w:styleId="34">
    <w:name w:val="toc 6"/>
    <w:basedOn w:val="1"/>
    <w:next w:val="1"/>
    <w:qFormat/>
    <w:uiPriority w:val="0"/>
    <w:pPr>
      <w:ind w:left="2100" w:leftChars="1000"/>
    </w:pPr>
    <w:rPr>
      <w:rFonts w:ascii="Calibri" w:hAnsi="Calibri"/>
      <w:szCs w:val="22"/>
    </w:rPr>
  </w:style>
  <w:style w:type="paragraph" w:styleId="35">
    <w:name w:val="Body Text Indent 3"/>
    <w:basedOn w:val="1"/>
    <w:link w:val="146"/>
    <w:qFormat/>
    <w:uiPriority w:val="0"/>
    <w:pPr>
      <w:adjustRightInd w:val="0"/>
      <w:snapToGrid w:val="0"/>
      <w:spacing w:line="360" w:lineRule="auto"/>
      <w:ind w:firstLine="600" w:firstLineChars="200"/>
    </w:pPr>
    <w:rPr>
      <w:rFonts w:ascii="黑体" w:eastAsia="黑体"/>
      <w:sz w:val="30"/>
      <w:szCs w:val="28"/>
    </w:rPr>
  </w:style>
  <w:style w:type="paragraph" w:styleId="36">
    <w:name w:val="toc 2"/>
    <w:basedOn w:val="1"/>
    <w:next w:val="1"/>
    <w:qFormat/>
    <w:uiPriority w:val="39"/>
    <w:pPr>
      <w:ind w:left="420" w:leftChars="200"/>
    </w:pPr>
  </w:style>
  <w:style w:type="paragraph" w:styleId="37">
    <w:name w:val="toc 9"/>
    <w:basedOn w:val="1"/>
    <w:next w:val="1"/>
    <w:qFormat/>
    <w:uiPriority w:val="0"/>
    <w:pPr>
      <w:ind w:left="3360" w:leftChars="1600"/>
    </w:pPr>
    <w:rPr>
      <w:rFonts w:ascii="Calibri" w:hAnsi="Calibri"/>
      <w:szCs w:val="22"/>
    </w:rPr>
  </w:style>
  <w:style w:type="paragraph" w:styleId="38">
    <w:name w:val="Body Text 2"/>
    <w:basedOn w:val="1"/>
    <w:link w:val="150"/>
    <w:qFormat/>
    <w:uiPriority w:val="0"/>
    <w:pPr>
      <w:widowControl/>
      <w:spacing w:after="120" w:line="480" w:lineRule="auto"/>
      <w:jc w:val="left"/>
    </w:pPr>
    <w:rPr>
      <w:kern w:val="0"/>
      <w:sz w:val="20"/>
      <w:szCs w:val="20"/>
    </w:rPr>
  </w:style>
  <w:style w:type="paragraph" w:styleId="39">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40">
    <w:name w:val="Title"/>
    <w:basedOn w:val="1"/>
    <w:link w:val="125"/>
    <w:qFormat/>
    <w:uiPriority w:val="0"/>
    <w:pPr>
      <w:adjustRightInd w:val="0"/>
      <w:spacing w:before="240" w:after="60" w:line="312" w:lineRule="atLeast"/>
      <w:jc w:val="center"/>
      <w:textAlignment w:val="baseline"/>
      <w:outlineLvl w:val="0"/>
    </w:pPr>
    <w:rPr>
      <w:rFonts w:ascii="Arial" w:hAnsi="Arial" w:eastAsia="楷体_GB2312"/>
      <w:b/>
      <w:kern w:val="0"/>
      <w:sz w:val="32"/>
      <w:szCs w:val="32"/>
    </w:rPr>
  </w:style>
  <w:style w:type="paragraph" w:styleId="41">
    <w:name w:val="annotation subject"/>
    <w:basedOn w:val="16"/>
    <w:next w:val="16"/>
    <w:link w:val="135"/>
    <w:qFormat/>
    <w:uiPriority w:val="0"/>
    <w:pPr>
      <w:adjustRightInd/>
      <w:spacing w:line="240" w:lineRule="auto"/>
      <w:textAlignment w:val="auto"/>
    </w:pPr>
    <w:rPr>
      <w:b/>
      <w:bCs/>
      <w:kern w:val="2"/>
      <w:sz w:val="21"/>
      <w:szCs w:val="24"/>
    </w:rPr>
  </w:style>
  <w:style w:type="paragraph" w:styleId="42">
    <w:name w:val="Body Text First Indent"/>
    <w:basedOn w:val="18"/>
    <w:qFormat/>
    <w:uiPriority w:val="0"/>
    <w:pPr>
      <w:adjustRightInd w:val="0"/>
      <w:ind w:firstLine="420"/>
      <w:jc w:val="left"/>
      <w:textAlignment w:val="baseline"/>
    </w:pPr>
    <w:rPr>
      <w:kern w:val="0"/>
    </w:rPr>
  </w:style>
  <w:style w:type="paragraph" w:styleId="43">
    <w:name w:val="Body Text First Indent 2"/>
    <w:basedOn w:val="19"/>
    <w:qFormat/>
    <w:uiPriority w:val="0"/>
    <w:pPr>
      <w:ind w:firstLine="420" w:firstLineChars="200"/>
    </w:p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Table Classic 1"/>
    <w:basedOn w:val="44"/>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48">
    <w:name w:val="Strong"/>
    <w:basedOn w:val="47"/>
    <w:qFormat/>
    <w:uiPriority w:val="0"/>
    <w:rPr>
      <w:b/>
      <w:bCs/>
    </w:rPr>
  </w:style>
  <w:style w:type="character" w:styleId="49">
    <w:name w:val="page number"/>
    <w:basedOn w:val="47"/>
    <w:qFormat/>
    <w:uiPriority w:val="0"/>
  </w:style>
  <w:style w:type="character" w:styleId="50">
    <w:name w:val="FollowedHyperlink"/>
    <w:qFormat/>
    <w:uiPriority w:val="99"/>
    <w:rPr>
      <w:color w:val="800080"/>
      <w:u w:val="single"/>
    </w:rPr>
  </w:style>
  <w:style w:type="character" w:styleId="51">
    <w:name w:val="Emphasis"/>
    <w:qFormat/>
    <w:uiPriority w:val="0"/>
    <w:rPr>
      <w:i/>
      <w:iCs/>
    </w:rPr>
  </w:style>
  <w:style w:type="character" w:styleId="52">
    <w:name w:val="HTML Definition"/>
    <w:basedOn w:val="47"/>
    <w:qFormat/>
    <w:uiPriority w:val="0"/>
    <w:rPr>
      <w:i/>
    </w:rPr>
  </w:style>
  <w:style w:type="character" w:styleId="53">
    <w:name w:val="Hyperlink"/>
    <w:qFormat/>
    <w:uiPriority w:val="99"/>
    <w:rPr>
      <w:color w:val="136EC2"/>
      <w:u w:val="single"/>
    </w:rPr>
  </w:style>
  <w:style w:type="character" w:styleId="54">
    <w:name w:val="HTML Code"/>
    <w:basedOn w:val="47"/>
    <w:qFormat/>
    <w:uiPriority w:val="0"/>
    <w:rPr>
      <w:rFonts w:ascii="Consolas" w:hAnsi="Consolas" w:eastAsia="Consolas" w:cs="Consolas"/>
      <w:color w:val="C7254E"/>
      <w:sz w:val="21"/>
      <w:szCs w:val="21"/>
      <w:shd w:val="clear" w:fill="F9F2F4"/>
    </w:rPr>
  </w:style>
  <w:style w:type="character" w:styleId="55">
    <w:name w:val="annotation reference"/>
    <w:qFormat/>
    <w:uiPriority w:val="0"/>
    <w:rPr>
      <w:sz w:val="21"/>
      <w:szCs w:val="21"/>
    </w:rPr>
  </w:style>
  <w:style w:type="character" w:styleId="56">
    <w:name w:val="HTML Keyboard"/>
    <w:basedOn w:val="47"/>
    <w:qFormat/>
    <w:uiPriority w:val="0"/>
    <w:rPr>
      <w:rFonts w:hint="default" w:ascii="Consolas" w:hAnsi="Consolas" w:eastAsia="Consolas" w:cs="Consolas"/>
      <w:color w:val="FFFFFF"/>
      <w:sz w:val="21"/>
      <w:szCs w:val="21"/>
      <w:shd w:val="clear" w:fill="333333"/>
    </w:rPr>
  </w:style>
  <w:style w:type="character" w:styleId="57">
    <w:name w:val="HTML Sample"/>
    <w:basedOn w:val="47"/>
    <w:qFormat/>
    <w:uiPriority w:val="0"/>
    <w:rPr>
      <w:rFonts w:hint="default" w:ascii="Consolas" w:hAnsi="Consolas" w:eastAsia="Consolas" w:cs="Consolas"/>
      <w:sz w:val="21"/>
      <w:szCs w:val="21"/>
    </w:rPr>
  </w:style>
  <w:style w:type="paragraph" w:customStyle="1" w:styleId="58">
    <w:name w:val="列出段落1"/>
    <w:basedOn w:val="1"/>
    <w:qFormat/>
    <w:uiPriority w:val="99"/>
    <w:pPr>
      <w:ind w:firstLine="420" w:firstLineChars="200"/>
    </w:pPr>
    <w:rPr>
      <w:szCs w:val="20"/>
    </w:rPr>
  </w:style>
  <w:style w:type="paragraph" w:customStyle="1" w:styleId="59">
    <w:name w:val=" Char Char1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61">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62">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63">
    <w:name w:val="Normal"/>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64">
    <w:name w:val="_Style 56"/>
    <w:basedOn w:val="2"/>
    <w:next w:val="1"/>
    <w:qFormat/>
    <w:uiPriority w:val="0"/>
    <w:pPr>
      <w:outlineLvl w:val="9"/>
    </w:pPr>
    <w:rPr>
      <w:rFonts w:ascii="Calibri" w:hAnsi="Calibri"/>
      <w:bCs/>
      <w:sz w:val="44"/>
      <w:szCs w:val="44"/>
    </w:rPr>
  </w:style>
  <w:style w:type="paragraph" w:styleId="65">
    <w:name w:val="Quote"/>
    <w:basedOn w:val="1"/>
    <w:next w:val="1"/>
    <w:link w:val="137"/>
    <w:qFormat/>
    <w:uiPriority w:val="0"/>
    <w:rPr>
      <w:i/>
      <w:iCs/>
      <w:color w:val="000000"/>
      <w:szCs w:val="22"/>
    </w:rPr>
  </w:style>
  <w:style w:type="paragraph" w:customStyle="1" w:styleId="66">
    <w:name w:val="WPSOffice手动目录 1"/>
    <w:qFormat/>
    <w:uiPriority w:val="0"/>
    <w:rPr>
      <w:rFonts w:ascii="Times New Roman" w:hAnsi="Times New Roman" w:eastAsia="宋体" w:cs="Times New Roman"/>
      <w:lang w:val="en-US" w:eastAsia="zh-CN" w:bidi="ar-SA"/>
    </w:rPr>
  </w:style>
  <w:style w:type="paragraph" w:customStyle="1" w:styleId="6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8">
    <w:name w:val="表格文字"/>
    <w:basedOn w:val="1"/>
    <w:qFormat/>
    <w:uiPriority w:val="0"/>
    <w:pPr>
      <w:adjustRightInd w:val="0"/>
      <w:spacing w:line="420" w:lineRule="atLeast"/>
      <w:jc w:val="left"/>
      <w:textAlignment w:val="baseline"/>
    </w:pPr>
    <w:rPr>
      <w:kern w:val="0"/>
      <w:szCs w:val="20"/>
    </w:rPr>
  </w:style>
  <w:style w:type="paragraph" w:customStyle="1" w:styleId="69">
    <w:name w:val="Char Char Char Char Char Char Char"/>
    <w:basedOn w:val="1"/>
    <w:qFormat/>
    <w:uiPriority w:val="0"/>
    <w:rPr>
      <w:rFonts w:ascii="Tahoma" w:hAnsi="Tahoma"/>
      <w:sz w:val="24"/>
      <w:szCs w:val="20"/>
    </w:rPr>
  </w:style>
  <w:style w:type="paragraph" w:customStyle="1" w:styleId="7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71">
    <w:name w:val="xl75"/>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72">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73">
    <w:name w:val="xl74"/>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74">
    <w:name w:val="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5">
    <w:name w:val=" Char Char Char Char Char Char Char"/>
    <w:basedOn w:val="1"/>
    <w:qFormat/>
    <w:uiPriority w:val="0"/>
    <w:rPr>
      <w:rFonts w:ascii="Tahoma" w:hAnsi="Tahoma"/>
      <w:sz w:val="24"/>
    </w:rPr>
  </w:style>
  <w:style w:type="paragraph" w:customStyle="1" w:styleId="76">
    <w:name w:val="样式1"/>
    <w:basedOn w:val="1"/>
    <w:qFormat/>
    <w:uiPriority w:val="0"/>
    <w:pPr>
      <w:numPr>
        <w:ilvl w:val="0"/>
        <w:numId w:val="2"/>
      </w:numPr>
      <w:tabs>
        <w:tab w:val="left" w:pos="709"/>
      </w:tabs>
      <w:adjustRightInd w:val="0"/>
      <w:textAlignment w:val="baseline"/>
    </w:pPr>
    <w:rPr>
      <w:rFonts w:ascii="宋体" w:hAnsi="宋体"/>
      <w:kern w:val="0"/>
      <w:szCs w:val="21"/>
    </w:rPr>
  </w:style>
  <w:style w:type="paragraph" w:customStyle="1" w:styleId="77">
    <w:name w:val="xl68"/>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7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kern w:val="0"/>
    </w:rPr>
  </w:style>
  <w:style w:type="paragraph" w:styleId="79">
    <w:name w:val="List Paragraph"/>
    <w:basedOn w:val="1"/>
    <w:qFormat/>
    <w:uiPriority w:val="34"/>
    <w:pPr>
      <w:ind w:firstLine="420" w:firstLineChars="200"/>
    </w:pPr>
    <w:rPr>
      <w:sz w:val="18"/>
      <w:szCs w:val="18"/>
    </w:rPr>
  </w:style>
  <w:style w:type="paragraph" w:customStyle="1" w:styleId="80">
    <w:name w:val="正文首行缩进两字符"/>
    <w:basedOn w:val="1"/>
    <w:qFormat/>
    <w:uiPriority w:val="0"/>
    <w:pPr>
      <w:spacing w:line="360" w:lineRule="auto"/>
      <w:ind w:firstLine="200" w:firstLineChars="200"/>
    </w:pPr>
  </w:style>
  <w:style w:type="paragraph" w:customStyle="1" w:styleId="81">
    <w:name w:val="xl69"/>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8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3">
    <w:name w:val="Char Char Char Char Char Char Char1"/>
    <w:basedOn w:val="1"/>
    <w:qFormat/>
    <w:uiPriority w:val="0"/>
    <w:rPr>
      <w:rFonts w:ascii="Tahoma" w:hAnsi="Tahoma"/>
      <w:sz w:val="24"/>
    </w:rPr>
  </w:style>
  <w:style w:type="paragraph" w:customStyle="1" w:styleId="84">
    <w:name w:val="Char1"/>
    <w:basedOn w:val="1"/>
    <w:qFormat/>
    <w:uiPriority w:val="0"/>
    <w:rPr>
      <w:szCs w:val="21"/>
    </w:rPr>
  </w:style>
  <w:style w:type="paragraph" w:styleId="85">
    <w:name w:val="Intense Quote"/>
    <w:basedOn w:val="1"/>
    <w:next w:val="1"/>
    <w:link w:val="148"/>
    <w:qFormat/>
    <w:uiPriority w:val="0"/>
    <w:pPr>
      <w:pBdr>
        <w:bottom w:val="single" w:color="4F81BD" w:sz="4" w:space="4"/>
      </w:pBdr>
      <w:spacing w:before="200" w:after="280"/>
      <w:ind w:left="936" w:right="936"/>
    </w:pPr>
    <w:rPr>
      <w:b/>
      <w:bCs/>
      <w:i/>
      <w:iCs/>
      <w:color w:val="4F81BD"/>
      <w:szCs w:val="22"/>
    </w:rPr>
  </w:style>
  <w:style w:type="paragraph" w:customStyle="1" w:styleId="86">
    <w:name w:val="Char Char Char Char"/>
    <w:basedOn w:val="1"/>
    <w:qFormat/>
    <w:uiPriority w:val="0"/>
    <w:pPr>
      <w:adjustRightInd w:val="0"/>
      <w:spacing w:line="440" w:lineRule="exact"/>
    </w:pPr>
    <w:rPr>
      <w:rFonts w:ascii="宋体"/>
      <w:kern w:val="0"/>
      <w:sz w:val="28"/>
      <w:szCs w:val="27"/>
    </w:rPr>
  </w:style>
  <w:style w:type="paragraph" w:customStyle="1" w:styleId="87">
    <w:name w:val="Char Char1"/>
    <w:basedOn w:val="1"/>
    <w:qFormat/>
    <w:uiPriority w:val="0"/>
    <w:pPr>
      <w:adjustRightInd w:val="0"/>
      <w:spacing w:line="440" w:lineRule="exact"/>
    </w:pPr>
    <w:rPr>
      <w:rFonts w:ascii="宋体"/>
      <w:kern w:val="0"/>
      <w:sz w:val="28"/>
      <w:szCs w:val="27"/>
    </w:rPr>
  </w:style>
  <w:style w:type="paragraph" w:customStyle="1" w:styleId="88">
    <w:name w:val="Blockquote"/>
    <w:basedOn w:val="1"/>
    <w:link w:val="167"/>
    <w:qFormat/>
    <w:uiPriority w:val="0"/>
    <w:pPr>
      <w:autoSpaceDE w:val="0"/>
      <w:autoSpaceDN w:val="0"/>
      <w:adjustRightInd w:val="0"/>
      <w:spacing w:before="100" w:after="100"/>
      <w:ind w:left="360" w:right="360"/>
      <w:jc w:val="left"/>
    </w:pPr>
    <w:rPr>
      <w:kern w:val="0"/>
      <w:sz w:val="24"/>
      <w:szCs w:val="20"/>
    </w:rPr>
  </w:style>
  <w:style w:type="paragraph" w:customStyle="1" w:styleId="89">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90">
    <w:name w:val="默认段落字体 Para Char Char Char Char Char Char Char"/>
    <w:basedOn w:val="1"/>
    <w:qFormat/>
    <w:uiPriority w:val="0"/>
    <w:rPr>
      <w:rFonts w:ascii="Tahoma" w:hAnsi="Tahoma"/>
      <w:sz w:val="24"/>
      <w:szCs w:val="20"/>
    </w:rPr>
  </w:style>
  <w:style w:type="paragraph" w:customStyle="1" w:styleId="91">
    <w:name w:val="目录"/>
    <w:basedOn w:val="1"/>
    <w:qFormat/>
    <w:uiPriority w:val="0"/>
    <w:pPr>
      <w:widowControl/>
      <w:jc w:val="center"/>
    </w:pPr>
    <w:rPr>
      <w:rFonts w:ascii="宋体"/>
      <w:b/>
      <w:kern w:val="0"/>
      <w:sz w:val="36"/>
      <w:szCs w:val="20"/>
    </w:rPr>
  </w:style>
  <w:style w:type="paragraph" w:customStyle="1" w:styleId="92">
    <w:name w:val="xl66"/>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93">
    <w:name w:val="xl70"/>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94">
    <w:name w:val="Char Char1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5">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6">
    <w:name w:val="xl73"/>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97">
    <w:name w:val="Char Char Char"/>
    <w:basedOn w:val="1"/>
    <w:qFormat/>
    <w:uiPriority w:val="0"/>
    <w:pPr>
      <w:spacing w:line="360" w:lineRule="auto"/>
      <w:jc w:val="center"/>
    </w:pPr>
    <w:rPr>
      <w:rFonts w:ascii="Tahoma" w:hAnsi="Tahoma"/>
      <w:sz w:val="24"/>
      <w:szCs w:val="20"/>
    </w:rPr>
  </w:style>
  <w:style w:type="paragraph" w:customStyle="1" w:styleId="98">
    <w:name w:val="p0"/>
    <w:basedOn w:val="1"/>
    <w:link w:val="140"/>
    <w:qFormat/>
    <w:uiPriority w:val="0"/>
    <w:pPr>
      <w:widowControl/>
    </w:pPr>
    <w:rPr>
      <w:kern w:val="0"/>
      <w:szCs w:val="21"/>
    </w:rPr>
  </w:style>
  <w:style w:type="paragraph" w:customStyle="1" w:styleId="99">
    <w:name w:val=" Char Char Char Char Char Char"/>
    <w:basedOn w:val="1"/>
    <w:qFormat/>
    <w:uiPriority w:val="0"/>
    <w:pPr>
      <w:widowControl/>
      <w:spacing w:after="160" w:line="240" w:lineRule="exact"/>
      <w:jc w:val="left"/>
    </w:pPr>
    <w:rPr>
      <w:szCs w:val="20"/>
    </w:rPr>
  </w:style>
  <w:style w:type="paragraph" w:customStyle="1" w:styleId="100">
    <w:name w:val="表格"/>
    <w:basedOn w:val="1"/>
    <w:qFormat/>
    <w:uiPriority w:val="0"/>
    <w:pPr>
      <w:spacing w:line="400" w:lineRule="exact"/>
    </w:pPr>
    <w:rPr>
      <w:sz w:val="24"/>
    </w:rPr>
  </w:style>
  <w:style w:type="paragraph" w:customStyle="1" w:styleId="101">
    <w:name w:val="样式 标题 3 + (中文) 黑体 小四 非加粗 段前: 7.8 磅 段后: 0 磅 行距: 固定值 20 磅"/>
    <w:basedOn w:val="4"/>
    <w:qFormat/>
    <w:uiPriority w:val="0"/>
    <w:pPr>
      <w:spacing w:before="0" w:after="0" w:line="400" w:lineRule="exact"/>
    </w:pPr>
    <w:rPr>
      <w:rFonts w:eastAsia="黑体" w:cs="宋体"/>
      <w:b w:val="0"/>
      <w:sz w:val="24"/>
    </w:rPr>
  </w:style>
  <w:style w:type="paragraph" w:customStyle="1" w:styleId="102">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Char Char Char1"/>
    <w:basedOn w:val="1"/>
    <w:qFormat/>
    <w:uiPriority w:val="0"/>
    <w:pPr>
      <w:widowControl/>
      <w:spacing w:after="160" w:line="240" w:lineRule="exact"/>
      <w:jc w:val="left"/>
    </w:pPr>
  </w:style>
  <w:style w:type="paragraph" w:customStyle="1" w:styleId="104">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105">
    <w:name w:val="_Style 97"/>
    <w:qFormat/>
    <w:uiPriority w:val="0"/>
    <w:rPr>
      <w:rFonts w:ascii="Times New Roman" w:hAnsi="Times New Roman" w:eastAsia="宋体" w:cs="Times New Roman"/>
      <w:kern w:val="2"/>
      <w:sz w:val="21"/>
      <w:szCs w:val="24"/>
      <w:lang w:val="en-US" w:eastAsia="zh-CN" w:bidi="ar-SA"/>
    </w:rPr>
  </w:style>
  <w:style w:type="paragraph" w:customStyle="1" w:styleId="106">
    <w:name w:val="Char Char1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7">
    <w:name w:val=" Char Char Char Char"/>
    <w:basedOn w:val="1"/>
    <w:qFormat/>
    <w:uiPriority w:val="0"/>
    <w:rPr>
      <w:rFonts w:ascii="Tahoma" w:hAnsi="Tahoma"/>
      <w:sz w:val="24"/>
      <w:szCs w:val="20"/>
    </w:rPr>
  </w:style>
  <w:style w:type="paragraph" w:customStyle="1" w:styleId="108">
    <w:name w:val="Char Char Char Char Char Char"/>
    <w:basedOn w:val="1"/>
    <w:qFormat/>
    <w:uiPriority w:val="0"/>
    <w:pPr>
      <w:widowControl/>
      <w:spacing w:after="160" w:line="240" w:lineRule="exact"/>
      <w:jc w:val="left"/>
    </w:pPr>
    <w:rPr>
      <w:szCs w:val="20"/>
    </w:rPr>
  </w:style>
  <w:style w:type="paragraph" w:customStyle="1" w:styleId="109">
    <w:name w:val="标题5"/>
    <w:basedOn w:val="4"/>
    <w:link w:val="161"/>
    <w:qFormat/>
    <w:uiPriority w:val="0"/>
    <w:pPr>
      <w:spacing w:line="413" w:lineRule="auto"/>
    </w:pPr>
    <w:rPr>
      <w:rFonts w:ascii="Arial" w:hAnsi="Arial"/>
      <w:bCs/>
      <w:kern w:val="0"/>
      <w:sz w:val="24"/>
      <w:szCs w:val="32"/>
    </w:rPr>
  </w:style>
  <w:style w:type="paragraph" w:customStyle="1" w:styleId="110">
    <w:name w:val="样式 首行缩进:  2 字符"/>
    <w:basedOn w:val="1"/>
    <w:qFormat/>
    <w:uiPriority w:val="0"/>
    <w:pPr>
      <w:spacing w:line="400" w:lineRule="exact"/>
      <w:ind w:firstLine="200" w:firstLineChars="200"/>
    </w:pPr>
    <w:rPr>
      <w:rFonts w:cs="宋体"/>
      <w:sz w:val="24"/>
    </w:rPr>
  </w:style>
  <w:style w:type="paragraph" w:customStyle="1" w:styleId="111">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12">
    <w:name w:val="图标题"/>
    <w:basedOn w:val="1"/>
    <w:qFormat/>
    <w:uiPriority w:val="0"/>
    <w:pPr>
      <w:adjustRightInd w:val="0"/>
      <w:spacing w:line="360" w:lineRule="atLeast"/>
      <w:jc w:val="left"/>
      <w:textAlignment w:val="baseline"/>
    </w:pPr>
    <w:rPr>
      <w:kern w:val="0"/>
      <w:sz w:val="24"/>
      <w:szCs w:val="20"/>
    </w:rPr>
  </w:style>
  <w:style w:type="paragraph" w:customStyle="1" w:styleId="11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114">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
    <w:name w:val="xl67"/>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116">
    <w:name w:val="WPSOffice手动目录 2"/>
    <w:qFormat/>
    <w:uiPriority w:val="0"/>
    <w:pPr>
      <w:ind w:leftChars="200"/>
    </w:pPr>
    <w:rPr>
      <w:rFonts w:ascii="Times New Roman" w:hAnsi="Times New Roman" w:eastAsia="宋体" w:cs="Times New Roman"/>
      <w:lang w:val="en-US" w:eastAsia="zh-CN" w:bidi="ar-SA"/>
    </w:rPr>
  </w:style>
  <w:style w:type="paragraph" w:customStyle="1" w:styleId="117">
    <w:name w:val=" Char Char Char"/>
    <w:basedOn w:val="1"/>
    <w:qFormat/>
    <w:uiPriority w:val="0"/>
    <w:pPr>
      <w:widowControl/>
      <w:spacing w:after="160" w:line="240" w:lineRule="exact"/>
      <w:jc w:val="left"/>
    </w:pPr>
  </w:style>
  <w:style w:type="character" w:customStyle="1" w:styleId="118">
    <w:name w:val="正文文本缩进 字符1"/>
    <w:link w:val="19"/>
    <w:qFormat/>
    <w:uiPriority w:val="0"/>
    <w:rPr>
      <w:kern w:val="2"/>
      <w:sz w:val="21"/>
      <w:szCs w:val="24"/>
    </w:rPr>
  </w:style>
  <w:style w:type="character" w:customStyle="1" w:styleId="119">
    <w:name w:val="文档结构图 字符"/>
    <w:link w:val="15"/>
    <w:qFormat/>
    <w:uiPriority w:val="0"/>
    <w:rPr>
      <w:kern w:val="2"/>
      <w:sz w:val="21"/>
      <w:szCs w:val="24"/>
      <w:shd w:val="clear" w:color="auto" w:fill="000080"/>
    </w:rPr>
  </w:style>
  <w:style w:type="character" w:customStyle="1" w:styleId="120">
    <w:name w:val="普通文字1 Char"/>
    <w:qFormat/>
    <w:uiPriority w:val="0"/>
    <w:rPr>
      <w:rFonts w:ascii="宋体" w:hAnsi="Courier New" w:eastAsia="宋体"/>
      <w:kern w:val="2"/>
      <w:sz w:val="21"/>
      <w:lang w:val="en-US" w:eastAsia="zh-CN" w:bidi="ar-SA"/>
    </w:rPr>
  </w:style>
  <w:style w:type="character" w:customStyle="1" w:styleId="121">
    <w:name w:val="明显引用 Char1"/>
    <w:qFormat/>
    <w:uiPriority w:val="99"/>
    <w:rPr>
      <w:b/>
      <w:bCs/>
      <w:i/>
      <w:iCs/>
      <w:color w:val="4F81BD"/>
      <w:kern w:val="2"/>
      <w:sz w:val="21"/>
      <w:szCs w:val="24"/>
    </w:rPr>
  </w:style>
  <w:style w:type="character" w:customStyle="1" w:styleId="122">
    <w:name w:val="批注文字 Char Char"/>
    <w:qFormat/>
    <w:uiPriority w:val="0"/>
    <w:rPr>
      <w:rFonts w:ascii="宋体" w:hAnsi="Times New Roman" w:eastAsia="宋体" w:cs="Times New Roman"/>
      <w:sz w:val="28"/>
      <w:szCs w:val="20"/>
    </w:rPr>
  </w:style>
  <w:style w:type="character" w:customStyle="1" w:styleId="123">
    <w:name w:val="标题 2 字符"/>
    <w:link w:val="3"/>
    <w:qFormat/>
    <w:uiPriority w:val="0"/>
    <w:rPr>
      <w:rFonts w:ascii="Arial" w:hAnsi="Arial" w:eastAsia="黑体"/>
      <w:b/>
      <w:kern w:val="2"/>
      <w:sz w:val="28"/>
    </w:rPr>
  </w:style>
  <w:style w:type="character" w:customStyle="1" w:styleId="124">
    <w:name w:val="页脚 字符"/>
    <w:link w:val="29"/>
    <w:qFormat/>
    <w:uiPriority w:val="0"/>
    <w:rPr>
      <w:rFonts w:eastAsia="宋体"/>
      <w:kern w:val="2"/>
      <w:sz w:val="18"/>
      <w:lang w:val="en-US" w:eastAsia="zh-CN" w:bidi="ar-SA"/>
    </w:rPr>
  </w:style>
  <w:style w:type="character" w:customStyle="1" w:styleId="125">
    <w:name w:val="标题 字符"/>
    <w:link w:val="40"/>
    <w:qFormat/>
    <w:uiPriority w:val="0"/>
    <w:rPr>
      <w:rFonts w:ascii="Arial" w:hAnsi="Arial" w:eastAsia="楷体_GB2312" w:cs="Arial"/>
      <w:b/>
      <w:sz w:val="32"/>
      <w:szCs w:val="32"/>
    </w:rPr>
  </w:style>
  <w:style w:type="character" w:customStyle="1" w:styleId="126">
    <w:name w:val="批注文字 字符"/>
    <w:link w:val="16"/>
    <w:qFormat/>
    <w:uiPriority w:val="0"/>
    <w:rPr>
      <w:rFonts w:eastAsia="宋体"/>
      <w:sz w:val="24"/>
      <w:lang w:val="en-US" w:eastAsia="zh-CN" w:bidi="ar-SA"/>
    </w:rPr>
  </w:style>
  <w:style w:type="character" w:customStyle="1" w:styleId="127">
    <w:name w:val="Char Char"/>
    <w:qFormat/>
    <w:uiPriority w:val="0"/>
    <w:rPr>
      <w:sz w:val="18"/>
      <w:szCs w:val="18"/>
    </w:rPr>
  </w:style>
  <w:style w:type="character" w:customStyle="1" w:styleId="128">
    <w:name w:val="标题 5 字符"/>
    <w:link w:val="7"/>
    <w:qFormat/>
    <w:uiPriority w:val="0"/>
    <w:rPr>
      <w:b/>
      <w:kern w:val="2"/>
      <w:sz w:val="28"/>
      <w:szCs w:val="24"/>
    </w:rPr>
  </w:style>
  <w:style w:type="character" w:customStyle="1" w:styleId="129">
    <w:name w:val="纯文本 字符"/>
    <w:link w:val="24"/>
    <w:qFormat/>
    <w:locked/>
    <w:uiPriority w:val="0"/>
    <w:rPr>
      <w:rFonts w:ascii="宋体" w:hAnsi="Courier New" w:eastAsia="宋体" w:cs="Courier New"/>
      <w:kern w:val="2"/>
      <w:sz w:val="21"/>
      <w:szCs w:val="21"/>
      <w:lang w:val="en-US" w:eastAsia="zh-CN" w:bidi="ar-SA"/>
    </w:rPr>
  </w:style>
  <w:style w:type="character" w:customStyle="1" w:styleId="130">
    <w:name w:val="textcontents"/>
    <w:qFormat/>
    <w:uiPriority w:val="0"/>
    <w:rPr>
      <w:rFonts w:cs="Times New Roman"/>
    </w:rPr>
  </w:style>
  <w:style w:type="character" w:customStyle="1" w:styleId="131">
    <w:name w:val="正文文本缩进 2 字符"/>
    <w:link w:val="27"/>
    <w:qFormat/>
    <w:uiPriority w:val="0"/>
    <w:rPr>
      <w:kern w:val="2"/>
      <w:sz w:val="32"/>
    </w:rPr>
  </w:style>
  <w:style w:type="character" w:customStyle="1" w:styleId="132">
    <w:name w:val="标题 6 字符"/>
    <w:link w:val="8"/>
    <w:qFormat/>
    <w:uiPriority w:val="0"/>
    <w:rPr>
      <w:rFonts w:ascii="Arial" w:hAnsi="Arial" w:eastAsia="黑体"/>
      <w:b/>
      <w:kern w:val="2"/>
      <w:sz w:val="24"/>
      <w:szCs w:val="24"/>
    </w:rPr>
  </w:style>
  <w:style w:type="character" w:customStyle="1" w:styleId="133">
    <w:name w:val="正文文本缩进 字符"/>
    <w:qFormat/>
    <w:uiPriority w:val="0"/>
    <w:rPr>
      <w:kern w:val="2"/>
      <w:sz w:val="32"/>
    </w:rPr>
  </w:style>
  <w:style w:type="character" w:customStyle="1" w:styleId="134">
    <w:name w:val="正文文本 字符"/>
    <w:link w:val="18"/>
    <w:qFormat/>
    <w:uiPriority w:val="0"/>
    <w:rPr>
      <w:sz w:val="24"/>
    </w:rPr>
  </w:style>
  <w:style w:type="character" w:customStyle="1" w:styleId="135">
    <w:name w:val="批注主题 字符"/>
    <w:link w:val="41"/>
    <w:qFormat/>
    <w:uiPriority w:val="0"/>
    <w:rPr>
      <w:rFonts w:eastAsia="宋体"/>
      <w:b/>
      <w:bCs/>
      <w:kern w:val="2"/>
      <w:sz w:val="21"/>
      <w:szCs w:val="24"/>
      <w:lang w:val="en-US" w:eastAsia="zh-CN" w:bidi="ar-SA"/>
    </w:rPr>
  </w:style>
  <w:style w:type="character" w:customStyle="1" w:styleId="136">
    <w:name w:val="页眉 字符"/>
    <w:link w:val="30"/>
    <w:qFormat/>
    <w:uiPriority w:val="0"/>
    <w:rPr>
      <w:rFonts w:eastAsia="宋体"/>
      <w:kern w:val="2"/>
      <w:sz w:val="18"/>
      <w:lang w:val="en-US" w:eastAsia="zh-CN" w:bidi="ar-SA"/>
    </w:rPr>
  </w:style>
  <w:style w:type="character" w:customStyle="1" w:styleId="137">
    <w:name w:val="引用 字符"/>
    <w:link w:val="65"/>
    <w:qFormat/>
    <w:uiPriority w:val="0"/>
    <w:rPr>
      <w:i/>
      <w:iCs/>
      <w:color w:val="000000"/>
      <w:kern w:val="2"/>
      <w:sz w:val="21"/>
      <w:szCs w:val="22"/>
    </w:rPr>
  </w:style>
  <w:style w:type="character" w:customStyle="1" w:styleId="138">
    <w:name w:val="批注框文本 字符"/>
    <w:link w:val="28"/>
    <w:qFormat/>
    <w:uiPriority w:val="0"/>
    <w:rPr>
      <w:kern w:val="2"/>
      <w:sz w:val="18"/>
      <w:szCs w:val="18"/>
    </w:rPr>
  </w:style>
  <w:style w:type="character" w:customStyle="1" w:styleId="139">
    <w:name w:val="标题 7 字符"/>
    <w:link w:val="9"/>
    <w:qFormat/>
    <w:uiPriority w:val="0"/>
    <w:rPr>
      <w:b/>
      <w:kern w:val="2"/>
      <w:sz w:val="24"/>
      <w:szCs w:val="24"/>
    </w:rPr>
  </w:style>
  <w:style w:type="character" w:customStyle="1" w:styleId="140">
    <w:name w:val="p0 Char"/>
    <w:link w:val="98"/>
    <w:qFormat/>
    <w:uiPriority w:val="0"/>
    <w:rPr>
      <w:rFonts w:eastAsia="宋体"/>
      <w:sz w:val="21"/>
      <w:szCs w:val="21"/>
      <w:lang w:val="en-US" w:eastAsia="zh-CN" w:bidi="ar-SA"/>
    </w:rPr>
  </w:style>
  <w:style w:type="character" w:customStyle="1" w:styleId="141">
    <w:name w:val="副标题 字符"/>
    <w:link w:val="33"/>
    <w:qFormat/>
    <w:uiPriority w:val="0"/>
    <w:rPr>
      <w:rFonts w:ascii="Cambria" w:hAnsi="Cambria"/>
      <w:b/>
      <w:bCs/>
      <w:kern w:val="28"/>
      <w:sz w:val="32"/>
      <w:szCs w:val="32"/>
    </w:rPr>
  </w:style>
  <w:style w:type="character" w:customStyle="1" w:styleId="142">
    <w:name w:val="标题 3 字符"/>
    <w:link w:val="4"/>
    <w:qFormat/>
    <w:uiPriority w:val="0"/>
    <w:rPr>
      <w:b/>
      <w:kern w:val="2"/>
      <w:sz w:val="32"/>
    </w:rPr>
  </w:style>
  <w:style w:type="character" w:customStyle="1" w:styleId="143">
    <w:name w:val="_Style 135"/>
    <w:qFormat/>
    <w:uiPriority w:val="0"/>
    <w:rPr>
      <w:smallCaps/>
      <w:color w:val="C0504D"/>
      <w:u w:val="single"/>
    </w:rPr>
  </w:style>
  <w:style w:type="character" w:customStyle="1" w:styleId="144">
    <w:name w:val="rili11"/>
    <w:qFormat/>
    <w:uiPriority w:val="0"/>
    <w:rPr>
      <w:sz w:val="21"/>
      <w:szCs w:val="21"/>
    </w:rPr>
  </w:style>
  <w:style w:type="character" w:customStyle="1" w:styleId="145">
    <w:name w:val="批注文字 Char1"/>
    <w:qFormat/>
    <w:uiPriority w:val="0"/>
    <w:rPr>
      <w:kern w:val="2"/>
      <w:sz w:val="21"/>
      <w:szCs w:val="24"/>
    </w:rPr>
  </w:style>
  <w:style w:type="character" w:customStyle="1" w:styleId="146">
    <w:name w:val="正文文本缩进 3 字符"/>
    <w:link w:val="35"/>
    <w:qFormat/>
    <w:uiPriority w:val="0"/>
    <w:rPr>
      <w:rFonts w:ascii="黑体" w:eastAsia="黑体"/>
      <w:kern w:val="2"/>
      <w:sz w:val="30"/>
      <w:szCs w:val="28"/>
    </w:rPr>
  </w:style>
  <w:style w:type="character" w:customStyle="1" w:styleId="147">
    <w:name w:val="标题 9 字符"/>
    <w:link w:val="11"/>
    <w:qFormat/>
    <w:uiPriority w:val="0"/>
    <w:rPr>
      <w:rFonts w:ascii="Arial" w:hAnsi="Arial" w:eastAsia="黑体"/>
      <w:kern w:val="2"/>
      <w:sz w:val="21"/>
      <w:szCs w:val="24"/>
    </w:rPr>
  </w:style>
  <w:style w:type="character" w:customStyle="1" w:styleId="148">
    <w:name w:val="明显引用 字符"/>
    <w:link w:val="85"/>
    <w:qFormat/>
    <w:uiPriority w:val="0"/>
    <w:rPr>
      <w:b/>
      <w:bCs/>
      <w:i/>
      <w:iCs/>
      <w:color w:val="4F81BD"/>
      <w:kern w:val="2"/>
      <w:sz w:val="21"/>
      <w:szCs w:val="22"/>
    </w:rPr>
  </w:style>
  <w:style w:type="character" w:customStyle="1" w:styleId="149">
    <w:name w:val="bds_nopic2"/>
    <w:qFormat/>
    <w:uiPriority w:val="0"/>
    <w:rPr>
      <w:rFonts w:ascii="Times New Roman" w:hAnsi="Times New Roman" w:eastAsia="宋体"/>
    </w:rPr>
  </w:style>
  <w:style w:type="character" w:customStyle="1" w:styleId="150">
    <w:name w:val="正文文本 2 字符"/>
    <w:basedOn w:val="47"/>
    <w:link w:val="38"/>
    <w:qFormat/>
    <w:uiPriority w:val="0"/>
  </w:style>
  <w:style w:type="character" w:customStyle="1" w:styleId="151">
    <w:name w:val="副标题 Char1"/>
    <w:qFormat/>
    <w:uiPriority w:val="0"/>
    <w:rPr>
      <w:rFonts w:ascii="Cambria" w:hAnsi="Cambria" w:cs="Times New Roman"/>
      <w:b/>
      <w:bCs/>
      <w:kern w:val="28"/>
      <w:sz w:val="32"/>
      <w:szCs w:val="32"/>
    </w:rPr>
  </w:style>
  <w:style w:type="character" w:customStyle="1" w:styleId="152">
    <w:name w:val="日期 字符"/>
    <w:link w:val="26"/>
    <w:qFormat/>
    <w:uiPriority w:val="0"/>
    <w:rPr>
      <w:rFonts w:eastAsia="宋体"/>
      <w:kern w:val="2"/>
      <w:sz w:val="21"/>
      <w:szCs w:val="24"/>
      <w:lang w:val="en-US" w:eastAsia="zh-CN" w:bidi="ar-SA"/>
    </w:rPr>
  </w:style>
  <w:style w:type="character" w:customStyle="1" w:styleId="153">
    <w:name w:val="纯文本 Char1"/>
    <w:semiHidden/>
    <w:qFormat/>
    <w:locked/>
    <w:uiPriority w:val="0"/>
    <w:rPr>
      <w:rFonts w:ascii="宋体" w:hAnsi="Courier New" w:eastAsia="宋体" w:cs="Courier New"/>
      <w:szCs w:val="21"/>
    </w:rPr>
  </w:style>
  <w:style w:type="character" w:customStyle="1" w:styleId="154">
    <w:name w:val="标题 8 字符"/>
    <w:link w:val="10"/>
    <w:qFormat/>
    <w:uiPriority w:val="0"/>
    <w:rPr>
      <w:rFonts w:ascii="Arial" w:hAnsi="Arial" w:eastAsia="黑体"/>
      <w:kern w:val="2"/>
      <w:sz w:val="24"/>
      <w:szCs w:val="24"/>
    </w:rPr>
  </w:style>
  <w:style w:type="character" w:customStyle="1" w:styleId="155">
    <w:name w:val="_Style 147"/>
    <w:qFormat/>
    <w:uiPriority w:val="0"/>
    <w:rPr>
      <w:i/>
      <w:iCs/>
      <w:color w:val="808080"/>
    </w:rPr>
  </w:style>
  <w:style w:type="character" w:customStyle="1" w:styleId="156">
    <w:name w:val="_Style 148"/>
    <w:qFormat/>
    <w:uiPriority w:val="0"/>
    <w:rPr>
      <w:b/>
      <w:bCs/>
      <w:smallCaps/>
      <w:spacing w:val="5"/>
    </w:rPr>
  </w:style>
  <w:style w:type="character" w:customStyle="1" w:styleId="157">
    <w:name w:val="正文缩进 字符"/>
    <w:link w:val="5"/>
    <w:qFormat/>
    <w:uiPriority w:val="0"/>
    <w:rPr>
      <w:rFonts w:eastAsia="宋体"/>
      <w:kern w:val="2"/>
      <w:sz w:val="21"/>
      <w:lang w:val="en-US" w:eastAsia="zh-CN" w:bidi="ar-SA"/>
    </w:rPr>
  </w:style>
  <w:style w:type="character" w:customStyle="1" w:styleId="158">
    <w:name w:val="日期 Char1"/>
    <w:qFormat/>
    <w:uiPriority w:val="0"/>
    <w:rPr>
      <w:kern w:val="2"/>
      <w:sz w:val="21"/>
      <w:szCs w:val="22"/>
    </w:rPr>
  </w:style>
  <w:style w:type="character" w:customStyle="1" w:styleId="159">
    <w:name w:val="标题4 Char Char"/>
    <w:qFormat/>
    <w:uiPriority w:val="0"/>
    <w:rPr>
      <w:rFonts w:ascii="Arial" w:hAnsi="Arial"/>
      <w:b/>
      <w:bCs/>
      <w:sz w:val="24"/>
      <w:szCs w:val="32"/>
    </w:rPr>
  </w:style>
  <w:style w:type="character" w:customStyle="1" w:styleId="160">
    <w:name w:val="文档结构图 Char1"/>
    <w:qFormat/>
    <w:uiPriority w:val="0"/>
    <w:rPr>
      <w:rFonts w:ascii="宋体"/>
      <w:kern w:val="2"/>
      <w:sz w:val="18"/>
      <w:szCs w:val="18"/>
    </w:rPr>
  </w:style>
  <w:style w:type="character" w:customStyle="1" w:styleId="161">
    <w:name w:val="标题5 Char Char"/>
    <w:link w:val="109"/>
    <w:qFormat/>
    <w:uiPriority w:val="0"/>
    <w:rPr>
      <w:rFonts w:ascii="Arial" w:hAnsi="Arial"/>
      <w:b/>
      <w:bCs/>
      <w:sz w:val="24"/>
      <w:szCs w:val="32"/>
    </w:rPr>
  </w:style>
  <w:style w:type="character" w:customStyle="1" w:styleId="162">
    <w:name w:val="_Style 154"/>
    <w:qFormat/>
    <w:uiPriority w:val="0"/>
    <w:rPr>
      <w:b/>
      <w:bCs/>
      <w:smallCaps/>
      <w:color w:val="C0504D"/>
      <w:spacing w:val="5"/>
      <w:u w:val="single"/>
    </w:rPr>
  </w:style>
  <w:style w:type="character" w:customStyle="1" w:styleId="163">
    <w:name w:val="Char Char Char Char Char Char Char Char Char"/>
    <w:qFormat/>
    <w:uiPriority w:val="0"/>
    <w:rPr>
      <w:sz w:val="18"/>
      <w:szCs w:val="18"/>
    </w:rPr>
  </w:style>
  <w:style w:type="character" w:customStyle="1" w:styleId="164">
    <w:name w:val="正文文本 Char1"/>
    <w:qFormat/>
    <w:uiPriority w:val="0"/>
    <w:rPr>
      <w:kern w:val="2"/>
      <w:sz w:val="21"/>
      <w:szCs w:val="22"/>
    </w:rPr>
  </w:style>
  <w:style w:type="character" w:customStyle="1" w:styleId="165">
    <w:name w:val="批注框文本 Char1"/>
    <w:qFormat/>
    <w:uiPriority w:val="0"/>
    <w:rPr>
      <w:kern w:val="2"/>
      <w:sz w:val="18"/>
      <w:szCs w:val="18"/>
    </w:rPr>
  </w:style>
  <w:style w:type="character" w:customStyle="1" w:styleId="166">
    <w:name w:val="_Style 158"/>
    <w:qFormat/>
    <w:uiPriority w:val="0"/>
    <w:rPr>
      <w:b/>
      <w:bCs/>
      <w:i/>
      <w:iCs/>
      <w:color w:val="4F81BD"/>
    </w:rPr>
  </w:style>
  <w:style w:type="character" w:customStyle="1" w:styleId="167">
    <w:name w:val="Blockquote Char"/>
    <w:link w:val="88"/>
    <w:qFormat/>
    <w:uiPriority w:val="0"/>
    <w:rPr>
      <w:sz w:val="24"/>
    </w:rPr>
  </w:style>
  <w:style w:type="character" w:customStyle="1" w:styleId="168">
    <w:name w:val="批注主题 Char1"/>
    <w:qFormat/>
    <w:uiPriority w:val="0"/>
    <w:rPr>
      <w:b/>
      <w:bCs/>
      <w:kern w:val="2"/>
      <w:sz w:val="21"/>
      <w:szCs w:val="22"/>
    </w:rPr>
  </w:style>
  <w:style w:type="character" w:customStyle="1" w:styleId="169">
    <w:name w:val="Blockquote Char Char"/>
    <w:qFormat/>
    <w:locked/>
    <w:uiPriority w:val="0"/>
    <w:rPr>
      <w:sz w:val="24"/>
    </w:rPr>
  </w:style>
  <w:style w:type="character" w:customStyle="1" w:styleId="170">
    <w:name w:val="正文文本 3 字符"/>
    <w:link w:val="17"/>
    <w:qFormat/>
    <w:uiPriority w:val="0"/>
    <w:rPr>
      <w:sz w:val="16"/>
      <w:szCs w:val="16"/>
    </w:rPr>
  </w:style>
  <w:style w:type="character" w:customStyle="1" w:styleId="171">
    <w:name w:val="引用 Char1"/>
    <w:qFormat/>
    <w:uiPriority w:val="99"/>
    <w:rPr>
      <w:i/>
      <w:iCs/>
      <w:color w:val="000000"/>
      <w:kern w:val="2"/>
      <w:sz w:val="21"/>
      <w:szCs w:val="24"/>
    </w:rPr>
  </w:style>
  <w:style w:type="character" w:customStyle="1" w:styleId="172">
    <w:name w:val="标题 4 字符"/>
    <w:link w:val="6"/>
    <w:qFormat/>
    <w:uiPriority w:val="0"/>
    <w:rPr>
      <w:rFonts w:ascii="Arial" w:hAnsi="Arial" w:eastAsia="黑体"/>
      <w:b/>
      <w:bCs/>
      <w:kern w:val="2"/>
      <w:sz w:val="28"/>
      <w:szCs w:val="28"/>
      <w:lang w:val="en-US" w:eastAsia="zh-CN" w:bidi="ar-SA"/>
    </w:rPr>
  </w:style>
  <w:style w:type="character" w:customStyle="1" w:styleId="173">
    <w:name w:val="标题 1 字符"/>
    <w:link w:val="2"/>
    <w:qFormat/>
    <w:uiPriority w:val="0"/>
    <w:rPr>
      <w:b/>
      <w:kern w:val="44"/>
      <w:sz w:val="32"/>
    </w:rPr>
  </w:style>
  <w:style w:type="character" w:customStyle="1" w:styleId="174">
    <w:name w:val="正文文本缩进 Char"/>
    <w:qFormat/>
    <w:uiPriority w:val="0"/>
    <w:rPr>
      <w:kern w:val="2"/>
      <w:sz w:val="32"/>
    </w:rPr>
  </w:style>
  <w:style w:type="character" w:customStyle="1" w:styleId="175">
    <w:name w:val="font51"/>
    <w:basedOn w:val="47"/>
    <w:qFormat/>
    <w:uiPriority w:val="0"/>
    <w:rPr>
      <w:rFonts w:hint="eastAsia" w:ascii="仿宋" w:hAnsi="仿宋" w:eastAsia="仿宋" w:cs="仿宋"/>
      <w:color w:val="000000"/>
      <w:sz w:val="24"/>
      <w:szCs w:val="24"/>
      <w:u w:val="none"/>
    </w:rPr>
  </w:style>
  <w:style w:type="character" w:customStyle="1" w:styleId="176">
    <w:name w:val="font01"/>
    <w:basedOn w:val="47"/>
    <w:qFormat/>
    <w:uiPriority w:val="0"/>
    <w:rPr>
      <w:rFonts w:hint="eastAsia" w:ascii="仿宋" w:hAnsi="仿宋" w:eastAsia="仿宋" w:cs="仿宋"/>
      <w:color w:val="000000"/>
      <w:sz w:val="24"/>
      <w:szCs w:val="24"/>
      <w:u w:val="none"/>
      <w:vertAlign w:val="superscript"/>
    </w:rPr>
  </w:style>
  <w:style w:type="character" w:customStyle="1" w:styleId="177">
    <w:name w:val="old"/>
    <w:basedOn w:val="47"/>
    <w:qFormat/>
    <w:uiPriority w:val="0"/>
    <w:rPr>
      <w:color w:val="999999"/>
    </w:rPr>
  </w:style>
  <w:style w:type="character" w:customStyle="1" w:styleId="178">
    <w:name w:val="indent"/>
    <w:basedOn w:val="47"/>
    <w:qFormat/>
    <w:uiPriority w:val="0"/>
  </w:style>
  <w:style w:type="character" w:customStyle="1" w:styleId="179">
    <w:name w:val="hover3"/>
    <w:basedOn w:val="47"/>
    <w:qFormat/>
    <w:uiPriority w:val="0"/>
    <w:rPr>
      <w:shd w:val="clear" w:fill="EEEEEE"/>
    </w:rPr>
  </w:style>
  <w:style w:type="character" w:customStyle="1" w:styleId="180">
    <w:name w:val="hour_am"/>
    <w:basedOn w:val="47"/>
    <w:qFormat/>
    <w:uiPriority w:val="0"/>
  </w:style>
  <w:style w:type="character" w:customStyle="1" w:styleId="181">
    <w:name w:val="hour_pm"/>
    <w:basedOn w:val="47"/>
    <w:qFormat/>
    <w:uiPriority w:val="0"/>
  </w:style>
  <w:style w:type="character" w:customStyle="1" w:styleId="182">
    <w:name w:val="glyphicon4"/>
    <w:basedOn w:val="47"/>
    <w:qFormat/>
    <w:uiPriority w:val="0"/>
  </w:style>
  <w:style w:type="character" w:customStyle="1" w:styleId="183">
    <w:name w:val="button"/>
    <w:basedOn w:val="47"/>
    <w:qFormat/>
    <w:uiPriority w:val="0"/>
  </w:style>
  <w:style w:type="character" w:customStyle="1" w:styleId="184">
    <w:name w:val="tmpztreemove_arrow"/>
    <w:basedOn w:val="47"/>
    <w:qFormat/>
    <w:uiPriority w:val="0"/>
    <w:rPr>
      <w:shd w:val="clear" w:fill="FFFFFF"/>
    </w:rPr>
  </w:style>
  <w:style w:type="paragraph" w:customStyle="1" w:styleId="18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188">
    <w:name w:val="09正文_wh"/>
    <w:qFormat/>
    <w:uiPriority w:val="0"/>
    <w:pPr>
      <w:spacing w:line="300" w:lineRule="auto"/>
      <w:ind w:firstLine="200" w:firstLineChars="200"/>
      <w:jc w:val="both"/>
    </w:pPr>
    <w:rPr>
      <w:rFonts w:ascii="Calibri" w:hAnsi="Calibri" w:eastAsia="宋体" w:cs="Times New Roman"/>
      <w:sz w:val="28"/>
      <w:szCs w:val="22"/>
      <w:lang w:val="en-US" w:eastAsia="zh-CN" w:bidi="ar-SA"/>
    </w:rPr>
  </w:style>
  <w:style w:type="paragraph" w:customStyle="1" w:styleId="189">
    <w:name w:val="Heading 0"/>
    <w:basedOn w:val="1"/>
    <w:qFormat/>
    <w:uiPriority w:val="0"/>
    <w:pPr>
      <w:spacing w:before="480" w:after="360"/>
      <w:ind w:firstLine="0" w:firstLineChars="0"/>
      <w:jc w:val="center"/>
    </w:pPr>
    <w:rPr>
      <w:rFonts w:eastAsia="黑体"/>
      <w:b/>
      <w:sz w:val="44"/>
    </w:rPr>
  </w:style>
  <w:style w:type="paragraph" w:customStyle="1" w:styleId="190">
    <w:name w:val="Table caption|1"/>
    <w:basedOn w:val="1"/>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paragraph" w:customStyle="1" w:styleId="191">
    <w:name w:val="Other|1"/>
    <w:basedOn w:val="1"/>
    <w:qFormat/>
    <w:uiPriority w:val="0"/>
    <w:pPr>
      <w:widowControl w:val="0"/>
      <w:shd w:val="clear" w:color="auto" w:fill="auto"/>
      <w:spacing w:after="100" w:line="446" w:lineRule="auto"/>
      <w:ind w:firstLine="400"/>
    </w:pPr>
    <w:rPr>
      <w:rFonts w:ascii="宋体" w:hAnsi="宋体" w:eastAsia="宋体" w:cs="宋体"/>
      <w:sz w:val="22"/>
      <w:szCs w:val="22"/>
      <w:u w:val="none"/>
      <w:shd w:val="clear" w:color="auto" w:fill="auto"/>
      <w:lang w:val="zh-TW" w:eastAsia="zh-TW" w:bidi="zh-TW"/>
    </w:rPr>
  </w:style>
  <w:style w:type="paragraph" w:customStyle="1" w:styleId="192">
    <w:name w:val="Normal Indent1"/>
    <w:basedOn w:val="1"/>
    <w:qFormat/>
    <w:uiPriority w:val="0"/>
    <w:pPr>
      <w:ind w:firstLine="200" w:firstLineChars="200"/>
    </w:pPr>
    <w:rPr>
      <w:rFonts w:eastAsia="楷体_GB2312"/>
    </w:rPr>
  </w:style>
  <w:style w:type="paragraph" w:customStyle="1" w:styleId="193">
    <w:name w:val="Body Text Indent 21"/>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21254</Words>
  <Characters>22742</Characters>
  <Lines>430</Lines>
  <Paragraphs>121</Paragraphs>
  <TotalTime>11</TotalTime>
  <ScaleCrop>false</ScaleCrop>
  <LinksUpToDate>false</LinksUpToDate>
  <CharactersWithSpaces>23128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2016-09-14T08:14:00Z</dcterms:created>
  <dc:creator>GZB</dc:creator>
  <cp:lastModifiedBy>C。</cp:lastModifiedBy>
  <cp:lastPrinted>2019-12-05T02:09:00Z</cp:lastPrinted>
  <dcterms:modified xsi:type="dcterms:W3CDTF">2025-03-09T13:50:27Z</dcterms:modified>
  <dc:title>招标编号：xxx政采招[20xxx] xxx号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DFB6801FF2B049E8B77DD11B70558B7F_13</vt:lpwstr>
  </property>
  <property fmtid="{D5CDD505-2E9C-101B-9397-08002B2CF9AE}" pid="4" name="KSOTemplateDocerSaveRecord">
    <vt:lpwstr>eyJoZGlkIjoiMmIyZGFjODc2MDEzNjJkMDAxMzJhNzgwM2IyMDgyZmYiLCJ1c2VySWQiOiIyODY3ODk5OTYifQ==</vt:lpwstr>
  </property>
</Properties>
</file>