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keepNext w:val="0"/>
        <w:keepLines w:val="0"/>
        <w:pageBreakBefore w:val="0"/>
        <w:widowControl/>
        <w:kinsoku/>
        <w:wordWrap/>
        <w:overflowPunct/>
        <w:topLinePunct w:val="0"/>
        <w:autoSpaceDE/>
        <w:autoSpaceDN/>
        <w:bidi w:val="0"/>
        <w:adjustRightInd/>
        <w:snapToGrid/>
        <w:spacing w:line="360" w:lineRule="auto"/>
        <w:ind w:left="0" w:right="0" w:firstLine="883" w:firstLineChars="200"/>
        <w:jc w:val="center"/>
        <w:textAlignment w:val="baseline"/>
        <w:outlineLvl w:val="0"/>
        <w:rPr>
          <w:rFonts w:hint="eastAsia" w:ascii="仿宋" w:hAnsi="仿宋" w:eastAsia="仿宋" w:cs="仿宋"/>
          <w:b/>
          <w:bCs/>
          <w:color w:val="auto"/>
          <w:sz w:val="24"/>
          <w:szCs w:val="24"/>
          <w:highlight w:val="none"/>
          <w:lang w:val="en-US" w:eastAsia="zh-CN"/>
        </w:rPr>
      </w:pPr>
      <w:bookmarkStart w:id="3" w:name="_GoBack"/>
      <w:r>
        <w:rPr>
          <w:rStyle w:val="6"/>
          <w:rFonts w:hint="eastAsia" w:ascii="仿宋" w:hAnsi="仿宋" w:eastAsia="仿宋" w:cs="仿宋"/>
          <w:b/>
          <w:color w:val="auto"/>
          <w:kern w:val="2"/>
          <w:sz w:val="44"/>
          <w:szCs w:val="44"/>
          <w:highlight w:val="none"/>
        </w:rPr>
        <w:t>采购内容及技术要求</w:t>
      </w:r>
    </w:p>
    <w:bookmarkEnd w:id="3"/>
    <w:p w14:paraId="22890F8A">
      <w:pPr>
        <w:keepNext w:val="0"/>
        <w:keepLines w:val="0"/>
        <w:pageBreakBefore w:val="0"/>
        <w:widowControl/>
        <w:kinsoku/>
        <w:wordWrap/>
        <w:overflowPunct/>
        <w:topLinePunct w:val="0"/>
        <w:autoSpaceDE/>
        <w:autoSpaceDN/>
        <w:bidi w:val="0"/>
        <w:adjustRightInd/>
        <w:snapToGrid/>
        <w:spacing w:line="360" w:lineRule="auto"/>
        <w:ind w:left="482"/>
        <w:textAlignment w:val="baseline"/>
        <w:rPr>
          <w:rFonts w:ascii="仿宋" w:hAnsi="仿宋" w:eastAsia="仿宋" w:cs="仿宋_GB2312"/>
          <w:b/>
          <w:bCs/>
          <w:sz w:val="24"/>
        </w:rPr>
      </w:pPr>
      <w:r>
        <w:rPr>
          <w:rFonts w:hint="eastAsia" w:ascii="仿宋" w:hAnsi="仿宋" w:eastAsia="仿宋" w:cs="仿宋_GB2312"/>
          <w:b/>
          <w:bCs/>
          <w:sz w:val="24"/>
        </w:rPr>
        <w:t>一、招标内容及数量</w:t>
      </w:r>
    </w:p>
    <w:p w14:paraId="7F25E23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（一）工作范围：</w:t>
      </w:r>
    </w:p>
    <w:p w14:paraId="6B655E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highlight w:val="none"/>
        </w:rPr>
      </w:pPr>
      <w:bookmarkStart w:id="0" w:name="_Hlk159172562"/>
      <w:r>
        <w:rPr>
          <w:rFonts w:hint="eastAsia" w:ascii="仿宋" w:hAnsi="仿宋" w:eastAsia="仿宋" w:cs="仿宋_GB2312"/>
          <w:sz w:val="24"/>
          <w:highlight w:val="none"/>
        </w:rPr>
        <w:t>合同包1：沣东新城、沣西新城区域</w:t>
      </w:r>
      <w:r>
        <w:rPr>
          <w:rFonts w:hint="eastAsia" w:ascii="仿宋" w:hAnsi="仿宋" w:eastAsia="仿宋" w:cs="仿宋_GB2312"/>
          <w:sz w:val="24"/>
          <w:highlight w:val="none"/>
          <w:lang w:val="en-US" w:eastAsia="zh-CN"/>
        </w:rPr>
        <w:t>2025年度</w:t>
      </w:r>
      <w:r>
        <w:rPr>
          <w:rFonts w:hint="eastAsia" w:ascii="仿宋" w:hAnsi="仿宋" w:eastAsia="仿宋" w:cs="仿宋_GB2312"/>
          <w:sz w:val="24"/>
          <w:highlight w:val="none"/>
        </w:rPr>
        <w:t>道路交通事故涉及车辆司法鉴定服务</w:t>
      </w:r>
    </w:p>
    <w:p w14:paraId="2AF2EF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highlight w:val="none"/>
        </w:rPr>
      </w:pPr>
      <w:r>
        <w:rPr>
          <w:rFonts w:hint="eastAsia" w:ascii="仿宋" w:hAnsi="仿宋" w:eastAsia="仿宋" w:cs="仿宋_GB2312"/>
          <w:sz w:val="24"/>
          <w:highlight w:val="none"/>
        </w:rPr>
        <w:t>合同包2：秦汉新城、空港新城、泾河新城区域</w:t>
      </w:r>
      <w:r>
        <w:rPr>
          <w:rFonts w:hint="eastAsia" w:ascii="仿宋" w:hAnsi="仿宋" w:eastAsia="仿宋" w:cs="仿宋_GB2312"/>
          <w:sz w:val="24"/>
          <w:highlight w:val="none"/>
          <w:lang w:val="en-US" w:eastAsia="zh-CN"/>
        </w:rPr>
        <w:t>2025年度</w:t>
      </w:r>
      <w:r>
        <w:rPr>
          <w:rFonts w:hint="eastAsia" w:ascii="仿宋" w:hAnsi="仿宋" w:eastAsia="仿宋" w:cs="仿宋_GB2312"/>
          <w:sz w:val="24"/>
          <w:highlight w:val="none"/>
        </w:rPr>
        <w:t>道路交通事故涉及车辆司法鉴定服务</w:t>
      </w:r>
    </w:p>
    <w:bookmarkEnd w:id="0"/>
    <w:p w14:paraId="44D947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sz w:val="24"/>
        </w:rPr>
      </w:pPr>
      <w:r>
        <w:rPr>
          <w:rFonts w:hint="eastAsia" w:ascii="仿宋" w:hAnsi="仿宋" w:eastAsia="仿宋" w:cs="仿宋_GB2312"/>
          <w:sz w:val="24"/>
        </w:rPr>
        <w:t>（二）完成一年内发生的一般道路交通事故所需的委托项目内的技术检验鉴定工作。</w:t>
      </w:r>
    </w:p>
    <w:p w14:paraId="5E9DA31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（三）委托鉴定业务范围包括但不限于：</w:t>
      </w:r>
    </w:p>
    <w:p w14:paraId="608654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1、车辆安全性能：①静态检验②动态检验③车辆属性。</w:t>
      </w:r>
    </w:p>
    <w:p w14:paraId="1C5C77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2、车辆行驶速度；</w:t>
      </w:r>
    </w:p>
    <w:p w14:paraId="226C89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3、痕迹类鉴定</w:t>
      </w:r>
      <w:r>
        <w:rPr>
          <w:rFonts w:hint="eastAsia" w:ascii="仿宋" w:hAnsi="仿宋" w:eastAsia="仿宋"/>
          <w:sz w:val="24"/>
        </w:rPr>
        <w:t>（含综合物证）</w:t>
      </w:r>
      <w:r>
        <w:rPr>
          <w:rFonts w:hint="eastAsia" w:ascii="仿宋" w:hAnsi="仿宋" w:eastAsia="仿宋" w:cs="仿宋_GB2312"/>
          <w:sz w:val="24"/>
        </w:rPr>
        <w:t>：①痕迹鉴定②事故形态分析③轮胎性能鉴定。</w:t>
      </w:r>
    </w:p>
    <w:p w14:paraId="38E6BCA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仿宋" w:hAnsi="仿宋" w:eastAsia="仿宋" w:cs="仿宋_GB2312"/>
          <w:b/>
          <w:bCs/>
          <w:sz w:val="24"/>
        </w:rPr>
      </w:pPr>
      <w:r>
        <w:rPr>
          <w:rFonts w:hint="eastAsia" w:ascii="仿宋" w:hAnsi="仿宋" w:eastAsia="仿宋" w:cs="仿宋_GB2312"/>
          <w:b/>
          <w:bCs/>
          <w:sz w:val="24"/>
        </w:rPr>
        <w:t>二、委托方式范围及要求</w:t>
      </w:r>
    </w:p>
    <w:p w14:paraId="06DFE3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（一）受托机构必须按照分配的范围开展工作。</w:t>
      </w:r>
    </w:p>
    <w:p w14:paraId="562886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（二）受托机构必须按照相关法律法规和技术标准进行工作。</w:t>
      </w:r>
    </w:p>
    <w:p w14:paraId="6BCA977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（三）受托机构接受委托方服务质量评价，对达不到合格标准要求的，采购人有权停止委托：</w:t>
      </w:r>
    </w:p>
    <w:p w14:paraId="562084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1、无正当理由拒绝接受鉴定委托的；</w:t>
      </w:r>
    </w:p>
    <w:p w14:paraId="388D89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 xml:space="preserve">2、无正当理由拒绝就鉴定过程或鉴定意见给予解释或说明的； </w:t>
      </w:r>
    </w:p>
    <w:p w14:paraId="28E3D2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 xml:space="preserve">3、无正当理由拒绝接受服务质量评价的，或在评价过程中提供虚假材料的，质量评价不达标的； </w:t>
      </w:r>
    </w:p>
    <w:p w14:paraId="4704BE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 xml:space="preserve">4、鉴定人员、人数发生变更，不具备鉴定能力或资质的； </w:t>
      </w:r>
    </w:p>
    <w:p w14:paraId="1C04A7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 xml:space="preserve">5、因技术用场地、仪器设备、鉴定人能力缺陷已无法保证鉴定质量的； </w:t>
      </w:r>
    </w:p>
    <w:p w14:paraId="7995D1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 xml:space="preserve">6、由于工作失误出具错误意见造成严重后果的；出现二次以上工作失误的，造成复核、信访、投诉的；鉴定人故意出具虚假鉴定意见的； </w:t>
      </w:r>
    </w:p>
    <w:p w14:paraId="039FCE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7、违反规定收取当事人费用的；</w:t>
      </w:r>
    </w:p>
    <w:p w14:paraId="24D1CE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sz w:val="24"/>
        </w:rPr>
      </w:pPr>
      <w:r>
        <w:rPr>
          <w:rFonts w:hint="eastAsia" w:ascii="仿宋" w:hAnsi="仿宋" w:eastAsia="仿宋" w:cs="仿宋_GB2312"/>
          <w:sz w:val="24"/>
        </w:rPr>
        <w:t>8、受到有关部门停业等处罚的；</w:t>
      </w:r>
    </w:p>
    <w:p w14:paraId="1FF0FEB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仿宋" w:hAnsi="仿宋" w:eastAsia="仿宋" w:cs="仿宋_GB2312"/>
          <w:b/>
          <w:bCs/>
          <w:sz w:val="24"/>
        </w:rPr>
      </w:pPr>
      <w:r>
        <w:rPr>
          <w:rFonts w:hint="eastAsia" w:ascii="仿宋" w:hAnsi="仿宋" w:eastAsia="仿宋" w:cs="仿宋_GB2312"/>
          <w:sz w:val="24"/>
        </w:rPr>
        <w:t>9、违反其它约定的。</w:t>
      </w:r>
    </w:p>
    <w:p w14:paraId="7B68482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_GB2312"/>
          <w:b/>
          <w:bCs/>
          <w:sz w:val="24"/>
        </w:rPr>
      </w:pPr>
      <w:bookmarkStart w:id="1" w:name="_Toc32224"/>
      <w:r>
        <w:rPr>
          <w:rFonts w:hint="eastAsia" w:ascii="仿宋" w:hAnsi="仿宋" w:eastAsia="仿宋" w:cs="仿宋_GB2312"/>
          <w:b/>
          <w:bCs/>
          <w:sz w:val="24"/>
        </w:rPr>
        <w:t>三、执行标准</w:t>
      </w:r>
      <w:bookmarkEnd w:id="1"/>
      <w:r>
        <w:rPr>
          <w:rFonts w:hint="eastAsia" w:ascii="仿宋" w:hAnsi="仿宋" w:eastAsia="仿宋" w:cs="仿宋_GB2312"/>
          <w:b/>
          <w:bCs/>
          <w:sz w:val="24"/>
        </w:rPr>
        <w:t>：</w:t>
      </w:r>
      <w:bookmarkStart w:id="2" w:name="_Toc3973"/>
      <w:r>
        <w:rPr>
          <w:rFonts w:hint="eastAsia" w:ascii="仿宋" w:hAnsi="仿宋" w:eastAsia="仿宋" w:cs="仿宋_GB2312"/>
          <w:b/>
          <w:bCs/>
          <w:sz w:val="24"/>
        </w:rPr>
        <w:t>陕西省发展和改革委员会、陕西省司法厅关于司法鉴定收费标准等有关问题的通知</w:t>
      </w:r>
      <w:bookmarkEnd w:id="2"/>
      <w:r>
        <w:rPr>
          <w:rFonts w:hint="eastAsia" w:ascii="仿宋" w:hAnsi="仿宋" w:eastAsia="仿宋" w:cs="仿宋_GB2312"/>
          <w:b/>
          <w:bCs/>
          <w:sz w:val="24"/>
        </w:rPr>
        <w:t>陕发改价格〔2019〕1453号。</w:t>
      </w:r>
    </w:p>
    <w:p w14:paraId="60FD52A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_GB2312"/>
          <w:b/>
          <w:sz w:val="24"/>
        </w:rPr>
      </w:pPr>
      <w:r>
        <w:rPr>
          <w:rFonts w:hint="eastAsia" w:ascii="仿宋" w:hAnsi="仿宋" w:eastAsia="仿宋" w:cs="仿宋_GB2312"/>
          <w:b/>
          <w:bCs/>
          <w:sz w:val="24"/>
        </w:rPr>
        <w:t>四、本项目采购人按月据实支付项款，</w:t>
      </w:r>
      <w:r>
        <w:rPr>
          <w:rFonts w:hint="eastAsia" w:ascii="仿宋" w:hAnsi="仿宋" w:eastAsia="仿宋"/>
          <w:b/>
          <w:sz w:val="24"/>
        </w:rPr>
        <w:t>中标人提交司法鉴定报告且经采购人考核合格后30天内，一次性付清已完成服务的所有费用</w:t>
      </w:r>
      <w:r>
        <w:rPr>
          <w:rFonts w:hint="eastAsia" w:ascii="仿宋" w:hAnsi="仿宋" w:eastAsia="仿宋" w:cs="仿宋_GB2312"/>
          <w:b/>
          <w:sz w:val="24"/>
        </w:rPr>
        <w:t>。每个合同包支付上限为本合同包采购预算，服务期为合同签订后一年。若服务期满但采购预算未支付完成，合同自行终止。若服务期未满但采购预算已支付完，中标人须继续提供服务，采购人不再支付费用，直至服务期满合同终止。</w:t>
      </w:r>
    </w:p>
    <w:p w14:paraId="1225B6EE">
      <w:pPr>
        <w:pStyle w:val="2"/>
        <w:ind w:firstLine="482" w:firstLineChars="200"/>
        <w:rPr>
          <w:rFonts w:hint="eastAsia" w:ascii="仿宋" w:hAnsi="仿宋" w:eastAsia="仿宋" w:cs="仿宋_GB2312"/>
          <w:b/>
          <w:sz w:val="24"/>
          <w:lang w:val="en-US" w:eastAsia="zh-CN"/>
        </w:rPr>
      </w:pPr>
      <w:r>
        <w:rPr>
          <w:rFonts w:hint="eastAsia" w:ascii="仿宋" w:hAnsi="仿宋" w:eastAsia="仿宋" w:cs="仿宋_GB2312"/>
          <w:b/>
          <w:sz w:val="24"/>
          <w:lang w:val="en-US" w:eastAsia="zh-CN"/>
        </w:rPr>
        <w:t>五、单价最高限价</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206"/>
        <w:gridCol w:w="1464"/>
        <w:gridCol w:w="1841"/>
        <w:gridCol w:w="2147"/>
      </w:tblGrid>
      <w:tr w14:paraId="2A39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16EF5495">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b/>
                <w:bCs/>
                <w:sz w:val="24"/>
              </w:rPr>
            </w:pPr>
            <w:r>
              <w:rPr>
                <w:rFonts w:hint="eastAsia" w:ascii="仿宋" w:hAnsi="仿宋" w:eastAsia="仿宋"/>
                <w:b/>
                <w:bCs/>
                <w:sz w:val="24"/>
              </w:rPr>
              <w:t>序号</w:t>
            </w:r>
          </w:p>
        </w:tc>
        <w:tc>
          <w:tcPr>
            <w:tcW w:w="1294" w:type="pct"/>
            <w:vAlign w:val="center"/>
          </w:tcPr>
          <w:p w14:paraId="1444E2B0">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b/>
                <w:bCs/>
                <w:sz w:val="24"/>
              </w:rPr>
            </w:pPr>
            <w:r>
              <w:rPr>
                <w:rFonts w:hint="eastAsia" w:ascii="仿宋" w:hAnsi="仿宋" w:eastAsia="仿宋"/>
                <w:b/>
                <w:bCs/>
                <w:sz w:val="24"/>
              </w:rPr>
              <w:t>名称</w:t>
            </w:r>
          </w:p>
        </w:tc>
        <w:tc>
          <w:tcPr>
            <w:tcW w:w="859" w:type="pct"/>
            <w:vAlign w:val="center"/>
          </w:tcPr>
          <w:p w14:paraId="515C5CB4">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b/>
                <w:bCs/>
                <w:sz w:val="24"/>
              </w:rPr>
            </w:pPr>
            <w:r>
              <w:rPr>
                <w:rFonts w:hint="eastAsia" w:ascii="仿宋" w:hAnsi="仿宋" w:eastAsia="仿宋"/>
                <w:b/>
                <w:bCs/>
                <w:sz w:val="24"/>
              </w:rPr>
              <w:t>数量</w:t>
            </w:r>
          </w:p>
        </w:tc>
        <w:tc>
          <w:tcPr>
            <w:tcW w:w="1080" w:type="pct"/>
            <w:vAlign w:val="center"/>
          </w:tcPr>
          <w:p w14:paraId="0273AC49">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b/>
                <w:bCs/>
                <w:sz w:val="24"/>
              </w:rPr>
            </w:pPr>
            <w:r>
              <w:rPr>
                <w:rFonts w:hint="eastAsia" w:ascii="仿宋" w:hAnsi="仿宋" w:eastAsia="仿宋"/>
                <w:b/>
                <w:bCs/>
                <w:sz w:val="24"/>
              </w:rPr>
              <w:t>单位</w:t>
            </w:r>
          </w:p>
        </w:tc>
        <w:tc>
          <w:tcPr>
            <w:tcW w:w="1259" w:type="pct"/>
            <w:vAlign w:val="center"/>
          </w:tcPr>
          <w:p w14:paraId="54D90F4D">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b/>
                <w:bCs/>
                <w:sz w:val="24"/>
              </w:rPr>
            </w:pPr>
            <w:r>
              <w:rPr>
                <w:rFonts w:hint="eastAsia" w:ascii="仿宋" w:hAnsi="仿宋" w:eastAsia="仿宋"/>
                <w:b/>
                <w:bCs/>
                <w:sz w:val="24"/>
              </w:rPr>
              <w:t>单价</w:t>
            </w:r>
            <w:r>
              <w:rPr>
                <w:rFonts w:hint="eastAsia" w:ascii="仿宋" w:hAnsi="仿宋" w:eastAsia="仿宋"/>
                <w:b/>
                <w:bCs/>
                <w:sz w:val="24"/>
                <w:lang w:val="en-US" w:eastAsia="zh-CN"/>
              </w:rPr>
              <w:t>限价</w:t>
            </w:r>
            <w:r>
              <w:rPr>
                <w:rFonts w:hint="eastAsia" w:ascii="仿宋" w:hAnsi="仿宋" w:eastAsia="仿宋"/>
                <w:b/>
                <w:bCs/>
                <w:sz w:val="24"/>
              </w:rPr>
              <w:t>（元）</w:t>
            </w:r>
          </w:p>
        </w:tc>
      </w:tr>
      <w:tr w14:paraId="0143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186FFBCD">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1</w:t>
            </w:r>
          </w:p>
        </w:tc>
        <w:tc>
          <w:tcPr>
            <w:tcW w:w="1294" w:type="pct"/>
            <w:vAlign w:val="center"/>
          </w:tcPr>
          <w:p w14:paraId="0F3FC909">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动态检验</w:t>
            </w:r>
          </w:p>
        </w:tc>
        <w:tc>
          <w:tcPr>
            <w:tcW w:w="859" w:type="pct"/>
            <w:vAlign w:val="center"/>
          </w:tcPr>
          <w:p w14:paraId="20BBF8CA">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080" w:type="pct"/>
            <w:vAlign w:val="center"/>
          </w:tcPr>
          <w:p w14:paraId="1ED63A71">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辆</w:t>
            </w:r>
          </w:p>
        </w:tc>
        <w:tc>
          <w:tcPr>
            <w:tcW w:w="1259" w:type="pct"/>
            <w:vAlign w:val="center"/>
          </w:tcPr>
          <w:p w14:paraId="4C89A2C4">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350</w:t>
            </w:r>
          </w:p>
        </w:tc>
      </w:tr>
      <w:tr w14:paraId="578A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133677B6">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2</w:t>
            </w:r>
          </w:p>
        </w:tc>
        <w:tc>
          <w:tcPr>
            <w:tcW w:w="1294" w:type="pct"/>
            <w:vAlign w:val="center"/>
          </w:tcPr>
          <w:p w14:paraId="5A0B3812">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静态检验</w:t>
            </w:r>
          </w:p>
        </w:tc>
        <w:tc>
          <w:tcPr>
            <w:tcW w:w="859" w:type="pct"/>
            <w:vAlign w:val="center"/>
          </w:tcPr>
          <w:p w14:paraId="10071D52">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1</w:t>
            </w:r>
          </w:p>
        </w:tc>
        <w:tc>
          <w:tcPr>
            <w:tcW w:w="1080" w:type="pct"/>
            <w:vAlign w:val="center"/>
          </w:tcPr>
          <w:p w14:paraId="22D821DB">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辆</w:t>
            </w:r>
          </w:p>
        </w:tc>
        <w:tc>
          <w:tcPr>
            <w:tcW w:w="1259" w:type="pct"/>
            <w:vAlign w:val="center"/>
          </w:tcPr>
          <w:p w14:paraId="3CF86E60">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600</w:t>
            </w:r>
          </w:p>
        </w:tc>
      </w:tr>
      <w:tr w14:paraId="5E7B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54BB09D3">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3</w:t>
            </w:r>
          </w:p>
        </w:tc>
        <w:tc>
          <w:tcPr>
            <w:tcW w:w="1294" w:type="pct"/>
            <w:vAlign w:val="center"/>
          </w:tcPr>
          <w:p w14:paraId="05CE2311">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车辆行驶速度</w:t>
            </w:r>
          </w:p>
        </w:tc>
        <w:tc>
          <w:tcPr>
            <w:tcW w:w="859" w:type="pct"/>
            <w:vAlign w:val="center"/>
          </w:tcPr>
          <w:p w14:paraId="37DAFEC9">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1</w:t>
            </w:r>
          </w:p>
        </w:tc>
        <w:tc>
          <w:tcPr>
            <w:tcW w:w="1080" w:type="pct"/>
            <w:vAlign w:val="center"/>
          </w:tcPr>
          <w:p w14:paraId="3115FCDE">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个</w:t>
            </w:r>
          </w:p>
        </w:tc>
        <w:tc>
          <w:tcPr>
            <w:tcW w:w="1259" w:type="pct"/>
            <w:vAlign w:val="center"/>
          </w:tcPr>
          <w:p w14:paraId="5042B05C">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1020</w:t>
            </w:r>
          </w:p>
        </w:tc>
      </w:tr>
      <w:tr w14:paraId="488B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46A95C2D">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4</w:t>
            </w:r>
          </w:p>
        </w:tc>
        <w:tc>
          <w:tcPr>
            <w:tcW w:w="1294" w:type="pct"/>
            <w:vAlign w:val="center"/>
          </w:tcPr>
          <w:p w14:paraId="6977E07B">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仿宋" w:hAnsi="仿宋" w:eastAsia="仿宋"/>
                <w:sz w:val="24"/>
              </w:rPr>
            </w:pPr>
            <w:r>
              <w:rPr>
                <w:rFonts w:hint="eastAsia" w:ascii="仿宋" w:hAnsi="仿宋" w:eastAsia="仿宋"/>
                <w:sz w:val="24"/>
              </w:rPr>
              <w:t>痕迹鉴定</w:t>
            </w:r>
          </w:p>
          <w:p w14:paraId="58345A0A">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（含综合物证）</w:t>
            </w:r>
          </w:p>
        </w:tc>
        <w:tc>
          <w:tcPr>
            <w:tcW w:w="859" w:type="pct"/>
            <w:vAlign w:val="center"/>
          </w:tcPr>
          <w:p w14:paraId="4CB6F052">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1</w:t>
            </w:r>
          </w:p>
        </w:tc>
        <w:tc>
          <w:tcPr>
            <w:tcW w:w="1080" w:type="pct"/>
            <w:vAlign w:val="center"/>
          </w:tcPr>
          <w:p w14:paraId="32131A9C">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辆</w:t>
            </w:r>
          </w:p>
        </w:tc>
        <w:tc>
          <w:tcPr>
            <w:tcW w:w="1259" w:type="pct"/>
            <w:vAlign w:val="center"/>
          </w:tcPr>
          <w:p w14:paraId="1BE1870D">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1200</w:t>
            </w:r>
          </w:p>
        </w:tc>
      </w:tr>
      <w:tr w14:paraId="727E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4DC84B07">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5</w:t>
            </w:r>
          </w:p>
        </w:tc>
        <w:tc>
          <w:tcPr>
            <w:tcW w:w="1294" w:type="pct"/>
            <w:vAlign w:val="center"/>
          </w:tcPr>
          <w:p w14:paraId="43771538">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车辆属性</w:t>
            </w:r>
          </w:p>
        </w:tc>
        <w:tc>
          <w:tcPr>
            <w:tcW w:w="859" w:type="pct"/>
            <w:vAlign w:val="center"/>
          </w:tcPr>
          <w:p w14:paraId="4A2921DE">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1</w:t>
            </w:r>
          </w:p>
        </w:tc>
        <w:tc>
          <w:tcPr>
            <w:tcW w:w="1080" w:type="pct"/>
            <w:vAlign w:val="center"/>
          </w:tcPr>
          <w:p w14:paraId="27243B96">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辆</w:t>
            </w:r>
          </w:p>
        </w:tc>
        <w:tc>
          <w:tcPr>
            <w:tcW w:w="1259" w:type="pct"/>
            <w:vAlign w:val="center"/>
          </w:tcPr>
          <w:p w14:paraId="0880CC06">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350</w:t>
            </w:r>
          </w:p>
        </w:tc>
      </w:tr>
      <w:tr w14:paraId="562A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170F20A4">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6</w:t>
            </w:r>
          </w:p>
        </w:tc>
        <w:tc>
          <w:tcPr>
            <w:tcW w:w="1294" w:type="pct"/>
            <w:vAlign w:val="center"/>
          </w:tcPr>
          <w:p w14:paraId="782B46C3">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事故原因</w:t>
            </w:r>
          </w:p>
        </w:tc>
        <w:tc>
          <w:tcPr>
            <w:tcW w:w="859" w:type="pct"/>
            <w:vAlign w:val="center"/>
          </w:tcPr>
          <w:p w14:paraId="554E050B">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1</w:t>
            </w:r>
          </w:p>
        </w:tc>
        <w:tc>
          <w:tcPr>
            <w:tcW w:w="1080" w:type="pct"/>
            <w:vAlign w:val="center"/>
          </w:tcPr>
          <w:p w14:paraId="43CBA738">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起</w:t>
            </w:r>
          </w:p>
        </w:tc>
        <w:tc>
          <w:tcPr>
            <w:tcW w:w="1259" w:type="pct"/>
            <w:vAlign w:val="center"/>
          </w:tcPr>
          <w:p w14:paraId="10F007A9">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仿宋" w:hAnsi="仿宋" w:eastAsia="仿宋"/>
                <w:sz w:val="24"/>
              </w:rPr>
            </w:pPr>
            <w:r>
              <w:rPr>
                <w:rFonts w:hint="eastAsia" w:ascii="仿宋" w:hAnsi="仿宋" w:eastAsia="仿宋"/>
                <w:sz w:val="24"/>
              </w:rPr>
              <w:t>根据案件难易</w:t>
            </w:r>
          </w:p>
          <w:p w14:paraId="3E12F977">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程度协商</w:t>
            </w:r>
          </w:p>
        </w:tc>
      </w:tr>
      <w:tr w14:paraId="50F2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09A9ED79">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7</w:t>
            </w:r>
          </w:p>
        </w:tc>
        <w:tc>
          <w:tcPr>
            <w:tcW w:w="1294" w:type="pct"/>
            <w:vAlign w:val="center"/>
          </w:tcPr>
          <w:p w14:paraId="56F503D4">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仿宋" w:hAnsi="仿宋" w:eastAsia="仿宋"/>
                <w:sz w:val="24"/>
              </w:rPr>
            </w:pPr>
            <w:r>
              <w:rPr>
                <w:rFonts w:hint="eastAsia" w:ascii="仿宋" w:hAnsi="仿宋" w:eastAsia="仿宋"/>
                <w:sz w:val="24"/>
              </w:rPr>
              <w:t>其他费用</w:t>
            </w:r>
          </w:p>
          <w:p w14:paraId="55DA0537">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rPr>
              <w:t>（整体分离）</w:t>
            </w:r>
          </w:p>
        </w:tc>
        <w:tc>
          <w:tcPr>
            <w:tcW w:w="859" w:type="pct"/>
            <w:vAlign w:val="center"/>
          </w:tcPr>
          <w:p w14:paraId="783484B8">
            <w:pPr>
              <w:keepNext w:val="0"/>
              <w:keepLines w:val="0"/>
              <w:pageBreakBefore w:val="0"/>
              <w:widowControl w:val="0"/>
              <w:kinsoku/>
              <w:wordWrap/>
              <w:overflowPunct/>
              <w:topLinePunct w:val="0"/>
              <w:autoSpaceDE w:val="0"/>
              <w:autoSpaceDN w:val="0"/>
              <w:bidi w:val="0"/>
              <w:adjustRightInd w:val="0"/>
              <w:spacing w:line="360" w:lineRule="auto"/>
              <w:jc w:val="center"/>
              <w:rPr>
                <w:rFonts w:ascii="仿宋" w:hAnsi="仿宋" w:eastAsia="仿宋"/>
                <w:sz w:val="24"/>
              </w:rPr>
            </w:pPr>
            <w:r>
              <w:rPr>
                <w:rFonts w:hint="eastAsia" w:ascii="仿宋" w:hAnsi="仿宋" w:eastAsia="仿宋"/>
                <w:sz w:val="24"/>
                <w:lang w:val="en-US" w:eastAsia="zh-CN"/>
              </w:rPr>
              <w:t>1</w:t>
            </w:r>
          </w:p>
        </w:tc>
        <w:tc>
          <w:tcPr>
            <w:tcW w:w="1080" w:type="pct"/>
            <w:vAlign w:val="center"/>
          </w:tcPr>
          <w:p w14:paraId="7E45643C">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件</w:t>
            </w:r>
          </w:p>
          <w:p w14:paraId="343A1A4F">
            <w:pPr>
              <w:widowControl w:val="0"/>
            </w:pPr>
          </w:p>
        </w:tc>
        <w:tc>
          <w:tcPr>
            <w:tcW w:w="1259" w:type="pct"/>
            <w:vAlign w:val="center"/>
          </w:tcPr>
          <w:p w14:paraId="2F9853C4">
            <w:pPr>
              <w:keepNext w:val="0"/>
              <w:keepLines w:val="0"/>
              <w:pageBreakBefore w:val="0"/>
              <w:widowControl w:val="0"/>
              <w:kinsoku/>
              <w:wordWrap/>
              <w:overflowPunct/>
              <w:topLinePunct w:val="0"/>
              <w:autoSpaceDE w:val="0"/>
              <w:autoSpaceDN w:val="0"/>
              <w:bidi w:val="0"/>
              <w:adjustRightIn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760</w:t>
            </w:r>
          </w:p>
        </w:tc>
      </w:tr>
    </w:tbl>
    <w:p w14:paraId="67F29F1A">
      <w:pPr>
        <w:rPr>
          <w:rFonts w:hint="default"/>
          <w:lang w:val="en-US" w:eastAsia="zh-CN"/>
        </w:rPr>
      </w:pPr>
    </w:p>
    <w:p w14:paraId="7C349F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86A44"/>
    <w:rsid w:val="0AF86A44"/>
    <w:rsid w:val="200B0D9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2025-03-20T03:16:00Z</dcterms:created>
  <dc:creator>echo</dc:creator>
  <cp:lastModifiedBy>echo</cp:lastModifiedBy>
  <dcterms:modified xsi:type="dcterms:W3CDTF">2025-03-20T03:17:00Z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EA33B6C9DD1F48E1BE7133EE8B4B353C_11</vt:lpwstr>
  </property>
  <property fmtid="{D5CDD505-2E9C-101B-9397-08002B2CF9AE}" pid="4" name="KSOTemplateDocerSaveRecord">
    <vt:lpwstr>eyJoZGlkIjoiMTU1MjA4MDE1M2UyNDQ5OTZmNTY2MzZkYzY2NjJiOTQiLCJ1c2VySWQiOiIyNDg2NTg2NDAifQ==</vt:lpwstr>
  </property>
</Properties>
</file>