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E77D">
      <w:pPr>
        <w:snapToGrid w:val="0"/>
        <w:spacing w:line="360" w:lineRule="auto"/>
        <w:rPr>
          <w:rStyle w:val="43"/>
          <w:rFonts w:hint="eastAsia" w:ascii="宋体" w:hAnsi="宋体" w:eastAsia="宋体"/>
          <w:b/>
          <w:sz w:val="28"/>
          <w:highlight w:val="none"/>
          <w:lang w:eastAsia="zh-CN"/>
        </w:rPr>
      </w:pPr>
      <w:r>
        <w:rPr>
          <w:rStyle w:val="43"/>
          <w:rFonts w:ascii="宋体" w:hAnsi="宋体"/>
          <w:b/>
          <w:sz w:val="28"/>
          <w:highlight w:val="none"/>
        </w:rPr>
        <w:t>采购项目编号：</w:t>
      </w:r>
      <w:r>
        <w:rPr>
          <w:rStyle w:val="43"/>
          <w:rFonts w:hint="eastAsia" w:ascii="宋体" w:hAnsi="宋体"/>
          <w:b/>
          <w:sz w:val="28"/>
          <w:highlight w:val="none"/>
          <w:lang w:eastAsia="zh-CN"/>
        </w:rPr>
        <w:t>LZBD2025-196</w:t>
      </w:r>
    </w:p>
    <w:p w14:paraId="5E2B8765">
      <w:pPr>
        <w:pStyle w:val="37"/>
        <w:snapToGrid w:val="0"/>
        <w:rPr>
          <w:rStyle w:val="43"/>
          <w:highlight w:val="none"/>
          <w:u w:color="FF0000"/>
        </w:rPr>
      </w:pPr>
    </w:p>
    <w:p w14:paraId="4D34CEA4">
      <w:pPr>
        <w:snapToGrid w:val="0"/>
        <w:rPr>
          <w:rStyle w:val="43"/>
          <w:highlight w:val="none"/>
        </w:rPr>
      </w:pPr>
    </w:p>
    <w:p w14:paraId="26F4ACF5">
      <w:pPr>
        <w:snapToGrid w:val="0"/>
        <w:spacing w:line="480" w:lineRule="auto"/>
        <w:jc w:val="center"/>
        <w:rPr>
          <w:rStyle w:val="43"/>
          <w:rFonts w:ascii="宋体" w:hAnsi="宋体"/>
          <w:b/>
          <w:sz w:val="28"/>
          <w:highlight w:val="none"/>
        </w:rPr>
      </w:pPr>
    </w:p>
    <w:p w14:paraId="4D92BE9B">
      <w:pPr>
        <w:snapToGrid w:val="0"/>
        <w:spacing w:line="480" w:lineRule="auto"/>
        <w:rPr>
          <w:rStyle w:val="43"/>
          <w:rFonts w:ascii="宋体" w:hAnsi="宋体"/>
          <w:b/>
          <w:sz w:val="36"/>
          <w:szCs w:val="36"/>
          <w:highlight w:val="none"/>
        </w:rPr>
      </w:pPr>
    </w:p>
    <w:p w14:paraId="32ADD674">
      <w:pPr>
        <w:pStyle w:val="259"/>
        <w:jc w:val="center"/>
        <w:outlineLvl w:val="0"/>
        <w:rPr>
          <w:rStyle w:val="43"/>
          <w:rFonts w:ascii="宋体" w:hAnsi="宋体" w:cs="Times New Roman"/>
          <w:b/>
          <w:sz w:val="52"/>
          <w:szCs w:val="52"/>
          <w:highlight w:val="none"/>
        </w:rPr>
      </w:pPr>
      <w:r>
        <w:rPr>
          <w:rStyle w:val="43"/>
          <w:rFonts w:hint="eastAsia" w:ascii="宋体" w:hAnsi="宋体" w:cs="Times New Roman"/>
          <w:b/>
          <w:sz w:val="52"/>
          <w:szCs w:val="52"/>
          <w:highlight w:val="none"/>
        </w:rPr>
        <w:t>西安市公安局高新分局执法办案管理中心升级改造项目</w:t>
      </w:r>
    </w:p>
    <w:p w14:paraId="13A7787E">
      <w:pPr>
        <w:rPr>
          <w:rStyle w:val="43"/>
          <w:rFonts w:ascii="宋体" w:hAnsi="宋体" w:cs="Times New Roman"/>
          <w:b/>
          <w:sz w:val="44"/>
          <w:szCs w:val="44"/>
          <w:highlight w:val="none"/>
        </w:rPr>
      </w:pPr>
    </w:p>
    <w:p w14:paraId="5821213C">
      <w:pPr>
        <w:pStyle w:val="6"/>
        <w:rPr>
          <w:highlight w:val="none"/>
        </w:rPr>
      </w:pPr>
    </w:p>
    <w:p w14:paraId="1BFB743B">
      <w:pPr>
        <w:pStyle w:val="260"/>
        <w:rPr>
          <w:rStyle w:val="43"/>
          <w:rFonts w:ascii="Arial" w:hAnsi="Arial"/>
          <w:sz w:val="28"/>
          <w:highlight w:val="none"/>
        </w:rPr>
      </w:pPr>
    </w:p>
    <w:p w14:paraId="2FAD348F">
      <w:pPr>
        <w:rPr>
          <w:highlight w:val="none"/>
        </w:rPr>
      </w:pPr>
    </w:p>
    <w:p w14:paraId="00AC257A">
      <w:pPr>
        <w:snapToGrid w:val="0"/>
        <w:spacing w:line="360" w:lineRule="auto"/>
        <w:jc w:val="center"/>
        <w:rPr>
          <w:rStyle w:val="43"/>
          <w:rFonts w:ascii="宋体" w:hAnsi="宋体"/>
          <w:b/>
          <w:sz w:val="84"/>
          <w:szCs w:val="84"/>
          <w:highlight w:val="none"/>
        </w:rPr>
      </w:pPr>
      <w:r>
        <w:rPr>
          <w:rStyle w:val="43"/>
          <w:rFonts w:ascii="宋体" w:hAnsi="宋体"/>
          <w:b/>
          <w:sz w:val="72"/>
          <w:szCs w:val="72"/>
          <w:highlight w:val="none"/>
        </w:rPr>
        <w:t>招 标 文 件</w:t>
      </w:r>
    </w:p>
    <w:p w14:paraId="5D73C261">
      <w:pPr>
        <w:pStyle w:val="259"/>
        <w:rPr>
          <w:rStyle w:val="43"/>
          <w:highlight w:val="none"/>
        </w:rPr>
      </w:pPr>
    </w:p>
    <w:p w14:paraId="7E8366E9">
      <w:pPr>
        <w:tabs>
          <w:tab w:val="left" w:pos="5145"/>
        </w:tabs>
        <w:snapToGrid w:val="0"/>
        <w:rPr>
          <w:rStyle w:val="43"/>
          <w:rFonts w:ascii="宋体" w:hAnsi="宋体"/>
          <w:b/>
          <w:highlight w:val="none"/>
        </w:rPr>
      </w:pPr>
    </w:p>
    <w:p w14:paraId="3FABADD9">
      <w:pPr>
        <w:pStyle w:val="37"/>
        <w:snapToGrid w:val="0"/>
        <w:rPr>
          <w:rStyle w:val="43"/>
          <w:rFonts w:ascii="宋体" w:hAnsi="宋体"/>
          <w:b/>
          <w:highlight w:val="none"/>
          <w:u w:color="FF0000"/>
        </w:rPr>
      </w:pPr>
    </w:p>
    <w:p w14:paraId="43C59C7A">
      <w:pPr>
        <w:snapToGrid w:val="0"/>
        <w:rPr>
          <w:rStyle w:val="43"/>
          <w:rFonts w:ascii="宋体" w:hAnsi="宋体"/>
          <w:b/>
          <w:highlight w:val="none"/>
        </w:rPr>
      </w:pPr>
    </w:p>
    <w:p w14:paraId="3D41C82F">
      <w:pPr>
        <w:pStyle w:val="37"/>
        <w:snapToGrid w:val="0"/>
        <w:rPr>
          <w:rStyle w:val="43"/>
          <w:highlight w:val="none"/>
          <w:u w:color="FF0000"/>
        </w:rPr>
      </w:pPr>
    </w:p>
    <w:p w14:paraId="36C439F3">
      <w:pPr>
        <w:snapToGrid w:val="0"/>
        <w:rPr>
          <w:rStyle w:val="43"/>
          <w:highlight w:val="none"/>
        </w:rPr>
      </w:pPr>
    </w:p>
    <w:p w14:paraId="5A1B2069">
      <w:pPr>
        <w:rPr>
          <w:rStyle w:val="43"/>
          <w:rFonts w:ascii="宋体" w:hAnsi="宋体"/>
          <w:b/>
          <w:highlight w:val="none"/>
        </w:rPr>
      </w:pPr>
    </w:p>
    <w:p w14:paraId="110DA542">
      <w:pPr>
        <w:pStyle w:val="9"/>
        <w:rPr>
          <w:highlight w:val="none"/>
        </w:rPr>
      </w:pPr>
    </w:p>
    <w:p w14:paraId="26FE784F">
      <w:pPr>
        <w:pStyle w:val="55"/>
        <w:snapToGrid w:val="0"/>
        <w:ind w:firstLineChars="0"/>
        <w:rPr>
          <w:rStyle w:val="43"/>
          <w:rFonts w:ascii="宋体" w:hAnsi="宋体"/>
          <w:b/>
          <w:highlight w:val="none"/>
        </w:rPr>
      </w:pPr>
    </w:p>
    <w:p w14:paraId="4D57B01E">
      <w:pPr>
        <w:tabs>
          <w:tab w:val="left" w:pos="5145"/>
        </w:tabs>
        <w:snapToGrid w:val="0"/>
        <w:rPr>
          <w:rStyle w:val="43"/>
          <w:rFonts w:ascii="宋体" w:hAnsi="宋体"/>
          <w:b/>
          <w:highlight w:val="none"/>
        </w:rPr>
      </w:pPr>
    </w:p>
    <w:p w14:paraId="03EA1850">
      <w:pPr>
        <w:tabs>
          <w:tab w:val="left" w:pos="7560"/>
        </w:tabs>
        <w:snapToGrid w:val="0"/>
        <w:spacing w:line="480" w:lineRule="auto"/>
        <w:ind w:firstLine="1968" w:firstLineChars="700"/>
        <w:outlineLvl w:val="0"/>
        <w:rPr>
          <w:rStyle w:val="43"/>
          <w:rFonts w:ascii="宋体" w:hAnsi="宋体"/>
          <w:b/>
          <w:sz w:val="28"/>
          <w:szCs w:val="28"/>
          <w:highlight w:val="none"/>
        </w:rPr>
      </w:pPr>
      <w:bookmarkStart w:id="0" w:name="_Toc5779"/>
      <w:bookmarkStart w:id="1" w:name="_Toc13672"/>
      <w:r>
        <w:rPr>
          <w:rStyle w:val="43"/>
          <w:rFonts w:hint="eastAsia" w:ascii="宋体" w:hAnsi="宋体"/>
          <w:b/>
          <w:sz w:val="28"/>
          <w:szCs w:val="28"/>
          <w:highlight w:val="none"/>
        </w:rPr>
        <w:t>采   购   人：</w:t>
      </w:r>
      <w:bookmarkEnd w:id="0"/>
      <w:bookmarkEnd w:id="1"/>
      <w:r>
        <w:rPr>
          <w:rStyle w:val="43"/>
          <w:rFonts w:hint="eastAsia" w:ascii="宋体" w:hAnsi="宋体"/>
          <w:b/>
          <w:sz w:val="28"/>
          <w:szCs w:val="28"/>
          <w:highlight w:val="none"/>
        </w:rPr>
        <w:t xml:space="preserve">西安市公安局高新分局     </w:t>
      </w:r>
    </w:p>
    <w:p w14:paraId="365C583D">
      <w:pPr>
        <w:tabs>
          <w:tab w:val="left" w:pos="7560"/>
        </w:tabs>
        <w:snapToGrid w:val="0"/>
        <w:spacing w:line="480" w:lineRule="auto"/>
        <w:ind w:firstLine="970" w:firstLineChars="345"/>
        <w:outlineLvl w:val="0"/>
        <w:rPr>
          <w:rStyle w:val="43"/>
          <w:rFonts w:ascii="宋体" w:hAnsi="宋体"/>
          <w:b/>
          <w:sz w:val="28"/>
          <w:szCs w:val="28"/>
          <w:highlight w:val="none"/>
        </w:rPr>
      </w:pPr>
      <w:r>
        <w:rPr>
          <w:rStyle w:val="43"/>
          <w:rFonts w:hint="eastAsia" w:ascii="宋体" w:hAnsi="宋体"/>
          <w:b/>
          <w:sz w:val="28"/>
          <w:szCs w:val="28"/>
          <w:highlight w:val="none"/>
        </w:rPr>
        <w:t xml:space="preserve">       </w:t>
      </w:r>
      <w:bookmarkStart w:id="2" w:name="_Toc4909"/>
      <w:bookmarkStart w:id="3" w:name="_Toc4629"/>
      <w:r>
        <w:rPr>
          <w:rStyle w:val="43"/>
          <w:rFonts w:hint="eastAsia" w:ascii="宋体" w:hAnsi="宋体"/>
          <w:b/>
          <w:sz w:val="28"/>
          <w:szCs w:val="28"/>
          <w:highlight w:val="none"/>
        </w:rPr>
        <w:t>招标代理机构：龙寰项目管理咨询有限公司</w:t>
      </w:r>
      <w:bookmarkEnd w:id="2"/>
      <w:bookmarkEnd w:id="3"/>
    </w:p>
    <w:p w14:paraId="651A5B11">
      <w:pPr>
        <w:tabs>
          <w:tab w:val="left" w:pos="7560"/>
        </w:tabs>
        <w:snapToGrid w:val="0"/>
        <w:spacing w:line="480" w:lineRule="auto"/>
        <w:ind w:firstLine="970" w:firstLineChars="345"/>
        <w:outlineLvl w:val="0"/>
        <w:rPr>
          <w:rStyle w:val="43"/>
          <w:rFonts w:ascii="宋体" w:hAnsi="宋体"/>
          <w:b/>
          <w:sz w:val="28"/>
          <w:szCs w:val="28"/>
          <w:highlight w:val="none"/>
        </w:rPr>
      </w:pPr>
      <w:r>
        <w:rPr>
          <w:rStyle w:val="43"/>
          <w:rFonts w:ascii="宋体" w:hAnsi="宋体"/>
          <w:b/>
          <w:sz w:val="28"/>
          <w:szCs w:val="28"/>
          <w:highlight w:val="none"/>
        </w:rPr>
        <w:t xml:space="preserve">  </w:t>
      </w:r>
      <w:r>
        <w:rPr>
          <w:rStyle w:val="43"/>
          <w:rFonts w:hint="eastAsia" w:ascii="宋体" w:hAnsi="宋体"/>
          <w:b/>
          <w:sz w:val="28"/>
          <w:szCs w:val="28"/>
          <w:highlight w:val="none"/>
        </w:rPr>
        <w:t xml:space="preserve"> </w:t>
      </w:r>
      <w:r>
        <w:rPr>
          <w:rStyle w:val="43"/>
          <w:rFonts w:ascii="宋体" w:hAnsi="宋体"/>
          <w:b/>
          <w:sz w:val="28"/>
          <w:szCs w:val="28"/>
          <w:highlight w:val="none"/>
        </w:rPr>
        <w:t xml:space="preserve"> </w:t>
      </w:r>
      <w:r>
        <w:rPr>
          <w:rStyle w:val="43"/>
          <w:rFonts w:hint="eastAsia" w:ascii="宋体" w:hAnsi="宋体"/>
          <w:b/>
          <w:sz w:val="28"/>
          <w:szCs w:val="28"/>
          <w:highlight w:val="none"/>
        </w:rPr>
        <w:t xml:space="preserve">   </w:t>
      </w:r>
      <w:bookmarkStart w:id="4" w:name="_Toc5260"/>
      <w:bookmarkStart w:id="5" w:name="_Toc31355"/>
      <w:r>
        <w:rPr>
          <w:rStyle w:val="43"/>
          <w:rFonts w:ascii="宋体" w:hAnsi="宋体"/>
          <w:b/>
          <w:sz w:val="28"/>
          <w:szCs w:val="28"/>
          <w:highlight w:val="none"/>
        </w:rPr>
        <w:t>日        期：二〇二</w:t>
      </w:r>
      <w:r>
        <w:rPr>
          <w:rStyle w:val="43"/>
          <w:rFonts w:hint="eastAsia" w:ascii="宋体" w:hAnsi="宋体"/>
          <w:b/>
          <w:sz w:val="28"/>
          <w:szCs w:val="28"/>
          <w:highlight w:val="none"/>
        </w:rPr>
        <w:t>五</w:t>
      </w:r>
      <w:r>
        <w:rPr>
          <w:rStyle w:val="43"/>
          <w:rFonts w:ascii="宋体" w:hAnsi="宋体"/>
          <w:b/>
          <w:sz w:val="28"/>
          <w:szCs w:val="28"/>
          <w:highlight w:val="none"/>
        </w:rPr>
        <w:t>年</w:t>
      </w:r>
      <w:r>
        <w:rPr>
          <w:rStyle w:val="43"/>
          <w:rFonts w:hint="eastAsia" w:ascii="宋体" w:hAnsi="宋体"/>
          <w:b/>
          <w:sz w:val="28"/>
          <w:szCs w:val="28"/>
          <w:highlight w:val="none"/>
          <w:lang w:val="en-US" w:eastAsia="zh-CN"/>
        </w:rPr>
        <w:t>三</w:t>
      </w:r>
      <w:r>
        <w:rPr>
          <w:rStyle w:val="43"/>
          <w:rFonts w:ascii="宋体" w:hAnsi="宋体"/>
          <w:b/>
          <w:sz w:val="28"/>
          <w:szCs w:val="28"/>
          <w:highlight w:val="none"/>
        </w:rPr>
        <w:t>月</w:t>
      </w:r>
      <w:bookmarkEnd w:id="4"/>
      <w:bookmarkEnd w:id="5"/>
      <w:r>
        <w:rPr>
          <w:rStyle w:val="43"/>
          <w:rFonts w:ascii="宋体" w:hAnsi="宋体"/>
          <w:b/>
          <w:sz w:val="28"/>
          <w:szCs w:val="28"/>
          <w:highlight w:val="none"/>
        </w:rPr>
        <w:tab/>
      </w:r>
    </w:p>
    <w:p w14:paraId="0CA7A781">
      <w:pPr>
        <w:snapToGrid w:val="0"/>
        <w:spacing w:line="360" w:lineRule="auto"/>
        <w:jc w:val="center"/>
        <w:rPr>
          <w:rStyle w:val="43"/>
          <w:rFonts w:ascii="宋体" w:hAnsi="宋体"/>
          <w:b/>
          <w:highlight w:val="none"/>
        </w:rPr>
        <w:sectPr>
          <w:footerReference r:id="rId3" w:type="default"/>
          <w:pgSz w:w="11907" w:h="16839"/>
          <w:pgMar w:top="1327" w:right="1080" w:bottom="1157" w:left="1080" w:header="907" w:footer="794" w:gutter="0"/>
          <w:cols w:space="720" w:num="1"/>
        </w:sectPr>
      </w:pPr>
    </w:p>
    <w:p w14:paraId="014C0ABB">
      <w:pPr>
        <w:snapToGrid w:val="0"/>
        <w:spacing w:line="360" w:lineRule="auto"/>
        <w:jc w:val="center"/>
        <w:rPr>
          <w:rStyle w:val="43"/>
          <w:rFonts w:ascii="宋体" w:hAnsi="宋体"/>
          <w:b/>
          <w:highlight w:val="none"/>
        </w:rPr>
      </w:pPr>
      <w:r>
        <w:rPr>
          <w:rStyle w:val="43"/>
          <w:rFonts w:ascii="宋体" w:hAnsi="宋体"/>
          <w:b/>
          <w:highlight w:val="none"/>
        </w:rPr>
        <w:t xml:space="preserve">  </w:t>
      </w:r>
    </w:p>
    <w:sdt>
      <w:sdtPr>
        <w:rPr>
          <w:rFonts w:ascii="宋体" w:hAnsi="宋体"/>
          <w:color w:val="FF0000"/>
          <w:sz w:val="28"/>
          <w:highlight w:val="none"/>
          <w:u w:val="single"/>
        </w:rPr>
        <w:id w:val="147480515"/>
        <w:docPartObj>
          <w:docPartGallery w:val="Table of Contents"/>
          <w:docPartUnique/>
        </w:docPartObj>
      </w:sdtPr>
      <w:sdtEndPr>
        <w:rPr>
          <w:rFonts w:ascii="宋体" w:hAnsi="宋体" w:cs="Times New Roman"/>
          <w:bCs/>
          <w:color w:val="000000"/>
          <w:sz w:val="28"/>
          <w:szCs w:val="21"/>
          <w:highlight w:val="none"/>
          <w:u w:val="single" w:color="FF0000"/>
        </w:rPr>
      </w:sdtEndPr>
      <w:sdtContent>
        <w:p w14:paraId="07EF7260">
          <w:pPr>
            <w:jc w:val="center"/>
            <w:rPr>
              <w:highlight w:val="none"/>
            </w:rPr>
          </w:pPr>
          <w:r>
            <w:rPr>
              <w:rFonts w:ascii="宋体" w:hAnsi="宋体"/>
              <w:sz w:val="36"/>
              <w:szCs w:val="36"/>
              <w:highlight w:val="none"/>
            </w:rPr>
            <w:t>目</w:t>
          </w:r>
          <w:r>
            <w:rPr>
              <w:rFonts w:hint="eastAsia" w:ascii="宋体" w:hAnsi="宋体"/>
              <w:sz w:val="36"/>
              <w:szCs w:val="36"/>
              <w:highlight w:val="none"/>
            </w:rPr>
            <w:t xml:space="preserve">  </w:t>
          </w:r>
          <w:r>
            <w:rPr>
              <w:rFonts w:ascii="宋体" w:hAnsi="宋体"/>
              <w:sz w:val="36"/>
              <w:szCs w:val="36"/>
              <w:highlight w:val="none"/>
            </w:rPr>
            <w:t>录</w:t>
          </w:r>
        </w:p>
        <w:p w14:paraId="29C85B6D">
          <w:pPr>
            <w:pStyle w:val="17"/>
            <w:tabs>
              <w:tab w:val="right" w:leader="dot" w:pos="9747"/>
            </w:tabs>
            <w:rPr>
              <w:highlight w:val="none"/>
            </w:rPr>
          </w:pPr>
          <w:r>
            <w:rPr>
              <w:rStyle w:val="43"/>
              <w:highlight w:val="none"/>
            </w:rPr>
            <w:fldChar w:fldCharType="begin"/>
          </w:r>
          <w:r>
            <w:rPr>
              <w:rStyle w:val="43"/>
              <w:rFonts w:ascii="宋体" w:hAnsi="宋体" w:cs="Times New Roman"/>
              <w:bCs/>
              <w:color w:val="000000"/>
              <w:szCs w:val="21"/>
              <w:highlight w:val="none"/>
              <w:u w:val="single" w:color="FF0000"/>
            </w:rPr>
            <w:instrText xml:space="preserve">TOC \o "1-1" \h \u </w:instrText>
          </w:r>
          <w:r>
            <w:rPr>
              <w:rStyle w:val="43"/>
              <w:highlight w:val="none"/>
            </w:rPr>
            <w:fldChar w:fldCharType="separate"/>
          </w:r>
        </w:p>
        <w:p w14:paraId="1DA05D01">
          <w:pPr>
            <w:pStyle w:val="17"/>
            <w:tabs>
              <w:tab w:val="right" w:leader="dot" w:pos="9747"/>
            </w:tabs>
            <w:spacing w:line="480" w:lineRule="auto"/>
            <w:rPr>
              <w:highlight w:val="none"/>
            </w:rPr>
          </w:pPr>
          <w:r>
            <w:rPr>
              <w:highlight w:val="none"/>
            </w:rPr>
            <w:fldChar w:fldCharType="begin"/>
          </w:r>
          <w:r>
            <w:rPr>
              <w:highlight w:val="none"/>
            </w:rPr>
            <w:instrText xml:space="preserve"> HYPERLINK \l "_Toc9116" </w:instrText>
          </w:r>
          <w:r>
            <w:rPr>
              <w:highlight w:val="none"/>
            </w:rPr>
            <w:fldChar w:fldCharType="separate"/>
          </w:r>
          <w:r>
            <w:rPr>
              <w:rFonts w:ascii="宋体" w:hAnsi="宋体"/>
              <w:szCs w:val="32"/>
              <w:highlight w:val="none"/>
            </w:rPr>
            <w:t>第一章  招标公告</w:t>
          </w:r>
          <w:r>
            <w:rPr>
              <w:highlight w:val="none"/>
            </w:rPr>
            <w:tab/>
          </w:r>
          <w:r>
            <w:rPr>
              <w:highlight w:val="none"/>
            </w:rPr>
            <w:fldChar w:fldCharType="begin"/>
          </w:r>
          <w:r>
            <w:rPr>
              <w:highlight w:val="none"/>
            </w:rPr>
            <w:instrText xml:space="preserve"> PAGEREF _Toc9116 \h </w:instrText>
          </w:r>
          <w:r>
            <w:rPr>
              <w:highlight w:val="none"/>
            </w:rPr>
            <w:fldChar w:fldCharType="separate"/>
          </w:r>
          <w:r>
            <w:rPr>
              <w:highlight w:val="none"/>
            </w:rPr>
            <w:t>2</w:t>
          </w:r>
          <w:r>
            <w:rPr>
              <w:highlight w:val="none"/>
            </w:rPr>
            <w:fldChar w:fldCharType="end"/>
          </w:r>
          <w:r>
            <w:rPr>
              <w:highlight w:val="none"/>
            </w:rPr>
            <w:fldChar w:fldCharType="end"/>
          </w:r>
        </w:p>
        <w:p w14:paraId="7B38D0D3">
          <w:pPr>
            <w:pStyle w:val="17"/>
            <w:tabs>
              <w:tab w:val="right" w:leader="dot" w:pos="9747"/>
            </w:tabs>
            <w:spacing w:line="480" w:lineRule="auto"/>
            <w:rPr>
              <w:highlight w:val="none"/>
            </w:rPr>
          </w:pPr>
          <w:r>
            <w:rPr>
              <w:highlight w:val="none"/>
            </w:rPr>
            <w:fldChar w:fldCharType="begin"/>
          </w:r>
          <w:r>
            <w:rPr>
              <w:highlight w:val="none"/>
            </w:rPr>
            <w:instrText xml:space="preserve"> HYPERLINK \l "_Toc4801" </w:instrText>
          </w:r>
          <w:r>
            <w:rPr>
              <w:highlight w:val="none"/>
            </w:rPr>
            <w:fldChar w:fldCharType="separate"/>
          </w:r>
          <w:r>
            <w:rPr>
              <w:rFonts w:ascii="宋体" w:hAnsi="宋体"/>
              <w:kern w:val="0"/>
              <w:szCs w:val="32"/>
              <w:highlight w:val="none"/>
            </w:rPr>
            <w:t>第二章  投标人须知</w:t>
          </w:r>
          <w:r>
            <w:rPr>
              <w:highlight w:val="none"/>
            </w:rPr>
            <w:tab/>
          </w:r>
          <w:r>
            <w:rPr>
              <w:highlight w:val="none"/>
            </w:rPr>
            <w:fldChar w:fldCharType="begin"/>
          </w:r>
          <w:r>
            <w:rPr>
              <w:highlight w:val="none"/>
            </w:rPr>
            <w:instrText xml:space="preserve"> PAGEREF _Toc4801 \h </w:instrText>
          </w:r>
          <w:r>
            <w:rPr>
              <w:highlight w:val="none"/>
            </w:rPr>
            <w:fldChar w:fldCharType="separate"/>
          </w:r>
          <w:r>
            <w:rPr>
              <w:highlight w:val="none"/>
            </w:rPr>
            <w:t>5</w:t>
          </w:r>
          <w:r>
            <w:rPr>
              <w:highlight w:val="none"/>
            </w:rPr>
            <w:fldChar w:fldCharType="end"/>
          </w:r>
          <w:r>
            <w:rPr>
              <w:highlight w:val="none"/>
            </w:rPr>
            <w:fldChar w:fldCharType="end"/>
          </w:r>
        </w:p>
        <w:p w14:paraId="35F5052F">
          <w:pPr>
            <w:pStyle w:val="17"/>
            <w:tabs>
              <w:tab w:val="right" w:leader="dot" w:pos="9747"/>
            </w:tabs>
            <w:spacing w:line="480" w:lineRule="auto"/>
            <w:rPr>
              <w:highlight w:val="none"/>
            </w:rPr>
          </w:pPr>
          <w:r>
            <w:rPr>
              <w:highlight w:val="none"/>
            </w:rPr>
            <w:fldChar w:fldCharType="begin"/>
          </w:r>
          <w:r>
            <w:rPr>
              <w:highlight w:val="none"/>
            </w:rPr>
            <w:instrText xml:space="preserve"> HYPERLINK \l "_Toc4424" </w:instrText>
          </w:r>
          <w:r>
            <w:rPr>
              <w:highlight w:val="none"/>
            </w:rPr>
            <w:fldChar w:fldCharType="separate"/>
          </w:r>
          <w:r>
            <w:rPr>
              <w:rFonts w:ascii="宋体" w:hAnsi="宋体"/>
              <w:szCs w:val="32"/>
              <w:highlight w:val="none"/>
            </w:rPr>
            <w:t>第三章  评标办法</w:t>
          </w:r>
          <w:r>
            <w:rPr>
              <w:highlight w:val="none"/>
            </w:rPr>
            <w:tab/>
          </w:r>
          <w:r>
            <w:rPr>
              <w:highlight w:val="none"/>
            </w:rPr>
            <w:fldChar w:fldCharType="begin"/>
          </w:r>
          <w:r>
            <w:rPr>
              <w:highlight w:val="none"/>
            </w:rPr>
            <w:instrText xml:space="preserve"> PAGEREF _Toc4424 \h </w:instrText>
          </w:r>
          <w:r>
            <w:rPr>
              <w:highlight w:val="none"/>
            </w:rPr>
            <w:fldChar w:fldCharType="separate"/>
          </w:r>
          <w:r>
            <w:rPr>
              <w:highlight w:val="none"/>
            </w:rPr>
            <w:t>20</w:t>
          </w:r>
          <w:r>
            <w:rPr>
              <w:highlight w:val="none"/>
            </w:rPr>
            <w:fldChar w:fldCharType="end"/>
          </w:r>
          <w:r>
            <w:rPr>
              <w:highlight w:val="none"/>
            </w:rPr>
            <w:fldChar w:fldCharType="end"/>
          </w:r>
        </w:p>
        <w:p w14:paraId="54F4CD87">
          <w:pPr>
            <w:pStyle w:val="17"/>
            <w:tabs>
              <w:tab w:val="right" w:leader="dot" w:pos="9747"/>
            </w:tabs>
            <w:spacing w:line="480" w:lineRule="auto"/>
            <w:rPr>
              <w:highlight w:val="none"/>
            </w:rPr>
          </w:pPr>
          <w:r>
            <w:rPr>
              <w:highlight w:val="none"/>
            </w:rPr>
            <w:fldChar w:fldCharType="begin"/>
          </w:r>
          <w:r>
            <w:rPr>
              <w:highlight w:val="none"/>
            </w:rPr>
            <w:instrText xml:space="preserve"> HYPERLINK \l "_Toc3840" </w:instrText>
          </w:r>
          <w:r>
            <w:rPr>
              <w:highlight w:val="none"/>
            </w:rPr>
            <w:fldChar w:fldCharType="separate"/>
          </w:r>
          <w:r>
            <w:rPr>
              <w:rFonts w:hint="eastAsia"/>
              <w:szCs w:val="28"/>
              <w:highlight w:val="none"/>
            </w:rPr>
            <w:t xml:space="preserve">第四章  </w:t>
          </w:r>
          <w:r>
            <w:rPr>
              <w:rFonts w:hint="eastAsia" w:ascii="宋体" w:hAnsi="宋体"/>
              <w:szCs w:val="32"/>
              <w:highlight w:val="none"/>
            </w:rPr>
            <w:t>招标内容和要求</w:t>
          </w:r>
          <w:r>
            <w:rPr>
              <w:highlight w:val="none"/>
            </w:rPr>
            <w:tab/>
          </w:r>
          <w:r>
            <w:rPr>
              <w:highlight w:val="none"/>
            </w:rPr>
            <w:fldChar w:fldCharType="begin"/>
          </w:r>
          <w:r>
            <w:rPr>
              <w:highlight w:val="none"/>
            </w:rPr>
            <w:instrText xml:space="preserve"> PAGEREF _Toc3840 \h </w:instrText>
          </w:r>
          <w:r>
            <w:rPr>
              <w:highlight w:val="none"/>
            </w:rPr>
            <w:fldChar w:fldCharType="separate"/>
          </w:r>
          <w:r>
            <w:rPr>
              <w:highlight w:val="none"/>
            </w:rPr>
            <w:t>26</w:t>
          </w:r>
          <w:r>
            <w:rPr>
              <w:highlight w:val="none"/>
            </w:rPr>
            <w:fldChar w:fldCharType="end"/>
          </w:r>
          <w:r>
            <w:rPr>
              <w:highlight w:val="none"/>
            </w:rPr>
            <w:fldChar w:fldCharType="end"/>
          </w:r>
        </w:p>
        <w:p w14:paraId="408DC544">
          <w:pPr>
            <w:pStyle w:val="17"/>
            <w:tabs>
              <w:tab w:val="right" w:leader="dot" w:pos="9747"/>
            </w:tabs>
            <w:spacing w:line="480" w:lineRule="auto"/>
            <w:rPr>
              <w:highlight w:val="none"/>
            </w:rPr>
          </w:pPr>
          <w:r>
            <w:rPr>
              <w:highlight w:val="none"/>
            </w:rPr>
            <w:fldChar w:fldCharType="begin"/>
          </w:r>
          <w:r>
            <w:rPr>
              <w:highlight w:val="none"/>
            </w:rPr>
            <w:instrText xml:space="preserve"> HYPERLINK \l "_Toc21083" </w:instrText>
          </w:r>
          <w:r>
            <w:rPr>
              <w:highlight w:val="none"/>
            </w:rPr>
            <w:fldChar w:fldCharType="separate"/>
          </w:r>
          <w:r>
            <w:rPr>
              <w:rFonts w:hint="eastAsia" w:ascii="宋体" w:hAnsi="宋体" w:cs="宋体"/>
              <w:szCs w:val="30"/>
              <w:highlight w:val="none"/>
            </w:rPr>
            <w:t>第五章  拟签订的合同文本</w:t>
          </w:r>
          <w:r>
            <w:rPr>
              <w:highlight w:val="none"/>
            </w:rPr>
            <w:tab/>
          </w:r>
          <w:r>
            <w:rPr>
              <w:highlight w:val="none"/>
            </w:rPr>
            <w:fldChar w:fldCharType="begin"/>
          </w:r>
          <w:r>
            <w:rPr>
              <w:highlight w:val="none"/>
            </w:rPr>
            <w:instrText xml:space="preserve"> PAGEREF _Toc21083 \h </w:instrText>
          </w:r>
          <w:r>
            <w:rPr>
              <w:highlight w:val="none"/>
            </w:rPr>
            <w:fldChar w:fldCharType="separate"/>
          </w:r>
          <w:r>
            <w:rPr>
              <w:highlight w:val="none"/>
            </w:rPr>
            <w:t>27</w:t>
          </w:r>
          <w:r>
            <w:rPr>
              <w:highlight w:val="none"/>
            </w:rPr>
            <w:fldChar w:fldCharType="end"/>
          </w:r>
          <w:r>
            <w:rPr>
              <w:highlight w:val="none"/>
            </w:rPr>
            <w:fldChar w:fldCharType="end"/>
          </w:r>
        </w:p>
        <w:p w14:paraId="55002885">
          <w:pPr>
            <w:pStyle w:val="17"/>
            <w:tabs>
              <w:tab w:val="right" w:leader="dot" w:pos="9747"/>
            </w:tabs>
            <w:spacing w:line="480" w:lineRule="auto"/>
            <w:rPr>
              <w:highlight w:val="none"/>
            </w:rPr>
          </w:pPr>
          <w:r>
            <w:rPr>
              <w:highlight w:val="none"/>
            </w:rPr>
            <w:fldChar w:fldCharType="begin"/>
          </w:r>
          <w:r>
            <w:rPr>
              <w:highlight w:val="none"/>
            </w:rPr>
            <w:instrText xml:space="preserve"> HYPERLINK \l "_Toc23969" </w:instrText>
          </w:r>
          <w:r>
            <w:rPr>
              <w:highlight w:val="none"/>
            </w:rPr>
            <w:fldChar w:fldCharType="separate"/>
          </w:r>
          <w:r>
            <w:rPr>
              <w:rFonts w:hint="eastAsia" w:ascii="宋体" w:hAnsi="宋体" w:cs="Times New Roman"/>
              <w:szCs w:val="32"/>
              <w:highlight w:val="none"/>
            </w:rPr>
            <w:t>第六章</w:t>
          </w:r>
          <w:r>
            <w:rPr>
              <w:rFonts w:hint="eastAsia" w:ascii="宋体" w:hAnsi="宋体"/>
              <w:szCs w:val="32"/>
              <w:highlight w:val="none"/>
            </w:rPr>
            <w:t xml:space="preserve">  </w:t>
          </w:r>
          <w:r>
            <w:rPr>
              <w:rFonts w:hint="eastAsia" w:ascii="宋体" w:hAnsi="宋体" w:cs="Times New Roman"/>
              <w:szCs w:val="32"/>
              <w:highlight w:val="none"/>
            </w:rPr>
            <w:t>技术标准及要求</w:t>
          </w:r>
          <w:r>
            <w:rPr>
              <w:highlight w:val="none"/>
            </w:rPr>
            <w:tab/>
          </w:r>
          <w:r>
            <w:rPr>
              <w:highlight w:val="none"/>
            </w:rPr>
            <w:fldChar w:fldCharType="begin"/>
          </w:r>
          <w:r>
            <w:rPr>
              <w:highlight w:val="none"/>
            </w:rPr>
            <w:instrText xml:space="preserve"> PAGEREF _Toc23969 \h </w:instrText>
          </w:r>
          <w:r>
            <w:rPr>
              <w:highlight w:val="none"/>
            </w:rPr>
            <w:fldChar w:fldCharType="separate"/>
          </w:r>
          <w:r>
            <w:rPr>
              <w:highlight w:val="none"/>
            </w:rPr>
            <w:t>95</w:t>
          </w:r>
          <w:r>
            <w:rPr>
              <w:highlight w:val="none"/>
            </w:rPr>
            <w:fldChar w:fldCharType="end"/>
          </w:r>
          <w:r>
            <w:rPr>
              <w:highlight w:val="none"/>
            </w:rPr>
            <w:fldChar w:fldCharType="end"/>
          </w:r>
        </w:p>
        <w:p w14:paraId="66B3DF46">
          <w:pPr>
            <w:pStyle w:val="17"/>
            <w:tabs>
              <w:tab w:val="right" w:leader="dot" w:pos="9747"/>
            </w:tabs>
            <w:spacing w:line="480" w:lineRule="auto"/>
            <w:rPr>
              <w:highlight w:val="none"/>
            </w:rPr>
          </w:pPr>
          <w:r>
            <w:rPr>
              <w:highlight w:val="none"/>
            </w:rPr>
            <w:fldChar w:fldCharType="begin"/>
          </w:r>
          <w:r>
            <w:rPr>
              <w:highlight w:val="none"/>
            </w:rPr>
            <w:instrText xml:space="preserve"> HYPERLINK \l "_Toc12930" </w:instrText>
          </w:r>
          <w:r>
            <w:rPr>
              <w:highlight w:val="none"/>
            </w:rPr>
            <w:fldChar w:fldCharType="separate"/>
          </w:r>
          <w:r>
            <w:rPr>
              <w:rFonts w:hint="eastAsia" w:ascii="宋体" w:hAnsi="宋体" w:cs="Times New Roman"/>
              <w:szCs w:val="32"/>
              <w:highlight w:val="none"/>
            </w:rPr>
            <w:t>第七章  投标文件格式</w:t>
          </w:r>
          <w:r>
            <w:rPr>
              <w:highlight w:val="none"/>
            </w:rPr>
            <w:tab/>
          </w:r>
          <w:r>
            <w:rPr>
              <w:highlight w:val="none"/>
            </w:rPr>
            <w:fldChar w:fldCharType="begin"/>
          </w:r>
          <w:r>
            <w:rPr>
              <w:highlight w:val="none"/>
            </w:rPr>
            <w:instrText xml:space="preserve"> PAGEREF _Toc12930 \h </w:instrText>
          </w:r>
          <w:r>
            <w:rPr>
              <w:highlight w:val="none"/>
            </w:rPr>
            <w:fldChar w:fldCharType="separate"/>
          </w:r>
          <w:r>
            <w:rPr>
              <w:highlight w:val="none"/>
            </w:rPr>
            <w:t>96</w:t>
          </w:r>
          <w:r>
            <w:rPr>
              <w:highlight w:val="none"/>
            </w:rPr>
            <w:fldChar w:fldCharType="end"/>
          </w:r>
          <w:r>
            <w:rPr>
              <w:highlight w:val="none"/>
            </w:rPr>
            <w:fldChar w:fldCharType="end"/>
          </w:r>
        </w:p>
        <w:p w14:paraId="549AD227">
          <w:pPr>
            <w:pStyle w:val="37"/>
            <w:snapToGrid w:val="0"/>
            <w:rPr>
              <w:rFonts w:ascii="宋体" w:hAnsi="宋体" w:cs="Times New Roman"/>
              <w:bCs/>
              <w:color w:val="000000"/>
              <w:szCs w:val="21"/>
              <w:highlight w:val="none"/>
              <w:u w:color="FF0000"/>
            </w:rPr>
          </w:pPr>
          <w:r>
            <w:rPr>
              <w:rFonts w:ascii="宋体" w:hAnsi="宋体" w:cs="Times New Roman"/>
              <w:bCs/>
              <w:color w:val="000000"/>
              <w:szCs w:val="21"/>
              <w:highlight w:val="none"/>
              <w:u w:color="FF0000"/>
            </w:rPr>
            <w:fldChar w:fldCharType="end"/>
          </w:r>
        </w:p>
      </w:sdtContent>
    </w:sdt>
    <w:p w14:paraId="18D01B7D">
      <w:pPr>
        <w:rPr>
          <w:highlight w:val="none"/>
        </w:rPr>
      </w:pPr>
    </w:p>
    <w:p w14:paraId="658CED1E">
      <w:pPr>
        <w:pStyle w:val="37"/>
        <w:snapToGrid w:val="0"/>
        <w:rPr>
          <w:rStyle w:val="43"/>
          <w:rFonts w:ascii="宋体" w:hAnsi="宋体" w:cs="Times New Roman"/>
          <w:bCs/>
          <w:color w:val="000000"/>
          <w:sz w:val="21"/>
          <w:szCs w:val="21"/>
          <w:highlight w:val="none"/>
          <w:u w:val="none"/>
        </w:rPr>
      </w:pPr>
      <w:r>
        <w:rPr>
          <w:rStyle w:val="43"/>
          <w:rFonts w:ascii="宋体" w:hAnsi="宋体" w:cs="Times New Roman"/>
          <w:bCs/>
          <w:color w:val="000000"/>
          <w:sz w:val="21"/>
          <w:szCs w:val="21"/>
          <w:highlight w:val="none"/>
          <w:u w:val="none"/>
        </w:rPr>
        <w:t>附  件   西安公共资源交易不见面开标大厅投标人操作手册</w:t>
      </w:r>
    </w:p>
    <w:p w14:paraId="34A13F31">
      <w:pPr>
        <w:snapToGrid w:val="0"/>
        <w:spacing w:line="440" w:lineRule="exact"/>
        <w:rPr>
          <w:rStyle w:val="43"/>
          <w:rFonts w:ascii="宋体" w:hAnsi="宋体" w:cs="Times New Roman"/>
          <w:b/>
          <w:bCs/>
          <w:sz w:val="30"/>
          <w:szCs w:val="30"/>
          <w:highlight w:val="none"/>
        </w:rPr>
      </w:pPr>
    </w:p>
    <w:p w14:paraId="1DD2FDFB">
      <w:pPr>
        <w:pStyle w:val="2"/>
        <w:rPr>
          <w:rStyle w:val="43"/>
          <w:rFonts w:ascii="宋体" w:hAnsi="宋体"/>
          <w:b/>
          <w:sz w:val="32"/>
          <w:szCs w:val="32"/>
          <w:highlight w:val="none"/>
        </w:rPr>
      </w:pPr>
    </w:p>
    <w:p w14:paraId="2E149086">
      <w:pPr>
        <w:snapToGrid w:val="0"/>
        <w:jc w:val="center"/>
        <w:rPr>
          <w:rStyle w:val="43"/>
          <w:rFonts w:ascii="宋体" w:hAnsi="宋体"/>
          <w:b/>
          <w:sz w:val="32"/>
          <w:szCs w:val="32"/>
          <w:highlight w:val="none"/>
        </w:rPr>
      </w:pPr>
    </w:p>
    <w:p w14:paraId="7DBA0876">
      <w:pPr>
        <w:snapToGrid w:val="0"/>
        <w:rPr>
          <w:rStyle w:val="43"/>
          <w:rFonts w:ascii="宋体" w:hAnsi="宋体"/>
          <w:b/>
          <w:sz w:val="32"/>
          <w:szCs w:val="32"/>
          <w:highlight w:val="none"/>
        </w:rPr>
      </w:pPr>
    </w:p>
    <w:p w14:paraId="650BE071">
      <w:pPr>
        <w:snapToGrid w:val="0"/>
        <w:jc w:val="center"/>
        <w:rPr>
          <w:rStyle w:val="43"/>
          <w:rFonts w:ascii="宋体" w:hAnsi="宋体"/>
          <w:b/>
          <w:sz w:val="32"/>
          <w:szCs w:val="32"/>
          <w:highlight w:val="none"/>
        </w:rPr>
        <w:sectPr>
          <w:footerReference r:id="rId4" w:type="default"/>
          <w:pgSz w:w="11907" w:h="16839"/>
          <w:pgMar w:top="1327" w:right="1080" w:bottom="1157" w:left="1080" w:header="907" w:footer="794" w:gutter="0"/>
          <w:pgNumType w:start="1"/>
          <w:cols w:space="720" w:num="1"/>
        </w:sectPr>
      </w:pPr>
    </w:p>
    <w:p w14:paraId="708C0F0F">
      <w:pPr>
        <w:snapToGrid w:val="0"/>
        <w:jc w:val="center"/>
        <w:outlineLvl w:val="0"/>
        <w:rPr>
          <w:rStyle w:val="43"/>
          <w:rFonts w:ascii="宋体" w:hAnsi="宋体"/>
          <w:b/>
          <w:sz w:val="32"/>
          <w:szCs w:val="32"/>
          <w:highlight w:val="none"/>
        </w:rPr>
      </w:pPr>
      <w:bookmarkStart w:id="6" w:name="_Toc9116"/>
      <w:r>
        <w:rPr>
          <w:rStyle w:val="43"/>
          <w:rFonts w:ascii="宋体" w:hAnsi="宋体"/>
          <w:b/>
          <w:sz w:val="32"/>
          <w:szCs w:val="32"/>
          <w:highlight w:val="none"/>
        </w:rPr>
        <w:t>第一章  招标公告</w:t>
      </w:r>
      <w:bookmarkEnd w:id="6"/>
    </w:p>
    <w:p w14:paraId="462B9178">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项目概况</w:t>
      </w:r>
    </w:p>
    <w:p w14:paraId="5D1D20A8">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西安市公安局高新分局执法办案管理中心升级改造项目招标项目的潜在投标人应在全国公共资源交易平台（陕西省·西安市）网站〖首页〉电子交易平台〉陕西政府采购交易系统〉企业端〗获取招标文件，并于2025年</w:t>
      </w:r>
      <w:r>
        <w:rPr>
          <w:rFonts w:hint="eastAsia" w:cs="宋体" w:asciiTheme="minorEastAsia" w:hAnsiTheme="minorEastAsia" w:eastAsiaTheme="minorEastAsia"/>
          <w:szCs w:val="21"/>
          <w:highlight w:val="none"/>
          <w:lang w:val="en-US" w:eastAsia="zh-CN"/>
        </w:rPr>
        <w:t>03</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25</w:t>
      </w:r>
      <w:r>
        <w:rPr>
          <w:rFonts w:hint="eastAsia" w:cs="宋体" w:asciiTheme="minorEastAsia" w:hAnsiTheme="minorEastAsia" w:eastAsiaTheme="minorEastAsia"/>
          <w:szCs w:val="21"/>
          <w:highlight w:val="none"/>
        </w:rPr>
        <w:t>日09时30分（北京时间）前递交投标文件。</w:t>
      </w:r>
    </w:p>
    <w:p w14:paraId="6E94D90C">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一、项目基本情况</w:t>
      </w:r>
    </w:p>
    <w:p w14:paraId="37562096">
      <w:pPr>
        <w:adjustRightInd w:val="0"/>
        <w:snapToGrid w:val="0"/>
        <w:spacing w:line="36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项目编号：</w:t>
      </w:r>
      <w:r>
        <w:rPr>
          <w:rFonts w:hint="eastAsia" w:cs="宋体" w:asciiTheme="minorEastAsia" w:hAnsiTheme="minorEastAsia" w:eastAsiaTheme="minorEastAsia"/>
          <w:szCs w:val="21"/>
          <w:highlight w:val="none"/>
          <w:lang w:eastAsia="zh-CN"/>
        </w:rPr>
        <w:t>LZBD2025-196</w:t>
      </w:r>
    </w:p>
    <w:p w14:paraId="0B28F4C1">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项目名称：西安市公安局高新分局执法办案管理中心升级改造项目</w:t>
      </w:r>
    </w:p>
    <w:p w14:paraId="556F8AC3">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采购方式：公开招标</w:t>
      </w:r>
    </w:p>
    <w:p w14:paraId="130733E9">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预算金额：5,</w:t>
      </w:r>
      <w:r>
        <w:rPr>
          <w:rFonts w:hint="eastAsia" w:cs="宋体" w:asciiTheme="minorEastAsia" w:hAnsiTheme="minorEastAsia" w:eastAsiaTheme="minorEastAsia"/>
          <w:szCs w:val="21"/>
          <w:highlight w:val="none"/>
          <w:lang w:val="en-US" w:eastAsia="zh-CN"/>
        </w:rPr>
        <w:t>239</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555</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09</w:t>
      </w:r>
      <w:r>
        <w:rPr>
          <w:rFonts w:hint="eastAsia" w:cs="宋体" w:asciiTheme="minorEastAsia" w:hAnsiTheme="minorEastAsia" w:eastAsiaTheme="minorEastAsia"/>
          <w:szCs w:val="21"/>
          <w:highlight w:val="none"/>
        </w:rPr>
        <w:t>元</w:t>
      </w:r>
    </w:p>
    <w:p w14:paraId="76B3626C">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采购需求：</w:t>
      </w:r>
    </w:p>
    <w:p w14:paraId="632803B6">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合同包1(西安市公安局高新分局执法办案管理中心升级改造项目)：</w:t>
      </w:r>
    </w:p>
    <w:p w14:paraId="5769EDD2">
      <w:pPr>
        <w:adjustRightInd w:val="0"/>
        <w:snapToGrid w:val="0"/>
        <w:spacing w:line="360" w:lineRule="auto"/>
        <w:ind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合同包预算金额：</w:t>
      </w:r>
      <w:r>
        <w:rPr>
          <w:rFonts w:hint="eastAsia" w:cs="宋体" w:asciiTheme="minorEastAsia" w:hAnsiTheme="minorEastAsia" w:eastAsiaTheme="minorEastAsia"/>
          <w:szCs w:val="21"/>
          <w:highlight w:val="none"/>
          <w:lang w:eastAsia="zh-CN"/>
        </w:rPr>
        <w:t>5,239,555.09</w:t>
      </w:r>
      <w:r>
        <w:rPr>
          <w:rFonts w:hint="eastAsia" w:cs="宋体" w:asciiTheme="minorEastAsia" w:hAnsiTheme="minorEastAsia" w:eastAsiaTheme="minorEastAsia"/>
          <w:szCs w:val="21"/>
          <w:highlight w:val="none"/>
        </w:rPr>
        <w:t>元</w:t>
      </w:r>
    </w:p>
    <w:p w14:paraId="76E86BE9">
      <w:pPr>
        <w:adjustRightInd w:val="0"/>
        <w:snapToGrid w:val="0"/>
        <w:spacing w:line="360" w:lineRule="auto"/>
        <w:ind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合同包最高限价：</w:t>
      </w:r>
      <w:r>
        <w:rPr>
          <w:rFonts w:hint="eastAsia" w:cs="宋体" w:asciiTheme="minorEastAsia" w:hAnsiTheme="minorEastAsia" w:eastAsiaTheme="minorEastAsia"/>
          <w:szCs w:val="21"/>
          <w:highlight w:val="none"/>
          <w:lang w:eastAsia="zh-CN"/>
        </w:rPr>
        <w:t>5,239,555.09</w:t>
      </w:r>
      <w:r>
        <w:rPr>
          <w:rFonts w:hint="eastAsia" w:cs="宋体" w:asciiTheme="minorEastAsia" w:hAnsiTheme="minorEastAsia" w:eastAsiaTheme="minorEastAsia"/>
          <w:szCs w:val="21"/>
          <w:highlight w:val="none"/>
        </w:rPr>
        <w:t>元</w:t>
      </w:r>
    </w:p>
    <w:tbl>
      <w:tblPr>
        <w:tblStyle w:val="25"/>
        <w:tblW w:w="8798" w:type="dxa"/>
        <w:tblInd w:w="-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1"/>
        <w:gridCol w:w="1435"/>
        <w:gridCol w:w="1010"/>
        <w:gridCol w:w="1100"/>
        <w:gridCol w:w="1070"/>
        <w:gridCol w:w="1526"/>
        <w:gridCol w:w="1526"/>
      </w:tblGrid>
      <w:tr w14:paraId="16A42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1" w:type="dxa"/>
            <w:vAlign w:val="center"/>
          </w:tcPr>
          <w:p w14:paraId="2A2B86DE">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品目号</w:t>
            </w:r>
          </w:p>
        </w:tc>
        <w:tc>
          <w:tcPr>
            <w:tcW w:w="1435" w:type="dxa"/>
            <w:vAlign w:val="center"/>
          </w:tcPr>
          <w:p w14:paraId="3BEADA47">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品目名称</w:t>
            </w:r>
          </w:p>
        </w:tc>
        <w:tc>
          <w:tcPr>
            <w:tcW w:w="1010" w:type="dxa"/>
            <w:vAlign w:val="center"/>
          </w:tcPr>
          <w:p w14:paraId="4828A059">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采购标的</w:t>
            </w:r>
          </w:p>
        </w:tc>
        <w:tc>
          <w:tcPr>
            <w:tcW w:w="1100" w:type="dxa"/>
            <w:vAlign w:val="center"/>
          </w:tcPr>
          <w:p w14:paraId="5289890A">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数量</w:t>
            </w:r>
          </w:p>
          <w:p w14:paraId="6E687452">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（单位）</w:t>
            </w:r>
          </w:p>
        </w:tc>
        <w:tc>
          <w:tcPr>
            <w:tcW w:w="1070" w:type="dxa"/>
            <w:vAlign w:val="center"/>
          </w:tcPr>
          <w:p w14:paraId="6707D5C2">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技术规格、参数及要求</w:t>
            </w:r>
          </w:p>
        </w:tc>
        <w:tc>
          <w:tcPr>
            <w:tcW w:w="1526" w:type="dxa"/>
            <w:vAlign w:val="center"/>
          </w:tcPr>
          <w:p w14:paraId="7ED50280">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品目预算(元)</w:t>
            </w:r>
          </w:p>
        </w:tc>
        <w:tc>
          <w:tcPr>
            <w:tcW w:w="1526" w:type="dxa"/>
            <w:vAlign w:val="center"/>
          </w:tcPr>
          <w:p w14:paraId="19C13AB1">
            <w:pPr>
              <w:adjustRightInd w:val="0"/>
              <w:snapToGrid w:val="0"/>
              <w:jc w:val="center"/>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最高限价(元)</w:t>
            </w:r>
          </w:p>
        </w:tc>
      </w:tr>
      <w:tr w14:paraId="7783E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1" w:type="dxa"/>
            <w:vAlign w:val="center"/>
          </w:tcPr>
          <w:p w14:paraId="570D8F11">
            <w:pPr>
              <w:adjustRightInd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435" w:type="dxa"/>
            <w:vAlign w:val="center"/>
          </w:tcPr>
          <w:p w14:paraId="29CCD775">
            <w:pPr>
              <w:adjustRightInd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西安市公安局高新分局执法办案管理中心升级改造项目</w:t>
            </w:r>
          </w:p>
        </w:tc>
        <w:tc>
          <w:tcPr>
            <w:tcW w:w="1010" w:type="dxa"/>
            <w:vAlign w:val="center"/>
          </w:tcPr>
          <w:p w14:paraId="63059567">
            <w:pPr>
              <w:adjustRightInd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100" w:type="dxa"/>
            <w:vAlign w:val="center"/>
          </w:tcPr>
          <w:p w14:paraId="48195B0C">
            <w:pPr>
              <w:adjustRightInd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1(项)</w:t>
            </w:r>
          </w:p>
        </w:tc>
        <w:tc>
          <w:tcPr>
            <w:tcW w:w="1070" w:type="dxa"/>
            <w:vAlign w:val="center"/>
          </w:tcPr>
          <w:p w14:paraId="1AF8C9FF">
            <w:pPr>
              <w:adjustRightInd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详见采购文件</w:t>
            </w:r>
          </w:p>
        </w:tc>
        <w:tc>
          <w:tcPr>
            <w:tcW w:w="1526" w:type="dxa"/>
            <w:vAlign w:val="center"/>
          </w:tcPr>
          <w:p w14:paraId="7323A170">
            <w:pPr>
              <w:adjustRightInd w:val="0"/>
              <w:snapToGrid w:val="0"/>
              <w:jc w:val="center"/>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lang w:eastAsia="zh-CN"/>
              </w:rPr>
              <w:t>5,239,555.09</w:t>
            </w:r>
          </w:p>
        </w:tc>
        <w:tc>
          <w:tcPr>
            <w:tcW w:w="1526" w:type="dxa"/>
            <w:vAlign w:val="center"/>
          </w:tcPr>
          <w:p w14:paraId="17B99FD4">
            <w:pPr>
              <w:adjustRightInd w:val="0"/>
              <w:snapToGrid w:val="0"/>
              <w:jc w:val="center"/>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lang w:eastAsia="zh-CN"/>
              </w:rPr>
              <w:t>5,239,555.09</w:t>
            </w:r>
          </w:p>
        </w:tc>
      </w:tr>
    </w:tbl>
    <w:p w14:paraId="284C1475">
      <w:pPr>
        <w:adjustRightInd w:val="0"/>
        <w:snapToGrid w:val="0"/>
        <w:spacing w:line="360" w:lineRule="auto"/>
        <w:ind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本合同包不接受联合体投标</w:t>
      </w:r>
    </w:p>
    <w:p w14:paraId="57A84FD1">
      <w:pPr>
        <w:adjustRightInd w:val="0"/>
        <w:snapToGrid w:val="0"/>
        <w:spacing w:line="360" w:lineRule="auto"/>
        <w:ind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合同履行期限：合同签订后75个日历天（具体开工日期以收到采购人通知为准）。</w:t>
      </w:r>
    </w:p>
    <w:p w14:paraId="24A18950">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二、申请人的资格要求：</w:t>
      </w:r>
    </w:p>
    <w:p w14:paraId="6EFD8172">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1.满足《中华人民共和国政府采购法》第二十二条规定;</w:t>
      </w:r>
    </w:p>
    <w:p w14:paraId="28BEF653">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2.落实政府采购政策需满足的资格要求：</w:t>
      </w:r>
    </w:p>
    <w:p w14:paraId="3B1601BB">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合同包1(西安市公安局高新分局执法办案管理中心升级改造项目)落实政府采购政策需满足的资格要求如下：</w:t>
      </w:r>
    </w:p>
    <w:p w14:paraId="611AB61E">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本采购包专门面向中小企业采购（残疾人福利性单位、监狱企业视同小型、微型企业）。</w:t>
      </w:r>
    </w:p>
    <w:p w14:paraId="418DAE7A">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3.本项目的特定资格要求：</w:t>
      </w:r>
    </w:p>
    <w:p w14:paraId="747904CA">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合同包1(西安市公安局高新分局执法办案管理中心升级改造项目)特定资格要求如下：</w:t>
      </w:r>
    </w:p>
    <w:p w14:paraId="3027CA62">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3.1投标人为合法注册的法人、其他组织或自然人；</w:t>
      </w:r>
    </w:p>
    <w:p w14:paraId="75A66CB4">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w:t>
      </w:r>
      <w:r>
        <w:rPr>
          <w:highlight w:val="none"/>
        </w:rPr>
        <w:t>具备</w:t>
      </w:r>
      <w:r>
        <w:rPr>
          <w:rFonts w:hint="eastAsia"/>
          <w:highlight w:val="none"/>
          <w:lang w:val="en-US" w:eastAsia="zh-CN"/>
        </w:rPr>
        <w:t>电子与智能化工程专业承包二级</w:t>
      </w:r>
      <w:r>
        <w:rPr>
          <w:highlight w:val="none"/>
        </w:rPr>
        <w:t>（含</w:t>
      </w:r>
      <w:r>
        <w:rPr>
          <w:rFonts w:hint="eastAsia"/>
          <w:highlight w:val="none"/>
        </w:rPr>
        <w:t>二</w:t>
      </w:r>
      <w:r>
        <w:rPr>
          <w:highlight w:val="none"/>
        </w:rPr>
        <w:t>级）以上资质</w:t>
      </w:r>
      <w:r>
        <w:rPr>
          <w:rFonts w:hint="eastAsia"/>
          <w:highlight w:val="none"/>
          <w:lang w:val="en-US" w:eastAsia="zh-CN"/>
        </w:rPr>
        <w:t>及</w:t>
      </w:r>
      <w:r>
        <w:rPr>
          <w:rFonts w:hint="eastAsia"/>
          <w:highlight w:val="none"/>
        </w:rPr>
        <w:t>建筑装修装饰工程专业承包二级</w:t>
      </w:r>
      <w:r>
        <w:rPr>
          <w:highlight w:val="none"/>
        </w:rPr>
        <w:t>（含</w:t>
      </w:r>
      <w:r>
        <w:rPr>
          <w:rFonts w:hint="eastAsia"/>
          <w:highlight w:val="none"/>
        </w:rPr>
        <w:t>二</w:t>
      </w:r>
      <w:r>
        <w:rPr>
          <w:highlight w:val="none"/>
        </w:rPr>
        <w:t>级）以上资质</w:t>
      </w:r>
      <w:r>
        <w:rPr>
          <w:rFonts w:hint="eastAsia" w:cs="宋体" w:asciiTheme="minorEastAsia" w:hAnsiTheme="minorEastAsia" w:eastAsiaTheme="minorEastAsia"/>
          <w:szCs w:val="21"/>
          <w:highlight w:val="none"/>
        </w:rPr>
        <w:t>，并具有合格有效的安全生产许可证；</w:t>
      </w:r>
    </w:p>
    <w:p w14:paraId="10CC127F">
      <w:pPr>
        <w:adjustRightInd w:val="0"/>
        <w:snapToGrid w:val="0"/>
        <w:spacing w:line="36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3.3拟派项目经理须具备建筑工程专业二级及以上建造师资格</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并具备有效的安全生产考核合格证书，在本单位注册且未担任其他在建工程项目的项目经理</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提供项目经理</w:t>
      </w:r>
      <w:r>
        <w:rPr>
          <w:rFonts w:hint="eastAsia" w:cs="宋体" w:asciiTheme="minorEastAsia" w:hAnsiTheme="minorEastAsia" w:eastAsiaTheme="minorEastAsia"/>
          <w:szCs w:val="21"/>
          <w:highlight w:val="none"/>
          <w:lang w:val="en-US" w:eastAsia="zh-CN"/>
        </w:rPr>
        <w:t>无在建</w:t>
      </w:r>
      <w:r>
        <w:rPr>
          <w:rFonts w:hint="eastAsia" w:cs="宋体" w:asciiTheme="minorEastAsia" w:hAnsiTheme="minorEastAsia" w:eastAsiaTheme="minorEastAsia"/>
          <w:szCs w:val="21"/>
          <w:highlight w:val="none"/>
        </w:rPr>
        <w:t>承诺书</w:t>
      </w:r>
      <w:r>
        <w:rPr>
          <w:rFonts w:hint="eastAsia" w:cs="宋体" w:asciiTheme="minorEastAsia" w:hAnsiTheme="minorEastAsia" w:eastAsiaTheme="minorEastAsia"/>
          <w:szCs w:val="21"/>
          <w:highlight w:val="none"/>
          <w:lang w:eastAsia="zh-CN"/>
        </w:rPr>
        <w:t>。</w:t>
      </w:r>
    </w:p>
    <w:p w14:paraId="19F9333D">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3.4投标人不得列入信用中国(www.creditchina.gov.cn)记录失信被执行人、重大税收违法失信主体、中国政府采购网(www.ccgp.gov.cn)的政府采购严重违法失信行为记录名单；</w:t>
      </w:r>
    </w:p>
    <w:p w14:paraId="1F0B7D12">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3.5单位负责人为同一人或者存在直接控股、管理关系的不同投标人，不得参加同一合同项下的政府采购活动。</w:t>
      </w:r>
    </w:p>
    <w:p w14:paraId="757678FD">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三、获取招标文件</w:t>
      </w:r>
    </w:p>
    <w:p w14:paraId="0D1194AC">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时间：2025年</w:t>
      </w:r>
      <w:r>
        <w:rPr>
          <w:rFonts w:hint="eastAsia" w:cs="宋体" w:asciiTheme="minorEastAsia" w:hAnsiTheme="minorEastAsia" w:eastAsiaTheme="minorEastAsia"/>
          <w:szCs w:val="21"/>
          <w:highlight w:val="none"/>
          <w:lang w:val="en-US" w:eastAsia="zh-CN"/>
        </w:rPr>
        <w:t>03</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04</w:t>
      </w:r>
      <w:r>
        <w:rPr>
          <w:rFonts w:hint="eastAsia" w:cs="宋体" w:asciiTheme="minorEastAsia" w:hAnsiTheme="minorEastAsia" w:eastAsiaTheme="minorEastAsia"/>
          <w:szCs w:val="21"/>
          <w:highlight w:val="none"/>
        </w:rPr>
        <w:t>日至2025年</w:t>
      </w:r>
      <w:r>
        <w:rPr>
          <w:rFonts w:hint="eastAsia" w:cs="宋体" w:asciiTheme="minorEastAsia" w:hAnsiTheme="minorEastAsia" w:eastAsiaTheme="minorEastAsia"/>
          <w:szCs w:val="21"/>
          <w:highlight w:val="none"/>
          <w:lang w:val="en-US" w:eastAsia="zh-CN"/>
        </w:rPr>
        <w:t>03</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10</w:t>
      </w:r>
      <w:r>
        <w:rPr>
          <w:rFonts w:hint="eastAsia" w:cs="宋体" w:asciiTheme="minorEastAsia" w:hAnsiTheme="minorEastAsia" w:eastAsiaTheme="minorEastAsia"/>
          <w:szCs w:val="21"/>
          <w:highlight w:val="none"/>
        </w:rPr>
        <w:t>日，每天上午00:00:00至12:00:00，下午12:00:00至23:59:59（北京时间）</w:t>
      </w:r>
    </w:p>
    <w:p w14:paraId="482FFCB6">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途径：全国公共资源交易平台（陕西省·西安市）网站〖首页〉电子交易平台〉陕西政府采购交易系统〉企业端〗</w:t>
      </w:r>
    </w:p>
    <w:p w14:paraId="0FBD7AE9">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方式：在线获取</w:t>
      </w:r>
    </w:p>
    <w:p w14:paraId="58AED718">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售价：0元</w:t>
      </w:r>
    </w:p>
    <w:p w14:paraId="696E2026">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四、提交投标文件截止时间、开标时间和地点</w:t>
      </w:r>
    </w:p>
    <w:p w14:paraId="5A6929AF">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时间：2025年</w:t>
      </w:r>
      <w:r>
        <w:rPr>
          <w:rFonts w:hint="eastAsia" w:cs="宋体" w:asciiTheme="minorEastAsia" w:hAnsiTheme="minorEastAsia" w:eastAsiaTheme="minorEastAsia"/>
          <w:szCs w:val="21"/>
          <w:highlight w:val="none"/>
          <w:lang w:val="en-US" w:eastAsia="zh-CN"/>
        </w:rPr>
        <w:t>03</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25</w:t>
      </w:r>
      <w:r>
        <w:rPr>
          <w:rFonts w:hint="eastAsia" w:cs="宋体" w:asciiTheme="minorEastAsia" w:hAnsiTheme="minorEastAsia" w:eastAsiaTheme="minorEastAsia"/>
          <w:szCs w:val="21"/>
          <w:highlight w:val="none"/>
        </w:rPr>
        <w:t>日09时30分00秒（北京时间）</w:t>
      </w:r>
    </w:p>
    <w:p w14:paraId="3BE58DB8">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提交投标文件地点：全国公共资源交易平台（陕西省·西安市）网站〖首页〉电子交易平台〉陕西政府采购交易系统〉企业端〗，在线提交。</w:t>
      </w:r>
    </w:p>
    <w:p w14:paraId="73B2138D">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开标地点：全国公共资源交易平台（陕西省.西安市）.不见面开标大厅</w:t>
      </w:r>
    </w:p>
    <w:p w14:paraId="440DDC57">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五、公告期限</w:t>
      </w:r>
    </w:p>
    <w:p w14:paraId="6D5A575F">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自本公告发布之日起5个工作日。</w:t>
      </w:r>
    </w:p>
    <w:p w14:paraId="1D11A1A9">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六、其他补充事宜</w:t>
      </w:r>
    </w:p>
    <w:p w14:paraId="6CAF1EEF">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1、供应商初次使用电子交易平台时,请先阅读【全国公共资源交易平台(陕西省·西安市)】 (http://sxggzyjy.xa.gov. cn/)网站〖首页〉服务指南〉下载专区中的《西安市市级单位电子化政府采购项目投标指南》,并按要求完成诚信入库登记 、CA认证及企业信息绑定 。</w:t>
      </w:r>
    </w:p>
    <w:p w14:paraId="4EBE8AE7">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2、办理CA认证:电子交易平台现已接入陕西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3D2A2BEC">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3、请务供应商务必及时下载项目招标文件并做好备份，否则会影响投标文件编制及后续投标活动。</w:t>
      </w:r>
    </w:p>
    <w:p w14:paraId="2F78F21B">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4、本项目采用“不见面开标”形式，供应商可登录全国公共资源交易平台(陕西省·西安市)网站〖首页〉不见面开标 系统，在线参加开标过程。操作手册详见 〖首页〉服务指 南〉下载专区中的 《西安公共资源交易不见面开标大厅供应 商操作手册》。</w:t>
      </w:r>
    </w:p>
    <w:p w14:paraId="58973077">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5、按照陕西省财政厅《关于政府采购供应商注册登记有关事项的通知》中的要求，供应商应通过陕西省政府采购网(http://www.ccgp-shaanxi.gov.cn/)注册登记，加入陕西省政府采购供应商库。</w:t>
      </w:r>
    </w:p>
    <w:p w14:paraId="317CAA73">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6、需要落实的政府采购政策：1）《国务院办公厅关于建立政府强制采购节能产品制度的通知》（国办发〔2007〕51号）；2）《财政部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14184E35">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7、其他事项见本项目招标文件。</w:t>
      </w:r>
    </w:p>
    <w:p w14:paraId="404E722B">
      <w:pPr>
        <w:adjustRightInd w:val="0"/>
        <w:snapToGrid w:val="0"/>
        <w:spacing w:line="360" w:lineRule="auto"/>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七、对本次招标提出询问，请按以下方式联系。</w:t>
      </w:r>
    </w:p>
    <w:p w14:paraId="1E183F7D">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1.采购人信息</w:t>
      </w:r>
    </w:p>
    <w:p w14:paraId="5262BECD">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名称：西安市公安局高新分局</w:t>
      </w:r>
    </w:p>
    <w:p w14:paraId="0DB92D09">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地址：西安市高新区丈八六路金盾大厦</w:t>
      </w:r>
    </w:p>
    <w:p w14:paraId="0C885E25">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联系方式：029-86753939</w:t>
      </w:r>
    </w:p>
    <w:p w14:paraId="43FA9B20">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2.采购代理机构信息</w:t>
      </w:r>
    </w:p>
    <w:p w14:paraId="2EE38D81">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名称：龙寰项目管理咨询有限公司</w:t>
      </w:r>
    </w:p>
    <w:p w14:paraId="235509D5">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地址：陕西省西安市高新区太白南路181号A座A区501室</w:t>
      </w:r>
    </w:p>
    <w:p w14:paraId="1188EC4F">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联系方式：029-88228899-643</w:t>
      </w:r>
    </w:p>
    <w:p w14:paraId="4F771284">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3.项目联系方式</w:t>
      </w:r>
    </w:p>
    <w:p w14:paraId="7A2397DD">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项目联系人：徐小宁、郑蕊、张波</w:t>
      </w:r>
    </w:p>
    <w:p w14:paraId="3FE47514">
      <w:pPr>
        <w:pStyle w:val="20"/>
        <w:spacing w:before="0" w:beforeAutospacing="0" w:after="0" w:afterAutospacing="0" w:line="360" w:lineRule="auto"/>
        <w:ind w:firstLine="384"/>
        <w:jc w:val="both"/>
        <w:rPr>
          <w:rFonts w:cs="宋体" w:asciiTheme="minorEastAsia" w:hAnsiTheme="minorEastAsia" w:eastAsiaTheme="minorEastAsia"/>
          <w:color w:val="333333"/>
          <w:sz w:val="21"/>
          <w:szCs w:val="21"/>
          <w:highlight w:val="none"/>
          <w:shd w:val="clear" w:color="auto" w:fill="FFFFFF"/>
        </w:rPr>
      </w:pPr>
      <w:r>
        <w:rPr>
          <w:rFonts w:hint="eastAsia" w:cs="宋体" w:asciiTheme="minorEastAsia" w:hAnsiTheme="minorEastAsia" w:eastAsiaTheme="minorEastAsia"/>
          <w:sz w:val="21"/>
          <w:szCs w:val="21"/>
          <w:highlight w:val="none"/>
        </w:rPr>
        <w:t>电话：029-88228899-643</w:t>
      </w:r>
    </w:p>
    <w:p w14:paraId="233C9C1F">
      <w:pPr>
        <w:pStyle w:val="20"/>
        <w:spacing w:before="0" w:beforeAutospacing="0" w:after="0" w:afterAutospacing="0" w:line="360" w:lineRule="auto"/>
        <w:ind w:firstLine="384"/>
        <w:jc w:val="both"/>
        <w:rPr>
          <w:rFonts w:cs="宋体"/>
          <w:color w:val="333333"/>
          <w:sz w:val="18"/>
          <w:szCs w:val="18"/>
          <w:highlight w:val="none"/>
          <w:shd w:val="clear" w:color="auto" w:fill="FFFFFF"/>
        </w:rPr>
      </w:pPr>
    </w:p>
    <w:p w14:paraId="7E44D54D">
      <w:pPr>
        <w:pStyle w:val="20"/>
        <w:spacing w:before="0" w:beforeAutospacing="0" w:after="0" w:afterAutospacing="0" w:line="360" w:lineRule="auto"/>
        <w:ind w:firstLine="384"/>
        <w:jc w:val="both"/>
        <w:rPr>
          <w:rFonts w:cs="宋体"/>
          <w:color w:val="333333"/>
          <w:sz w:val="18"/>
          <w:szCs w:val="18"/>
          <w:highlight w:val="none"/>
          <w:shd w:val="clear" w:color="auto" w:fill="FFFFFF"/>
        </w:rPr>
      </w:pPr>
    </w:p>
    <w:p w14:paraId="1A49D9D6">
      <w:pPr>
        <w:jc w:val="left"/>
        <w:textAlignment w:val="auto"/>
        <w:rPr>
          <w:rFonts w:ascii="宋体" w:hAnsi="宋体" w:cs="宋体"/>
          <w:color w:val="333333"/>
          <w:kern w:val="0"/>
          <w:sz w:val="18"/>
          <w:szCs w:val="18"/>
          <w:highlight w:val="none"/>
          <w:shd w:val="clear" w:color="auto" w:fill="FFFFFF"/>
        </w:rPr>
      </w:pPr>
      <w:r>
        <w:rPr>
          <w:rFonts w:cs="宋体"/>
          <w:color w:val="333333"/>
          <w:sz w:val="18"/>
          <w:szCs w:val="18"/>
          <w:highlight w:val="none"/>
          <w:shd w:val="clear" w:color="auto" w:fill="FFFFFF"/>
        </w:rPr>
        <w:br w:type="page"/>
      </w:r>
    </w:p>
    <w:p w14:paraId="1D11D54D">
      <w:pPr>
        <w:pStyle w:val="20"/>
        <w:spacing w:before="0" w:beforeAutospacing="0" w:after="0" w:afterAutospacing="0" w:line="360" w:lineRule="auto"/>
        <w:ind w:firstLine="384"/>
        <w:jc w:val="both"/>
        <w:rPr>
          <w:rFonts w:cs="宋体"/>
          <w:color w:val="333333"/>
          <w:sz w:val="18"/>
          <w:szCs w:val="18"/>
          <w:highlight w:val="none"/>
          <w:shd w:val="clear" w:color="auto" w:fill="FFFFFF"/>
        </w:rPr>
      </w:pPr>
    </w:p>
    <w:p w14:paraId="7BF8CC98">
      <w:pPr>
        <w:pStyle w:val="157"/>
        <w:snapToGrid w:val="0"/>
        <w:spacing w:before="0" w:line="360" w:lineRule="auto"/>
        <w:jc w:val="center"/>
        <w:outlineLvl w:val="0"/>
        <w:rPr>
          <w:rStyle w:val="43"/>
          <w:rFonts w:ascii="宋体" w:hAnsi="宋体"/>
          <w:b w:val="0"/>
          <w:sz w:val="24"/>
          <w:szCs w:val="24"/>
          <w:highlight w:val="none"/>
        </w:rPr>
      </w:pPr>
      <w:bookmarkStart w:id="7" w:name="_Toc4801"/>
      <w:r>
        <w:rPr>
          <w:rStyle w:val="43"/>
          <w:rFonts w:ascii="宋体" w:hAnsi="宋体"/>
          <w:b w:val="0"/>
          <w:sz w:val="32"/>
          <w:szCs w:val="32"/>
          <w:highlight w:val="none"/>
        </w:rPr>
        <w:t>第二章  投标人须知</w:t>
      </w:r>
      <w:bookmarkEnd w:id="7"/>
    </w:p>
    <w:p w14:paraId="1FF78490">
      <w:pPr>
        <w:snapToGrid w:val="0"/>
        <w:spacing w:line="360" w:lineRule="auto"/>
        <w:ind w:firstLine="562" w:firstLineChars="200"/>
        <w:rPr>
          <w:rStyle w:val="43"/>
          <w:rFonts w:ascii="宋体" w:hAnsi="宋体"/>
          <w:b/>
          <w:sz w:val="28"/>
          <w:szCs w:val="28"/>
          <w:highlight w:val="none"/>
        </w:rPr>
      </w:pPr>
      <w:r>
        <w:rPr>
          <w:rStyle w:val="43"/>
          <w:rFonts w:ascii="宋体" w:hAnsi="宋体"/>
          <w:b/>
          <w:sz w:val="28"/>
          <w:szCs w:val="28"/>
          <w:highlight w:val="none"/>
        </w:rPr>
        <w:t>1.投标人须知前附表</w:t>
      </w:r>
    </w:p>
    <w:tbl>
      <w:tblPr>
        <w:tblStyle w:val="25"/>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1754"/>
        <w:gridCol w:w="6777"/>
      </w:tblGrid>
      <w:tr w14:paraId="4D52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15CD103C">
            <w:pPr>
              <w:snapToGrid w:val="0"/>
              <w:spacing w:line="360" w:lineRule="auto"/>
              <w:ind w:right="-358"/>
              <w:jc w:val="both"/>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条款号</w:t>
            </w:r>
          </w:p>
        </w:tc>
        <w:tc>
          <w:tcPr>
            <w:tcW w:w="1754" w:type="dxa"/>
            <w:tcBorders>
              <w:top w:val="single" w:color="000000" w:sz="4" w:space="0"/>
              <w:left w:val="single" w:color="000000" w:sz="4" w:space="0"/>
              <w:bottom w:val="single" w:color="000000" w:sz="4" w:space="0"/>
              <w:right w:val="single" w:color="000000" w:sz="4" w:space="0"/>
            </w:tcBorders>
            <w:vAlign w:val="center"/>
          </w:tcPr>
          <w:p w14:paraId="20C55EC0">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条款名称</w:t>
            </w:r>
          </w:p>
        </w:tc>
        <w:tc>
          <w:tcPr>
            <w:tcW w:w="6777" w:type="dxa"/>
            <w:tcBorders>
              <w:top w:val="single" w:color="000000" w:sz="4" w:space="0"/>
              <w:left w:val="single" w:color="000000" w:sz="4" w:space="0"/>
              <w:bottom w:val="single" w:color="000000" w:sz="4" w:space="0"/>
              <w:right w:val="single" w:color="000000" w:sz="4" w:space="0"/>
            </w:tcBorders>
            <w:vAlign w:val="center"/>
          </w:tcPr>
          <w:p w14:paraId="6F10BCA4">
            <w:pPr>
              <w:tabs>
                <w:tab w:val="left" w:pos="1180"/>
              </w:tabs>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编列内容</w:t>
            </w:r>
          </w:p>
        </w:tc>
      </w:tr>
      <w:tr w14:paraId="7604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076C00DA">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2.1.2</w:t>
            </w:r>
          </w:p>
        </w:tc>
        <w:tc>
          <w:tcPr>
            <w:tcW w:w="1754" w:type="dxa"/>
            <w:tcBorders>
              <w:top w:val="single" w:color="000000" w:sz="4" w:space="0"/>
              <w:left w:val="single" w:color="000000" w:sz="4" w:space="0"/>
              <w:bottom w:val="single" w:color="000000" w:sz="4" w:space="0"/>
              <w:right w:val="single" w:color="000000" w:sz="4" w:space="0"/>
            </w:tcBorders>
            <w:vAlign w:val="center"/>
          </w:tcPr>
          <w:p w14:paraId="34F66357">
            <w:pPr>
              <w:snapToGrid w:val="0"/>
              <w:spacing w:line="360" w:lineRule="auto"/>
              <w:jc w:val="center"/>
              <w:rPr>
                <w:rStyle w:val="43"/>
                <w:rFonts w:asciiTheme="minorEastAsia" w:hAnsiTheme="minorEastAsia" w:eastAsiaTheme="minorEastAsia"/>
                <w:szCs w:val="21"/>
                <w:highlight w:val="none"/>
              </w:rPr>
            </w:pPr>
            <w:r>
              <w:rPr>
                <w:rStyle w:val="43"/>
                <w:rFonts w:hint="eastAsia" w:asciiTheme="minorEastAsia" w:hAnsiTheme="minorEastAsia" w:eastAsiaTheme="minorEastAsia"/>
                <w:szCs w:val="21"/>
                <w:highlight w:val="none"/>
              </w:rPr>
              <w:t>招标人</w:t>
            </w:r>
          </w:p>
        </w:tc>
        <w:tc>
          <w:tcPr>
            <w:tcW w:w="6777" w:type="dxa"/>
            <w:tcBorders>
              <w:top w:val="single" w:color="000000" w:sz="4" w:space="0"/>
              <w:left w:val="single" w:color="000000" w:sz="4" w:space="0"/>
              <w:bottom w:val="single" w:color="000000" w:sz="4" w:space="0"/>
              <w:right w:val="single" w:color="000000" w:sz="4" w:space="0"/>
            </w:tcBorders>
            <w:vAlign w:val="center"/>
          </w:tcPr>
          <w:p w14:paraId="37B586C7">
            <w:pPr>
              <w:pStyle w:val="20"/>
              <w:spacing w:before="0" w:beforeAutospacing="0" w:after="0" w:afterAutospacing="0" w:line="276" w:lineRule="auto"/>
              <w:rPr>
                <w:rStyle w:val="43"/>
                <w:rFonts w:asciiTheme="minorEastAsia" w:hAnsiTheme="minorEastAsia" w:eastAsiaTheme="minorEastAsia"/>
                <w:kern w:val="2"/>
                <w:sz w:val="21"/>
                <w:szCs w:val="21"/>
                <w:highlight w:val="none"/>
              </w:rPr>
            </w:pPr>
            <w:r>
              <w:rPr>
                <w:rStyle w:val="43"/>
                <w:rFonts w:hint="eastAsia" w:asciiTheme="minorEastAsia" w:hAnsiTheme="minorEastAsia" w:eastAsiaTheme="minorEastAsia"/>
                <w:kern w:val="2"/>
                <w:sz w:val="21"/>
                <w:szCs w:val="21"/>
                <w:highlight w:val="none"/>
              </w:rPr>
              <w:t>名称：西安市公安局高新分局</w:t>
            </w:r>
          </w:p>
          <w:p w14:paraId="4C2FB83A">
            <w:pPr>
              <w:pStyle w:val="20"/>
              <w:spacing w:before="0" w:beforeAutospacing="0" w:after="0" w:afterAutospacing="0" w:line="276" w:lineRule="auto"/>
              <w:rPr>
                <w:rStyle w:val="43"/>
                <w:rFonts w:asciiTheme="minorEastAsia" w:hAnsiTheme="minorEastAsia" w:eastAsiaTheme="minorEastAsia"/>
                <w:kern w:val="2"/>
                <w:sz w:val="21"/>
                <w:szCs w:val="21"/>
                <w:highlight w:val="none"/>
              </w:rPr>
            </w:pPr>
            <w:r>
              <w:rPr>
                <w:rStyle w:val="43"/>
                <w:rFonts w:hint="eastAsia" w:asciiTheme="minorEastAsia" w:hAnsiTheme="minorEastAsia" w:eastAsiaTheme="minorEastAsia"/>
                <w:kern w:val="2"/>
                <w:sz w:val="21"/>
                <w:szCs w:val="21"/>
                <w:highlight w:val="none"/>
              </w:rPr>
              <w:t>地址：西安市高新区丈八六路金盾大厦</w:t>
            </w:r>
          </w:p>
          <w:p w14:paraId="1242C192">
            <w:pPr>
              <w:pStyle w:val="20"/>
              <w:spacing w:before="0" w:beforeAutospacing="0" w:after="0" w:afterAutospacing="0" w:line="276" w:lineRule="auto"/>
              <w:rPr>
                <w:rStyle w:val="43"/>
                <w:rFonts w:asciiTheme="minorEastAsia" w:hAnsiTheme="minorEastAsia" w:eastAsiaTheme="minorEastAsia"/>
                <w:kern w:val="2"/>
                <w:sz w:val="21"/>
                <w:szCs w:val="21"/>
                <w:highlight w:val="none"/>
              </w:rPr>
            </w:pPr>
            <w:r>
              <w:rPr>
                <w:rStyle w:val="43"/>
                <w:rFonts w:hint="eastAsia" w:asciiTheme="minorEastAsia" w:hAnsiTheme="minorEastAsia" w:eastAsiaTheme="minorEastAsia"/>
                <w:kern w:val="2"/>
                <w:sz w:val="21"/>
                <w:szCs w:val="21"/>
                <w:highlight w:val="none"/>
              </w:rPr>
              <w:t>联系方式：029-86753939</w:t>
            </w:r>
          </w:p>
        </w:tc>
      </w:tr>
      <w:tr w14:paraId="7A2D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646E14AD">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2.1.3</w:t>
            </w:r>
          </w:p>
        </w:tc>
        <w:tc>
          <w:tcPr>
            <w:tcW w:w="1754" w:type="dxa"/>
            <w:tcBorders>
              <w:top w:val="single" w:color="000000" w:sz="4" w:space="0"/>
              <w:left w:val="single" w:color="000000" w:sz="4" w:space="0"/>
              <w:bottom w:val="single" w:color="000000" w:sz="4" w:space="0"/>
              <w:right w:val="single" w:color="000000" w:sz="4" w:space="0"/>
            </w:tcBorders>
            <w:vAlign w:val="center"/>
          </w:tcPr>
          <w:p w14:paraId="34C75194">
            <w:pPr>
              <w:snapToGrid w:val="0"/>
              <w:spacing w:line="360" w:lineRule="auto"/>
              <w:jc w:val="center"/>
              <w:rPr>
                <w:rStyle w:val="43"/>
                <w:rFonts w:asciiTheme="minorEastAsia" w:hAnsiTheme="minorEastAsia" w:eastAsiaTheme="minorEastAsia"/>
                <w:szCs w:val="21"/>
                <w:highlight w:val="none"/>
              </w:rPr>
            </w:pPr>
            <w:r>
              <w:rPr>
                <w:rStyle w:val="43"/>
                <w:rFonts w:hint="eastAsia" w:asciiTheme="minorEastAsia" w:hAnsiTheme="minorEastAsia" w:eastAsiaTheme="minorEastAsia"/>
                <w:szCs w:val="21"/>
                <w:highlight w:val="none"/>
              </w:rPr>
              <w:t>招标代理机构</w:t>
            </w:r>
          </w:p>
        </w:tc>
        <w:tc>
          <w:tcPr>
            <w:tcW w:w="6777" w:type="dxa"/>
            <w:tcBorders>
              <w:top w:val="single" w:color="000000" w:sz="4" w:space="0"/>
              <w:left w:val="single" w:color="000000" w:sz="4" w:space="0"/>
              <w:bottom w:val="single" w:color="000000" w:sz="4" w:space="0"/>
              <w:right w:val="single" w:color="000000" w:sz="4" w:space="0"/>
            </w:tcBorders>
            <w:vAlign w:val="center"/>
          </w:tcPr>
          <w:p w14:paraId="45CFB0BA">
            <w:pPr>
              <w:pStyle w:val="20"/>
              <w:spacing w:before="0" w:beforeAutospacing="0" w:after="0" w:afterAutospacing="0" w:line="276" w:lineRule="auto"/>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名称：龙寰项目管理咨询有限公司</w:t>
            </w:r>
          </w:p>
          <w:p w14:paraId="5AC5CE0C">
            <w:pPr>
              <w:pStyle w:val="20"/>
              <w:spacing w:before="0" w:beforeAutospacing="0" w:after="0" w:afterAutospacing="0" w:line="276" w:lineRule="auto"/>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地址：陕西省西安市太白南路181号西部电子社区A座A区501室</w:t>
            </w:r>
          </w:p>
          <w:p w14:paraId="4692CE4E">
            <w:pPr>
              <w:pStyle w:val="20"/>
              <w:spacing w:before="0" w:beforeAutospacing="0" w:after="0" w:afterAutospacing="0" w:line="276" w:lineRule="auto"/>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联系人：徐小宁、郑蕊、张波</w:t>
            </w:r>
          </w:p>
          <w:p w14:paraId="6A3DD49A">
            <w:pPr>
              <w:pStyle w:val="20"/>
              <w:spacing w:before="0" w:beforeAutospacing="0" w:after="0" w:afterAutospacing="0" w:line="276" w:lineRule="auto"/>
              <w:rPr>
                <w:rStyle w:val="43"/>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电话：029-88228899-643</w:t>
            </w:r>
          </w:p>
        </w:tc>
      </w:tr>
      <w:tr w14:paraId="3E9E2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33840788">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2.1.4</w:t>
            </w:r>
          </w:p>
        </w:tc>
        <w:tc>
          <w:tcPr>
            <w:tcW w:w="1754" w:type="dxa"/>
            <w:tcBorders>
              <w:top w:val="single" w:color="000000" w:sz="4" w:space="0"/>
              <w:left w:val="single" w:color="000000" w:sz="4" w:space="0"/>
              <w:bottom w:val="single" w:color="000000" w:sz="4" w:space="0"/>
              <w:right w:val="single" w:color="000000" w:sz="4" w:space="0"/>
            </w:tcBorders>
            <w:vAlign w:val="center"/>
          </w:tcPr>
          <w:p w14:paraId="31364BB9">
            <w:pPr>
              <w:snapToGrid w:val="0"/>
              <w:spacing w:line="276" w:lineRule="auto"/>
              <w:ind w:firstLine="420" w:firstLineChars="200"/>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项目名称</w:t>
            </w:r>
          </w:p>
        </w:tc>
        <w:tc>
          <w:tcPr>
            <w:tcW w:w="6777" w:type="dxa"/>
            <w:tcBorders>
              <w:top w:val="single" w:color="000000" w:sz="4" w:space="0"/>
              <w:left w:val="single" w:color="000000" w:sz="4" w:space="0"/>
              <w:bottom w:val="single" w:color="000000" w:sz="4" w:space="0"/>
              <w:right w:val="single" w:color="000000" w:sz="4" w:space="0"/>
            </w:tcBorders>
            <w:vAlign w:val="center"/>
          </w:tcPr>
          <w:p w14:paraId="4B2797DD">
            <w:pPr>
              <w:pStyle w:val="83"/>
              <w:snapToGrid w:val="0"/>
              <w:spacing w:before="0" w:after="0" w:line="276" w:lineRule="auto"/>
              <w:rPr>
                <w:rStyle w:val="43"/>
                <w:rFonts w:cs="Times New Roman" w:asciiTheme="minorEastAsia" w:hAnsiTheme="minorEastAsia" w:eastAsiaTheme="minorEastAsia"/>
                <w:kern w:val="2"/>
                <w:sz w:val="21"/>
                <w:szCs w:val="21"/>
                <w:highlight w:val="none"/>
              </w:rPr>
            </w:pPr>
            <w:r>
              <w:rPr>
                <w:rStyle w:val="43"/>
                <w:rFonts w:hint="eastAsia" w:cs="Times New Roman" w:asciiTheme="minorEastAsia" w:hAnsiTheme="minorEastAsia" w:eastAsiaTheme="minorEastAsia"/>
                <w:kern w:val="2"/>
                <w:sz w:val="21"/>
                <w:szCs w:val="21"/>
                <w:highlight w:val="none"/>
              </w:rPr>
              <w:t>西安市公安局高新分局执法办案管理中心升级改造项目</w:t>
            </w:r>
          </w:p>
        </w:tc>
      </w:tr>
      <w:tr w14:paraId="0829C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27D321C6">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lang w:val="zh-CN"/>
              </w:rPr>
              <w:t>2.2.1</w:t>
            </w:r>
          </w:p>
        </w:tc>
        <w:tc>
          <w:tcPr>
            <w:tcW w:w="1754" w:type="dxa"/>
            <w:tcBorders>
              <w:top w:val="single" w:color="000000" w:sz="4" w:space="0"/>
              <w:left w:val="single" w:color="000000" w:sz="4" w:space="0"/>
              <w:bottom w:val="single" w:color="000000" w:sz="4" w:space="0"/>
              <w:right w:val="single" w:color="000000" w:sz="4" w:space="0"/>
            </w:tcBorders>
            <w:vAlign w:val="center"/>
          </w:tcPr>
          <w:p w14:paraId="126C87DC">
            <w:pPr>
              <w:snapToGrid w:val="0"/>
              <w:ind w:firstLine="422" w:firstLineChars="200"/>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招标范围</w:t>
            </w:r>
          </w:p>
        </w:tc>
        <w:tc>
          <w:tcPr>
            <w:tcW w:w="6777" w:type="dxa"/>
            <w:tcBorders>
              <w:top w:val="single" w:color="000000" w:sz="4" w:space="0"/>
              <w:left w:val="single" w:color="000000" w:sz="4" w:space="0"/>
              <w:bottom w:val="single" w:color="000000" w:sz="4" w:space="0"/>
              <w:right w:val="single" w:color="000000" w:sz="4" w:space="0"/>
            </w:tcBorders>
            <w:vAlign w:val="center"/>
          </w:tcPr>
          <w:p w14:paraId="7BA3F518">
            <w:pPr>
              <w:tabs>
                <w:tab w:val="left" w:pos="1180"/>
              </w:tabs>
              <w:snapToGrid w:val="0"/>
              <w:spacing w:line="276" w:lineRule="auto"/>
              <w:rPr>
                <w:rStyle w:val="43"/>
                <w:rFonts w:cs="Times New Roman" w:asciiTheme="minorEastAsia" w:hAnsiTheme="minorEastAsia" w:eastAsiaTheme="minorEastAsia"/>
                <w:b/>
                <w:szCs w:val="21"/>
                <w:highlight w:val="none"/>
              </w:rPr>
            </w:pPr>
            <w:r>
              <w:rPr>
                <w:rStyle w:val="43"/>
                <w:rFonts w:hint="eastAsia" w:cs="Times New Roman" w:asciiTheme="minorEastAsia" w:hAnsiTheme="minorEastAsia" w:eastAsiaTheme="minorEastAsia"/>
                <w:b/>
                <w:szCs w:val="21"/>
                <w:highlight w:val="none"/>
              </w:rPr>
              <w:t>西安市公安局高新分局执法办案管理中心升级改造，详见采购清单。</w:t>
            </w:r>
          </w:p>
        </w:tc>
      </w:tr>
      <w:tr w14:paraId="12A4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2E5A2C53">
            <w:pPr>
              <w:snapToGrid w:val="0"/>
              <w:spacing w:line="360" w:lineRule="auto"/>
              <w:jc w:val="center"/>
              <w:rPr>
                <w:rStyle w:val="43"/>
                <w:rFonts w:asciiTheme="minorEastAsia" w:hAnsiTheme="minorEastAsia" w:eastAsiaTheme="minorEastAsia"/>
                <w:szCs w:val="21"/>
                <w:highlight w:val="none"/>
                <w:lang w:val="zh-CN"/>
              </w:rPr>
            </w:pPr>
            <w:r>
              <w:rPr>
                <w:rStyle w:val="43"/>
                <w:rFonts w:asciiTheme="minorEastAsia" w:hAnsiTheme="minorEastAsia" w:eastAsiaTheme="minorEastAsia"/>
                <w:szCs w:val="21"/>
                <w:highlight w:val="none"/>
                <w:lang w:val="zh-CN"/>
              </w:rPr>
              <w:t>2.2.2</w:t>
            </w:r>
          </w:p>
        </w:tc>
        <w:tc>
          <w:tcPr>
            <w:tcW w:w="1754" w:type="dxa"/>
            <w:tcBorders>
              <w:top w:val="single" w:color="000000" w:sz="4" w:space="0"/>
              <w:left w:val="single" w:color="000000" w:sz="4" w:space="0"/>
              <w:bottom w:val="single" w:color="000000" w:sz="4" w:space="0"/>
              <w:right w:val="single" w:color="000000" w:sz="4" w:space="0"/>
            </w:tcBorders>
            <w:vAlign w:val="center"/>
          </w:tcPr>
          <w:p w14:paraId="5B8E64C5">
            <w:pPr>
              <w:snapToGrid w:val="0"/>
              <w:ind w:firstLine="422" w:firstLineChars="200"/>
              <w:rPr>
                <w:rStyle w:val="43"/>
                <w:rFonts w:asciiTheme="minorEastAsia" w:hAnsiTheme="minorEastAsia" w:eastAsiaTheme="minorEastAsia"/>
                <w:b/>
                <w:szCs w:val="21"/>
                <w:highlight w:val="none"/>
              </w:rPr>
            </w:pPr>
            <w:r>
              <w:rPr>
                <w:rStyle w:val="43"/>
                <w:rFonts w:hint="eastAsia" w:asciiTheme="minorEastAsia" w:hAnsiTheme="minorEastAsia" w:eastAsiaTheme="minorEastAsia"/>
                <w:b/>
                <w:szCs w:val="21"/>
                <w:highlight w:val="none"/>
              </w:rPr>
              <w:t>计划工期</w:t>
            </w:r>
          </w:p>
        </w:tc>
        <w:tc>
          <w:tcPr>
            <w:tcW w:w="6777" w:type="dxa"/>
            <w:tcBorders>
              <w:top w:val="single" w:color="000000" w:sz="4" w:space="0"/>
              <w:left w:val="single" w:color="000000" w:sz="4" w:space="0"/>
              <w:bottom w:val="single" w:color="000000" w:sz="4" w:space="0"/>
              <w:right w:val="single" w:color="000000" w:sz="4" w:space="0"/>
            </w:tcBorders>
            <w:vAlign w:val="center"/>
          </w:tcPr>
          <w:p w14:paraId="6C856E79">
            <w:pPr>
              <w:tabs>
                <w:tab w:val="left" w:pos="1180"/>
              </w:tabs>
              <w:snapToGrid w:val="0"/>
              <w:spacing w:line="276" w:lineRule="auto"/>
              <w:rPr>
                <w:rStyle w:val="43"/>
                <w:rFonts w:cs="Times New Roman" w:asciiTheme="minorEastAsia" w:hAnsiTheme="minorEastAsia" w:eastAsiaTheme="minorEastAsia"/>
                <w:b/>
                <w:szCs w:val="21"/>
                <w:highlight w:val="none"/>
              </w:rPr>
            </w:pPr>
            <w:r>
              <w:rPr>
                <w:rStyle w:val="43"/>
                <w:rFonts w:hint="eastAsia" w:cs="Times New Roman" w:asciiTheme="minorEastAsia" w:hAnsiTheme="minorEastAsia" w:eastAsiaTheme="minorEastAsia"/>
                <w:b/>
                <w:szCs w:val="21"/>
                <w:highlight w:val="none"/>
              </w:rPr>
              <w:t>合同签订后75个日历天（具体开工日期以收到采购人通知为准）。</w:t>
            </w:r>
          </w:p>
        </w:tc>
      </w:tr>
      <w:tr w14:paraId="1711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72CCAD19">
            <w:pPr>
              <w:snapToGrid w:val="0"/>
              <w:spacing w:line="360" w:lineRule="auto"/>
              <w:jc w:val="center"/>
              <w:rPr>
                <w:rStyle w:val="43"/>
                <w:rFonts w:asciiTheme="minorEastAsia" w:hAnsiTheme="minorEastAsia" w:eastAsiaTheme="minorEastAsia"/>
                <w:szCs w:val="21"/>
                <w:highlight w:val="none"/>
                <w:lang w:val="zh-CN"/>
              </w:rPr>
            </w:pPr>
            <w:r>
              <w:rPr>
                <w:rStyle w:val="43"/>
                <w:rFonts w:asciiTheme="minorEastAsia" w:hAnsiTheme="minorEastAsia" w:eastAsiaTheme="minorEastAsia"/>
                <w:szCs w:val="21"/>
                <w:highlight w:val="none"/>
                <w:lang w:val="zh-CN"/>
              </w:rPr>
              <w:t>2.2.</w:t>
            </w:r>
            <w:r>
              <w:rPr>
                <w:rStyle w:val="43"/>
                <w:rFonts w:asciiTheme="minorEastAsia" w:hAnsiTheme="minorEastAsia" w:eastAsiaTheme="minorEastAsia"/>
                <w:szCs w:val="21"/>
                <w:highlight w:val="none"/>
              </w:rPr>
              <w:t>3</w:t>
            </w:r>
          </w:p>
        </w:tc>
        <w:tc>
          <w:tcPr>
            <w:tcW w:w="1754" w:type="dxa"/>
            <w:tcBorders>
              <w:top w:val="single" w:color="000000" w:sz="4" w:space="0"/>
              <w:left w:val="single" w:color="000000" w:sz="4" w:space="0"/>
              <w:bottom w:val="single" w:color="000000" w:sz="4" w:space="0"/>
              <w:right w:val="single" w:color="000000" w:sz="4" w:space="0"/>
            </w:tcBorders>
            <w:vAlign w:val="center"/>
          </w:tcPr>
          <w:p w14:paraId="03208BE3">
            <w:pPr>
              <w:snapToGrid w:val="0"/>
              <w:spacing w:line="276" w:lineRule="auto"/>
              <w:ind w:firstLine="420" w:firstLineChars="200"/>
              <w:rPr>
                <w:rStyle w:val="43"/>
                <w:rFonts w:asciiTheme="minorEastAsia" w:hAnsiTheme="minorEastAsia" w:eastAsiaTheme="minorEastAsia"/>
                <w:bCs/>
                <w:szCs w:val="21"/>
                <w:highlight w:val="none"/>
              </w:rPr>
            </w:pPr>
            <w:r>
              <w:rPr>
                <w:rStyle w:val="43"/>
                <w:rFonts w:hint="eastAsia" w:asciiTheme="minorEastAsia" w:hAnsiTheme="minorEastAsia" w:eastAsiaTheme="minorEastAsia"/>
                <w:bCs/>
                <w:szCs w:val="21"/>
                <w:highlight w:val="none"/>
                <w:lang w:val="zh-CN"/>
              </w:rPr>
              <w:t>项目地点</w:t>
            </w:r>
          </w:p>
        </w:tc>
        <w:tc>
          <w:tcPr>
            <w:tcW w:w="6777" w:type="dxa"/>
            <w:tcBorders>
              <w:top w:val="single" w:color="000000" w:sz="4" w:space="0"/>
              <w:left w:val="single" w:color="000000" w:sz="4" w:space="0"/>
              <w:bottom w:val="single" w:color="000000" w:sz="4" w:space="0"/>
              <w:right w:val="single" w:color="000000" w:sz="4" w:space="0"/>
            </w:tcBorders>
            <w:vAlign w:val="center"/>
          </w:tcPr>
          <w:p w14:paraId="77EDD51C">
            <w:pPr>
              <w:tabs>
                <w:tab w:val="left" w:pos="1180"/>
              </w:tabs>
              <w:snapToGrid w:val="0"/>
              <w:spacing w:line="276" w:lineRule="auto"/>
              <w:rPr>
                <w:rStyle w:val="43"/>
                <w:rFonts w:cs="Times New Roman" w:asciiTheme="minorEastAsia" w:hAnsiTheme="minorEastAsia" w:eastAsiaTheme="minorEastAsia"/>
                <w:bCs/>
                <w:szCs w:val="21"/>
                <w:highlight w:val="none"/>
              </w:rPr>
            </w:pPr>
            <w:r>
              <w:rPr>
                <w:rStyle w:val="43"/>
                <w:rFonts w:hint="eastAsia" w:cs="Times New Roman" w:asciiTheme="minorEastAsia" w:hAnsiTheme="minorEastAsia" w:eastAsiaTheme="minorEastAsia"/>
                <w:bCs/>
                <w:szCs w:val="21"/>
                <w:highlight w:val="none"/>
              </w:rPr>
              <w:t>西安市公安局高新分局</w:t>
            </w:r>
          </w:p>
        </w:tc>
      </w:tr>
      <w:tr w14:paraId="0B39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5F12AE86">
            <w:pPr>
              <w:snapToGrid w:val="0"/>
              <w:spacing w:line="360" w:lineRule="auto"/>
              <w:jc w:val="center"/>
              <w:rPr>
                <w:rStyle w:val="43"/>
                <w:rFonts w:asciiTheme="minorEastAsia" w:hAnsiTheme="minorEastAsia" w:eastAsiaTheme="minorEastAsia"/>
                <w:szCs w:val="21"/>
                <w:highlight w:val="none"/>
              </w:rPr>
            </w:pPr>
            <w:r>
              <w:rPr>
                <w:rStyle w:val="43"/>
                <w:rFonts w:hint="eastAsia" w:asciiTheme="minorEastAsia" w:hAnsiTheme="minorEastAsia" w:eastAsiaTheme="minorEastAsia"/>
                <w:szCs w:val="21"/>
                <w:highlight w:val="none"/>
              </w:rPr>
              <w:t>2.2.4</w:t>
            </w:r>
          </w:p>
        </w:tc>
        <w:tc>
          <w:tcPr>
            <w:tcW w:w="1754" w:type="dxa"/>
            <w:tcBorders>
              <w:top w:val="single" w:color="000000" w:sz="4" w:space="0"/>
              <w:left w:val="single" w:color="000000" w:sz="4" w:space="0"/>
              <w:bottom w:val="single" w:color="000000" w:sz="4" w:space="0"/>
              <w:right w:val="single" w:color="000000" w:sz="4" w:space="0"/>
            </w:tcBorders>
            <w:vAlign w:val="center"/>
          </w:tcPr>
          <w:p w14:paraId="7BABC7D4">
            <w:pPr>
              <w:snapToGrid w:val="0"/>
              <w:spacing w:line="276" w:lineRule="auto"/>
              <w:ind w:firstLine="420" w:firstLineChars="200"/>
              <w:rPr>
                <w:rStyle w:val="43"/>
                <w:rFonts w:asciiTheme="minorEastAsia" w:hAnsiTheme="minorEastAsia" w:eastAsiaTheme="minorEastAsia"/>
                <w:bCs/>
                <w:szCs w:val="21"/>
                <w:highlight w:val="none"/>
                <w:lang w:val="zh-CN"/>
              </w:rPr>
            </w:pPr>
            <w:r>
              <w:rPr>
                <w:rStyle w:val="43"/>
                <w:rFonts w:hint="eastAsia" w:asciiTheme="minorEastAsia" w:hAnsiTheme="minorEastAsia" w:eastAsiaTheme="minorEastAsia"/>
                <w:bCs/>
                <w:szCs w:val="21"/>
                <w:highlight w:val="none"/>
                <w:lang w:val="zh-CN"/>
              </w:rPr>
              <w:t>质量等级</w:t>
            </w:r>
          </w:p>
        </w:tc>
        <w:tc>
          <w:tcPr>
            <w:tcW w:w="6777" w:type="dxa"/>
            <w:tcBorders>
              <w:top w:val="single" w:color="000000" w:sz="4" w:space="0"/>
              <w:left w:val="single" w:color="000000" w:sz="4" w:space="0"/>
              <w:bottom w:val="single" w:color="000000" w:sz="4" w:space="0"/>
              <w:right w:val="single" w:color="000000" w:sz="4" w:space="0"/>
            </w:tcBorders>
            <w:vAlign w:val="center"/>
          </w:tcPr>
          <w:p w14:paraId="35712BE3">
            <w:pPr>
              <w:tabs>
                <w:tab w:val="left" w:pos="1180"/>
              </w:tabs>
              <w:snapToGrid w:val="0"/>
              <w:spacing w:line="276" w:lineRule="auto"/>
              <w:rPr>
                <w:rStyle w:val="43"/>
                <w:rFonts w:cs="Times New Roman" w:asciiTheme="minorEastAsia" w:hAnsiTheme="minorEastAsia" w:eastAsiaTheme="minorEastAsia"/>
                <w:bCs/>
                <w:szCs w:val="21"/>
                <w:highlight w:val="none"/>
              </w:rPr>
            </w:pPr>
            <w:r>
              <w:rPr>
                <w:rStyle w:val="43"/>
                <w:rFonts w:hint="eastAsia" w:cs="Times New Roman" w:asciiTheme="minorEastAsia" w:hAnsiTheme="minorEastAsia" w:eastAsiaTheme="minorEastAsia"/>
                <w:bCs/>
                <w:szCs w:val="21"/>
                <w:highlight w:val="none"/>
              </w:rPr>
              <w:t>合格</w:t>
            </w:r>
          </w:p>
        </w:tc>
      </w:tr>
      <w:tr w14:paraId="71C48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166F8871">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2.3.1</w:t>
            </w:r>
          </w:p>
        </w:tc>
        <w:tc>
          <w:tcPr>
            <w:tcW w:w="1754" w:type="dxa"/>
            <w:tcBorders>
              <w:top w:val="single" w:color="000000" w:sz="4" w:space="0"/>
              <w:left w:val="single" w:color="000000" w:sz="4" w:space="0"/>
              <w:bottom w:val="single" w:color="000000" w:sz="4" w:space="0"/>
              <w:right w:val="single" w:color="000000" w:sz="4" w:space="0"/>
            </w:tcBorders>
            <w:vAlign w:val="center"/>
          </w:tcPr>
          <w:p w14:paraId="5AB555C0">
            <w:pPr>
              <w:snapToGrid w:val="0"/>
              <w:spacing w:line="276" w:lineRule="auto"/>
              <w:jc w:val="center"/>
              <w:rPr>
                <w:rStyle w:val="43"/>
                <w:rFonts w:asciiTheme="minorEastAsia" w:hAnsiTheme="minorEastAsia" w:eastAsiaTheme="minorEastAsia"/>
                <w:b/>
                <w:bCs/>
                <w:szCs w:val="21"/>
                <w:highlight w:val="none"/>
              </w:rPr>
            </w:pPr>
            <w:r>
              <w:rPr>
                <w:rStyle w:val="43"/>
                <w:rFonts w:asciiTheme="minorEastAsia" w:hAnsiTheme="minorEastAsia" w:eastAsiaTheme="minorEastAsia"/>
                <w:b/>
                <w:bCs/>
                <w:szCs w:val="21"/>
                <w:highlight w:val="none"/>
                <w:lang w:val="zh-CN"/>
              </w:rPr>
              <w:t>投标人应具备的资格条件</w:t>
            </w:r>
          </w:p>
        </w:tc>
        <w:tc>
          <w:tcPr>
            <w:tcW w:w="6777" w:type="dxa"/>
            <w:tcBorders>
              <w:top w:val="single" w:color="000000" w:sz="4" w:space="0"/>
              <w:left w:val="single" w:color="000000" w:sz="4" w:space="0"/>
              <w:bottom w:val="single" w:color="000000" w:sz="4" w:space="0"/>
              <w:right w:val="single" w:color="000000" w:sz="4" w:space="0"/>
            </w:tcBorders>
            <w:vAlign w:val="center"/>
          </w:tcPr>
          <w:p w14:paraId="29C17236">
            <w:pPr>
              <w:snapToGrid w:val="0"/>
              <w:spacing w:line="276" w:lineRule="auto"/>
              <w:ind w:firstLine="422" w:firstLineChars="200"/>
              <w:rPr>
                <w:rStyle w:val="43"/>
                <w:rFonts w:asciiTheme="minorEastAsia" w:hAnsiTheme="minorEastAsia" w:eastAsiaTheme="minorEastAsia"/>
                <w:b/>
                <w:bCs/>
                <w:szCs w:val="21"/>
                <w:highlight w:val="none"/>
              </w:rPr>
            </w:pPr>
            <w:r>
              <w:rPr>
                <w:rStyle w:val="43"/>
                <w:rFonts w:asciiTheme="minorEastAsia" w:hAnsiTheme="minorEastAsia" w:eastAsiaTheme="minorEastAsia"/>
                <w:b/>
                <w:bCs/>
                <w:szCs w:val="21"/>
                <w:highlight w:val="none"/>
              </w:rPr>
              <w:t>（1）基本资格条件：符合《中华人民共和国政府采购法》第二十二条的规定；</w:t>
            </w:r>
          </w:p>
          <w:p w14:paraId="40C7D205">
            <w:pPr>
              <w:snapToGrid w:val="0"/>
              <w:spacing w:line="276" w:lineRule="auto"/>
              <w:ind w:firstLine="422" w:firstLineChars="200"/>
              <w:rPr>
                <w:rStyle w:val="43"/>
                <w:rFonts w:asciiTheme="minorEastAsia" w:hAnsiTheme="minorEastAsia" w:eastAsiaTheme="minorEastAsia"/>
                <w:b/>
                <w:bCs/>
                <w:szCs w:val="21"/>
                <w:highlight w:val="none"/>
              </w:rPr>
            </w:pPr>
            <w:r>
              <w:rPr>
                <w:rStyle w:val="43"/>
                <w:rFonts w:asciiTheme="minorEastAsia" w:hAnsiTheme="minorEastAsia" w:eastAsiaTheme="minorEastAsia"/>
                <w:b/>
                <w:bCs/>
                <w:szCs w:val="21"/>
                <w:highlight w:val="none"/>
              </w:rPr>
              <w:t>（2）特定资格条件：</w:t>
            </w:r>
          </w:p>
          <w:p w14:paraId="19E60097">
            <w:pPr>
              <w:snapToGrid w:val="0"/>
              <w:spacing w:line="276" w:lineRule="auto"/>
              <w:ind w:firstLine="422" w:firstLineChars="200"/>
              <w:rPr>
                <w:rStyle w:val="43"/>
                <w:rFonts w:asciiTheme="minorEastAsia" w:hAnsiTheme="minorEastAsia" w:eastAsiaTheme="minorEastAsia"/>
                <w:b/>
                <w:bCs/>
                <w:szCs w:val="21"/>
                <w:highlight w:val="none"/>
              </w:rPr>
            </w:pPr>
            <w:r>
              <w:rPr>
                <w:rStyle w:val="43"/>
                <w:rFonts w:hint="eastAsia" w:asciiTheme="minorEastAsia" w:hAnsiTheme="minorEastAsia" w:eastAsiaTheme="minorEastAsia"/>
                <w:b/>
                <w:bCs/>
                <w:szCs w:val="21"/>
                <w:highlight w:val="none"/>
              </w:rPr>
              <w:t>3.1投标人为合法注册的法人、其他组织或自然人；</w:t>
            </w:r>
          </w:p>
          <w:p w14:paraId="12B9F5FD">
            <w:pPr>
              <w:snapToGrid w:val="0"/>
              <w:spacing w:line="276" w:lineRule="auto"/>
              <w:ind w:firstLine="422" w:firstLineChars="200"/>
              <w:rPr>
                <w:rStyle w:val="43"/>
                <w:rFonts w:asciiTheme="minorEastAsia" w:hAnsiTheme="minorEastAsia" w:eastAsiaTheme="minorEastAsia"/>
                <w:b/>
                <w:bCs/>
                <w:szCs w:val="21"/>
                <w:highlight w:val="none"/>
              </w:rPr>
            </w:pPr>
            <w:r>
              <w:rPr>
                <w:rStyle w:val="43"/>
                <w:rFonts w:hint="eastAsia" w:asciiTheme="minorEastAsia" w:hAnsiTheme="minorEastAsia" w:eastAsiaTheme="minorEastAsia"/>
                <w:b/>
                <w:bCs/>
                <w:szCs w:val="21"/>
                <w:highlight w:val="none"/>
              </w:rPr>
              <w:t>3.2</w:t>
            </w:r>
            <w:r>
              <w:rPr>
                <w:b/>
                <w:bCs/>
                <w:highlight w:val="none"/>
              </w:rPr>
              <w:t>具备</w:t>
            </w:r>
            <w:r>
              <w:rPr>
                <w:rFonts w:hint="eastAsia"/>
                <w:b/>
                <w:bCs/>
                <w:highlight w:val="none"/>
                <w:lang w:val="en-US" w:eastAsia="zh-CN"/>
              </w:rPr>
              <w:t>电子与智能化工程专业承包二级</w:t>
            </w:r>
            <w:r>
              <w:rPr>
                <w:b/>
                <w:bCs/>
                <w:highlight w:val="none"/>
              </w:rPr>
              <w:t>（含</w:t>
            </w:r>
            <w:r>
              <w:rPr>
                <w:rFonts w:hint="eastAsia"/>
                <w:b/>
                <w:bCs/>
                <w:highlight w:val="none"/>
              </w:rPr>
              <w:t>二</w:t>
            </w:r>
            <w:r>
              <w:rPr>
                <w:b/>
                <w:bCs/>
                <w:highlight w:val="none"/>
              </w:rPr>
              <w:t>级）以上资质</w:t>
            </w:r>
            <w:r>
              <w:rPr>
                <w:rFonts w:hint="eastAsia"/>
                <w:b/>
                <w:bCs/>
                <w:highlight w:val="none"/>
                <w:lang w:val="en-US" w:eastAsia="zh-CN"/>
              </w:rPr>
              <w:t>及</w:t>
            </w:r>
            <w:r>
              <w:rPr>
                <w:rFonts w:hint="eastAsia"/>
                <w:b/>
                <w:bCs/>
                <w:highlight w:val="none"/>
              </w:rPr>
              <w:t>建筑装修装饰工程专业承包二级</w:t>
            </w:r>
            <w:r>
              <w:rPr>
                <w:b/>
                <w:bCs/>
                <w:highlight w:val="none"/>
              </w:rPr>
              <w:t>（含</w:t>
            </w:r>
            <w:r>
              <w:rPr>
                <w:rFonts w:hint="eastAsia"/>
                <w:b/>
                <w:bCs/>
                <w:highlight w:val="none"/>
              </w:rPr>
              <w:t>二</w:t>
            </w:r>
            <w:r>
              <w:rPr>
                <w:b/>
                <w:bCs/>
                <w:highlight w:val="none"/>
              </w:rPr>
              <w:t>级）以上资质</w:t>
            </w:r>
            <w:r>
              <w:rPr>
                <w:rFonts w:hint="eastAsia" w:cs="宋体" w:asciiTheme="minorEastAsia" w:hAnsiTheme="minorEastAsia" w:eastAsiaTheme="minorEastAsia"/>
                <w:b/>
                <w:bCs/>
                <w:szCs w:val="21"/>
                <w:highlight w:val="none"/>
              </w:rPr>
              <w:t>，并具有合格有效的安全生产许可证；</w:t>
            </w:r>
          </w:p>
          <w:p w14:paraId="5E50FAFB">
            <w:pPr>
              <w:snapToGrid w:val="0"/>
              <w:spacing w:line="276" w:lineRule="auto"/>
              <w:ind w:firstLine="422" w:firstLineChars="200"/>
              <w:rPr>
                <w:rStyle w:val="43"/>
                <w:rFonts w:asciiTheme="minorEastAsia" w:hAnsiTheme="minorEastAsia" w:eastAsiaTheme="minorEastAsia"/>
                <w:b/>
                <w:bCs/>
                <w:szCs w:val="21"/>
                <w:highlight w:val="none"/>
              </w:rPr>
            </w:pPr>
            <w:r>
              <w:rPr>
                <w:rStyle w:val="43"/>
                <w:rFonts w:hint="eastAsia" w:asciiTheme="minorEastAsia" w:hAnsiTheme="minorEastAsia" w:eastAsiaTheme="minorEastAsia"/>
                <w:b/>
                <w:bCs/>
                <w:szCs w:val="21"/>
                <w:highlight w:val="none"/>
              </w:rPr>
              <w:t>3.3</w:t>
            </w:r>
            <w:r>
              <w:rPr>
                <w:rFonts w:hint="eastAsia" w:cs="宋体" w:asciiTheme="minorEastAsia" w:hAnsiTheme="minorEastAsia" w:eastAsiaTheme="minorEastAsia"/>
                <w:b/>
                <w:bCs/>
                <w:szCs w:val="21"/>
                <w:highlight w:val="none"/>
              </w:rPr>
              <w:t>拟派项目经理须具备建筑工程专业二级及以上建造师资格</w:t>
            </w:r>
            <w:r>
              <w:rPr>
                <w:rFonts w:hint="eastAsia" w:cs="宋体" w:asciiTheme="minorEastAsia" w:hAnsiTheme="minorEastAsia" w:eastAsiaTheme="minorEastAsia"/>
                <w:b/>
                <w:bCs/>
                <w:szCs w:val="21"/>
                <w:highlight w:val="none"/>
                <w:lang w:eastAsia="zh-CN"/>
              </w:rPr>
              <w:t>，</w:t>
            </w:r>
            <w:r>
              <w:rPr>
                <w:rFonts w:hint="eastAsia" w:cs="宋体" w:asciiTheme="minorEastAsia" w:hAnsiTheme="minorEastAsia" w:eastAsiaTheme="minorEastAsia"/>
                <w:b/>
                <w:bCs/>
                <w:szCs w:val="21"/>
                <w:highlight w:val="none"/>
              </w:rPr>
              <w:t>并具备有效的安全生产考核合格证书，在本单位注册且未担任其他在建工程项目的项目经理</w:t>
            </w:r>
            <w:r>
              <w:rPr>
                <w:rFonts w:hint="eastAsia" w:cs="宋体" w:asciiTheme="minorEastAsia" w:hAnsiTheme="minorEastAsia" w:eastAsiaTheme="minorEastAsia"/>
                <w:b/>
                <w:bCs/>
                <w:szCs w:val="21"/>
                <w:highlight w:val="none"/>
                <w:lang w:eastAsia="zh-CN"/>
              </w:rPr>
              <w:t>，</w:t>
            </w:r>
            <w:r>
              <w:rPr>
                <w:rFonts w:hint="eastAsia" w:cs="宋体" w:asciiTheme="minorEastAsia" w:hAnsiTheme="minorEastAsia" w:eastAsiaTheme="minorEastAsia"/>
                <w:b/>
                <w:bCs/>
                <w:szCs w:val="21"/>
                <w:highlight w:val="none"/>
              </w:rPr>
              <w:t>提供项目经理</w:t>
            </w:r>
            <w:r>
              <w:rPr>
                <w:rFonts w:hint="eastAsia" w:cs="宋体" w:asciiTheme="minorEastAsia" w:hAnsiTheme="minorEastAsia" w:eastAsiaTheme="minorEastAsia"/>
                <w:b/>
                <w:bCs/>
                <w:szCs w:val="21"/>
                <w:highlight w:val="none"/>
                <w:lang w:val="en-US" w:eastAsia="zh-CN"/>
              </w:rPr>
              <w:t>无在建</w:t>
            </w:r>
            <w:r>
              <w:rPr>
                <w:rFonts w:hint="eastAsia" w:cs="宋体" w:asciiTheme="minorEastAsia" w:hAnsiTheme="minorEastAsia" w:eastAsiaTheme="minorEastAsia"/>
                <w:b/>
                <w:bCs/>
                <w:szCs w:val="21"/>
                <w:highlight w:val="none"/>
              </w:rPr>
              <w:t>承诺书</w:t>
            </w:r>
            <w:r>
              <w:rPr>
                <w:rFonts w:hint="eastAsia" w:cs="宋体" w:asciiTheme="minorEastAsia" w:hAnsiTheme="minorEastAsia" w:eastAsiaTheme="minorEastAsia"/>
                <w:b/>
                <w:bCs/>
                <w:szCs w:val="21"/>
                <w:highlight w:val="none"/>
                <w:lang w:eastAsia="zh-CN"/>
              </w:rPr>
              <w:t>。</w:t>
            </w:r>
          </w:p>
          <w:p w14:paraId="22047F0B">
            <w:pPr>
              <w:snapToGrid w:val="0"/>
              <w:spacing w:line="276" w:lineRule="auto"/>
              <w:ind w:firstLine="422" w:firstLineChars="200"/>
              <w:rPr>
                <w:rStyle w:val="43"/>
                <w:rFonts w:asciiTheme="minorEastAsia" w:hAnsiTheme="minorEastAsia" w:eastAsiaTheme="minorEastAsia"/>
                <w:b/>
                <w:bCs/>
                <w:szCs w:val="21"/>
                <w:highlight w:val="none"/>
              </w:rPr>
            </w:pPr>
            <w:r>
              <w:rPr>
                <w:rStyle w:val="43"/>
                <w:rFonts w:hint="eastAsia" w:asciiTheme="minorEastAsia" w:hAnsiTheme="minorEastAsia" w:eastAsiaTheme="minorEastAsia"/>
                <w:b/>
                <w:bCs/>
                <w:szCs w:val="21"/>
                <w:highlight w:val="none"/>
              </w:rPr>
              <w:t>3.4投标人不得列入信用中国(www.creditchina.gov.cn)记录失信被执行人、重大税收违法失信主体、中国政府采购网(www.ccgp.gov.cn)的政府采购严重违法失信行为记录名单；</w:t>
            </w:r>
          </w:p>
          <w:p w14:paraId="2FFB590F">
            <w:pPr>
              <w:snapToGrid w:val="0"/>
              <w:spacing w:line="276" w:lineRule="auto"/>
              <w:ind w:firstLine="422" w:firstLineChars="200"/>
              <w:rPr>
                <w:rStyle w:val="43"/>
                <w:rFonts w:asciiTheme="minorEastAsia" w:hAnsiTheme="minorEastAsia" w:eastAsiaTheme="minorEastAsia"/>
                <w:b/>
                <w:bCs/>
                <w:szCs w:val="21"/>
                <w:highlight w:val="none"/>
              </w:rPr>
            </w:pPr>
            <w:r>
              <w:rPr>
                <w:rStyle w:val="43"/>
                <w:rFonts w:hint="eastAsia" w:asciiTheme="minorEastAsia" w:hAnsiTheme="minorEastAsia" w:eastAsiaTheme="minorEastAsia"/>
                <w:b/>
                <w:bCs/>
                <w:szCs w:val="21"/>
                <w:highlight w:val="none"/>
              </w:rPr>
              <w:t>3.5单位负责人为同一人或者存在直接控股、管理关系的不同投标人，不得参加同一合同项下的政府采购活动。</w:t>
            </w:r>
          </w:p>
        </w:tc>
      </w:tr>
      <w:tr w14:paraId="340E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0AC336E7">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2.3.2</w:t>
            </w:r>
          </w:p>
        </w:tc>
        <w:tc>
          <w:tcPr>
            <w:tcW w:w="1754" w:type="dxa"/>
            <w:tcBorders>
              <w:top w:val="single" w:color="000000" w:sz="4" w:space="0"/>
              <w:left w:val="single" w:color="000000" w:sz="4" w:space="0"/>
              <w:bottom w:val="single" w:color="000000" w:sz="4" w:space="0"/>
              <w:right w:val="single" w:color="000000" w:sz="4" w:space="0"/>
            </w:tcBorders>
            <w:vAlign w:val="center"/>
          </w:tcPr>
          <w:p w14:paraId="6BCBE57B">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是否接受</w:t>
            </w:r>
          </w:p>
          <w:p w14:paraId="76E60929">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联合体投标</w:t>
            </w:r>
          </w:p>
        </w:tc>
        <w:tc>
          <w:tcPr>
            <w:tcW w:w="6777" w:type="dxa"/>
            <w:tcBorders>
              <w:top w:val="single" w:color="000000" w:sz="4" w:space="0"/>
              <w:left w:val="single" w:color="000000" w:sz="4" w:space="0"/>
              <w:bottom w:val="single" w:color="000000" w:sz="4" w:space="0"/>
              <w:right w:val="single" w:color="000000" w:sz="4" w:space="0"/>
            </w:tcBorders>
            <w:vAlign w:val="center"/>
          </w:tcPr>
          <w:p w14:paraId="213F06B9">
            <w:pPr>
              <w:snapToGrid w:val="0"/>
              <w:rPr>
                <w:rStyle w:val="43"/>
                <w:rFonts w:asciiTheme="minorEastAsia" w:hAnsiTheme="minorEastAsia" w:eastAsiaTheme="minorEastAsia"/>
                <w:szCs w:val="21"/>
                <w:highlight w:val="none"/>
              </w:rPr>
            </w:pPr>
            <w:r>
              <w:rPr>
                <w:rStyle w:val="43"/>
                <w:rFonts w:hint="eastAsia" w:ascii="MS Gothic" w:hAnsi="MS Gothic" w:eastAsia="MS Gothic" w:cs="MS Gothic"/>
                <w:szCs w:val="21"/>
                <w:highlight w:val="none"/>
              </w:rPr>
              <w:t>☑</w:t>
            </w:r>
            <w:r>
              <w:rPr>
                <w:rStyle w:val="43"/>
                <w:rFonts w:asciiTheme="minorEastAsia" w:hAnsiTheme="minorEastAsia" w:eastAsiaTheme="minorEastAsia"/>
                <w:szCs w:val="21"/>
                <w:highlight w:val="none"/>
              </w:rPr>
              <w:t xml:space="preserve"> 不接受</w:t>
            </w:r>
          </w:p>
          <w:p w14:paraId="4D267815">
            <w:pPr>
              <w:snapToGrid w:val="0"/>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 接受</w:t>
            </w:r>
          </w:p>
        </w:tc>
      </w:tr>
      <w:tr w14:paraId="049F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76089129">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2.8.1</w:t>
            </w:r>
          </w:p>
        </w:tc>
        <w:tc>
          <w:tcPr>
            <w:tcW w:w="1754" w:type="dxa"/>
            <w:tcBorders>
              <w:top w:val="single" w:color="000000" w:sz="4" w:space="0"/>
              <w:left w:val="single" w:color="000000" w:sz="4" w:space="0"/>
              <w:bottom w:val="single" w:color="000000" w:sz="4" w:space="0"/>
              <w:right w:val="single" w:color="000000" w:sz="4" w:space="0"/>
            </w:tcBorders>
            <w:vAlign w:val="center"/>
          </w:tcPr>
          <w:p w14:paraId="1C1B8D67">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分包</w:t>
            </w:r>
          </w:p>
        </w:tc>
        <w:tc>
          <w:tcPr>
            <w:tcW w:w="6777" w:type="dxa"/>
            <w:tcBorders>
              <w:top w:val="single" w:color="000000" w:sz="4" w:space="0"/>
              <w:left w:val="single" w:color="000000" w:sz="4" w:space="0"/>
              <w:bottom w:val="single" w:color="000000" w:sz="4" w:space="0"/>
              <w:right w:val="single" w:color="000000" w:sz="4" w:space="0"/>
            </w:tcBorders>
            <w:vAlign w:val="center"/>
          </w:tcPr>
          <w:p w14:paraId="3C43DFCE">
            <w:pPr>
              <w:tabs>
                <w:tab w:val="left" w:pos="1180"/>
              </w:tabs>
              <w:snapToGrid w:val="0"/>
              <w:rPr>
                <w:rStyle w:val="43"/>
                <w:rFonts w:asciiTheme="minorEastAsia" w:hAnsiTheme="minorEastAsia" w:eastAsiaTheme="minorEastAsia"/>
                <w:szCs w:val="21"/>
                <w:highlight w:val="none"/>
              </w:rPr>
            </w:pPr>
            <w:r>
              <w:rPr>
                <w:rStyle w:val="43"/>
                <w:rFonts w:hint="eastAsia" w:ascii="MS Gothic" w:hAnsi="MS Gothic" w:eastAsia="MS Gothic" w:cs="MS Gothic"/>
                <w:szCs w:val="21"/>
                <w:highlight w:val="none"/>
              </w:rPr>
              <w:t>☑</w:t>
            </w:r>
            <w:r>
              <w:rPr>
                <w:rStyle w:val="43"/>
                <w:rFonts w:asciiTheme="minorEastAsia" w:hAnsiTheme="minorEastAsia" w:eastAsiaTheme="minorEastAsia"/>
                <w:szCs w:val="21"/>
                <w:highlight w:val="none"/>
              </w:rPr>
              <w:t xml:space="preserve"> 不允许</w:t>
            </w:r>
          </w:p>
          <w:p w14:paraId="064B5677">
            <w:pPr>
              <w:tabs>
                <w:tab w:val="left" w:pos="1180"/>
              </w:tabs>
              <w:snapToGrid w:val="0"/>
              <w:rPr>
                <w:rStyle w:val="43"/>
                <w:rFonts w:asciiTheme="minorEastAsia" w:hAnsiTheme="minorEastAsia" w:eastAsiaTheme="minorEastAsia"/>
                <w:b/>
                <w:szCs w:val="21"/>
                <w:highlight w:val="none"/>
              </w:rPr>
            </w:pPr>
            <w:r>
              <w:rPr>
                <w:rStyle w:val="43"/>
                <w:rFonts w:asciiTheme="minorEastAsia" w:hAnsiTheme="minorEastAsia" w:eastAsiaTheme="minorEastAsia"/>
                <w:szCs w:val="21"/>
                <w:highlight w:val="none"/>
              </w:rPr>
              <w:t>□ 允许</w:t>
            </w:r>
          </w:p>
        </w:tc>
      </w:tr>
      <w:tr w14:paraId="3CE73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7B0A6216">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2.9.3</w:t>
            </w:r>
          </w:p>
        </w:tc>
        <w:tc>
          <w:tcPr>
            <w:tcW w:w="1754" w:type="dxa"/>
            <w:tcBorders>
              <w:top w:val="single" w:color="000000" w:sz="4" w:space="0"/>
              <w:left w:val="single" w:color="000000" w:sz="4" w:space="0"/>
              <w:bottom w:val="single" w:color="000000" w:sz="4" w:space="0"/>
              <w:right w:val="single" w:color="000000" w:sz="4" w:space="0"/>
            </w:tcBorders>
            <w:vAlign w:val="center"/>
          </w:tcPr>
          <w:p w14:paraId="70B9BB6C">
            <w:pPr>
              <w:tabs>
                <w:tab w:val="left" w:pos="1180"/>
              </w:tabs>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lang w:val="zh-CN"/>
              </w:rPr>
              <w:t>偏差</w:t>
            </w:r>
          </w:p>
        </w:tc>
        <w:tc>
          <w:tcPr>
            <w:tcW w:w="6777" w:type="dxa"/>
            <w:tcBorders>
              <w:top w:val="single" w:color="000000" w:sz="4" w:space="0"/>
              <w:left w:val="single" w:color="000000" w:sz="4" w:space="0"/>
              <w:bottom w:val="single" w:color="000000" w:sz="4" w:space="0"/>
              <w:right w:val="single" w:color="000000" w:sz="4" w:space="0"/>
            </w:tcBorders>
            <w:vAlign w:val="center"/>
          </w:tcPr>
          <w:p w14:paraId="32C070D1">
            <w:pPr>
              <w:tabs>
                <w:tab w:val="left" w:pos="1180"/>
              </w:tabs>
              <w:snapToGrid w:val="0"/>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 不允许</w:t>
            </w:r>
          </w:p>
          <w:p w14:paraId="530A3962">
            <w:pPr>
              <w:tabs>
                <w:tab w:val="left" w:pos="1180"/>
              </w:tabs>
              <w:snapToGrid w:val="0"/>
              <w:rPr>
                <w:rStyle w:val="43"/>
                <w:rFonts w:asciiTheme="minorEastAsia" w:hAnsiTheme="minorEastAsia" w:eastAsiaTheme="minorEastAsia"/>
                <w:szCs w:val="21"/>
                <w:highlight w:val="none"/>
              </w:rPr>
            </w:pPr>
            <w:r>
              <w:rPr>
                <w:rStyle w:val="43"/>
                <w:rFonts w:hint="eastAsia" w:ascii="MS Gothic" w:hAnsi="MS Gothic" w:eastAsia="MS Gothic" w:cs="MS Gothic"/>
                <w:szCs w:val="21"/>
                <w:highlight w:val="none"/>
              </w:rPr>
              <w:t>☑</w:t>
            </w:r>
            <w:r>
              <w:rPr>
                <w:rStyle w:val="43"/>
                <w:rFonts w:asciiTheme="minorEastAsia" w:hAnsiTheme="minorEastAsia" w:eastAsiaTheme="minorEastAsia"/>
                <w:szCs w:val="21"/>
                <w:highlight w:val="none"/>
              </w:rPr>
              <w:t xml:space="preserve"> 允许</w:t>
            </w:r>
          </w:p>
        </w:tc>
      </w:tr>
      <w:tr w14:paraId="20DD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14:paraId="53FB332D">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3.2.2</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14:paraId="62A70ED0">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招标文件的</w:t>
            </w:r>
          </w:p>
          <w:p w14:paraId="63B63723">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澄清和修改</w:t>
            </w:r>
          </w:p>
        </w:tc>
        <w:tc>
          <w:tcPr>
            <w:tcW w:w="6777" w:type="dxa"/>
            <w:tcBorders>
              <w:top w:val="single" w:color="000000" w:sz="4" w:space="0"/>
              <w:left w:val="single" w:color="000000" w:sz="4" w:space="0"/>
              <w:bottom w:val="single" w:color="000000" w:sz="4" w:space="0"/>
              <w:right w:val="single" w:color="000000" w:sz="4" w:space="0"/>
            </w:tcBorders>
            <w:vAlign w:val="center"/>
          </w:tcPr>
          <w:p w14:paraId="257CC7B6">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时间：投标截止时间15日前</w:t>
            </w:r>
          </w:p>
        </w:tc>
      </w:tr>
      <w:tr w14:paraId="51448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294BEE58">
            <w:pPr>
              <w:snapToGrid w:val="0"/>
              <w:spacing w:line="360" w:lineRule="auto"/>
              <w:jc w:val="center"/>
              <w:rPr>
                <w:rStyle w:val="43"/>
                <w:rFonts w:asciiTheme="minorEastAsia" w:hAnsiTheme="minorEastAsia" w:eastAsiaTheme="minorEastAsia"/>
                <w:szCs w:val="21"/>
                <w:highlight w:val="none"/>
              </w:rPr>
            </w:pP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14:paraId="6E079004">
            <w:pPr>
              <w:snapToGrid w:val="0"/>
              <w:spacing w:line="276" w:lineRule="auto"/>
              <w:jc w:val="center"/>
              <w:rPr>
                <w:rStyle w:val="43"/>
                <w:rFonts w:asciiTheme="minorEastAsia" w:hAnsiTheme="minorEastAsia" w:eastAsiaTheme="minorEastAsia"/>
                <w:szCs w:val="21"/>
                <w:highlight w:val="none"/>
              </w:rPr>
            </w:pPr>
          </w:p>
        </w:tc>
        <w:tc>
          <w:tcPr>
            <w:tcW w:w="6777" w:type="dxa"/>
            <w:tcBorders>
              <w:top w:val="single" w:color="000000" w:sz="4" w:space="0"/>
              <w:left w:val="single" w:color="000000" w:sz="4" w:space="0"/>
              <w:bottom w:val="single" w:color="000000" w:sz="4" w:space="0"/>
              <w:right w:val="single" w:color="000000" w:sz="4" w:space="0"/>
            </w:tcBorders>
            <w:vAlign w:val="center"/>
          </w:tcPr>
          <w:p w14:paraId="7B5162ED">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形式：在财政部门指定的“政府采购信息发布媒体”上发布变更公告</w:t>
            </w:r>
          </w:p>
        </w:tc>
      </w:tr>
      <w:tr w14:paraId="3BF31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08B27603">
            <w:pPr>
              <w:snapToGrid w:val="0"/>
              <w:spacing w:line="360" w:lineRule="auto"/>
              <w:jc w:val="center"/>
              <w:rPr>
                <w:rStyle w:val="43"/>
                <w:rFonts w:asciiTheme="minorEastAsia" w:hAnsiTheme="minorEastAsia" w:eastAsiaTheme="minorEastAsia"/>
                <w:szCs w:val="21"/>
                <w:highlight w:val="none"/>
              </w:rPr>
            </w:pPr>
            <w:r>
              <w:rPr>
                <w:rStyle w:val="43"/>
                <w:rFonts w:hint="eastAsia" w:asciiTheme="minorEastAsia" w:hAnsiTheme="minorEastAsia" w:eastAsiaTheme="minorEastAsia"/>
                <w:szCs w:val="21"/>
                <w:highlight w:val="none"/>
              </w:rPr>
              <w:t>3.2.3</w:t>
            </w:r>
          </w:p>
        </w:tc>
        <w:tc>
          <w:tcPr>
            <w:tcW w:w="1754" w:type="dxa"/>
            <w:tcBorders>
              <w:top w:val="single" w:color="000000" w:sz="4" w:space="0"/>
              <w:left w:val="single" w:color="000000" w:sz="4" w:space="0"/>
              <w:bottom w:val="single" w:color="000000" w:sz="4" w:space="0"/>
              <w:right w:val="single" w:color="000000" w:sz="4" w:space="0"/>
            </w:tcBorders>
            <w:vAlign w:val="center"/>
          </w:tcPr>
          <w:p w14:paraId="24770D35">
            <w:pPr>
              <w:tabs>
                <w:tab w:val="left" w:pos="1180"/>
              </w:tabs>
              <w:snapToGrid w:val="0"/>
              <w:spacing w:line="276" w:lineRule="auto"/>
              <w:jc w:val="center"/>
              <w:rPr>
                <w:rStyle w:val="43"/>
                <w:rFonts w:cs="Times New Roman" w:asciiTheme="minorEastAsia" w:hAnsiTheme="minorEastAsia" w:eastAsiaTheme="minorEastAsia"/>
                <w:b/>
                <w:bCs/>
                <w:szCs w:val="21"/>
                <w:highlight w:val="none"/>
              </w:rPr>
            </w:pPr>
            <w:r>
              <w:rPr>
                <w:rStyle w:val="43"/>
                <w:rFonts w:hint="eastAsia" w:cs="Times New Roman" w:asciiTheme="minorEastAsia" w:hAnsiTheme="minorEastAsia" w:eastAsiaTheme="minorEastAsia"/>
                <w:szCs w:val="21"/>
                <w:highlight w:val="none"/>
              </w:rPr>
              <w:t>现场踏勘</w:t>
            </w:r>
          </w:p>
        </w:tc>
        <w:tc>
          <w:tcPr>
            <w:tcW w:w="6777" w:type="dxa"/>
            <w:tcBorders>
              <w:top w:val="single" w:color="000000" w:sz="4" w:space="0"/>
              <w:left w:val="single" w:color="000000" w:sz="4" w:space="0"/>
              <w:bottom w:val="single" w:color="000000" w:sz="4" w:space="0"/>
              <w:right w:val="single" w:color="000000" w:sz="4" w:space="0"/>
            </w:tcBorders>
            <w:vAlign w:val="center"/>
          </w:tcPr>
          <w:p w14:paraId="51E2E6FC">
            <w:pPr>
              <w:tabs>
                <w:tab w:val="left" w:pos="1180"/>
              </w:tabs>
              <w:snapToGrid w:val="0"/>
              <w:spacing w:line="276" w:lineRule="auto"/>
              <w:ind w:left="210" w:hanging="210" w:hangingChars="100"/>
              <w:rPr>
                <w:rStyle w:val="43"/>
                <w:rFonts w:cs="Times New Roman" w:asciiTheme="minorEastAsia" w:hAnsiTheme="minorEastAsia" w:eastAsiaTheme="minorEastAsia"/>
                <w:b/>
                <w:bCs/>
                <w:szCs w:val="21"/>
                <w:highlight w:val="none"/>
              </w:rPr>
            </w:pPr>
            <w:r>
              <w:rPr>
                <w:rStyle w:val="43"/>
                <w:rFonts w:hint="eastAsia" w:asciiTheme="minorEastAsia" w:hAnsiTheme="minorEastAsia" w:eastAsiaTheme="minorEastAsia"/>
                <w:szCs w:val="21"/>
                <w:highlight w:val="none"/>
              </w:rPr>
              <w:t>□</w:t>
            </w:r>
            <w:r>
              <w:rPr>
                <w:rStyle w:val="43"/>
                <w:rFonts w:asciiTheme="minorEastAsia" w:hAnsiTheme="minorEastAsia" w:eastAsiaTheme="minorEastAsia"/>
                <w:szCs w:val="21"/>
                <w:highlight w:val="none"/>
              </w:rPr>
              <w:t xml:space="preserve"> </w:t>
            </w:r>
            <w:r>
              <w:rPr>
                <w:rStyle w:val="43"/>
                <w:rFonts w:hint="eastAsia" w:cs="Times New Roman" w:asciiTheme="minorEastAsia" w:hAnsiTheme="minorEastAsia" w:eastAsiaTheme="minorEastAsia"/>
                <w:szCs w:val="21"/>
                <w:highlight w:val="none"/>
              </w:rPr>
              <w:t>组织</w:t>
            </w:r>
          </w:p>
          <w:p w14:paraId="3C32CD64">
            <w:pPr>
              <w:tabs>
                <w:tab w:val="left" w:pos="1180"/>
              </w:tabs>
              <w:snapToGrid w:val="0"/>
              <w:spacing w:line="276" w:lineRule="auto"/>
              <w:ind w:left="211" w:hanging="211" w:hangingChars="100"/>
              <w:rPr>
                <w:rStyle w:val="43"/>
                <w:rFonts w:cs="Times New Roman" w:asciiTheme="minorEastAsia" w:hAnsiTheme="minorEastAsia" w:eastAsiaTheme="minorEastAsia"/>
                <w:szCs w:val="21"/>
                <w:highlight w:val="none"/>
              </w:rPr>
            </w:pPr>
            <w:r>
              <w:rPr>
                <w:rStyle w:val="43"/>
                <w:rFonts w:hint="eastAsia" w:ascii="MS Gothic" w:hAnsi="MS Gothic" w:eastAsia="MS Gothic" w:cs="MS Gothic"/>
                <w:b/>
                <w:bCs/>
                <w:szCs w:val="21"/>
                <w:highlight w:val="none"/>
              </w:rPr>
              <w:t>☑</w:t>
            </w:r>
            <w:r>
              <w:rPr>
                <w:rStyle w:val="43"/>
                <w:rFonts w:hint="eastAsia" w:asciiTheme="minorEastAsia" w:hAnsiTheme="minorEastAsia" w:eastAsiaTheme="minorEastAsia"/>
                <w:b/>
                <w:bCs/>
                <w:szCs w:val="21"/>
                <w:highlight w:val="none"/>
              </w:rPr>
              <w:t>不</w:t>
            </w:r>
            <w:r>
              <w:rPr>
                <w:rStyle w:val="43"/>
                <w:rFonts w:hint="eastAsia" w:cs="Times New Roman" w:asciiTheme="minorEastAsia" w:hAnsiTheme="minorEastAsia" w:eastAsiaTheme="minorEastAsia"/>
                <w:b/>
                <w:bCs/>
                <w:szCs w:val="21"/>
                <w:highlight w:val="none"/>
              </w:rPr>
              <w:t>组织</w:t>
            </w:r>
          </w:p>
        </w:tc>
      </w:tr>
      <w:tr w14:paraId="00721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021FF933">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5.2.4</w:t>
            </w:r>
          </w:p>
        </w:tc>
        <w:tc>
          <w:tcPr>
            <w:tcW w:w="1754" w:type="dxa"/>
            <w:tcBorders>
              <w:top w:val="single" w:color="000000" w:sz="4" w:space="0"/>
              <w:left w:val="single" w:color="000000" w:sz="4" w:space="0"/>
              <w:bottom w:val="single" w:color="000000" w:sz="4" w:space="0"/>
              <w:right w:val="single" w:color="000000" w:sz="4" w:space="0"/>
            </w:tcBorders>
            <w:vAlign w:val="center"/>
          </w:tcPr>
          <w:p w14:paraId="23E3093A">
            <w:pPr>
              <w:tabs>
                <w:tab w:val="left" w:pos="1180"/>
              </w:tabs>
              <w:snapToGrid w:val="0"/>
              <w:spacing w:line="276" w:lineRule="auto"/>
              <w:ind w:left="-210" w:leftChars="-100"/>
              <w:jc w:val="center"/>
              <w:rPr>
                <w:rStyle w:val="43"/>
                <w:rFonts w:cs="Times New Roman" w:asciiTheme="minorEastAsia" w:hAnsiTheme="minorEastAsia" w:eastAsiaTheme="minorEastAsia"/>
                <w:b/>
                <w:bCs/>
                <w:szCs w:val="21"/>
                <w:highlight w:val="none"/>
              </w:rPr>
            </w:pPr>
            <w:r>
              <w:rPr>
                <w:rStyle w:val="43"/>
                <w:rFonts w:hint="eastAsia" w:cs="Times New Roman" w:asciiTheme="minorEastAsia" w:hAnsiTheme="minorEastAsia" w:eastAsiaTheme="minorEastAsia"/>
                <w:b/>
                <w:bCs/>
                <w:szCs w:val="21"/>
                <w:highlight w:val="none"/>
              </w:rPr>
              <w:t>投标报价</w:t>
            </w:r>
          </w:p>
        </w:tc>
        <w:tc>
          <w:tcPr>
            <w:tcW w:w="6777" w:type="dxa"/>
            <w:tcBorders>
              <w:top w:val="single" w:color="000000" w:sz="4" w:space="0"/>
              <w:left w:val="single" w:color="000000" w:sz="4" w:space="0"/>
              <w:bottom w:val="single" w:color="000000" w:sz="4" w:space="0"/>
              <w:right w:val="single" w:color="000000" w:sz="4" w:space="0"/>
            </w:tcBorders>
            <w:vAlign w:val="center"/>
          </w:tcPr>
          <w:p w14:paraId="1557EB42">
            <w:pPr>
              <w:tabs>
                <w:tab w:val="left" w:pos="1180"/>
              </w:tabs>
              <w:snapToGrid w:val="0"/>
              <w:spacing w:line="276" w:lineRule="auto"/>
              <w:rPr>
                <w:rStyle w:val="43"/>
                <w:rFonts w:cs="Times New Roman" w:asciiTheme="minorEastAsia" w:hAnsiTheme="minorEastAsia" w:eastAsiaTheme="minorEastAsia"/>
                <w:b/>
                <w:bCs/>
                <w:szCs w:val="21"/>
                <w:highlight w:val="none"/>
              </w:rPr>
            </w:pPr>
            <w:r>
              <w:rPr>
                <w:rStyle w:val="43"/>
                <w:rFonts w:hint="eastAsia" w:cs="Times New Roman" w:asciiTheme="minorEastAsia" w:hAnsiTheme="minorEastAsia" w:eastAsiaTheme="minorEastAsia"/>
                <w:b/>
                <w:bCs/>
                <w:szCs w:val="21"/>
                <w:highlight w:val="none"/>
              </w:rPr>
              <w:t>1.投标报价不得超过采购预算（或最高限价），否则按无效投标处理。</w:t>
            </w:r>
          </w:p>
          <w:p w14:paraId="0E749DF9">
            <w:pPr>
              <w:tabs>
                <w:tab w:val="left" w:pos="1180"/>
              </w:tabs>
              <w:snapToGrid w:val="0"/>
              <w:spacing w:line="276" w:lineRule="auto"/>
              <w:rPr>
                <w:rStyle w:val="43"/>
                <w:rFonts w:cs="Times New Roman" w:asciiTheme="minorEastAsia" w:hAnsiTheme="minorEastAsia" w:eastAsiaTheme="minorEastAsia"/>
                <w:b/>
                <w:bCs/>
                <w:szCs w:val="21"/>
                <w:highlight w:val="none"/>
              </w:rPr>
            </w:pPr>
            <w:r>
              <w:rPr>
                <w:rStyle w:val="43"/>
                <w:rFonts w:hint="eastAsia" w:cs="Times New Roman" w:asciiTheme="minorEastAsia" w:hAnsiTheme="minorEastAsia" w:eastAsiaTheme="minorEastAsia"/>
                <w:b/>
                <w:bCs/>
                <w:szCs w:val="21"/>
                <w:highlight w:val="none"/>
              </w:rPr>
              <w:t>2.本项目计价模式为全费用综合单价，工程量据实结算。</w:t>
            </w:r>
          </w:p>
          <w:p w14:paraId="59A6FF05">
            <w:pPr>
              <w:tabs>
                <w:tab w:val="left" w:pos="1180"/>
              </w:tabs>
              <w:snapToGrid w:val="0"/>
              <w:spacing w:line="276" w:lineRule="auto"/>
              <w:rPr>
                <w:rStyle w:val="43"/>
                <w:rFonts w:cs="Times New Roman" w:asciiTheme="minorEastAsia" w:hAnsiTheme="minorEastAsia" w:eastAsiaTheme="minorEastAsia"/>
                <w:szCs w:val="21"/>
                <w:highlight w:val="none"/>
              </w:rPr>
            </w:pPr>
            <w:r>
              <w:rPr>
                <w:rStyle w:val="43"/>
                <w:rFonts w:hint="eastAsia" w:cs="Times New Roman" w:asciiTheme="minorEastAsia" w:hAnsiTheme="minorEastAsia" w:eastAsiaTheme="minorEastAsia"/>
                <w:b/>
                <w:bCs/>
                <w:szCs w:val="21"/>
                <w:highlight w:val="none"/>
              </w:rPr>
              <w:t>3.</w:t>
            </w:r>
            <w:r>
              <w:rPr>
                <w:rStyle w:val="43"/>
                <w:rFonts w:hint="eastAsia" w:cs="Times New Roman" w:asciiTheme="minorEastAsia" w:hAnsiTheme="minorEastAsia" w:eastAsiaTheme="minorEastAsia"/>
                <w:szCs w:val="21"/>
                <w:highlight w:val="none"/>
              </w:rPr>
              <w:t>由招标人提供书面工程量清单，由投标人按照招标人提供的工程量清单填写本项目各工程子目的单价、合价和总报价（单价为全费用综合单价）。投标人应按第七章“投标文件格式”的要求在开标一览表中进行报价并填写分项报价表。</w:t>
            </w:r>
          </w:p>
          <w:p w14:paraId="50AA827B">
            <w:pPr>
              <w:tabs>
                <w:tab w:val="left" w:pos="1180"/>
              </w:tabs>
              <w:snapToGrid w:val="0"/>
              <w:spacing w:line="276" w:lineRule="auto"/>
              <w:rPr>
                <w:rStyle w:val="43"/>
                <w:rFonts w:cs="Times New Roman" w:asciiTheme="minorEastAsia" w:hAnsiTheme="minorEastAsia" w:eastAsiaTheme="minorEastAsia"/>
                <w:szCs w:val="21"/>
                <w:highlight w:val="none"/>
              </w:rPr>
            </w:pPr>
            <w:r>
              <w:rPr>
                <w:rStyle w:val="43"/>
                <w:rFonts w:hint="eastAsia" w:cs="Times New Roman" w:asciiTheme="minorEastAsia" w:hAnsiTheme="minorEastAsia" w:eastAsiaTheme="minorEastAsia"/>
                <w:szCs w:val="21"/>
                <w:highlight w:val="none"/>
              </w:rPr>
              <w:t>2.投标人的投标价，应是完成本工程全部工程的总报价，并以投标人在工程量清单中提出的单价或合价为根据；</w:t>
            </w:r>
            <w:r>
              <w:rPr>
                <w:rStyle w:val="43"/>
                <w:rFonts w:hint="eastAsia" w:cs="Times New Roman" w:asciiTheme="minorEastAsia" w:hAnsiTheme="minorEastAsia" w:eastAsiaTheme="minorEastAsia"/>
                <w:color w:val="auto"/>
                <w:szCs w:val="21"/>
                <w:highlight w:val="none"/>
              </w:rPr>
              <w:t>投标人的总报价均应包括完成该工程项目的协调费、直接费、间接费、利润、税金、保险费</w:t>
            </w:r>
            <w:r>
              <w:rPr>
                <w:rStyle w:val="43"/>
                <w:rFonts w:hint="eastAsia" w:cs="Times New Roman" w:asciiTheme="minorEastAsia" w:hAnsiTheme="minorEastAsia" w:eastAsiaTheme="minorEastAsia"/>
                <w:color w:val="auto"/>
                <w:szCs w:val="21"/>
                <w:highlight w:val="none"/>
                <w:lang w:val="en-US" w:eastAsia="zh-CN"/>
              </w:rPr>
              <w:t>。</w:t>
            </w:r>
          </w:p>
          <w:p w14:paraId="1B7F7282">
            <w:pPr>
              <w:tabs>
                <w:tab w:val="left" w:pos="1180"/>
              </w:tabs>
              <w:snapToGrid w:val="0"/>
              <w:spacing w:line="276" w:lineRule="auto"/>
              <w:rPr>
                <w:rStyle w:val="43"/>
                <w:rFonts w:cs="Times New Roman" w:asciiTheme="minorEastAsia" w:hAnsiTheme="minorEastAsia" w:eastAsiaTheme="minorEastAsia"/>
                <w:b/>
                <w:bCs/>
                <w:szCs w:val="21"/>
                <w:highlight w:val="none"/>
              </w:rPr>
            </w:pPr>
            <w:r>
              <w:rPr>
                <w:rStyle w:val="43"/>
                <w:rFonts w:hint="eastAsia" w:cs="Times New Roman" w:asciiTheme="minorEastAsia" w:hAnsiTheme="minorEastAsia" w:eastAsiaTheme="minorEastAsia"/>
                <w:szCs w:val="21"/>
                <w:highlight w:val="none"/>
              </w:rPr>
              <w:t>3.投标人应按招标人提供的工程量清单中列出的工程项目和工程量填报单价和合价。每一项目只允许有一个报价，任何有选择的报价将不予接受，并按无效投标处理。投标人未填单价或合价的工程项目，在实施后，招标人将不予以支付，并视为该项费用已包括在其他有价款的单价或合价内。</w:t>
            </w:r>
          </w:p>
        </w:tc>
      </w:tr>
      <w:tr w14:paraId="6F574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21DA0E62">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5.2.5</w:t>
            </w:r>
          </w:p>
        </w:tc>
        <w:tc>
          <w:tcPr>
            <w:tcW w:w="1754" w:type="dxa"/>
            <w:tcBorders>
              <w:top w:val="single" w:color="000000" w:sz="4" w:space="0"/>
              <w:left w:val="single" w:color="000000" w:sz="4" w:space="0"/>
              <w:bottom w:val="single" w:color="000000" w:sz="4" w:space="0"/>
              <w:right w:val="single" w:color="000000" w:sz="4" w:space="0"/>
            </w:tcBorders>
            <w:vAlign w:val="center"/>
          </w:tcPr>
          <w:p w14:paraId="70A4D608">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投标报价的</w:t>
            </w:r>
          </w:p>
          <w:p w14:paraId="52DA3E15">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14:paraId="60132B52">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1.</w:t>
            </w:r>
            <w:r>
              <w:rPr>
                <w:rStyle w:val="43"/>
                <w:rFonts w:hint="eastAsia" w:asciiTheme="minorEastAsia" w:hAnsiTheme="minorEastAsia" w:eastAsiaTheme="minorEastAsia"/>
                <w:szCs w:val="21"/>
                <w:highlight w:val="none"/>
              </w:rPr>
              <w:t>招标人</w:t>
            </w:r>
            <w:r>
              <w:rPr>
                <w:rStyle w:val="43"/>
                <w:rFonts w:asciiTheme="minorEastAsia" w:hAnsiTheme="minorEastAsia" w:eastAsiaTheme="minorEastAsia"/>
                <w:szCs w:val="21"/>
                <w:highlight w:val="none"/>
              </w:rPr>
              <w:t>不接受有选择性的报价，否则按无效投标处理。</w:t>
            </w:r>
          </w:p>
          <w:p w14:paraId="6B893876">
            <w:pPr>
              <w:tabs>
                <w:tab w:val="left" w:pos="1180"/>
              </w:tabs>
              <w:snapToGrid w:val="0"/>
              <w:spacing w:line="276" w:lineRule="auto"/>
              <w:rPr>
                <w:rStyle w:val="43"/>
                <w:rFonts w:asciiTheme="minorEastAsia" w:hAnsiTheme="minorEastAsia" w:eastAsiaTheme="minorEastAsia"/>
                <w:szCs w:val="21"/>
                <w:highlight w:val="none"/>
              </w:rPr>
            </w:pPr>
            <w:r>
              <w:rPr>
                <w:rStyle w:val="43"/>
                <w:rFonts w:hint="eastAsia" w:asciiTheme="minorEastAsia" w:hAnsiTheme="minorEastAsia" w:eastAsiaTheme="minorEastAsia"/>
                <w:szCs w:val="21"/>
                <w:highlight w:val="none"/>
              </w:rPr>
              <w:t>2</w:t>
            </w:r>
            <w:r>
              <w:rPr>
                <w:rStyle w:val="43"/>
                <w:rFonts w:asciiTheme="minorEastAsia" w:hAnsiTheme="minorEastAsia" w:eastAsiaTheme="minorEastAsia"/>
                <w:szCs w:val="21"/>
                <w:highlight w:val="none"/>
              </w:rPr>
              <w:t>.价格在合同执行过程中固定不变，不得以任何理由予以变更。</w:t>
            </w:r>
          </w:p>
          <w:p w14:paraId="28EB0B94">
            <w:pPr>
              <w:tabs>
                <w:tab w:val="left" w:pos="1180"/>
              </w:tabs>
              <w:snapToGrid w:val="0"/>
              <w:spacing w:line="276" w:lineRule="auto"/>
              <w:rPr>
                <w:rStyle w:val="43"/>
                <w:rFonts w:asciiTheme="minorEastAsia" w:hAnsiTheme="minorEastAsia" w:eastAsiaTheme="minorEastAsia"/>
                <w:szCs w:val="21"/>
                <w:highlight w:val="none"/>
              </w:rPr>
            </w:pPr>
            <w:r>
              <w:rPr>
                <w:rStyle w:val="43"/>
                <w:rFonts w:hint="eastAsia" w:asciiTheme="minorEastAsia" w:hAnsiTheme="minorEastAsia" w:eastAsiaTheme="minorEastAsia"/>
                <w:szCs w:val="21"/>
                <w:highlight w:val="none"/>
              </w:rPr>
              <w:t>3</w:t>
            </w:r>
            <w:r>
              <w:rPr>
                <w:rStyle w:val="43"/>
                <w:rFonts w:asciiTheme="minorEastAsia" w:hAnsiTheme="minorEastAsia" w:eastAsiaTheme="minorEastAsia"/>
                <w:szCs w:val="21"/>
                <w:highlight w:val="none"/>
              </w:rPr>
              <w:t>.凡因投标人对招标文件阅读不深、理解不透、误解、疏漏、或因市场行情了解不清造成的后果和风险均由投标人自负。</w:t>
            </w:r>
          </w:p>
        </w:tc>
      </w:tr>
      <w:tr w14:paraId="342F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1313583E">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5.3.1</w:t>
            </w:r>
          </w:p>
        </w:tc>
        <w:tc>
          <w:tcPr>
            <w:tcW w:w="1754" w:type="dxa"/>
            <w:tcBorders>
              <w:top w:val="single" w:color="000000" w:sz="4" w:space="0"/>
              <w:left w:val="single" w:color="000000" w:sz="4" w:space="0"/>
              <w:bottom w:val="single" w:color="000000" w:sz="4" w:space="0"/>
              <w:right w:val="single" w:color="000000" w:sz="4" w:space="0"/>
            </w:tcBorders>
            <w:vAlign w:val="center"/>
          </w:tcPr>
          <w:p w14:paraId="2B9CE0A5">
            <w:pPr>
              <w:snapToGrid w:val="0"/>
              <w:spacing w:line="276" w:lineRule="auto"/>
              <w:jc w:val="center"/>
              <w:rPr>
                <w:rStyle w:val="43"/>
                <w:rFonts w:asciiTheme="minorEastAsia" w:hAnsiTheme="minorEastAsia" w:eastAsiaTheme="minorEastAsia"/>
                <w:b/>
                <w:bCs/>
                <w:szCs w:val="21"/>
                <w:highlight w:val="none"/>
              </w:rPr>
            </w:pPr>
            <w:r>
              <w:rPr>
                <w:rStyle w:val="43"/>
                <w:rFonts w:asciiTheme="minorEastAsia" w:hAnsiTheme="minorEastAsia" w:eastAsiaTheme="minorEastAsia"/>
                <w:b/>
                <w:bCs/>
                <w:szCs w:val="21"/>
                <w:highlight w:val="none"/>
              </w:rPr>
              <w:t>投标有效期</w:t>
            </w:r>
          </w:p>
        </w:tc>
        <w:tc>
          <w:tcPr>
            <w:tcW w:w="6777" w:type="dxa"/>
            <w:tcBorders>
              <w:top w:val="single" w:color="000000" w:sz="4" w:space="0"/>
              <w:left w:val="single" w:color="000000" w:sz="4" w:space="0"/>
              <w:bottom w:val="single" w:color="000000" w:sz="4" w:space="0"/>
              <w:right w:val="single" w:color="000000" w:sz="4" w:space="0"/>
            </w:tcBorders>
            <w:vAlign w:val="center"/>
          </w:tcPr>
          <w:p w14:paraId="72104F22">
            <w:pPr>
              <w:tabs>
                <w:tab w:val="left" w:pos="1180"/>
              </w:tabs>
              <w:snapToGrid w:val="0"/>
              <w:spacing w:line="276" w:lineRule="auto"/>
              <w:rPr>
                <w:rStyle w:val="43"/>
                <w:rFonts w:asciiTheme="minorEastAsia" w:hAnsiTheme="minorEastAsia" w:eastAsiaTheme="minorEastAsia"/>
                <w:b/>
                <w:bCs/>
                <w:szCs w:val="21"/>
                <w:highlight w:val="none"/>
              </w:rPr>
            </w:pPr>
            <w:r>
              <w:rPr>
                <w:rStyle w:val="43"/>
                <w:rFonts w:asciiTheme="minorEastAsia" w:hAnsiTheme="minorEastAsia" w:eastAsiaTheme="minorEastAsia"/>
                <w:b/>
                <w:bCs/>
                <w:szCs w:val="21"/>
                <w:highlight w:val="none"/>
                <w:lang w:val="zh-CN"/>
              </w:rPr>
              <w:t>投标截止之日起90日历天</w:t>
            </w:r>
          </w:p>
        </w:tc>
      </w:tr>
      <w:tr w14:paraId="3E3CC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3D32367B">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5.4.1</w:t>
            </w:r>
          </w:p>
        </w:tc>
        <w:tc>
          <w:tcPr>
            <w:tcW w:w="1754" w:type="dxa"/>
            <w:tcBorders>
              <w:top w:val="single" w:color="000000" w:sz="4" w:space="0"/>
              <w:left w:val="single" w:color="000000" w:sz="4" w:space="0"/>
              <w:bottom w:val="single" w:color="000000" w:sz="4" w:space="0"/>
              <w:right w:val="single" w:color="000000" w:sz="4" w:space="0"/>
            </w:tcBorders>
            <w:vAlign w:val="center"/>
          </w:tcPr>
          <w:p w14:paraId="7D7F9923">
            <w:pPr>
              <w:snapToGrid w:val="0"/>
              <w:spacing w:line="276" w:lineRule="auto"/>
              <w:jc w:val="center"/>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投标保证金</w:t>
            </w:r>
          </w:p>
        </w:tc>
        <w:tc>
          <w:tcPr>
            <w:tcW w:w="6777" w:type="dxa"/>
            <w:tcBorders>
              <w:top w:val="single" w:color="000000" w:sz="4" w:space="0"/>
              <w:left w:val="single" w:color="000000" w:sz="4" w:space="0"/>
              <w:bottom w:val="single" w:color="000000" w:sz="4" w:space="0"/>
              <w:right w:val="single" w:color="000000" w:sz="4" w:space="0"/>
            </w:tcBorders>
            <w:vAlign w:val="center"/>
          </w:tcPr>
          <w:p w14:paraId="674C749F">
            <w:pPr>
              <w:pStyle w:val="37"/>
              <w:snapToGrid w:val="0"/>
              <w:rPr>
                <w:rStyle w:val="43"/>
                <w:rFonts w:asciiTheme="minorEastAsia" w:hAnsiTheme="minorEastAsia" w:eastAsiaTheme="minorEastAsia"/>
                <w:b/>
                <w:color w:val="000000"/>
                <w:sz w:val="21"/>
                <w:szCs w:val="21"/>
                <w:highlight w:val="none"/>
                <w:u w:color="FF0000"/>
              </w:rPr>
            </w:pPr>
            <w:r>
              <w:rPr>
                <w:rStyle w:val="43"/>
                <w:rFonts w:asciiTheme="minorEastAsia" w:hAnsiTheme="minorEastAsia" w:eastAsiaTheme="minorEastAsia"/>
                <w:b/>
                <w:color w:val="000000"/>
                <w:sz w:val="21"/>
                <w:szCs w:val="21"/>
                <w:highlight w:val="none"/>
                <w:u w:color="000000"/>
              </w:rPr>
              <w:t>无</w:t>
            </w:r>
          </w:p>
        </w:tc>
      </w:tr>
      <w:tr w14:paraId="2323D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5BD79A0C">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5.6.1</w:t>
            </w:r>
          </w:p>
        </w:tc>
        <w:tc>
          <w:tcPr>
            <w:tcW w:w="1754" w:type="dxa"/>
            <w:tcBorders>
              <w:top w:val="single" w:color="000000" w:sz="4" w:space="0"/>
              <w:left w:val="single" w:color="000000" w:sz="4" w:space="0"/>
              <w:bottom w:val="single" w:color="000000" w:sz="4" w:space="0"/>
              <w:right w:val="single" w:color="000000" w:sz="4" w:space="0"/>
            </w:tcBorders>
            <w:vAlign w:val="center"/>
          </w:tcPr>
          <w:p w14:paraId="03CEB637">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是否允许提交</w:t>
            </w:r>
          </w:p>
          <w:p w14:paraId="4E9C4517">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备选投标方案</w:t>
            </w:r>
          </w:p>
        </w:tc>
        <w:tc>
          <w:tcPr>
            <w:tcW w:w="6777" w:type="dxa"/>
            <w:tcBorders>
              <w:top w:val="single" w:color="000000" w:sz="4" w:space="0"/>
              <w:left w:val="single" w:color="000000" w:sz="4" w:space="0"/>
              <w:bottom w:val="single" w:color="000000" w:sz="4" w:space="0"/>
              <w:right w:val="single" w:color="000000" w:sz="4" w:space="0"/>
            </w:tcBorders>
            <w:vAlign w:val="center"/>
          </w:tcPr>
          <w:p w14:paraId="2F30B850">
            <w:pPr>
              <w:tabs>
                <w:tab w:val="left" w:pos="1180"/>
              </w:tabs>
              <w:snapToGrid w:val="0"/>
              <w:spacing w:line="276" w:lineRule="auto"/>
              <w:rPr>
                <w:rStyle w:val="43"/>
                <w:rFonts w:asciiTheme="minorEastAsia" w:hAnsiTheme="minorEastAsia" w:eastAsiaTheme="minorEastAsia"/>
                <w:szCs w:val="21"/>
                <w:highlight w:val="none"/>
              </w:rPr>
            </w:pPr>
            <w:r>
              <w:rPr>
                <w:rStyle w:val="43"/>
                <w:rFonts w:hint="eastAsia" w:ascii="MS Gothic" w:hAnsi="MS Gothic" w:eastAsia="MS Gothic" w:cs="MS Gothic"/>
                <w:szCs w:val="21"/>
                <w:highlight w:val="none"/>
              </w:rPr>
              <w:t>☑</w:t>
            </w:r>
            <w:r>
              <w:rPr>
                <w:rStyle w:val="43"/>
                <w:rFonts w:asciiTheme="minorEastAsia" w:hAnsiTheme="minorEastAsia" w:eastAsiaTheme="minorEastAsia"/>
                <w:szCs w:val="21"/>
                <w:highlight w:val="none"/>
              </w:rPr>
              <w:t xml:space="preserve"> 不允许</w:t>
            </w:r>
          </w:p>
          <w:p w14:paraId="20C2A46D">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 允许</w:t>
            </w:r>
          </w:p>
        </w:tc>
      </w:tr>
      <w:tr w14:paraId="16406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3549E957">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5.7.4</w:t>
            </w:r>
          </w:p>
        </w:tc>
        <w:tc>
          <w:tcPr>
            <w:tcW w:w="1754" w:type="dxa"/>
            <w:tcBorders>
              <w:top w:val="single" w:color="000000" w:sz="4" w:space="0"/>
              <w:left w:val="single" w:color="000000" w:sz="4" w:space="0"/>
              <w:bottom w:val="single" w:color="000000" w:sz="4" w:space="0"/>
              <w:right w:val="single" w:color="000000" w:sz="4" w:space="0"/>
            </w:tcBorders>
            <w:vAlign w:val="center"/>
          </w:tcPr>
          <w:p w14:paraId="4008B701">
            <w:pPr>
              <w:snapToGrid w:val="0"/>
              <w:spacing w:line="276" w:lineRule="auto"/>
              <w:jc w:val="center"/>
              <w:rPr>
                <w:rStyle w:val="43"/>
                <w:rFonts w:cs="Times New Roman" w:asciiTheme="minorEastAsia" w:hAnsiTheme="minorEastAsia" w:eastAsiaTheme="minorEastAsia"/>
                <w:b/>
                <w:bCs/>
                <w:szCs w:val="21"/>
                <w:highlight w:val="none"/>
              </w:rPr>
            </w:pPr>
            <w:r>
              <w:rPr>
                <w:rStyle w:val="43"/>
                <w:rFonts w:cs="Times New Roman" w:asciiTheme="minorEastAsia" w:hAnsiTheme="minorEastAsia" w:eastAsiaTheme="minorEastAsia"/>
                <w:b/>
                <w:bCs/>
                <w:szCs w:val="21"/>
                <w:highlight w:val="none"/>
              </w:rPr>
              <w:t>投标文件份数</w:t>
            </w:r>
          </w:p>
          <w:p w14:paraId="2C84B683">
            <w:pPr>
              <w:snapToGrid w:val="0"/>
              <w:spacing w:line="276" w:lineRule="auto"/>
              <w:jc w:val="center"/>
              <w:rPr>
                <w:rStyle w:val="43"/>
                <w:rFonts w:cs="Times New Roman" w:asciiTheme="minorEastAsia" w:hAnsiTheme="minorEastAsia" w:eastAsiaTheme="minorEastAsia"/>
                <w:b/>
                <w:bCs/>
                <w:szCs w:val="21"/>
                <w:highlight w:val="none"/>
              </w:rPr>
            </w:pPr>
            <w:r>
              <w:rPr>
                <w:rStyle w:val="43"/>
                <w:rFonts w:cs="Times New Roman" w:asciiTheme="minorEastAsia" w:hAnsiTheme="minorEastAsia" w:eastAsiaTheme="minorEastAsia"/>
                <w:b/>
                <w:bCs/>
                <w:szCs w:val="21"/>
                <w:highlight w:val="none"/>
              </w:rPr>
              <w:t>及其他要求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14:paraId="5057F793">
            <w:pPr>
              <w:tabs>
                <w:tab w:val="left" w:pos="1180"/>
              </w:tabs>
              <w:snapToGrid w:val="0"/>
              <w:spacing w:line="276" w:lineRule="auto"/>
              <w:rPr>
                <w:rStyle w:val="43"/>
                <w:rFonts w:cs="Times New Roman" w:asciiTheme="minorEastAsia" w:hAnsiTheme="minorEastAsia" w:eastAsiaTheme="minorEastAsia"/>
                <w:b/>
                <w:bCs/>
                <w:szCs w:val="21"/>
                <w:highlight w:val="none"/>
              </w:rPr>
            </w:pPr>
            <w:r>
              <w:rPr>
                <w:rStyle w:val="43"/>
                <w:rFonts w:cs="Times New Roman" w:asciiTheme="minorEastAsia" w:hAnsiTheme="minorEastAsia" w:eastAsiaTheme="minorEastAsia"/>
                <w:b/>
                <w:bCs/>
                <w:szCs w:val="21"/>
                <w:highlight w:val="none"/>
              </w:rPr>
              <w:t>投标人无需提供纸质版投标文件（中标人在领取中标通知书时提供</w:t>
            </w:r>
            <w:r>
              <w:rPr>
                <w:rStyle w:val="43"/>
                <w:rFonts w:hint="eastAsia" w:cs="Times New Roman" w:asciiTheme="minorEastAsia" w:hAnsiTheme="minorEastAsia" w:eastAsiaTheme="minorEastAsia"/>
                <w:b/>
                <w:bCs/>
                <w:szCs w:val="21"/>
                <w:highlight w:val="none"/>
              </w:rPr>
              <w:t>两套</w:t>
            </w:r>
            <w:r>
              <w:rPr>
                <w:rStyle w:val="43"/>
                <w:rFonts w:cs="Times New Roman" w:asciiTheme="minorEastAsia" w:hAnsiTheme="minorEastAsia" w:eastAsiaTheme="minorEastAsia"/>
                <w:b/>
                <w:bCs/>
                <w:szCs w:val="21"/>
                <w:highlight w:val="none"/>
              </w:rPr>
              <w:t>。）</w:t>
            </w:r>
          </w:p>
        </w:tc>
      </w:tr>
      <w:tr w14:paraId="02DD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79192912">
            <w:pPr>
              <w:snapToGrid w:val="0"/>
              <w:spacing w:line="360" w:lineRule="auto"/>
              <w:jc w:val="center"/>
              <w:rPr>
                <w:rStyle w:val="43"/>
                <w:rFonts w:asciiTheme="minorEastAsia" w:hAnsiTheme="minorEastAsia" w:eastAsiaTheme="minorEastAsia"/>
                <w:szCs w:val="21"/>
                <w:highlight w:val="none"/>
              </w:rPr>
            </w:pPr>
            <w:r>
              <w:rPr>
                <w:rStyle w:val="43"/>
                <w:rFonts w:cs="Times New Roman" w:asciiTheme="minorEastAsia" w:hAnsiTheme="minorEastAsia" w:eastAsiaTheme="minorEastAsia"/>
                <w:b/>
                <w:bCs/>
                <w:szCs w:val="21"/>
                <w:highlight w:val="none"/>
              </w:rPr>
              <w:t>6.1.1</w:t>
            </w:r>
          </w:p>
        </w:tc>
        <w:tc>
          <w:tcPr>
            <w:tcW w:w="1754" w:type="dxa"/>
            <w:tcBorders>
              <w:top w:val="single" w:color="000000" w:sz="4" w:space="0"/>
              <w:left w:val="single" w:color="000000" w:sz="4" w:space="0"/>
              <w:bottom w:val="single" w:color="000000" w:sz="4" w:space="0"/>
              <w:right w:val="single" w:color="000000" w:sz="4" w:space="0"/>
            </w:tcBorders>
            <w:vAlign w:val="center"/>
          </w:tcPr>
          <w:p w14:paraId="12A88EA9">
            <w:pPr>
              <w:snapToGrid w:val="0"/>
              <w:spacing w:line="276" w:lineRule="auto"/>
              <w:jc w:val="center"/>
              <w:rPr>
                <w:rStyle w:val="43"/>
                <w:rFonts w:cs="Times New Roman" w:asciiTheme="minorEastAsia" w:hAnsiTheme="minorEastAsia" w:eastAsiaTheme="minorEastAsia"/>
                <w:b/>
                <w:bCs/>
                <w:szCs w:val="21"/>
                <w:highlight w:val="none"/>
                <w:lang w:val="zh-CN"/>
              </w:rPr>
            </w:pPr>
            <w:r>
              <w:rPr>
                <w:rStyle w:val="43"/>
                <w:rFonts w:cs="Times New Roman" w:asciiTheme="minorEastAsia" w:hAnsiTheme="minorEastAsia" w:eastAsiaTheme="minorEastAsia"/>
                <w:b/>
                <w:bCs/>
                <w:szCs w:val="21"/>
                <w:highlight w:val="none"/>
                <w:lang w:val="zh-CN"/>
              </w:rPr>
              <w:t>提交投标文件</w:t>
            </w:r>
          </w:p>
          <w:p w14:paraId="4D01FA82">
            <w:pPr>
              <w:snapToGrid w:val="0"/>
              <w:spacing w:line="276" w:lineRule="auto"/>
              <w:jc w:val="center"/>
              <w:rPr>
                <w:rStyle w:val="43"/>
                <w:rFonts w:asciiTheme="minorEastAsia" w:hAnsiTheme="minorEastAsia" w:eastAsiaTheme="minorEastAsia"/>
                <w:b/>
                <w:szCs w:val="21"/>
                <w:highlight w:val="none"/>
              </w:rPr>
            </w:pPr>
            <w:r>
              <w:rPr>
                <w:rStyle w:val="43"/>
                <w:rFonts w:cs="Times New Roman" w:asciiTheme="minorEastAsia" w:hAnsiTheme="minorEastAsia" w:eastAsiaTheme="minorEastAsia"/>
                <w:b/>
                <w:bCs/>
                <w:szCs w:val="21"/>
                <w:highlight w:val="none"/>
                <w:lang w:val="zh-CN"/>
              </w:rPr>
              <w:t>的方式</w:t>
            </w:r>
          </w:p>
        </w:tc>
        <w:tc>
          <w:tcPr>
            <w:tcW w:w="6777" w:type="dxa"/>
            <w:tcBorders>
              <w:top w:val="single" w:color="000000" w:sz="4" w:space="0"/>
              <w:left w:val="single" w:color="000000" w:sz="4" w:space="0"/>
              <w:bottom w:val="single" w:color="000000" w:sz="4" w:space="0"/>
              <w:right w:val="single" w:color="000000" w:sz="4" w:space="0"/>
            </w:tcBorders>
            <w:vAlign w:val="center"/>
          </w:tcPr>
          <w:p w14:paraId="2E6A90BC">
            <w:pPr>
              <w:pStyle w:val="37"/>
              <w:snapToGrid w:val="0"/>
              <w:ind w:firstLine="211" w:firstLineChars="100"/>
              <w:rPr>
                <w:rStyle w:val="43"/>
                <w:rFonts w:asciiTheme="minorEastAsia" w:hAnsiTheme="minorEastAsia" w:eastAsiaTheme="minorEastAsia"/>
                <w:b/>
                <w:sz w:val="21"/>
                <w:szCs w:val="21"/>
                <w:highlight w:val="none"/>
                <w:u w:color="FF0000"/>
              </w:rPr>
            </w:pPr>
            <w:r>
              <w:rPr>
                <w:rStyle w:val="43"/>
                <w:rFonts w:cs="Times New Roman" w:asciiTheme="minorEastAsia" w:hAnsiTheme="minorEastAsia" w:eastAsiaTheme="minorEastAsia"/>
                <w:b/>
                <w:bCs/>
                <w:color w:val="000000"/>
                <w:sz w:val="21"/>
                <w:szCs w:val="21"/>
                <w:highlight w:val="none"/>
                <w:u w:color="000000"/>
                <w:lang w:val="zh-CN"/>
              </w:rPr>
              <w:t>从西安市公共资源交易平台〖首页·〉电子交易平台·〉陕西政府采购交易系统·〉企业端〗登录，登录后切换到〖我的项目〗模块，依次点选〖项目流程·〉项目管理·〉上传响应文件〗上传加密后的电子投标文件（*.SXSTF）。</w:t>
            </w:r>
          </w:p>
        </w:tc>
      </w:tr>
      <w:tr w14:paraId="2D9A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6E0A8466">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6.2.1</w:t>
            </w:r>
          </w:p>
        </w:tc>
        <w:tc>
          <w:tcPr>
            <w:tcW w:w="1754" w:type="dxa"/>
            <w:tcBorders>
              <w:top w:val="single" w:color="000000" w:sz="4" w:space="0"/>
              <w:left w:val="single" w:color="000000" w:sz="4" w:space="0"/>
              <w:bottom w:val="single" w:color="000000" w:sz="4" w:space="0"/>
              <w:right w:val="single" w:color="000000" w:sz="4" w:space="0"/>
            </w:tcBorders>
            <w:vAlign w:val="center"/>
          </w:tcPr>
          <w:p w14:paraId="4497206E">
            <w:pPr>
              <w:snapToGrid w:val="0"/>
              <w:spacing w:line="276" w:lineRule="auto"/>
              <w:jc w:val="center"/>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提交投标文件</w:t>
            </w:r>
          </w:p>
          <w:p w14:paraId="2B0A567D">
            <w:pPr>
              <w:snapToGrid w:val="0"/>
              <w:spacing w:line="276" w:lineRule="auto"/>
              <w:jc w:val="center"/>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截止时间</w:t>
            </w:r>
          </w:p>
        </w:tc>
        <w:tc>
          <w:tcPr>
            <w:tcW w:w="6777" w:type="dxa"/>
            <w:tcBorders>
              <w:top w:val="single" w:color="000000" w:sz="4" w:space="0"/>
              <w:left w:val="single" w:color="000000" w:sz="4" w:space="0"/>
              <w:bottom w:val="single" w:color="000000" w:sz="4" w:space="0"/>
              <w:right w:val="single" w:color="000000" w:sz="4" w:space="0"/>
            </w:tcBorders>
            <w:vAlign w:val="center"/>
          </w:tcPr>
          <w:p w14:paraId="0E7BA586">
            <w:pPr>
              <w:tabs>
                <w:tab w:val="left" w:pos="1180"/>
              </w:tabs>
              <w:snapToGrid w:val="0"/>
              <w:spacing w:line="276" w:lineRule="auto"/>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 xml:space="preserve"> </w:t>
            </w:r>
            <w:r>
              <w:rPr>
                <w:rStyle w:val="43"/>
                <w:rFonts w:hint="eastAsia" w:asciiTheme="minorEastAsia" w:hAnsiTheme="minorEastAsia" w:eastAsiaTheme="minorEastAsia"/>
                <w:b/>
                <w:szCs w:val="21"/>
                <w:highlight w:val="none"/>
              </w:rPr>
              <w:t>2025年</w:t>
            </w:r>
            <w:r>
              <w:rPr>
                <w:rStyle w:val="43"/>
                <w:rFonts w:hint="eastAsia" w:asciiTheme="minorEastAsia" w:hAnsiTheme="minorEastAsia" w:eastAsiaTheme="minorEastAsia"/>
                <w:b/>
                <w:szCs w:val="21"/>
                <w:highlight w:val="none"/>
                <w:lang w:val="en-US" w:eastAsia="zh-CN"/>
              </w:rPr>
              <w:t>03</w:t>
            </w:r>
            <w:r>
              <w:rPr>
                <w:rStyle w:val="43"/>
                <w:rFonts w:hint="eastAsia" w:asciiTheme="minorEastAsia" w:hAnsiTheme="minorEastAsia" w:eastAsiaTheme="minorEastAsia"/>
                <w:b/>
                <w:szCs w:val="21"/>
                <w:highlight w:val="none"/>
              </w:rPr>
              <w:t>月</w:t>
            </w:r>
            <w:r>
              <w:rPr>
                <w:rStyle w:val="43"/>
                <w:rFonts w:hint="eastAsia" w:asciiTheme="minorEastAsia" w:hAnsiTheme="minorEastAsia" w:eastAsiaTheme="minorEastAsia"/>
                <w:b/>
                <w:szCs w:val="21"/>
                <w:highlight w:val="none"/>
                <w:lang w:val="en-US" w:eastAsia="zh-CN"/>
              </w:rPr>
              <w:t>25</w:t>
            </w:r>
            <w:r>
              <w:rPr>
                <w:rStyle w:val="43"/>
                <w:rFonts w:hint="eastAsia" w:asciiTheme="minorEastAsia" w:hAnsiTheme="minorEastAsia" w:eastAsiaTheme="minorEastAsia"/>
                <w:b/>
                <w:szCs w:val="21"/>
                <w:highlight w:val="none"/>
              </w:rPr>
              <w:t>日 09时30分00秒（北京时间）</w:t>
            </w:r>
            <w:r>
              <w:rPr>
                <w:rStyle w:val="43"/>
                <w:rFonts w:asciiTheme="minorEastAsia" w:hAnsiTheme="minorEastAsia" w:eastAsiaTheme="minorEastAsia"/>
                <w:b/>
                <w:szCs w:val="21"/>
                <w:highlight w:val="none"/>
              </w:rPr>
              <w:t>，逾期提交的，系统将拒绝接收。</w:t>
            </w:r>
          </w:p>
        </w:tc>
      </w:tr>
      <w:tr w14:paraId="73410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1D7FD9A2">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7.1</w:t>
            </w:r>
          </w:p>
        </w:tc>
        <w:tc>
          <w:tcPr>
            <w:tcW w:w="1754" w:type="dxa"/>
            <w:tcBorders>
              <w:top w:val="single" w:color="000000" w:sz="4" w:space="0"/>
              <w:left w:val="single" w:color="000000" w:sz="4" w:space="0"/>
              <w:bottom w:val="single" w:color="000000" w:sz="4" w:space="0"/>
              <w:right w:val="single" w:color="000000" w:sz="4" w:space="0"/>
            </w:tcBorders>
            <w:vAlign w:val="center"/>
          </w:tcPr>
          <w:p w14:paraId="3ACA6E5A">
            <w:pPr>
              <w:snapToGrid w:val="0"/>
              <w:spacing w:line="276" w:lineRule="auto"/>
              <w:jc w:val="center"/>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开标时间和项目地点</w:t>
            </w:r>
          </w:p>
        </w:tc>
        <w:tc>
          <w:tcPr>
            <w:tcW w:w="6777" w:type="dxa"/>
            <w:tcBorders>
              <w:top w:val="single" w:color="000000" w:sz="4" w:space="0"/>
              <w:left w:val="single" w:color="000000" w:sz="4" w:space="0"/>
              <w:bottom w:val="single" w:color="000000" w:sz="4" w:space="0"/>
              <w:right w:val="single" w:color="000000" w:sz="4" w:space="0"/>
            </w:tcBorders>
            <w:vAlign w:val="center"/>
          </w:tcPr>
          <w:p w14:paraId="3CFBD9FD">
            <w:pPr>
              <w:tabs>
                <w:tab w:val="left" w:pos="1180"/>
              </w:tabs>
              <w:snapToGrid w:val="0"/>
              <w:spacing w:line="276" w:lineRule="auto"/>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开标时间：提交投标文件截止时间</w:t>
            </w:r>
          </w:p>
          <w:p w14:paraId="095E9ECF">
            <w:pPr>
              <w:tabs>
                <w:tab w:val="left" w:pos="1180"/>
              </w:tabs>
              <w:snapToGrid w:val="0"/>
              <w:spacing w:line="276" w:lineRule="auto"/>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 xml:space="preserve">开标项目地点：全国公共资源交易平台 (陕西省 ·西安市)   </w:t>
            </w:r>
          </w:p>
          <w:p w14:paraId="4928CAFB">
            <w:pPr>
              <w:tabs>
                <w:tab w:val="left" w:pos="1180"/>
              </w:tabs>
              <w:snapToGrid w:val="0"/>
              <w:spacing w:line="276" w:lineRule="auto"/>
              <w:rPr>
                <w:rStyle w:val="43"/>
                <w:rFonts w:asciiTheme="minorEastAsia" w:hAnsiTheme="minorEastAsia" w:eastAsiaTheme="minorEastAsia"/>
                <w:b/>
                <w:szCs w:val="21"/>
                <w:highlight w:val="none"/>
              </w:rPr>
            </w:pPr>
            <w:r>
              <w:rPr>
                <w:rStyle w:val="43"/>
                <w:rFonts w:asciiTheme="minorEastAsia" w:hAnsiTheme="minorEastAsia" w:eastAsiaTheme="minorEastAsia"/>
                <w:b/>
                <w:szCs w:val="21"/>
                <w:highlight w:val="none"/>
              </w:rPr>
              <w:t>注：本项目采用不见面方式开标， 建议投标人在开标前</w:t>
            </w:r>
            <w:r>
              <w:rPr>
                <w:rStyle w:val="43"/>
                <w:rFonts w:hint="eastAsia" w:asciiTheme="minorEastAsia" w:hAnsiTheme="minorEastAsia" w:eastAsiaTheme="minorEastAsia"/>
                <w:b/>
                <w:szCs w:val="21"/>
                <w:highlight w:val="none"/>
              </w:rPr>
              <w:t>半</w:t>
            </w:r>
            <w:r>
              <w:rPr>
                <w:rStyle w:val="43"/>
                <w:rFonts w:asciiTheme="minorEastAsia" w:hAnsiTheme="minorEastAsia" w:eastAsiaTheme="minorEastAsia"/>
                <w:b/>
                <w:szCs w:val="21"/>
                <w:highlight w:val="none"/>
              </w:rPr>
              <w:t>小时内登录不见面开标大厅，并及时签到(开标前</w:t>
            </w:r>
            <w:r>
              <w:rPr>
                <w:rStyle w:val="43"/>
                <w:rFonts w:hint="eastAsia" w:asciiTheme="minorEastAsia" w:hAnsiTheme="minorEastAsia" w:eastAsiaTheme="minorEastAsia"/>
                <w:b/>
                <w:szCs w:val="21"/>
                <w:highlight w:val="none"/>
              </w:rPr>
              <w:t>60</w:t>
            </w:r>
            <w:r>
              <w:rPr>
                <w:rStyle w:val="43"/>
                <w:rFonts w:asciiTheme="minorEastAsia" w:hAnsiTheme="minorEastAsia" w:eastAsiaTheme="minorEastAsia"/>
                <w:b/>
                <w:szCs w:val="21"/>
                <w:highlight w:val="none"/>
              </w:rPr>
              <w:t xml:space="preserve"> 分钟开始签到) 。</w:t>
            </w:r>
          </w:p>
        </w:tc>
      </w:tr>
      <w:tr w14:paraId="6EDE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2B8E0AD8">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9.1.1</w:t>
            </w:r>
          </w:p>
        </w:tc>
        <w:tc>
          <w:tcPr>
            <w:tcW w:w="1754" w:type="dxa"/>
            <w:tcBorders>
              <w:top w:val="single" w:color="000000" w:sz="4" w:space="0"/>
              <w:left w:val="single" w:color="000000" w:sz="4" w:space="0"/>
              <w:bottom w:val="single" w:color="000000" w:sz="4" w:space="0"/>
              <w:right w:val="single" w:color="000000" w:sz="4" w:space="0"/>
            </w:tcBorders>
            <w:vAlign w:val="center"/>
          </w:tcPr>
          <w:p w14:paraId="3C7B9EF0">
            <w:pPr>
              <w:snapToGrid w:val="0"/>
              <w:spacing w:line="276"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lang w:val="zh-CN"/>
              </w:rPr>
              <w:t>评标委员会的组成</w:t>
            </w:r>
          </w:p>
        </w:tc>
        <w:tc>
          <w:tcPr>
            <w:tcW w:w="6777" w:type="dxa"/>
            <w:tcBorders>
              <w:top w:val="single" w:color="000000" w:sz="4" w:space="0"/>
              <w:left w:val="single" w:color="000000" w:sz="4" w:space="0"/>
              <w:bottom w:val="single" w:color="000000" w:sz="4" w:space="0"/>
              <w:right w:val="single" w:color="000000" w:sz="4" w:space="0"/>
            </w:tcBorders>
            <w:vAlign w:val="center"/>
          </w:tcPr>
          <w:p w14:paraId="677398A9">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评标委员会构成：</w:t>
            </w:r>
            <w:r>
              <w:rPr>
                <w:rStyle w:val="43"/>
                <w:rFonts w:hint="eastAsia" w:asciiTheme="minorEastAsia" w:hAnsiTheme="minorEastAsia" w:eastAsiaTheme="minorEastAsia"/>
                <w:szCs w:val="21"/>
                <w:highlight w:val="none"/>
                <w:u w:val="single"/>
              </w:rPr>
              <w:t xml:space="preserve"> 5</w:t>
            </w:r>
            <w:r>
              <w:rPr>
                <w:rStyle w:val="43"/>
                <w:rFonts w:asciiTheme="minorEastAsia" w:hAnsiTheme="minorEastAsia" w:eastAsiaTheme="minorEastAsia"/>
                <w:szCs w:val="21"/>
                <w:highlight w:val="none"/>
                <w:u w:val="single"/>
              </w:rPr>
              <w:t xml:space="preserve"> </w:t>
            </w:r>
            <w:r>
              <w:rPr>
                <w:rStyle w:val="43"/>
                <w:rFonts w:asciiTheme="minorEastAsia" w:hAnsiTheme="minorEastAsia" w:eastAsiaTheme="minorEastAsia"/>
                <w:szCs w:val="21"/>
                <w:highlight w:val="none"/>
              </w:rPr>
              <w:t>人。</w:t>
            </w:r>
          </w:p>
          <w:p w14:paraId="205BAFBF">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评标专家的确定方式：</w:t>
            </w:r>
            <w:r>
              <w:rPr>
                <w:rStyle w:val="43"/>
                <w:rFonts w:hint="eastAsia" w:asciiTheme="minorEastAsia" w:hAnsiTheme="minorEastAsia" w:eastAsiaTheme="minorEastAsia"/>
                <w:szCs w:val="21"/>
                <w:highlight w:val="none"/>
              </w:rPr>
              <w:t>评标委员会由采购人代表和评审专家组成，评审专家</w:t>
            </w:r>
            <w:r>
              <w:rPr>
                <w:rStyle w:val="43"/>
                <w:rFonts w:asciiTheme="minorEastAsia" w:hAnsiTheme="minorEastAsia" w:eastAsiaTheme="minorEastAsia"/>
                <w:szCs w:val="21"/>
                <w:highlight w:val="none"/>
              </w:rPr>
              <w:t>在省级财政部门的政府采购专家库中抽取</w:t>
            </w:r>
            <w:r>
              <w:rPr>
                <w:rStyle w:val="43"/>
                <w:rFonts w:hint="eastAsia" w:asciiTheme="minorEastAsia" w:hAnsiTheme="minorEastAsia" w:eastAsiaTheme="minorEastAsia"/>
                <w:szCs w:val="21"/>
                <w:highlight w:val="none"/>
              </w:rPr>
              <w:t>。</w:t>
            </w:r>
          </w:p>
        </w:tc>
      </w:tr>
      <w:tr w14:paraId="31F5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7E0B9FA3">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9.3.2</w:t>
            </w:r>
          </w:p>
        </w:tc>
        <w:tc>
          <w:tcPr>
            <w:tcW w:w="1754" w:type="dxa"/>
            <w:tcBorders>
              <w:top w:val="single" w:color="000000" w:sz="4" w:space="0"/>
              <w:left w:val="single" w:color="000000" w:sz="4" w:space="0"/>
              <w:bottom w:val="single" w:color="000000" w:sz="4" w:space="0"/>
              <w:right w:val="single" w:color="000000" w:sz="4" w:space="0"/>
            </w:tcBorders>
            <w:vAlign w:val="center"/>
          </w:tcPr>
          <w:p w14:paraId="7AE18A2D">
            <w:pPr>
              <w:snapToGrid w:val="0"/>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lang w:val="zh-CN"/>
              </w:rPr>
              <w:t>评标委员会推荐中标候选人的人数</w:t>
            </w:r>
          </w:p>
        </w:tc>
        <w:tc>
          <w:tcPr>
            <w:tcW w:w="6777" w:type="dxa"/>
            <w:tcBorders>
              <w:top w:val="single" w:color="000000" w:sz="4" w:space="0"/>
              <w:left w:val="single" w:color="000000" w:sz="4" w:space="0"/>
              <w:bottom w:val="single" w:color="000000" w:sz="4" w:space="0"/>
              <w:right w:val="single" w:color="000000" w:sz="4" w:space="0"/>
            </w:tcBorders>
            <w:vAlign w:val="center"/>
          </w:tcPr>
          <w:p w14:paraId="53605BDF">
            <w:pPr>
              <w:tabs>
                <w:tab w:val="left" w:pos="1180"/>
              </w:tabs>
              <w:snapToGrid w:val="0"/>
              <w:spacing w:line="276" w:lineRule="auto"/>
              <w:ind w:firstLine="210" w:firstLineChars="100"/>
              <w:rPr>
                <w:rStyle w:val="43"/>
                <w:rFonts w:asciiTheme="minorEastAsia" w:hAnsiTheme="minorEastAsia" w:eastAsiaTheme="minorEastAsia"/>
                <w:szCs w:val="21"/>
                <w:highlight w:val="none"/>
              </w:rPr>
            </w:pPr>
            <w:r>
              <w:rPr>
                <w:rStyle w:val="43"/>
                <w:rFonts w:hint="eastAsia" w:asciiTheme="minorEastAsia" w:hAnsiTheme="minorEastAsia" w:eastAsiaTheme="minorEastAsia"/>
                <w:szCs w:val="21"/>
                <w:highlight w:val="none"/>
              </w:rPr>
              <w:t>3</w:t>
            </w:r>
          </w:p>
        </w:tc>
      </w:tr>
      <w:tr w14:paraId="19964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7FE20EC2">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10.2</w:t>
            </w:r>
          </w:p>
        </w:tc>
        <w:tc>
          <w:tcPr>
            <w:tcW w:w="1754" w:type="dxa"/>
            <w:tcBorders>
              <w:top w:val="single" w:color="000000" w:sz="4" w:space="0"/>
              <w:left w:val="single" w:color="000000" w:sz="4" w:space="0"/>
              <w:bottom w:val="single" w:color="000000" w:sz="4" w:space="0"/>
              <w:right w:val="single" w:color="000000" w:sz="4" w:space="0"/>
            </w:tcBorders>
            <w:vAlign w:val="center"/>
          </w:tcPr>
          <w:p w14:paraId="538ED6D0">
            <w:pPr>
              <w:snapToGrid w:val="0"/>
              <w:jc w:val="center"/>
              <w:rPr>
                <w:rStyle w:val="43"/>
                <w:rFonts w:asciiTheme="minorEastAsia" w:hAnsiTheme="minorEastAsia" w:eastAsiaTheme="minorEastAsia"/>
                <w:szCs w:val="21"/>
                <w:highlight w:val="none"/>
                <w:lang w:val="zh-CN"/>
              </w:rPr>
            </w:pPr>
            <w:r>
              <w:rPr>
                <w:rStyle w:val="43"/>
                <w:rFonts w:asciiTheme="minorEastAsia" w:hAnsiTheme="minorEastAsia" w:eastAsiaTheme="minorEastAsia"/>
                <w:szCs w:val="21"/>
                <w:highlight w:val="none"/>
                <w:lang w:val="zh-CN"/>
              </w:rPr>
              <w:t>中标公告媒介</w:t>
            </w:r>
          </w:p>
          <w:p w14:paraId="730E00FF">
            <w:pPr>
              <w:snapToGrid w:val="0"/>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lang w:val="zh-CN"/>
              </w:rPr>
              <w:t>和期限</w:t>
            </w:r>
          </w:p>
        </w:tc>
        <w:tc>
          <w:tcPr>
            <w:tcW w:w="6777" w:type="dxa"/>
            <w:tcBorders>
              <w:top w:val="single" w:color="000000" w:sz="4" w:space="0"/>
              <w:left w:val="single" w:color="000000" w:sz="4" w:space="0"/>
              <w:bottom w:val="single" w:color="000000" w:sz="4" w:space="0"/>
              <w:right w:val="single" w:color="000000" w:sz="4" w:space="0"/>
            </w:tcBorders>
            <w:vAlign w:val="center"/>
          </w:tcPr>
          <w:p w14:paraId="1688531B">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公告媒介：陕西省政府采购网</w:t>
            </w:r>
            <w:r>
              <w:rPr>
                <w:rStyle w:val="43"/>
                <w:rFonts w:hint="eastAsia" w:asciiTheme="minorEastAsia" w:hAnsiTheme="minorEastAsia" w:eastAsiaTheme="minorEastAsia"/>
                <w:szCs w:val="21"/>
                <w:highlight w:val="none"/>
                <w:lang w:eastAsia="zh-CN"/>
              </w:rPr>
              <w:t>、</w:t>
            </w:r>
            <w:r>
              <w:rPr>
                <w:rStyle w:val="43"/>
                <w:rFonts w:hint="eastAsia" w:asciiTheme="minorEastAsia" w:hAnsiTheme="minorEastAsia" w:eastAsiaTheme="minorEastAsia"/>
                <w:szCs w:val="21"/>
                <w:highlight w:val="none"/>
              </w:rPr>
              <w:t>西安市公共资源交易平台</w:t>
            </w:r>
          </w:p>
          <w:p w14:paraId="205339A0">
            <w:pPr>
              <w:tabs>
                <w:tab w:val="left" w:pos="1180"/>
              </w:tabs>
              <w:snapToGrid w:val="0"/>
              <w:spacing w:line="276" w:lineRule="auto"/>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公告期限：1个工作日</w:t>
            </w:r>
          </w:p>
        </w:tc>
      </w:tr>
      <w:tr w14:paraId="3F20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650E91FF">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13.3.1</w:t>
            </w:r>
          </w:p>
        </w:tc>
        <w:tc>
          <w:tcPr>
            <w:tcW w:w="1754" w:type="dxa"/>
            <w:tcBorders>
              <w:top w:val="single" w:color="000000" w:sz="4" w:space="0"/>
              <w:left w:val="single" w:color="000000" w:sz="4" w:space="0"/>
              <w:bottom w:val="single" w:color="000000" w:sz="4" w:space="0"/>
              <w:right w:val="single" w:color="000000" w:sz="4" w:space="0"/>
            </w:tcBorders>
            <w:vAlign w:val="center"/>
          </w:tcPr>
          <w:p w14:paraId="54DAD266">
            <w:pPr>
              <w:snapToGrid w:val="0"/>
              <w:spacing w:line="276" w:lineRule="auto"/>
              <w:jc w:val="center"/>
              <w:rPr>
                <w:rStyle w:val="43"/>
                <w:rFonts w:asciiTheme="minorEastAsia" w:hAnsiTheme="minorEastAsia" w:eastAsiaTheme="minorEastAsia"/>
                <w:b/>
                <w:bCs/>
                <w:szCs w:val="21"/>
                <w:highlight w:val="none"/>
              </w:rPr>
            </w:pPr>
            <w:r>
              <w:rPr>
                <w:rStyle w:val="43"/>
                <w:rFonts w:asciiTheme="minorEastAsia" w:hAnsiTheme="minorEastAsia" w:eastAsiaTheme="minorEastAsia"/>
                <w:b/>
                <w:bCs/>
                <w:szCs w:val="21"/>
                <w:highlight w:val="none"/>
              </w:rPr>
              <w:t>履约保证金</w:t>
            </w:r>
          </w:p>
        </w:tc>
        <w:tc>
          <w:tcPr>
            <w:tcW w:w="6777" w:type="dxa"/>
            <w:tcBorders>
              <w:top w:val="single" w:color="000000" w:sz="4" w:space="0"/>
              <w:left w:val="single" w:color="000000" w:sz="4" w:space="0"/>
              <w:bottom w:val="single" w:color="000000" w:sz="4" w:space="0"/>
              <w:right w:val="single" w:color="000000" w:sz="4" w:space="0"/>
            </w:tcBorders>
            <w:vAlign w:val="center"/>
          </w:tcPr>
          <w:p w14:paraId="7450179F">
            <w:pPr>
              <w:tabs>
                <w:tab w:val="left" w:pos="1180"/>
              </w:tabs>
              <w:snapToGrid w:val="0"/>
              <w:spacing w:line="276" w:lineRule="auto"/>
              <w:rPr>
                <w:rStyle w:val="43"/>
                <w:rFonts w:asciiTheme="minorEastAsia" w:hAnsiTheme="minorEastAsia" w:eastAsiaTheme="minorEastAsia"/>
                <w:b/>
                <w:bCs/>
                <w:szCs w:val="21"/>
                <w:highlight w:val="none"/>
              </w:rPr>
            </w:pPr>
            <w:r>
              <w:rPr>
                <w:rStyle w:val="43"/>
                <w:rFonts w:hint="eastAsia" w:asciiTheme="minorEastAsia" w:hAnsiTheme="minorEastAsia" w:eastAsiaTheme="minorEastAsia"/>
                <w:b/>
                <w:bCs/>
                <w:szCs w:val="21"/>
                <w:highlight w:val="none"/>
              </w:rPr>
              <w:sym w:font="Wingdings 2" w:char="0052"/>
            </w:r>
            <w:r>
              <w:rPr>
                <w:rStyle w:val="43"/>
                <w:rFonts w:asciiTheme="minorEastAsia" w:hAnsiTheme="minorEastAsia" w:eastAsiaTheme="minorEastAsia"/>
                <w:b/>
                <w:bCs/>
                <w:szCs w:val="21"/>
                <w:highlight w:val="none"/>
              </w:rPr>
              <w:t>无</w:t>
            </w:r>
          </w:p>
          <w:p w14:paraId="4DDCDF8E">
            <w:pPr>
              <w:tabs>
                <w:tab w:val="left" w:pos="1180"/>
              </w:tabs>
              <w:snapToGrid w:val="0"/>
              <w:spacing w:line="276" w:lineRule="auto"/>
              <w:rPr>
                <w:rStyle w:val="43"/>
                <w:rFonts w:asciiTheme="minorEastAsia" w:hAnsiTheme="minorEastAsia" w:eastAsiaTheme="minorEastAsia"/>
                <w:b/>
                <w:bCs/>
                <w:szCs w:val="21"/>
                <w:highlight w:val="none"/>
              </w:rPr>
            </w:pPr>
            <w:r>
              <w:rPr>
                <w:rStyle w:val="43"/>
                <w:rFonts w:asciiTheme="minorEastAsia" w:hAnsiTheme="minorEastAsia" w:eastAsiaTheme="minorEastAsia"/>
                <w:b/>
                <w:bCs/>
                <w:szCs w:val="21"/>
                <w:highlight w:val="none"/>
              </w:rPr>
              <w:sym w:font="Wingdings 2" w:char="00A3"/>
            </w:r>
            <w:r>
              <w:rPr>
                <w:rStyle w:val="43"/>
                <w:rFonts w:asciiTheme="minorEastAsia" w:hAnsiTheme="minorEastAsia" w:eastAsiaTheme="minorEastAsia"/>
                <w:b/>
                <w:bCs/>
                <w:szCs w:val="21"/>
                <w:highlight w:val="none"/>
              </w:rPr>
              <w:t>有</w:t>
            </w:r>
            <w:r>
              <w:rPr>
                <w:rStyle w:val="43"/>
                <w:rFonts w:hint="eastAsia" w:asciiTheme="minorEastAsia" w:hAnsiTheme="minorEastAsia" w:eastAsiaTheme="minorEastAsia"/>
                <w:b/>
                <w:bCs/>
                <w:szCs w:val="21"/>
                <w:highlight w:val="none"/>
              </w:rPr>
              <w:t>，</w:t>
            </w:r>
            <w:r>
              <w:rPr>
                <w:rStyle w:val="43"/>
                <w:rFonts w:asciiTheme="minorEastAsia" w:hAnsiTheme="minorEastAsia" w:eastAsiaTheme="minorEastAsia"/>
                <w:b/>
                <w:bCs/>
                <w:szCs w:val="21"/>
                <w:highlight w:val="none"/>
              </w:rPr>
              <w:t>履约保证金的金额：</w:t>
            </w:r>
            <w:r>
              <w:rPr>
                <w:rStyle w:val="43"/>
                <w:rFonts w:hint="eastAsia" w:asciiTheme="minorEastAsia" w:hAnsiTheme="minorEastAsia" w:eastAsiaTheme="minorEastAsia"/>
                <w:b/>
                <w:bCs/>
                <w:szCs w:val="21"/>
                <w:highlight w:val="none"/>
              </w:rPr>
              <w:t>合同总价的5%，保函形式提供。</w:t>
            </w:r>
          </w:p>
        </w:tc>
      </w:tr>
      <w:tr w14:paraId="663F2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4D810587">
            <w:pPr>
              <w:snapToGrid w:val="0"/>
              <w:spacing w:line="360" w:lineRule="auto"/>
              <w:jc w:val="center"/>
              <w:rPr>
                <w:rStyle w:val="43"/>
                <w:rFonts w:asciiTheme="minorEastAsia" w:hAnsiTheme="minorEastAsia" w:eastAsiaTheme="minorEastAsia"/>
                <w:szCs w:val="21"/>
                <w:highlight w:val="none"/>
              </w:rPr>
            </w:pPr>
            <w:r>
              <w:rPr>
                <w:rStyle w:val="43"/>
                <w:rFonts w:asciiTheme="minorEastAsia" w:hAnsiTheme="minorEastAsia" w:eastAsiaTheme="minorEastAsia"/>
                <w:szCs w:val="21"/>
                <w:highlight w:val="none"/>
              </w:rPr>
              <w:t>13.3.2</w:t>
            </w:r>
          </w:p>
        </w:tc>
        <w:tc>
          <w:tcPr>
            <w:tcW w:w="1754" w:type="dxa"/>
            <w:tcBorders>
              <w:top w:val="single" w:color="000000" w:sz="4" w:space="0"/>
              <w:left w:val="single" w:color="000000" w:sz="4" w:space="0"/>
              <w:bottom w:val="single" w:color="000000" w:sz="4" w:space="0"/>
              <w:right w:val="single" w:color="000000" w:sz="4" w:space="0"/>
            </w:tcBorders>
            <w:vAlign w:val="center"/>
          </w:tcPr>
          <w:p w14:paraId="5D4663BB">
            <w:pPr>
              <w:snapToGrid w:val="0"/>
              <w:spacing w:line="276" w:lineRule="auto"/>
              <w:jc w:val="center"/>
              <w:rPr>
                <w:rStyle w:val="43"/>
                <w:rFonts w:asciiTheme="minorEastAsia" w:hAnsiTheme="minorEastAsia" w:eastAsiaTheme="minorEastAsia"/>
                <w:szCs w:val="21"/>
                <w:highlight w:val="none"/>
              </w:rPr>
            </w:pPr>
            <w:r>
              <w:rPr>
                <w:rStyle w:val="43"/>
                <w:rFonts w:cs="Times New Roman" w:asciiTheme="minorEastAsia" w:hAnsiTheme="minorEastAsia" w:eastAsiaTheme="minorEastAsia"/>
                <w:b/>
                <w:bCs/>
                <w:szCs w:val="21"/>
                <w:highlight w:val="none"/>
              </w:rPr>
              <w:t>采购标的对应的中小企业划分标准所属行业</w:t>
            </w:r>
          </w:p>
        </w:tc>
        <w:tc>
          <w:tcPr>
            <w:tcW w:w="6777" w:type="dxa"/>
            <w:tcBorders>
              <w:top w:val="single" w:color="000000" w:sz="4" w:space="0"/>
              <w:left w:val="single" w:color="000000" w:sz="4" w:space="0"/>
              <w:bottom w:val="single" w:color="000000" w:sz="4" w:space="0"/>
              <w:right w:val="single" w:color="000000" w:sz="4" w:space="0"/>
            </w:tcBorders>
            <w:vAlign w:val="center"/>
          </w:tcPr>
          <w:p w14:paraId="4738A94C">
            <w:pPr>
              <w:tabs>
                <w:tab w:val="left" w:pos="1180"/>
              </w:tabs>
              <w:snapToGrid w:val="0"/>
              <w:spacing w:line="276" w:lineRule="auto"/>
              <w:ind w:firstLine="422" w:firstLineChars="200"/>
              <w:rPr>
                <w:rStyle w:val="43"/>
                <w:rFonts w:asciiTheme="minorEastAsia" w:hAnsiTheme="minorEastAsia" w:eastAsiaTheme="minorEastAsia"/>
                <w:b/>
                <w:bCs/>
                <w:szCs w:val="21"/>
                <w:highlight w:val="none"/>
              </w:rPr>
            </w:pPr>
            <w:r>
              <w:rPr>
                <w:rStyle w:val="43"/>
                <w:rFonts w:hint="eastAsia" w:asciiTheme="minorEastAsia" w:hAnsiTheme="minorEastAsia" w:eastAsiaTheme="minorEastAsia"/>
                <w:b/>
                <w:bCs/>
                <w:szCs w:val="21"/>
                <w:highlight w:val="none"/>
              </w:rPr>
              <w:t>所属行业为建筑业。</w:t>
            </w:r>
          </w:p>
          <w:p w14:paraId="306C73B3">
            <w:pPr>
              <w:tabs>
                <w:tab w:val="left" w:pos="1180"/>
              </w:tabs>
              <w:snapToGrid w:val="0"/>
              <w:spacing w:line="276" w:lineRule="auto"/>
              <w:ind w:firstLine="422" w:firstLineChars="200"/>
              <w:rPr>
                <w:rStyle w:val="43"/>
                <w:rFonts w:asciiTheme="minorEastAsia" w:hAnsiTheme="minorEastAsia" w:eastAsiaTheme="minorEastAsia"/>
                <w:szCs w:val="21"/>
                <w:highlight w:val="none"/>
              </w:rPr>
            </w:pPr>
            <w:r>
              <w:rPr>
                <w:rStyle w:val="43"/>
                <w:rFonts w:hint="eastAsia" w:asciiTheme="minorEastAsia" w:hAnsiTheme="minorEastAsia" w:eastAsiaTheme="minorEastAsia"/>
                <w:b/>
                <w:bCs/>
                <w:szCs w:val="21"/>
                <w:highlight w:val="none"/>
              </w:rPr>
              <w:t>建筑业的划型标准为：营业收入80000万元以下或资产总额80000万元以下的为中小微型企业。其中，营业收入6000万元及以上，且资产总额 5000万元及以上的为中型企业；营业收入300万元及以上，且资产总额300万元及以上的为小型企业；营业收入300万元以下或资产总额300万元以下的为微型企业。</w:t>
            </w:r>
          </w:p>
        </w:tc>
      </w:tr>
      <w:tr w14:paraId="7006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640" w:type="dxa"/>
            <w:gridSpan w:val="2"/>
            <w:tcBorders>
              <w:top w:val="single" w:color="000000" w:sz="4" w:space="0"/>
              <w:left w:val="single" w:color="000000" w:sz="4" w:space="0"/>
              <w:bottom w:val="single" w:color="000000" w:sz="4" w:space="0"/>
              <w:right w:val="single" w:color="000000" w:sz="4" w:space="0"/>
            </w:tcBorders>
            <w:vAlign w:val="center"/>
          </w:tcPr>
          <w:p w14:paraId="116301AF">
            <w:pPr>
              <w:snapToGrid w:val="0"/>
              <w:spacing w:line="276" w:lineRule="auto"/>
              <w:jc w:val="center"/>
              <w:rPr>
                <w:rStyle w:val="43"/>
                <w:rFonts w:cs="Times New Roman" w:asciiTheme="minorEastAsia" w:hAnsiTheme="minorEastAsia" w:eastAsiaTheme="minorEastAsia"/>
                <w:b/>
                <w:bCs/>
                <w:szCs w:val="21"/>
                <w:highlight w:val="none"/>
              </w:rPr>
            </w:pPr>
            <w:r>
              <w:rPr>
                <w:rStyle w:val="43"/>
                <w:rFonts w:cs="Times New Roman" w:asciiTheme="minorEastAsia" w:hAnsiTheme="minorEastAsia" w:eastAsiaTheme="minorEastAsia"/>
                <w:b/>
                <w:bCs/>
                <w:szCs w:val="21"/>
                <w:highlight w:val="none"/>
              </w:rPr>
              <w:t>评审原则的其他要求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14:paraId="415629FD">
            <w:pPr>
              <w:pStyle w:val="2"/>
              <w:ind w:firstLine="422" w:firstLineChars="200"/>
              <w:rPr>
                <w:rStyle w:val="43"/>
                <w:rFonts w:cs="宋体" w:asciiTheme="minorEastAsia" w:hAnsiTheme="minorEastAsia" w:eastAsiaTheme="minorEastAsia"/>
                <w:b/>
                <w:bCs/>
                <w:sz w:val="21"/>
                <w:szCs w:val="21"/>
                <w:highlight w:val="none"/>
              </w:rPr>
            </w:pPr>
            <w:r>
              <w:rPr>
                <w:rStyle w:val="43"/>
                <w:rFonts w:cs="宋体" w:asciiTheme="minorEastAsia" w:hAnsiTheme="minorEastAsia" w:eastAsiaTheme="minorEastAsia"/>
                <w:b/>
                <w:bCs/>
                <w:sz w:val="21"/>
                <w:szCs w:val="21"/>
                <w:highlight w:val="none"/>
              </w:rPr>
              <w:t>无</w:t>
            </w:r>
          </w:p>
        </w:tc>
      </w:tr>
    </w:tbl>
    <w:p w14:paraId="4BFC0F62">
      <w:pPr>
        <w:snapToGrid w:val="0"/>
        <w:spacing w:line="400" w:lineRule="exact"/>
        <w:rPr>
          <w:rStyle w:val="43"/>
          <w:rFonts w:ascii="宋体" w:hAnsi="宋体"/>
          <w:b/>
          <w:szCs w:val="21"/>
          <w:highlight w:val="none"/>
        </w:rPr>
      </w:pPr>
      <w:r>
        <w:rPr>
          <w:rStyle w:val="43"/>
          <w:rFonts w:ascii="宋体" w:hAnsi="宋体"/>
          <w:b/>
          <w:szCs w:val="21"/>
          <w:highlight w:val="none"/>
        </w:rPr>
        <w:t>注：投标人须知前附表与招标文件正文对同一事项描述不一致的，以投标人须知前附表为准。</w:t>
      </w:r>
    </w:p>
    <w:p w14:paraId="23C351BF">
      <w:pPr>
        <w:jc w:val="left"/>
        <w:textAlignment w:val="auto"/>
        <w:rPr>
          <w:rStyle w:val="43"/>
          <w:rFonts w:ascii="宋体" w:hAnsi="宋体" w:cs="宋体"/>
          <w:b/>
          <w:bCs/>
          <w:sz w:val="24"/>
          <w:szCs w:val="24"/>
          <w:highlight w:val="none"/>
          <w:lang w:val="zh-CN"/>
        </w:rPr>
      </w:pPr>
      <w:r>
        <w:rPr>
          <w:rStyle w:val="43"/>
          <w:rFonts w:ascii="宋体" w:hAnsi="宋体" w:cs="宋体"/>
          <w:b/>
          <w:bCs/>
          <w:sz w:val="24"/>
          <w:szCs w:val="24"/>
          <w:highlight w:val="none"/>
          <w:lang w:val="zh-CN"/>
        </w:rPr>
        <w:br w:type="page"/>
      </w:r>
    </w:p>
    <w:p w14:paraId="29A36FE4">
      <w:pPr>
        <w:snapToGrid w:val="0"/>
        <w:spacing w:line="360" w:lineRule="auto"/>
        <w:ind w:firstLine="422" w:firstLineChars="200"/>
        <w:rPr>
          <w:rStyle w:val="43"/>
          <w:rFonts w:cs="宋体" w:asciiTheme="minorEastAsia" w:hAnsiTheme="minorEastAsia" w:eastAsiaTheme="minorEastAsia"/>
          <w:b/>
          <w:bCs/>
          <w:szCs w:val="21"/>
          <w:highlight w:val="none"/>
          <w:lang w:val="zh-CN"/>
        </w:rPr>
      </w:pPr>
      <w:r>
        <w:rPr>
          <w:rStyle w:val="43"/>
          <w:rFonts w:hint="eastAsia" w:cs="宋体" w:asciiTheme="minorEastAsia" w:hAnsiTheme="minorEastAsia" w:eastAsiaTheme="minorEastAsia"/>
          <w:b/>
          <w:bCs/>
          <w:szCs w:val="21"/>
          <w:highlight w:val="none"/>
          <w:lang w:val="zh-CN"/>
        </w:rPr>
        <w:t>2.总则</w:t>
      </w:r>
    </w:p>
    <w:p w14:paraId="2031B09F">
      <w:pPr>
        <w:snapToGrid w:val="0"/>
        <w:spacing w:line="360" w:lineRule="auto"/>
        <w:ind w:firstLine="422" w:firstLineChars="200"/>
        <w:rPr>
          <w:rStyle w:val="43"/>
          <w:rFonts w:cs="宋体" w:asciiTheme="minorEastAsia" w:hAnsiTheme="minorEastAsia" w:eastAsiaTheme="minorEastAsia"/>
          <w:b/>
          <w:bCs/>
          <w:szCs w:val="21"/>
          <w:highlight w:val="none"/>
          <w:lang w:val="zh-CN"/>
        </w:rPr>
      </w:pPr>
      <w:r>
        <w:rPr>
          <w:rStyle w:val="43"/>
          <w:rFonts w:hint="eastAsia" w:cs="宋体" w:asciiTheme="minorEastAsia" w:hAnsiTheme="minorEastAsia" w:eastAsiaTheme="minorEastAsia"/>
          <w:b/>
          <w:bCs/>
          <w:szCs w:val="21"/>
          <w:highlight w:val="none"/>
          <w:lang w:val="zh-CN"/>
        </w:rPr>
        <w:t>2.1 项目概况</w:t>
      </w:r>
    </w:p>
    <w:p w14:paraId="5A16FF2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2.1.1 根据相关法律、法规和规章，本项目已具备招标条件，现进行招标。</w:t>
      </w:r>
    </w:p>
    <w:p w14:paraId="2E4EF156">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lang w:val="zh-CN"/>
        </w:rPr>
        <w:t>2.1.2 招标人：见投标人须知前附表。</w:t>
      </w:r>
    </w:p>
    <w:p w14:paraId="7BB7D0EA">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 xml:space="preserve">2.1.3 </w:t>
      </w:r>
      <w:r>
        <w:rPr>
          <w:rStyle w:val="43"/>
          <w:rFonts w:hint="eastAsia" w:cs="宋体" w:asciiTheme="minorEastAsia" w:hAnsiTheme="minorEastAsia" w:eastAsiaTheme="minorEastAsia"/>
          <w:szCs w:val="21"/>
          <w:highlight w:val="none"/>
          <w:lang w:val="zh-CN"/>
        </w:rPr>
        <w:t>招标代理机构：见投标人须知前附表。</w:t>
      </w:r>
    </w:p>
    <w:p w14:paraId="21383BB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2.1.4 项目名称：见投标人须知前附表。</w:t>
      </w:r>
    </w:p>
    <w:p w14:paraId="033A3DA8">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 xml:space="preserve">2.2 </w:t>
      </w:r>
      <w:r>
        <w:rPr>
          <w:rStyle w:val="43"/>
          <w:rFonts w:hint="eastAsia" w:cs="宋体" w:asciiTheme="minorEastAsia" w:hAnsiTheme="minorEastAsia" w:eastAsiaTheme="minorEastAsia"/>
          <w:b/>
          <w:color w:val="000000"/>
          <w:szCs w:val="21"/>
          <w:highlight w:val="none"/>
          <w:lang w:val="zh-CN"/>
        </w:rPr>
        <w:t>招标范围、</w:t>
      </w:r>
      <w:r>
        <w:rPr>
          <w:rStyle w:val="43"/>
          <w:rFonts w:hint="eastAsia" w:cs="宋体" w:asciiTheme="minorEastAsia" w:hAnsiTheme="minorEastAsia" w:eastAsiaTheme="minorEastAsia"/>
          <w:b/>
          <w:color w:val="000000"/>
          <w:szCs w:val="21"/>
          <w:highlight w:val="none"/>
        </w:rPr>
        <w:t>计划工期</w:t>
      </w:r>
      <w:r>
        <w:rPr>
          <w:rStyle w:val="43"/>
          <w:rFonts w:hint="eastAsia" w:cs="宋体" w:asciiTheme="minorEastAsia" w:hAnsiTheme="minorEastAsia" w:eastAsiaTheme="minorEastAsia"/>
          <w:b/>
          <w:color w:val="000000"/>
          <w:szCs w:val="21"/>
          <w:highlight w:val="none"/>
          <w:lang w:val="zh-CN"/>
        </w:rPr>
        <w:t>、项目地点、质量等级</w:t>
      </w:r>
    </w:p>
    <w:p w14:paraId="33A6D0B5">
      <w:pPr>
        <w:snapToGrid w:val="0"/>
        <w:spacing w:line="360" w:lineRule="auto"/>
        <w:ind w:firstLine="420" w:firstLineChars="200"/>
        <w:rPr>
          <w:rStyle w:val="43"/>
          <w:rFonts w:cs="宋体" w:asciiTheme="minorEastAsia" w:hAnsiTheme="minorEastAsia" w:eastAsiaTheme="minorEastAsia"/>
          <w:color w:val="000000"/>
          <w:szCs w:val="21"/>
          <w:highlight w:val="none"/>
          <w:lang w:val="zh-CN"/>
        </w:rPr>
      </w:pPr>
      <w:r>
        <w:rPr>
          <w:rStyle w:val="43"/>
          <w:rFonts w:hint="eastAsia" w:cs="宋体" w:asciiTheme="minorEastAsia" w:hAnsiTheme="minorEastAsia" w:eastAsiaTheme="minorEastAsia"/>
          <w:color w:val="000000"/>
          <w:szCs w:val="21"/>
          <w:highlight w:val="none"/>
          <w:lang w:val="zh-CN"/>
        </w:rPr>
        <w:t>2.2.1 招标范围：见投标人须知前附表。</w:t>
      </w:r>
    </w:p>
    <w:p w14:paraId="1E8C3F14">
      <w:pPr>
        <w:snapToGrid w:val="0"/>
        <w:spacing w:line="360" w:lineRule="auto"/>
        <w:ind w:firstLine="420" w:firstLineChars="200"/>
        <w:rPr>
          <w:rStyle w:val="43"/>
          <w:rFonts w:cs="宋体" w:asciiTheme="minorEastAsia" w:hAnsiTheme="minorEastAsia" w:eastAsiaTheme="minorEastAsia"/>
          <w:color w:val="000000"/>
          <w:szCs w:val="21"/>
          <w:highlight w:val="none"/>
          <w:lang w:val="zh-CN"/>
        </w:rPr>
      </w:pPr>
      <w:r>
        <w:rPr>
          <w:rStyle w:val="43"/>
          <w:rFonts w:hint="eastAsia" w:cs="宋体" w:asciiTheme="minorEastAsia" w:hAnsiTheme="minorEastAsia" w:eastAsiaTheme="minorEastAsia"/>
          <w:color w:val="000000"/>
          <w:szCs w:val="21"/>
          <w:highlight w:val="none"/>
          <w:lang w:val="zh-CN"/>
        </w:rPr>
        <w:t xml:space="preserve">2.2.2 </w:t>
      </w:r>
      <w:r>
        <w:rPr>
          <w:rStyle w:val="43"/>
          <w:rFonts w:hint="eastAsia" w:cs="宋体" w:asciiTheme="minorEastAsia" w:hAnsiTheme="minorEastAsia" w:eastAsiaTheme="minorEastAsia"/>
          <w:color w:val="000000"/>
          <w:szCs w:val="21"/>
          <w:highlight w:val="none"/>
        </w:rPr>
        <w:t>计划工期</w:t>
      </w:r>
      <w:r>
        <w:rPr>
          <w:rStyle w:val="43"/>
          <w:rFonts w:hint="eastAsia" w:cs="宋体" w:asciiTheme="minorEastAsia" w:hAnsiTheme="minorEastAsia" w:eastAsiaTheme="minorEastAsia"/>
          <w:color w:val="000000"/>
          <w:szCs w:val="21"/>
          <w:highlight w:val="none"/>
          <w:lang w:val="zh-CN"/>
        </w:rPr>
        <w:t>：见投标人须知前附表。</w:t>
      </w:r>
    </w:p>
    <w:p w14:paraId="302CBF74">
      <w:pPr>
        <w:snapToGrid w:val="0"/>
        <w:spacing w:line="360" w:lineRule="auto"/>
        <w:ind w:firstLine="420" w:firstLineChars="200"/>
        <w:rPr>
          <w:rStyle w:val="43"/>
          <w:rFonts w:cs="宋体" w:asciiTheme="minorEastAsia" w:hAnsiTheme="minorEastAsia" w:eastAsiaTheme="minorEastAsia"/>
          <w:color w:val="000000"/>
          <w:szCs w:val="21"/>
          <w:highlight w:val="none"/>
          <w:lang w:val="zh-CN"/>
        </w:rPr>
      </w:pPr>
      <w:r>
        <w:rPr>
          <w:rStyle w:val="43"/>
          <w:rFonts w:hint="eastAsia" w:cs="宋体" w:asciiTheme="minorEastAsia" w:hAnsiTheme="minorEastAsia" w:eastAsiaTheme="minorEastAsia"/>
          <w:color w:val="000000"/>
          <w:szCs w:val="21"/>
          <w:highlight w:val="none"/>
          <w:lang w:val="zh-CN"/>
        </w:rPr>
        <w:t xml:space="preserve">2.2.3 </w:t>
      </w:r>
      <w:r>
        <w:rPr>
          <w:rStyle w:val="43"/>
          <w:rFonts w:hint="eastAsia" w:cs="宋体" w:asciiTheme="minorEastAsia" w:hAnsiTheme="minorEastAsia" w:eastAsiaTheme="minorEastAsia"/>
          <w:color w:val="000000"/>
          <w:szCs w:val="21"/>
          <w:highlight w:val="none"/>
        </w:rPr>
        <w:t>项目地点</w:t>
      </w:r>
      <w:r>
        <w:rPr>
          <w:rStyle w:val="43"/>
          <w:rFonts w:hint="eastAsia" w:cs="宋体" w:asciiTheme="minorEastAsia" w:hAnsiTheme="minorEastAsia" w:eastAsiaTheme="minorEastAsia"/>
          <w:color w:val="000000"/>
          <w:szCs w:val="21"/>
          <w:highlight w:val="none"/>
          <w:lang w:val="zh-CN"/>
        </w:rPr>
        <w:t>：见投标人须知前附表。</w:t>
      </w:r>
    </w:p>
    <w:p w14:paraId="215F77C6">
      <w:pPr>
        <w:snapToGrid w:val="0"/>
        <w:spacing w:line="360" w:lineRule="auto"/>
        <w:ind w:firstLine="420" w:firstLineChars="200"/>
        <w:rPr>
          <w:rStyle w:val="43"/>
          <w:rFonts w:cs="宋体" w:asciiTheme="minorEastAsia" w:hAnsiTheme="minorEastAsia" w:eastAsiaTheme="minorEastAsia"/>
          <w:color w:val="000000"/>
          <w:szCs w:val="21"/>
          <w:highlight w:val="none"/>
        </w:rPr>
      </w:pPr>
      <w:r>
        <w:rPr>
          <w:rStyle w:val="43"/>
          <w:rFonts w:hint="eastAsia" w:cs="宋体" w:asciiTheme="minorEastAsia" w:hAnsiTheme="minorEastAsia" w:eastAsiaTheme="minorEastAsia"/>
          <w:color w:val="000000"/>
          <w:szCs w:val="21"/>
          <w:highlight w:val="none"/>
        </w:rPr>
        <w:t xml:space="preserve">2.2.4 </w:t>
      </w:r>
      <w:r>
        <w:rPr>
          <w:rStyle w:val="43"/>
          <w:rFonts w:hint="eastAsia" w:cs="宋体" w:asciiTheme="minorEastAsia" w:hAnsiTheme="minorEastAsia" w:eastAsiaTheme="minorEastAsia"/>
          <w:color w:val="000000"/>
          <w:szCs w:val="21"/>
          <w:highlight w:val="none"/>
          <w:lang w:val="zh-CN"/>
        </w:rPr>
        <w:t>质量等级：见投标人须知前附表。</w:t>
      </w:r>
    </w:p>
    <w:p w14:paraId="296DCD32">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2.3 投标人资格要求</w:t>
      </w:r>
    </w:p>
    <w:p w14:paraId="5AFA8E4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2.3.1 投标人应具备的资格条件：见投标人须知前附表。</w:t>
      </w:r>
    </w:p>
    <w:p w14:paraId="28A30B74">
      <w:pPr>
        <w:snapToGrid w:val="0"/>
        <w:spacing w:line="360" w:lineRule="auto"/>
        <w:ind w:firstLine="422" w:firstLineChars="200"/>
        <w:rPr>
          <w:rStyle w:val="43"/>
          <w:rFonts w:cs="宋体" w:asciiTheme="minorEastAsia" w:hAnsiTheme="minorEastAsia" w:eastAsiaTheme="minorEastAsia"/>
          <w:b/>
          <w:szCs w:val="21"/>
          <w:highlight w:val="none"/>
          <w:u w:val="single"/>
          <w:lang w:val="zh-CN"/>
        </w:rPr>
      </w:pPr>
      <w:r>
        <w:rPr>
          <w:rStyle w:val="43"/>
          <w:rFonts w:hint="eastAsia" w:cs="宋体" w:asciiTheme="minorEastAsia" w:hAnsiTheme="minorEastAsia" w:eastAsiaTheme="minorEastAsia"/>
          <w:b/>
          <w:szCs w:val="21"/>
          <w:highlight w:val="none"/>
          <w:u w:val="single" w:color="000000"/>
          <w:lang w:val="zh-CN"/>
        </w:rPr>
        <w:t>需要提交的资格证明材料见本章第8.2款的规定。</w:t>
      </w:r>
    </w:p>
    <w:p w14:paraId="2279DFA9">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2.3.2 本项目不接受联合体投标。</w:t>
      </w:r>
    </w:p>
    <w:p w14:paraId="13EBA9F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2.3.3 投标人不得存在下列情形之一，否则按无效投标处理：</w:t>
      </w:r>
    </w:p>
    <w:p w14:paraId="73A3CE6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1</w:t>
      </w:r>
      <w:r>
        <w:rPr>
          <w:rStyle w:val="43"/>
          <w:rFonts w:hint="eastAsia" w:cs="宋体" w:asciiTheme="minorEastAsia" w:hAnsiTheme="minorEastAsia" w:eastAsiaTheme="minorEastAsia"/>
          <w:szCs w:val="21"/>
          <w:highlight w:val="none"/>
          <w:lang w:val="zh-CN"/>
        </w:rPr>
        <w:t>）单位负责人为同一人或者存在直接控股、管理关系；</w:t>
      </w:r>
    </w:p>
    <w:p w14:paraId="51FA31A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2</w:t>
      </w:r>
      <w:r>
        <w:rPr>
          <w:rStyle w:val="43"/>
          <w:rFonts w:hint="eastAsia" w:cs="宋体" w:asciiTheme="minorEastAsia" w:hAnsiTheme="minorEastAsia" w:eastAsiaTheme="minorEastAsia"/>
          <w:szCs w:val="21"/>
          <w:highlight w:val="none"/>
          <w:lang w:val="zh-CN"/>
        </w:rPr>
        <w:t>）为采购项目提供整体设计、规范编制或者项目管理、监理、检测等服务；</w:t>
      </w:r>
    </w:p>
    <w:p w14:paraId="0BF6E85D">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（3）法律法规规定的其他情形。</w:t>
      </w:r>
    </w:p>
    <w:p w14:paraId="053F7D37">
      <w:pPr>
        <w:snapToGrid w:val="0"/>
        <w:spacing w:line="360" w:lineRule="auto"/>
        <w:ind w:firstLine="422" w:firstLineChars="200"/>
        <w:rPr>
          <w:rStyle w:val="43"/>
          <w:rFonts w:cs="宋体" w:asciiTheme="minorEastAsia" w:hAnsiTheme="minorEastAsia" w:eastAsiaTheme="minorEastAsia"/>
          <w:b/>
          <w:szCs w:val="21"/>
          <w:highlight w:val="none"/>
        </w:rPr>
      </w:pPr>
      <w:r>
        <w:rPr>
          <w:rStyle w:val="43"/>
          <w:rFonts w:hint="eastAsia" w:cs="宋体" w:asciiTheme="minorEastAsia" w:hAnsiTheme="minorEastAsia" w:eastAsiaTheme="minorEastAsia"/>
          <w:b/>
          <w:szCs w:val="21"/>
          <w:highlight w:val="none"/>
        </w:rPr>
        <w:t>2.4 费用承担</w:t>
      </w:r>
    </w:p>
    <w:p w14:paraId="2A62792E">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投标人准备和参加投标活动发生的费用自理。</w:t>
      </w:r>
    </w:p>
    <w:p w14:paraId="3772BCE3">
      <w:pPr>
        <w:snapToGrid w:val="0"/>
        <w:spacing w:line="360" w:lineRule="auto"/>
        <w:ind w:firstLine="422" w:firstLineChars="200"/>
        <w:rPr>
          <w:rStyle w:val="43"/>
          <w:rFonts w:cs="宋体" w:asciiTheme="minorEastAsia" w:hAnsiTheme="minorEastAsia" w:eastAsiaTheme="minorEastAsia"/>
          <w:b/>
          <w:szCs w:val="21"/>
          <w:highlight w:val="none"/>
        </w:rPr>
      </w:pPr>
      <w:r>
        <w:rPr>
          <w:rStyle w:val="43"/>
          <w:rFonts w:hint="eastAsia" w:cs="宋体" w:asciiTheme="minorEastAsia" w:hAnsiTheme="minorEastAsia" w:eastAsiaTheme="minorEastAsia"/>
          <w:b/>
          <w:szCs w:val="21"/>
          <w:highlight w:val="none"/>
        </w:rPr>
        <w:t>2.5 保密</w:t>
      </w:r>
    </w:p>
    <w:p w14:paraId="55BD1AD9">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参与政府采购活动的各方应对招标文件和投标文件中的商业和技术等秘密保密，否则应承担相应的法律责任。</w:t>
      </w:r>
    </w:p>
    <w:p w14:paraId="453044B0">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2.6 语言文字</w:t>
      </w:r>
    </w:p>
    <w:p w14:paraId="4DA31E5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招标文件和投标文件使用的语言文字为中文。专业术语使用外文的，应附有中文注释。</w:t>
      </w:r>
    </w:p>
    <w:p w14:paraId="2688BDB7">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2.7 计量单位</w:t>
      </w:r>
    </w:p>
    <w:p w14:paraId="5081637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所有计量均采用中华人民共和国法定计量单位。</w:t>
      </w:r>
    </w:p>
    <w:p w14:paraId="5BE54423">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2.8 分包</w:t>
      </w:r>
    </w:p>
    <w:p w14:paraId="3807858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2.8.1 投标人拟在中标后将中标项目的非主体、非关键性工作分包的，应符合投标人须知前附表规定的分包内容、分包金额和资格要求等条件。</w:t>
      </w:r>
    </w:p>
    <w:p w14:paraId="317621B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2.8.2 中标人不得向他人转让中标项目，接受分包的投标人不得再次分包。中标人就采购项目和分包项目向招标人负责，分包投标人就分包项目承担责任。</w:t>
      </w:r>
    </w:p>
    <w:p w14:paraId="7C347A3B">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2.9 响应和偏差</w:t>
      </w:r>
    </w:p>
    <w:p w14:paraId="32516FB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2.9.1 投标文件应对招标文件的实质性要求和条件作出满足性或更有利于招标人的响应，否则，投标人的投标按无效处理。</w:t>
      </w:r>
    </w:p>
    <w:p w14:paraId="7C4A1251">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2.9.2 投标人应根据招标文件的要求提供详细的技术支持资料、服务计划等内容对招标文件作出响应。</w:t>
      </w:r>
    </w:p>
    <w:p w14:paraId="5D752D0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2.9.3 投标文件对招标文件的全部偏差，均应在投标文件的商务和技术偏差表中列明，除列明的内容外，视为投标人响应招标文件的全部要求。</w:t>
      </w:r>
    </w:p>
    <w:p w14:paraId="6084EA39">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3.招标文件</w:t>
      </w:r>
    </w:p>
    <w:p w14:paraId="07CDDA0F">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3.1 招标文件的组成</w:t>
      </w:r>
    </w:p>
    <w:p w14:paraId="7947184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（1）招标公告（或投标邀请书）；</w:t>
      </w:r>
    </w:p>
    <w:p w14:paraId="0340DAB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（2）投标人须知；</w:t>
      </w:r>
    </w:p>
    <w:p w14:paraId="42B626FE">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（3）评标办法；</w:t>
      </w:r>
    </w:p>
    <w:p w14:paraId="6B8062B0">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lang w:val="zh-CN"/>
        </w:rPr>
        <w:t>（4）招标内容和要求；</w:t>
      </w:r>
      <w:r>
        <w:rPr>
          <w:rStyle w:val="43"/>
          <w:rFonts w:hint="eastAsia" w:cs="宋体" w:asciiTheme="minorEastAsia" w:hAnsiTheme="minorEastAsia" w:eastAsiaTheme="minorEastAsia"/>
          <w:szCs w:val="21"/>
          <w:highlight w:val="none"/>
        </w:rPr>
        <w:t xml:space="preserve"> </w:t>
      </w:r>
    </w:p>
    <w:p w14:paraId="2404A36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（5）拟签订的合同文本；</w:t>
      </w:r>
    </w:p>
    <w:p w14:paraId="2AE2046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（6）投标文件格式；</w:t>
      </w:r>
    </w:p>
    <w:p w14:paraId="498FF9EE">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对招标文件作出的澄清、修改，构成招标文件的组成部分。</w:t>
      </w:r>
    </w:p>
    <w:p w14:paraId="26C8EF00">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3.2 招标文件的澄清和修改</w:t>
      </w:r>
    </w:p>
    <w:p w14:paraId="1B3BC39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3.2.1 投标人应仔细阅读和检查招标文件的全部内容。如有疑问，应及时向招标人或招标代理机构提出。</w:t>
      </w:r>
    </w:p>
    <w:p w14:paraId="104C908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3.2.2 招标人或者招标代理机构可以对已发出的招标文件进行必要的澄清或者修改，招标文件的澄清以投标人须知前附表规定的形式告知投标人。澄清或者修改发出的时间距投标截止时间不足15日的，并且澄清或者修改的内容可能影响投标文件编制的，将相应延长投标截止时间。招标代理机构将在发布变更公告的同时，提醒投标人下载答疑文件（*.SXSCF，即更新后的电子招标文件）。</w:t>
      </w:r>
    </w:p>
    <w:p w14:paraId="6C5BAC88">
      <w:pPr>
        <w:snapToGrid w:val="0"/>
        <w:spacing w:line="360" w:lineRule="auto"/>
        <w:ind w:firstLine="420" w:firstLineChars="200"/>
        <w:rPr>
          <w:rStyle w:val="43"/>
          <w:rFonts w:cs="宋体" w:asciiTheme="minorEastAsia" w:hAnsiTheme="minorEastAsia" w:eastAsiaTheme="minorEastAsia"/>
          <w:bCs/>
          <w:szCs w:val="21"/>
          <w:highlight w:val="none"/>
        </w:rPr>
      </w:pPr>
      <w:r>
        <w:rPr>
          <w:rStyle w:val="43"/>
          <w:rFonts w:hint="eastAsia" w:cs="宋体" w:asciiTheme="minorEastAsia" w:hAnsiTheme="minorEastAsia" w:eastAsiaTheme="minorEastAsia"/>
          <w:bCs/>
          <w:szCs w:val="21"/>
          <w:highlight w:val="none"/>
        </w:rPr>
        <w:t>3.2.3 现场踏勘：详见投标人须知前附表</w:t>
      </w:r>
    </w:p>
    <w:p w14:paraId="77756B97">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4. 政府采购政策</w:t>
      </w:r>
    </w:p>
    <w:p w14:paraId="2B9292B9">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4.1</w:t>
      </w:r>
      <w:r>
        <w:rPr>
          <w:rStyle w:val="43"/>
          <w:rFonts w:hint="eastAsia" w:cs="宋体" w:asciiTheme="minorEastAsia" w:hAnsiTheme="minorEastAsia" w:eastAsiaTheme="minorEastAsia"/>
          <w:szCs w:val="21"/>
          <w:highlight w:val="none"/>
          <w:lang w:val="zh-CN"/>
        </w:rPr>
        <w:t>落实促进支持中小企业、监狱企业、残疾人福利性单位发展政策(如为专门面向中小企业的采购项目（或采购包），不执行</w:t>
      </w: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.1、</w:t>
      </w: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.2、</w:t>
      </w: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.3条款的价格扣除或加分。)</w:t>
      </w:r>
    </w:p>
    <w:p w14:paraId="4E080611">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1.1 《政府采购促进中小企业发展管理办法》（财库〔2020〕46号）、《关于进一步加大政府采购支持中小企业力度的通知》（财库〔2022〕19号）</w:t>
      </w:r>
    </w:p>
    <w:p w14:paraId="68B6138D">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在政府采购活动中，供应商提供的货物、工程或者服务符合下列情形的，享受《办法》规定的中小企业扶持政策:</w:t>
      </w:r>
    </w:p>
    <w:p w14:paraId="0175EF5F">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(一)在货物采购项目中，货物由中小企业制造，即货物由中小企业生产且使用该中小企业商号或者注册商标；</w:t>
      </w:r>
    </w:p>
    <w:p w14:paraId="166B56F5">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(二)在工程采购项目中，工程由中小企业承建，即工程施工单位为中小企业；</w:t>
      </w:r>
    </w:p>
    <w:p w14:paraId="2C68395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(三)在服务采购项目中，服务由中小企业承接，即提供服务的人员为中小企业依照《中华人民共和国劳动合同法》订立劳动合同的从业人员。</w:t>
      </w:r>
    </w:p>
    <w:p w14:paraId="3D07DD7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在货物采购项目中，供应商提供的货物既有中小企业制造货物，也有大型企业制造货物的，不享受《办法》规定的中小企业扶持政策。</w:t>
      </w:r>
    </w:p>
    <w:p w14:paraId="1A9301AA">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以联合体形式参加政府采购活动，联合体各方均为中小企业的，联合体视同中小企业。其中，联合体各方均为小微企业的，联合体视同小微企业。</w:t>
      </w:r>
    </w:p>
    <w:p w14:paraId="32927CD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依据《办法》规定享受扶持政策获得政府采购合同的，小微企业不得将合同分包给大中型企业，中型企业不得将合同分包给大型企业。</w:t>
      </w:r>
    </w:p>
    <w:p w14:paraId="2BB8809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根据《政府采购促进中小企业发展管理办法》的通知（财库〔2020〕46号）规定，参加政府采购活动的中小企业应当提供《中小企业声明函》。供应商提供的《中小企业声明函》原件必须真实，否则，按照有关规定予以处理。</w:t>
      </w:r>
    </w:p>
    <w:p w14:paraId="747E293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096929E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6CE7912D">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1.</w:t>
      </w:r>
      <w:r>
        <w:rPr>
          <w:rStyle w:val="43"/>
          <w:rFonts w:hint="eastAsia" w:cs="宋体" w:asciiTheme="minorEastAsia" w:hAnsiTheme="minorEastAsia" w:eastAsiaTheme="minorEastAsia"/>
          <w:szCs w:val="21"/>
          <w:highlight w:val="none"/>
        </w:rPr>
        <w:t>2</w:t>
      </w:r>
      <w:r>
        <w:rPr>
          <w:rStyle w:val="43"/>
          <w:rFonts w:hint="eastAsia" w:cs="宋体" w:asciiTheme="minorEastAsia" w:hAnsiTheme="minorEastAsia" w:eastAsiaTheme="minorEastAsia"/>
          <w:szCs w:val="21"/>
          <w:highlight w:val="none"/>
          <w:lang w:val="zh-CN"/>
        </w:rPr>
        <w:t xml:space="preserve">《财政部 司法部关于政府采购支持监狱企业发展有关问题的通知》（财库〔2014〕68号） </w:t>
      </w:r>
    </w:p>
    <w:p w14:paraId="178A624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 xml:space="preserve"> 监狱企业参加政府采购活动时，应当提供由省级以上监狱管理局、戒毒管理局（含新疆生产建设兵团）出具的属于监狱企业的证明文件。在政府采购活动中，监狱企业视同小型、微型企业。</w:t>
      </w:r>
    </w:p>
    <w:p w14:paraId="5CA07C0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1.3《三部门联合发布关于促进残疾人就业政府采购政策的通知》（财库〔2017〕141号）；</w:t>
      </w:r>
    </w:p>
    <w:p w14:paraId="59B5857F">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14:paraId="7847B0B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2、落实优先采购节能、环保产品的政策</w:t>
      </w:r>
    </w:p>
    <w:p w14:paraId="7B79DE1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2.</w:t>
      </w:r>
      <w:r>
        <w:rPr>
          <w:rStyle w:val="43"/>
          <w:rFonts w:hint="eastAsia" w:cs="宋体" w:asciiTheme="minorEastAsia" w:hAnsiTheme="minorEastAsia" w:eastAsiaTheme="minorEastAsia"/>
          <w:szCs w:val="21"/>
          <w:highlight w:val="none"/>
        </w:rPr>
        <w:t>1</w:t>
      </w:r>
      <w:r>
        <w:rPr>
          <w:rStyle w:val="43"/>
          <w:rFonts w:hint="eastAsia" w:cs="宋体" w:asciiTheme="minorEastAsia" w:hAnsiTheme="minorEastAsia" w:eastAsiaTheme="minorEastAsia"/>
          <w:szCs w:val="21"/>
          <w:highlight w:val="none"/>
          <w:lang w:val="zh-CN"/>
        </w:rPr>
        <w:t xml:space="preserve">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7102EB2F">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2.</w:t>
      </w:r>
      <w:r>
        <w:rPr>
          <w:rStyle w:val="43"/>
          <w:rFonts w:hint="eastAsia" w:cs="宋体" w:asciiTheme="minorEastAsia" w:hAnsiTheme="minorEastAsia" w:eastAsiaTheme="minorEastAsia"/>
          <w:szCs w:val="21"/>
          <w:highlight w:val="none"/>
        </w:rPr>
        <w:t>2</w:t>
      </w:r>
      <w:r>
        <w:rPr>
          <w:rStyle w:val="43"/>
          <w:rFonts w:hint="eastAsia" w:cs="宋体" w:asciiTheme="minorEastAsia" w:hAnsiTheme="minorEastAsia" w:eastAsiaTheme="minorEastAsia"/>
          <w:szCs w:val="21"/>
          <w:highlight w:val="none"/>
          <w:lang w:val="zh-CN"/>
        </w:rPr>
        <w:t xml:space="preserve"> 根据《财政部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D10CBC9">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所有投标产品进入“节能产品政府采购品目清单”的，应提供相关证书复印件，相关证书的颁发机构应来自《参与实施政府采购节能产品认证机构名录》。</w:t>
      </w:r>
    </w:p>
    <w:p w14:paraId="5C29ECA1">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 xml:space="preserve">    所有投标产品进入“环境标志产品政府采购品目清单”的，应提供相关证书复印件，相关证书的颁发机构应来自《参与实施政府采购环境标志产品认证机构名录》。</w:t>
      </w:r>
    </w:p>
    <w:p w14:paraId="4987C67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3、政府采购信用融资政策</w:t>
      </w:r>
    </w:p>
    <w:p w14:paraId="7CF6673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09352D9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14:paraId="00E8C2D9">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5.投标文件</w:t>
      </w:r>
    </w:p>
    <w:p w14:paraId="771B28B8">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5.1 投标文件的组成</w:t>
      </w:r>
    </w:p>
    <w:p w14:paraId="5572B6DE">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5.1.1 投标文件应包括下列内容：</w:t>
      </w:r>
    </w:p>
    <w:p w14:paraId="0FBF1D99">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（1）投标函；</w:t>
      </w:r>
    </w:p>
    <w:p w14:paraId="03B2060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（2）开标一览表；</w:t>
      </w:r>
    </w:p>
    <w:p w14:paraId="4AC90A8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（3）已标价工程量清单；</w:t>
      </w:r>
    </w:p>
    <w:p w14:paraId="2B4125A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）法定代表人（单位负责人/自然人）身份证明；</w:t>
      </w:r>
    </w:p>
    <w:p w14:paraId="371CF9F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5</w:t>
      </w:r>
      <w:r>
        <w:rPr>
          <w:rStyle w:val="43"/>
          <w:rFonts w:hint="eastAsia" w:cs="宋体" w:asciiTheme="minorEastAsia" w:hAnsiTheme="minorEastAsia" w:eastAsiaTheme="minorEastAsia"/>
          <w:szCs w:val="21"/>
          <w:highlight w:val="none"/>
          <w:lang w:val="zh-CN"/>
        </w:rPr>
        <w:t>）授权委托书；</w:t>
      </w:r>
    </w:p>
    <w:p w14:paraId="179AACA1">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6</w:t>
      </w:r>
      <w:r>
        <w:rPr>
          <w:rStyle w:val="43"/>
          <w:rFonts w:hint="eastAsia" w:cs="宋体" w:asciiTheme="minorEastAsia" w:hAnsiTheme="minorEastAsia" w:eastAsiaTheme="minorEastAsia"/>
          <w:szCs w:val="21"/>
          <w:highlight w:val="none"/>
          <w:lang w:val="zh-CN"/>
        </w:rPr>
        <w:t>）联合体协议书（如有）；</w:t>
      </w:r>
    </w:p>
    <w:p w14:paraId="02A10C9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7</w:t>
      </w:r>
      <w:r>
        <w:rPr>
          <w:rStyle w:val="43"/>
          <w:rFonts w:hint="eastAsia" w:cs="宋体" w:asciiTheme="minorEastAsia" w:hAnsiTheme="minorEastAsia" w:eastAsiaTheme="minorEastAsia"/>
          <w:szCs w:val="21"/>
          <w:highlight w:val="none"/>
          <w:lang w:val="zh-CN"/>
        </w:rPr>
        <w:t>）资格审查资料；</w:t>
      </w:r>
    </w:p>
    <w:p w14:paraId="75BA7EB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8</w:t>
      </w:r>
      <w:r>
        <w:rPr>
          <w:rStyle w:val="43"/>
          <w:rFonts w:hint="eastAsia" w:cs="宋体" w:asciiTheme="minorEastAsia" w:hAnsiTheme="minorEastAsia" w:eastAsiaTheme="minorEastAsia"/>
          <w:szCs w:val="21"/>
          <w:highlight w:val="none"/>
          <w:lang w:val="zh-CN"/>
        </w:rPr>
        <w:t>）技术响应；</w:t>
      </w:r>
    </w:p>
    <w:p w14:paraId="79AC463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9</w:t>
      </w:r>
      <w:r>
        <w:rPr>
          <w:rStyle w:val="43"/>
          <w:rFonts w:hint="eastAsia" w:cs="宋体" w:asciiTheme="minorEastAsia" w:hAnsiTheme="minorEastAsia" w:eastAsiaTheme="minorEastAsia"/>
          <w:szCs w:val="21"/>
          <w:highlight w:val="none"/>
          <w:lang w:val="zh-CN"/>
        </w:rPr>
        <w:t>）商务响应；</w:t>
      </w:r>
    </w:p>
    <w:p w14:paraId="5E29996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w:t>
      </w:r>
      <w:r>
        <w:rPr>
          <w:rStyle w:val="43"/>
          <w:rFonts w:hint="eastAsia" w:cs="宋体" w:asciiTheme="minorEastAsia" w:hAnsiTheme="minorEastAsia" w:eastAsiaTheme="minorEastAsia"/>
          <w:szCs w:val="21"/>
          <w:highlight w:val="none"/>
        </w:rPr>
        <w:t>10</w:t>
      </w:r>
      <w:r>
        <w:rPr>
          <w:rStyle w:val="43"/>
          <w:rFonts w:hint="eastAsia" w:cs="宋体" w:asciiTheme="minorEastAsia" w:hAnsiTheme="minorEastAsia" w:eastAsiaTheme="minorEastAsia"/>
          <w:szCs w:val="21"/>
          <w:highlight w:val="none"/>
          <w:lang w:val="zh-CN"/>
        </w:rPr>
        <w:t>）承诺书；</w:t>
      </w:r>
    </w:p>
    <w:p w14:paraId="5D58944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w:t>
      </w:r>
      <w:r>
        <w:rPr>
          <w:rStyle w:val="43"/>
          <w:rFonts w:hint="eastAsia" w:cs="宋体" w:asciiTheme="minorEastAsia" w:hAnsiTheme="minorEastAsia" w:eastAsiaTheme="minorEastAsia"/>
          <w:szCs w:val="21"/>
          <w:highlight w:val="none"/>
        </w:rPr>
        <w:t>1</w:t>
      </w:r>
      <w:r>
        <w:rPr>
          <w:rStyle w:val="43"/>
          <w:rFonts w:hint="eastAsia" w:cs="宋体" w:asciiTheme="minorEastAsia" w:hAnsiTheme="minorEastAsia" w:eastAsiaTheme="minorEastAsia"/>
          <w:szCs w:val="21"/>
          <w:highlight w:val="none"/>
          <w:lang w:val="zh-CN"/>
        </w:rPr>
        <w:t>）其他资料。</w:t>
      </w:r>
    </w:p>
    <w:p w14:paraId="3DE9915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投标人在评标过程中作出的符合法律法规和招标文件规定的澄清确认，构成投标文件的组成部分。</w:t>
      </w:r>
    </w:p>
    <w:p w14:paraId="5060F62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5.1.2 投标人须知前附表规定不接受联合体投标的，或投标人没有组成联合体的，投标文件不包括本章第5.1.1（5）目所指的联合体协议书。</w:t>
      </w:r>
    </w:p>
    <w:p w14:paraId="300A71A6">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5.2 投标报价</w:t>
      </w:r>
    </w:p>
    <w:p w14:paraId="5C8420FA">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5.2.1 投标报价应包括国家规定的税金，投标人应按第</w:t>
      </w:r>
      <w:r>
        <w:rPr>
          <w:rStyle w:val="43"/>
          <w:rFonts w:hint="eastAsia" w:cs="宋体" w:asciiTheme="minorEastAsia" w:hAnsiTheme="minorEastAsia" w:eastAsiaTheme="minorEastAsia"/>
          <w:szCs w:val="21"/>
          <w:highlight w:val="none"/>
        </w:rPr>
        <w:t>七</w:t>
      </w:r>
      <w:r>
        <w:rPr>
          <w:rStyle w:val="43"/>
          <w:rFonts w:hint="eastAsia" w:cs="宋体" w:asciiTheme="minorEastAsia" w:hAnsiTheme="minorEastAsia" w:eastAsiaTheme="minorEastAsia"/>
          <w:szCs w:val="21"/>
          <w:highlight w:val="none"/>
          <w:lang w:val="zh-CN"/>
        </w:rPr>
        <w:t>章“投标文件格式”的要求在开标一览表中进行报价并填写分项报价表。</w:t>
      </w:r>
    </w:p>
    <w:p w14:paraId="72F776E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5.2.2 投标人应充分了解该项目的总体情况以及影响投标报价的其他要素。</w:t>
      </w:r>
    </w:p>
    <w:p w14:paraId="3435610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6.3 款的有关要求。</w:t>
      </w:r>
    </w:p>
    <w:p w14:paraId="0A76BA9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5.2.4 投标报价不得超过采购预算（或最高限价），否则按无效投标处理。</w:t>
      </w:r>
    </w:p>
    <w:p w14:paraId="7021229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5.2.5 投标报价的其他要求见投标人须知前附表。</w:t>
      </w:r>
    </w:p>
    <w:p w14:paraId="5D913663">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5.3 投标有效期</w:t>
      </w:r>
    </w:p>
    <w:p w14:paraId="0D7E04E5">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5.3.1 除投标人须知前附表另有规定外，投标有效期为投标截止之日起90日历天。</w:t>
      </w:r>
    </w:p>
    <w:p w14:paraId="18BC7D4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5.3.</w:t>
      </w:r>
      <w:r>
        <w:rPr>
          <w:rStyle w:val="43"/>
          <w:rFonts w:hint="eastAsia" w:cs="宋体" w:asciiTheme="minorEastAsia" w:hAnsiTheme="minorEastAsia" w:eastAsiaTheme="minorEastAsia"/>
          <w:szCs w:val="21"/>
          <w:highlight w:val="none"/>
        </w:rPr>
        <w:t>2</w:t>
      </w:r>
      <w:r>
        <w:rPr>
          <w:rStyle w:val="43"/>
          <w:rFonts w:hint="eastAsia" w:cs="宋体" w:asciiTheme="minorEastAsia" w:hAnsiTheme="minorEastAsia" w:eastAsiaTheme="minorEastAsia"/>
          <w:szCs w:val="21"/>
          <w:highlight w:val="none"/>
          <w:lang w:val="zh-CN"/>
        </w:rPr>
        <w:t xml:space="preserve"> 出现特殊情况需要延长投标有效期的，招标人以书面形式通知所有投标人延长投标有效期。投标人应予以书面答复，同意延长，但不得要求或被允许修改其投标文件；投标人拒绝延长的，其投标失效。</w:t>
      </w:r>
    </w:p>
    <w:p w14:paraId="307757A9">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5.4 投标保证金：无</w:t>
      </w:r>
    </w:p>
    <w:p w14:paraId="3FACE53C">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5.6 备选投标方案</w:t>
      </w:r>
    </w:p>
    <w:p w14:paraId="29E4B127">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5.6.1 除投标人须知前附表规定允许外，投标人不得递交备选投标方案，否则其投标按无效处理。</w:t>
      </w:r>
    </w:p>
    <w:p w14:paraId="063ECA4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F9DD65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5.6.3 投标人提供两个或两个以上投标报价，或者在投标文件中提供一个报价，但同时提供两个或两个以上供货方案的，视为提供备选方案。</w:t>
      </w:r>
    </w:p>
    <w:p w14:paraId="3745D1AD">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5.7 投标文件的编制</w:t>
      </w:r>
    </w:p>
    <w:p w14:paraId="5B162B1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5.7.1 投标人应按陕西省西安市公共资源交易平台下载的招标文件要求编制投标文件。</w:t>
      </w:r>
    </w:p>
    <w:p w14:paraId="3736006F">
      <w:pPr>
        <w:snapToGrid w:val="0"/>
        <w:spacing w:line="360" w:lineRule="auto"/>
        <w:ind w:firstLine="420" w:firstLineChars="200"/>
        <w:rPr>
          <w:rStyle w:val="43"/>
          <w:rFonts w:cs="宋体" w:asciiTheme="minorEastAsia" w:hAnsiTheme="minorEastAsia" w:eastAsiaTheme="minorEastAsia"/>
          <w:color w:val="000000"/>
          <w:szCs w:val="21"/>
          <w:highlight w:val="none"/>
          <w:u w:val="single" w:color="000000"/>
        </w:rPr>
      </w:pPr>
      <w:r>
        <w:rPr>
          <w:rStyle w:val="43"/>
          <w:rFonts w:hint="eastAsia" w:cs="宋体" w:asciiTheme="minorEastAsia" w:hAnsiTheme="minorEastAsia" w:eastAsiaTheme="minorEastAsia"/>
          <w:color w:val="000000"/>
          <w:szCs w:val="21"/>
          <w:highlight w:val="none"/>
          <w:u w:val="single" w:color="000000"/>
        </w:rPr>
        <w:t>5.7.2 本项目为电子化政府采购项目，投标人初次登录西安市公共资源交易平台前应先完 成诚信入库登记、CA认证和企业信息绑定。详见西安市公共资源交易平台〖首页 ·〉服务 指南 · 〉下载专区〗中的《西安市市级单位电子化政府采购项目投标指南》。</w:t>
      </w:r>
    </w:p>
    <w:p w14:paraId="425DEE56">
      <w:pPr>
        <w:snapToGrid w:val="0"/>
        <w:spacing w:line="360" w:lineRule="auto"/>
        <w:ind w:firstLine="420" w:firstLineChars="200"/>
        <w:rPr>
          <w:rStyle w:val="43"/>
          <w:rFonts w:cs="宋体" w:asciiTheme="minorEastAsia" w:hAnsiTheme="minorEastAsia" w:eastAsiaTheme="minorEastAsia"/>
          <w:color w:val="000000"/>
          <w:szCs w:val="21"/>
          <w:highlight w:val="none"/>
          <w:u w:val="single" w:color="000000"/>
        </w:rPr>
      </w:pPr>
      <w:r>
        <w:rPr>
          <w:rStyle w:val="43"/>
          <w:rFonts w:hint="eastAsia" w:cs="宋体" w:asciiTheme="minorEastAsia" w:hAnsiTheme="minorEastAsia" w:eastAsiaTheme="minorEastAsia"/>
          <w:color w:val="000000"/>
          <w:szCs w:val="21"/>
          <w:highlight w:val="none"/>
          <w:u w:val="single" w:color="000000"/>
        </w:rPr>
        <w:t>投标人须使用数字认证证书对电子化投标文件进行签章、加密、递交及开标时解密等 相关招投标事宜。</w:t>
      </w:r>
    </w:p>
    <w:p w14:paraId="758B9AFB">
      <w:pPr>
        <w:snapToGrid w:val="0"/>
        <w:spacing w:line="360" w:lineRule="auto"/>
        <w:ind w:firstLine="420" w:firstLineChars="200"/>
        <w:rPr>
          <w:rStyle w:val="43"/>
          <w:rFonts w:cs="宋体" w:asciiTheme="minorEastAsia" w:hAnsiTheme="minorEastAsia" w:eastAsiaTheme="minorEastAsia"/>
          <w:color w:val="000000"/>
          <w:szCs w:val="21"/>
          <w:highlight w:val="none"/>
          <w:u w:val="single" w:color="FF0000"/>
        </w:rPr>
      </w:pPr>
      <w:r>
        <w:rPr>
          <w:rStyle w:val="43"/>
          <w:rFonts w:hint="eastAsia" w:cs="宋体" w:asciiTheme="minorEastAsia" w:hAnsiTheme="minorEastAsia" w:eastAsiaTheme="minorEastAsia"/>
          <w:color w:val="000000"/>
          <w:szCs w:val="21"/>
          <w:highlight w:val="none"/>
          <w:u w:val="single" w:color="000000"/>
        </w:rPr>
        <w:t>5.7.3制作电子投标文件( .SXSTF) 需要使用专用制作工具。软件下载及操作说明详见西安市公共资源交易平台 (http://sxggzyjy.xa.gov.cn/) 〖首页·〉服务指南·〉下载专区〗中的《政府采购项目投标文件制作软件及操作手册》。</w:t>
      </w:r>
    </w:p>
    <w:p w14:paraId="006EEF33">
      <w:pPr>
        <w:pStyle w:val="37"/>
        <w:snapToGrid w:val="0"/>
        <w:spacing w:line="360" w:lineRule="auto"/>
        <w:ind w:firstLine="420" w:firstLineChars="200"/>
        <w:rPr>
          <w:rStyle w:val="43"/>
          <w:rFonts w:cs="宋体" w:asciiTheme="minorEastAsia" w:hAnsiTheme="minorEastAsia" w:eastAsiaTheme="minorEastAsia"/>
          <w:color w:val="000000"/>
          <w:sz w:val="21"/>
          <w:szCs w:val="21"/>
          <w:highlight w:val="none"/>
          <w:u w:color="FF0000"/>
        </w:rPr>
      </w:pPr>
      <w:r>
        <w:rPr>
          <w:rStyle w:val="43"/>
          <w:rFonts w:hint="eastAsia" w:cs="宋体" w:asciiTheme="minorEastAsia" w:hAnsiTheme="minorEastAsia" w:eastAsiaTheme="minorEastAsia"/>
          <w:color w:val="000000"/>
          <w:sz w:val="21"/>
          <w:szCs w:val="21"/>
          <w:highlight w:val="none"/>
          <w:u w:color="000000"/>
        </w:rPr>
        <w:t>5.7.4提交投标文件截止时间前，投标人应随时留意【陕西省政府采购网】、【全国公共资源交易平台(陕西省·西安市)】上可能发布的变更公告。若变更公告中明确注明本 项目提供有变更文件的，投标人应登录企业端后，从〖项目流程 ·〉项目管理 ·〉答疑文件下载〗获取更新后的电子招标文件( .SXSCF) ，使用旧版电子招标文件制作的电子投标文件( .SXSTF)，系统将拒绝接收</w:t>
      </w:r>
      <w:r>
        <w:rPr>
          <w:rStyle w:val="43"/>
          <w:rFonts w:hint="eastAsia" w:cs="宋体" w:asciiTheme="minorEastAsia" w:hAnsiTheme="minorEastAsia" w:eastAsiaTheme="minorEastAsia"/>
          <w:color w:val="000000"/>
          <w:sz w:val="21"/>
          <w:szCs w:val="21"/>
          <w:highlight w:val="none"/>
          <w:u w:val="none"/>
        </w:rPr>
        <w:t>。</w:t>
      </w:r>
    </w:p>
    <w:p w14:paraId="787270DF">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5.7.</w:t>
      </w:r>
      <w:r>
        <w:rPr>
          <w:rStyle w:val="43"/>
          <w:rFonts w:hint="eastAsia" w:cs="宋体" w:asciiTheme="minorEastAsia" w:hAnsiTheme="minorEastAsia" w:eastAsiaTheme="minorEastAsia"/>
          <w:szCs w:val="21"/>
          <w:highlight w:val="none"/>
        </w:rPr>
        <w:t>5</w:t>
      </w:r>
      <w:r>
        <w:rPr>
          <w:rStyle w:val="43"/>
          <w:rFonts w:hint="eastAsia" w:cs="宋体" w:asciiTheme="minorEastAsia" w:hAnsiTheme="minorEastAsia" w:eastAsiaTheme="minorEastAsia"/>
          <w:szCs w:val="21"/>
          <w:highlight w:val="none"/>
          <w:lang w:val="zh-CN"/>
        </w:rPr>
        <w:t xml:space="preserve"> 投标文件应当对招标文件有关</w:t>
      </w:r>
      <w:r>
        <w:rPr>
          <w:rStyle w:val="43"/>
          <w:rFonts w:hint="eastAsia" w:cs="宋体" w:asciiTheme="minorEastAsia" w:hAnsiTheme="minorEastAsia" w:eastAsiaTheme="minorEastAsia"/>
          <w:b/>
          <w:bCs/>
          <w:szCs w:val="21"/>
          <w:highlight w:val="none"/>
          <w:lang w:val="zh-CN"/>
        </w:rPr>
        <w:t>投标有效期、计划工期、招标范围</w:t>
      </w:r>
      <w:r>
        <w:rPr>
          <w:rStyle w:val="43"/>
          <w:rFonts w:hint="eastAsia" w:cs="宋体" w:asciiTheme="minorEastAsia" w:hAnsiTheme="minorEastAsia" w:eastAsiaTheme="minorEastAsia"/>
          <w:szCs w:val="21"/>
          <w:highlight w:val="none"/>
          <w:lang w:val="zh-CN"/>
        </w:rPr>
        <w:t>等实质性内容作出响应。投标文件在满足招标文件实质性要求的基础上，可以提出比招标文件要求更有利于招标人的承诺。</w:t>
      </w:r>
    </w:p>
    <w:p w14:paraId="33E72E0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5.7.</w:t>
      </w:r>
      <w:r>
        <w:rPr>
          <w:rStyle w:val="43"/>
          <w:rFonts w:hint="eastAsia" w:cs="宋体" w:asciiTheme="minorEastAsia" w:hAnsiTheme="minorEastAsia" w:eastAsiaTheme="minorEastAsia"/>
          <w:szCs w:val="21"/>
          <w:highlight w:val="none"/>
        </w:rPr>
        <w:t>6</w:t>
      </w:r>
      <w:r>
        <w:rPr>
          <w:rStyle w:val="43"/>
          <w:rFonts w:hint="eastAsia" w:cs="宋体" w:asciiTheme="minorEastAsia" w:hAnsiTheme="minorEastAsia" w:eastAsiaTheme="minorEastAsia"/>
          <w:szCs w:val="21"/>
          <w:highlight w:val="none"/>
          <w:lang w:val="zh-CN"/>
        </w:rPr>
        <w:t xml:space="preserve"> 项目分标段的，应按所投标段分别准备投标文件。</w:t>
      </w:r>
    </w:p>
    <w:p w14:paraId="15CC7F73">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6.投标文件的提交</w:t>
      </w:r>
    </w:p>
    <w:p w14:paraId="73CAEECF">
      <w:pPr>
        <w:pStyle w:val="37"/>
        <w:snapToGrid w:val="0"/>
        <w:spacing w:line="360" w:lineRule="auto"/>
        <w:ind w:firstLine="420" w:firstLineChars="200"/>
        <w:rPr>
          <w:rStyle w:val="43"/>
          <w:rFonts w:cs="宋体" w:asciiTheme="minorEastAsia" w:hAnsiTheme="minorEastAsia" w:eastAsiaTheme="minorEastAsia"/>
          <w:color w:val="000000"/>
          <w:sz w:val="21"/>
          <w:szCs w:val="21"/>
          <w:highlight w:val="none"/>
          <w:u w:color="FF0000"/>
          <w:lang w:val="zh-CN"/>
        </w:rPr>
      </w:pPr>
      <w:r>
        <w:rPr>
          <w:rStyle w:val="43"/>
          <w:rFonts w:hint="eastAsia" w:cs="宋体" w:asciiTheme="minorEastAsia" w:hAnsiTheme="minorEastAsia" w:eastAsiaTheme="minorEastAsia"/>
          <w:color w:val="000000"/>
          <w:sz w:val="21"/>
          <w:szCs w:val="21"/>
          <w:highlight w:val="none"/>
          <w:u w:color="000000"/>
        </w:rPr>
        <w:t>6.1.1</w:t>
      </w:r>
      <w:r>
        <w:rPr>
          <w:rStyle w:val="43"/>
          <w:rFonts w:hint="eastAsia" w:cs="宋体" w:asciiTheme="minorEastAsia" w:hAnsiTheme="minorEastAsia" w:eastAsiaTheme="minorEastAsia"/>
          <w:color w:val="000000"/>
          <w:sz w:val="21"/>
          <w:szCs w:val="21"/>
          <w:highlight w:val="none"/>
          <w:u w:color="000000"/>
          <w:lang w:val="zh-CN"/>
        </w:rPr>
        <w:t>提交投标文件的方式：从西安市公共资源交易平台〖首页·〉电子交易平台·〉陕西政府采购交易系统·〉企业端〗登录，登录后切换到〖我的项目〗模块，依次点选〖项目流程·〉项目管理·〉上传响应文件〗上传加密后的电子投标文件（*.SXSTF）</w:t>
      </w:r>
      <w:r>
        <w:rPr>
          <w:rStyle w:val="43"/>
          <w:rFonts w:hint="eastAsia" w:cs="宋体" w:asciiTheme="minorEastAsia" w:hAnsiTheme="minorEastAsia" w:eastAsiaTheme="minorEastAsia"/>
          <w:color w:val="000000"/>
          <w:sz w:val="21"/>
          <w:szCs w:val="21"/>
          <w:highlight w:val="none"/>
          <w:u w:val="none"/>
          <w:lang w:val="zh-CN"/>
        </w:rPr>
        <w:t>。</w:t>
      </w:r>
    </w:p>
    <w:p w14:paraId="05AF42D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6.1.1.1</w:t>
      </w:r>
      <w:r>
        <w:rPr>
          <w:rStyle w:val="43"/>
          <w:rFonts w:hint="eastAsia" w:cs="宋体" w:asciiTheme="minorEastAsia" w:hAnsiTheme="minorEastAsia" w:eastAsiaTheme="minorEastAsia"/>
          <w:szCs w:val="21"/>
          <w:highlight w:val="none"/>
          <w:lang w:val="zh-CN"/>
        </w:rPr>
        <w:t>在生成电子投标文件时，需要使用CA锁对投标文件进行加密。</w:t>
      </w:r>
    </w:p>
    <w:p w14:paraId="6A19ADF4">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注意：加密投标文件和开标时解密投标文件应当使用同一CA，否则将会导致解密失败。</w:t>
      </w:r>
    </w:p>
    <w:p w14:paraId="00D73CCF">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6.1.1.2</w:t>
      </w:r>
      <w:r>
        <w:rPr>
          <w:rStyle w:val="43"/>
          <w:rFonts w:hint="eastAsia" w:cs="宋体" w:asciiTheme="minorEastAsia" w:hAnsiTheme="minorEastAsia" w:eastAsiaTheme="minorEastAsia"/>
          <w:szCs w:val="21"/>
          <w:highlight w:val="none"/>
          <w:lang w:val="zh-CN"/>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2C9E2512">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rPr>
        <w:t>6.1.1.3</w:t>
      </w:r>
      <w:r>
        <w:rPr>
          <w:rStyle w:val="43"/>
          <w:rFonts w:hint="eastAsia" w:cs="宋体" w:asciiTheme="minorEastAsia" w:hAnsiTheme="minorEastAsia" w:eastAsiaTheme="minorEastAsia"/>
          <w:szCs w:val="21"/>
          <w:highlight w:val="none"/>
          <w:lang w:val="zh-CN"/>
        </w:rPr>
        <w:t>上传文件有误或需要重新提交的，可先撤销已经上传的文件，然后重新上传新文件。</w:t>
      </w:r>
    </w:p>
    <w:p w14:paraId="2EDA9742">
      <w:pPr>
        <w:snapToGrid w:val="0"/>
        <w:spacing w:line="360" w:lineRule="auto"/>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b/>
          <w:bCs/>
          <w:szCs w:val="21"/>
          <w:highlight w:val="none"/>
        </w:rPr>
        <w:t xml:space="preserve">    6.2.1提交投标文件截止时间：详见投标人须知前附表。</w:t>
      </w:r>
    </w:p>
    <w:p w14:paraId="13CE97BC">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6.3 投标文件的修改与撤回</w:t>
      </w:r>
    </w:p>
    <w:p w14:paraId="37578FE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 xml:space="preserve">6.3.1 </w:t>
      </w:r>
      <w:r>
        <w:rPr>
          <w:rStyle w:val="43"/>
          <w:rFonts w:hint="eastAsia" w:cs="宋体" w:asciiTheme="minorEastAsia" w:hAnsiTheme="minorEastAsia" w:eastAsiaTheme="minorEastAsia"/>
          <w:szCs w:val="21"/>
          <w:highlight w:val="none"/>
        </w:rPr>
        <w:t>.</w:t>
      </w:r>
      <w:r>
        <w:rPr>
          <w:rStyle w:val="43"/>
          <w:rFonts w:hint="eastAsia" w:cs="宋体" w:asciiTheme="minorEastAsia" w:hAnsiTheme="minorEastAsia" w:eastAsiaTheme="minorEastAsia"/>
          <w:szCs w:val="21"/>
          <w:highlight w:val="none"/>
          <w:lang w:val="zh-CN"/>
        </w:rPr>
        <w:t>投标人在提交投标文件截止时间前，可以对所提交的投标文件进行补充、修改或者撤回，并书面通知招标人、招标代理机构。补充、修改的内容作为投标文件的组成部分。补充、修改的内容与投标文件不一致的，以补充、修改的内容为准。对已提交的电子投标文件进行补充、修改的，应先从电子交易平台上撤回旧文件，再重新提交新文件。</w:t>
      </w:r>
    </w:p>
    <w:p w14:paraId="00D7664E">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7.开标</w:t>
      </w:r>
    </w:p>
    <w:p w14:paraId="5916E576">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7.1 开标时间和项目地点</w:t>
      </w:r>
    </w:p>
    <w:p w14:paraId="1734D38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招标人在本章第 6.2.1 项规定的提交投标文件截止时间（开标时间）和投标人须知前附表规定的方式公开开标。</w:t>
      </w:r>
    </w:p>
    <w:p w14:paraId="20FF999A">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7.2 开标程序</w:t>
      </w:r>
    </w:p>
    <w:p w14:paraId="6D6FC54A">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投标人无需抵达开标现场：</w:t>
      </w:r>
    </w:p>
    <w:p w14:paraId="0AD48AC1">
      <w:pPr>
        <w:snapToGrid w:val="0"/>
        <w:spacing w:line="360" w:lineRule="auto"/>
        <w:ind w:firstLine="420" w:firstLineChars="200"/>
        <w:rPr>
          <w:rStyle w:val="43"/>
          <w:rFonts w:cs="宋体" w:asciiTheme="minorEastAsia" w:hAnsiTheme="minorEastAsia" w:eastAsiaTheme="minorEastAsia"/>
          <w:bCs/>
          <w:szCs w:val="21"/>
          <w:highlight w:val="none"/>
          <w:lang w:val="zh-CN"/>
        </w:rPr>
      </w:pPr>
      <w:r>
        <w:rPr>
          <w:rStyle w:val="43"/>
          <w:rFonts w:hint="eastAsia" w:cs="宋体" w:asciiTheme="minorEastAsia" w:hAnsiTheme="minorEastAsia" w:eastAsiaTheme="minorEastAsia"/>
          <w:bCs/>
          <w:szCs w:val="21"/>
          <w:highlight w:val="none"/>
          <w:lang w:val="zh-CN"/>
        </w:rPr>
        <w:t>7.2</w:t>
      </w:r>
      <w:r>
        <w:rPr>
          <w:rStyle w:val="43"/>
          <w:rFonts w:hint="eastAsia" w:cs="宋体" w:asciiTheme="minorEastAsia" w:hAnsiTheme="minorEastAsia" w:eastAsiaTheme="minorEastAsia"/>
          <w:bCs/>
          <w:szCs w:val="21"/>
          <w:highlight w:val="none"/>
        </w:rPr>
        <w:t>.1</w:t>
      </w:r>
      <w:r>
        <w:rPr>
          <w:rStyle w:val="43"/>
          <w:rFonts w:hint="eastAsia" w:cs="宋体" w:asciiTheme="minorEastAsia" w:hAnsiTheme="minorEastAsia" w:eastAsiaTheme="minorEastAsia"/>
          <w:bCs/>
          <w:szCs w:val="21"/>
          <w:highlight w:val="none"/>
          <w:lang w:val="zh-CN"/>
        </w:rPr>
        <w:t xml:space="preserve"> 投标人登录：开标前，请各投标人至少提前半小时登录西安市公共资源交易平台〖首页·〉不见面开标〗系统。</w:t>
      </w:r>
    </w:p>
    <w:p w14:paraId="34F7A480">
      <w:pPr>
        <w:snapToGrid w:val="0"/>
        <w:spacing w:line="360" w:lineRule="auto"/>
        <w:ind w:firstLine="420" w:firstLineChars="200"/>
        <w:rPr>
          <w:rStyle w:val="43"/>
          <w:rFonts w:cs="宋体" w:asciiTheme="minorEastAsia" w:hAnsiTheme="minorEastAsia" w:eastAsiaTheme="minorEastAsia"/>
          <w:bCs/>
          <w:szCs w:val="21"/>
          <w:highlight w:val="none"/>
          <w:lang w:val="zh-CN"/>
        </w:rPr>
      </w:pPr>
      <w:r>
        <w:rPr>
          <w:rStyle w:val="43"/>
          <w:rFonts w:hint="eastAsia" w:cs="宋体" w:asciiTheme="minorEastAsia" w:hAnsiTheme="minorEastAsia" w:eastAsiaTheme="minorEastAsia"/>
          <w:bCs/>
          <w:szCs w:val="21"/>
          <w:highlight w:val="none"/>
          <w:lang w:val="zh-CN"/>
        </w:rPr>
        <w:t>7.2</w:t>
      </w:r>
      <w:r>
        <w:rPr>
          <w:rStyle w:val="43"/>
          <w:rFonts w:hint="eastAsia" w:cs="宋体" w:asciiTheme="minorEastAsia" w:hAnsiTheme="minorEastAsia" w:eastAsiaTheme="minorEastAsia"/>
          <w:bCs/>
          <w:szCs w:val="21"/>
          <w:highlight w:val="none"/>
        </w:rPr>
        <w:t>.</w:t>
      </w:r>
      <w:r>
        <w:rPr>
          <w:rStyle w:val="43"/>
          <w:rFonts w:hint="eastAsia" w:cs="宋体" w:asciiTheme="minorEastAsia" w:hAnsiTheme="minorEastAsia" w:eastAsiaTheme="minorEastAsia"/>
          <w:bCs/>
          <w:szCs w:val="21"/>
          <w:highlight w:val="none"/>
          <w:lang w:val="zh-CN"/>
        </w:rPr>
        <w:t>2提交投标文件截止时间过后，系统将不再接收任何投标文件。</w:t>
      </w:r>
    </w:p>
    <w:p w14:paraId="1A6C1DA2">
      <w:pPr>
        <w:snapToGrid w:val="0"/>
        <w:spacing w:line="360" w:lineRule="auto"/>
        <w:ind w:firstLine="420" w:firstLineChars="200"/>
        <w:rPr>
          <w:rStyle w:val="43"/>
          <w:rFonts w:cs="宋体" w:asciiTheme="minorEastAsia" w:hAnsiTheme="minorEastAsia" w:eastAsiaTheme="minorEastAsia"/>
          <w:bCs/>
          <w:szCs w:val="21"/>
          <w:highlight w:val="none"/>
          <w:lang w:val="zh-CN"/>
        </w:rPr>
      </w:pPr>
      <w:r>
        <w:rPr>
          <w:rStyle w:val="43"/>
          <w:rFonts w:hint="eastAsia" w:cs="宋体" w:asciiTheme="minorEastAsia" w:hAnsiTheme="minorEastAsia" w:eastAsiaTheme="minorEastAsia"/>
          <w:bCs/>
          <w:szCs w:val="21"/>
          <w:highlight w:val="none"/>
          <w:lang w:val="zh-CN"/>
        </w:rPr>
        <w:t>7.2</w:t>
      </w:r>
      <w:r>
        <w:rPr>
          <w:rStyle w:val="43"/>
          <w:rFonts w:hint="eastAsia" w:cs="宋体" w:asciiTheme="minorEastAsia" w:hAnsiTheme="minorEastAsia" w:eastAsiaTheme="minorEastAsia"/>
          <w:bCs/>
          <w:szCs w:val="21"/>
          <w:highlight w:val="none"/>
        </w:rPr>
        <w:t>.</w:t>
      </w:r>
      <w:r>
        <w:rPr>
          <w:rStyle w:val="43"/>
          <w:rFonts w:hint="eastAsia" w:cs="宋体" w:asciiTheme="minorEastAsia" w:hAnsiTheme="minorEastAsia" w:eastAsiaTheme="minorEastAsia"/>
          <w:bCs/>
          <w:szCs w:val="21"/>
          <w:highlight w:val="none"/>
          <w:lang w:val="zh-CN"/>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14:paraId="521439DA">
      <w:pPr>
        <w:snapToGrid w:val="0"/>
        <w:spacing w:line="360" w:lineRule="auto"/>
        <w:ind w:firstLine="420" w:firstLineChars="200"/>
        <w:rPr>
          <w:rStyle w:val="43"/>
          <w:rFonts w:cs="宋体" w:asciiTheme="minorEastAsia" w:hAnsiTheme="minorEastAsia" w:eastAsiaTheme="minorEastAsia"/>
          <w:bCs/>
          <w:szCs w:val="21"/>
          <w:highlight w:val="none"/>
          <w:lang w:val="zh-CN"/>
        </w:rPr>
      </w:pPr>
      <w:r>
        <w:rPr>
          <w:rStyle w:val="43"/>
          <w:rFonts w:hint="eastAsia" w:cs="宋体" w:asciiTheme="minorEastAsia" w:hAnsiTheme="minorEastAsia" w:eastAsiaTheme="minorEastAsia"/>
          <w:bCs/>
          <w:szCs w:val="21"/>
          <w:highlight w:val="none"/>
          <w:lang w:val="zh-CN"/>
        </w:rPr>
        <w:t>7.2</w:t>
      </w:r>
      <w:r>
        <w:rPr>
          <w:rStyle w:val="43"/>
          <w:rFonts w:hint="eastAsia" w:cs="宋体" w:asciiTheme="minorEastAsia" w:hAnsiTheme="minorEastAsia" w:eastAsiaTheme="minorEastAsia"/>
          <w:bCs/>
          <w:szCs w:val="21"/>
          <w:highlight w:val="none"/>
        </w:rPr>
        <w:t>.</w:t>
      </w:r>
      <w:r>
        <w:rPr>
          <w:rStyle w:val="43"/>
          <w:rFonts w:hint="eastAsia" w:cs="宋体" w:asciiTheme="minorEastAsia" w:hAnsiTheme="minorEastAsia" w:eastAsiaTheme="minorEastAsia"/>
          <w:bCs/>
          <w:szCs w:val="21"/>
          <w:highlight w:val="none"/>
          <w:lang w:val="zh-CN"/>
        </w:rPr>
        <w:t>4唱标：对于公开招标项目，“不见面开标”系统将自动展示投标人名单及其投标报价。</w:t>
      </w:r>
    </w:p>
    <w:p w14:paraId="6F021EA5">
      <w:pPr>
        <w:snapToGrid w:val="0"/>
        <w:spacing w:line="360" w:lineRule="auto"/>
        <w:ind w:firstLine="420" w:firstLineChars="200"/>
        <w:rPr>
          <w:rStyle w:val="43"/>
          <w:rFonts w:cs="宋体" w:asciiTheme="minorEastAsia" w:hAnsiTheme="minorEastAsia" w:eastAsiaTheme="minorEastAsia"/>
          <w:bCs/>
          <w:szCs w:val="21"/>
          <w:highlight w:val="none"/>
          <w:lang w:val="zh-CN"/>
        </w:rPr>
      </w:pPr>
      <w:r>
        <w:rPr>
          <w:rStyle w:val="43"/>
          <w:rFonts w:hint="eastAsia" w:cs="宋体" w:asciiTheme="minorEastAsia" w:hAnsiTheme="minorEastAsia" w:eastAsiaTheme="minorEastAsia"/>
          <w:bCs/>
          <w:szCs w:val="21"/>
          <w:highlight w:val="none"/>
          <w:lang w:val="zh-CN"/>
        </w:rPr>
        <w:t>7.2</w:t>
      </w:r>
      <w:r>
        <w:rPr>
          <w:rStyle w:val="43"/>
          <w:rFonts w:hint="eastAsia" w:cs="宋体" w:asciiTheme="minorEastAsia" w:hAnsiTheme="minorEastAsia" w:eastAsiaTheme="minorEastAsia"/>
          <w:bCs/>
          <w:szCs w:val="21"/>
          <w:highlight w:val="none"/>
        </w:rPr>
        <w:t>.</w:t>
      </w:r>
      <w:r>
        <w:rPr>
          <w:rStyle w:val="43"/>
          <w:rFonts w:hint="eastAsia" w:cs="宋体" w:asciiTheme="minorEastAsia" w:hAnsiTheme="minorEastAsia" w:eastAsiaTheme="minorEastAsia"/>
          <w:bCs/>
          <w:szCs w:val="21"/>
          <w:highlight w:val="none"/>
          <w:lang w:val="zh-CN"/>
        </w:rPr>
        <w:t>5开标结束：进入评审环节。投标人请保持在线，评审期间评标委员会可能会要求投标人做相应的澄清。因投标人擅自离席造成的不利后果，由投标人自行承担。</w:t>
      </w:r>
    </w:p>
    <w:p w14:paraId="2CC82FFF">
      <w:pPr>
        <w:snapToGrid w:val="0"/>
        <w:spacing w:line="360" w:lineRule="auto"/>
        <w:ind w:firstLine="420" w:firstLineChars="200"/>
        <w:rPr>
          <w:rStyle w:val="43"/>
          <w:rFonts w:cs="宋体" w:asciiTheme="minorEastAsia" w:hAnsiTheme="minorEastAsia" w:eastAsiaTheme="minorEastAsia"/>
          <w:bCs/>
          <w:szCs w:val="21"/>
          <w:highlight w:val="none"/>
          <w:lang w:val="zh-CN"/>
        </w:rPr>
      </w:pPr>
      <w:r>
        <w:rPr>
          <w:rStyle w:val="43"/>
          <w:rFonts w:hint="eastAsia" w:cs="宋体" w:asciiTheme="minorEastAsia" w:hAnsiTheme="minorEastAsia" w:eastAsiaTheme="minorEastAsia"/>
          <w:bCs/>
          <w:szCs w:val="21"/>
          <w:highlight w:val="none"/>
          <w:lang w:val="zh-CN"/>
        </w:rPr>
        <w:t>7.2</w:t>
      </w:r>
      <w:r>
        <w:rPr>
          <w:rStyle w:val="43"/>
          <w:rFonts w:hint="eastAsia" w:cs="宋体" w:asciiTheme="minorEastAsia" w:hAnsiTheme="minorEastAsia" w:eastAsiaTheme="minorEastAsia"/>
          <w:bCs/>
          <w:szCs w:val="21"/>
          <w:highlight w:val="none"/>
        </w:rPr>
        <w:t>.6</w:t>
      </w:r>
      <w:r>
        <w:rPr>
          <w:rStyle w:val="43"/>
          <w:rFonts w:hint="eastAsia" w:cs="宋体" w:asciiTheme="minorEastAsia" w:hAnsiTheme="minorEastAsia" w:eastAsiaTheme="minorEastAsia"/>
          <w:bCs/>
          <w:szCs w:val="21"/>
          <w:highlight w:val="none"/>
          <w:lang w:val="zh-CN"/>
        </w:rPr>
        <w:t>“不见面开标”系统操作说明：详见西安市公共资源交易平台〖首页·〉服务指南·〉下载专区〗中的《西安公共资源交易不见面开标大厅投标人操作手册》。</w:t>
      </w:r>
    </w:p>
    <w:p w14:paraId="4E858F88">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8.投标人资格审查</w:t>
      </w:r>
    </w:p>
    <w:p w14:paraId="7EF1568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8.1 开标结束后对投标人资格证明文件进行审查，并对投标人信用记录进行核查。</w:t>
      </w:r>
    </w:p>
    <w:p w14:paraId="56A5DC8F">
      <w:pPr>
        <w:snapToGrid w:val="0"/>
        <w:spacing w:line="360" w:lineRule="auto"/>
        <w:ind w:firstLine="421"/>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lang w:val="zh-CN"/>
        </w:rPr>
        <w:t>8.2</w:t>
      </w:r>
      <w:r>
        <w:rPr>
          <w:rStyle w:val="43"/>
          <w:rFonts w:hint="eastAsia" w:cs="宋体" w:asciiTheme="minorEastAsia" w:hAnsiTheme="minorEastAsia" w:eastAsiaTheme="minorEastAsia"/>
          <w:b/>
          <w:szCs w:val="21"/>
          <w:highlight w:val="none"/>
          <w:lang w:val="zh-CN"/>
        </w:rPr>
        <w:t xml:space="preserve"> </w:t>
      </w:r>
      <w:r>
        <w:rPr>
          <w:rStyle w:val="43"/>
          <w:rFonts w:hint="eastAsia" w:cs="宋体" w:asciiTheme="minorEastAsia" w:hAnsiTheme="minorEastAsia" w:eastAsiaTheme="minorEastAsia"/>
          <w:szCs w:val="21"/>
          <w:highlight w:val="none"/>
          <w:lang w:val="zh-CN"/>
        </w:rPr>
        <w:t>投标人应按规定提供资格审查资料，以证明其满足本章第2.3</w:t>
      </w:r>
      <w:r>
        <w:rPr>
          <w:rStyle w:val="43"/>
          <w:rFonts w:hint="eastAsia" w:cs="宋体" w:asciiTheme="minorEastAsia" w:hAnsiTheme="minorEastAsia" w:eastAsiaTheme="minorEastAsia"/>
          <w:szCs w:val="21"/>
          <w:highlight w:val="none"/>
        </w:rPr>
        <w:t>.1</w:t>
      </w:r>
      <w:r>
        <w:rPr>
          <w:rStyle w:val="43"/>
          <w:rFonts w:hint="eastAsia" w:cs="宋体" w:asciiTheme="minorEastAsia" w:hAnsiTheme="minorEastAsia" w:eastAsiaTheme="minorEastAsia"/>
          <w:szCs w:val="21"/>
          <w:highlight w:val="none"/>
          <w:lang w:val="zh-CN"/>
        </w:rPr>
        <w:t>款规定的资格要求，</w:t>
      </w:r>
      <w:r>
        <w:rPr>
          <w:rStyle w:val="43"/>
          <w:rFonts w:hint="eastAsia" w:cs="宋体" w:asciiTheme="minorEastAsia" w:hAnsiTheme="minorEastAsia" w:eastAsiaTheme="minorEastAsia"/>
          <w:spacing w:val="-5"/>
          <w:szCs w:val="21"/>
          <w:highlight w:val="none"/>
        </w:rPr>
        <w:t>未提</w:t>
      </w:r>
      <w:r>
        <w:rPr>
          <w:rStyle w:val="43"/>
          <w:rFonts w:hint="eastAsia" w:cs="宋体" w:asciiTheme="minorEastAsia" w:hAnsiTheme="minorEastAsia" w:eastAsiaTheme="minorEastAsia"/>
          <w:spacing w:val="-6"/>
          <w:szCs w:val="21"/>
          <w:highlight w:val="none"/>
        </w:rPr>
        <w:t>供或</w:t>
      </w:r>
      <w:r>
        <w:rPr>
          <w:rStyle w:val="43"/>
          <w:rFonts w:hint="eastAsia" w:cs="宋体" w:asciiTheme="minorEastAsia" w:hAnsiTheme="minorEastAsia" w:eastAsiaTheme="minorEastAsia"/>
          <w:spacing w:val="-5"/>
          <w:szCs w:val="21"/>
          <w:highlight w:val="none"/>
        </w:rPr>
        <w:t>提</w:t>
      </w:r>
      <w:r>
        <w:rPr>
          <w:rStyle w:val="43"/>
          <w:rFonts w:hint="eastAsia" w:cs="宋体" w:asciiTheme="minorEastAsia" w:hAnsiTheme="minorEastAsia" w:eastAsiaTheme="minorEastAsia"/>
          <w:spacing w:val="-3"/>
          <w:szCs w:val="21"/>
          <w:highlight w:val="none"/>
        </w:rPr>
        <w:t>供不全的或有一项因素不符合审查标准的， 视为资格审查不合格。</w:t>
      </w:r>
    </w:p>
    <w:p w14:paraId="621A716F">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9.评标</w:t>
      </w:r>
    </w:p>
    <w:p w14:paraId="6EE3C764">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9.1 评标委员会</w:t>
      </w:r>
    </w:p>
    <w:p w14:paraId="7DB8767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9.1.1 评标由招标人依法组建的评标委员会负责。评标委员会的组成见投标人须知前附表。</w:t>
      </w:r>
    </w:p>
    <w:p w14:paraId="34A9B62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9.1.2 评标委员会成员有下列情形之一的，应当回避：</w:t>
      </w:r>
    </w:p>
    <w:p w14:paraId="318DD87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（1）参加采购活动前3年内与投标人存在劳动关系；</w:t>
      </w:r>
    </w:p>
    <w:p w14:paraId="3770614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（2）参加采购活动前3年内担任投标人的董事、监事；</w:t>
      </w:r>
    </w:p>
    <w:p w14:paraId="0E3E6FB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（3）参加采购活动前3年内是投标人的控股股东或者实际控制人；</w:t>
      </w:r>
    </w:p>
    <w:p w14:paraId="5845B2D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（4）与投标人的法定代表人或者负责人有夫妻、直系血亲、三代以内旁系血亲或者近姻亲关系；</w:t>
      </w:r>
    </w:p>
    <w:p w14:paraId="6D471DF1">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（5）与投标人有其他可能影响政府采购活动公平、公正进行的关系。</w:t>
      </w:r>
    </w:p>
    <w:p w14:paraId="21A75DD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9.1.3 评标过程中，评标委员会成员有回避事由、擅离职守或者因健康等原因不能继续评标的，招标人有权更换。被更换的评标委员会成员作出的评审结论无效，由更换后的评标委员会成员重新进行评审。</w:t>
      </w:r>
    </w:p>
    <w:p w14:paraId="70E71D10">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9.2 评标原则</w:t>
      </w:r>
    </w:p>
    <w:p w14:paraId="1E0CDC8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评标活动遵循公平、公正、科学和择优的原则。</w:t>
      </w:r>
    </w:p>
    <w:p w14:paraId="2BC16999">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9.3 评标</w:t>
      </w:r>
    </w:p>
    <w:p w14:paraId="52634DFE">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9.3.1 评标委员会按照第三章“评标办法”规定的方法、评审因素、标准和程序对投标文件进行评审。第三章“评标办法”没有规定的方法、评审因素和标准，不作为评标依据。</w:t>
      </w:r>
    </w:p>
    <w:p w14:paraId="7E07540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9.3.2 评标完成后，评标委员会应当向招标人提交书面评标报告和中标候选人名单。评标委员会推荐中标候选人的人数见投标人须知前附表。</w:t>
      </w:r>
    </w:p>
    <w:p w14:paraId="196FB294">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10.确定中标人</w:t>
      </w:r>
    </w:p>
    <w:p w14:paraId="437E70EB">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10.1 定标复函</w:t>
      </w:r>
    </w:p>
    <w:p w14:paraId="58F5B22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招标人自收到评标报告之日起</w:t>
      </w:r>
      <w:r>
        <w:rPr>
          <w:rStyle w:val="43"/>
          <w:rFonts w:hint="eastAsia" w:cs="宋体" w:asciiTheme="minorEastAsia" w:hAnsiTheme="minorEastAsia" w:eastAsiaTheme="minorEastAsia"/>
          <w:szCs w:val="21"/>
          <w:highlight w:val="none"/>
        </w:rPr>
        <w:t>4</w:t>
      </w:r>
      <w:r>
        <w:rPr>
          <w:rStyle w:val="43"/>
          <w:rFonts w:hint="eastAsia" w:cs="宋体" w:asciiTheme="minorEastAsia" w:hAnsiTheme="minorEastAsia" w:eastAsiaTheme="minorEastAsia"/>
          <w:szCs w:val="21"/>
          <w:highlight w:val="none"/>
          <w:lang w:val="zh-CN"/>
        </w:rPr>
        <w:t>个工作日内，在评标报告确定的中标候选人名单中按顺序确定中标人，复函招标代理机构。</w:t>
      </w:r>
    </w:p>
    <w:p w14:paraId="258341FF">
      <w:pPr>
        <w:snapToGrid w:val="0"/>
        <w:spacing w:line="360" w:lineRule="auto"/>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 xml:space="preserve">    10.2 中标公告</w:t>
      </w:r>
    </w:p>
    <w:p w14:paraId="3B011EB1">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招标代理机构在收到招标人“定标复函”后按照投标人须知前附表规定的公告媒介和期限公告中标人。投标人可向招标代理机构查询其得分和排名。</w:t>
      </w:r>
    </w:p>
    <w:p w14:paraId="5E46926D">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10.3 中标通知</w:t>
      </w:r>
    </w:p>
    <w:p w14:paraId="0F687B8D">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在公告中标结果的同时，招标人向中标人发出中标通知书。</w:t>
      </w:r>
    </w:p>
    <w:p w14:paraId="6F0613EF">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11.质疑投诉</w:t>
      </w:r>
    </w:p>
    <w:p w14:paraId="50833F9F">
      <w:pPr>
        <w:snapToGrid w:val="0"/>
        <w:spacing w:line="360" w:lineRule="auto"/>
        <w:ind w:firstLine="422" w:firstLineChars="200"/>
        <w:rPr>
          <w:rStyle w:val="43"/>
          <w:rFonts w:cs="宋体" w:asciiTheme="minorEastAsia" w:hAnsiTheme="minorEastAsia" w:eastAsiaTheme="minorEastAsia"/>
          <w:b/>
          <w:szCs w:val="21"/>
          <w:highlight w:val="none"/>
        </w:rPr>
      </w:pPr>
      <w:r>
        <w:rPr>
          <w:rStyle w:val="43"/>
          <w:rFonts w:hint="eastAsia" w:cs="宋体" w:asciiTheme="minorEastAsia" w:hAnsiTheme="minorEastAsia" w:eastAsiaTheme="minorEastAsia"/>
          <w:b/>
          <w:szCs w:val="21"/>
          <w:highlight w:val="none"/>
        </w:rPr>
        <w:t>11.1 质疑</w:t>
      </w:r>
    </w:p>
    <w:p w14:paraId="5381BDCE">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11.1.1 投标人认为招标文件、采购过程和中标结果使自己的权益受到损害的，可以在知道或者应知其权益受到损害之日起七个工作日内</w:t>
      </w:r>
      <w:r>
        <w:rPr>
          <w:rStyle w:val="43"/>
          <w:rFonts w:hint="eastAsia" w:cs="宋体" w:asciiTheme="minorEastAsia" w:hAnsiTheme="minorEastAsia" w:eastAsiaTheme="minorEastAsia"/>
          <w:bCs/>
          <w:color w:val="000000"/>
          <w:kern w:val="0"/>
          <w:szCs w:val="21"/>
          <w:highlight w:val="none"/>
        </w:rPr>
        <w:t>一次性提出针对同一采购程序环节的质疑</w:t>
      </w:r>
      <w:r>
        <w:rPr>
          <w:rStyle w:val="43"/>
          <w:rFonts w:hint="eastAsia" w:cs="宋体" w:asciiTheme="minorEastAsia" w:hAnsiTheme="minorEastAsia" w:eastAsiaTheme="minorEastAsia"/>
          <w:szCs w:val="21"/>
          <w:highlight w:val="none"/>
          <w:lang w:val="zh-CN"/>
        </w:rPr>
        <w:t>，以书面形式向招标人提出质疑。（质疑函格式见附件）</w:t>
      </w:r>
    </w:p>
    <w:p w14:paraId="4461A7D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11.1.2 提出质疑的应当是参与所质疑项目采购活动的投标人。</w:t>
      </w:r>
    </w:p>
    <w:p w14:paraId="5CA296B0">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11.1.3 提出质疑应当提交质疑函和必要的证明材料。质疑函应当包括下列内容：</w:t>
      </w:r>
    </w:p>
    <w:p w14:paraId="5A36BB4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（1）投标人的姓名或者名称、地址、邮编、联系人及联系电话；</w:t>
      </w:r>
    </w:p>
    <w:p w14:paraId="4457E9FB">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（2）质疑项目的名称、编号；</w:t>
      </w:r>
    </w:p>
    <w:p w14:paraId="3043BCE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（3）具体、明确的质疑事项和与质疑事项相关的请求；</w:t>
      </w:r>
    </w:p>
    <w:p w14:paraId="64B74FD3">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（4）事实依据；</w:t>
      </w:r>
    </w:p>
    <w:p w14:paraId="2AB9F0E5">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（5）必要的法律依据；</w:t>
      </w:r>
    </w:p>
    <w:p w14:paraId="0A2E60E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（6）提出质疑的日期。</w:t>
      </w:r>
    </w:p>
    <w:p w14:paraId="2A78B7E8">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投标人为自然人的，应当由本人签字；投标人为法人或者其他组织的，应当由法定代表人、主要负责人，或者其授权代表签字或者盖章，并加盖公章。</w:t>
      </w:r>
    </w:p>
    <w:p w14:paraId="2BCC882E">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346A7239">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lang w:val="zh-CN"/>
        </w:rPr>
        <w:t xml:space="preserve">11.1.5 </w:t>
      </w:r>
      <w:r>
        <w:rPr>
          <w:rStyle w:val="43"/>
          <w:rFonts w:hint="eastAsia" w:cs="宋体" w:asciiTheme="minorEastAsia" w:hAnsiTheme="minorEastAsia" w:eastAsiaTheme="minorEastAsia"/>
          <w:szCs w:val="21"/>
          <w:highlight w:val="none"/>
        </w:rPr>
        <w:t>有下列情形之一的，属于无效质疑：</w:t>
      </w:r>
    </w:p>
    <w:p w14:paraId="11A60C6C">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①质疑人不是参与本次政府采购项目的投标人或潜在投标人；</w:t>
      </w:r>
    </w:p>
    <w:p w14:paraId="2E5E25D4">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②质疑人与质疑事项不存在利害关系的；</w:t>
      </w:r>
    </w:p>
    <w:p w14:paraId="3ACCC38C">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③未在法定期限内提出质疑的；</w:t>
      </w:r>
    </w:p>
    <w:p w14:paraId="25742675">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④质疑未以书面形式提出，或质疑函主要内容构成不完整的；</w:t>
      </w:r>
    </w:p>
    <w:p w14:paraId="61C661C5">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⑤质疑函没有合法有效的签字、盖章或授权的；</w:t>
      </w:r>
    </w:p>
    <w:p w14:paraId="59B743D3">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⑥以非法手段取得证据、材料的；</w:t>
      </w:r>
    </w:p>
    <w:p w14:paraId="54EA50F3">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⑦质疑答复后，同一质疑人就同一事项再次提出质疑的；</w:t>
      </w:r>
    </w:p>
    <w:p w14:paraId="0DCD52A9">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⑧不符合法律、法规、规章和政府采购监管机构规定的其他条件的。</w:t>
      </w:r>
    </w:p>
    <w:p w14:paraId="15EBFA64">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lang w:val="zh-CN"/>
        </w:rPr>
        <w:t>11.1.6 投标人应按招标文件提供的质疑函格式提出质疑，</w:t>
      </w:r>
      <w:r>
        <w:rPr>
          <w:rStyle w:val="43"/>
          <w:rFonts w:hint="eastAsia" w:cs="宋体" w:asciiTheme="minorEastAsia" w:hAnsiTheme="minorEastAsia" w:eastAsiaTheme="minorEastAsia"/>
          <w:szCs w:val="21"/>
          <w:highlight w:val="none"/>
        </w:rPr>
        <w:t>符合要求的质疑，招标代理机构将予以受理并答复，具体联系方式如下：</w:t>
      </w:r>
    </w:p>
    <w:p w14:paraId="729EDDDD">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联系人：徐小宁、</w:t>
      </w:r>
      <w:r>
        <w:rPr>
          <w:rStyle w:val="43"/>
          <w:rFonts w:hint="eastAsia" w:cs="宋体" w:asciiTheme="minorEastAsia" w:hAnsiTheme="minorEastAsia" w:eastAsiaTheme="minorEastAsia"/>
          <w:szCs w:val="21"/>
          <w:highlight w:val="none"/>
          <w:lang w:val="en-US" w:eastAsia="zh-CN"/>
        </w:rPr>
        <w:t>郑蕊、</w:t>
      </w:r>
      <w:r>
        <w:rPr>
          <w:rStyle w:val="43"/>
          <w:rFonts w:hint="eastAsia" w:cs="宋体" w:asciiTheme="minorEastAsia" w:hAnsiTheme="minorEastAsia" w:eastAsiaTheme="minorEastAsia"/>
          <w:szCs w:val="21"/>
          <w:highlight w:val="none"/>
        </w:rPr>
        <w:t>张波</w:t>
      </w:r>
    </w:p>
    <w:p w14:paraId="55AD3B6A">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联系电话：029-88228899-643</w:t>
      </w:r>
    </w:p>
    <w:p w14:paraId="5C57ABEE">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传真：029-88220088</w:t>
      </w:r>
    </w:p>
    <w:p w14:paraId="4CE216D3">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地址：陕西省西安市太白南路181号西部电子社区A座A区501室</w:t>
      </w:r>
    </w:p>
    <w:p w14:paraId="67C36A26">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lang w:val="zh-CN"/>
        </w:rPr>
        <w:t xml:space="preserve">11.1.7 </w:t>
      </w:r>
      <w:r>
        <w:rPr>
          <w:rStyle w:val="43"/>
          <w:rFonts w:hint="eastAsia" w:cs="宋体" w:asciiTheme="minorEastAsia" w:hAnsiTheme="minorEastAsia" w:eastAsiaTheme="minorEastAsia"/>
          <w:szCs w:val="21"/>
          <w:highlight w:val="none"/>
        </w:rPr>
        <w:t>招标代理机构或招标人将在收到书面质疑后7个工作日内做出答复，并以书面形式通知质疑人和其他有关投标人。</w:t>
      </w:r>
    </w:p>
    <w:p w14:paraId="1E60FDC6">
      <w:pPr>
        <w:snapToGrid w:val="0"/>
        <w:spacing w:line="360" w:lineRule="auto"/>
        <w:ind w:firstLine="422" w:firstLineChars="200"/>
        <w:rPr>
          <w:rStyle w:val="43"/>
          <w:rFonts w:cs="宋体" w:asciiTheme="minorEastAsia" w:hAnsiTheme="minorEastAsia" w:eastAsiaTheme="minorEastAsia"/>
          <w:b/>
          <w:szCs w:val="21"/>
          <w:highlight w:val="none"/>
        </w:rPr>
      </w:pPr>
      <w:r>
        <w:rPr>
          <w:rStyle w:val="43"/>
          <w:rFonts w:hint="eastAsia" w:cs="宋体" w:asciiTheme="minorEastAsia" w:hAnsiTheme="minorEastAsia" w:eastAsiaTheme="minorEastAsia"/>
          <w:b/>
          <w:szCs w:val="21"/>
          <w:highlight w:val="none"/>
        </w:rPr>
        <w:t>11.2 投诉</w:t>
      </w:r>
    </w:p>
    <w:p w14:paraId="057D9D4A">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11.2.1 质疑人对招标代理机构或招标人的答复不满意，以及招标代理机构或招标人未在规定时间内做出答复的，可以在答复期满后15个工作日内向政府采购监管机构提出投诉。</w:t>
      </w:r>
    </w:p>
    <w:p w14:paraId="420890A3">
      <w:pPr>
        <w:snapToGrid w:val="0"/>
        <w:spacing w:line="360" w:lineRule="auto"/>
        <w:ind w:firstLine="420" w:firstLineChars="200"/>
        <w:rPr>
          <w:rStyle w:val="43"/>
          <w:rFonts w:cs="宋体" w:asciiTheme="minorEastAsia" w:hAnsiTheme="minorEastAsia" w:eastAsiaTheme="minorEastAsia"/>
          <w:szCs w:val="21"/>
          <w:highlight w:val="none"/>
        </w:rPr>
      </w:pPr>
      <w:r>
        <w:rPr>
          <w:rStyle w:val="43"/>
          <w:rFonts w:hint="eastAsia" w:cs="宋体" w:asciiTheme="minorEastAsia" w:hAnsiTheme="minorEastAsia" w:eastAsiaTheme="minorEastAsia"/>
          <w:szCs w:val="21"/>
          <w:highlight w:val="none"/>
        </w:rPr>
        <w:t>11.2.2 投诉的事项不得超出已质疑事项的范围。</w:t>
      </w:r>
    </w:p>
    <w:p w14:paraId="5CD4C042">
      <w:pPr>
        <w:snapToGrid w:val="0"/>
        <w:spacing w:line="360" w:lineRule="auto"/>
        <w:ind w:firstLine="422" w:firstLineChars="200"/>
        <w:rPr>
          <w:rStyle w:val="43"/>
          <w:rFonts w:cs="宋体" w:asciiTheme="minorEastAsia" w:hAnsiTheme="minorEastAsia" w:eastAsiaTheme="minorEastAsia"/>
          <w:b/>
          <w:szCs w:val="21"/>
          <w:highlight w:val="none"/>
        </w:rPr>
      </w:pPr>
      <w:r>
        <w:rPr>
          <w:rStyle w:val="43"/>
          <w:rFonts w:hint="eastAsia" w:cs="宋体" w:asciiTheme="minorEastAsia" w:hAnsiTheme="minorEastAsia" w:eastAsiaTheme="minorEastAsia"/>
          <w:b/>
          <w:szCs w:val="21"/>
          <w:highlight w:val="none"/>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14:paraId="74DE6067">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12 招标代理服务费</w:t>
      </w:r>
    </w:p>
    <w:p w14:paraId="4B40A7FF">
      <w:pPr>
        <w:autoSpaceDE w:val="0"/>
        <w:autoSpaceDN w:val="0"/>
        <w:adjustRightIn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12.1 中标人依据</w:t>
      </w:r>
      <w:r>
        <w:rPr>
          <w:rStyle w:val="43"/>
          <w:rFonts w:hint="eastAsia" w:cs="宋体" w:asciiTheme="minorEastAsia" w:hAnsiTheme="minorEastAsia" w:eastAsiaTheme="minorEastAsia"/>
          <w:szCs w:val="21"/>
          <w:highlight w:val="none"/>
        </w:rPr>
        <w:t>中标价格</w:t>
      </w:r>
      <w:r>
        <w:rPr>
          <w:rStyle w:val="43"/>
          <w:rFonts w:hint="eastAsia" w:cs="宋体" w:asciiTheme="minorEastAsia" w:hAnsiTheme="minorEastAsia" w:eastAsiaTheme="minorEastAsia"/>
          <w:szCs w:val="21"/>
          <w:highlight w:val="none"/>
          <w:lang w:val="zh-CN"/>
        </w:rPr>
        <w:t>向采购代理机</w:t>
      </w:r>
      <w:r>
        <w:rPr>
          <w:rFonts w:hint="eastAsia" w:asciiTheme="minorEastAsia" w:hAnsiTheme="minorEastAsia" w:eastAsiaTheme="minorEastAsia"/>
          <w:szCs w:val="21"/>
          <w:highlight w:val="none"/>
        </w:rPr>
        <w:t>交费参照国家计委颁布的《招标代理服务收费管理暂行办法》（计价格【2002】1980号）及发改办价格【2003】857号中的规定计取，采用差额定律累进法计算。</w:t>
      </w:r>
    </w:p>
    <w:p w14:paraId="55B68F1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12.2 中标人在取得中标通知书前，向招标代理机构一次性缴纳招标代理服务费。</w:t>
      </w:r>
    </w:p>
    <w:p w14:paraId="39B06AC9">
      <w:pPr>
        <w:snapToGrid w:val="0"/>
        <w:spacing w:line="360" w:lineRule="auto"/>
        <w:ind w:firstLine="422" w:firstLineChars="200"/>
        <w:rPr>
          <w:rStyle w:val="43"/>
          <w:rFonts w:cs="宋体" w:asciiTheme="minorEastAsia" w:hAnsiTheme="minorEastAsia" w:eastAsiaTheme="minorEastAsia"/>
          <w:b/>
          <w:color w:val="000000"/>
          <w:szCs w:val="21"/>
          <w:highlight w:val="none"/>
        </w:rPr>
      </w:pPr>
      <w:r>
        <w:rPr>
          <w:rStyle w:val="43"/>
          <w:rFonts w:hint="eastAsia" w:cs="宋体" w:asciiTheme="minorEastAsia" w:hAnsiTheme="minorEastAsia" w:eastAsiaTheme="minorEastAsia"/>
          <w:b/>
          <w:color w:val="000000"/>
          <w:szCs w:val="21"/>
          <w:highlight w:val="none"/>
        </w:rPr>
        <w:t>12.3 服务费缴纳账号</w:t>
      </w:r>
    </w:p>
    <w:p w14:paraId="5FAE93BA">
      <w:pPr>
        <w:tabs>
          <w:tab w:val="left" w:pos="1180"/>
        </w:tabs>
        <w:snapToGrid w:val="0"/>
        <w:spacing w:line="360" w:lineRule="auto"/>
        <w:ind w:firstLine="949" w:firstLineChars="450"/>
        <w:rPr>
          <w:rStyle w:val="43"/>
          <w:rFonts w:cs="宋体" w:asciiTheme="minorEastAsia" w:hAnsiTheme="minorEastAsia" w:eastAsiaTheme="minorEastAsia"/>
          <w:b/>
          <w:color w:val="000000"/>
          <w:szCs w:val="21"/>
          <w:highlight w:val="none"/>
        </w:rPr>
      </w:pPr>
      <w:r>
        <w:rPr>
          <w:rStyle w:val="43"/>
          <w:rFonts w:hint="eastAsia" w:cs="宋体" w:asciiTheme="minorEastAsia" w:hAnsiTheme="minorEastAsia" w:eastAsiaTheme="minorEastAsia"/>
          <w:b/>
          <w:color w:val="000000"/>
          <w:szCs w:val="21"/>
          <w:highlight w:val="none"/>
        </w:rPr>
        <w:t>开户名称：龙寰项目管理咨询有限公司</w:t>
      </w:r>
    </w:p>
    <w:p w14:paraId="60E5CF8E">
      <w:pPr>
        <w:tabs>
          <w:tab w:val="left" w:pos="1180"/>
        </w:tabs>
        <w:snapToGrid w:val="0"/>
        <w:spacing w:line="360" w:lineRule="auto"/>
        <w:ind w:firstLine="949" w:firstLineChars="450"/>
        <w:rPr>
          <w:rStyle w:val="43"/>
          <w:rFonts w:cs="宋体" w:asciiTheme="minorEastAsia" w:hAnsiTheme="minorEastAsia" w:eastAsiaTheme="minorEastAsia"/>
          <w:b/>
          <w:color w:val="000000"/>
          <w:szCs w:val="21"/>
          <w:highlight w:val="none"/>
        </w:rPr>
      </w:pPr>
      <w:r>
        <w:rPr>
          <w:rStyle w:val="43"/>
          <w:rFonts w:hint="eastAsia" w:cs="宋体" w:asciiTheme="minorEastAsia" w:hAnsiTheme="minorEastAsia" w:eastAsiaTheme="minorEastAsia"/>
          <w:b/>
          <w:color w:val="000000"/>
          <w:szCs w:val="21"/>
          <w:highlight w:val="none"/>
        </w:rPr>
        <w:t>开户银行：平安银行西安高新路支行</w:t>
      </w:r>
    </w:p>
    <w:p w14:paraId="2784F671">
      <w:pPr>
        <w:tabs>
          <w:tab w:val="left" w:pos="1180"/>
        </w:tabs>
        <w:snapToGrid w:val="0"/>
        <w:spacing w:line="360" w:lineRule="auto"/>
        <w:ind w:firstLine="949" w:firstLineChars="450"/>
        <w:rPr>
          <w:rStyle w:val="43"/>
          <w:rFonts w:cs="宋体" w:asciiTheme="minorEastAsia" w:hAnsiTheme="minorEastAsia" w:eastAsiaTheme="minorEastAsia"/>
          <w:b/>
          <w:color w:val="000000"/>
          <w:szCs w:val="21"/>
          <w:highlight w:val="none"/>
        </w:rPr>
      </w:pPr>
      <w:r>
        <w:rPr>
          <w:rStyle w:val="43"/>
          <w:rFonts w:hint="eastAsia" w:cs="宋体" w:asciiTheme="minorEastAsia" w:hAnsiTheme="minorEastAsia" w:eastAsiaTheme="minorEastAsia"/>
          <w:b/>
          <w:color w:val="000000"/>
          <w:szCs w:val="21"/>
          <w:highlight w:val="none"/>
        </w:rPr>
        <w:t>账    号：30201278016329</w:t>
      </w:r>
    </w:p>
    <w:p w14:paraId="61427C11">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13.合同授予</w:t>
      </w:r>
    </w:p>
    <w:p w14:paraId="4247EFE9">
      <w:pPr>
        <w:snapToGrid w:val="0"/>
        <w:spacing w:line="360" w:lineRule="auto"/>
        <w:ind w:firstLine="422" w:firstLineChars="200"/>
        <w:rPr>
          <w:rStyle w:val="43"/>
          <w:rFonts w:cs="宋体" w:asciiTheme="minorEastAsia" w:hAnsiTheme="minorEastAsia" w:eastAsiaTheme="minorEastAsia"/>
          <w:b/>
          <w:szCs w:val="21"/>
          <w:highlight w:val="none"/>
        </w:rPr>
      </w:pPr>
      <w:r>
        <w:rPr>
          <w:rStyle w:val="43"/>
          <w:rFonts w:hint="eastAsia" w:cs="宋体" w:asciiTheme="minorEastAsia" w:hAnsiTheme="minorEastAsia" w:eastAsiaTheme="minorEastAsia"/>
          <w:b/>
          <w:szCs w:val="21"/>
          <w:highlight w:val="none"/>
          <w:lang w:val="zh-CN"/>
        </w:rPr>
        <w:t>13.1 履约担保</w:t>
      </w:r>
      <w:r>
        <w:rPr>
          <w:rStyle w:val="43"/>
          <w:rFonts w:hint="eastAsia" w:cs="宋体" w:asciiTheme="minorEastAsia" w:hAnsiTheme="minorEastAsia" w:eastAsiaTheme="minorEastAsia"/>
          <w:b/>
          <w:szCs w:val="21"/>
          <w:highlight w:val="none"/>
        </w:rPr>
        <w:t xml:space="preserve"> </w:t>
      </w:r>
    </w:p>
    <w:p w14:paraId="48E66BC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13.1.1 在签订合同前，中标人应按投标人须知前附表规定的形式、金额向招标人提交履约保证金。联合体中标的，其履约保证金以联合体各方或者联合体中牵头人的名义提交。</w:t>
      </w:r>
    </w:p>
    <w:p w14:paraId="48C74A92">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13.1.2 中标人不能按本章第13.3.1项要求提交履约保证金的，视为放弃中标，其投标保证金不予退还，给招标人造成损失的予以赔偿。</w:t>
      </w:r>
    </w:p>
    <w:p w14:paraId="5E223D9A">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13.2 签订合同</w:t>
      </w:r>
    </w:p>
    <w:p w14:paraId="5C9793ED">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13.2.1 招标人和中标人应当在中标通知书发出之日起</w:t>
      </w:r>
      <w:r>
        <w:rPr>
          <w:rStyle w:val="43"/>
          <w:rFonts w:hint="eastAsia" w:cs="宋体" w:asciiTheme="minorEastAsia" w:hAnsiTheme="minorEastAsia" w:eastAsiaTheme="minorEastAsia"/>
          <w:szCs w:val="21"/>
          <w:highlight w:val="none"/>
        </w:rPr>
        <w:t>25</w:t>
      </w:r>
      <w:r>
        <w:rPr>
          <w:rStyle w:val="43"/>
          <w:rFonts w:hint="eastAsia" w:cs="宋体" w:asciiTheme="minorEastAsia" w:hAnsiTheme="minorEastAsia" w:eastAsiaTheme="minorEastAsia"/>
          <w:szCs w:val="21"/>
          <w:highlight w:val="none"/>
          <w:lang w:val="zh-CN"/>
        </w:rPr>
        <w:t>日内，根据招标文件和中标人的投标文件订立书面合同。所签订的合同不得对招标文件确定的事项和中标人投标文件作实质性修改。中标人无正当理由拒签合同，在签订合同时向招标人提出附加条件的，招标人有权取消其中标资格，其投标保证金不予退还，给招标人造成损失的予以赔偿。</w:t>
      </w:r>
    </w:p>
    <w:p w14:paraId="13C7E81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13.2.2 联合体中标的，联合体各方应当共同与招标人签订合同，就中标项目向招标人承担连带责任。</w:t>
      </w:r>
    </w:p>
    <w:p w14:paraId="3D5399A1">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13.2.3 中标人拒绝与招标人签订合同的，招标人可以按照评审报告推荐的中标候选人名单排序，确定下一候选人为中标人，也可以重新开展政府采购活动。</w:t>
      </w:r>
    </w:p>
    <w:p w14:paraId="68896FBA">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14. 纪律和监督</w:t>
      </w:r>
    </w:p>
    <w:p w14:paraId="784C1D65">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14.1 对招标人的纪律要求</w:t>
      </w:r>
    </w:p>
    <w:p w14:paraId="679592D6">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招标人不得泄露采购活动中应当保密的情况和资料，不得与投标人串通损害国家利益、社会公共利益或者他人合法权益。招标人员及相关人员与投标人有利害关系的，必须回避。</w:t>
      </w:r>
    </w:p>
    <w:p w14:paraId="7F56947C">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14.2 对投标人的纪律要求</w:t>
      </w:r>
    </w:p>
    <w:p w14:paraId="465276C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4554A4F">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14.3 对评标委员会成员的纪律要求</w:t>
      </w:r>
    </w:p>
    <w:p w14:paraId="3789D422">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14:paraId="2087E583">
      <w:pPr>
        <w:snapToGrid w:val="0"/>
        <w:spacing w:line="360" w:lineRule="auto"/>
        <w:ind w:firstLine="422" w:firstLineChars="200"/>
        <w:rPr>
          <w:rStyle w:val="43"/>
          <w:rFonts w:cs="宋体" w:asciiTheme="minorEastAsia" w:hAnsiTheme="minorEastAsia" w:eastAsiaTheme="minorEastAsia"/>
          <w:b/>
          <w:szCs w:val="21"/>
          <w:highlight w:val="none"/>
          <w:lang w:val="zh-CN"/>
        </w:rPr>
      </w:pPr>
      <w:r>
        <w:rPr>
          <w:rStyle w:val="43"/>
          <w:rFonts w:hint="eastAsia" w:cs="宋体" w:asciiTheme="minorEastAsia" w:hAnsiTheme="minorEastAsia" w:eastAsiaTheme="minorEastAsia"/>
          <w:b/>
          <w:szCs w:val="21"/>
          <w:highlight w:val="none"/>
          <w:lang w:val="zh-CN"/>
        </w:rPr>
        <w:t>14.4 对与评标活动有关的工作人员的纪律要求</w:t>
      </w:r>
    </w:p>
    <w:p w14:paraId="76BD3CCC">
      <w:pPr>
        <w:snapToGrid w:val="0"/>
        <w:spacing w:line="360" w:lineRule="auto"/>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szCs w:val="21"/>
          <w:highlight w:val="none"/>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DAB46DA">
      <w:pPr>
        <w:snapToGrid w:val="0"/>
        <w:rPr>
          <w:rStyle w:val="43"/>
          <w:rFonts w:cs="宋体" w:asciiTheme="minorEastAsia" w:hAnsiTheme="minorEastAsia" w:eastAsiaTheme="minorEastAsia"/>
          <w:b/>
          <w:kern w:val="0"/>
          <w:szCs w:val="21"/>
          <w:highlight w:val="none"/>
        </w:rPr>
      </w:pPr>
    </w:p>
    <w:p w14:paraId="5974888C">
      <w:pPr>
        <w:jc w:val="left"/>
        <w:textAlignment w:val="auto"/>
        <w:rPr>
          <w:rStyle w:val="43"/>
          <w:rFonts w:cs="宋体" w:asciiTheme="minorEastAsia" w:hAnsiTheme="minorEastAsia" w:eastAsiaTheme="minorEastAsia"/>
          <w:b/>
          <w:kern w:val="0"/>
          <w:szCs w:val="21"/>
          <w:highlight w:val="none"/>
        </w:rPr>
      </w:pPr>
      <w:r>
        <w:rPr>
          <w:rStyle w:val="43"/>
          <w:rFonts w:cs="宋体" w:asciiTheme="minorEastAsia" w:hAnsiTheme="minorEastAsia" w:eastAsiaTheme="minorEastAsia"/>
          <w:b/>
          <w:kern w:val="0"/>
          <w:szCs w:val="21"/>
          <w:highlight w:val="none"/>
        </w:rPr>
        <w:br w:type="page"/>
      </w:r>
    </w:p>
    <w:p w14:paraId="47745B38">
      <w:pPr>
        <w:pStyle w:val="11"/>
        <w:ind w:left="-395" w:right="-773" w:firstLine="422"/>
        <w:rPr>
          <w:rStyle w:val="43"/>
          <w:rFonts w:cs="宋体" w:asciiTheme="minorEastAsia" w:hAnsiTheme="minorEastAsia" w:eastAsiaTheme="minorEastAsia"/>
          <w:b/>
          <w:kern w:val="0"/>
          <w:sz w:val="21"/>
          <w:szCs w:val="21"/>
          <w:highlight w:val="none"/>
        </w:rPr>
      </w:pPr>
    </w:p>
    <w:p w14:paraId="007153C6">
      <w:pPr>
        <w:snapToGrid w:val="0"/>
        <w:rPr>
          <w:rStyle w:val="43"/>
          <w:rFonts w:cs="宋体" w:asciiTheme="minorEastAsia" w:hAnsiTheme="minorEastAsia" w:eastAsiaTheme="minorEastAsia"/>
          <w:b/>
          <w:kern w:val="0"/>
          <w:szCs w:val="21"/>
          <w:highlight w:val="none"/>
        </w:rPr>
      </w:pPr>
    </w:p>
    <w:p w14:paraId="317ECDD8">
      <w:pPr>
        <w:snapToGrid w:val="0"/>
        <w:rPr>
          <w:rStyle w:val="43"/>
          <w:rFonts w:cs="宋体" w:asciiTheme="minorEastAsia" w:hAnsiTheme="minorEastAsia" w:eastAsiaTheme="minorEastAsia"/>
          <w:b/>
          <w:kern w:val="0"/>
          <w:szCs w:val="21"/>
          <w:highlight w:val="none"/>
        </w:rPr>
      </w:pPr>
      <w:r>
        <w:rPr>
          <w:rStyle w:val="43"/>
          <w:rFonts w:hint="eastAsia" w:cs="宋体" w:asciiTheme="minorEastAsia" w:hAnsiTheme="minorEastAsia" w:eastAsiaTheme="minorEastAsia"/>
          <w:b/>
          <w:kern w:val="0"/>
          <w:szCs w:val="21"/>
          <w:highlight w:val="none"/>
        </w:rPr>
        <w:t xml:space="preserve">附件： </w:t>
      </w:r>
    </w:p>
    <w:p w14:paraId="61B07F6A">
      <w:pPr>
        <w:snapToGrid w:val="0"/>
        <w:spacing w:line="520" w:lineRule="exact"/>
        <w:jc w:val="center"/>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b/>
          <w:bCs/>
          <w:kern w:val="0"/>
          <w:szCs w:val="21"/>
          <w:highlight w:val="none"/>
        </w:rPr>
        <w:t>质疑函</w:t>
      </w:r>
    </w:p>
    <w:p w14:paraId="212B857A">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一、质疑投标人基本信息</w:t>
      </w:r>
    </w:p>
    <w:p w14:paraId="4B9E498C">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 xml:space="preserve">质疑投标人： </w:t>
      </w:r>
    </w:p>
    <w:p w14:paraId="12DF3440">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地址：                          邮编：</w:t>
      </w:r>
    </w:p>
    <w:p w14:paraId="42F5B73E">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联系人：                        联系电话：</w:t>
      </w:r>
    </w:p>
    <w:p w14:paraId="0A2900CF">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授权代表：                      联系电话：</w:t>
      </w:r>
    </w:p>
    <w:p w14:paraId="6DED9090">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地址：                          邮编：</w:t>
      </w:r>
    </w:p>
    <w:p w14:paraId="6C8F7FCF">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二、质疑项目基本情况</w:t>
      </w:r>
    </w:p>
    <w:p w14:paraId="5381B247">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质疑项目的名称：</w:t>
      </w:r>
    </w:p>
    <w:p w14:paraId="6B324A20">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质疑项目的编号：                包号：</w:t>
      </w:r>
    </w:p>
    <w:p w14:paraId="3A96B757">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招标人名称：</w:t>
      </w:r>
    </w:p>
    <w:p w14:paraId="16CA0123">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采购文件获取日期：</w:t>
      </w:r>
    </w:p>
    <w:p w14:paraId="50A308C3">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三、质疑事项具体内容</w:t>
      </w:r>
    </w:p>
    <w:p w14:paraId="7181B607">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质疑事项1：</w:t>
      </w:r>
    </w:p>
    <w:p w14:paraId="1F0A16B9">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事实依据：</w:t>
      </w:r>
    </w:p>
    <w:p w14:paraId="3BCA225D">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法律依据：</w:t>
      </w:r>
    </w:p>
    <w:p w14:paraId="31E42A41">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质疑事项2：</w:t>
      </w:r>
    </w:p>
    <w:p w14:paraId="56B323C5">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w:t>
      </w:r>
    </w:p>
    <w:p w14:paraId="29977887">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四、与质疑事项相关的质疑请求</w:t>
      </w:r>
    </w:p>
    <w:p w14:paraId="52733D62">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请求：</w:t>
      </w:r>
    </w:p>
    <w:p w14:paraId="75442A52">
      <w:pPr>
        <w:snapToGrid w:val="0"/>
        <w:spacing w:line="520" w:lineRule="exact"/>
        <w:ind w:firstLine="420" w:firstLineChars="200"/>
        <w:rPr>
          <w:rStyle w:val="43"/>
          <w:rFonts w:cs="宋体" w:asciiTheme="minorEastAsia" w:hAnsiTheme="minorEastAsia" w:eastAsiaTheme="minorEastAsia"/>
          <w:kern w:val="0"/>
          <w:szCs w:val="21"/>
          <w:highlight w:val="none"/>
        </w:rPr>
      </w:pPr>
      <w:r>
        <w:rPr>
          <w:rStyle w:val="43"/>
          <w:rFonts w:hint="eastAsia" w:cs="宋体" w:asciiTheme="minorEastAsia" w:hAnsiTheme="minorEastAsia" w:eastAsiaTheme="minorEastAsia"/>
          <w:kern w:val="0"/>
          <w:szCs w:val="21"/>
          <w:highlight w:val="none"/>
        </w:rPr>
        <w:t>签字（签章）：             公章：</w:t>
      </w:r>
    </w:p>
    <w:p w14:paraId="272E8277">
      <w:pPr>
        <w:snapToGrid w:val="0"/>
        <w:spacing w:line="520" w:lineRule="exact"/>
        <w:ind w:firstLine="420" w:firstLineChars="200"/>
        <w:rPr>
          <w:rStyle w:val="43"/>
          <w:rFonts w:cs="宋体" w:asciiTheme="minorEastAsia" w:hAnsiTheme="minorEastAsia" w:eastAsiaTheme="minorEastAsia"/>
          <w:szCs w:val="21"/>
          <w:highlight w:val="none"/>
          <w:lang w:val="zh-CN"/>
        </w:rPr>
      </w:pPr>
      <w:r>
        <w:rPr>
          <w:rStyle w:val="43"/>
          <w:rFonts w:hint="eastAsia" w:cs="宋体" w:asciiTheme="minorEastAsia" w:hAnsiTheme="minorEastAsia" w:eastAsiaTheme="minorEastAsia"/>
          <w:kern w:val="0"/>
          <w:szCs w:val="21"/>
          <w:highlight w:val="none"/>
        </w:rPr>
        <w:t>日期：</w:t>
      </w:r>
    </w:p>
    <w:p w14:paraId="3C7535F6">
      <w:pPr>
        <w:snapToGrid w:val="0"/>
        <w:spacing w:line="360" w:lineRule="auto"/>
        <w:ind w:firstLine="420" w:firstLineChars="200"/>
        <w:jc w:val="center"/>
        <w:outlineLvl w:val="0"/>
        <w:rPr>
          <w:rStyle w:val="43"/>
          <w:rFonts w:ascii="宋体" w:hAnsi="宋体"/>
          <w:b/>
          <w:sz w:val="32"/>
          <w:szCs w:val="32"/>
          <w:highlight w:val="none"/>
        </w:rPr>
      </w:pPr>
      <w:r>
        <w:rPr>
          <w:rStyle w:val="43"/>
          <w:rFonts w:ascii="宋体" w:hAnsi="宋体"/>
          <w:szCs w:val="21"/>
          <w:highlight w:val="none"/>
          <w:lang w:val="zh-CN"/>
        </w:rPr>
        <w:br w:type="page"/>
      </w:r>
      <w:bookmarkStart w:id="8" w:name="_Toc4424"/>
      <w:r>
        <w:rPr>
          <w:rStyle w:val="43"/>
          <w:rFonts w:ascii="宋体" w:hAnsi="宋体"/>
          <w:b/>
          <w:sz w:val="32"/>
          <w:szCs w:val="32"/>
          <w:highlight w:val="none"/>
        </w:rPr>
        <w:t>第三章  评标办法（综合评分法）</w:t>
      </w:r>
      <w:bookmarkEnd w:id="8"/>
    </w:p>
    <w:p w14:paraId="32493284">
      <w:pPr>
        <w:snapToGrid w:val="0"/>
        <w:spacing w:line="360" w:lineRule="auto"/>
        <w:jc w:val="center"/>
        <w:rPr>
          <w:highlight w:val="none"/>
        </w:rPr>
      </w:pPr>
      <w:r>
        <w:rPr>
          <w:rStyle w:val="43"/>
          <w:rFonts w:ascii="宋体" w:hAnsi="宋体"/>
          <w:b/>
          <w:sz w:val="28"/>
          <w:szCs w:val="28"/>
          <w:highlight w:val="none"/>
          <w:lang w:val="zh-CN"/>
        </w:rPr>
        <w:t>评标办法前附表</w:t>
      </w:r>
    </w:p>
    <w:tbl>
      <w:tblPr>
        <w:tblStyle w:val="25"/>
        <w:tblpPr w:leftFromText="180" w:rightFromText="180" w:vertAnchor="text" w:horzAnchor="page" w:tblpX="1072" w:tblpY="526"/>
        <w:tblOverlap w:val="never"/>
        <w:tblW w:w="97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899"/>
        <w:gridCol w:w="2402"/>
        <w:gridCol w:w="5531"/>
      </w:tblGrid>
      <w:tr w14:paraId="0EE7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22" w:type="dxa"/>
            <w:tcBorders>
              <w:top w:val="single" w:color="000000" w:sz="4" w:space="0"/>
              <w:left w:val="single" w:color="000000" w:sz="4" w:space="0"/>
              <w:bottom w:val="single" w:color="000000" w:sz="4" w:space="0"/>
              <w:right w:val="single" w:color="000000" w:sz="4" w:space="0"/>
            </w:tcBorders>
            <w:vAlign w:val="center"/>
          </w:tcPr>
          <w:p w14:paraId="4515F3DE">
            <w:pPr>
              <w:snapToGrid w:val="0"/>
              <w:spacing w:line="276" w:lineRule="auto"/>
              <w:jc w:val="center"/>
              <w:rPr>
                <w:rStyle w:val="43"/>
                <w:rFonts w:ascii="宋体" w:hAnsi="宋体"/>
                <w:b/>
                <w:szCs w:val="21"/>
                <w:highlight w:val="none"/>
              </w:rPr>
            </w:pPr>
            <w:r>
              <w:rPr>
                <w:rStyle w:val="43"/>
                <w:rFonts w:ascii="宋体" w:hAnsi="宋体"/>
                <w:b/>
                <w:szCs w:val="21"/>
                <w:highlight w:val="none"/>
              </w:rPr>
              <w:t>条款号</w:t>
            </w:r>
          </w:p>
        </w:tc>
        <w:tc>
          <w:tcPr>
            <w:tcW w:w="3301" w:type="dxa"/>
            <w:gridSpan w:val="2"/>
            <w:tcBorders>
              <w:top w:val="single" w:color="000000" w:sz="4" w:space="0"/>
              <w:left w:val="single" w:color="000000" w:sz="4" w:space="0"/>
              <w:bottom w:val="single" w:color="000000" w:sz="4" w:space="0"/>
              <w:right w:val="single" w:color="000000" w:sz="4" w:space="0"/>
            </w:tcBorders>
            <w:vAlign w:val="center"/>
          </w:tcPr>
          <w:p w14:paraId="19C4813C">
            <w:pPr>
              <w:snapToGrid w:val="0"/>
              <w:spacing w:line="276" w:lineRule="auto"/>
              <w:jc w:val="center"/>
              <w:rPr>
                <w:rStyle w:val="43"/>
                <w:rFonts w:ascii="宋体" w:hAnsi="宋体"/>
                <w:b/>
                <w:szCs w:val="21"/>
                <w:highlight w:val="none"/>
              </w:rPr>
            </w:pPr>
            <w:r>
              <w:rPr>
                <w:rStyle w:val="43"/>
                <w:rFonts w:ascii="宋体" w:hAnsi="宋体"/>
                <w:b/>
                <w:szCs w:val="21"/>
                <w:highlight w:val="none"/>
              </w:rPr>
              <w:t>评审因素</w:t>
            </w:r>
          </w:p>
        </w:tc>
        <w:tc>
          <w:tcPr>
            <w:tcW w:w="5531" w:type="dxa"/>
            <w:tcBorders>
              <w:top w:val="single" w:color="000000" w:sz="4" w:space="0"/>
              <w:left w:val="single" w:color="000000" w:sz="4" w:space="0"/>
              <w:bottom w:val="single" w:color="000000" w:sz="4" w:space="0"/>
              <w:right w:val="single" w:color="000000" w:sz="4" w:space="0"/>
            </w:tcBorders>
            <w:vAlign w:val="center"/>
          </w:tcPr>
          <w:p w14:paraId="67D33151">
            <w:pPr>
              <w:tabs>
                <w:tab w:val="left" w:pos="1180"/>
              </w:tabs>
              <w:snapToGrid w:val="0"/>
              <w:spacing w:line="276" w:lineRule="auto"/>
              <w:jc w:val="center"/>
              <w:rPr>
                <w:rStyle w:val="43"/>
                <w:rFonts w:ascii="宋体" w:hAnsi="宋体"/>
                <w:b/>
                <w:szCs w:val="21"/>
                <w:highlight w:val="none"/>
              </w:rPr>
            </w:pPr>
            <w:r>
              <w:rPr>
                <w:rStyle w:val="43"/>
                <w:rFonts w:ascii="宋体" w:hAnsi="宋体"/>
                <w:b/>
                <w:szCs w:val="21"/>
                <w:highlight w:val="none"/>
              </w:rPr>
              <w:t>评审标准</w:t>
            </w:r>
          </w:p>
        </w:tc>
      </w:tr>
      <w:tr w14:paraId="3D619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922" w:type="dxa"/>
            <w:vMerge w:val="restart"/>
            <w:tcBorders>
              <w:top w:val="single" w:color="000000" w:sz="4" w:space="0"/>
              <w:left w:val="single" w:color="000000" w:sz="4" w:space="0"/>
              <w:right w:val="single" w:color="000000" w:sz="4" w:space="0"/>
            </w:tcBorders>
            <w:vAlign w:val="center"/>
          </w:tcPr>
          <w:p w14:paraId="49CAD52F">
            <w:pPr>
              <w:snapToGrid w:val="0"/>
              <w:spacing w:line="276" w:lineRule="auto"/>
              <w:jc w:val="center"/>
              <w:rPr>
                <w:rStyle w:val="43"/>
                <w:rFonts w:ascii="宋体" w:hAnsi="宋体"/>
                <w:szCs w:val="21"/>
                <w:highlight w:val="none"/>
              </w:rPr>
            </w:pPr>
            <w:r>
              <w:rPr>
                <w:rStyle w:val="43"/>
                <w:rFonts w:ascii="宋体" w:hAnsi="宋体"/>
                <w:szCs w:val="21"/>
                <w:highlight w:val="none"/>
              </w:rPr>
              <w:t>2.1.1</w:t>
            </w:r>
          </w:p>
        </w:tc>
        <w:tc>
          <w:tcPr>
            <w:tcW w:w="899" w:type="dxa"/>
            <w:vMerge w:val="restart"/>
            <w:tcBorders>
              <w:top w:val="single" w:color="000000" w:sz="4" w:space="0"/>
              <w:left w:val="single" w:color="000000" w:sz="4" w:space="0"/>
              <w:right w:val="single" w:color="000000" w:sz="4" w:space="0"/>
            </w:tcBorders>
            <w:vAlign w:val="center"/>
          </w:tcPr>
          <w:p w14:paraId="47FDBA07">
            <w:pPr>
              <w:snapToGrid w:val="0"/>
              <w:spacing w:line="276" w:lineRule="auto"/>
              <w:jc w:val="center"/>
              <w:rPr>
                <w:rStyle w:val="43"/>
                <w:rFonts w:ascii="宋体" w:hAnsi="宋体"/>
                <w:szCs w:val="21"/>
                <w:highlight w:val="none"/>
              </w:rPr>
            </w:pPr>
            <w:r>
              <w:rPr>
                <w:rStyle w:val="43"/>
                <w:rFonts w:ascii="宋体" w:hAnsi="宋体"/>
                <w:szCs w:val="21"/>
                <w:highlight w:val="none"/>
              </w:rPr>
              <w:t>资格审查标准</w:t>
            </w:r>
          </w:p>
        </w:tc>
        <w:tc>
          <w:tcPr>
            <w:tcW w:w="2402" w:type="dxa"/>
            <w:tcBorders>
              <w:top w:val="single" w:color="000000" w:sz="4" w:space="0"/>
              <w:left w:val="single" w:color="000000" w:sz="4" w:space="0"/>
              <w:right w:val="single" w:color="000000" w:sz="4" w:space="0"/>
            </w:tcBorders>
            <w:vAlign w:val="center"/>
          </w:tcPr>
          <w:p w14:paraId="75F47228">
            <w:pPr>
              <w:tabs>
                <w:tab w:val="left" w:pos="1180"/>
              </w:tabs>
              <w:snapToGrid w:val="0"/>
              <w:spacing w:line="276" w:lineRule="auto"/>
              <w:jc w:val="center"/>
              <w:rPr>
                <w:rStyle w:val="43"/>
                <w:rFonts w:ascii="宋体" w:hAnsi="宋体"/>
                <w:sz w:val="18"/>
                <w:szCs w:val="18"/>
                <w:highlight w:val="none"/>
              </w:rPr>
            </w:pPr>
            <w:r>
              <w:rPr>
                <w:rStyle w:val="43"/>
                <w:rFonts w:ascii="宋体" w:hAnsi="宋体"/>
                <w:sz w:val="18"/>
                <w:szCs w:val="18"/>
                <w:highlight w:val="none"/>
                <w:lang w:val="zh-CN"/>
              </w:rPr>
              <w:t>投标人为合法注册的法人、其他组织或自然人</w:t>
            </w:r>
            <w:r>
              <w:rPr>
                <w:rStyle w:val="43"/>
                <w:rFonts w:hint="eastAsia" w:ascii="宋体" w:hAnsi="宋体"/>
                <w:sz w:val="18"/>
                <w:szCs w:val="18"/>
                <w:highlight w:val="none"/>
                <w:lang w:val="zh-CN"/>
              </w:rPr>
              <w:t>，人或其他组织提供营业执照，自然人提供身份证明；（加盖公章）</w:t>
            </w:r>
          </w:p>
        </w:tc>
        <w:tc>
          <w:tcPr>
            <w:tcW w:w="5531" w:type="dxa"/>
            <w:tcBorders>
              <w:top w:val="single" w:color="000000" w:sz="4" w:space="0"/>
              <w:left w:val="single" w:color="000000" w:sz="4" w:space="0"/>
              <w:bottom w:val="single" w:color="000000" w:sz="4" w:space="0"/>
              <w:right w:val="single" w:color="000000" w:sz="4" w:space="0"/>
            </w:tcBorders>
            <w:vAlign w:val="center"/>
          </w:tcPr>
          <w:p w14:paraId="5DCFD7E0">
            <w:pPr>
              <w:tabs>
                <w:tab w:val="left" w:pos="1180"/>
              </w:tabs>
              <w:snapToGrid w:val="0"/>
              <w:spacing w:line="276" w:lineRule="auto"/>
              <w:jc w:val="center"/>
              <w:rPr>
                <w:rStyle w:val="43"/>
                <w:rFonts w:ascii="宋体" w:hAnsi="宋体"/>
                <w:sz w:val="18"/>
                <w:szCs w:val="18"/>
                <w:highlight w:val="none"/>
              </w:rPr>
            </w:pPr>
            <w:r>
              <w:rPr>
                <w:rStyle w:val="43"/>
                <w:rFonts w:ascii="宋体" w:hAnsi="宋体"/>
                <w:sz w:val="18"/>
                <w:szCs w:val="18"/>
                <w:highlight w:val="none"/>
              </w:rPr>
              <w:t>符合招标文件要求，合法有效。</w:t>
            </w:r>
          </w:p>
        </w:tc>
      </w:tr>
      <w:tr w14:paraId="5F5A7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2" w:type="dxa"/>
            <w:vMerge w:val="continue"/>
            <w:tcBorders>
              <w:left w:val="single" w:color="000000" w:sz="4" w:space="0"/>
              <w:right w:val="single" w:color="000000" w:sz="4" w:space="0"/>
            </w:tcBorders>
            <w:vAlign w:val="center"/>
          </w:tcPr>
          <w:p w14:paraId="40D756FD">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right w:val="single" w:color="000000" w:sz="4" w:space="0"/>
            </w:tcBorders>
            <w:vAlign w:val="center"/>
          </w:tcPr>
          <w:p w14:paraId="23EB34E3">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right w:val="single" w:color="000000" w:sz="4" w:space="0"/>
            </w:tcBorders>
            <w:vAlign w:val="center"/>
          </w:tcPr>
          <w:p w14:paraId="35CC9A9D">
            <w:pPr>
              <w:tabs>
                <w:tab w:val="left" w:pos="1180"/>
              </w:tabs>
              <w:snapToGrid w:val="0"/>
              <w:spacing w:line="276" w:lineRule="auto"/>
              <w:jc w:val="center"/>
              <w:rPr>
                <w:rFonts w:ascii="宋体" w:hAnsi="宋体"/>
                <w:sz w:val="18"/>
                <w:szCs w:val="18"/>
                <w:highlight w:val="none"/>
                <w:lang w:val="zh-CN"/>
              </w:rPr>
            </w:pPr>
            <w:r>
              <w:rPr>
                <w:rFonts w:hint="eastAsia" w:ascii="宋体" w:hAnsi="宋体"/>
                <w:sz w:val="18"/>
                <w:szCs w:val="18"/>
                <w:highlight w:val="none"/>
                <w:lang w:val="zh-CN"/>
              </w:rPr>
              <w:t>企业资质</w:t>
            </w:r>
          </w:p>
        </w:tc>
        <w:tc>
          <w:tcPr>
            <w:tcW w:w="5531" w:type="dxa"/>
            <w:tcBorders>
              <w:top w:val="single" w:color="000000" w:sz="4" w:space="0"/>
              <w:left w:val="single" w:color="000000" w:sz="4" w:space="0"/>
              <w:bottom w:val="single" w:color="000000" w:sz="4" w:space="0"/>
              <w:right w:val="single" w:color="000000" w:sz="4" w:space="0"/>
            </w:tcBorders>
            <w:vAlign w:val="center"/>
          </w:tcPr>
          <w:p w14:paraId="2C7A9889">
            <w:pPr>
              <w:tabs>
                <w:tab w:val="left" w:pos="1180"/>
              </w:tabs>
              <w:snapToGrid w:val="0"/>
              <w:spacing w:line="276" w:lineRule="auto"/>
              <w:ind w:firstLine="360" w:firstLineChars="200"/>
              <w:jc w:val="left"/>
              <w:rPr>
                <w:rFonts w:ascii="宋体" w:hAnsi="宋体"/>
                <w:sz w:val="18"/>
                <w:szCs w:val="18"/>
                <w:highlight w:val="none"/>
              </w:rPr>
            </w:pPr>
            <w:r>
              <w:rPr>
                <w:rStyle w:val="43"/>
                <w:rFonts w:hint="eastAsia" w:ascii="宋体" w:hAnsi="宋体"/>
                <w:sz w:val="18"/>
                <w:szCs w:val="18"/>
                <w:highlight w:val="none"/>
              </w:rPr>
              <w:t>具备电子与智能化工程专业承包二级（含二级）以上资质及建筑装修装饰工程专业承包二级（含二级）以上资质，并具有合格有效的安全生产许可证；</w:t>
            </w:r>
            <w:r>
              <w:rPr>
                <w:rStyle w:val="43"/>
                <w:rFonts w:ascii="宋体" w:hAnsi="宋体"/>
                <w:sz w:val="18"/>
                <w:szCs w:val="18"/>
                <w:highlight w:val="none"/>
              </w:rPr>
              <w:t>合法有效。</w:t>
            </w:r>
          </w:p>
        </w:tc>
      </w:tr>
      <w:tr w14:paraId="64AC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22" w:type="dxa"/>
            <w:vMerge w:val="continue"/>
            <w:tcBorders>
              <w:left w:val="single" w:color="000000" w:sz="4" w:space="0"/>
              <w:right w:val="single" w:color="000000" w:sz="4" w:space="0"/>
            </w:tcBorders>
            <w:vAlign w:val="center"/>
          </w:tcPr>
          <w:p w14:paraId="2231926A">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right w:val="single" w:color="000000" w:sz="4" w:space="0"/>
            </w:tcBorders>
            <w:vAlign w:val="center"/>
          </w:tcPr>
          <w:p w14:paraId="5E0B650A">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right w:val="single" w:color="000000" w:sz="4" w:space="0"/>
            </w:tcBorders>
            <w:vAlign w:val="center"/>
          </w:tcPr>
          <w:p w14:paraId="23BCC362">
            <w:pPr>
              <w:tabs>
                <w:tab w:val="left" w:pos="1180"/>
              </w:tabs>
              <w:snapToGrid w:val="0"/>
              <w:spacing w:line="276" w:lineRule="auto"/>
              <w:jc w:val="center"/>
              <w:rPr>
                <w:rFonts w:ascii="宋体" w:hAnsi="宋体"/>
                <w:sz w:val="18"/>
                <w:szCs w:val="18"/>
                <w:highlight w:val="none"/>
                <w:lang w:val="zh-CN"/>
              </w:rPr>
            </w:pPr>
            <w:r>
              <w:rPr>
                <w:rStyle w:val="43"/>
                <w:rFonts w:hint="eastAsia" w:ascii="宋体" w:hAnsi="宋体"/>
                <w:sz w:val="18"/>
                <w:szCs w:val="18"/>
                <w:highlight w:val="none"/>
              </w:rPr>
              <w:t>拟派项目经理</w:t>
            </w:r>
          </w:p>
        </w:tc>
        <w:tc>
          <w:tcPr>
            <w:tcW w:w="5531" w:type="dxa"/>
            <w:tcBorders>
              <w:top w:val="single" w:color="000000" w:sz="4" w:space="0"/>
              <w:left w:val="single" w:color="000000" w:sz="4" w:space="0"/>
              <w:bottom w:val="single" w:color="000000" w:sz="4" w:space="0"/>
              <w:right w:val="single" w:color="000000" w:sz="4" w:space="0"/>
            </w:tcBorders>
            <w:vAlign w:val="center"/>
          </w:tcPr>
          <w:p w14:paraId="00C94487">
            <w:pPr>
              <w:tabs>
                <w:tab w:val="left" w:pos="1180"/>
              </w:tabs>
              <w:snapToGrid w:val="0"/>
              <w:spacing w:line="276" w:lineRule="auto"/>
              <w:ind w:firstLine="360" w:firstLineChars="200"/>
              <w:jc w:val="left"/>
              <w:rPr>
                <w:rStyle w:val="43"/>
                <w:rFonts w:ascii="宋体" w:hAnsi="宋体"/>
                <w:sz w:val="18"/>
                <w:szCs w:val="18"/>
                <w:highlight w:val="none"/>
              </w:rPr>
            </w:pPr>
            <w:r>
              <w:rPr>
                <w:rStyle w:val="43"/>
                <w:rFonts w:hint="eastAsia" w:ascii="宋体" w:hAnsi="宋体"/>
                <w:sz w:val="18"/>
                <w:szCs w:val="18"/>
                <w:highlight w:val="none"/>
              </w:rPr>
              <w:t>拟派项目经理须具备建筑工程专业二级及以上建造师资格，并具备有效的安全生产考核合格证书，</w:t>
            </w:r>
            <w:r>
              <w:rPr>
                <w:rFonts w:hint="eastAsia" w:cs="宋体" w:asciiTheme="minorEastAsia" w:hAnsiTheme="minorEastAsia" w:eastAsiaTheme="minorEastAsia"/>
                <w:sz w:val="18"/>
                <w:szCs w:val="18"/>
                <w:highlight w:val="none"/>
              </w:rPr>
              <w:t>在本单位注册且未担任其他在建工程项目的项目经理</w:t>
            </w:r>
            <w:r>
              <w:rPr>
                <w:rFonts w:hint="eastAsia" w:cs="宋体" w:asciiTheme="minorEastAsia" w:hAnsiTheme="minorEastAsia" w:eastAsiaTheme="minorEastAsia"/>
                <w:sz w:val="18"/>
                <w:szCs w:val="18"/>
                <w:highlight w:val="none"/>
                <w:lang w:eastAsia="zh-CN"/>
              </w:rPr>
              <w:t>，</w:t>
            </w:r>
            <w:r>
              <w:rPr>
                <w:rFonts w:hint="eastAsia" w:cs="宋体" w:asciiTheme="minorEastAsia" w:hAnsiTheme="minorEastAsia" w:eastAsiaTheme="minorEastAsia"/>
                <w:sz w:val="18"/>
                <w:szCs w:val="18"/>
                <w:highlight w:val="none"/>
              </w:rPr>
              <w:t>提供项目经理</w:t>
            </w:r>
            <w:r>
              <w:rPr>
                <w:rFonts w:hint="eastAsia" w:cs="宋体" w:asciiTheme="minorEastAsia" w:hAnsiTheme="minorEastAsia" w:eastAsiaTheme="minorEastAsia"/>
                <w:sz w:val="18"/>
                <w:szCs w:val="18"/>
                <w:highlight w:val="none"/>
                <w:lang w:val="en-US" w:eastAsia="zh-CN"/>
              </w:rPr>
              <w:t>无在建</w:t>
            </w:r>
            <w:r>
              <w:rPr>
                <w:rFonts w:hint="eastAsia" w:cs="宋体" w:asciiTheme="minorEastAsia" w:hAnsiTheme="minorEastAsia" w:eastAsiaTheme="minorEastAsia"/>
                <w:sz w:val="18"/>
                <w:szCs w:val="18"/>
                <w:highlight w:val="none"/>
              </w:rPr>
              <w:t>承诺书</w:t>
            </w:r>
            <w:r>
              <w:rPr>
                <w:rFonts w:hint="eastAsia" w:cs="宋体" w:asciiTheme="minorEastAsia" w:hAnsiTheme="minorEastAsia" w:eastAsiaTheme="minorEastAsia"/>
                <w:sz w:val="18"/>
                <w:szCs w:val="18"/>
                <w:highlight w:val="none"/>
                <w:lang w:eastAsia="zh-CN"/>
              </w:rPr>
              <w:t>。</w:t>
            </w:r>
          </w:p>
        </w:tc>
      </w:tr>
      <w:tr w14:paraId="3D1E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922" w:type="dxa"/>
            <w:vMerge w:val="continue"/>
            <w:tcBorders>
              <w:left w:val="single" w:color="000000" w:sz="4" w:space="0"/>
              <w:right w:val="single" w:color="000000" w:sz="4" w:space="0"/>
            </w:tcBorders>
            <w:vAlign w:val="center"/>
          </w:tcPr>
          <w:p w14:paraId="17AA7F67">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right w:val="single" w:color="000000" w:sz="4" w:space="0"/>
            </w:tcBorders>
            <w:vAlign w:val="center"/>
          </w:tcPr>
          <w:p w14:paraId="21C39F56">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right w:val="single" w:color="000000" w:sz="4" w:space="0"/>
            </w:tcBorders>
            <w:vAlign w:val="center"/>
          </w:tcPr>
          <w:p w14:paraId="2766E13C">
            <w:pPr>
              <w:tabs>
                <w:tab w:val="left" w:pos="1180"/>
              </w:tabs>
              <w:snapToGrid w:val="0"/>
              <w:spacing w:line="276" w:lineRule="auto"/>
              <w:jc w:val="center"/>
              <w:rPr>
                <w:rFonts w:ascii="宋体" w:hAnsi="宋体"/>
                <w:sz w:val="18"/>
                <w:szCs w:val="18"/>
                <w:highlight w:val="none"/>
              </w:rPr>
            </w:pPr>
            <w:r>
              <w:rPr>
                <w:rStyle w:val="43"/>
                <w:rFonts w:ascii="宋体" w:hAnsi="宋体"/>
                <w:sz w:val="18"/>
                <w:szCs w:val="18"/>
                <w:highlight w:val="none"/>
                <w:lang w:val="zh-CN"/>
              </w:rPr>
              <w:t>提供投标截止时间前六个月内任意一个月依法纳税和缴纳社保的证明，依法不需要缴纳社保及依法免税的投标人则需提供相应的合法证明材料（加盖公章）</w:t>
            </w:r>
            <w:r>
              <w:rPr>
                <w:rFonts w:hint="eastAsia" w:ascii="宋体" w:hAnsi="宋体"/>
                <w:sz w:val="18"/>
                <w:szCs w:val="18"/>
                <w:highlight w:val="none"/>
              </w:rPr>
              <w:t>或提供《基本资格条件承诺函》</w:t>
            </w:r>
          </w:p>
        </w:tc>
        <w:tc>
          <w:tcPr>
            <w:tcW w:w="5531" w:type="dxa"/>
            <w:tcBorders>
              <w:top w:val="single" w:color="000000" w:sz="4" w:space="0"/>
              <w:left w:val="single" w:color="000000" w:sz="4" w:space="0"/>
              <w:bottom w:val="single" w:color="000000" w:sz="4" w:space="0"/>
              <w:right w:val="single" w:color="000000" w:sz="4" w:space="0"/>
            </w:tcBorders>
            <w:vAlign w:val="center"/>
          </w:tcPr>
          <w:p w14:paraId="3288CC02">
            <w:pPr>
              <w:tabs>
                <w:tab w:val="left" w:pos="1180"/>
              </w:tabs>
              <w:snapToGrid w:val="0"/>
              <w:spacing w:line="276" w:lineRule="auto"/>
              <w:jc w:val="center"/>
              <w:rPr>
                <w:rFonts w:ascii="宋体" w:hAnsi="宋体"/>
                <w:sz w:val="18"/>
                <w:szCs w:val="18"/>
                <w:highlight w:val="none"/>
              </w:rPr>
            </w:pPr>
            <w:r>
              <w:rPr>
                <w:rStyle w:val="43"/>
                <w:rFonts w:ascii="宋体" w:hAnsi="宋体"/>
                <w:sz w:val="18"/>
                <w:szCs w:val="18"/>
                <w:highlight w:val="none"/>
              </w:rPr>
              <w:t>符合招标文件要求，合法有效。</w:t>
            </w:r>
          </w:p>
        </w:tc>
      </w:tr>
      <w:tr w14:paraId="217E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2" w:type="dxa"/>
            <w:vMerge w:val="continue"/>
            <w:tcBorders>
              <w:left w:val="single" w:color="000000" w:sz="4" w:space="0"/>
              <w:right w:val="single" w:color="000000" w:sz="4" w:space="0"/>
            </w:tcBorders>
            <w:vAlign w:val="center"/>
          </w:tcPr>
          <w:p w14:paraId="1A9A51A4">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right w:val="single" w:color="000000" w:sz="4" w:space="0"/>
            </w:tcBorders>
            <w:vAlign w:val="center"/>
          </w:tcPr>
          <w:p w14:paraId="442DA678">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right w:val="single" w:color="000000" w:sz="4" w:space="0"/>
            </w:tcBorders>
            <w:vAlign w:val="center"/>
          </w:tcPr>
          <w:p w14:paraId="213BB40B">
            <w:pPr>
              <w:tabs>
                <w:tab w:val="left" w:pos="1180"/>
              </w:tabs>
              <w:snapToGrid w:val="0"/>
              <w:spacing w:line="276" w:lineRule="auto"/>
              <w:jc w:val="center"/>
              <w:rPr>
                <w:rFonts w:ascii="宋体" w:hAnsi="宋体"/>
                <w:sz w:val="18"/>
                <w:szCs w:val="18"/>
                <w:highlight w:val="none"/>
                <w:lang w:val="zh-CN"/>
              </w:rPr>
            </w:pPr>
            <w:r>
              <w:rPr>
                <w:rStyle w:val="43"/>
                <w:rFonts w:ascii="宋体" w:hAnsi="宋体"/>
                <w:sz w:val="18"/>
                <w:szCs w:val="18"/>
                <w:highlight w:val="none"/>
                <w:lang w:val="zh-CN"/>
              </w:rPr>
              <w:t>投标人在参加政府采购活动前3年内在经营活动中没有重大违法记录的书面声明（加盖公章）</w:t>
            </w:r>
            <w:r>
              <w:rPr>
                <w:rStyle w:val="43"/>
                <w:rFonts w:hint="eastAsia" w:ascii="宋体" w:hAnsi="宋体"/>
                <w:sz w:val="18"/>
                <w:szCs w:val="18"/>
                <w:highlight w:val="none"/>
                <w:lang w:val="zh-CN"/>
              </w:rPr>
              <w:t>或提供《基本资格条件承诺函》</w:t>
            </w:r>
          </w:p>
        </w:tc>
        <w:tc>
          <w:tcPr>
            <w:tcW w:w="5531" w:type="dxa"/>
            <w:tcBorders>
              <w:top w:val="single" w:color="000000" w:sz="4" w:space="0"/>
              <w:left w:val="single" w:color="000000" w:sz="4" w:space="0"/>
              <w:bottom w:val="single" w:color="000000" w:sz="4" w:space="0"/>
              <w:right w:val="single" w:color="000000" w:sz="4" w:space="0"/>
            </w:tcBorders>
            <w:vAlign w:val="center"/>
          </w:tcPr>
          <w:p w14:paraId="452F1A9F">
            <w:pPr>
              <w:snapToGrid w:val="0"/>
              <w:spacing w:line="276" w:lineRule="auto"/>
              <w:jc w:val="center"/>
              <w:rPr>
                <w:rFonts w:ascii="宋体" w:hAnsi="宋体"/>
                <w:sz w:val="18"/>
                <w:szCs w:val="18"/>
                <w:highlight w:val="none"/>
              </w:rPr>
            </w:pPr>
            <w:r>
              <w:rPr>
                <w:rStyle w:val="43"/>
                <w:rFonts w:ascii="宋体" w:hAnsi="宋体"/>
                <w:sz w:val="18"/>
                <w:szCs w:val="18"/>
                <w:highlight w:val="none"/>
              </w:rPr>
              <w:t>符合招标文件要求，合法有效。</w:t>
            </w:r>
          </w:p>
        </w:tc>
      </w:tr>
      <w:tr w14:paraId="7622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922" w:type="dxa"/>
            <w:vMerge w:val="continue"/>
            <w:tcBorders>
              <w:left w:val="single" w:color="000000" w:sz="4" w:space="0"/>
              <w:right w:val="single" w:color="000000" w:sz="4" w:space="0"/>
            </w:tcBorders>
            <w:vAlign w:val="center"/>
          </w:tcPr>
          <w:p w14:paraId="2223F5CA">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right w:val="single" w:color="000000" w:sz="4" w:space="0"/>
            </w:tcBorders>
            <w:vAlign w:val="center"/>
          </w:tcPr>
          <w:p w14:paraId="7243ACD9">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324DDF11">
            <w:pPr>
              <w:tabs>
                <w:tab w:val="left" w:pos="1180"/>
              </w:tabs>
              <w:snapToGrid w:val="0"/>
              <w:spacing w:line="276" w:lineRule="auto"/>
              <w:jc w:val="center"/>
              <w:rPr>
                <w:rFonts w:ascii="宋体" w:hAnsi="宋体"/>
                <w:sz w:val="18"/>
                <w:szCs w:val="18"/>
                <w:highlight w:val="none"/>
                <w:lang w:val="zh-CN"/>
              </w:rPr>
            </w:pPr>
            <w:r>
              <w:rPr>
                <w:rStyle w:val="43"/>
                <w:rFonts w:ascii="宋体" w:hAnsi="宋体"/>
                <w:sz w:val="18"/>
                <w:szCs w:val="18"/>
                <w:highlight w:val="none"/>
              </w:rPr>
              <w:t>投标人</w:t>
            </w:r>
            <w:r>
              <w:rPr>
                <w:rStyle w:val="43"/>
                <w:rFonts w:ascii="宋体" w:hAnsi="宋体"/>
                <w:sz w:val="18"/>
                <w:szCs w:val="18"/>
                <w:highlight w:val="none"/>
                <w:lang w:val="zh-CN"/>
              </w:rPr>
              <w:t>具有履行合同所必须的设备和专业技术能力（提供承诺函）（加盖公章）</w:t>
            </w:r>
            <w:r>
              <w:rPr>
                <w:rStyle w:val="43"/>
                <w:rFonts w:hint="eastAsia" w:ascii="宋体" w:hAnsi="宋体"/>
                <w:sz w:val="18"/>
                <w:szCs w:val="18"/>
                <w:highlight w:val="none"/>
                <w:lang w:val="zh-CN"/>
              </w:rPr>
              <w:t>或提供《基本资格条件承诺函》</w:t>
            </w:r>
          </w:p>
        </w:tc>
        <w:tc>
          <w:tcPr>
            <w:tcW w:w="5531" w:type="dxa"/>
            <w:tcBorders>
              <w:top w:val="single" w:color="000000" w:sz="4" w:space="0"/>
              <w:left w:val="single" w:color="000000" w:sz="4" w:space="0"/>
              <w:bottom w:val="single" w:color="000000" w:sz="4" w:space="0"/>
              <w:right w:val="single" w:color="000000" w:sz="4" w:space="0"/>
            </w:tcBorders>
            <w:vAlign w:val="center"/>
          </w:tcPr>
          <w:p w14:paraId="30470CC6">
            <w:pPr>
              <w:tabs>
                <w:tab w:val="left" w:pos="1180"/>
              </w:tabs>
              <w:snapToGrid w:val="0"/>
              <w:spacing w:line="276" w:lineRule="auto"/>
              <w:jc w:val="center"/>
              <w:rPr>
                <w:rFonts w:ascii="宋体" w:hAnsi="宋体"/>
                <w:sz w:val="18"/>
                <w:szCs w:val="18"/>
                <w:highlight w:val="none"/>
              </w:rPr>
            </w:pPr>
            <w:r>
              <w:rPr>
                <w:rStyle w:val="43"/>
                <w:rFonts w:ascii="宋体" w:hAnsi="宋体"/>
                <w:sz w:val="18"/>
                <w:szCs w:val="18"/>
                <w:highlight w:val="none"/>
              </w:rPr>
              <w:t>符合招标文件要求，合法有效。</w:t>
            </w:r>
          </w:p>
        </w:tc>
      </w:tr>
      <w:tr w14:paraId="2D8F7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2" w:hRule="atLeast"/>
        </w:trPr>
        <w:tc>
          <w:tcPr>
            <w:tcW w:w="922" w:type="dxa"/>
            <w:vMerge w:val="continue"/>
            <w:tcBorders>
              <w:left w:val="single" w:color="000000" w:sz="4" w:space="0"/>
              <w:right w:val="single" w:color="000000" w:sz="4" w:space="0"/>
            </w:tcBorders>
            <w:vAlign w:val="center"/>
          </w:tcPr>
          <w:p w14:paraId="62716A3C">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right w:val="single" w:color="000000" w:sz="4" w:space="0"/>
            </w:tcBorders>
            <w:vAlign w:val="center"/>
          </w:tcPr>
          <w:p w14:paraId="15379693">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2CDC5181">
            <w:pPr>
              <w:tabs>
                <w:tab w:val="left" w:pos="1180"/>
              </w:tabs>
              <w:snapToGrid w:val="0"/>
              <w:spacing w:line="276" w:lineRule="auto"/>
              <w:jc w:val="center"/>
              <w:rPr>
                <w:rFonts w:ascii="宋体" w:hAnsi="宋体"/>
                <w:sz w:val="18"/>
                <w:szCs w:val="18"/>
                <w:highlight w:val="none"/>
                <w:lang w:val="zh-CN"/>
              </w:rPr>
            </w:pPr>
            <w:r>
              <w:rPr>
                <w:rStyle w:val="43"/>
                <w:rFonts w:ascii="宋体" w:hAnsi="宋体" w:cs="Times New Roman"/>
                <w:sz w:val="18"/>
                <w:szCs w:val="18"/>
                <w:highlight w:val="none"/>
                <w:lang w:val="zh-CN"/>
              </w:rPr>
              <w:t>提供投标人</w:t>
            </w:r>
            <w:r>
              <w:rPr>
                <w:rStyle w:val="43"/>
                <w:rFonts w:hint="eastAsia" w:ascii="宋体" w:hAnsi="宋体" w:cs="Times New Roman"/>
                <w:sz w:val="18"/>
                <w:szCs w:val="18"/>
                <w:highlight w:val="none"/>
              </w:rPr>
              <w:t>2023</w:t>
            </w:r>
            <w:r>
              <w:rPr>
                <w:rStyle w:val="43"/>
                <w:rFonts w:ascii="宋体" w:hAnsi="宋体" w:cs="Times New Roman"/>
                <w:sz w:val="18"/>
                <w:szCs w:val="18"/>
                <w:highlight w:val="none"/>
                <w:lang w:val="zh-CN"/>
              </w:rPr>
              <w:t>年度经审计的财务报告</w:t>
            </w:r>
            <w:r>
              <w:rPr>
                <w:rStyle w:val="43"/>
                <w:rFonts w:hint="eastAsia" w:ascii="宋体" w:hAnsi="宋体" w:cs="Times New Roman"/>
                <w:sz w:val="18"/>
                <w:szCs w:val="18"/>
                <w:highlight w:val="none"/>
                <w:lang w:val="zh-CN"/>
              </w:rPr>
              <w:t>；</w:t>
            </w:r>
            <w:r>
              <w:rPr>
                <w:rStyle w:val="43"/>
                <w:rFonts w:ascii="宋体" w:hAnsi="宋体" w:cs="Times New Roman"/>
                <w:sz w:val="18"/>
                <w:szCs w:val="18"/>
                <w:highlight w:val="none"/>
                <w:lang w:val="zh-CN"/>
              </w:rPr>
              <w:t>或投标截止时间前三个月内其基本开户银行出具的资信证明及账户开户许可证明文件</w:t>
            </w:r>
            <w:r>
              <w:rPr>
                <w:rStyle w:val="43"/>
                <w:rFonts w:hint="eastAsia" w:ascii="宋体" w:hAnsi="宋体" w:cs="Times New Roman"/>
                <w:sz w:val="18"/>
                <w:szCs w:val="18"/>
                <w:highlight w:val="none"/>
                <w:lang w:val="zh-CN"/>
              </w:rPr>
              <w:t>；</w:t>
            </w:r>
            <w:r>
              <w:rPr>
                <w:rStyle w:val="43"/>
                <w:rFonts w:ascii="宋体" w:hAnsi="宋体" w:cs="Times New Roman"/>
                <w:sz w:val="18"/>
                <w:szCs w:val="18"/>
                <w:highlight w:val="none"/>
                <w:lang w:val="zh-CN"/>
              </w:rPr>
              <w:t>或财政部门认可的政府采购专业担保机构开具的投标担保函。</w:t>
            </w:r>
            <w:r>
              <w:rPr>
                <w:rStyle w:val="43"/>
                <w:rFonts w:hint="eastAsia" w:ascii="宋体" w:hAnsi="宋体" w:cs="Times New Roman"/>
                <w:sz w:val="18"/>
                <w:szCs w:val="18"/>
                <w:highlight w:val="none"/>
                <w:lang w:val="zh-CN"/>
              </w:rPr>
              <w:t>（</w:t>
            </w:r>
            <w:r>
              <w:rPr>
                <w:rStyle w:val="43"/>
                <w:rFonts w:ascii="宋体" w:hAnsi="宋体" w:cs="Times New Roman"/>
                <w:sz w:val="18"/>
                <w:szCs w:val="18"/>
                <w:highlight w:val="none"/>
                <w:lang w:val="zh-CN"/>
              </w:rPr>
              <w:t>加盖公章）</w:t>
            </w:r>
            <w:r>
              <w:rPr>
                <w:rStyle w:val="43"/>
                <w:rFonts w:hint="eastAsia" w:ascii="宋体" w:hAnsi="宋体" w:cs="Times New Roman"/>
                <w:sz w:val="18"/>
                <w:szCs w:val="18"/>
                <w:highlight w:val="none"/>
                <w:lang w:val="zh-CN"/>
              </w:rPr>
              <w:t>或提供《基本资格条件承诺函》</w:t>
            </w:r>
          </w:p>
        </w:tc>
        <w:tc>
          <w:tcPr>
            <w:tcW w:w="5531" w:type="dxa"/>
            <w:tcBorders>
              <w:top w:val="single" w:color="000000" w:sz="4" w:space="0"/>
              <w:left w:val="single" w:color="000000" w:sz="4" w:space="0"/>
              <w:bottom w:val="single" w:color="000000" w:sz="4" w:space="0"/>
              <w:right w:val="single" w:color="000000" w:sz="4" w:space="0"/>
            </w:tcBorders>
            <w:vAlign w:val="center"/>
          </w:tcPr>
          <w:p w14:paraId="634D20BD">
            <w:pPr>
              <w:tabs>
                <w:tab w:val="left" w:pos="1180"/>
              </w:tabs>
              <w:snapToGrid w:val="0"/>
              <w:spacing w:line="276" w:lineRule="auto"/>
              <w:jc w:val="center"/>
              <w:rPr>
                <w:rFonts w:ascii="宋体" w:hAnsi="宋体"/>
                <w:sz w:val="18"/>
                <w:szCs w:val="18"/>
                <w:highlight w:val="none"/>
              </w:rPr>
            </w:pPr>
            <w:r>
              <w:rPr>
                <w:rStyle w:val="43"/>
                <w:rFonts w:ascii="宋体" w:hAnsi="宋体"/>
                <w:sz w:val="18"/>
                <w:szCs w:val="18"/>
                <w:highlight w:val="none"/>
              </w:rPr>
              <w:t>符合招标文件要求，合法有效。</w:t>
            </w:r>
          </w:p>
        </w:tc>
      </w:tr>
      <w:tr w14:paraId="3A62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922" w:type="dxa"/>
            <w:vMerge w:val="continue"/>
            <w:tcBorders>
              <w:left w:val="single" w:color="000000" w:sz="4" w:space="0"/>
              <w:right w:val="single" w:color="000000" w:sz="4" w:space="0"/>
            </w:tcBorders>
            <w:vAlign w:val="center"/>
          </w:tcPr>
          <w:p w14:paraId="118D31B5">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right w:val="single" w:color="000000" w:sz="4" w:space="0"/>
            </w:tcBorders>
            <w:vAlign w:val="center"/>
          </w:tcPr>
          <w:p w14:paraId="04CB4AA0">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right w:val="single" w:color="000000" w:sz="4" w:space="0"/>
            </w:tcBorders>
            <w:vAlign w:val="center"/>
          </w:tcPr>
          <w:p w14:paraId="50397A30">
            <w:pPr>
              <w:snapToGrid w:val="0"/>
              <w:ind w:firstLine="360" w:firstLineChars="200"/>
              <w:rPr>
                <w:rFonts w:ascii="宋体" w:hAnsi="宋体"/>
                <w:sz w:val="18"/>
                <w:szCs w:val="18"/>
                <w:highlight w:val="none"/>
              </w:rPr>
            </w:pPr>
            <w:r>
              <w:rPr>
                <w:rStyle w:val="43"/>
                <w:rFonts w:ascii="宋体" w:hAnsi="宋体"/>
                <w:sz w:val="18"/>
                <w:szCs w:val="18"/>
                <w:highlight w:val="none"/>
              </w:rPr>
              <w:t>投标人不得为“信用中国”网站中列入失信被执行人</w:t>
            </w:r>
            <w:r>
              <w:rPr>
                <w:rStyle w:val="43"/>
                <w:rFonts w:hint="eastAsia" w:ascii="宋体" w:hAnsi="宋体"/>
                <w:sz w:val="18"/>
                <w:szCs w:val="18"/>
                <w:highlight w:val="none"/>
              </w:rPr>
              <w:t>、</w:t>
            </w:r>
            <w:r>
              <w:rPr>
                <w:rStyle w:val="43"/>
                <w:rFonts w:ascii="宋体" w:hAnsi="宋体"/>
                <w:sz w:val="18"/>
                <w:szCs w:val="18"/>
                <w:highlight w:val="none"/>
              </w:rPr>
              <w:t>重大税收违法失信主体的投标人</w:t>
            </w:r>
            <w:r>
              <w:rPr>
                <w:rStyle w:val="43"/>
                <w:rFonts w:hint="eastAsia" w:ascii="宋体" w:hAnsi="宋体"/>
                <w:sz w:val="18"/>
                <w:szCs w:val="18"/>
                <w:highlight w:val="none"/>
              </w:rPr>
              <w:t>、</w:t>
            </w:r>
            <w:r>
              <w:rPr>
                <w:rStyle w:val="43"/>
                <w:rFonts w:ascii="宋体" w:hAnsi="宋体"/>
                <w:sz w:val="18"/>
                <w:szCs w:val="18"/>
                <w:highlight w:val="none"/>
              </w:rPr>
              <w:t>不得为中国政府采购网政府采购严重违法失信行为记录名单中被财政部门禁止参加政府采购活动的投标人。（查询时间为投标文件递交截止日，如相关失信记录已失效，需提供相关证明资料。）</w:t>
            </w:r>
          </w:p>
        </w:tc>
        <w:tc>
          <w:tcPr>
            <w:tcW w:w="5531" w:type="dxa"/>
            <w:tcBorders>
              <w:top w:val="single" w:color="000000" w:sz="4" w:space="0"/>
              <w:left w:val="single" w:color="000000" w:sz="4" w:space="0"/>
              <w:bottom w:val="single" w:color="000000" w:sz="4" w:space="0"/>
              <w:right w:val="single" w:color="000000" w:sz="4" w:space="0"/>
            </w:tcBorders>
            <w:vAlign w:val="center"/>
          </w:tcPr>
          <w:p w14:paraId="66A074B7">
            <w:pPr>
              <w:tabs>
                <w:tab w:val="left" w:pos="1180"/>
              </w:tabs>
              <w:snapToGrid w:val="0"/>
              <w:spacing w:line="276" w:lineRule="auto"/>
              <w:jc w:val="center"/>
              <w:rPr>
                <w:rFonts w:ascii="宋体" w:hAnsi="宋体"/>
                <w:sz w:val="18"/>
                <w:szCs w:val="18"/>
                <w:highlight w:val="none"/>
              </w:rPr>
            </w:pPr>
            <w:r>
              <w:rPr>
                <w:rStyle w:val="43"/>
                <w:rFonts w:ascii="宋体" w:hAnsi="宋体"/>
                <w:sz w:val="18"/>
                <w:szCs w:val="18"/>
                <w:highlight w:val="none"/>
              </w:rPr>
              <w:t>以投标截止日查询结果为准</w:t>
            </w:r>
          </w:p>
        </w:tc>
      </w:tr>
      <w:tr w14:paraId="6849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922" w:type="dxa"/>
            <w:vMerge w:val="continue"/>
            <w:tcBorders>
              <w:left w:val="single" w:color="000000" w:sz="4" w:space="0"/>
              <w:bottom w:val="single" w:color="000000" w:sz="4" w:space="0"/>
              <w:right w:val="single" w:color="000000" w:sz="4" w:space="0"/>
            </w:tcBorders>
            <w:vAlign w:val="center"/>
          </w:tcPr>
          <w:p w14:paraId="0A5CE591">
            <w:pPr>
              <w:snapToGrid w:val="0"/>
              <w:spacing w:line="276" w:lineRule="auto"/>
              <w:jc w:val="center"/>
              <w:rPr>
                <w:rStyle w:val="43"/>
                <w:rFonts w:ascii="宋体" w:hAnsi="宋体"/>
                <w:szCs w:val="21"/>
                <w:highlight w:val="none"/>
              </w:rPr>
            </w:pPr>
          </w:p>
        </w:tc>
        <w:tc>
          <w:tcPr>
            <w:tcW w:w="899" w:type="dxa"/>
            <w:vMerge w:val="continue"/>
            <w:tcBorders>
              <w:left w:val="single" w:color="000000" w:sz="4" w:space="0"/>
              <w:bottom w:val="single" w:color="000000" w:sz="4" w:space="0"/>
              <w:right w:val="single" w:color="000000" w:sz="4" w:space="0"/>
            </w:tcBorders>
            <w:vAlign w:val="center"/>
          </w:tcPr>
          <w:p w14:paraId="65249F74">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right w:val="single" w:color="000000" w:sz="4" w:space="0"/>
            </w:tcBorders>
            <w:vAlign w:val="center"/>
          </w:tcPr>
          <w:p w14:paraId="7CBB8CBE">
            <w:pPr>
              <w:snapToGrid w:val="0"/>
              <w:ind w:firstLine="180" w:firstLineChars="100"/>
              <w:jc w:val="center"/>
              <w:rPr>
                <w:rStyle w:val="43"/>
                <w:rFonts w:ascii="宋体" w:hAnsi="宋体"/>
                <w:sz w:val="18"/>
                <w:szCs w:val="18"/>
                <w:highlight w:val="none"/>
              </w:rPr>
            </w:pPr>
            <w:r>
              <w:rPr>
                <w:rStyle w:val="43"/>
                <w:rFonts w:hint="eastAsia" w:ascii="宋体" w:hAnsi="宋体"/>
                <w:sz w:val="18"/>
                <w:szCs w:val="18"/>
                <w:highlight w:val="none"/>
              </w:rPr>
              <w:t>本采购包专门面向中小企业采购</w:t>
            </w:r>
          </w:p>
        </w:tc>
        <w:tc>
          <w:tcPr>
            <w:tcW w:w="5531" w:type="dxa"/>
            <w:tcBorders>
              <w:top w:val="single" w:color="000000" w:sz="4" w:space="0"/>
              <w:left w:val="single" w:color="000000" w:sz="4" w:space="0"/>
              <w:bottom w:val="single" w:color="000000" w:sz="4" w:space="0"/>
              <w:right w:val="single" w:color="000000" w:sz="4" w:space="0"/>
            </w:tcBorders>
            <w:vAlign w:val="center"/>
          </w:tcPr>
          <w:p w14:paraId="24301C31">
            <w:pPr>
              <w:tabs>
                <w:tab w:val="left" w:pos="1180"/>
              </w:tabs>
              <w:snapToGrid w:val="0"/>
              <w:spacing w:line="276" w:lineRule="auto"/>
              <w:jc w:val="center"/>
              <w:rPr>
                <w:rStyle w:val="43"/>
                <w:rFonts w:ascii="宋体" w:hAnsi="宋体"/>
                <w:sz w:val="18"/>
                <w:szCs w:val="18"/>
                <w:highlight w:val="none"/>
              </w:rPr>
            </w:pPr>
            <w:r>
              <w:rPr>
                <w:rStyle w:val="43"/>
                <w:rFonts w:hint="eastAsia" w:ascii="宋体" w:hAnsi="宋体"/>
                <w:sz w:val="18"/>
                <w:szCs w:val="18"/>
                <w:highlight w:val="none"/>
              </w:rPr>
              <w:t xml:space="preserve">  供应商提供《中小企业声明函》（监狱企业的证明文件或《残疾人福利性单位声明函》）（残疾人福利性单位、监狱企业视同小型、微型企业）</w:t>
            </w:r>
          </w:p>
        </w:tc>
      </w:tr>
      <w:tr w14:paraId="3B5D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14:paraId="01FA75E2">
            <w:pPr>
              <w:snapToGrid w:val="0"/>
              <w:spacing w:line="276" w:lineRule="auto"/>
              <w:jc w:val="center"/>
              <w:rPr>
                <w:rStyle w:val="43"/>
                <w:rFonts w:ascii="宋体" w:hAnsi="宋体"/>
                <w:szCs w:val="21"/>
                <w:highlight w:val="none"/>
              </w:rPr>
            </w:pPr>
            <w:r>
              <w:rPr>
                <w:rStyle w:val="43"/>
                <w:rFonts w:ascii="宋体" w:hAnsi="宋体"/>
                <w:szCs w:val="21"/>
                <w:highlight w:val="none"/>
              </w:rPr>
              <w:t>2.1.2</w:t>
            </w:r>
          </w:p>
        </w:tc>
        <w:tc>
          <w:tcPr>
            <w:tcW w:w="899" w:type="dxa"/>
            <w:vMerge w:val="restart"/>
            <w:tcBorders>
              <w:top w:val="single" w:color="000000" w:sz="4" w:space="0"/>
              <w:left w:val="single" w:color="000000" w:sz="4" w:space="0"/>
              <w:bottom w:val="single" w:color="000000" w:sz="4" w:space="0"/>
              <w:right w:val="single" w:color="000000" w:sz="4" w:space="0"/>
            </w:tcBorders>
            <w:vAlign w:val="center"/>
          </w:tcPr>
          <w:p w14:paraId="0A1024FA">
            <w:pPr>
              <w:snapToGrid w:val="0"/>
              <w:spacing w:line="276" w:lineRule="auto"/>
              <w:jc w:val="center"/>
              <w:rPr>
                <w:rStyle w:val="43"/>
                <w:rFonts w:ascii="宋体" w:hAnsi="宋体"/>
                <w:szCs w:val="21"/>
                <w:highlight w:val="none"/>
              </w:rPr>
            </w:pPr>
          </w:p>
          <w:p w14:paraId="670C721E">
            <w:pPr>
              <w:snapToGrid w:val="0"/>
              <w:spacing w:line="276" w:lineRule="auto"/>
              <w:jc w:val="center"/>
              <w:rPr>
                <w:rStyle w:val="43"/>
                <w:rFonts w:ascii="宋体" w:hAnsi="宋体"/>
                <w:szCs w:val="21"/>
                <w:highlight w:val="none"/>
              </w:rPr>
            </w:pPr>
            <w:r>
              <w:rPr>
                <w:rStyle w:val="43"/>
                <w:rFonts w:ascii="宋体" w:hAnsi="宋体"/>
                <w:szCs w:val="21"/>
                <w:highlight w:val="none"/>
              </w:rPr>
              <w:t>符合性</w:t>
            </w:r>
          </w:p>
          <w:p w14:paraId="115419C1">
            <w:pPr>
              <w:snapToGrid w:val="0"/>
              <w:spacing w:line="276" w:lineRule="auto"/>
              <w:jc w:val="center"/>
              <w:rPr>
                <w:rStyle w:val="43"/>
                <w:rFonts w:ascii="宋体" w:hAnsi="宋体"/>
                <w:szCs w:val="21"/>
                <w:highlight w:val="none"/>
              </w:rPr>
            </w:pPr>
            <w:r>
              <w:rPr>
                <w:rStyle w:val="43"/>
                <w:rFonts w:ascii="宋体" w:hAnsi="宋体"/>
                <w:szCs w:val="21"/>
                <w:highlight w:val="none"/>
              </w:rPr>
              <w:t>审查</w:t>
            </w:r>
          </w:p>
          <w:p w14:paraId="63068EB2">
            <w:pPr>
              <w:snapToGrid w:val="0"/>
              <w:spacing w:line="276" w:lineRule="auto"/>
              <w:jc w:val="center"/>
              <w:rPr>
                <w:rStyle w:val="43"/>
                <w:rFonts w:ascii="宋体" w:hAnsi="宋体"/>
                <w:szCs w:val="21"/>
                <w:highlight w:val="none"/>
              </w:rPr>
            </w:pPr>
            <w:r>
              <w:rPr>
                <w:rStyle w:val="43"/>
                <w:rFonts w:ascii="宋体" w:hAnsi="宋体"/>
                <w:szCs w:val="21"/>
                <w:highlight w:val="none"/>
              </w:rPr>
              <w:t>标准</w:t>
            </w:r>
          </w:p>
        </w:tc>
        <w:tc>
          <w:tcPr>
            <w:tcW w:w="2402" w:type="dxa"/>
            <w:tcBorders>
              <w:top w:val="single" w:color="000000" w:sz="4" w:space="0"/>
              <w:left w:val="single" w:color="000000" w:sz="4" w:space="0"/>
              <w:bottom w:val="single" w:color="000000" w:sz="4" w:space="0"/>
              <w:right w:val="single" w:color="000000" w:sz="4" w:space="0"/>
            </w:tcBorders>
            <w:vAlign w:val="center"/>
          </w:tcPr>
          <w:p w14:paraId="2689AE9E">
            <w:pPr>
              <w:snapToGrid w:val="0"/>
              <w:spacing w:line="276" w:lineRule="auto"/>
              <w:jc w:val="center"/>
              <w:rPr>
                <w:rStyle w:val="43"/>
                <w:rFonts w:ascii="宋体" w:hAnsi="宋体"/>
                <w:sz w:val="18"/>
                <w:szCs w:val="18"/>
                <w:highlight w:val="none"/>
              </w:rPr>
            </w:pPr>
            <w:r>
              <w:rPr>
                <w:rStyle w:val="43"/>
                <w:rFonts w:ascii="宋体" w:hAnsi="宋体"/>
                <w:sz w:val="18"/>
                <w:szCs w:val="18"/>
                <w:highlight w:val="none"/>
              </w:rPr>
              <w:t>签字、盖章</w:t>
            </w:r>
          </w:p>
        </w:tc>
        <w:tc>
          <w:tcPr>
            <w:tcW w:w="5531" w:type="dxa"/>
            <w:tcBorders>
              <w:top w:val="single" w:color="000000" w:sz="4" w:space="0"/>
              <w:left w:val="single" w:color="000000" w:sz="4" w:space="0"/>
              <w:bottom w:val="single" w:color="000000" w:sz="4" w:space="0"/>
              <w:right w:val="single" w:color="000000" w:sz="4" w:space="0"/>
            </w:tcBorders>
            <w:vAlign w:val="center"/>
          </w:tcPr>
          <w:p w14:paraId="3E51A7BA">
            <w:pPr>
              <w:tabs>
                <w:tab w:val="left" w:pos="1180"/>
              </w:tabs>
              <w:snapToGrid w:val="0"/>
              <w:spacing w:line="276" w:lineRule="auto"/>
              <w:ind w:firstLine="180" w:firstLineChars="100"/>
              <w:jc w:val="left"/>
              <w:rPr>
                <w:rStyle w:val="43"/>
                <w:rFonts w:ascii="宋体" w:hAnsi="宋体"/>
                <w:sz w:val="18"/>
                <w:szCs w:val="18"/>
                <w:highlight w:val="none"/>
              </w:rPr>
            </w:pPr>
            <w:r>
              <w:rPr>
                <w:rFonts w:hint="eastAsia" w:ascii="宋体" w:hAnsi="宋体"/>
                <w:sz w:val="18"/>
                <w:szCs w:val="18"/>
                <w:highlight w:val="none"/>
              </w:rPr>
              <w:t xml:space="preserve">有法定代表人（单位负责人）或其委托代理人签字或盖章并加盖单位公章。由委托代理人签字或盖章，出具有效的授权委托书及被授权人身份证明。由法定代表人（单位负责人）签字或盖章的，应附法定代表人（单位负责人）身份证明。 </w:t>
            </w:r>
          </w:p>
        </w:tc>
      </w:tr>
      <w:tr w14:paraId="1249C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2CEB6D97">
            <w:pPr>
              <w:snapToGrid w:val="0"/>
              <w:spacing w:line="276" w:lineRule="auto"/>
              <w:jc w:val="center"/>
              <w:rPr>
                <w:rStyle w:val="43"/>
                <w:rFonts w:ascii="宋体" w:hAnsi="宋体"/>
                <w:szCs w:val="21"/>
                <w:highlight w:val="none"/>
              </w:rPr>
            </w:pPr>
          </w:p>
        </w:tc>
        <w:tc>
          <w:tcPr>
            <w:tcW w:w="899" w:type="dxa"/>
            <w:vMerge w:val="continue"/>
            <w:tcBorders>
              <w:top w:val="single" w:color="000000" w:sz="4" w:space="0"/>
              <w:left w:val="single" w:color="000000" w:sz="4" w:space="0"/>
              <w:bottom w:val="single" w:color="000000" w:sz="4" w:space="0"/>
              <w:right w:val="single" w:color="000000" w:sz="4" w:space="0"/>
            </w:tcBorders>
            <w:vAlign w:val="center"/>
          </w:tcPr>
          <w:p w14:paraId="1EED646D">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4AB8822C">
            <w:pPr>
              <w:snapToGrid w:val="0"/>
              <w:spacing w:line="276" w:lineRule="auto"/>
              <w:jc w:val="center"/>
              <w:rPr>
                <w:rStyle w:val="43"/>
                <w:rFonts w:ascii="宋体" w:hAnsi="宋体"/>
                <w:sz w:val="18"/>
                <w:szCs w:val="18"/>
                <w:highlight w:val="none"/>
              </w:rPr>
            </w:pPr>
            <w:r>
              <w:rPr>
                <w:rStyle w:val="43"/>
                <w:rFonts w:ascii="宋体" w:hAnsi="宋体"/>
                <w:sz w:val="18"/>
                <w:szCs w:val="18"/>
                <w:highlight w:val="none"/>
              </w:rPr>
              <w:t>投标有效期</w:t>
            </w:r>
          </w:p>
        </w:tc>
        <w:tc>
          <w:tcPr>
            <w:tcW w:w="5531" w:type="dxa"/>
            <w:tcBorders>
              <w:top w:val="single" w:color="000000" w:sz="4" w:space="0"/>
              <w:left w:val="single" w:color="000000" w:sz="4" w:space="0"/>
              <w:bottom w:val="single" w:color="000000" w:sz="4" w:space="0"/>
              <w:right w:val="single" w:color="000000" w:sz="4" w:space="0"/>
            </w:tcBorders>
            <w:vAlign w:val="center"/>
          </w:tcPr>
          <w:p w14:paraId="68ECE752">
            <w:pPr>
              <w:tabs>
                <w:tab w:val="left" w:pos="1180"/>
              </w:tabs>
              <w:snapToGrid w:val="0"/>
              <w:spacing w:line="276" w:lineRule="auto"/>
              <w:ind w:firstLine="180" w:firstLineChars="100"/>
              <w:rPr>
                <w:rStyle w:val="43"/>
                <w:rFonts w:ascii="宋体" w:hAnsi="宋体"/>
                <w:sz w:val="18"/>
                <w:szCs w:val="18"/>
                <w:highlight w:val="none"/>
              </w:rPr>
            </w:pPr>
            <w:r>
              <w:rPr>
                <w:rStyle w:val="43"/>
                <w:rFonts w:ascii="宋体" w:hAnsi="宋体"/>
                <w:sz w:val="18"/>
                <w:szCs w:val="18"/>
                <w:highlight w:val="none"/>
              </w:rPr>
              <w:t>符合第二章“投标人须知前附表”第 5.3.1 项规定</w:t>
            </w:r>
          </w:p>
        </w:tc>
      </w:tr>
      <w:tr w14:paraId="5B7B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2A7DA8CF">
            <w:pPr>
              <w:snapToGrid w:val="0"/>
              <w:spacing w:line="276" w:lineRule="auto"/>
              <w:jc w:val="center"/>
              <w:rPr>
                <w:rStyle w:val="43"/>
                <w:rFonts w:ascii="宋体" w:hAnsi="宋体"/>
                <w:szCs w:val="21"/>
                <w:highlight w:val="none"/>
              </w:rPr>
            </w:pPr>
          </w:p>
        </w:tc>
        <w:tc>
          <w:tcPr>
            <w:tcW w:w="899" w:type="dxa"/>
            <w:vMerge w:val="continue"/>
            <w:tcBorders>
              <w:top w:val="single" w:color="000000" w:sz="4" w:space="0"/>
              <w:left w:val="single" w:color="000000" w:sz="4" w:space="0"/>
              <w:bottom w:val="single" w:color="000000" w:sz="4" w:space="0"/>
              <w:right w:val="single" w:color="000000" w:sz="4" w:space="0"/>
            </w:tcBorders>
            <w:vAlign w:val="center"/>
          </w:tcPr>
          <w:p w14:paraId="76E80D75">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42286B08">
            <w:pPr>
              <w:snapToGrid w:val="0"/>
              <w:spacing w:line="276" w:lineRule="auto"/>
              <w:jc w:val="center"/>
              <w:rPr>
                <w:rStyle w:val="43"/>
                <w:rFonts w:ascii="宋体" w:hAnsi="宋体"/>
                <w:sz w:val="18"/>
                <w:szCs w:val="18"/>
                <w:highlight w:val="none"/>
              </w:rPr>
            </w:pPr>
            <w:r>
              <w:rPr>
                <w:rStyle w:val="43"/>
                <w:rFonts w:ascii="宋体" w:hAnsi="宋体"/>
                <w:sz w:val="18"/>
                <w:szCs w:val="18"/>
                <w:highlight w:val="none"/>
              </w:rPr>
              <w:t>投标报价</w:t>
            </w:r>
          </w:p>
        </w:tc>
        <w:tc>
          <w:tcPr>
            <w:tcW w:w="5531" w:type="dxa"/>
            <w:tcBorders>
              <w:top w:val="single" w:color="000000" w:sz="4" w:space="0"/>
              <w:left w:val="single" w:color="000000" w:sz="4" w:space="0"/>
              <w:bottom w:val="single" w:color="000000" w:sz="4" w:space="0"/>
              <w:right w:val="single" w:color="000000" w:sz="4" w:space="0"/>
            </w:tcBorders>
            <w:vAlign w:val="center"/>
          </w:tcPr>
          <w:p w14:paraId="53E31A45">
            <w:pPr>
              <w:tabs>
                <w:tab w:val="left" w:pos="1180"/>
              </w:tabs>
              <w:snapToGrid w:val="0"/>
              <w:spacing w:line="276" w:lineRule="auto"/>
              <w:ind w:firstLine="180" w:firstLineChars="100"/>
              <w:rPr>
                <w:rStyle w:val="43"/>
                <w:rFonts w:ascii="宋体" w:hAnsi="宋体"/>
                <w:sz w:val="18"/>
                <w:szCs w:val="18"/>
                <w:highlight w:val="none"/>
              </w:rPr>
            </w:pPr>
            <w:r>
              <w:rPr>
                <w:rStyle w:val="43"/>
                <w:rFonts w:ascii="宋体" w:hAnsi="宋体"/>
                <w:sz w:val="18"/>
                <w:szCs w:val="18"/>
                <w:highlight w:val="none"/>
              </w:rPr>
              <w:t>符合第二章“投标人须知前附表”第 5.2.4 项规定</w:t>
            </w:r>
          </w:p>
        </w:tc>
      </w:tr>
      <w:tr w14:paraId="286B3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4A80AD29">
            <w:pPr>
              <w:snapToGrid w:val="0"/>
              <w:spacing w:line="276" w:lineRule="auto"/>
              <w:jc w:val="center"/>
              <w:rPr>
                <w:rStyle w:val="43"/>
                <w:rFonts w:ascii="宋体" w:hAnsi="宋体"/>
                <w:szCs w:val="21"/>
                <w:highlight w:val="none"/>
              </w:rPr>
            </w:pPr>
          </w:p>
        </w:tc>
        <w:tc>
          <w:tcPr>
            <w:tcW w:w="899" w:type="dxa"/>
            <w:vMerge w:val="continue"/>
            <w:tcBorders>
              <w:top w:val="single" w:color="000000" w:sz="4" w:space="0"/>
              <w:left w:val="single" w:color="000000" w:sz="4" w:space="0"/>
              <w:bottom w:val="single" w:color="000000" w:sz="4" w:space="0"/>
              <w:right w:val="single" w:color="000000" w:sz="4" w:space="0"/>
            </w:tcBorders>
            <w:vAlign w:val="center"/>
          </w:tcPr>
          <w:p w14:paraId="7149ECD9">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03D6EF49">
            <w:pPr>
              <w:snapToGrid w:val="0"/>
              <w:spacing w:line="276" w:lineRule="auto"/>
              <w:jc w:val="center"/>
              <w:rPr>
                <w:rFonts w:ascii="宋体" w:hAnsi="宋体"/>
                <w:sz w:val="18"/>
                <w:szCs w:val="18"/>
                <w:highlight w:val="none"/>
              </w:rPr>
            </w:pPr>
            <w:r>
              <w:rPr>
                <w:rStyle w:val="43"/>
                <w:rFonts w:hint="eastAsia" w:ascii="宋体" w:hAnsi="宋体"/>
                <w:sz w:val="18"/>
                <w:szCs w:val="18"/>
                <w:highlight w:val="none"/>
              </w:rPr>
              <w:t>计划工期</w:t>
            </w:r>
            <w:r>
              <w:rPr>
                <w:rStyle w:val="43"/>
                <w:rFonts w:ascii="宋体" w:hAnsi="宋体"/>
                <w:sz w:val="18"/>
                <w:szCs w:val="18"/>
                <w:highlight w:val="none"/>
              </w:rPr>
              <w:t xml:space="preserve"> </w:t>
            </w:r>
          </w:p>
        </w:tc>
        <w:tc>
          <w:tcPr>
            <w:tcW w:w="5531" w:type="dxa"/>
            <w:tcBorders>
              <w:top w:val="single" w:color="000000" w:sz="4" w:space="0"/>
              <w:left w:val="single" w:color="000000" w:sz="4" w:space="0"/>
              <w:bottom w:val="single" w:color="000000" w:sz="4" w:space="0"/>
              <w:right w:val="single" w:color="000000" w:sz="4" w:space="0"/>
            </w:tcBorders>
            <w:vAlign w:val="center"/>
          </w:tcPr>
          <w:p w14:paraId="6743EF43">
            <w:pPr>
              <w:tabs>
                <w:tab w:val="left" w:pos="1180"/>
              </w:tabs>
              <w:snapToGrid w:val="0"/>
              <w:spacing w:line="276" w:lineRule="auto"/>
              <w:ind w:firstLine="180" w:firstLineChars="100"/>
              <w:rPr>
                <w:rFonts w:ascii="宋体" w:hAnsi="宋体"/>
                <w:sz w:val="18"/>
                <w:szCs w:val="18"/>
                <w:highlight w:val="none"/>
              </w:rPr>
            </w:pPr>
            <w:r>
              <w:rPr>
                <w:rStyle w:val="43"/>
                <w:rFonts w:ascii="宋体" w:hAnsi="宋体"/>
                <w:sz w:val="18"/>
                <w:szCs w:val="18"/>
                <w:highlight w:val="none"/>
              </w:rPr>
              <w:t>符合第二章“投标人须知前附表”第 2.2.2 项规定</w:t>
            </w:r>
          </w:p>
        </w:tc>
      </w:tr>
      <w:tr w14:paraId="4A6D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204A1943">
            <w:pPr>
              <w:snapToGrid w:val="0"/>
              <w:spacing w:line="276" w:lineRule="auto"/>
              <w:jc w:val="center"/>
              <w:rPr>
                <w:rStyle w:val="43"/>
                <w:rFonts w:ascii="宋体" w:hAnsi="宋体"/>
                <w:szCs w:val="21"/>
                <w:highlight w:val="none"/>
              </w:rPr>
            </w:pPr>
          </w:p>
        </w:tc>
        <w:tc>
          <w:tcPr>
            <w:tcW w:w="899" w:type="dxa"/>
            <w:vMerge w:val="continue"/>
            <w:tcBorders>
              <w:top w:val="single" w:color="000000" w:sz="4" w:space="0"/>
              <w:left w:val="single" w:color="000000" w:sz="4" w:space="0"/>
              <w:bottom w:val="single" w:color="000000" w:sz="4" w:space="0"/>
              <w:right w:val="single" w:color="000000" w:sz="4" w:space="0"/>
            </w:tcBorders>
            <w:vAlign w:val="center"/>
          </w:tcPr>
          <w:p w14:paraId="2A9E4299">
            <w:pPr>
              <w:snapToGrid w:val="0"/>
              <w:spacing w:line="276" w:lineRule="auto"/>
              <w:jc w:val="center"/>
              <w:rPr>
                <w:rStyle w:val="43"/>
                <w:rFonts w:ascii="宋体" w:hAnsi="宋体"/>
                <w:szCs w:val="21"/>
                <w:highlight w:val="none"/>
              </w:rPr>
            </w:pPr>
          </w:p>
        </w:tc>
        <w:tc>
          <w:tcPr>
            <w:tcW w:w="2402" w:type="dxa"/>
            <w:tcBorders>
              <w:top w:val="single" w:color="000000" w:sz="4" w:space="0"/>
              <w:left w:val="single" w:color="000000" w:sz="4" w:space="0"/>
              <w:right w:val="single" w:color="000000" w:sz="4" w:space="0"/>
            </w:tcBorders>
            <w:vAlign w:val="center"/>
          </w:tcPr>
          <w:p w14:paraId="6E9E900F">
            <w:pPr>
              <w:snapToGrid w:val="0"/>
              <w:spacing w:line="276" w:lineRule="auto"/>
              <w:jc w:val="center"/>
              <w:rPr>
                <w:rStyle w:val="43"/>
                <w:rFonts w:ascii="宋体" w:hAnsi="宋体"/>
                <w:sz w:val="18"/>
                <w:szCs w:val="18"/>
                <w:highlight w:val="none"/>
              </w:rPr>
            </w:pPr>
            <w:r>
              <w:rPr>
                <w:rStyle w:val="43"/>
                <w:rFonts w:hint="eastAsia" w:ascii="宋体" w:hAnsi="宋体"/>
                <w:sz w:val="18"/>
                <w:szCs w:val="18"/>
                <w:highlight w:val="none"/>
              </w:rPr>
              <w:t>质量等级</w:t>
            </w:r>
          </w:p>
        </w:tc>
        <w:tc>
          <w:tcPr>
            <w:tcW w:w="5531" w:type="dxa"/>
            <w:tcBorders>
              <w:top w:val="single" w:color="000000" w:sz="4" w:space="0"/>
              <w:left w:val="single" w:color="000000" w:sz="4" w:space="0"/>
              <w:bottom w:val="single" w:color="000000" w:sz="4" w:space="0"/>
              <w:right w:val="single" w:color="000000" w:sz="4" w:space="0"/>
            </w:tcBorders>
            <w:vAlign w:val="center"/>
          </w:tcPr>
          <w:p w14:paraId="22BD7528">
            <w:pPr>
              <w:tabs>
                <w:tab w:val="left" w:pos="1180"/>
              </w:tabs>
              <w:snapToGrid w:val="0"/>
              <w:spacing w:line="276" w:lineRule="auto"/>
              <w:ind w:firstLine="180" w:firstLineChars="100"/>
              <w:rPr>
                <w:rStyle w:val="43"/>
                <w:rFonts w:ascii="宋体" w:hAnsi="宋体"/>
                <w:sz w:val="18"/>
                <w:szCs w:val="18"/>
                <w:highlight w:val="none"/>
              </w:rPr>
            </w:pPr>
            <w:r>
              <w:rPr>
                <w:rStyle w:val="43"/>
                <w:rFonts w:ascii="宋体" w:hAnsi="宋体"/>
                <w:sz w:val="18"/>
                <w:szCs w:val="18"/>
                <w:highlight w:val="none"/>
              </w:rPr>
              <w:t>符合第二章“投标人须知前附表”第 2.2.</w:t>
            </w:r>
            <w:r>
              <w:rPr>
                <w:rStyle w:val="43"/>
                <w:rFonts w:hint="eastAsia" w:ascii="宋体" w:hAnsi="宋体"/>
                <w:sz w:val="18"/>
                <w:szCs w:val="18"/>
                <w:highlight w:val="none"/>
              </w:rPr>
              <w:t>4</w:t>
            </w:r>
            <w:r>
              <w:rPr>
                <w:rStyle w:val="43"/>
                <w:rFonts w:ascii="宋体" w:hAnsi="宋体"/>
                <w:sz w:val="18"/>
                <w:szCs w:val="18"/>
                <w:highlight w:val="none"/>
              </w:rPr>
              <w:t>项规定</w:t>
            </w:r>
          </w:p>
        </w:tc>
      </w:tr>
      <w:tr w14:paraId="7ECF9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2" w:type="dxa"/>
            <w:tcBorders>
              <w:top w:val="single" w:color="000000" w:sz="4" w:space="0"/>
              <w:left w:val="single" w:color="000000" w:sz="4" w:space="0"/>
              <w:bottom w:val="single" w:color="000000" w:sz="4" w:space="0"/>
              <w:right w:val="single" w:color="000000" w:sz="4" w:space="0"/>
            </w:tcBorders>
            <w:vAlign w:val="center"/>
          </w:tcPr>
          <w:p w14:paraId="262BF6C1">
            <w:pPr>
              <w:snapToGrid w:val="0"/>
              <w:spacing w:line="276" w:lineRule="auto"/>
              <w:jc w:val="center"/>
              <w:rPr>
                <w:rStyle w:val="43"/>
                <w:rFonts w:ascii="宋体" w:hAnsi="宋体"/>
                <w:b/>
                <w:szCs w:val="21"/>
                <w:highlight w:val="none"/>
              </w:rPr>
            </w:pPr>
            <w:r>
              <w:rPr>
                <w:rStyle w:val="43"/>
                <w:rFonts w:ascii="宋体" w:hAnsi="宋体"/>
                <w:b/>
                <w:szCs w:val="21"/>
                <w:highlight w:val="none"/>
              </w:rPr>
              <w:t>条款号</w:t>
            </w:r>
          </w:p>
        </w:tc>
        <w:tc>
          <w:tcPr>
            <w:tcW w:w="3301" w:type="dxa"/>
            <w:gridSpan w:val="2"/>
            <w:tcBorders>
              <w:top w:val="single" w:color="000000" w:sz="4" w:space="0"/>
              <w:left w:val="single" w:color="000000" w:sz="4" w:space="0"/>
              <w:bottom w:val="single" w:color="000000" w:sz="4" w:space="0"/>
              <w:right w:val="single" w:color="000000" w:sz="4" w:space="0"/>
            </w:tcBorders>
            <w:vAlign w:val="center"/>
          </w:tcPr>
          <w:p w14:paraId="610617B3">
            <w:pPr>
              <w:snapToGrid w:val="0"/>
              <w:spacing w:line="276" w:lineRule="auto"/>
              <w:jc w:val="center"/>
              <w:rPr>
                <w:rStyle w:val="43"/>
                <w:rFonts w:ascii="宋体" w:hAnsi="宋体"/>
                <w:b/>
                <w:szCs w:val="21"/>
                <w:highlight w:val="none"/>
                <w:lang w:val="zh-CN"/>
              </w:rPr>
            </w:pPr>
            <w:r>
              <w:rPr>
                <w:rStyle w:val="43"/>
                <w:rFonts w:ascii="宋体" w:hAnsi="宋体"/>
                <w:b/>
                <w:szCs w:val="21"/>
                <w:highlight w:val="none"/>
                <w:lang w:val="zh-CN"/>
              </w:rPr>
              <w:t>条款内容</w:t>
            </w:r>
          </w:p>
        </w:tc>
        <w:tc>
          <w:tcPr>
            <w:tcW w:w="5531" w:type="dxa"/>
            <w:tcBorders>
              <w:top w:val="single" w:color="000000" w:sz="4" w:space="0"/>
              <w:left w:val="single" w:color="000000" w:sz="4" w:space="0"/>
              <w:bottom w:val="single" w:color="000000" w:sz="4" w:space="0"/>
              <w:right w:val="single" w:color="000000" w:sz="4" w:space="0"/>
            </w:tcBorders>
            <w:vAlign w:val="center"/>
          </w:tcPr>
          <w:p w14:paraId="03FDD9F8">
            <w:pPr>
              <w:tabs>
                <w:tab w:val="left" w:pos="1180"/>
              </w:tabs>
              <w:snapToGrid w:val="0"/>
              <w:spacing w:line="276" w:lineRule="auto"/>
              <w:jc w:val="center"/>
              <w:rPr>
                <w:rStyle w:val="43"/>
                <w:rFonts w:ascii="宋体" w:hAnsi="宋体"/>
                <w:b/>
                <w:szCs w:val="21"/>
                <w:highlight w:val="none"/>
              </w:rPr>
            </w:pPr>
            <w:r>
              <w:rPr>
                <w:rStyle w:val="43"/>
                <w:rFonts w:ascii="宋体" w:hAnsi="宋体"/>
                <w:b/>
                <w:szCs w:val="21"/>
                <w:highlight w:val="none"/>
              </w:rPr>
              <w:t>编列内容</w:t>
            </w:r>
          </w:p>
        </w:tc>
      </w:tr>
      <w:tr w14:paraId="7C41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922" w:type="dxa"/>
            <w:tcBorders>
              <w:top w:val="single" w:color="000000" w:sz="4" w:space="0"/>
              <w:left w:val="single" w:color="000000" w:sz="4" w:space="0"/>
              <w:bottom w:val="single" w:color="000000" w:sz="4" w:space="0"/>
              <w:right w:val="single" w:color="000000" w:sz="4" w:space="0"/>
            </w:tcBorders>
            <w:vAlign w:val="center"/>
          </w:tcPr>
          <w:p w14:paraId="5EFF62DC">
            <w:pPr>
              <w:snapToGrid w:val="0"/>
              <w:spacing w:line="276" w:lineRule="auto"/>
              <w:jc w:val="center"/>
              <w:rPr>
                <w:rStyle w:val="43"/>
                <w:rFonts w:ascii="宋体" w:hAnsi="宋体"/>
                <w:szCs w:val="21"/>
                <w:highlight w:val="none"/>
              </w:rPr>
            </w:pPr>
            <w:r>
              <w:rPr>
                <w:rStyle w:val="43"/>
                <w:rFonts w:ascii="宋体" w:hAnsi="宋体"/>
                <w:szCs w:val="21"/>
                <w:highlight w:val="none"/>
              </w:rPr>
              <w:t>2.2.1</w:t>
            </w:r>
          </w:p>
        </w:tc>
        <w:tc>
          <w:tcPr>
            <w:tcW w:w="3301" w:type="dxa"/>
            <w:gridSpan w:val="2"/>
            <w:tcBorders>
              <w:top w:val="single" w:color="000000" w:sz="4" w:space="0"/>
              <w:left w:val="single" w:color="000000" w:sz="4" w:space="0"/>
              <w:bottom w:val="single" w:color="000000" w:sz="4" w:space="0"/>
              <w:right w:val="single" w:color="000000" w:sz="4" w:space="0"/>
            </w:tcBorders>
            <w:vAlign w:val="center"/>
          </w:tcPr>
          <w:p w14:paraId="15D548B1">
            <w:pPr>
              <w:snapToGrid w:val="0"/>
              <w:spacing w:line="276" w:lineRule="auto"/>
              <w:jc w:val="center"/>
              <w:rPr>
                <w:rStyle w:val="43"/>
                <w:rFonts w:ascii="宋体" w:hAnsi="宋体"/>
                <w:b/>
                <w:szCs w:val="21"/>
                <w:highlight w:val="none"/>
                <w:lang w:val="zh-CN"/>
              </w:rPr>
            </w:pPr>
            <w:r>
              <w:rPr>
                <w:rStyle w:val="43"/>
                <w:rFonts w:ascii="宋体" w:hAnsi="宋体"/>
                <w:b/>
                <w:szCs w:val="21"/>
                <w:highlight w:val="none"/>
                <w:lang w:val="zh-CN"/>
              </w:rPr>
              <w:t>分值构成</w:t>
            </w:r>
          </w:p>
          <w:p w14:paraId="361A6217">
            <w:pPr>
              <w:snapToGrid w:val="0"/>
              <w:spacing w:line="276" w:lineRule="auto"/>
              <w:jc w:val="center"/>
              <w:rPr>
                <w:rStyle w:val="43"/>
                <w:rFonts w:ascii="宋体" w:hAnsi="宋体"/>
                <w:b/>
                <w:szCs w:val="21"/>
                <w:highlight w:val="none"/>
                <w:lang w:val="zh-CN"/>
              </w:rPr>
            </w:pPr>
            <w:r>
              <w:rPr>
                <w:rStyle w:val="43"/>
                <w:rFonts w:ascii="宋体" w:hAnsi="宋体"/>
                <w:b/>
                <w:szCs w:val="21"/>
                <w:highlight w:val="none"/>
                <w:lang w:val="zh-CN"/>
              </w:rPr>
              <w:t>（总分100分）</w:t>
            </w:r>
          </w:p>
        </w:tc>
        <w:tc>
          <w:tcPr>
            <w:tcW w:w="5531" w:type="dxa"/>
            <w:tcBorders>
              <w:top w:val="single" w:color="000000" w:sz="4" w:space="0"/>
              <w:left w:val="single" w:color="000000" w:sz="4" w:space="0"/>
              <w:bottom w:val="single" w:color="000000" w:sz="4" w:space="0"/>
              <w:right w:val="single" w:color="000000" w:sz="4" w:space="0"/>
            </w:tcBorders>
            <w:vAlign w:val="center"/>
          </w:tcPr>
          <w:p w14:paraId="42E80325">
            <w:pPr>
              <w:tabs>
                <w:tab w:val="left" w:pos="1180"/>
              </w:tabs>
              <w:snapToGrid w:val="0"/>
              <w:spacing w:line="276" w:lineRule="auto"/>
              <w:rPr>
                <w:rStyle w:val="43"/>
                <w:rFonts w:ascii="宋体" w:hAnsi="宋体"/>
                <w:b/>
                <w:szCs w:val="21"/>
                <w:highlight w:val="none"/>
              </w:rPr>
            </w:pPr>
            <w:r>
              <w:rPr>
                <w:rStyle w:val="43"/>
                <w:rFonts w:ascii="宋体" w:hAnsi="宋体"/>
                <w:b/>
                <w:szCs w:val="21"/>
                <w:highlight w:val="none"/>
              </w:rPr>
              <w:t>价格部分：</w:t>
            </w:r>
            <w:r>
              <w:rPr>
                <w:rStyle w:val="43"/>
                <w:rFonts w:hint="eastAsia" w:ascii="宋体" w:hAnsi="宋体"/>
                <w:b/>
                <w:szCs w:val="21"/>
                <w:highlight w:val="none"/>
                <w:u w:val="single" w:color="000000"/>
              </w:rPr>
              <w:t>30</w:t>
            </w:r>
            <w:r>
              <w:rPr>
                <w:rStyle w:val="43"/>
                <w:rFonts w:ascii="宋体" w:hAnsi="宋体"/>
                <w:b/>
                <w:szCs w:val="21"/>
                <w:highlight w:val="none"/>
              </w:rPr>
              <w:t>分</w:t>
            </w:r>
          </w:p>
          <w:p w14:paraId="1D7A00A5">
            <w:pPr>
              <w:tabs>
                <w:tab w:val="left" w:pos="1180"/>
              </w:tabs>
              <w:snapToGrid w:val="0"/>
              <w:spacing w:line="276" w:lineRule="auto"/>
              <w:rPr>
                <w:rStyle w:val="43"/>
                <w:rFonts w:ascii="宋体" w:hAnsi="宋体"/>
                <w:b/>
                <w:szCs w:val="21"/>
                <w:highlight w:val="none"/>
              </w:rPr>
            </w:pPr>
            <w:r>
              <w:rPr>
                <w:rStyle w:val="43"/>
                <w:rFonts w:ascii="宋体" w:hAnsi="宋体"/>
                <w:b/>
                <w:szCs w:val="21"/>
                <w:highlight w:val="none"/>
              </w:rPr>
              <w:t>技术部分：</w:t>
            </w:r>
            <w:r>
              <w:rPr>
                <w:rStyle w:val="43"/>
                <w:rFonts w:hint="eastAsia" w:ascii="宋体" w:hAnsi="宋体"/>
                <w:b/>
                <w:szCs w:val="21"/>
                <w:highlight w:val="none"/>
                <w:u w:val="single" w:color="000000"/>
              </w:rPr>
              <w:t>60</w:t>
            </w:r>
            <w:r>
              <w:rPr>
                <w:rStyle w:val="43"/>
                <w:rFonts w:ascii="宋体" w:hAnsi="宋体"/>
                <w:b/>
                <w:szCs w:val="21"/>
                <w:highlight w:val="none"/>
              </w:rPr>
              <w:t>分</w:t>
            </w:r>
          </w:p>
          <w:p w14:paraId="27AE9F68">
            <w:pPr>
              <w:tabs>
                <w:tab w:val="left" w:pos="1180"/>
              </w:tabs>
              <w:snapToGrid w:val="0"/>
              <w:spacing w:line="276" w:lineRule="auto"/>
              <w:rPr>
                <w:rStyle w:val="43"/>
                <w:rFonts w:ascii="宋体" w:hAnsi="宋体"/>
                <w:b/>
                <w:szCs w:val="21"/>
                <w:highlight w:val="none"/>
              </w:rPr>
            </w:pPr>
            <w:r>
              <w:rPr>
                <w:rStyle w:val="43"/>
                <w:rFonts w:ascii="宋体" w:hAnsi="宋体"/>
                <w:b/>
                <w:szCs w:val="21"/>
                <w:highlight w:val="none"/>
              </w:rPr>
              <w:t>商务部分：</w:t>
            </w:r>
            <w:r>
              <w:rPr>
                <w:rStyle w:val="43"/>
                <w:rFonts w:hint="eastAsia" w:ascii="宋体" w:hAnsi="宋体"/>
                <w:b/>
                <w:szCs w:val="21"/>
                <w:highlight w:val="none"/>
                <w:u w:val="single"/>
              </w:rPr>
              <w:t>10</w:t>
            </w:r>
            <w:r>
              <w:rPr>
                <w:rStyle w:val="43"/>
                <w:rFonts w:ascii="宋体" w:hAnsi="宋体"/>
                <w:b/>
                <w:szCs w:val="21"/>
                <w:highlight w:val="none"/>
              </w:rPr>
              <w:t>分</w:t>
            </w:r>
          </w:p>
        </w:tc>
      </w:tr>
      <w:tr w14:paraId="6B79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922" w:type="dxa"/>
            <w:tcBorders>
              <w:top w:val="single" w:color="000000" w:sz="4" w:space="0"/>
              <w:left w:val="single" w:color="000000" w:sz="4" w:space="0"/>
              <w:bottom w:val="single" w:color="000000" w:sz="4" w:space="0"/>
              <w:right w:val="single" w:color="000000" w:sz="4" w:space="0"/>
            </w:tcBorders>
            <w:vAlign w:val="center"/>
          </w:tcPr>
          <w:p w14:paraId="08ACDE9F">
            <w:pPr>
              <w:snapToGrid w:val="0"/>
              <w:spacing w:line="276" w:lineRule="auto"/>
              <w:jc w:val="center"/>
              <w:rPr>
                <w:rStyle w:val="43"/>
                <w:rFonts w:ascii="宋体" w:hAnsi="宋体"/>
                <w:b/>
                <w:szCs w:val="21"/>
                <w:highlight w:val="none"/>
              </w:rPr>
            </w:pPr>
            <w:r>
              <w:rPr>
                <w:rStyle w:val="43"/>
                <w:rFonts w:ascii="宋体" w:hAnsi="宋体"/>
                <w:b/>
                <w:szCs w:val="21"/>
                <w:highlight w:val="none"/>
              </w:rPr>
              <w:t>2.2.2</w:t>
            </w:r>
          </w:p>
          <w:p w14:paraId="2E281DCF">
            <w:pPr>
              <w:snapToGrid w:val="0"/>
              <w:spacing w:line="276" w:lineRule="auto"/>
              <w:jc w:val="center"/>
              <w:rPr>
                <w:rStyle w:val="43"/>
                <w:rFonts w:ascii="宋体" w:hAnsi="宋体"/>
                <w:b/>
                <w:szCs w:val="21"/>
                <w:highlight w:val="none"/>
              </w:rPr>
            </w:pPr>
            <w:r>
              <w:rPr>
                <w:rStyle w:val="43"/>
                <w:rFonts w:ascii="宋体" w:hAnsi="宋体"/>
                <w:b/>
                <w:szCs w:val="21"/>
                <w:highlight w:val="none"/>
              </w:rPr>
              <w:t>（1）</w:t>
            </w:r>
          </w:p>
        </w:tc>
        <w:tc>
          <w:tcPr>
            <w:tcW w:w="3301" w:type="dxa"/>
            <w:gridSpan w:val="2"/>
            <w:tcBorders>
              <w:top w:val="single" w:color="000000" w:sz="4" w:space="0"/>
              <w:left w:val="single" w:color="000000" w:sz="4" w:space="0"/>
              <w:bottom w:val="single" w:color="000000" w:sz="4" w:space="0"/>
              <w:right w:val="single" w:color="000000" w:sz="4" w:space="0"/>
            </w:tcBorders>
            <w:vAlign w:val="center"/>
          </w:tcPr>
          <w:p w14:paraId="50FD89E3">
            <w:pPr>
              <w:snapToGrid w:val="0"/>
              <w:spacing w:line="276" w:lineRule="auto"/>
              <w:jc w:val="center"/>
              <w:rPr>
                <w:rStyle w:val="43"/>
                <w:rFonts w:ascii="宋体" w:hAnsi="宋体"/>
                <w:szCs w:val="21"/>
                <w:highlight w:val="none"/>
              </w:rPr>
            </w:pPr>
            <w:r>
              <w:rPr>
                <w:rStyle w:val="43"/>
                <w:rFonts w:ascii="宋体" w:hAnsi="宋体"/>
                <w:b/>
                <w:szCs w:val="21"/>
                <w:highlight w:val="none"/>
                <w:lang w:val="zh-CN"/>
              </w:rPr>
              <w:t>投标报价（</w:t>
            </w:r>
            <w:r>
              <w:rPr>
                <w:rStyle w:val="43"/>
                <w:rFonts w:hint="eastAsia" w:ascii="宋体" w:hAnsi="宋体"/>
                <w:b/>
                <w:szCs w:val="21"/>
                <w:highlight w:val="none"/>
              </w:rPr>
              <w:t>30</w:t>
            </w:r>
            <w:r>
              <w:rPr>
                <w:rStyle w:val="43"/>
                <w:rFonts w:ascii="宋体" w:hAnsi="宋体"/>
                <w:b/>
                <w:szCs w:val="21"/>
                <w:highlight w:val="none"/>
                <w:lang w:val="zh-CN"/>
              </w:rPr>
              <w:t>分）</w:t>
            </w:r>
          </w:p>
        </w:tc>
        <w:tc>
          <w:tcPr>
            <w:tcW w:w="5531" w:type="dxa"/>
            <w:tcBorders>
              <w:top w:val="single" w:color="000000" w:sz="4" w:space="0"/>
              <w:left w:val="single" w:color="000000" w:sz="4" w:space="0"/>
              <w:bottom w:val="single" w:color="000000" w:sz="4" w:space="0"/>
              <w:right w:val="single" w:color="000000" w:sz="4" w:space="0"/>
            </w:tcBorders>
            <w:vAlign w:val="center"/>
          </w:tcPr>
          <w:p w14:paraId="05772639">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rPr>
              <w:t>以所</w:t>
            </w:r>
            <w:r>
              <w:rPr>
                <w:rStyle w:val="43"/>
                <w:rFonts w:ascii="宋体" w:hAnsi="宋体" w:cs="Times New Roman"/>
                <w:sz w:val="18"/>
                <w:szCs w:val="18"/>
                <w:highlight w:val="none"/>
              </w:rPr>
              <w:t>有</w:t>
            </w:r>
            <w:r>
              <w:rPr>
                <w:rStyle w:val="43"/>
                <w:rFonts w:hint="eastAsia" w:ascii="宋体" w:hAnsi="宋体" w:cs="Times New Roman"/>
                <w:sz w:val="18"/>
                <w:szCs w:val="18"/>
                <w:highlight w:val="none"/>
              </w:rPr>
              <w:t>有</w:t>
            </w:r>
            <w:r>
              <w:rPr>
                <w:rStyle w:val="43"/>
                <w:rFonts w:ascii="宋体" w:hAnsi="宋体" w:cs="Times New Roman"/>
                <w:sz w:val="18"/>
                <w:szCs w:val="18"/>
                <w:highlight w:val="none"/>
              </w:rPr>
              <w:t>效投标报价</w:t>
            </w:r>
            <w:r>
              <w:rPr>
                <w:rStyle w:val="43"/>
                <w:rFonts w:hint="eastAsia" w:ascii="宋体" w:hAnsi="宋体" w:cs="Times New Roman"/>
                <w:sz w:val="18"/>
                <w:szCs w:val="18"/>
                <w:highlight w:val="none"/>
              </w:rPr>
              <w:t>的</w:t>
            </w:r>
            <w:r>
              <w:rPr>
                <w:rStyle w:val="43"/>
                <w:rFonts w:ascii="宋体" w:hAnsi="宋体" w:cs="Times New Roman"/>
                <w:sz w:val="18"/>
                <w:szCs w:val="18"/>
                <w:highlight w:val="none"/>
              </w:rPr>
              <w:t>算术平均值作为评标基准价，各有效报价与评标基准价相比，等于评标基准价时得满分，其它报价与评标基准价相比，每高出1%扣</w:t>
            </w:r>
            <w:r>
              <w:rPr>
                <w:rStyle w:val="43"/>
                <w:rFonts w:hint="eastAsia" w:ascii="宋体" w:hAnsi="宋体" w:cs="Times New Roman"/>
                <w:sz w:val="18"/>
                <w:szCs w:val="18"/>
                <w:highlight w:val="none"/>
              </w:rPr>
              <w:t>0.1</w:t>
            </w:r>
            <w:r>
              <w:rPr>
                <w:rStyle w:val="43"/>
                <w:rFonts w:ascii="宋体" w:hAnsi="宋体" w:cs="Times New Roman"/>
                <w:sz w:val="18"/>
                <w:szCs w:val="18"/>
                <w:highlight w:val="none"/>
              </w:rPr>
              <w:t>分，每低出1%扣0.</w:t>
            </w:r>
            <w:r>
              <w:rPr>
                <w:rStyle w:val="43"/>
                <w:rFonts w:hint="eastAsia" w:ascii="宋体" w:hAnsi="宋体" w:cs="Times New Roman"/>
                <w:sz w:val="18"/>
                <w:szCs w:val="18"/>
                <w:highlight w:val="none"/>
              </w:rPr>
              <w:t>05</w:t>
            </w:r>
            <w:r>
              <w:rPr>
                <w:rStyle w:val="43"/>
                <w:rFonts w:ascii="宋体" w:hAnsi="宋体" w:cs="Times New Roman"/>
                <w:sz w:val="18"/>
                <w:szCs w:val="18"/>
                <w:highlight w:val="none"/>
              </w:rPr>
              <w:t>分，扣完为止。</w:t>
            </w:r>
          </w:p>
        </w:tc>
      </w:tr>
      <w:tr w14:paraId="31F44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14:paraId="12EED453">
            <w:pPr>
              <w:snapToGrid w:val="0"/>
              <w:spacing w:line="276" w:lineRule="auto"/>
              <w:jc w:val="center"/>
              <w:rPr>
                <w:rStyle w:val="43"/>
                <w:rFonts w:ascii="宋体" w:hAnsi="宋体"/>
                <w:b/>
                <w:szCs w:val="21"/>
                <w:highlight w:val="none"/>
              </w:rPr>
            </w:pPr>
            <w:r>
              <w:rPr>
                <w:rStyle w:val="43"/>
                <w:rFonts w:ascii="宋体" w:hAnsi="宋体"/>
                <w:b/>
                <w:szCs w:val="21"/>
                <w:highlight w:val="none"/>
              </w:rPr>
              <w:t>2.2.2</w:t>
            </w:r>
          </w:p>
          <w:p w14:paraId="6654D828">
            <w:pPr>
              <w:snapToGrid w:val="0"/>
              <w:spacing w:line="276" w:lineRule="auto"/>
              <w:jc w:val="center"/>
              <w:rPr>
                <w:rStyle w:val="43"/>
                <w:rFonts w:ascii="宋体" w:hAnsi="宋体"/>
                <w:b/>
                <w:szCs w:val="21"/>
                <w:highlight w:val="none"/>
              </w:rPr>
            </w:pPr>
            <w:r>
              <w:rPr>
                <w:rStyle w:val="43"/>
                <w:rFonts w:ascii="宋体" w:hAnsi="宋体"/>
                <w:b/>
                <w:szCs w:val="21"/>
                <w:highlight w:val="none"/>
              </w:rPr>
              <w:t>（2）</w:t>
            </w:r>
          </w:p>
        </w:tc>
        <w:tc>
          <w:tcPr>
            <w:tcW w:w="3301" w:type="dxa"/>
            <w:gridSpan w:val="2"/>
            <w:vMerge w:val="restart"/>
            <w:tcBorders>
              <w:top w:val="single" w:color="000000" w:sz="4" w:space="0"/>
              <w:left w:val="single" w:color="000000" w:sz="4" w:space="0"/>
              <w:right w:val="single" w:color="000000" w:sz="4" w:space="0"/>
            </w:tcBorders>
            <w:vAlign w:val="top"/>
          </w:tcPr>
          <w:p w14:paraId="3B0E3E11">
            <w:pPr>
              <w:tabs>
                <w:tab w:val="left" w:pos="1180"/>
              </w:tabs>
              <w:snapToGrid w:val="0"/>
              <w:spacing w:line="276" w:lineRule="auto"/>
              <w:ind w:firstLine="180" w:firstLineChars="100"/>
              <w:rPr>
                <w:rStyle w:val="43"/>
                <w:rFonts w:ascii="宋体" w:hAnsi="宋体" w:cs="Times New Roman"/>
                <w:sz w:val="18"/>
                <w:szCs w:val="18"/>
                <w:highlight w:val="none"/>
                <w:lang w:val="zh-CN"/>
              </w:rPr>
            </w:pPr>
          </w:p>
          <w:p w14:paraId="3A5C03EC">
            <w:pPr>
              <w:tabs>
                <w:tab w:val="left" w:pos="1180"/>
              </w:tabs>
              <w:snapToGrid w:val="0"/>
              <w:spacing w:line="276" w:lineRule="auto"/>
              <w:ind w:firstLine="180" w:firstLineChars="100"/>
              <w:rPr>
                <w:rStyle w:val="43"/>
                <w:rFonts w:ascii="宋体" w:hAnsi="宋体" w:cs="Times New Roman"/>
                <w:sz w:val="18"/>
                <w:szCs w:val="18"/>
                <w:highlight w:val="none"/>
                <w:lang w:val="zh-CN"/>
              </w:rPr>
            </w:pPr>
          </w:p>
          <w:p w14:paraId="6FD1BA82">
            <w:pPr>
              <w:tabs>
                <w:tab w:val="left" w:pos="1180"/>
              </w:tabs>
              <w:snapToGrid w:val="0"/>
              <w:spacing w:line="276" w:lineRule="auto"/>
              <w:ind w:firstLine="180" w:firstLineChars="100"/>
              <w:rPr>
                <w:rStyle w:val="43"/>
                <w:rFonts w:ascii="宋体" w:hAnsi="宋体" w:cs="Times New Roman"/>
                <w:sz w:val="18"/>
                <w:szCs w:val="18"/>
                <w:highlight w:val="none"/>
                <w:lang w:val="zh-CN"/>
              </w:rPr>
            </w:pPr>
          </w:p>
          <w:p w14:paraId="144E1076">
            <w:pPr>
              <w:tabs>
                <w:tab w:val="left" w:pos="1180"/>
              </w:tabs>
              <w:snapToGrid w:val="0"/>
              <w:spacing w:line="276" w:lineRule="auto"/>
              <w:ind w:firstLine="180" w:firstLineChars="100"/>
              <w:rPr>
                <w:rStyle w:val="43"/>
                <w:rFonts w:ascii="宋体" w:hAnsi="宋体" w:cs="Times New Roman"/>
                <w:sz w:val="18"/>
                <w:szCs w:val="18"/>
                <w:highlight w:val="none"/>
                <w:lang w:val="zh-CN"/>
              </w:rPr>
            </w:pPr>
          </w:p>
          <w:p w14:paraId="7CA54E0F">
            <w:pPr>
              <w:tabs>
                <w:tab w:val="left" w:pos="1180"/>
              </w:tabs>
              <w:snapToGrid w:val="0"/>
              <w:spacing w:line="276" w:lineRule="auto"/>
              <w:ind w:firstLine="180" w:firstLineChars="100"/>
              <w:rPr>
                <w:rStyle w:val="43"/>
                <w:rFonts w:ascii="宋体" w:hAnsi="宋体" w:cs="Times New Roman"/>
                <w:sz w:val="18"/>
                <w:szCs w:val="18"/>
                <w:highlight w:val="none"/>
                <w:lang w:val="zh-CN"/>
              </w:rPr>
            </w:pPr>
          </w:p>
          <w:p w14:paraId="43C4C6DF">
            <w:pPr>
              <w:tabs>
                <w:tab w:val="left" w:pos="1180"/>
              </w:tabs>
              <w:snapToGrid w:val="0"/>
              <w:spacing w:line="276" w:lineRule="auto"/>
              <w:ind w:firstLine="180" w:firstLineChars="100"/>
              <w:rPr>
                <w:rStyle w:val="43"/>
                <w:rFonts w:ascii="宋体" w:hAnsi="宋体" w:cs="Times New Roman"/>
                <w:sz w:val="18"/>
                <w:szCs w:val="18"/>
                <w:highlight w:val="none"/>
                <w:lang w:val="zh-CN"/>
              </w:rPr>
            </w:pPr>
          </w:p>
          <w:p w14:paraId="250DE6F9">
            <w:pPr>
              <w:tabs>
                <w:tab w:val="left" w:pos="1180"/>
              </w:tabs>
              <w:snapToGrid w:val="0"/>
              <w:spacing w:line="276" w:lineRule="auto"/>
              <w:rPr>
                <w:rStyle w:val="43"/>
                <w:rFonts w:ascii="宋体" w:hAnsi="宋体" w:cs="Times New Roman"/>
                <w:b/>
                <w:bCs/>
                <w:sz w:val="18"/>
                <w:szCs w:val="18"/>
                <w:highlight w:val="none"/>
                <w:lang w:val="zh-CN"/>
              </w:rPr>
            </w:pPr>
          </w:p>
          <w:p w14:paraId="12BD27F4">
            <w:pPr>
              <w:tabs>
                <w:tab w:val="left" w:pos="1180"/>
              </w:tabs>
              <w:snapToGrid w:val="0"/>
              <w:spacing w:line="276" w:lineRule="auto"/>
              <w:ind w:firstLine="542" w:firstLineChars="300"/>
              <w:rPr>
                <w:rStyle w:val="43"/>
                <w:rFonts w:ascii="宋体" w:hAnsi="宋体" w:cs="Times New Roman"/>
                <w:b/>
                <w:bCs/>
                <w:sz w:val="18"/>
                <w:szCs w:val="18"/>
                <w:highlight w:val="none"/>
                <w:lang w:val="zh-CN"/>
              </w:rPr>
            </w:pPr>
          </w:p>
          <w:p w14:paraId="6560F2C5">
            <w:pPr>
              <w:snapToGrid w:val="0"/>
              <w:spacing w:line="276" w:lineRule="auto"/>
              <w:jc w:val="center"/>
              <w:rPr>
                <w:rStyle w:val="43"/>
                <w:rFonts w:ascii="宋体" w:hAnsi="宋体" w:cs="Times New Roman"/>
                <w:b/>
                <w:szCs w:val="21"/>
                <w:highlight w:val="none"/>
              </w:rPr>
            </w:pPr>
            <w:r>
              <w:rPr>
                <w:rStyle w:val="43"/>
                <w:rFonts w:hint="eastAsia" w:ascii="宋体" w:hAnsi="宋体" w:cs="Times New Roman"/>
                <w:b/>
                <w:szCs w:val="21"/>
                <w:highlight w:val="none"/>
                <w:lang w:val="zh-CN"/>
              </w:rPr>
              <w:t>技术部分</w:t>
            </w:r>
            <w:r>
              <w:rPr>
                <w:rStyle w:val="43"/>
                <w:rFonts w:hint="eastAsia" w:ascii="宋体" w:hAnsi="宋体" w:cs="Times New Roman"/>
                <w:b/>
                <w:szCs w:val="21"/>
                <w:highlight w:val="none"/>
              </w:rPr>
              <w:t>（60</w:t>
            </w:r>
            <w:r>
              <w:rPr>
                <w:rStyle w:val="43"/>
                <w:rFonts w:hint="eastAsia" w:ascii="宋体" w:hAnsi="宋体" w:cs="Times New Roman"/>
                <w:b/>
                <w:szCs w:val="21"/>
                <w:highlight w:val="none"/>
                <w:lang w:val="zh-CN"/>
              </w:rPr>
              <w:t>分</w:t>
            </w:r>
            <w:r>
              <w:rPr>
                <w:rStyle w:val="43"/>
                <w:rFonts w:hint="eastAsia" w:ascii="宋体" w:hAnsi="宋体" w:cs="Times New Roman"/>
                <w:b/>
                <w:szCs w:val="21"/>
                <w:highlight w:val="none"/>
              </w:rPr>
              <w:t>）</w:t>
            </w:r>
          </w:p>
          <w:p w14:paraId="0276FEF0">
            <w:pPr>
              <w:rPr>
                <w:sz w:val="18"/>
                <w:szCs w:val="18"/>
                <w:highlight w:val="none"/>
              </w:rPr>
            </w:pPr>
          </w:p>
          <w:p w14:paraId="6EFA55F4">
            <w:pPr>
              <w:tabs>
                <w:tab w:val="left" w:pos="1180"/>
              </w:tabs>
              <w:snapToGrid w:val="0"/>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2C59732E">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ascii="宋体" w:hAnsi="宋体" w:cs="Times New Roman"/>
                <w:sz w:val="18"/>
                <w:szCs w:val="18"/>
                <w:highlight w:val="none"/>
              </w:rPr>
              <w:t>确保工程质量的技术组织措施</w:t>
            </w:r>
            <w:r>
              <w:rPr>
                <w:rStyle w:val="43"/>
                <w:rFonts w:hint="eastAsia" w:ascii="宋体" w:hAnsi="宋体" w:cs="Times New Roman"/>
                <w:sz w:val="18"/>
                <w:szCs w:val="18"/>
                <w:highlight w:val="none"/>
              </w:rPr>
              <w:t>：科学性、合理性、可行性（2.0-5.0分）</w:t>
            </w:r>
          </w:p>
        </w:tc>
      </w:tr>
      <w:tr w14:paraId="4E3C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22" w:type="dxa"/>
            <w:vMerge w:val="continue"/>
            <w:tcBorders>
              <w:left w:val="single" w:color="000000" w:sz="4" w:space="0"/>
              <w:right w:val="single" w:color="000000" w:sz="4" w:space="0"/>
            </w:tcBorders>
            <w:vAlign w:val="center"/>
          </w:tcPr>
          <w:p w14:paraId="02DCCB69">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019B85E6">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0AA3AC1C">
            <w:pPr>
              <w:pStyle w:val="33"/>
              <w:ind w:firstLine="360" w:firstLineChars="200"/>
              <w:rPr>
                <w:rStyle w:val="43"/>
                <w:rFonts w:hAnsi="宋体" w:cs="Times New Roman"/>
                <w:kern w:val="2"/>
                <w:sz w:val="18"/>
                <w:szCs w:val="18"/>
                <w:highlight w:val="none"/>
              </w:rPr>
            </w:pPr>
            <w:r>
              <w:rPr>
                <w:rStyle w:val="43"/>
                <w:rFonts w:hAnsi="宋体" w:cs="Times New Roman"/>
                <w:kern w:val="2"/>
                <w:sz w:val="18"/>
                <w:szCs w:val="18"/>
                <w:highlight w:val="none"/>
              </w:rPr>
              <w:t>确保安全生产的技术组织措施</w:t>
            </w:r>
            <w:r>
              <w:rPr>
                <w:rStyle w:val="43"/>
                <w:rFonts w:hint="eastAsia" w:hAnsi="宋体" w:cs="Times New Roman"/>
                <w:kern w:val="2"/>
                <w:sz w:val="18"/>
                <w:szCs w:val="18"/>
                <w:highlight w:val="none"/>
              </w:rPr>
              <w:t>：科学性、合理性、可行性（2.0-</w:t>
            </w:r>
            <w:r>
              <w:rPr>
                <w:rStyle w:val="43"/>
                <w:rFonts w:hint="eastAsia" w:hAnsi="宋体" w:cs="Times New Roman"/>
                <w:kern w:val="2"/>
                <w:sz w:val="18"/>
                <w:szCs w:val="18"/>
                <w:highlight w:val="none"/>
                <w:lang w:val="en-US" w:eastAsia="zh-CN"/>
              </w:rPr>
              <w:t>5</w:t>
            </w:r>
            <w:r>
              <w:rPr>
                <w:rStyle w:val="43"/>
                <w:rFonts w:hint="eastAsia" w:hAnsi="宋体" w:cs="Times New Roman"/>
                <w:kern w:val="2"/>
                <w:sz w:val="18"/>
                <w:szCs w:val="18"/>
                <w:highlight w:val="none"/>
              </w:rPr>
              <w:t>.0分）</w:t>
            </w:r>
          </w:p>
        </w:tc>
      </w:tr>
      <w:tr w14:paraId="05C45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922" w:type="dxa"/>
            <w:vMerge w:val="continue"/>
            <w:tcBorders>
              <w:left w:val="single" w:color="000000" w:sz="4" w:space="0"/>
              <w:right w:val="single" w:color="000000" w:sz="4" w:space="0"/>
            </w:tcBorders>
            <w:vAlign w:val="center"/>
          </w:tcPr>
          <w:p w14:paraId="41E7A4F8">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3C20AE5F">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2BAE4B8A">
            <w:pPr>
              <w:pStyle w:val="33"/>
              <w:ind w:firstLine="360" w:firstLineChars="200"/>
              <w:rPr>
                <w:rStyle w:val="43"/>
                <w:rFonts w:hAnsi="宋体" w:cs="Times New Roman"/>
                <w:kern w:val="2"/>
                <w:sz w:val="18"/>
                <w:szCs w:val="18"/>
                <w:highlight w:val="none"/>
              </w:rPr>
            </w:pPr>
            <w:r>
              <w:rPr>
                <w:rStyle w:val="43"/>
                <w:rFonts w:hint="eastAsia" w:hAnsi="宋体" w:cs="Times New Roman"/>
                <w:kern w:val="2"/>
                <w:sz w:val="18"/>
                <w:szCs w:val="18"/>
                <w:highlight w:val="none"/>
              </w:rPr>
              <w:t>确保文明施工的技术组织措施及环境保护措施：科学性、合理性、可行性（2.0-</w:t>
            </w:r>
            <w:r>
              <w:rPr>
                <w:rStyle w:val="43"/>
                <w:rFonts w:hint="eastAsia" w:hAnsi="宋体" w:cs="Times New Roman"/>
                <w:kern w:val="2"/>
                <w:sz w:val="18"/>
                <w:szCs w:val="18"/>
                <w:highlight w:val="none"/>
                <w:lang w:val="en-US" w:eastAsia="zh-CN"/>
              </w:rPr>
              <w:t>5</w:t>
            </w:r>
            <w:r>
              <w:rPr>
                <w:rStyle w:val="43"/>
                <w:rFonts w:hint="eastAsia" w:hAnsi="宋体" w:cs="Times New Roman"/>
                <w:kern w:val="2"/>
                <w:sz w:val="18"/>
                <w:szCs w:val="18"/>
                <w:highlight w:val="none"/>
              </w:rPr>
              <w:t>.0分）</w:t>
            </w:r>
          </w:p>
        </w:tc>
      </w:tr>
      <w:tr w14:paraId="63C2C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22" w:type="dxa"/>
            <w:vMerge w:val="continue"/>
            <w:tcBorders>
              <w:left w:val="single" w:color="000000" w:sz="4" w:space="0"/>
              <w:right w:val="single" w:color="000000" w:sz="4" w:space="0"/>
            </w:tcBorders>
            <w:vAlign w:val="center"/>
          </w:tcPr>
          <w:p w14:paraId="4043F162">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54B8F148">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6A27CD2B">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ascii="宋体" w:hAnsi="宋体" w:cs="Times New Roman"/>
                <w:sz w:val="18"/>
                <w:szCs w:val="18"/>
                <w:highlight w:val="none"/>
              </w:rPr>
              <w:t>确保工期的技术组织措施</w:t>
            </w:r>
            <w:r>
              <w:rPr>
                <w:rStyle w:val="43"/>
                <w:rFonts w:hint="eastAsia" w:ascii="宋体" w:hAnsi="宋体" w:cs="Times New Roman"/>
                <w:sz w:val="18"/>
                <w:szCs w:val="18"/>
                <w:highlight w:val="none"/>
              </w:rPr>
              <w:t>：科学性、合理性、可行性（2.0-</w:t>
            </w:r>
            <w:r>
              <w:rPr>
                <w:rStyle w:val="43"/>
                <w:rFonts w:hint="eastAsia" w:ascii="宋体" w:hAnsi="宋体" w:cs="Times New Roman"/>
                <w:sz w:val="18"/>
                <w:szCs w:val="18"/>
                <w:highlight w:val="none"/>
                <w:lang w:val="en-US" w:eastAsia="zh-CN"/>
              </w:rPr>
              <w:t>5</w:t>
            </w:r>
            <w:r>
              <w:rPr>
                <w:rStyle w:val="43"/>
                <w:rFonts w:hint="eastAsia" w:ascii="宋体" w:hAnsi="宋体" w:cs="Times New Roman"/>
                <w:sz w:val="18"/>
                <w:szCs w:val="18"/>
                <w:highlight w:val="none"/>
              </w:rPr>
              <w:t>.0分）</w:t>
            </w:r>
          </w:p>
        </w:tc>
      </w:tr>
      <w:tr w14:paraId="3434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22" w:type="dxa"/>
            <w:vMerge w:val="continue"/>
            <w:tcBorders>
              <w:left w:val="single" w:color="000000" w:sz="4" w:space="0"/>
              <w:right w:val="single" w:color="000000" w:sz="4" w:space="0"/>
            </w:tcBorders>
            <w:vAlign w:val="center"/>
          </w:tcPr>
          <w:p w14:paraId="1F491078">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7D5D2C5B">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697BB255">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ascii="宋体" w:hAnsi="宋体" w:cs="Times New Roman"/>
                <w:sz w:val="18"/>
                <w:szCs w:val="18"/>
                <w:highlight w:val="none"/>
              </w:rPr>
              <w:t>项目组织机构及项目经理部组成人员</w:t>
            </w:r>
            <w:r>
              <w:rPr>
                <w:rStyle w:val="43"/>
                <w:rFonts w:hint="eastAsia" w:ascii="宋体" w:hAnsi="宋体" w:cs="Times New Roman"/>
                <w:sz w:val="18"/>
                <w:szCs w:val="18"/>
                <w:highlight w:val="none"/>
              </w:rPr>
              <w:t>：科学性、合理性、可行性（2.0-</w:t>
            </w:r>
            <w:r>
              <w:rPr>
                <w:rStyle w:val="43"/>
                <w:rFonts w:hint="eastAsia" w:ascii="宋体" w:hAnsi="宋体" w:cs="Times New Roman"/>
                <w:sz w:val="18"/>
                <w:szCs w:val="18"/>
                <w:highlight w:val="none"/>
                <w:lang w:val="en-US" w:eastAsia="zh-CN"/>
              </w:rPr>
              <w:t>5</w:t>
            </w:r>
            <w:r>
              <w:rPr>
                <w:rStyle w:val="43"/>
                <w:rFonts w:hint="eastAsia" w:ascii="宋体" w:hAnsi="宋体" w:cs="Times New Roman"/>
                <w:sz w:val="18"/>
                <w:szCs w:val="18"/>
                <w:highlight w:val="none"/>
              </w:rPr>
              <w:t>.0分）</w:t>
            </w:r>
          </w:p>
        </w:tc>
      </w:tr>
      <w:tr w14:paraId="0CEE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22" w:type="dxa"/>
            <w:vMerge w:val="continue"/>
            <w:tcBorders>
              <w:left w:val="single" w:color="000000" w:sz="4" w:space="0"/>
              <w:right w:val="single" w:color="000000" w:sz="4" w:space="0"/>
            </w:tcBorders>
            <w:vAlign w:val="center"/>
          </w:tcPr>
          <w:p w14:paraId="22B26D7D">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24A9042C">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1F08BECB">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rPr>
              <w:t>突发事件应急预案：科学性、合理性、可行性（2.0-</w:t>
            </w:r>
            <w:r>
              <w:rPr>
                <w:rStyle w:val="43"/>
                <w:rFonts w:hint="eastAsia" w:ascii="宋体" w:hAnsi="宋体" w:cs="Times New Roman"/>
                <w:sz w:val="18"/>
                <w:szCs w:val="18"/>
                <w:highlight w:val="none"/>
                <w:lang w:val="en-US" w:eastAsia="zh-CN"/>
              </w:rPr>
              <w:t>5</w:t>
            </w:r>
            <w:r>
              <w:rPr>
                <w:rStyle w:val="43"/>
                <w:rFonts w:hint="eastAsia" w:ascii="宋体" w:hAnsi="宋体" w:cs="Times New Roman"/>
                <w:sz w:val="18"/>
                <w:szCs w:val="18"/>
                <w:highlight w:val="none"/>
              </w:rPr>
              <w:t>.0分）</w:t>
            </w:r>
          </w:p>
        </w:tc>
      </w:tr>
      <w:tr w14:paraId="1C288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22" w:type="dxa"/>
            <w:vMerge w:val="continue"/>
            <w:tcBorders>
              <w:left w:val="single" w:color="000000" w:sz="4" w:space="0"/>
              <w:right w:val="single" w:color="000000" w:sz="4" w:space="0"/>
            </w:tcBorders>
            <w:vAlign w:val="center"/>
          </w:tcPr>
          <w:p w14:paraId="5A7B9E94">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593E875D">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6971749D">
            <w:pPr>
              <w:tabs>
                <w:tab w:val="left" w:pos="1180"/>
              </w:tabs>
              <w:snapToGrid w:val="0"/>
              <w:spacing w:line="276" w:lineRule="auto"/>
              <w:ind w:firstLine="360" w:firstLineChars="200"/>
              <w:jc w:val="left"/>
              <w:rPr>
                <w:rStyle w:val="43"/>
                <w:rFonts w:hint="eastAsia"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lang w:val="en-US" w:eastAsia="zh-CN"/>
              </w:rPr>
              <w:t>技术方案</w:t>
            </w:r>
            <w:r>
              <w:rPr>
                <w:rStyle w:val="43"/>
                <w:rFonts w:hint="eastAsia" w:ascii="宋体" w:hAnsi="宋体" w:cs="Times New Roman" w:eastAsiaTheme="minorEastAsia"/>
                <w:sz w:val="18"/>
                <w:szCs w:val="18"/>
                <w:highlight w:val="none"/>
              </w:rPr>
              <w:t>（0-9分）</w:t>
            </w:r>
          </w:p>
          <w:p w14:paraId="01C11F08">
            <w:pPr>
              <w:tabs>
                <w:tab w:val="left" w:pos="1180"/>
              </w:tabs>
              <w:snapToGrid w:val="0"/>
              <w:spacing w:line="276" w:lineRule="auto"/>
              <w:ind w:firstLine="360" w:firstLineChars="200"/>
              <w:jc w:val="left"/>
              <w:rPr>
                <w:rStyle w:val="43"/>
                <w:rFonts w:hint="eastAsia"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一、投标人针对本项目提供详细的技术方案，包含但不限于系统总体架构图、网络拓扑、</w:t>
            </w:r>
            <w:r>
              <w:rPr>
                <w:rStyle w:val="43"/>
                <w:rFonts w:hint="eastAsia" w:ascii="宋体" w:hAnsi="宋体" w:cs="Times New Roman" w:eastAsiaTheme="minorEastAsia"/>
                <w:sz w:val="18"/>
                <w:szCs w:val="18"/>
                <w:highlight w:val="none"/>
                <w:lang w:val="en-US" w:eastAsia="zh-CN"/>
              </w:rPr>
              <w:t>业务</w:t>
            </w:r>
            <w:r>
              <w:rPr>
                <w:rStyle w:val="43"/>
                <w:rFonts w:hint="eastAsia" w:ascii="宋体" w:hAnsi="宋体" w:cs="Times New Roman" w:eastAsiaTheme="minorEastAsia"/>
                <w:sz w:val="18"/>
                <w:szCs w:val="18"/>
                <w:highlight w:val="none"/>
              </w:rPr>
              <w:t>流图等，同时需从</w:t>
            </w:r>
            <w:r>
              <w:rPr>
                <w:rStyle w:val="43"/>
                <w:rFonts w:hint="eastAsia" w:ascii="宋体" w:hAnsi="宋体" w:cs="Times New Roman" w:eastAsiaTheme="minorEastAsia"/>
                <w:sz w:val="18"/>
                <w:szCs w:val="18"/>
                <w:highlight w:val="none"/>
                <w:lang w:val="en-US" w:eastAsia="zh-CN"/>
              </w:rPr>
              <w:t>背景、现状、需求分析、总体设计、对接设计、国产化设计</w:t>
            </w:r>
            <w:r>
              <w:rPr>
                <w:rStyle w:val="43"/>
                <w:rFonts w:hint="eastAsia" w:ascii="宋体" w:hAnsi="宋体" w:cs="Times New Roman" w:eastAsiaTheme="minorEastAsia"/>
                <w:sz w:val="18"/>
                <w:szCs w:val="18"/>
                <w:highlight w:val="none"/>
              </w:rPr>
              <w:t>等方面进行响应。</w:t>
            </w:r>
          </w:p>
          <w:p w14:paraId="7D13FB51">
            <w:pPr>
              <w:tabs>
                <w:tab w:val="left" w:pos="1180"/>
              </w:tabs>
              <w:snapToGrid w:val="0"/>
              <w:spacing w:line="276" w:lineRule="auto"/>
              <w:ind w:firstLine="360" w:firstLineChars="200"/>
              <w:jc w:val="left"/>
              <w:rPr>
                <w:rStyle w:val="43"/>
                <w:rFonts w:hint="default"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①技术方案专业、科学、合理，与本项目契合度高的计</w:t>
            </w:r>
            <w:r>
              <w:rPr>
                <w:rStyle w:val="43"/>
                <w:rFonts w:hint="eastAsia" w:ascii="宋体" w:hAnsi="宋体" w:cs="Times New Roman" w:eastAsiaTheme="minorEastAsia"/>
                <w:sz w:val="18"/>
                <w:szCs w:val="18"/>
                <w:highlight w:val="none"/>
                <w:lang w:val="en-US" w:eastAsia="zh-CN"/>
              </w:rPr>
              <w:t>9</w:t>
            </w:r>
            <w:r>
              <w:rPr>
                <w:rStyle w:val="43"/>
                <w:rFonts w:hint="eastAsia" w:ascii="宋体" w:hAnsi="宋体" w:cs="Times New Roman" w:eastAsiaTheme="minorEastAsia"/>
                <w:sz w:val="18"/>
                <w:szCs w:val="18"/>
                <w:highlight w:val="none"/>
              </w:rPr>
              <w:t>分；</w:t>
            </w:r>
          </w:p>
          <w:p w14:paraId="40F09EBF">
            <w:pPr>
              <w:tabs>
                <w:tab w:val="left" w:pos="1180"/>
              </w:tabs>
              <w:snapToGrid w:val="0"/>
              <w:spacing w:line="276" w:lineRule="auto"/>
              <w:ind w:firstLine="360" w:firstLineChars="200"/>
              <w:jc w:val="left"/>
              <w:rPr>
                <w:rStyle w:val="43"/>
                <w:rFonts w:hint="default"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②技术方案基本专业、科学、合理，与本项目具有一定契合度的计</w:t>
            </w:r>
            <w:r>
              <w:rPr>
                <w:rStyle w:val="43"/>
                <w:rFonts w:hint="eastAsia" w:ascii="宋体" w:hAnsi="宋体" w:cs="Times New Roman" w:eastAsiaTheme="minorEastAsia"/>
                <w:sz w:val="18"/>
                <w:szCs w:val="18"/>
                <w:highlight w:val="none"/>
                <w:lang w:val="en-US" w:eastAsia="zh-CN"/>
              </w:rPr>
              <w:t>7</w:t>
            </w:r>
            <w:r>
              <w:rPr>
                <w:rStyle w:val="43"/>
                <w:rFonts w:hint="eastAsia" w:ascii="宋体" w:hAnsi="宋体" w:cs="Times New Roman" w:eastAsiaTheme="minorEastAsia"/>
                <w:sz w:val="18"/>
                <w:szCs w:val="18"/>
                <w:highlight w:val="none"/>
              </w:rPr>
              <w:t>分；</w:t>
            </w:r>
          </w:p>
          <w:p w14:paraId="398AEA4D">
            <w:pPr>
              <w:tabs>
                <w:tab w:val="left" w:pos="1180"/>
              </w:tabs>
              <w:snapToGrid w:val="0"/>
              <w:spacing w:line="276" w:lineRule="auto"/>
              <w:ind w:firstLine="360" w:firstLineChars="200"/>
              <w:jc w:val="left"/>
              <w:rPr>
                <w:rStyle w:val="43"/>
                <w:rFonts w:hint="default"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③技术方案不够专业、科学、合理，与本项目契合度有待提高的计</w:t>
            </w:r>
            <w:r>
              <w:rPr>
                <w:rStyle w:val="43"/>
                <w:rFonts w:hint="eastAsia" w:ascii="宋体" w:hAnsi="宋体" w:cs="Times New Roman" w:eastAsiaTheme="minorEastAsia"/>
                <w:sz w:val="18"/>
                <w:szCs w:val="18"/>
                <w:highlight w:val="none"/>
                <w:lang w:val="en-US" w:eastAsia="zh-CN"/>
              </w:rPr>
              <w:t>5</w:t>
            </w:r>
            <w:r>
              <w:rPr>
                <w:rStyle w:val="43"/>
                <w:rFonts w:hint="eastAsia" w:ascii="宋体" w:hAnsi="宋体" w:cs="Times New Roman" w:eastAsiaTheme="minorEastAsia"/>
                <w:sz w:val="18"/>
                <w:szCs w:val="18"/>
                <w:highlight w:val="none"/>
              </w:rPr>
              <w:t>分；</w:t>
            </w:r>
          </w:p>
          <w:p w14:paraId="7E9FA233">
            <w:pPr>
              <w:tabs>
                <w:tab w:val="left" w:pos="1180"/>
              </w:tabs>
              <w:snapToGrid w:val="0"/>
              <w:spacing w:line="276" w:lineRule="auto"/>
              <w:ind w:firstLine="360" w:firstLineChars="200"/>
              <w:jc w:val="left"/>
              <w:rPr>
                <w:rStyle w:val="43"/>
                <w:rFonts w:hint="default"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④技术方案不专业、不科学、不合理，与本项目契合度不高的计</w:t>
            </w:r>
            <w:r>
              <w:rPr>
                <w:rStyle w:val="43"/>
                <w:rFonts w:hint="eastAsia" w:ascii="宋体" w:hAnsi="宋体" w:cs="Times New Roman" w:eastAsiaTheme="minorEastAsia"/>
                <w:sz w:val="18"/>
                <w:szCs w:val="18"/>
                <w:highlight w:val="none"/>
                <w:lang w:val="en-US" w:eastAsia="zh-CN"/>
              </w:rPr>
              <w:t>3</w:t>
            </w:r>
            <w:r>
              <w:rPr>
                <w:rStyle w:val="43"/>
                <w:rFonts w:hint="eastAsia" w:ascii="宋体" w:hAnsi="宋体" w:cs="Times New Roman" w:eastAsiaTheme="minorEastAsia"/>
                <w:sz w:val="18"/>
                <w:szCs w:val="18"/>
                <w:highlight w:val="none"/>
              </w:rPr>
              <w:t>分；</w:t>
            </w:r>
          </w:p>
          <w:p w14:paraId="64E1BE31">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eastAsiaTheme="minorEastAsia"/>
                <w:sz w:val="18"/>
                <w:szCs w:val="18"/>
                <w:highlight w:val="none"/>
              </w:rPr>
              <w:t>⑤未提供得0分。</w:t>
            </w:r>
          </w:p>
        </w:tc>
      </w:tr>
      <w:tr w14:paraId="35E23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22" w:type="dxa"/>
            <w:vMerge w:val="continue"/>
            <w:tcBorders>
              <w:left w:val="single" w:color="000000" w:sz="4" w:space="0"/>
              <w:right w:val="single" w:color="000000" w:sz="4" w:space="0"/>
            </w:tcBorders>
            <w:vAlign w:val="center"/>
          </w:tcPr>
          <w:p w14:paraId="13AC6E2A">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5E9615CA">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3921A96D">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lang w:val="en-US" w:eastAsia="zh-CN"/>
              </w:rPr>
              <w:t>实施</w:t>
            </w:r>
            <w:r>
              <w:rPr>
                <w:rStyle w:val="43"/>
                <w:rFonts w:hint="eastAsia" w:ascii="宋体" w:hAnsi="宋体" w:cs="Times New Roman"/>
                <w:sz w:val="18"/>
                <w:szCs w:val="18"/>
                <w:highlight w:val="none"/>
              </w:rPr>
              <w:t>方案（0</w:t>
            </w:r>
            <w:r>
              <w:rPr>
                <w:rStyle w:val="43"/>
                <w:rFonts w:hint="eastAsia" w:ascii="宋体" w:hAnsi="宋体" w:cs="Times New Roman"/>
                <w:sz w:val="18"/>
                <w:szCs w:val="18"/>
                <w:highlight w:val="none"/>
                <w:lang w:val="en-US" w:eastAsia="zh-CN"/>
              </w:rPr>
              <w:t>-7</w:t>
            </w:r>
            <w:r>
              <w:rPr>
                <w:rStyle w:val="43"/>
                <w:rFonts w:hint="eastAsia" w:ascii="宋体" w:hAnsi="宋体" w:cs="Times New Roman"/>
                <w:sz w:val="18"/>
                <w:szCs w:val="18"/>
                <w:highlight w:val="none"/>
              </w:rPr>
              <w:t>分）</w:t>
            </w:r>
          </w:p>
          <w:p w14:paraId="3D65BB8B">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lang w:val="en-US" w:eastAsia="zh-CN"/>
              </w:rPr>
              <w:t>实施</w:t>
            </w:r>
            <w:r>
              <w:rPr>
                <w:rStyle w:val="43"/>
                <w:rFonts w:hint="eastAsia" w:ascii="宋体" w:hAnsi="宋体" w:cs="Times New Roman"/>
                <w:sz w:val="18"/>
                <w:szCs w:val="18"/>
                <w:highlight w:val="none"/>
              </w:rPr>
              <w:t>方案，包含但不限于产品备货、配送、安装调试、补（换）货等内容。方案详细、具体，内容齐全，针对性强，可行性强，满足项目需求，得</w:t>
            </w:r>
            <w:r>
              <w:rPr>
                <w:rStyle w:val="43"/>
                <w:rFonts w:hint="eastAsia" w:ascii="宋体" w:hAnsi="宋体" w:cs="Times New Roman"/>
                <w:sz w:val="18"/>
                <w:szCs w:val="18"/>
                <w:highlight w:val="none"/>
                <w:lang w:val="en-US" w:eastAsia="zh-CN"/>
              </w:rPr>
              <w:t>7</w:t>
            </w:r>
            <w:r>
              <w:rPr>
                <w:rStyle w:val="43"/>
                <w:rFonts w:hint="eastAsia" w:ascii="宋体" w:hAnsi="宋体" w:cs="Times New Roman"/>
                <w:sz w:val="18"/>
                <w:szCs w:val="18"/>
                <w:highlight w:val="none"/>
              </w:rPr>
              <w:t>分；方案内容较齐全，较有针对性，较有可行性，得</w:t>
            </w:r>
            <w:r>
              <w:rPr>
                <w:rStyle w:val="43"/>
                <w:rFonts w:hint="eastAsia" w:ascii="宋体" w:hAnsi="宋体" w:cs="Times New Roman"/>
                <w:sz w:val="18"/>
                <w:szCs w:val="18"/>
                <w:highlight w:val="none"/>
                <w:lang w:val="en-US" w:eastAsia="zh-CN"/>
              </w:rPr>
              <w:t>6</w:t>
            </w:r>
            <w:r>
              <w:rPr>
                <w:rStyle w:val="43"/>
                <w:rFonts w:hint="eastAsia" w:ascii="宋体" w:hAnsi="宋体" w:cs="Times New Roman"/>
                <w:sz w:val="18"/>
                <w:szCs w:val="18"/>
                <w:highlight w:val="none"/>
              </w:rPr>
              <w:t>分；方案内容基本齐全，基本可行，得</w:t>
            </w:r>
            <w:r>
              <w:rPr>
                <w:rStyle w:val="43"/>
                <w:rFonts w:hint="eastAsia" w:ascii="宋体" w:hAnsi="宋体" w:cs="Times New Roman"/>
                <w:sz w:val="18"/>
                <w:szCs w:val="18"/>
                <w:highlight w:val="none"/>
                <w:lang w:val="en-US" w:eastAsia="zh-CN"/>
              </w:rPr>
              <w:t>5</w:t>
            </w:r>
            <w:r>
              <w:rPr>
                <w:rStyle w:val="43"/>
                <w:rFonts w:hint="eastAsia" w:ascii="宋体" w:hAnsi="宋体" w:cs="Times New Roman"/>
                <w:sz w:val="18"/>
                <w:szCs w:val="18"/>
                <w:highlight w:val="none"/>
              </w:rPr>
              <w:t>分。方案内容有欠缺，基本可行，得</w:t>
            </w:r>
            <w:r>
              <w:rPr>
                <w:rStyle w:val="43"/>
                <w:rFonts w:hint="eastAsia" w:ascii="宋体" w:hAnsi="宋体" w:cs="Times New Roman"/>
                <w:sz w:val="18"/>
                <w:szCs w:val="18"/>
                <w:highlight w:val="none"/>
                <w:lang w:val="en-US" w:eastAsia="zh-CN"/>
              </w:rPr>
              <w:t>4</w:t>
            </w:r>
            <w:r>
              <w:rPr>
                <w:rStyle w:val="43"/>
                <w:rFonts w:hint="eastAsia" w:ascii="宋体" w:hAnsi="宋体" w:cs="Times New Roman"/>
                <w:sz w:val="18"/>
                <w:szCs w:val="18"/>
                <w:highlight w:val="none"/>
              </w:rPr>
              <w:t>分。方案内容欠缺，</w:t>
            </w:r>
            <w:r>
              <w:rPr>
                <w:rStyle w:val="43"/>
                <w:rFonts w:hint="eastAsia" w:ascii="宋体" w:hAnsi="宋体" w:cs="Times New Roman"/>
                <w:sz w:val="18"/>
                <w:szCs w:val="18"/>
                <w:highlight w:val="none"/>
                <w:lang w:val="en-US" w:eastAsia="zh-CN"/>
              </w:rPr>
              <w:t>部分</w:t>
            </w:r>
            <w:r>
              <w:rPr>
                <w:rStyle w:val="43"/>
                <w:rFonts w:hint="eastAsia" w:ascii="宋体" w:hAnsi="宋体" w:cs="Times New Roman"/>
                <w:sz w:val="18"/>
                <w:szCs w:val="18"/>
                <w:highlight w:val="none"/>
              </w:rPr>
              <w:t>可行，得</w:t>
            </w:r>
            <w:r>
              <w:rPr>
                <w:rStyle w:val="43"/>
                <w:rFonts w:hint="eastAsia" w:ascii="宋体" w:hAnsi="宋体" w:cs="Times New Roman"/>
                <w:sz w:val="18"/>
                <w:szCs w:val="18"/>
                <w:highlight w:val="none"/>
                <w:lang w:val="en-US" w:eastAsia="zh-CN"/>
              </w:rPr>
              <w:t>3</w:t>
            </w:r>
            <w:r>
              <w:rPr>
                <w:rStyle w:val="43"/>
                <w:rFonts w:hint="eastAsia" w:ascii="宋体" w:hAnsi="宋体" w:cs="Times New Roman"/>
                <w:sz w:val="18"/>
                <w:szCs w:val="18"/>
                <w:highlight w:val="none"/>
              </w:rPr>
              <w:t>分。方案内容欠缺</w:t>
            </w:r>
            <w:r>
              <w:rPr>
                <w:rStyle w:val="43"/>
                <w:rFonts w:hint="eastAsia" w:ascii="宋体" w:hAnsi="宋体" w:cs="Times New Roman"/>
                <w:sz w:val="18"/>
                <w:szCs w:val="18"/>
                <w:highlight w:val="none"/>
                <w:lang w:val="en-US" w:eastAsia="zh-CN"/>
              </w:rPr>
              <w:t>严重</w:t>
            </w:r>
            <w:r>
              <w:rPr>
                <w:rStyle w:val="43"/>
                <w:rFonts w:hint="eastAsia" w:ascii="宋体" w:hAnsi="宋体" w:cs="Times New Roman"/>
                <w:sz w:val="18"/>
                <w:szCs w:val="18"/>
                <w:highlight w:val="none"/>
              </w:rPr>
              <w:t>，</w:t>
            </w:r>
            <w:r>
              <w:rPr>
                <w:rStyle w:val="43"/>
                <w:rFonts w:hint="eastAsia" w:ascii="宋体" w:hAnsi="宋体" w:cs="Times New Roman"/>
                <w:sz w:val="18"/>
                <w:szCs w:val="18"/>
                <w:highlight w:val="none"/>
                <w:lang w:val="en-US" w:eastAsia="zh-CN"/>
              </w:rPr>
              <w:t>少部分可行，</w:t>
            </w:r>
            <w:r>
              <w:rPr>
                <w:rStyle w:val="43"/>
                <w:rFonts w:hint="eastAsia" w:ascii="宋体" w:hAnsi="宋体" w:cs="Times New Roman"/>
                <w:sz w:val="18"/>
                <w:szCs w:val="18"/>
                <w:highlight w:val="none"/>
              </w:rPr>
              <w:t>得</w:t>
            </w:r>
            <w:r>
              <w:rPr>
                <w:rStyle w:val="43"/>
                <w:rFonts w:hint="eastAsia" w:ascii="宋体" w:hAnsi="宋体" w:cs="Times New Roman"/>
                <w:sz w:val="18"/>
                <w:szCs w:val="18"/>
                <w:highlight w:val="none"/>
                <w:lang w:val="en-US" w:eastAsia="zh-CN"/>
              </w:rPr>
              <w:t>2</w:t>
            </w:r>
            <w:r>
              <w:rPr>
                <w:rStyle w:val="43"/>
                <w:rFonts w:hint="eastAsia" w:ascii="宋体" w:hAnsi="宋体" w:cs="Times New Roman"/>
                <w:sz w:val="18"/>
                <w:szCs w:val="18"/>
                <w:highlight w:val="none"/>
              </w:rPr>
              <w:t>分。方案内容欠缺</w:t>
            </w:r>
            <w:r>
              <w:rPr>
                <w:rStyle w:val="43"/>
                <w:rFonts w:hint="eastAsia" w:ascii="宋体" w:hAnsi="宋体" w:cs="Times New Roman"/>
                <w:sz w:val="18"/>
                <w:szCs w:val="18"/>
                <w:highlight w:val="none"/>
                <w:lang w:val="en-US" w:eastAsia="zh-CN"/>
              </w:rPr>
              <w:t>严重</w:t>
            </w:r>
            <w:r>
              <w:rPr>
                <w:rStyle w:val="43"/>
                <w:rFonts w:hint="eastAsia" w:ascii="宋体" w:hAnsi="宋体" w:cs="Times New Roman"/>
                <w:sz w:val="18"/>
                <w:szCs w:val="18"/>
                <w:highlight w:val="none"/>
              </w:rPr>
              <w:t>，得</w:t>
            </w:r>
            <w:r>
              <w:rPr>
                <w:rStyle w:val="43"/>
                <w:rFonts w:hint="eastAsia" w:ascii="宋体" w:hAnsi="宋体" w:cs="Times New Roman"/>
                <w:sz w:val="18"/>
                <w:szCs w:val="18"/>
                <w:highlight w:val="none"/>
                <w:lang w:val="en-US" w:eastAsia="zh-CN"/>
              </w:rPr>
              <w:t>1</w:t>
            </w:r>
            <w:r>
              <w:rPr>
                <w:rStyle w:val="43"/>
                <w:rFonts w:hint="eastAsia" w:ascii="宋体" w:hAnsi="宋体" w:cs="Times New Roman"/>
                <w:sz w:val="18"/>
                <w:szCs w:val="18"/>
                <w:highlight w:val="none"/>
              </w:rPr>
              <w:t>分。未提供得</w:t>
            </w:r>
            <w:r>
              <w:rPr>
                <w:rStyle w:val="43"/>
                <w:rFonts w:ascii="宋体" w:hAnsi="宋体" w:cs="Times New Roman"/>
                <w:sz w:val="18"/>
                <w:szCs w:val="18"/>
                <w:highlight w:val="none"/>
              </w:rPr>
              <w:t>0</w:t>
            </w:r>
            <w:r>
              <w:rPr>
                <w:rStyle w:val="43"/>
                <w:rFonts w:hint="eastAsia" w:ascii="宋体" w:hAnsi="宋体" w:cs="Times New Roman"/>
                <w:sz w:val="18"/>
                <w:szCs w:val="18"/>
                <w:highlight w:val="none"/>
              </w:rPr>
              <w:t>分。</w:t>
            </w:r>
          </w:p>
        </w:tc>
      </w:tr>
      <w:tr w14:paraId="1B197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22" w:type="dxa"/>
            <w:vMerge w:val="continue"/>
            <w:tcBorders>
              <w:left w:val="single" w:color="000000" w:sz="4" w:space="0"/>
              <w:right w:val="single" w:color="000000" w:sz="4" w:space="0"/>
            </w:tcBorders>
            <w:vAlign w:val="center"/>
          </w:tcPr>
          <w:p w14:paraId="57B93266">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46281C2A">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047B4D6A">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rPr>
              <w:t>产品可靠性（0-</w:t>
            </w:r>
            <w:r>
              <w:rPr>
                <w:rStyle w:val="43"/>
                <w:rFonts w:hint="eastAsia" w:ascii="宋体" w:hAnsi="宋体" w:cs="Times New Roman"/>
                <w:sz w:val="18"/>
                <w:szCs w:val="18"/>
                <w:highlight w:val="none"/>
                <w:lang w:val="en-US" w:eastAsia="zh-CN"/>
              </w:rPr>
              <w:t>4</w:t>
            </w:r>
            <w:r>
              <w:rPr>
                <w:rStyle w:val="43"/>
                <w:rFonts w:hint="eastAsia" w:ascii="宋体" w:hAnsi="宋体" w:cs="Times New Roman"/>
                <w:sz w:val="18"/>
                <w:szCs w:val="18"/>
                <w:highlight w:val="none"/>
              </w:rPr>
              <w:t>分）</w:t>
            </w:r>
          </w:p>
          <w:p w14:paraId="2E7EED3D">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rPr>
              <w:t>提供投标产品货源渠道合法的证明文件（包括但不限于销售协议、代理协议、原厂授权等），产品符合国家、行业标准及有关规定，确保产品性能稳定，无产权纠纷，得</w:t>
            </w:r>
            <w:r>
              <w:rPr>
                <w:rStyle w:val="43"/>
                <w:rFonts w:hint="eastAsia" w:ascii="宋体" w:hAnsi="宋体" w:cs="Times New Roman"/>
                <w:sz w:val="18"/>
                <w:szCs w:val="18"/>
                <w:highlight w:val="none"/>
                <w:lang w:val="en-US" w:eastAsia="zh-CN"/>
              </w:rPr>
              <w:t>4</w:t>
            </w:r>
            <w:r>
              <w:rPr>
                <w:rStyle w:val="43"/>
                <w:rFonts w:hint="eastAsia" w:ascii="宋体" w:hAnsi="宋体" w:cs="Times New Roman"/>
                <w:sz w:val="18"/>
                <w:szCs w:val="18"/>
                <w:highlight w:val="none"/>
              </w:rPr>
              <w:t>分。其他得</w:t>
            </w:r>
            <w:r>
              <w:rPr>
                <w:rStyle w:val="43"/>
                <w:rFonts w:ascii="宋体" w:hAnsi="宋体" w:cs="Times New Roman"/>
                <w:sz w:val="18"/>
                <w:szCs w:val="18"/>
                <w:highlight w:val="none"/>
              </w:rPr>
              <w:t>0</w:t>
            </w:r>
            <w:r>
              <w:rPr>
                <w:rStyle w:val="43"/>
                <w:rFonts w:hint="eastAsia" w:ascii="宋体" w:hAnsi="宋体" w:cs="Times New Roman"/>
                <w:sz w:val="18"/>
                <w:szCs w:val="18"/>
                <w:highlight w:val="none"/>
              </w:rPr>
              <w:t>分。</w:t>
            </w:r>
          </w:p>
        </w:tc>
      </w:tr>
      <w:tr w14:paraId="7501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22" w:type="dxa"/>
            <w:vMerge w:val="continue"/>
            <w:tcBorders>
              <w:left w:val="single" w:color="000000" w:sz="4" w:space="0"/>
              <w:right w:val="single" w:color="000000" w:sz="4" w:space="0"/>
            </w:tcBorders>
            <w:vAlign w:val="center"/>
          </w:tcPr>
          <w:p w14:paraId="0EE19F54">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top"/>
          </w:tcPr>
          <w:p w14:paraId="5538C24E">
            <w:pPr>
              <w:tabs>
                <w:tab w:val="left" w:pos="1180"/>
              </w:tabs>
              <w:snapToGrid w:val="0"/>
              <w:jc w:val="center"/>
              <w:rPr>
                <w:rFonts w:ascii="宋体" w:hAnsi="宋体" w:cs="Times New Roman"/>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3E03ECA9">
            <w:pPr>
              <w:tabs>
                <w:tab w:val="left" w:pos="1180"/>
              </w:tabs>
              <w:snapToGrid w:val="0"/>
              <w:spacing w:line="276" w:lineRule="auto"/>
              <w:ind w:firstLine="360" w:firstLineChars="200"/>
              <w:jc w:val="left"/>
              <w:rPr>
                <w:rStyle w:val="43"/>
                <w:rFonts w:hint="eastAsia"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技术指标（0-</w:t>
            </w:r>
            <w:r>
              <w:rPr>
                <w:rStyle w:val="43"/>
                <w:rFonts w:hint="eastAsia" w:ascii="宋体" w:hAnsi="宋体" w:cs="Times New Roman" w:eastAsiaTheme="minorEastAsia"/>
                <w:sz w:val="18"/>
                <w:szCs w:val="18"/>
                <w:highlight w:val="none"/>
                <w:lang w:val="en-US" w:eastAsia="zh-CN"/>
              </w:rPr>
              <w:t>10</w:t>
            </w:r>
            <w:r>
              <w:rPr>
                <w:rStyle w:val="43"/>
                <w:rFonts w:hint="eastAsia" w:ascii="宋体" w:hAnsi="宋体" w:cs="Times New Roman" w:eastAsiaTheme="minorEastAsia"/>
                <w:sz w:val="18"/>
                <w:szCs w:val="18"/>
                <w:highlight w:val="none"/>
              </w:rPr>
              <w:t>分）</w:t>
            </w:r>
          </w:p>
          <w:p w14:paraId="63037709">
            <w:pPr>
              <w:tabs>
                <w:tab w:val="left" w:pos="1180"/>
              </w:tabs>
              <w:snapToGrid w:val="0"/>
              <w:spacing w:line="276" w:lineRule="auto"/>
              <w:ind w:firstLine="360" w:firstLineChars="200"/>
              <w:jc w:val="left"/>
              <w:rPr>
                <w:rStyle w:val="43"/>
                <w:rFonts w:hint="eastAsia"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投标产品选型符合使用需求，产品配置完整合理，其型号、技术参数清晰明确，根据投标产品的技术指标和性能对招标文件的响应程度计分。其响应技术指标和性能满足招标文件要求计</w:t>
            </w:r>
            <w:r>
              <w:rPr>
                <w:rStyle w:val="43"/>
                <w:rFonts w:hint="eastAsia" w:ascii="宋体" w:hAnsi="宋体" w:cs="Times New Roman" w:eastAsiaTheme="minorEastAsia"/>
                <w:sz w:val="18"/>
                <w:szCs w:val="18"/>
                <w:highlight w:val="none"/>
                <w:lang w:val="en-US" w:eastAsia="zh-CN"/>
              </w:rPr>
              <w:t>0-10</w:t>
            </w:r>
            <w:r>
              <w:rPr>
                <w:rStyle w:val="43"/>
                <w:rFonts w:hint="eastAsia" w:ascii="宋体" w:hAnsi="宋体" w:cs="Times New Roman" w:eastAsiaTheme="minorEastAsia"/>
                <w:sz w:val="18"/>
                <w:szCs w:val="18"/>
                <w:highlight w:val="none"/>
              </w:rPr>
              <w:t>分；部分项负偏离按以下说明扣分。</w:t>
            </w:r>
          </w:p>
          <w:p w14:paraId="33B2E592">
            <w:pPr>
              <w:tabs>
                <w:tab w:val="left" w:pos="1180"/>
              </w:tabs>
              <w:snapToGrid w:val="0"/>
              <w:spacing w:line="276" w:lineRule="auto"/>
              <w:ind w:firstLine="360" w:firstLineChars="200"/>
              <w:jc w:val="left"/>
              <w:rPr>
                <w:rStyle w:val="43"/>
                <w:rFonts w:hint="eastAsia"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（1）响应技术指标和性能出现主要技术参数（▲号项）负偏离的，每项扣2分；扣完为止。</w:t>
            </w:r>
          </w:p>
          <w:p w14:paraId="347E58FD">
            <w:pPr>
              <w:tabs>
                <w:tab w:val="left" w:pos="1180"/>
              </w:tabs>
              <w:snapToGrid w:val="0"/>
              <w:spacing w:line="276" w:lineRule="auto"/>
              <w:ind w:firstLine="360" w:firstLineChars="200"/>
              <w:jc w:val="left"/>
              <w:rPr>
                <w:rStyle w:val="43"/>
                <w:rFonts w:hint="eastAsia" w:ascii="宋体" w:hAnsi="宋体" w:cs="Times New Roman" w:eastAsiaTheme="minorEastAsia"/>
                <w:sz w:val="18"/>
                <w:szCs w:val="18"/>
                <w:highlight w:val="none"/>
              </w:rPr>
            </w:pPr>
            <w:r>
              <w:rPr>
                <w:rStyle w:val="43"/>
                <w:rFonts w:hint="eastAsia" w:ascii="宋体" w:hAnsi="宋体" w:cs="Times New Roman" w:eastAsiaTheme="minorEastAsia"/>
                <w:sz w:val="18"/>
                <w:szCs w:val="18"/>
                <w:highlight w:val="none"/>
              </w:rPr>
              <w:t>（2）响应技术指标和性能出现非主要技术参数负偏离（非▲号项）的，每项扣1分；扣完为止。</w:t>
            </w:r>
          </w:p>
          <w:p w14:paraId="3D8D3A1B">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eastAsiaTheme="minorEastAsia"/>
                <w:sz w:val="18"/>
                <w:szCs w:val="18"/>
                <w:highlight w:val="none"/>
              </w:rPr>
              <w:t>注：主要技术参数（▲号条款）偏离情况除偏离表响应外还须提供相应的参数指标证明文件包括但不限于制造商出具的参数证明文件、产品彩页、功能截图、检测报告等证明文件，否则不计分。</w:t>
            </w:r>
          </w:p>
        </w:tc>
      </w:tr>
      <w:tr w14:paraId="446B7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14:paraId="6D4797D4">
            <w:pPr>
              <w:snapToGrid w:val="0"/>
              <w:spacing w:line="276" w:lineRule="auto"/>
              <w:jc w:val="center"/>
              <w:rPr>
                <w:rStyle w:val="43"/>
                <w:rFonts w:ascii="宋体" w:hAnsi="宋体"/>
                <w:b/>
                <w:szCs w:val="21"/>
                <w:highlight w:val="none"/>
              </w:rPr>
            </w:pPr>
            <w:r>
              <w:rPr>
                <w:rStyle w:val="43"/>
                <w:rFonts w:ascii="宋体" w:hAnsi="宋体"/>
                <w:b/>
                <w:szCs w:val="21"/>
                <w:highlight w:val="none"/>
              </w:rPr>
              <w:t>2.2.2</w:t>
            </w:r>
          </w:p>
          <w:p w14:paraId="3D993C6E">
            <w:pPr>
              <w:snapToGrid w:val="0"/>
              <w:spacing w:line="276" w:lineRule="auto"/>
              <w:jc w:val="center"/>
              <w:rPr>
                <w:rStyle w:val="43"/>
                <w:rFonts w:ascii="宋体" w:hAnsi="宋体"/>
                <w:szCs w:val="21"/>
                <w:highlight w:val="none"/>
              </w:rPr>
            </w:pPr>
            <w:r>
              <w:rPr>
                <w:rStyle w:val="43"/>
                <w:rFonts w:ascii="宋体" w:hAnsi="宋体"/>
                <w:b/>
                <w:szCs w:val="21"/>
                <w:highlight w:val="none"/>
              </w:rPr>
              <w:t>（3）</w:t>
            </w:r>
          </w:p>
        </w:tc>
        <w:tc>
          <w:tcPr>
            <w:tcW w:w="3301" w:type="dxa"/>
            <w:gridSpan w:val="2"/>
            <w:vMerge w:val="restart"/>
            <w:tcBorders>
              <w:top w:val="single" w:color="000000" w:sz="4" w:space="0"/>
              <w:left w:val="single" w:color="000000" w:sz="4" w:space="0"/>
              <w:right w:val="single" w:color="000000" w:sz="4" w:space="0"/>
            </w:tcBorders>
            <w:vAlign w:val="center"/>
          </w:tcPr>
          <w:p w14:paraId="3469EED0">
            <w:pPr>
              <w:tabs>
                <w:tab w:val="left" w:pos="1180"/>
              </w:tabs>
              <w:snapToGrid w:val="0"/>
              <w:jc w:val="center"/>
              <w:rPr>
                <w:rStyle w:val="43"/>
                <w:rFonts w:ascii="宋体" w:hAnsi="宋体" w:cs="Times New Roman"/>
                <w:bCs/>
                <w:color w:val="000000"/>
                <w:sz w:val="18"/>
                <w:szCs w:val="18"/>
                <w:highlight w:val="none"/>
              </w:rPr>
            </w:pPr>
            <w:r>
              <w:rPr>
                <w:rStyle w:val="43"/>
                <w:rFonts w:hint="eastAsia" w:ascii="宋体" w:hAnsi="宋体" w:cs="Times New Roman"/>
                <w:b/>
                <w:szCs w:val="21"/>
                <w:highlight w:val="none"/>
                <w:lang w:val="zh-CN"/>
              </w:rPr>
              <w:t>商务部分</w:t>
            </w:r>
            <w:r>
              <w:rPr>
                <w:rStyle w:val="43"/>
                <w:rFonts w:hint="eastAsia" w:ascii="宋体" w:hAnsi="宋体" w:cs="Times New Roman"/>
                <w:b/>
                <w:szCs w:val="21"/>
                <w:highlight w:val="none"/>
              </w:rPr>
              <w:t>（10</w:t>
            </w:r>
            <w:r>
              <w:rPr>
                <w:rStyle w:val="43"/>
                <w:rFonts w:hint="eastAsia" w:ascii="宋体" w:hAnsi="宋体" w:cs="Times New Roman"/>
                <w:b/>
                <w:szCs w:val="21"/>
                <w:highlight w:val="none"/>
                <w:lang w:val="zh-CN"/>
              </w:rPr>
              <w:t>分</w:t>
            </w:r>
            <w:r>
              <w:rPr>
                <w:rStyle w:val="43"/>
                <w:rFonts w:hint="eastAsia" w:ascii="宋体" w:hAnsi="宋体" w:cs="Times New Roman"/>
                <w:b/>
                <w:szCs w:val="21"/>
                <w:highlight w:val="none"/>
              </w:rPr>
              <w:t>）</w:t>
            </w:r>
          </w:p>
        </w:tc>
        <w:tc>
          <w:tcPr>
            <w:tcW w:w="5531" w:type="dxa"/>
            <w:tcBorders>
              <w:top w:val="single" w:color="000000" w:sz="4" w:space="0"/>
              <w:left w:val="single" w:color="000000" w:sz="4" w:space="0"/>
              <w:bottom w:val="single" w:color="000000" w:sz="4" w:space="0"/>
              <w:right w:val="single" w:color="000000" w:sz="4" w:space="0"/>
            </w:tcBorders>
            <w:vAlign w:val="center"/>
          </w:tcPr>
          <w:p w14:paraId="7DF94FCF">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ascii="宋体" w:hAnsi="宋体" w:cs="Times New Roman"/>
                <w:sz w:val="18"/>
                <w:szCs w:val="18"/>
                <w:highlight w:val="none"/>
              </w:rPr>
              <w:t>合理化建议：提供的合理化建议合理</w:t>
            </w:r>
            <w:r>
              <w:rPr>
                <w:rStyle w:val="43"/>
                <w:rFonts w:hint="eastAsia" w:ascii="宋体" w:hAnsi="宋体" w:cs="Times New Roman"/>
                <w:sz w:val="18"/>
                <w:szCs w:val="18"/>
                <w:highlight w:val="none"/>
              </w:rPr>
              <w:t>，有利于项目实施的（1.0-2.0分）。</w:t>
            </w:r>
          </w:p>
        </w:tc>
      </w:tr>
      <w:tr w14:paraId="501F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922" w:type="dxa"/>
            <w:vMerge w:val="continue"/>
            <w:tcBorders>
              <w:left w:val="single" w:color="000000" w:sz="4" w:space="0"/>
              <w:right w:val="single" w:color="000000" w:sz="4" w:space="0"/>
            </w:tcBorders>
            <w:vAlign w:val="center"/>
          </w:tcPr>
          <w:p w14:paraId="6BEC5E19">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right w:val="single" w:color="000000" w:sz="4" w:space="0"/>
            </w:tcBorders>
            <w:vAlign w:val="center"/>
          </w:tcPr>
          <w:p w14:paraId="553DE650">
            <w:pPr>
              <w:tabs>
                <w:tab w:val="left" w:pos="1180"/>
              </w:tabs>
              <w:snapToGrid w:val="0"/>
              <w:jc w:val="center"/>
              <w:rPr>
                <w:rFonts w:ascii="宋体" w:hAnsi="宋体" w:cs="Times New Roman"/>
                <w:b/>
                <w:bCs/>
                <w:sz w:val="18"/>
                <w:szCs w:val="18"/>
                <w:highlight w:val="none"/>
                <w:lang w:val="zh-CN"/>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7B221C98">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rPr>
              <w:t>保修</w:t>
            </w:r>
            <w:r>
              <w:rPr>
                <w:rStyle w:val="43"/>
                <w:rFonts w:ascii="宋体" w:hAnsi="宋体" w:cs="Times New Roman"/>
                <w:sz w:val="18"/>
                <w:szCs w:val="18"/>
                <w:highlight w:val="none"/>
              </w:rPr>
              <w:t>承诺</w:t>
            </w:r>
            <w:r>
              <w:rPr>
                <w:rStyle w:val="43"/>
                <w:rFonts w:hint="eastAsia" w:ascii="宋体" w:hAnsi="宋体" w:cs="Times New Roman"/>
                <w:sz w:val="18"/>
                <w:szCs w:val="18"/>
                <w:highlight w:val="none"/>
              </w:rPr>
              <w:t>：提供有利于项目实施的保修承诺，保修内容具体、可行（1.0-3.0分）。</w:t>
            </w:r>
          </w:p>
        </w:tc>
      </w:tr>
      <w:tr w14:paraId="05D4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0828E92F">
            <w:pPr>
              <w:snapToGrid w:val="0"/>
              <w:spacing w:line="276" w:lineRule="auto"/>
              <w:jc w:val="center"/>
              <w:rPr>
                <w:rStyle w:val="43"/>
                <w:rFonts w:ascii="宋体" w:hAnsi="宋体"/>
                <w:b/>
                <w:szCs w:val="21"/>
                <w:highlight w:val="none"/>
              </w:rPr>
            </w:pPr>
          </w:p>
        </w:tc>
        <w:tc>
          <w:tcPr>
            <w:tcW w:w="3301" w:type="dxa"/>
            <w:gridSpan w:val="2"/>
            <w:vMerge w:val="continue"/>
            <w:tcBorders>
              <w:left w:val="single" w:color="000000" w:sz="4" w:space="0"/>
              <w:bottom w:val="single" w:color="000000" w:sz="4" w:space="0"/>
              <w:right w:val="single" w:color="000000" w:sz="4" w:space="0"/>
            </w:tcBorders>
            <w:vAlign w:val="center"/>
          </w:tcPr>
          <w:p w14:paraId="4AF98F27">
            <w:pPr>
              <w:snapToGrid w:val="0"/>
              <w:jc w:val="center"/>
              <w:rPr>
                <w:rStyle w:val="43"/>
                <w:rFonts w:ascii="宋体" w:hAnsi="宋体" w:cs="Times New Roman"/>
                <w:bCs/>
                <w:color w:val="000000"/>
                <w:sz w:val="18"/>
                <w:szCs w:val="18"/>
                <w:highlight w:val="none"/>
              </w:rPr>
            </w:pPr>
          </w:p>
        </w:tc>
        <w:tc>
          <w:tcPr>
            <w:tcW w:w="5531" w:type="dxa"/>
            <w:tcBorders>
              <w:top w:val="single" w:color="000000" w:sz="4" w:space="0"/>
              <w:left w:val="single" w:color="000000" w:sz="4" w:space="0"/>
              <w:bottom w:val="single" w:color="000000" w:sz="4" w:space="0"/>
              <w:right w:val="single" w:color="000000" w:sz="4" w:space="0"/>
            </w:tcBorders>
            <w:vAlign w:val="center"/>
          </w:tcPr>
          <w:p w14:paraId="11457C3C">
            <w:pPr>
              <w:tabs>
                <w:tab w:val="left" w:pos="1180"/>
              </w:tabs>
              <w:snapToGrid w:val="0"/>
              <w:spacing w:line="276" w:lineRule="auto"/>
              <w:ind w:firstLine="360" w:firstLineChars="200"/>
              <w:jc w:val="left"/>
              <w:rPr>
                <w:rStyle w:val="43"/>
                <w:rFonts w:ascii="宋体" w:hAnsi="宋体" w:cs="Times New Roman"/>
                <w:sz w:val="18"/>
                <w:szCs w:val="18"/>
                <w:highlight w:val="none"/>
              </w:rPr>
            </w:pPr>
            <w:r>
              <w:rPr>
                <w:rStyle w:val="43"/>
                <w:rFonts w:hint="eastAsia" w:ascii="宋体" w:hAnsi="宋体" w:cs="Times New Roman"/>
                <w:sz w:val="18"/>
                <w:szCs w:val="18"/>
                <w:highlight w:val="none"/>
              </w:rPr>
              <w:t>业绩（5分）：2022年1月至今类似项目业绩，每提供一份业绩合同得1分，满5分。业绩以合同签订时间为准。</w:t>
            </w:r>
          </w:p>
        </w:tc>
      </w:tr>
    </w:tbl>
    <w:p w14:paraId="180FB4A0">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rPr>
        <w:t>注：出现严重缺漏项的该项得0分，</w:t>
      </w:r>
      <w:r>
        <w:rPr>
          <w:rStyle w:val="43"/>
          <w:rFonts w:hint="eastAsia" w:ascii="宋体" w:hAnsi="宋体" w:cs="宋体"/>
          <w:sz w:val="24"/>
          <w:szCs w:val="24"/>
          <w:highlight w:val="none"/>
          <w:lang w:val="zh-CN"/>
        </w:rPr>
        <w:t>招标文件中没有规定的评审标准，不得作为评审依据。</w:t>
      </w:r>
    </w:p>
    <w:p w14:paraId="780D7896">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1.评标方法</w:t>
      </w:r>
    </w:p>
    <w:p w14:paraId="58508694">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本次评标采用综合评分法。评标委员会对满足招标文件实质性要求的投标文件，按照本章第2款规定的评分标准进行打分，并按得分由高到低顺序推荐中标候选人。</w:t>
      </w:r>
    </w:p>
    <w:p w14:paraId="27D8F3B0">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2.评审标准</w:t>
      </w:r>
    </w:p>
    <w:p w14:paraId="47784415">
      <w:pPr>
        <w:snapToGrid w:val="0"/>
        <w:spacing w:line="360" w:lineRule="auto"/>
        <w:ind w:firstLine="482" w:firstLineChars="200"/>
        <w:rPr>
          <w:rStyle w:val="43"/>
          <w:rFonts w:ascii="宋体" w:hAnsi="宋体" w:cs="宋体"/>
          <w:b/>
          <w:sz w:val="24"/>
          <w:szCs w:val="24"/>
          <w:highlight w:val="none"/>
        </w:rPr>
      </w:pPr>
      <w:r>
        <w:rPr>
          <w:rStyle w:val="43"/>
          <w:rFonts w:hint="eastAsia" w:ascii="宋体" w:hAnsi="宋体" w:cs="宋体"/>
          <w:b/>
          <w:sz w:val="24"/>
          <w:szCs w:val="24"/>
          <w:highlight w:val="none"/>
          <w:lang w:val="zh-CN"/>
        </w:rPr>
        <w:t>2.1 初步评审标准</w:t>
      </w:r>
      <w:r>
        <w:rPr>
          <w:rStyle w:val="43"/>
          <w:rFonts w:hint="eastAsia" w:ascii="宋体" w:hAnsi="宋体" w:cs="宋体"/>
          <w:b/>
          <w:sz w:val="24"/>
          <w:szCs w:val="24"/>
          <w:highlight w:val="none"/>
        </w:rPr>
        <w:t xml:space="preserve">  </w:t>
      </w:r>
    </w:p>
    <w:p w14:paraId="4C02E09E">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2.1.1 资格审查标准：见评标办法前附表。</w:t>
      </w:r>
    </w:p>
    <w:p w14:paraId="4BE7100E">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2.1.2 符合性审查标准：见评标办法前附表。</w:t>
      </w:r>
    </w:p>
    <w:p w14:paraId="418DFDEA">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2.2 分值构成与评分标准</w:t>
      </w:r>
    </w:p>
    <w:p w14:paraId="1679F658">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2.2.1 分值构成</w:t>
      </w:r>
    </w:p>
    <w:p w14:paraId="0E09C488">
      <w:pPr>
        <w:snapToGrid w:val="0"/>
        <w:spacing w:line="360" w:lineRule="auto"/>
        <w:ind w:firstLine="480" w:firstLineChars="200"/>
        <w:rPr>
          <w:rStyle w:val="43"/>
          <w:rFonts w:ascii="宋体" w:hAnsi="宋体" w:cs="宋体"/>
          <w:sz w:val="24"/>
          <w:szCs w:val="24"/>
          <w:highlight w:val="none"/>
        </w:rPr>
      </w:pPr>
      <w:r>
        <w:rPr>
          <w:rStyle w:val="43"/>
          <w:rFonts w:hint="eastAsia" w:ascii="宋体" w:hAnsi="宋体" w:cs="宋体"/>
          <w:sz w:val="24"/>
          <w:szCs w:val="24"/>
          <w:highlight w:val="none"/>
          <w:lang w:val="zh-CN"/>
        </w:rPr>
        <w:t>（1）</w:t>
      </w:r>
      <w:r>
        <w:rPr>
          <w:rStyle w:val="43"/>
          <w:rFonts w:hint="eastAsia" w:ascii="宋体" w:hAnsi="宋体" w:cs="宋体"/>
          <w:sz w:val="24"/>
          <w:szCs w:val="24"/>
          <w:highlight w:val="none"/>
        </w:rPr>
        <w:t>价格部分：</w:t>
      </w:r>
      <w:r>
        <w:rPr>
          <w:rStyle w:val="43"/>
          <w:rFonts w:hint="eastAsia" w:ascii="宋体" w:hAnsi="宋体" w:cs="宋体"/>
          <w:sz w:val="24"/>
          <w:szCs w:val="24"/>
          <w:highlight w:val="none"/>
          <w:lang w:val="zh-CN"/>
        </w:rPr>
        <w:t>见评标办法前附表；</w:t>
      </w:r>
    </w:p>
    <w:p w14:paraId="1F783CD3">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w:t>
      </w:r>
      <w:r>
        <w:rPr>
          <w:rStyle w:val="43"/>
          <w:rFonts w:hint="eastAsia" w:ascii="宋体" w:hAnsi="宋体" w:cs="宋体"/>
          <w:sz w:val="24"/>
          <w:szCs w:val="24"/>
          <w:highlight w:val="none"/>
        </w:rPr>
        <w:t>2</w:t>
      </w:r>
      <w:r>
        <w:rPr>
          <w:rStyle w:val="43"/>
          <w:rFonts w:hint="eastAsia" w:ascii="宋体" w:hAnsi="宋体" w:cs="宋体"/>
          <w:sz w:val="24"/>
          <w:szCs w:val="24"/>
          <w:highlight w:val="none"/>
          <w:lang w:val="zh-CN"/>
        </w:rPr>
        <w:t>）商务部分：见评标办法前附表；</w:t>
      </w:r>
    </w:p>
    <w:p w14:paraId="076CC675">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w:t>
      </w:r>
      <w:r>
        <w:rPr>
          <w:rStyle w:val="43"/>
          <w:rFonts w:hint="eastAsia" w:ascii="宋体" w:hAnsi="宋体" w:cs="宋体"/>
          <w:sz w:val="24"/>
          <w:szCs w:val="24"/>
          <w:highlight w:val="none"/>
        </w:rPr>
        <w:t>3</w:t>
      </w:r>
      <w:r>
        <w:rPr>
          <w:rStyle w:val="43"/>
          <w:rFonts w:hint="eastAsia" w:ascii="宋体" w:hAnsi="宋体" w:cs="宋体"/>
          <w:sz w:val="24"/>
          <w:szCs w:val="24"/>
          <w:highlight w:val="none"/>
          <w:lang w:val="zh-CN"/>
        </w:rPr>
        <w:t>）技术部分：见评标办法前附表。</w:t>
      </w:r>
    </w:p>
    <w:p w14:paraId="0160A777">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2.2.2 评分标准</w:t>
      </w:r>
    </w:p>
    <w:p w14:paraId="1073C039">
      <w:pPr>
        <w:snapToGrid w:val="0"/>
        <w:spacing w:line="360" w:lineRule="auto"/>
        <w:ind w:firstLine="480" w:firstLineChars="200"/>
        <w:rPr>
          <w:rStyle w:val="43"/>
          <w:rFonts w:ascii="宋体" w:hAnsi="宋体" w:cs="宋体"/>
          <w:sz w:val="24"/>
          <w:szCs w:val="24"/>
          <w:highlight w:val="none"/>
        </w:rPr>
      </w:pPr>
      <w:r>
        <w:rPr>
          <w:rStyle w:val="43"/>
          <w:rFonts w:hint="eastAsia" w:ascii="宋体" w:hAnsi="宋体" w:cs="宋体"/>
          <w:sz w:val="24"/>
          <w:szCs w:val="24"/>
          <w:highlight w:val="none"/>
          <w:lang w:val="zh-CN"/>
        </w:rPr>
        <w:t>（1）</w:t>
      </w:r>
      <w:r>
        <w:rPr>
          <w:rStyle w:val="43"/>
          <w:rFonts w:hint="eastAsia" w:ascii="宋体" w:hAnsi="宋体" w:cs="宋体"/>
          <w:sz w:val="24"/>
          <w:szCs w:val="24"/>
          <w:highlight w:val="none"/>
        </w:rPr>
        <w:t>价格</w:t>
      </w:r>
      <w:r>
        <w:rPr>
          <w:rStyle w:val="43"/>
          <w:rFonts w:hint="eastAsia" w:ascii="宋体" w:hAnsi="宋体" w:cs="宋体"/>
          <w:sz w:val="24"/>
          <w:szCs w:val="24"/>
          <w:highlight w:val="none"/>
          <w:lang w:val="zh-CN"/>
        </w:rPr>
        <w:t>评分标准：见评标办法前附表；</w:t>
      </w:r>
    </w:p>
    <w:p w14:paraId="2EAC2DDD">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w:t>
      </w:r>
      <w:r>
        <w:rPr>
          <w:rStyle w:val="43"/>
          <w:rFonts w:hint="eastAsia" w:ascii="宋体" w:hAnsi="宋体" w:cs="宋体"/>
          <w:sz w:val="24"/>
          <w:szCs w:val="24"/>
          <w:highlight w:val="none"/>
        </w:rPr>
        <w:t>2</w:t>
      </w:r>
      <w:r>
        <w:rPr>
          <w:rStyle w:val="43"/>
          <w:rFonts w:hint="eastAsia" w:ascii="宋体" w:hAnsi="宋体" w:cs="宋体"/>
          <w:sz w:val="24"/>
          <w:szCs w:val="24"/>
          <w:highlight w:val="none"/>
          <w:lang w:val="zh-CN"/>
        </w:rPr>
        <w:t>）商务评分标准：见评标办法前附表；</w:t>
      </w:r>
    </w:p>
    <w:p w14:paraId="294354BF">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w:t>
      </w:r>
      <w:r>
        <w:rPr>
          <w:rStyle w:val="43"/>
          <w:rFonts w:hint="eastAsia" w:ascii="宋体" w:hAnsi="宋体" w:cs="宋体"/>
          <w:sz w:val="24"/>
          <w:szCs w:val="24"/>
          <w:highlight w:val="none"/>
        </w:rPr>
        <w:t>3</w:t>
      </w:r>
      <w:r>
        <w:rPr>
          <w:rStyle w:val="43"/>
          <w:rFonts w:hint="eastAsia" w:ascii="宋体" w:hAnsi="宋体" w:cs="宋体"/>
          <w:sz w:val="24"/>
          <w:szCs w:val="24"/>
          <w:highlight w:val="none"/>
          <w:lang w:val="zh-CN"/>
        </w:rPr>
        <w:t>）技术评分标准：见评标办法前附表。</w:t>
      </w:r>
    </w:p>
    <w:p w14:paraId="61F7A832">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3.评标程序</w:t>
      </w:r>
    </w:p>
    <w:p w14:paraId="30C2996D">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3.1 初步评审</w:t>
      </w:r>
    </w:p>
    <w:p w14:paraId="52DF3FD0">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3.1.1 资格审查</w:t>
      </w:r>
    </w:p>
    <w:p w14:paraId="18ED9080">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按相关法律规定对投标人提交的有关证明进行核验，依据本章第 2.1.1 款规定的标准对投标人进行资格审查。有一项不符合评审标准的，按无效投标处理。</w:t>
      </w:r>
    </w:p>
    <w:p w14:paraId="37836274">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3.1.2 符合性审查</w:t>
      </w:r>
    </w:p>
    <w:p w14:paraId="33544A0D">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评标委员会依据本章第 2.1.2 款规定的标准对投标文件进行符合性审查。有一项不符合评审标准的，按无效投标处理。</w:t>
      </w:r>
    </w:p>
    <w:p w14:paraId="5995F0E3">
      <w:pPr>
        <w:snapToGrid w:val="0"/>
        <w:spacing w:line="360" w:lineRule="auto"/>
        <w:ind w:firstLine="480" w:firstLineChars="200"/>
        <w:rPr>
          <w:rStyle w:val="43"/>
          <w:rFonts w:ascii="宋体" w:hAnsi="宋体" w:cs="宋体"/>
          <w:b/>
          <w:bCs/>
          <w:sz w:val="24"/>
          <w:szCs w:val="24"/>
          <w:highlight w:val="none"/>
          <w:lang w:val="zh-CN"/>
        </w:rPr>
      </w:pPr>
      <w:r>
        <w:rPr>
          <w:rStyle w:val="43"/>
          <w:rFonts w:hint="eastAsia" w:ascii="宋体" w:hAnsi="宋体" w:cs="宋体"/>
          <w:sz w:val="24"/>
          <w:szCs w:val="24"/>
          <w:highlight w:val="none"/>
          <w:lang w:val="zh-CN"/>
        </w:rPr>
        <w:t xml:space="preserve">3.1.3 </w:t>
      </w:r>
      <w:r>
        <w:rPr>
          <w:rStyle w:val="43"/>
          <w:rFonts w:hint="eastAsia" w:ascii="宋体" w:hAnsi="宋体" w:cs="宋体"/>
          <w:b/>
          <w:bCs/>
          <w:sz w:val="24"/>
          <w:szCs w:val="24"/>
          <w:highlight w:val="none"/>
          <w:lang w:val="zh-CN"/>
        </w:rPr>
        <w:t>投标人有以下情形之一的，其投标按无效处理：</w:t>
      </w:r>
    </w:p>
    <w:p w14:paraId="0DA2C5D8">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（1）投标文件没有对招标文件的实质性要求和条件作出响应，或者对招标文件的偏差超出招标文件规定的偏差范围；</w:t>
      </w:r>
    </w:p>
    <w:p w14:paraId="5D9F4D5A">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（2）有串通投标、弄虚作假、行贿等违法行为。</w:t>
      </w:r>
    </w:p>
    <w:p w14:paraId="0FACE6DE">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3.1.4 有下列情形之一的，视为投标人串通投标：</w:t>
      </w:r>
    </w:p>
    <w:p w14:paraId="2232EB38">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（1）不同投标人的投标文件由同一单位或者个人编制；</w:t>
      </w:r>
    </w:p>
    <w:p w14:paraId="4D8CCE71">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（2）不同投标人委托同一单位或者个人办理投标事宜；</w:t>
      </w:r>
    </w:p>
    <w:p w14:paraId="6752C290">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（3）不同投标人的投标文件载明的项目管理成员或者联系人员为同一人；</w:t>
      </w:r>
    </w:p>
    <w:p w14:paraId="0E6C52E6">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（4）不同投标人的投标文件异常一致或者投标报价呈规律性差异；</w:t>
      </w:r>
    </w:p>
    <w:p w14:paraId="66BB5E67">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3.1.5 投标文件报价出现前后不一致的，按照下列规定修正：</w:t>
      </w:r>
    </w:p>
    <w:p w14:paraId="12925147">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（1）投标文件中开标一览表内容与投标文件中相应内容不一致的，以开标一览表为准；</w:t>
      </w:r>
    </w:p>
    <w:p w14:paraId="0F7E7C21">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（2）大写金额和小写金额不一致的，以大写金额为准；</w:t>
      </w:r>
    </w:p>
    <w:p w14:paraId="51D734C6">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（3）单价金额小数点或者百分比有明显错位的，以开标一览表的总价为准，并修改单价；</w:t>
      </w:r>
    </w:p>
    <w:p w14:paraId="33355FE1">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（4）总价金额与按单价汇总金额不一致的，以单价金额计算结果为准。</w:t>
      </w:r>
    </w:p>
    <w:p w14:paraId="4A566A17">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同时出现两种以上不一致的，按照前款规定的顺序修正。修正后的报价经投标人确认后产生约束力，投标人不确认的，其投标无效。</w:t>
      </w:r>
    </w:p>
    <w:p w14:paraId="3CE392D3">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3.2 详细评审</w:t>
      </w:r>
    </w:p>
    <w:p w14:paraId="4BA2D786">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3.2.1 评标委员会按本章第2.2款规定的量化因素和分值进行打分，并计算出综合评估得分。</w:t>
      </w:r>
    </w:p>
    <w:p w14:paraId="5BD6CA7B">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3.2.2 评分分值计算保留小数点后两位，小数点后第三位“四舍五入”。</w:t>
      </w:r>
    </w:p>
    <w:p w14:paraId="1C95D21E">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B0BA44">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3.3 投标文件的澄清</w:t>
      </w:r>
    </w:p>
    <w:p w14:paraId="5B869A46">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410C78F">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3.3.2 澄清、说明或补正不得超出投标文件的范围且不得改变投标文件的实质性内容，并构成投标文件的组成部分。</w:t>
      </w:r>
    </w:p>
    <w:p w14:paraId="02C651C5">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3.3.3 评标委员会对投标人提交的澄清、说明或补正有疑问的，可以要求投标人进一步澄清、说明或补正，直至满足评标委员会的要求。</w:t>
      </w:r>
    </w:p>
    <w:p w14:paraId="0EEC684B">
      <w:pPr>
        <w:snapToGrid w:val="0"/>
        <w:spacing w:line="360" w:lineRule="auto"/>
        <w:ind w:firstLine="482" w:firstLineChars="200"/>
        <w:rPr>
          <w:rStyle w:val="43"/>
          <w:rFonts w:ascii="宋体" w:hAnsi="宋体" w:cs="宋体"/>
          <w:b/>
          <w:sz w:val="24"/>
          <w:szCs w:val="24"/>
          <w:highlight w:val="none"/>
          <w:lang w:val="zh-CN"/>
        </w:rPr>
      </w:pPr>
      <w:r>
        <w:rPr>
          <w:rStyle w:val="43"/>
          <w:rFonts w:hint="eastAsia" w:ascii="宋体" w:hAnsi="宋体" w:cs="宋体"/>
          <w:b/>
          <w:sz w:val="24"/>
          <w:szCs w:val="24"/>
          <w:highlight w:val="none"/>
          <w:lang w:val="zh-CN"/>
        </w:rPr>
        <w:t>3.4 评标结果</w:t>
      </w:r>
    </w:p>
    <w:p w14:paraId="61E62E47">
      <w:pPr>
        <w:snapToGrid w:val="0"/>
        <w:spacing w:line="360" w:lineRule="auto"/>
        <w:ind w:firstLine="480" w:firstLineChars="200"/>
        <w:rPr>
          <w:rStyle w:val="43"/>
          <w:rFonts w:ascii="宋体" w:hAnsi="宋体" w:cs="宋体"/>
          <w:sz w:val="24"/>
          <w:szCs w:val="24"/>
          <w:highlight w:val="none"/>
          <w:lang w:val="zh-CN"/>
        </w:rPr>
      </w:pPr>
      <w:r>
        <w:rPr>
          <w:rStyle w:val="43"/>
          <w:rFonts w:hint="eastAsia" w:ascii="宋体" w:hAnsi="宋体" w:cs="宋体"/>
          <w:sz w:val="24"/>
          <w:szCs w:val="24"/>
          <w:highlight w:val="none"/>
          <w:lang w:val="zh-CN"/>
        </w:rPr>
        <w:t>3.4.1 除第二章“投标人须知”前附表授权直接确定中标人外，评标委员会按照得分由高到低的顺序推荐中标候选人，并标明排序。</w:t>
      </w:r>
    </w:p>
    <w:p w14:paraId="4AFFBB08">
      <w:pPr>
        <w:snapToGrid w:val="0"/>
        <w:spacing w:line="360" w:lineRule="auto"/>
        <w:ind w:firstLine="480" w:firstLineChars="200"/>
        <w:rPr>
          <w:rStyle w:val="43"/>
          <w:rFonts w:ascii="仿宋" w:hAnsi="仿宋" w:eastAsia="仿宋" w:cs="仿宋"/>
          <w:sz w:val="28"/>
          <w:szCs w:val="28"/>
          <w:highlight w:val="none"/>
          <w:lang w:val="zh-CN"/>
        </w:rPr>
      </w:pPr>
      <w:r>
        <w:rPr>
          <w:rStyle w:val="43"/>
          <w:rFonts w:hint="eastAsia" w:ascii="宋体" w:hAnsi="宋体" w:cs="宋体"/>
          <w:sz w:val="24"/>
          <w:szCs w:val="24"/>
          <w:highlight w:val="none"/>
          <w:lang w:val="zh-CN"/>
        </w:rPr>
        <w:t>3.4.2 综合评分相等时，按投标报价由低到高顺序排列。</w:t>
      </w:r>
      <w:bookmarkStart w:id="1012" w:name="_GoBack"/>
      <w:bookmarkEnd w:id="1012"/>
      <w:r>
        <w:rPr>
          <w:rStyle w:val="43"/>
          <w:rFonts w:ascii="仿宋" w:hAnsi="仿宋" w:eastAsia="仿宋" w:cs="仿宋"/>
          <w:sz w:val="28"/>
          <w:szCs w:val="28"/>
          <w:highlight w:val="none"/>
          <w:lang w:val="zh-CN"/>
        </w:rPr>
        <w:br w:type="page"/>
      </w:r>
    </w:p>
    <w:p w14:paraId="2866D494">
      <w:pPr>
        <w:rPr>
          <w:rStyle w:val="43"/>
          <w:rFonts w:ascii="仿宋" w:hAnsi="仿宋" w:eastAsia="仿宋" w:cs="仿宋"/>
          <w:sz w:val="28"/>
          <w:szCs w:val="28"/>
          <w:highlight w:val="none"/>
          <w:lang w:val="zh-CN"/>
        </w:rPr>
      </w:pPr>
    </w:p>
    <w:p w14:paraId="75285F42">
      <w:pPr>
        <w:numPr>
          <w:ilvl w:val="0"/>
          <w:numId w:val="1"/>
        </w:numPr>
        <w:snapToGrid w:val="0"/>
        <w:spacing w:line="360" w:lineRule="auto"/>
        <w:ind w:firstLine="643" w:firstLineChars="200"/>
        <w:jc w:val="center"/>
        <w:outlineLvl w:val="0"/>
        <w:rPr>
          <w:b/>
          <w:sz w:val="28"/>
          <w:szCs w:val="28"/>
          <w:highlight w:val="none"/>
          <w:lang w:val="zh-CN"/>
        </w:rPr>
      </w:pPr>
      <w:bookmarkStart w:id="9" w:name="_Toc3840"/>
      <w:r>
        <w:rPr>
          <w:rStyle w:val="43"/>
          <w:rFonts w:hint="eastAsia" w:ascii="宋体" w:hAnsi="宋体"/>
          <w:b/>
          <w:sz w:val="32"/>
          <w:szCs w:val="32"/>
          <w:highlight w:val="none"/>
        </w:rPr>
        <w:t>招标内容和要求</w:t>
      </w:r>
      <w:bookmarkEnd w:id="9"/>
    </w:p>
    <w:p w14:paraId="62F1DC17">
      <w:pPr>
        <w:pStyle w:val="23"/>
        <w:numPr>
          <w:ilvl w:val="0"/>
          <w:numId w:val="2"/>
        </w:numPr>
        <w:spacing w:line="360" w:lineRule="auto"/>
        <w:ind w:left="0" w:firstLine="0" w:firstLineChars="0"/>
        <w:rPr>
          <w:b/>
          <w:sz w:val="24"/>
          <w:szCs w:val="24"/>
          <w:highlight w:val="none"/>
          <w:lang w:val="zh-CN"/>
        </w:rPr>
      </w:pPr>
      <w:r>
        <w:rPr>
          <w:rFonts w:hint="eastAsia"/>
          <w:b/>
          <w:sz w:val="24"/>
          <w:szCs w:val="24"/>
          <w:highlight w:val="none"/>
          <w:lang w:val="zh-CN"/>
        </w:rPr>
        <w:t>项目内容：</w:t>
      </w:r>
    </w:p>
    <w:p w14:paraId="41481DF7">
      <w:pPr>
        <w:pStyle w:val="4"/>
        <w:spacing w:line="360" w:lineRule="auto"/>
        <w:jc w:val="left"/>
        <w:rPr>
          <w:sz w:val="24"/>
          <w:szCs w:val="24"/>
        </w:rPr>
      </w:pPr>
      <w:bookmarkStart w:id="10" w:name="_Toc22833"/>
      <w:bookmarkStart w:id="11" w:name="_Toc12467"/>
      <w:bookmarkStart w:id="12" w:name="_Toc65587690"/>
      <w:r>
        <w:rPr>
          <w:rFonts w:hint="eastAsia"/>
          <w:sz w:val="24"/>
          <w:szCs w:val="24"/>
          <w:lang w:val="en-US" w:eastAsia="zh-CN"/>
        </w:rPr>
        <w:t>1.1</w:t>
      </w:r>
      <w:r>
        <w:rPr>
          <w:rFonts w:hint="eastAsia"/>
          <w:sz w:val="24"/>
          <w:szCs w:val="24"/>
        </w:rPr>
        <w:t>建设背景</w:t>
      </w:r>
      <w:bookmarkEnd w:id="10"/>
      <w:bookmarkEnd w:id="11"/>
      <w:bookmarkEnd w:id="12"/>
    </w:p>
    <w:p w14:paraId="2FB65624">
      <w:pPr>
        <w:spacing w:line="360" w:lineRule="auto"/>
        <w:ind w:firstLine="480"/>
        <w:jc w:val="left"/>
        <w:rPr>
          <w:rFonts w:cs="Times New Roman"/>
          <w:sz w:val="24"/>
          <w:szCs w:val="24"/>
        </w:rPr>
      </w:pPr>
      <w:r>
        <w:rPr>
          <w:rFonts w:cs="Times New Roman"/>
          <w:sz w:val="24"/>
          <w:szCs w:val="24"/>
        </w:rPr>
        <w:t>加强公安</w:t>
      </w:r>
      <w:r>
        <w:rPr>
          <w:rFonts w:hint="eastAsia" w:cs="Times New Roman"/>
          <w:sz w:val="24"/>
          <w:szCs w:val="24"/>
        </w:rPr>
        <w:t>机关</w:t>
      </w:r>
      <w:r>
        <w:rPr>
          <w:rFonts w:cs="Times New Roman"/>
          <w:sz w:val="24"/>
          <w:szCs w:val="24"/>
        </w:rPr>
        <w:t>办案中心执法规范化建设，既是提升公安机关执法能力、促进社会公平正义的必然要求，也是维护社会和谐稳定、保障社会经济发展的重要举措。</w:t>
      </w:r>
    </w:p>
    <w:p w14:paraId="5A96EEBB">
      <w:pPr>
        <w:spacing w:line="360" w:lineRule="auto"/>
        <w:ind w:firstLine="48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2019年12月12日，公安部下发《关于进一步推进严格规范公正文明执法的意见》，2021年陕西省公安厅召开全省公安机关执法规范化建设工作会议，提到深入开展执法规范化建设科学分类、精准施策、追赶超越工作，相继出台《关于深入推进公安执法监督管理机制改革的实施意见》《案件管理中心、案管室智能化建设升级改造的指导意见》《执法规范化建设大数据“画像”和精准化指导工作的实施方案》等一系列文件。</w:t>
      </w:r>
    </w:p>
    <w:p w14:paraId="173E1208">
      <w:pPr>
        <w:spacing w:line="360" w:lineRule="auto"/>
        <w:ind w:firstLine="48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对办案中心进行智能化升级改造，不仅将为高新分局有力推进执法规范化建设提供重要保障和有力抓手，而且也充分符合并积极落实了公安部最新提出的办案场所提质增效要求的大趋势大方向。</w:t>
      </w:r>
    </w:p>
    <w:p w14:paraId="0305A8FE">
      <w:pPr>
        <w:pStyle w:val="4"/>
        <w:spacing w:line="360" w:lineRule="auto"/>
        <w:jc w:val="left"/>
        <w:rPr>
          <w:sz w:val="24"/>
          <w:szCs w:val="24"/>
          <w:lang w:val="en-US"/>
        </w:rPr>
      </w:pPr>
      <w:bookmarkStart w:id="13" w:name="_Toc333997889"/>
      <w:bookmarkEnd w:id="13"/>
      <w:bookmarkStart w:id="14" w:name="_Toc353788121"/>
      <w:bookmarkEnd w:id="14"/>
      <w:bookmarkStart w:id="15" w:name="_Toc30870"/>
      <w:bookmarkStart w:id="16" w:name="_Toc152750424"/>
      <w:r>
        <w:rPr>
          <w:rFonts w:hint="eastAsia"/>
          <w:sz w:val="24"/>
          <w:szCs w:val="24"/>
          <w:lang w:val="en-US" w:eastAsia="zh-CN"/>
        </w:rPr>
        <w:t>1.2</w:t>
      </w:r>
      <w:r>
        <w:rPr>
          <w:rFonts w:hint="eastAsia"/>
          <w:sz w:val="24"/>
          <w:szCs w:val="24"/>
          <w:lang w:val="en-US"/>
        </w:rPr>
        <w:t>建设</w:t>
      </w:r>
      <w:bookmarkEnd w:id="15"/>
      <w:bookmarkEnd w:id="16"/>
      <w:r>
        <w:rPr>
          <w:rFonts w:hint="eastAsia"/>
          <w:sz w:val="24"/>
          <w:szCs w:val="24"/>
          <w:lang w:val="en-US" w:eastAsia="zh-CN"/>
        </w:rPr>
        <w:t>目标</w:t>
      </w:r>
    </w:p>
    <w:p w14:paraId="094D6EEF">
      <w:pPr>
        <w:spacing w:line="360" w:lineRule="auto"/>
        <w:ind w:firstLine="480" w:firstLineChars="200"/>
        <w:jc w:val="left"/>
        <w:rPr>
          <w:rFonts w:hint="eastAsia" w:cs="Times New Roman"/>
          <w:sz w:val="24"/>
          <w:szCs w:val="24"/>
        </w:rPr>
      </w:pPr>
      <w:r>
        <w:rPr>
          <w:rFonts w:hint="eastAsia" w:cs="Times New Roman"/>
          <w:sz w:val="24"/>
          <w:szCs w:val="24"/>
        </w:rPr>
        <w:t>西安市公安局高新分局在</w:t>
      </w:r>
      <w:r>
        <w:rPr>
          <w:rFonts w:cs="Times New Roman"/>
          <w:sz w:val="24"/>
          <w:szCs w:val="24"/>
        </w:rPr>
        <w:t>充分分析自身现状的基础上</w:t>
      </w:r>
      <w:r>
        <w:rPr>
          <w:rFonts w:hint="eastAsia" w:cs="Times New Roman"/>
          <w:sz w:val="24"/>
          <w:szCs w:val="24"/>
        </w:rPr>
        <w:t>，</w:t>
      </w:r>
      <w:r>
        <w:rPr>
          <w:rFonts w:cs="Times New Roman"/>
          <w:sz w:val="24"/>
          <w:szCs w:val="24"/>
        </w:rPr>
        <w:t>借鉴全国各地先进的建设经验</w:t>
      </w:r>
      <w:r>
        <w:rPr>
          <w:rFonts w:hint="eastAsia" w:cs="Times New Roman"/>
          <w:sz w:val="24"/>
          <w:szCs w:val="24"/>
        </w:rPr>
        <w:t>，建</w:t>
      </w:r>
      <w:r>
        <w:rPr>
          <w:rFonts w:cs="Times New Roman"/>
          <w:sz w:val="24"/>
          <w:szCs w:val="24"/>
        </w:rPr>
        <w:t>设集中办案、智能管理的执法办案新机制，致力于探索出一条适合自身实际情况</w:t>
      </w:r>
      <w:r>
        <w:rPr>
          <w:rFonts w:hint="eastAsia" w:cs="Times New Roman"/>
          <w:sz w:val="24"/>
          <w:szCs w:val="24"/>
        </w:rPr>
        <w:t>，实现执法流程可追踪、执法信息可查询、执法风险可预警的</w:t>
      </w:r>
      <w:r>
        <w:rPr>
          <w:rFonts w:cs="Times New Roman"/>
          <w:sz w:val="24"/>
          <w:szCs w:val="24"/>
        </w:rPr>
        <w:t>管理新模式</w:t>
      </w:r>
      <w:r>
        <w:rPr>
          <w:rFonts w:hint="eastAsia" w:cs="Times New Roman"/>
          <w:sz w:val="24"/>
          <w:szCs w:val="24"/>
        </w:rPr>
        <w:t>；能够在第一时间迅速发现并解决突出执法问题，倒逼民警良好执法习惯养成，变被动监督、事后监督为实时监督、动态监督，有效解决执法办案不规范等问题，实现公安机关管理增效、办案提速、执法提质，办案工作更加严格、规范、公正、文明，执法公信力得到明显提升。</w:t>
      </w:r>
    </w:p>
    <w:p w14:paraId="683D3428">
      <w:pPr>
        <w:pStyle w:val="4"/>
        <w:spacing w:line="360" w:lineRule="auto"/>
        <w:jc w:val="left"/>
        <w:rPr>
          <w:sz w:val="24"/>
          <w:szCs w:val="24"/>
          <w:lang w:val="en-US"/>
        </w:rPr>
      </w:pPr>
      <w:r>
        <w:rPr>
          <w:rFonts w:hint="eastAsia"/>
          <w:sz w:val="24"/>
          <w:szCs w:val="24"/>
          <w:lang w:val="en-US" w:eastAsia="zh-CN"/>
        </w:rPr>
        <w:t>1.3</w:t>
      </w:r>
      <w:r>
        <w:rPr>
          <w:rFonts w:hint="eastAsia"/>
          <w:sz w:val="24"/>
          <w:szCs w:val="24"/>
          <w:lang w:val="en-US"/>
        </w:rPr>
        <w:t>建设</w:t>
      </w:r>
      <w:r>
        <w:rPr>
          <w:rFonts w:hint="eastAsia"/>
          <w:sz w:val="24"/>
          <w:szCs w:val="24"/>
          <w:lang w:val="en-US" w:eastAsia="zh-CN"/>
        </w:rPr>
        <w:t>内容</w:t>
      </w:r>
    </w:p>
    <w:p w14:paraId="64CD00B9">
      <w:pPr>
        <w:spacing w:line="360" w:lineRule="auto"/>
        <w:ind w:firstLine="480"/>
        <w:jc w:val="left"/>
        <w:rPr>
          <w:rFonts w:hint="eastAsia"/>
          <w:sz w:val="24"/>
          <w:szCs w:val="24"/>
          <w:lang w:val="zh-CN"/>
        </w:rPr>
      </w:pPr>
      <w:r>
        <w:rPr>
          <w:rFonts w:hint="eastAsia"/>
          <w:sz w:val="24"/>
          <w:szCs w:val="24"/>
        </w:rPr>
        <w:t>目前</w:t>
      </w:r>
      <w:r>
        <w:rPr>
          <w:rFonts w:hint="eastAsia" w:cs="Times New Roman"/>
          <w:sz w:val="24"/>
          <w:szCs w:val="24"/>
        </w:rPr>
        <w:t>西安市公安局高新分局</w:t>
      </w:r>
      <w:r>
        <w:rPr>
          <w:rFonts w:hint="eastAsia"/>
          <w:sz w:val="24"/>
          <w:szCs w:val="24"/>
          <w:lang w:val="en-US" w:eastAsia="zh-CN"/>
        </w:rPr>
        <w:t>办案中心可</w:t>
      </w:r>
      <w:r>
        <w:rPr>
          <w:sz w:val="24"/>
          <w:szCs w:val="24"/>
        </w:rPr>
        <w:t>实现执法办案</w:t>
      </w:r>
      <w:r>
        <w:rPr>
          <w:rFonts w:hint="eastAsia"/>
          <w:sz w:val="24"/>
          <w:szCs w:val="24"/>
        </w:rPr>
        <w:t>中心</w:t>
      </w:r>
      <w:r>
        <w:rPr>
          <w:sz w:val="24"/>
          <w:szCs w:val="24"/>
        </w:rPr>
        <w:t>无死角视频监控录像存储</w:t>
      </w:r>
      <w:r>
        <w:rPr>
          <w:rFonts w:hint="eastAsia"/>
          <w:sz w:val="24"/>
          <w:szCs w:val="24"/>
        </w:rPr>
        <w:t>功能，各审讯</w:t>
      </w:r>
      <w:r>
        <w:rPr>
          <w:sz w:val="24"/>
          <w:szCs w:val="24"/>
        </w:rPr>
        <w:t>室均可以本地刻录，实现画中画叠加。通过</w:t>
      </w:r>
      <w:r>
        <w:rPr>
          <w:rFonts w:hint="eastAsia"/>
          <w:sz w:val="24"/>
          <w:szCs w:val="24"/>
        </w:rPr>
        <w:t>解码器</w:t>
      </w:r>
      <w:r>
        <w:rPr>
          <w:sz w:val="24"/>
          <w:szCs w:val="24"/>
        </w:rPr>
        <w:t>，实现监控中心随机调取监控画面投屏需求。</w:t>
      </w:r>
      <w:r>
        <w:rPr>
          <w:rFonts w:hint="eastAsia"/>
          <w:sz w:val="24"/>
          <w:szCs w:val="24"/>
        </w:rPr>
        <w:t>整体而言</w:t>
      </w:r>
      <w:r>
        <w:rPr>
          <w:sz w:val="24"/>
          <w:szCs w:val="24"/>
        </w:rPr>
        <w:t>，现有满足</w:t>
      </w:r>
      <w:r>
        <w:rPr>
          <w:rFonts w:hint="eastAsia"/>
          <w:sz w:val="24"/>
          <w:szCs w:val="24"/>
        </w:rPr>
        <w:t>基本</w:t>
      </w:r>
      <w:r>
        <w:rPr>
          <w:sz w:val="24"/>
          <w:szCs w:val="24"/>
        </w:rPr>
        <w:t>的审讯业务需求</w:t>
      </w:r>
      <w:r>
        <w:rPr>
          <w:rFonts w:hint="eastAsia"/>
          <w:sz w:val="24"/>
          <w:szCs w:val="24"/>
          <w:lang w:eastAsia="zh-CN"/>
        </w:rPr>
        <w:t>，</w:t>
      </w:r>
      <w:r>
        <w:rPr>
          <w:rFonts w:hint="eastAsia"/>
          <w:sz w:val="24"/>
          <w:szCs w:val="24"/>
          <w:lang w:val="zh-CN"/>
        </w:rPr>
        <w:t>本次项目</w:t>
      </w:r>
      <w:r>
        <w:rPr>
          <w:rFonts w:hint="eastAsia"/>
          <w:sz w:val="24"/>
          <w:szCs w:val="24"/>
          <w:lang w:val="en-US" w:eastAsia="zh-CN"/>
        </w:rPr>
        <w:t>建设内容</w:t>
      </w:r>
      <w:r>
        <w:rPr>
          <w:rFonts w:hint="eastAsia"/>
          <w:sz w:val="24"/>
          <w:szCs w:val="24"/>
          <w:lang w:val="zh-CN"/>
        </w:rPr>
        <w:t>充分考虑原有设备利旧的前提下实现执法办案的规范化、智能化、自助化功能。</w:t>
      </w:r>
    </w:p>
    <w:p w14:paraId="1B55341A">
      <w:pPr>
        <w:pStyle w:val="2"/>
        <w:spacing w:line="360" w:lineRule="auto"/>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利旧内容如下：</w:t>
      </w:r>
    </w:p>
    <w:p w14:paraId="3D7D0785">
      <w:pPr>
        <w:pStyle w:val="2"/>
        <w:spacing w:line="360" w:lineRule="auto"/>
        <w:ind w:firstLine="480" w:firstLineChars="20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海康威视摄像机型号：DS-2CD2725F-IZS、DS-2DE4220IW-DE、DS-2CD2T25FD-I3S、DS-2CD2125N-ZS，硬盘录像机型号：DS-8632N-K8。</w:t>
      </w:r>
    </w:p>
    <w:p w14:paraId="07F4A0D3">
      <w:pPr>
        <w:pStyle w:val="2"/>
        <w:spacing w:line="360" w:lineRule="auto"/>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天地伟业摄像机型号：TC-NC9201S3E-2MP-E(2mm）、TC-NH9804S6-2KX、TC-NH6222-TDKX。</w:t>
      </w:r>
    </w:p>
    <w:p w14:paraId="058F2B99">
      <w:pPr>
        <w:pStyle w:val="2"/>
        <w:spacing w:line="360" w:lineRule="auto"/>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具体建设内容如下：</w:t>
      </w:r>
    </w:p>
    <w:tbl>
      <w:tblPr>
        <w:tblStyle w:val="25"/>
        <w:tblW w:w="8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5"/>
        <w:gridCol w:w="6950"/>
      </w:tblGrid>
      <w:tr w14:paraId="7D3F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07D8">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具体内容</w:t>
            </w:r>
          </w:p>
        </w:tc>
        <w:tc>
          <w:tcPr>
            <w:tcW w:w="6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4201">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1333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E4F03">
            <w:pPr>
              <w:keepNext w:val="0"/>
              <w:keepLines w:val="0"/>
              <w:widowControl/>
              <w:suppressLineNumbers w:val="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智能化执法办案中心升级改造</w:t>
            </w:r>
          </w:p>
        </w:tc>
        <w:tc>
          <w:tcPr>
            <w:tcW w:w="6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17411">
            <w:pPr>
              <w:keepNext w:val="0"/>
              <w:keepLines w:val="0"/>
              <w:widowControl/>
              <w:suppressLineNumbers w:val="0"/>
              <w:ind w:left="0" w:leftChars="0" w:firstLine="0" w:firstLine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原有基础上对办案中心进行统一智能化整合升级改造，建设智能辅助办案系统，实现整个办案场所管理的提质增效。包括改造升级原有存储系统、更换UPS系统、门禁系统等；建设办案中心的综合管理平台（采用国产自主可控系统及平台）、定制可视化智能化执法系统、入区自助登记系统、授时系统、智能分析预警系统、候问讯问智能管控、远程询问取证及远程提讯、非接触智能体征监测系统等；关键区域增补多功能音视频采集系统，改造升级随身物品保管系统，讯（询）问室配置一体化智能审讯桌椅，配置集中打印刻录一体机、电子化入区和人身安全检查登记用电子签名捺印板；保障与市局、省厅智慧案管、执法办案监督信息系统及远程提讯系统的对接。</w:t>
            </w:r>
          </w:p>
        </w:tc>
      </w:tr>
      <w:tr w14:paraId="547F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ABDCD">
            <w:pPr>
              <w:keepNext w:val="0"/>
              <w:keepLines w:val="0"/>
              <w:widowControl/>
              <w:suppressLineNumbers w:val="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视频智能寻踪定位系统</w:t>
            </w:r>
          </w:p>
        </w:tc>
        <w:tc>
          <w:tcPr>
            <w:tcW w:w="6950" w:type="dxa"/>
            <w:tcBorders>
              <w:top w:val="nil"/>
              <w:left w:val="single" w:color="000000" w:sz="4" w:space="0"/>
              <w:bottom w:val="single" w:color="000000" w:sz="4" w:space="0"/>
              <w:right w:val="single" w:color="000000" w:sz="4" w:space="0"/>
            </w:tcBorders>
            <w:shd w:val="clear" w:color="auto" w:fill="FFFFFF"/>
            <w:vAlign w:val="center"/>
          </w:tcPr>
          <w:p w14:paraId="4A2F7780">
            <w:pPr>
              <w:keepNext w:val="0"/>
              <w:keepLines w:val="0"/>
              <w:widowControl/>
              <w:suppressLineNumbers w:val="0"/>
              <w:ind w:left="0" w:leftChars="0" w:firstLine="0" w:firstLine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并行采集时间/空间/人脸/人体属性等信息，能够有效精准的跟踪到每一个目标对象，实现对目标的跨镜头接力追踪，通过应用平台关联轨迹录像，形成全流程的音视频和轨迹系统，真正实现了非接触式的高精度无感定位，在嫌疑人完全无察觉的前提下记录全流程的轨迹和音视频，支持一键刻录。</w:t>
            </w:r>
          </w:p>
        </w:tc>
      </w:tr>
      <w:tr w14:paraId="75E2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701E">
            <w:pPr>
              <w:keepNext w:val="0"/>
              <w:keepLines w:val="0"/>
              <w:widowControl/>
              <w:suppressLineNumbers w:val="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行政案件快办系统</w:t>
            </w:r>
          </w:p>
        </w:tc>
        <w:tc>
          <w:tcPr>
            <w:tcW w:w="6950" w:type="dxa"/>
            <w:tcBorders>
              <w:top w:val="nil"/>
              <w:left w:val="single" w:color="000000" w:sz="4" w:space="0"/>
              <w:bottom w:val="single" w:color="000000" w:sz="4" w:space="0"/>
              <w:right w:val="single" w:color="000000" w:sz="4" w:space="0"/>
            </w:tcBorders>
            <w:shd w:val="clear" w:color="auto" w:fill="FFFFFF"/>
            <w:vAlign w:val="center"/>
          </w:tcPr>
          <w:p w14:paraId="342BDD78">
            <w:pPr>
              <w:keepNext w:val="0"/>
              <w:keepLines w:val="0"/>
              <w:widowControl/>
              <w:suppressLineNumbers w:val="0"/>
              <w:ind w:left="0" w:leftChars="0" w:firstLine="0" w:firstLine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公安部新修订的《公安机关办理行政案件程序规定》和市局《西安市公安局关于开展行政案件快速办理的意见》，按照繁简分流的理念和精细化的要求，利用行政快办一体机集成的智能笔录、电子签名捺印、AI引导等功能实现特定行政案件的快速办理。</w:t>
            </w:r>
          </w:p>
        </w:tc>
      </w:tr>
      <w:tr w14:paraId="6C2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D7B3F">
            <w:pPr>
              <w:keepNext w:val="0"/>
              <w:keepLines w:val="0"/>
              <w:widowControl/>
              <w:suppressLineNumbers w:val="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一体化信息采集系统</w:t>
            </w:r>
          </w:p>
        </w:tc>
        <w:tc>
          <w:tcPr>
            <w:tcW w:w="6950" w:type="dxa"/>
            <w:tcBorders>
              <w:top w:val="nil"/>
              <w:left w:val="single" w:color="000000" w:sz="4" w:space="0"/>
              <w:bottom w:val="single" w:color="000000" w:sz="4" w:space="0"/>
              <w:right w:val="single" w:color="000000" w:sz="4" w:space="0"/>
            </w:tcBorders>
            <w:shd w:val="clear" w:color="auto" w:fill="FFFFFF"/>
            <w:vAlign w:val="center"/>
          </w:tcPr>
          <w:p w14:paraId="0E3D648D">
            <w:pPr>
              <w:keepNext w:val="0"/>
              <w:keepLines w:val="0"/>
              <w:widowControl/>
              <w:suppressLineNumbers w:val="0"/>
              <w:ind w:left="0" w:leftChars="0" w:firstLine="0" w:firstLine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调用相关采集硬件单元，实现人员基本信息、人像、指掌纹、声纹、虹膜、足迹等信息的采集以及比对结果反馈、系统维护等功能；系统集成新一代非接触智能指掌纹采集设备，对于采集指尖区域更加完整，且不受手指干湿影响。一次性完成平面指纹和三面捺印指纹的采集图像符合GA相关标准要求。同时集成光学掌纹采集模块，可采集正掌掌纹、侧掌掌纹。</w:t>
            </w:r>
          </w:p>
        </w:tc>
      </w:tr>
    </w:tbl>
    <w:p w14:paraId="55F61116">
      <w:pPr>
        <w:numPr>
          <w:ilvl w:val="0"/>
          <w:numId w:val="2"/>
        </w:numPr>
        <w:spacing w:line="360" w:lineRule="auto"/>
        <w:rPr>
          <w:bCs/>
          <w:sz w:val="24"/>
          <w:szCs w:val="24"/>
          <w:highlight w:val="none"/>
          <w:lang w:val="zh-CN"/>
        </w:rPr>
      </w:pPr>
      <w:r>
        <w:rPr>
          <w:rFonts w:hint="eastAsia"/>
          <w:b/>
          <w:sz w:val="24"/>
          <w:szCs w:val="24"/>
          <w:highlight w:val="none"/>
        </w:rPr>
        <w:t>计划工期：合同签订后75个日历天（具体开工日期以收到采购人通知为准）。</w:t>
      </w:r>
    </w:p>
    <w:p w14:paraId="7C829DB4">
      <w:pPr>
        <w:spacing w:line="360" w:lineRule="auto"/>
        <w:rPr>
          <w:bCs/>
          <w:szCs w:val="21"/>
          <w:highlight w:val="none"/>
          <w:lang w:val="zh-CN"/>
        </w:rPr>
      </w:pPr>
      <w:r>
        <w:rPr>
          <w:rFonts w:hint="eastAsia"/>
          <w:b/>
          <w:sz w:val="24"/>
          <w:szCs w:val="24"/>
          <w:highlight w:val="none"/>
          <w:lang w:val="zh-CN"/>
        </w:rPr>
        <w:t>三、工程量清单</w:t>
      </w:r>
      <w:r>
        <w:rPr>
          <w:rFonts w:hint="eastAsia"/>
          <w:b/>
          <w:sz w:val="24"/>
          <w:szCs w:val="24"/>
          <w:highlight w:val="none"/>
          <w:lang w:val="en-US" w:eastAsia="zh-CN"/>
        </w:rPr>
        <w:t>及采购清单</w:t>
      </w:r>
      <w:r>
        <w:rPr>
          <w:rFonts w:hint="eastAsia"/>
          <w:b/>
          <w:sz w:val="24"/>
          <w:szCs w:val="24"/>
          <w:highlight w:val="none"/>
          <w:lang w:val="zh-CN"/>
        </w:rPr>
        <w:t>：具体招标内容以清单为准，见附件</w:t>
      </w:r>
      <w:r>
        <w:rPr>
          <w:rFonts w:hint="eastAsia"/>
          <w:bCs/>
          <w:szCs w:val="21"/>
          <w:highlight w:val="none"/>
          <w:lang w:val="zh-CN"/>
        </w:rPr>
        <w:br w:type="page"/>
      </w:r>
    </w:p>
    <w:p w14:paraId="42003F09">
      <w:pPr>
        <w:snapToGrid w:val="0"/>
        <w:spacing w:line="360" w:lineRule="auto"/>
        <w:jc w:val="center"/>
        <w:outlineLvl w:val="0"/>
        <w:rPr>
          <w:rFonts w:ascii="仿宋_GB2312" w:hAnsi="仿宋_GB2312" w:eastAsia="仿宋_GB2312" w:cs="仿宋_GB2312"/>
          <w:sz w:val="24"/>
          <w:szCs w:val="24"/>
          <w:highlight w:val="none"/>
        </w:rPr>
      </w:pPr>
      <w:bookmarkStart w:id="17" w:name="_Toc21083"/>
      <w:r>
        <w:rPr>
          <w:rStyle w:val="43"/>
          <w:rFonts w:hint="eastAsia" w:ascii="宋体" w:hAnsi="宋体" w:cs="宋体"/>
          <w:b/>
          <w:sz w:val="30"/>
          <w:szCs w:val="30"/>
          <w:highlight w:val="none"/>
        </w:rPr>
        <w:t>第五章  拟签订的合同文本</w:t>
      </w:r>
      <w:bookmarkEnd w:id="17"/>
      <w:bookmarkStart w:id="18" w:name="_Toc290389757"/>
    </w:p>
    <w:bookmarkEnd w:id="18"/>
    <w:p w14:paraId="280D717F">
      <w:pPr>
        <w:spacing w:line="360" w:lineRule="auto"/>
        <w:ind w:firstLine="422" w:firstLineChars="200"/>
        <w:rPr>
          <w:rFonts w:ascii="宋体" w:hAnsi="宋体" w:cs="宋体"/>
          <w:b/>
          <w:szCs w:val="21"/>
          <w:highlight w:val="none"/>
          <w:u w:val="single"/>
        </w:rPr>
      </w:pPr>
      <w:r>
        <w:rPr>
          <w:rFonts w:hint="eastAsia" w:ascii="宋体" w:hAnsi="宋体" w:cs="宋体"/>
          <w:b/>
          <w:szCs w:val="21"/>
          <w:highlight w:val="none"/>
        </w:rPr>
        <w:t xml:space="preserve">发包人（全称）：             </w:t>
      </w:r>
      <w:r>
        <w:rPr>
          <w:rFonts w:hint="eastAsia" w:ascii="宋体" w:hAnsi="宋体" w:cs="宋体"/>
          <w:b/>
          <w:szCs w:val="21"/>
          <w:highlight w:val="none"/>
          <w:u w:val="single"/>
        </w:rPr>
        <w:t xml:space="preserve">                            </w:t>
      </w:r>
    </w:p>
    <w:p w14:paraId="46393C8A">
      <w:pPr>
        <w:spacing w:line="360" w:lineRule="auto"/>
        <w:ind w:firstLine="422" w:firstLineChars="200"/>
        <w:rPr>
          <w:rFonts w:ascii="宋体" w:hAnsi="宋体" w:cs="宋体"/>
          <w:b/>
          <w:szCs w:val="21"/>
          <w:highlight w:val="none"/>
          <w:u w:val="single"/>
        </w:rPr>
      </w:pPr>
      <w:r>
        <w:rPr>
          <w:rFonts w:hint="eastAsia" w:ascii="宋体" w:hAnsi="宋体" w:cs="宋体"/>
          <w:b/>
          <w:szCs w:val="21"/>
          <w:highlight w:val="none"/>
        </w:rPr>
        <w:t>承包人（全称）：</w:t>
      </w:r>
      <w:r>
        <w:rPr>
          <w:rFonts w:hint="eastAsia" w:ascii="宋体" w:hAnsi="宋体" w:cs="宋体"/>
          <w:b/>
          <w:szCs w:val="21"/>
          <w:highlight w:val="none"/>
          <w:u w:val="single"/>
        </w:rPr>
        <w:t xml:space="preserve">                                </w:t>
      </w:r>
    </w:p>
    <w:p w14:paraId="7EC6741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根据《中华人民共和国民法典》、《中华人民共和国建筑法》及有关法律规定，遵循平等、自愿、公平和诚实信用的原则，双方就</w:t>
      </w:r>
      <w:r>
        <w:rPr>
          <w:rFonts w:hint="eastAsia" w:ascii="宋体" w:hAnsi="宋体" w:cs="宋体"/>
          <w:bCs/>
          <w:szCs w:val="21"/>
          <w:highlight w:val="none"/>
          <w:u w:val="single"/>
        </w:rPr>
        <w:t xml:space="preserve">    （项目名称）（包号）         </w:t>
      </w:r>
      <w:r>
        <w:rPr>
          <w:rFonts w:hint="eastAsia" w:ascii="宋体" w:hAnsi="宋体" w:cs="宋体"/>
          <w:bCs/>
          <w:szCs w:val="21"/>
          <w:highlight w:val="none"/>
        </w:rPr>
        <w:t>及有关事项协商一致，共同达成如下协议：</w:t>
      </w:r>
    </w:p>
    <w:p w14:paraId="47EE2382">
      <w:pPr>
        <w:pStyle w:val="6"/>
        <w:spacing w:before="120" w:after="120"/>
        <w:rPr>
          <w:rFonts w:ascii="宋体" w:hAnsi="宋体" w:cs="宋体"/>
          <w:bCs/>
          <w:color w:val="auto"/>
          <w:sz w:val="21"/>
          <w:szCs w:val="21"/>
          <w:highlight w:val="none"/>
          <w:u w:val="none"/>
        </w:rPr>
      </w:pPr>
      <w:bookmarkStart w:id="19" w:name="_Toc351203481"/>
      <w:r>
        <w:rPr>
          <w:rFonts w:hint="eastAsia" w:ascii="宋体" w:hAnsi="宋体" w:cs="宋体"/>
          <w:bCs/>
          <w:color w:val="auto"/>
          <w:sz w:val="21"/>
          <w:szCs w:val="21"/>
          <w:highlight w:val="none"/>
          <w:u w:val="none"/>
        </w:rPr>
        <w:t>一、工程概况</w:t>
      </w:r>
      <w:bookmarkEnd w:id="19"/>
    </w:p>
    <w:p w14:paraId="030F290E">
      <w:pPr>
        <w:spacing w:line="360" w:lineRule="auto"/>
        <w:ind w:firstLine="411" w:firstLineChars="196"/>
        <w:rPr>
          <w:rFonts w:ascii="宋体" w:hAnsi="宋体" w:cs="宋体"/>
          <w:w w:val="90"/>
          <w:szCs w:val="21"/>
          <w:highlight w:val="none"/>
          <w:u w:val="single"/>
        </w:rPr>
      </w:pPr>
      <w:r>
        <w:rPr>
          <w:rFonts w:hint="eastAsia" w:ascii="宋体" w:hAnsi="宋体" w:cs="宋体"/>
          <w:bCs/>
          <w:szCs w:val="21"/>
          <w:highlight w:val="none"/>
        </w:rPr>
        <w:t>1.工程名称：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bCs/>
          <w:szCs w:val="21"/>
          <w:highlight w:val="none"/>
        </w:rPr>
        <w:t xml:space="preserve">  </w:t>
      </w:r>
      <w:r>
        <w:rPr>
          <w:rFonts w:hint="eastAsia" w:ascii="宋体" w:hAnsi="宋体" w:cs="宋体"/>
          <w:b/>
          <w:szCs w:val="21"/>
          <w:highlight w:val="none"/>
        </w:rPr>
        <w:t xml:space="preserve">   </w:t>
      </w:r>
      <w:r>
        <w:rPr>
          <w:rFonts w:hint="eastAsia" w:ascii="宋体" w:hAnsi="宋体" w:cs="宋体"/>
          <w:b/>
          <w:szCs w:val="21"/>
          <w:highlight w:val="none"/>
          <w:u w:val="single"/>
        </w:rPr>
        <w:t xml:space="preserve">                        </w:t>
      </w:r>
    </w:p>
    <w:p w14:paraId="4C7CB9A4">
      <w:pPr>
        <w:spacing w:line="360" w:lineRule="auto"/>
        <w:ind w:firstLine="411" w:firstLineChars="196"/>
        <w:rPr>
          <w:rFonts w:ascii="宋体" w:hAnsi="宋体" w:cs="宋体"/>
          <w:b/>
          <w:szCs w:val="21"/>
          <w:highlight w:val="none"/>
        </w:rPr>
      </w:pPr>
      <w:r>
        <w:rPr>
          <w:rFonts w:hint="eastAsia" w:ascii="宋体" w:hAnsi="宋体" w:cs="宋体"/>
          <w:bCs/>
          <w:szCs w:val="21"/>
          <w:highlight w:val="none"/>
        </w:rPr>
        <w:t>2.工程地点</w:t>
      </w:r>
      <w:r>
        <w:rPr>
          <w:rFonts w:hint="eastAsia" w:ascii="宋体" w:hAnsi="宋体" w:cs="宋体"/>
          <w:b/>
          <w:szCs w:val="21"/>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394A71F">
      <w:pPr>
        <w:spacing w:line="360" w:lineRule="auto"/>
        <w:ind w:firstLine="411" w:firstLineChars="196"/>
        <w:rPr>
          <w:rFonts w:ascii="宋体" w:hAnsi="宋体" w:cs="宋体"/>
          <w:sz w:val="24"/>
          <w:szCs w:val="24"/>
          <w:highlight w:val="none"/>
        </w:rPr>
      </w:pPr>
      <w:r>
        <w:rPr>
          <w:rFonts w:hint="eastAsia" w:ascii="宋体" w:hAnsi="宋体" w:cs="宋体"/>
          <w:bCs/>
          <w:szCs w:val="21"/>
          <w:highlight w:val="none"/>
        </w:rPr>
        <w:t>3.资金来源：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4B8BA54">
      <w:pPr>
        <w:spacing w:line="360" w:lineRule="auto"/>
        <w:ind w:firstLine="411" w:firstLineChars="196"/>
        <w:rPr>
          <w:rFonts w:ascii="宋体" w:hAnsi="宋体" w:cs="宋体"/>
          <w:bCs/>
          <w:szCs w:val="21"/>
          <w:highlight w:val="none"/>
        </w:rPr>
      </w:pPr>
      <w:r>
        <w:rPr>
          <w:rFonts w:hint="eastAsia" w:ascii="宋体" w:hAnsi="宋体" w:cs="宋体"/>
          <w:bCs/>
          <w:szCs w:val="21"/>
          <w:highlight w:val="none"/>
        </w:rPr>
        <w:t>4.工程内容</w:t>
      </w:r>
      <w:r>
        <w:rPr>
          <w:rFonts w:hint="eastAsia" w:ascii="宋体" w:hAnsi="宋体" w:cs="宋体"/>
          <w:b/>
          <w:szCs w:val="21"/>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p>
    <w:p w14:paraId="1B1FB975">
      <w:pPr>
        <w:spacing w:line="360" w:lineRule="auto"/>
        <w:ind w:firstLine="420" w:firstLineChars="200"/>
        <w:rPr>
          <w:rFonts w:ascii="宋体" w:hAnsi="宋体" w:cs="宋体"/>
          <w:b/>
          <w:szCs w:val="21"/>
          <w:highlight w:val="none"/>
        </w:rPr>
      </w:pPr>
      <w:r>
        <w:rPr>
          <w:rFonts w:hint="eastAsia" w:ascii="宋体" w:hAnsi="宋体" w:cs="宋体"/>
          <w:bCs/>
          <w:szCs w:val="21"/>
          <w:highlight w:val="none"/>
        </w:rPr>
        <w:t>5.工程承包范围：</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p>
    <w:p w14:paraId="27D5D2C9">
      <w:pPr>
        <w:pStyle w:val="6"/>
        <w:spacing w:before="120" w:after="120"/>
        <w:rPr>
          <w:rFonts w:ascii="宋体" w:hAnsi="宋体" w:cs="宋体"/>
          <w:bCs/>
          <w:color w:val="auto"/>
          <w:sz w:val="21"/>
          <w:szCs w:val="21"/>
          <w:highlight w:val="none"/>
          <w:u w:val="none"/>
        </w:rPr>
      </w:pPr>
      <w:bookmarkStart w:id="20" w:name="_Toc351203482"/>
      <w:r>
        <w:rPr>
          <w:rFonts w:hint="eastAsia" w:ascii="宋体" w:hAnsi="宋体" w:cs="宋体"/>
          <w:bCs/>
          <w:color w:val="auto"/>
          <w:sz w:val="21"/>
          <w:szCs w:val="21"/>
          <w:highlight w:val="none"/>
          <w:u w:val="none"/>
        </w:rPr>
        <w:t>二、合同工期</w:t>
      </w:r>
      <w:bookmarkEnd w:id="20"/>
    </w:p>
    <w:p w14:paraId="099096A2">
      <w:pPr>
        <w:spacing w:line="360" w:lineRule="auto"/>
        <w:ind w:firstLine="420" w:firstLineChars="200"/>
        <w:rPr>
          <w:rFonts w:ascii="宋体" w:hAnsi="宋体" w:cs="宋体"/>
          <w:sz w:val="24"/>
          <w:szCs w:val="24"/>
          <w:highlight w:val="none"/>
        </w:rPr>
      </w:pPr>
      <w:r>
        <w:rPr>
          <w:rFonts w:hint="eastAsia" w:ascii="宋体" w:hAnsi="宋体" w:cs="宋体"/>
          <w:bCs/>
          <w:szCs w:val="21"/>
          <w:highlight w:val="none"/>
        </w:rPr>
        <w:t>计划开工日期</w:t>
      </w:r>
      <w:r>
        <w:rPr>
          <w:rFonts w:ascii="宋体" w:hAnsi="宋体" w:cs="宋体"/>
          <w:sz w:val="24"/>
          <w:szCs w:val="24"/>
          <w:highlight w:val="none"/>
        </w:rPr>
        <w:t>：</w:t>
      </w:r>
      <w:r>
        <w:rPr>
          <w:rFonts w:ascii="宋体" w:hAnsi="宋体" w:cs="宋体"/>
          <w:sz w:val="24"/>
          <w:szCs w:val="24"/>
          <w:highlight w:val="none"/>
          <w:u w:val="single"/>
        </w:rPr>
        <w:t></w:t>
      </w:r>
      <w:r>
        <w:rPr>
          <w:rFonts w:ascii="宋体" w:hAnsi="宋体" w:cs="宋体"/>
          <w:sz w:val="24"/>
          <w:szCs w:val="24"/>
          <w:highlight w:val="none"/>
        </w:rPr>
        <w:t>年</w:t>
      </w:r>
      <w:r>
        <w:rPr>
          <w:rFonts w:ascii="宋体" w:hAnsi="宋体" w:cs="宋体"/>
          <w:sz w:val="24"/>
          <w:szCs w:val="24"/>
          <w:highlight w:val="none"/>
          <w:u w:val="single"/>
        </w:rPr>
        <w:t></w:t>
      </w:r>
      <w:r>
        <w:rPr>
          <w:rFonts w:ascii="宋体" w:hAnsi="宋体" w:cs="宋体"/>
          <w:sz w:val="24"/>
          <w:szCs w:val="24"/>
          <w:highlight w:val="none"/>
        </w:rPr>
        <w:t>月</w:t>
      </w:r>
      <w:r>
        <w:rPr>
          <w:rFonts w:ascii="宋体" w:hAnsi="宋体" w:cs="宋体"/>
          <w:sz w:val="24"/>
          <w:szCs w:val="24"/>
          <w:highlight w:val="none"/>
          <w:u w:val="single"/>
        </w:rPr>
        <w:t></w:t>
      </w:r>
      <w:r>
        <w:rPr>
          <w:rFonts w:ascii="宋体" w:hAnsi="宋体" w:cs="宋体"/>
          <w:sz w:val="24"/>
          <w:szCs w:val="24"/>
          <w:highlight w:val="none"/>
        </w:rPr>
        <w:t>日。</w:t>
      </w:r>
    </w:p>
    <w:p w14:paraId="719A9626">
      <w:pPr>
        <w:spacing w:line="360" w:lineRule="auto"/>
        <w:ind w:firstLine="420" w:firstLineChars="200"/>
        <w:rPr>
          <w:rFonts w:ascii="宋体" w:hAnsi="宋体" w:cs="宋体"/>
          <w:sz w:val="24"/>
          <w:szCs w:val="24"/>
          <w:highlight w:val="none"/>
        </w:rPr>
      </w:pPr>
      <w:r>
        <w:rPr>
          <w:rFonts w:hint="eastAsia" w:ascii="宋体" w:hAnsi="宋体" w:cs="宋体"/>
          <w:bCs/>
          <w:szCs w:val="21"/>
          <w:highlight w:val="none"/>
        </w:rPr>
        <w:t>计划竣工日期</w:t>
      </w:r>
      <w:r>
        <w:rPr>
          <w:rFonts w:ascii="宋体" w:hAnsi="宋体" w:cs="宋体"/>
          <w:sz w:val="24"/>
          <w:szCs w:val="24"/>
          <w:highlight w:val="none"/>
        </w:rPr>
        <w:t>：</w:t>
      </w:r>
      <w:r>
        <w:rPr>
          <w:rFonts w:ascii="宋体" w:hAnsi="宋体" w:cs="宋体"/>
          <w:sz w:val="24"/>
          <w:szCs w:val="24"/>
          <w:highlight w:val="none"/>
          <w:u w:val="single"/>
        </w:rPr>
        <w:t></w:t>
      </w:r>
      <w:r>
        <w:rPr>
          <w:rFonts w:ascii="宋体" w:hAnsi="宋体" w:cs="宋体"/>
          <w:sz w:val="24"/>
          <w:szCs w:val="24"/>
          <w:highlight w:val="none"/>
        </w:rPr>
        <w:t>年</w:t>
      </w:r>
      <w:r>
        <w:rPr>
          <w:rFonts w:ascii="宋体" w:hAnsi="宋体" w:cs="宋体"/>
          <w:sz w:val="24"/>
          <w:szCs w:val="24"/>
          <w:highlight w:val="none"/>
          <w:u w:val="single"/>
        </w:rPr>
        <w:t></w:t>
      </w:r>
      <w:r>
        <w:rPr>
          <w:rFonts w:ascii="宋体" w:hAnsi="宋体" w:cs="宋体"/>
          <w:sz w:val="24"/>
          <w:szCs w:val="24"/>
          <w:highlight w:val="none"/>
        </w:rPr>
        <w:t>月</w:t>
      </w:r>
      <w:r>
        <w:rPr>
          <w:rFonts w:ascii="宋体" w:hAnsi="宋体" w:cs="宋体"/>
          <w:sz w:val="24"/>
          <w:szCs w:val="24"/>
          <w:highlight w:val="none"/>
          <w:u w:val="single"/>
        </w:rPr>
        <w:t></w:t>
      </w:r>
      <w:r>
        <w:rPr>
          <w:rFonts w:ascii="宋体" w:hAnsi="宋体" w:cs="宋体"/>
          <w:sz w:val="24"/>
          <w:szCs w:val="24"/>
          <w:highlight w:val="none"/>
        </w:rPr>
        <w:t>日。</w:t>
      </w:r>
    </w:p>
    <w:p w14:paraId="5147F7F2">
      <w:pPr>
        <w:spacing w:line="360" w:lineRule="auto"/>
        <w:ind w:firstLine="459"/>
        <w:rPr>
          <w:rFonts w:ascii="宋体" w:hAnsi="宋体" w:cs="宋体"/>
          <w:sz w:val="24"/>
          <w:szCs w:val="24"/>
          <w:highlight w:val="none"/>
        </w:rPr>
      </w:pPr>
      <w:r>
        <w:rPr>
          <w:rFonts w:hint="eastAsia" w:ascii="宋体" w:hAnsi="宋体" w:cs="宋体"/>
          <w:bCs/>
          <w:szCs w:val="21"/>
          <w:highlight w:val="none"/>
        </w:rPr>
        <w:t>工期总日历天数</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w:t>
      </w:r>
    </w:p>
    <w:p w14:paraId="551FC77E">
      <w:pPr>
        <w:pStyle w:val="6"/>
        <w:spacing w:before="120" w:after="120"/>
        <w:rPr>
          <w:rFonts w:ascii="宋体" w:hAnsi="宋体" w:cs="宋体"/>
          <w:bCs/>
          <w:color w:val="auto"/>
          <w:sz w:val="21"/>
          <w:szCs w:val="21"/>
          <w:highlight w:val="none"/>
          <w:u w:val="none"/>
        </w:rPr>
      </w:pPr>
      <w:bookmarkStart w:id="21" w:name="_Toc351203483"/>
      <w:r>
        <w:rPr>
          <w:rFonts w:hint="eastAsia" w:ascii="宋体" w:hAnsi="宋体" w:cs="宋体"/>
          <w:bCs/>
          <w:color w:val="auto"/>
          <w:sz w:val="21"/>
          <w:szCs w:val="21"/>
          <w:highlight w:val="none"/>
          <w:u w:val="none"/>
        </w:rPr>
        <w:t>三、质量标准</w:t>
      </w:r>
      <w:bookmarkEnd w:id="21"/>
    </w:p>
    <w:p w14:paraId="00B21122">
      <w:pPr>
        <w:spacing w:line="360" w:lineRule="auto"/>
        <w:ind w:firstLine="459"/>
        <w:rPr>
          <w:rFonts w:ascii="宋体" w:hAnsi="宋体" w:cs="宋体"/>
          <w:bCs/>
          <w:szCs w:val="21"/>
          <w:highlight w:val="none"/>
        </w:rPr>
      </w:pPr>
      <w:r>
        <w:rPr>
          <w:rFonts w:hint="eastAsia" w:ascii="宋体" w:hAnsi="宋体" w:cs="宋体"/>
          <w:bCs/>
          <w:szCs w:val="21"/>
          <w:highlight w:val="none"/>
        </w:rPr>
        <w:t>工程质量符合</w:t>
      </w:r>
      <w:r>
        <w:rPr>
          <w:rFonts w:hint="eastAsia" w:ascii="宋体" w:hAnsi="宋体" w:cs="宋体"/>
          <w:bCs/>
          <w:szCs w:val="21"/>
          <w:highlight w:val="none"/>
          <w:u w:val="single"/>
        </w:rPr>
        <w:t xml:space="preserve">  国家现行施工验收规范和质量检验“合格”   </w:t>
      </w:r>
      <w:r>
        <w:rPr>
          <w:rFonts w:hint="eastAsia" w:ascii="宋体" w:hAnsi="宋体" w:cs="宋体"/>
          <w:bCs/>
          <w:szCs w:val="21"/>
          <w:highlight w:val="none"/>
        </w:rPr>
        <w:t>标准。</w:t>
      </w:r>
    </w:p>
    <w:p w14:paraId="12A8F8FB">
      <w:pPr>
        <w:pStyle w:val="6"/>
        <w:spacing w:before="120" w:after="120"/>
        <w:rPr>
          <w:rFonts w:ascii="宋体" w:hAnsi="宋体" w:cs="宋体"/>
          <w:bCs/>
          <w:color w:val="auto"/>
          <w:sz w:val="21"/>
          <w:szCs w:val="21"/>
          <w:highlight w:val="none"/>
          <w:u w:val="none"/>
        </w:rPr>
      </w:pPr>
      <w:bookmarkStart w:id="22" w:name="_Toc351203484"/>
      <w:r>
        <w:rPr>
          <w:rFonts w:hint="eastAsia" w:ascii="宋体" w:hAnsi="宋体" w:cs="宋体"/>
          <w:bCs/>
          <w:color w:val="auto"/>
          <w:sz w:val="21"/>
          <w:szCs w:val="21"/>
          <w:highlight w:val="none"/>
          <w:u w:val="none"/>
        </w:rPr>
        <w:t>四、签约合同价与合同价格形式</w:t>
      </w:r>
      <w:bookmarkEnd w:id="22"/>
      <w:r>
        <w:rPr>
          <w:rFonts w:hint="eastAsia" w:ascii="宋体" w:hAnsi="宋体" w:cs="宋体"/>
          <w:bCs/>
          <w:color w:val="auto"/>
          <w:sz w:val="21"/>
          <w:szCs w:val="21"/>
          <w:highlight w:val="none"/>
          <w:u w:val="none"/>
        </w:rPr>
        <w:tab/>
      </w:r>
    </w:p>
    <w:p w14:paraId="65DC7224">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1.签约合同价为：</w:t>
      </w:r>
    </w:p>
    <w:p w14:paraId="3DF42F9A">
      <w:pPr>
        <w:spacing w:line="360" w:lineRule="auto"/>
        <w:ind w:firstLine="527" w:firstLineChars="250"/>
        <w:rPr>
          <w:rFonts w:ascii="宋体" w:hAnsi="宋体" w:cs="宋体"/>
          <w:b/>
          <w:szCs w:val="21"/>
          <w:highlight w:val="none"/>
        </w:rPr>
      </w:pPr>
      <w:r>
        <w:rPr>
          <w:rFonts w:hint="eastAsia" w:ascii="宋体" w:hAnsi="宋体" w:cs="宋体"/>
          <w:b/>
          <w:szCs w:val="21"/>
          <w:highlight w:val="none"/>
        </w:rPr>
        <w:t>人民币（大写）</w:t>
      </w:r>
      <w:r>
        <w:rPr>
          <w:rFonts w:hint="eastAsia" w:ascii="宋体" w:hAnsi="宋体" w:cs="宋体"/>
          <w:b/>
          <w:szCs w:val="21"/>
          <w:highlight w:val="none"/>
          <w:u w:val="single"/>
        </w:rPr>
        <w:t xml:space="preserve">                 </w:t>
      </w:r>
      <w:r>
        <w:rPr>
          <w:rFonts w:hint="eastAsia" w:ascii="宋体" w:hAnsi="宋体" w:cs="宋体"/>
          <w:b/>
          <w:szCs w:val="21"/>
          <w:highlight w:val="none"/>
        </w:rPr>
        <w:t>(¥</w:t>
      </w:r>
      <w:r>
        <w:rPr>
          <w:rFonts w:hint="eastAsia" w:ascii="宋体" w:hAnsi="宋体" w:cs="宋体"/>
          <w:b/>
          <w:szCs w:val="21"/>
          <w:highlight w:val="none"/>
          <w:u w:val="single"/>
        </w:rPr>
        <w:t xml:space="preserve">            </w:t>
      </w:r>
      <w:r>
        <w:rPr>
          <w:rFonts w:hint="eastAsia" w:ascii="宋体" w:hAnsi="宋体" w:cs="宋体"/>
          <w:b/>
          <w:szCs w:val="21"/>
          <w:highlight w:val="none"/>
        </w:rPr>
        <w:t>元)；</w:t>
      </w:r>
    </w:p>
    <w:p w14:paraId="22A2A72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其中：</w:t>
      </w:r>
    </w:p>
    <w:p w14:paraId="2E3489DD">
      <w:pPr>
        <w:ind w:firstLine="420" w:firstLineChars="200"/>
        <w:rPr>
          <w:rFonts w:ascii="宋体" w:hAnsi="宋体" w:cs="宋体"/>
          <w:bCs/>
          <w:szCs w:val="21"/>
          <w:highlight w:val="none"/>
        </w:rPr>
      </w:pPr>
      <w:r>
        <w:rPr>
          <w:rFonts w:hint="eastAsia" w:ascii="宋体" w:hAnsi="宋体" w:cs="宋体"/>
          <w:bCs/>
          <w:szCs w:val="21"/>
          <w:highlight w:val="none"/>
        </w:rPr>
        <w:t>（1）安全文明施工费：</w:t>
      </w:r>
    </w:p>
    <w:p w14:paraId="3D69170A">
      <w:pPr>
        <w:ind w:firstLine="420" w:firstLineChars="200"/>
        <w:rPr>
          <w:rFonts w:ascii="宋体" w:hAnsi="宋体" w:cs="宋体"/>
          <w:bCs/>
          <w:szCs w:val="21"/>
          <w:highlight w:val="none"/>
        </w:rPr>
      </w:pPr>
      <w:r>
        <w:rPr>
          <w:rFonts w:hint="eastAsia" w:ascii="宋体" w:hAnsi="宋体" w:cs="宋体"/>
          <w:bCs/>
          <w:szCs w:val="21"/>
          <w:highlight w:val="none"/>
        </w:rPr>
        <w:t>人民币（大写）</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1BFD82A8">
      <w:pPr>
        <w:ind w:firstLine="420" w:firstLineChars="200"/>
        <w:rPr>
          <w:rFonts w:ascii="宋体" w:hAnsi="宋体" w:cs="宋体"/>
          <w:bCs/>
          <w:szCs w:val="21"/>
          <w:highlight w:val="none"/>
        </w:rPr>
      </w:pPr>
      <w:r>
        <w:rPr>
          <w:rFonts w:hint="eastAsia" w:ascii="宋体" w:hAnsi="宋体" w:cs="宋体"/>
          <w:bCs/>
          <w:szCs w:val="21"/>
          <w:highlight w:val="none"/>
        </w:rPr>
        <w:t>（2）专业工程暂估价金额：</w:t>
      </w:r>
    </w:p>
    <w:p w14:paraId="67B4ACBF">
      <w:pPr>
        <w:ind w:firstLine="420" w:firstLineChars="200"/>
        <w:rPr>
          <w:rFonts w:ascii="宋体" w:hAnsi="宋体" w:cs="宋体"/>
          <w:bCs/>
          <w:szCs w:val="21"/>
          <w:highlight w:val="none"/>
        </w:rPr>
      </w:pPr>
      <w:r>
        <w:rPr>
          <w:rFonts w:hint="eastAsia" w:ascii="宋体" w:hAnsi="宋体" w:cs="宋体"/>
          <w:bCs/>
          <w:szCs w:val="21"/>
          <w:highlight w:val="none"/>
        </w:rPr>
        <w:t>人民币（大写）</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44C358B2">
      <w:pPr>
        <w:ind w:firstLine="420" w:firstLineChars="200"/>
        <w:rPr>
          <w:rFonts w:ascii="宋体" w:hAnsi="宋体" w:cs="宋体"/>
          <w:bCs/>
          <w:szCs w:val="21"/>
          <w:highlight w:val="none"/>
        </w:rPr>
      </w:pPr>
      <w:r>
        <w:rPr>
          <w:rFonts w:hint="eastAsia" w:ascii="宋体" w:hAnsi="宋体" w:cs="宋体"/>
          <w:bCs/>
          <w:szCs w:val="21"/>
          <w:highlight w:val="none"/>
        </w:rPr>
        <w:t>（3）暂列金额：</w:t>
      </w:r>
    </w:p>
    <w:p w14:paraId="1BA9358E">
      <w:pPr>
        <w:ind w:firstLine="420" w:firstLineChars="200"/>
        <w:rPr>
          <w:rFonts w:ascii="宋体" w:hAnsi="宋体" w:cs="宋体"/>
          <w:bCs/>
          <w:szCs w:val="21"/>
          <w:highlight w:val="none"/>
        </w:rPr>
      </w:pPr>
      <w:r>
        <w:rPr>
          <w:rFonts w:hint="eastAsia" w:ascii="宋体" w:hAnsi="宋体" w:cs="宋体"/>
          <w:bCs/>
          <w:szCs w:val="21"/>
          <w:highlight w:val="none"/>
        </w:rPr>
        <w:t>人民币（大写）</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5FDA7274">
      <w:pPr>
        <w:ind w:firstLine="420" w:firstLineChars="200"/>
        <w:rPr>
          <w:rFonts w:ascii="宋体" w:hAnsi="宋体" w:cs="宋体"/>
          <w:bCs/>
          <w:szCs w:val="21"/>
          <w:highlight w:val="none"/>
        </w:rPr>
      </w:pPr>
      <w:r>
        <w:rPr>
          <w:rFonts w:hint="eastAsia" w:ascii="宋体" w:hAnsi="宋体" w:cs="宋体"/>
          <w:bCs/>
          <w:szCs w:val="21"/>
          <w:highlight w:val="none"/>
        </w:rPr>
        <w:t>（4）材料暂估价：</w:t>
      </w:r>
    </w:p>
    <w:p w14:paraId="1DEDBE6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人民币（大写）</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w:t>
      </w:r>
      <w:r>
        <w:rPr>
          <w:rFonts w:hint="eastAsia" w:ascii="宋体" w:hAnsi="宋体" w:cs="宋体"/>
          <w:bCs/>
          <w:szCs w:val="21"/>
          <w:highlight w:val="none"/>
          <w:u w:val="single"/>
        </w:rPr>
        <w:t xml:space="preserve">          </w:t>
      </w:r>
      <w:r>
        <w:rPr>
          <w:rFonts w:hint="eastAsia" w:ascii="宋体" w:hAnsi="宋体" w:cs="宋体"/>
          <w:bCs/>
          <w:szCs w:val="21"/>
          <w:highlight w:val="none"/>
        </w:rPr>
        <w:t>元)；</w:t>
      </w:r>
    </w:p>
    <w:p w14:paraId="7E9C82FD">
      <w:pPr>
        <w:spacing w:line="480" w:lineRule="auto"/>
        <w:ind w:firstLine="422" w:firstLineChars="200"/>
        <w:rPr>
          <w:rFonts w:ascii="宋体" w:hAnsi="宋体" w:cs="宋体"/>
          <w:b/>
          <w:szCs w:val="21"/>
          <w:highlight w:val="none"/>
        </w:rPr>
      </w:pPr>
      <w:r>
        <w:rPr>
          <w:rFonts w:hint="eastAsia" w:ascii="宋体" w:hAnsi="宋体" w:cs="宋体"/>
          <w:b/>
          <w:szCs w:val="21"/>
          <w:highlight w:val="none"/>
        </w:rPr>
        <w:t>2.合同价格形式：</w:t>
      </w:r>
      <w:r>
        <w:rPr>
          <w:rFonts w:hint="eastAsia" w:ascii="宋体" w:hAnsi="宋体" w:cs="宋体"/>
          <w:b/>
          <w:szCs w:val="21"/>
          <w:highlight w:val="none"/>
          <w:u w:val="single"/>
        </w:rPr>
        <w:t>固定综合单价合同</w:t>
      </w:r>
      <w:r>
        <w:rPr>
          <w:rFonts w:hint="eastAsia" w:ascii="宋体" w:hAnsi="宋体" w:cs="宋体"/>
          <w:b/>
          <w:szCs w:val="21"/>
          <w:highlight w:val="none"/>
        </w:rPr>
        <w:t>。</w:t>
      </w:r>
    </w:p>
    <w:p w14:paraId="66321771">
      <w:pPr>
        <w:pStyle w:val="6"/>
        <w:spacing w:before="120" w:after="120"/>
        <w:rPr>
          <w:rFonts w:ascii="宋体" w:hAnsi="宋体" w:cs="宋体"/>
          <w:bCs/>
          <w:color w:val="auto"/>
          <w:sz w:val="21"/>
          <w:szCs w:val="21"/>
          <w:highlight w:val="none"/>
          <w:u w:val="none"/>
        </w:rPr>
      </w:pPr>
      <w:bookmarkStart w:id="23" w:name="_Toc351203485"/>
      <w:r>
        <w:rPr>
          <w:rFonts w:hint="eastAsia" w:ascii="宋体" w:hAnsi="宋体" w:cs="宋体"/>
          <w:bCs/>
          <w:color w:val="auto"/>
          <w:sz w:val="21"/>
          <w:szCs w:val="21"/>
          <w:highlight w:val="none"/>
          <w:u w:val="none"/>
        </w:rPr>
        <w:t>五、</w:t>
      </w:r>
      <w:bookmarkEnd w:id="23"/>
      <w:r>
        <w:rPr>
          <w:rFonts w:hint="eastAsia" w:ascii="宋体" w:hAnsi="宋体" w:cs="宋体"/>
          <w:bCs/>
          <w:color w:val="auto"/>
          <w:sz w:val="21"/>
          <w:szCs w:val="21"/>
          <w:highlight w:val="none"/>
          <w:u w:val="none"/>
        </w:rPr>
        <w:t>项目经理</w:t>
      </w:r>
    </w:p>
    <w:p w14:paraId="7D06E92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承包人项目经理：</w:t>
      </w:r>
      <w:r>
        <w:rPr>
          <w:rFonts w:hint="eastAsia" w:ascii="宋体" w:hAnsi="宋体" w:cs="宋体"/>
          <w:bCs/>
          <w:szCs w:val="21"/>
          <w:highlight w:val="none"/>
          <w:u w:val="single"/>
        </w:rPr>
        <w:t>                     </w:t>
      </w:r>
      <w:r>
        <w:rPr>
          <w:rFonts w:hint="eastAsia" w:ascii="宋体" w:hAnsi="宋体" w:cs="宋体"/>
          <w:bCs/>
          <w:szCs w:val="21"/>
          <w:highlight w:val="none"/>
        </w:rPr>
        <w:t>。</w:t>
      </w:r>
    </w:p>
    <w:p w14:paraId="015F18CB">
      <w:pPr>
        <w:pStyle w:val="6"/>
        <w:spacing w:before="120" w:after="120"/>
        <w:rPr>
          <w:rFonts w:ascii="宋体" w:hAnsi="宋体" w:cs="宋体"/>
          <w:bCs/>
          <w:color w:val="auto"/>
          <w:sz w:val="21"/>
          <w:szCs w:val="21"/>
          <w:highlight w:val="none"/>
          <w:u w:val="none"/>
        </w:rPr>
      </w:pPr>
      <w:bookmarkStart w:id="24" w:name="_Toc351203486"/>
      <w:r>
        <w:rPr>
          <w:rFonts w:hint="eastAsia" w:ascii="宋体" w:hAnsi="宋体" w:cs="宋体"/>
          <w:bCs/>
          <w:color w:val="auto"/>
          <w:sz w:val="21"/>
          <w:szCs w:val="21"/>
          <w:highlight w:val="none"/>
          <w:u w:val="none"/>
        </w:rPr>
        <w:t>六、合同文件构成</w:t>
      </w:r>
      <w:bookmarkEnd w:id="24"/>
    </w:p>
    <w:p w14:paraId="5EF4ABE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本协议书与下列文件一起构成合同文件：</w:t>
      </w:r>
    </w:p>
    <w:p w14:paraId="1ED19A24">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（1）中标通知书；</w:t>
      </w:r>
    </w:p>
    <w:p w14:paraId="772BE286">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 xml:space="preserve">（2）投标函； </w:t>
      </w:r>
    </w:p>
    <w:p w14:paraId="21C8DCF2">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（3）专用合同条款及其附件；</w:t>
      </w:r>
    </w:p>
    <w:p w14:paraId="59AFB127">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（4）通用合同条款；</w:t>
      </w:r>
    </w:p>
    <w:p w14:paraId="271E7CDD">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（5）技术标准和要求；</w:t>
      </w:r>
    </w:p>
    <w:p w14:paraId="6108591A">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（6）图纸；</w:t>
      </w:r>
    </w:p>
    <w:p w14:paraId="67D830AE">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（7）已标价工程量清单或预算书；</w:t>
      </w:r>
    </w:p>
    <w:p w14:paraId="2E6BF2AD">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w:t>
      </w:r>
      <w:r>
        <w:rPr>
          <w:rFonts w:hint="eastAsia" w:ascii="宋体" w:hAnsi="宋体" w:cs="宋体"/>
          <w:szCs w:val="21"/>
          <w:highlight w:val="none"/>
        </w:rPr>
        <w:t>答疑文件、补充文件及其他合同文件。</w:t>
      </w:r>
    </w:p>
    <w:p w14:paraId="6860775B">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4969C43B">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szCs w:val="21"/>
          <w:highlight w:val="none"/>
        </w:rPr>
        <w:t xml:space="preserve">上述各项合同文件包括合同当事人就该项合同文件所作出的补充和修改，属于同一类内容的文件，应以最新签署的为准。专用合同条款及其附件须经合同当事人签字或盖章。 </w:t>
      </w:r>
      <w:r>
        <w:rPr>
          <w:rFonts w:hint="eastAsia" w:ascii="宋体" w:hAnsi="宋体" w:cs="宋体"/>
          <w:bCs/>
          <w:szCs w:val="21"/>
          <w:highlight w:val="none"/>
        </w:rPr>
        <w:t xml:space="preserve">   </w:t>
      </w:r>
      <w:bookmarkStart w:id="25" w:name="_Toc351203487"/>
    </w:p>
    <w:p w14:paraId="56855D1B">
      <w:pPr>
        <w:pStyle w:val="6"/>
        <w:spacing w:before="120" w:after="120"/>
        <w:rPr>
          <w:rFonts w:ascii="宋体" w:hAnsi="宋体" w:cs="宋体"/>
          <w:bCs/>
          <w:color w:val="auto"/>
          <w:sz w:val="21"/>
          <w:szCs w:val="21"/>
          <w:highlight w:val="none"/>
          <w:u w:val="none"/>
        </w:rPr>
      </w:pPr>
      <w:r>
        <w:rPr>
          <w:rFonts w:hint="eastAsia" w:ascii="宋体" w:hAnsi="宋体" w:cs="宋体"/>
          <w:bCs/>
          <w:color w:val="auto"/>
          <w:sz w:val="21"/>
          <w:szCs w:val="21"/>
          <w:highlight w:val="none"/>
          <w:u w:val="none"/>
        </w:rPr>
        <w:t>七、承诺</w:t>
      </w:r>
      <w:bookmarkEnd w:id="25"/>
    </w:p>
    <w:p w14:paraId="1DFDFD09">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20ACD0D1">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70F014C0">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653C2964">
      <w:pPr>
        <w:pStyle w:val="6"/>
        <w:spacing w:before="120" w:after="120"/>
        <w:rPr>
          <w:rFonts w:ascii="宋体" w:hAnsi="宋体" w:cs="宋体"/>
          <w:bCs/>
          <w:color w:val="auto"/>
          <w:sz w:val="21"/>
          <w:szCs w:val="21"/>
          <w:highlight w:val="none"/>
          <w:u w:val="none"/>
        </w:rPr>
      </w:pPr>
      <w:bookmarkStart w:id="26" w:name="_Toc351203488"/>
      <w:r>
        <w:rPr>
          <w:rFonts w:hint="eastAsia" w:ascii="宋体" w:hAnsi="宋体" w:cs="宋体"/>
          <w:bCs/>
          <w:color w:val="auto"/>
          <w:sz w:val="21"/>
          <w:szCs w:val="21"/>
          <w:highlight w:val="none"/>
          <w:u w:val="none"/>
        </w:rPr>
        <w:t>八、词语含义</w:t>
      </w:r>
      <w:bookmarkEnd w:id="26"/>
    </w:p>
    <w:p w14:paraId="5054940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本协议书中词语含义与第二部分通用合同条款中赋予的含义相同。</w:t>
      </w:r>
    </w:p>
    <w:p w14:paraId="45514ED0">
      <w:pPr>
        <w:pStyle w:val="6"/>
        <w:spacing w:before="120" w:after="120"/>
        <w:rPr>
          <w:rFonts w:ascii="宋体" w:hAnsi="宋体" w:cs="宋体"/>
          <w:bCs/>
          <w:color w:val="auto"/>
          <w:sz w:val="21"/>
          <w:szCs w:val="21"/>
          <w:highlight w:val="none"/>
          <w:u w:val="none"/>
        </w:rPr>
      </w:pPr>
      <w:bookmarkStart w:id="27" w:name="_Toc351203489"/>
      <w:r>
        <w:rPr>
          <w:rFonts w:hint="eastAsia" w:ascii="宋体" w:hAnsi="宋体" w:cs="宋体"/>
          <w:bCs/>
          <w:color w:val="auto"/>
          <w:sz w:val="21"/>
          <w:szCs w:val="21"/>
          <w:highlight w:val="none"/>
          <w:u w:val="none"/>
        </w:rPr>
        <w:t>九、签订时间</w:t>
      </w:r>
      <w:bookmarkEnd w:id="27"/>
    </w:p>
    <w:p w14:paraId="3B1A615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本合同于</w:t>
      </w:r>
      <w:r>
        <w:rPr>
          <w:rFonts w:hint="eastAsia" w:ascii="宋体" w:hAnsi="宋体" w:cs="宋体"/>
          <w:bCs/>
          <w:szCs w:val="21"/>
          <w:highlight w:val="none"/>
          <w:u w:val="single"/>
        </w:rPr>
        <w:t xml:space="preserve">      </w:t>
      </w:r>
      <w:r>
        <w:rPr>
          <w:rFonts w:hint="eastAsia" w:ascii="宋体" w:hAnsi="宋体" w:cs="宋体"/>
          <w:bCs/>
          <w:szCs w:val="21"/>
          <w:highlight w:val="none"/>
        </w:rPr>
        <w:t>年</w:t>
      </w:r>
      <w:r>
        <w:rPr>
          <w:rFonts w:hint="eastAsia"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rPr>
        <w:t>日签订。</w:t>
      </w:r>
    </w:p>
    <w:p w14:paraId="18B03CF8">
      <w:pPr>
        <w:pStyle w:val="6"/>
        <w:spacing w:before="120" w:after="120"/>
        <w:rPr>
          <w:rFonts w:ascii="宋体" w:hAnsi="宋体" w:cs="宋体"/>
          <w:bCs/>
          <w:color w:val="auto"/>
          <w:sz w:val="21"/>
          <w:szCs w:val="21"/>
          <w:highlight w:val="none"/>
          <w:u w:val="none"/>
        </w:rPr>
      </w:pPr>
      <w:bookmarkStart w:id="28" w:name="_Toc351203490"/>
      <w:r>
        <w:rPr>
          <w:rFonts w:hint="eastAsia" w:ascii="宋体" w:hAnsi="宋体" w:cs="宋体"/>
          <w:bCs/>
          <w:color w:val="auto"/>
          <w:sz w:val="21"/>
          <w:szCs w:val="21"/>
          <w:highlight w:val="none"/>
          <w:u w:val="none"/>
        </w:rPr>
        <w:t>十、签订地点</w:t>
      </w:r>
      <w:bookmarkEnd w:id="28"/>
    </w:p>
    <w:p w14:paraId="7184B18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本合同在</w:t>
      </w:r>
      <w:r>
        <w:rPr>
          <w:rFonts w:hint="eastAsia" w:ascii="宋体" w:hAnsi="宋体" w:cs="宋体"/>
          <w:bCs/>
          <w:szCs w:val="21"/>
          <w:highlight w:val="none"/>
          <w:u w:val="single"/>
        </w:rPr>
        <w:t>发包人所在地</w:t>
      </w:r>
      <w:r>
        <w:rPr>
          <w:rFonts w:hint="eastAsia" w:ascii="宋体" w:hAnsi="宋体" w:cs="宋体"/>
          <w:bCs/>
          <w:szCs w:val="21"/>
          <w:highlight w:val="none"/>
        </w:rPr>
        <w:t>签订。</w:t>
      </w:r>
    </w:p>
    <w:p w14:paraId="3CD0B011">
      <w:pPr>
        <w:pStyle w:val="6"/>
        <w:spacing w:before="120" w:after="120"/>
        <w:rPr>
          <w:rFonts w:ascii="宋体" w:hAnsi="宋体" w:cs="宋体"/>
          <w:bCs/>
          <w:color w:val="auto"/>
          <w:sz w:val="21"/>
          <w:szCs w:val="21"/>
          <w:highlight w:val="none"/>
          <w:u w:val="none"/>
        </w:rPr>
      </w:pPr>
      <w:bookmarkStart w:id="29" w:name="_Toc351203491"/>
      <w:r>
        <w:rPr>
          <w:rFonts w:hint="eastAsia" w:ascii="宋体" w:hAnsi="宋体" w:cs="宋体"/>
          <w:bCs/>
          <w:color w:val="auto"/>
          <w:sz w:val="21"/>
          <w:szCs w:val="21"/>
          <w:highlight w:val="none"/>
          <w:u w:val="none"/>
        </w:rPr>
        <w:t>十一、补充协议</w:t>
      </w:r>
      <w:bookmarkEnd w:id="29"/>
    </w:p>
    <w:p w14:paraId="51D43F8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合同未尽事宜，合同当事人另行签订补充协议，补充协议是合同的组成部分。</w:t>
      </w:r>
    </w:p>
    <w:p w14:paraId="24A380A5">
      <w:pPr>
        <w:pStyle w:val="6"/>
        <w:spacing w:before="120" w:after="120"/>
        <w:rPr>
          <w:rFonts w:ascii="宋体" w:hAnsi="宋体" w:cs="宋体"/>
          <w:bCs/>
          <w:color w:val="auto"/>
          <w:sz w:val="21"/>
          <w:szCs w:val="21"/>
          <w:highlight w:val="none"/>
          <w:u w:val="none"/>
        </w:rPr>
      </w:pPr>
      <w:bookmarkStart w:id="30" w:name="_Toc351203492"/>
      <w:r>
        <w:rPr>
          <w:rFonts w:hint="eastAsia" w:ascii="宋体" w:hAnsi="宋体" w:cs="宋体"/>
          <w:bCs/>
          <w:color w:val="auto"/>
          <w:sz w:val="21"/>
          <w:szCs w:val="21"/>
          <w:highlight w:val="none"/>
          <w:u w:val="none"/>
        </w:rPr>
        <w:t>十二、合同生效</w:t>
      </w:r>
      <w:bookmarkEnd w:id="30"/>
    </w:p>
    <w:p w14:paraId="366A97E9">
      <w:pPr>
        <w:spacing w:line="480" w:lineRule="auto"/>
        <w:ind w:firstLine="420" w:firstLineChars="200"/>
        <w:rPr>
          <w:rFonts w:ascii="宋体" w:hAnsi="宋体" w:cs="宋体"/>
          <w:bCs/>
          <w:szCs w:val="21"/>
          <w:highlight w:val="none"/>
        </w:rPr>
      </w:pPr>
      <w:r>
        <w:rPr>
          <w:rFonts w:hint="eastAsia" w:ascii="宋体" w:hAnsi="宋体" w:cs="宋体"/>
          <w:bCs/>
          <w:szCs w:val="21"/>
          <w:highlight w:val="none"/>
        </w:rPr>
        <w:t>本合同自</w:t>
      </w:r>
      <w:r>
        <w:rPr>
          <w:rFonts w:hint="eastAsia" w:ascii="宋体" w:hAnsi="宋体" w:cs="宋体"/>
          <w:bCs/>
          <w:szCs w:val="21"/>
          <w:highlight w:val="none"/>
          <w:u w:val="single"/>
        </w:rPr>
        <w:t xml:space="preserve">                         </w:t>
      </w:r>
      <w:r>
        <w:rPr>
          <w:rFonts w:hint="eastAsia" w:ascii="宋体" w:hAnsi="宋体" w:cs="宋体"/>
          <w:bCs/>
          <w:szCs w:val="21"/>
          <w:highlight w:val="none"/>
        </w:rPr>
        <w:t>生效。</w:t>
      </w:r>
    </w:p>
    <w:p w14:paraId="78C32A6F">
      <w:pPr>
        <w:pStyle w:val="6"/>
        <w:spacing w:before="120" w:after="120"/>
        <w:rPr>
          <w:rFonts w:ascii="宋体" w:hAnsi="宋体" w:cs="宋体"/>
          <w:bCs/>
          <w:color w:val="auto"/>
          <w:sz w:val="21"/>
          <w:szCs w:val="21"/>
          <w:highlight w:val="none"/>
          <w:u w:val="none"/>
        </w:rPr>
      </w:pPr>
      <w:bookmarkStart w:id="31" w:name="_Toc351203493"/>
      <w:r>
        <w:rPr>
          <w:rFonts w:hint="eastAsia" w:ascii="宋体" w:hAnsi="宋体" w:cs="宋体"/>
          <w:bCs/>
          <w:color w:val="auto"/>
          <w:sz w:val="21"/>
          <w:szCs w:val="21"/>
          <w:highlight w:val="none"/>
          <w:u w:val="none"/>
        </w:rPr>
        <w:t>十三、合同份数</w:t>
      </w:r>
      <w:bookmarkEnd w:id="31"/>
    </w:p>
    <w:p w14:paraId="1D39E609">
      <w:pPr>
        <w:spacing w:line="360" w:lineRule="auto"/>
        <w:ind w:left="210" w:leftChars="100" w:firstLine="210" w:firstLineChars="100"/>
        <w:rPr>
          <w:rFonts w:ascii="宋体" w:hAnsi="宋体" w:cs="宋体"/>
          <w:bCs/>
          <w:szCs w:val="21"/>
          <w:highlight w:val="none"/>
        </w:rPr>
      </w:pPr>
      <w:r>
        <w:rPr>
          <w:rFonts w:hint="eastAsia" w:ascii="宋体" w:hAnsi="宋体" w:cs="宋体"/>
          <w:bCs/>
          <w:szCs w:val="21"/>
          <w:highlight w:val="none"/>
        </w:rPr>
        <w:t>本合同正本</w:t>
      </w:r>
      <w:r>
        <w:rPr>
          <w:rFonts w:hint="eastAsia" w:ascii="宋体" w:hAnsi="宋体" w:cs="宋体"/>
          <w:bCs/>
          <w:szCs w:val="21"/>
          <w:highlight w:val="none"/>
          <w:u w:val="single"/>
        </w:rPr>
        <w:t xml:space="preserve">     </w:t>
      </w:r>
      <w:r>
        <w:rPr>
          <w:rFonts w:hint="eastAsia" w:ascii="宋体" w:hAnsi="宋体" w:cs="宋体"/>
          <w:bCs/>
          <w:szCs w:val="21"/>
          <w:highlight w:val="none"/>
        </w:rPr>
        <w:t>份，副本</w:t>
      </w:r>
      <w:r>
        <w:rPr>
          <w:rFonts w:hint="eastAsia" w:ascii="宋体" w:hAnsi="宋体" w:cs="宋体"/>
          <w:bCs/>
          <w:szCs w:val="21"/>
          <w:highlight w:val="none"/>
          <w:u w:val="single"/>
        </w:rPr>
        <w:t xml:space="preserve">    </w:t>
      </w:r>
      <w:r>
        <w:rPr>
          <w:rFonts w:hint="eastAsia" w:ascii="宋体" w:hAnsi="宋体" w:cs="宋体"/>
          <w:bCs/>
          <w:szCs w:val="21"/>
          <w:highlight w:val="none"/>
        </w:rPr>
        <w:t>份，均具有同等法律效力；发、承包双方各持正本</w:t>
      </w:r>
      <w:r>
        <w:rPr>
          <w:rFonts w:hint="eastAsia" w:ascii="宋体" w:hAnsi="宋体" w:cs="宋体"/>
          <w:bCs/>
          <w:szCs w:val="21"/>
          <w:highlight w:val="none"/>
          <w:u w:val="single"/>
        </w:rPr>
        <w:t xml:space="preserve">   </w:t>
      </w:r>
      <w:r>
        <w:rPr>
          <w:rFonts w:hint="eastAsia" w:ascii="宋体" w:hAnsi="宋体" w:cs="宋体"/>
          <w:bCs/>
          <w:szCs w:val="21"/>
          <w:highlight w:val="none"/>
        </w:rPr>
        <w:t>份，副本</w:t>
      </w:r>
      <w:r>
        <w:rPr>
          <w:rFonts w:hint="eastAsia" w:ascii="宋体" w:hAnsi="宋体" w:cs="宋体"/>
          <w:bCs/>
          <w:szCs w:val="21"/>
          <w:highlight w:val="none"/>
          <w:u w:val="single"/>
        </w:rPr>
        <w:t xml:space="preserve">      </w:t>
      </w:r>
      <w:r>
        <w:rPr>
          <w:rFonts w:hint="eastAsia" w:ascii="宋体" w:hAnsi="宋体" w:cs="宋体"/>
          <w:bCs/>
          <w:szCs w:val="21"/>
          <w:highlight w:val="none"/>
        </w:rPr>
        <w:t>份。</w:t>
      </w:r>
    </w:p>
    <w:p w14:paraId="6A9D7714">
      <w:pPr>
        <w:jc w:val="left"/>
        <w:rPr>
          <w:rFonts w:ascii="宋体" w:hAnsi="宋体" w:cs="宋体"/>
          <w:bCs/>
          <w:szCs w:val="21"/>
          <w:highlight w:val="none"/>
          <w:u w:val="single"/>
        </w:rPr>
      </w:pPr>
      <w:r>
        <w:rPr>
          <w:rFonts w:hint="eastAsia" w:ascii="宋体" w:hAnsi="宋体" w:cs="宋体"/>
          <w:bCs/>
          <w:szCs w:val="21"/>
          <w:highlight w:val="none"/>
        </w:rPr>
        <w:t xml:space="preserve">发包人：      (公章)                      承包人：      (公章)                         </w:t>
      </w:r>
    </w:p>
    <w:p w14:paraId="032B34F7">
      <w:pPr>
        <w:spacing w:line="360" w:lineRule="auto"/>
        <w:rPr>
          <w:rFonts w:ascii="宋体" w:hAnsi="宋体" w:cs="宋体"/>
          <w:bCs/>
          <w:szCs w:val="21"/>
          <w:highlight w:val="none"/>
        </w:rPr>
      </w:pPr>
      <w:r>
        <w:rPr>
          <w:rFonts w:hint="eastAsia" w:ascii="宋体" w:hAnsi="宋体" w:cs="宋体"/>
          <w:bCs/>
          <w:szCs w:val="21"/>
          <w:highlight w:val="none"/>
        </w:rPr>
        <w:t>法定代表人或其委托代理人：            法定代表人或其委托代理人：</w:t>
      </w:r>
    </w:p>
    <w:p w14:paraId="4735B100">
      <w:pPr>
        <w:spacing w:line="360" w:lineRule="auto"/>
        <w:rPr>
          <w:rFonts w:ascii="宋体" w:hAnsi="宋体" w:cs="宋体"/>
          <w:bCs/>
          <w:szCs w:val="21"/>
          <w:highlight w:val="none"/>
          <w:u w:val="single"/>
        </w:rPr>
      </w:pPr>
      <w:r>
        <w:rPr>
          <w:rFonts w:hint="eastAsia" w:ascii="宋体" w:hAnsi="宋体" w:cs="宋体"/>
          <w:bCs/>
          <w:szCs w:val="21"/>
          <w:highlight w:val="none"/>
        </w:rPr>
        <w:t>（签字）                             （签字）</w:t>
      </w:r>
    </w:p>
    <w:p w14:paraId="2DC32CEB">
      <w:pPr>
        <w:tabs>
          <w:tab w:val="left" w:pos="4410"/>
        </w:tabs>
        <w:spacing w:line="360" w:lineRule="auto"/>
        <w:rPr>
          <w:rFonts w:ascii="宋体" w:hAnsi="宋体" w:cs="宋体"/>
          <w:bCs/>
          <w:szCs w:val="21"/>
          <w:highlight w:val="none"/>
        </w:rPr>
      </w:pPr>
      <w:r>
        <w:rPr>
          <w:rFonts w:hint="eastAsia" w:ascii="宋体" w:hAnsi="宋体" w:cs="宋体"/>
          <w:bCs/>
          <w:szCs w:val="21"/>
          <w:highlight w:val="none"/>
        </w:rPr>
        <w:t>组织机构代码：</w:t>
      </w:r>
      <w:r>
        <w:rPr>
          <w:rFonts w:hint="eastAsia" w:ascii="宋体" w:hAnsi="宋体" w:cs="宋体"/>
          <w:bCs/>
          <w:szCs w:val="21"/>
          <w:highlight w:val="none"/>
          <w:u w:val="single"/>
        </w:rPr>
        <w:t xml:space="preserve">       </w:t>
      </w:r>
      <w:r>
        <w:rPr>
          <w:rFonts w:hint="eastAsia" w:ascii="宋体" w:hAnsi="宋体" w:cs="宋体"/>
          <w:bCs/>
          <w:szCs w:val="21"/>
          <w:highlight w:val="none"/>
        </w:rPr>
        <w:t xml:space="preserve">           组织机构代码：</w:t>
      </w:r>
      <w:r>
        <w:rPr>
          <w:rFonts w:hint="eastAsia" w:ascii="宋体" w:hAnsi="宋体" w:cs="宋体"/>
          <w:bCs/>
          <w:szCs w:val="21"/>
          <w:highlight w:val="none"/>
          <w:u w:val="single"/>
        </w:rPr>
        <w:t xml:space="preserve">            </w:t>
      </w:r>
      <w:r>
        <w:rPr>
          <w:rFonts w:hint="eastAsia" w:ascii="宋体" w:hAnsi="宋体" w:cs="宋体"/>
          <w:bCs/>
          <w:szCs w:val="21"/>
          <w:highlight w:val="none"/>
        </w:rPr>
        <w:t xml:space="preserve"> </w:t>
      </w:r>
    </w:p>
    <w:p w14:paraId="47C08D11">
      <w:pPr>
        <w:spacing w:line="360" w:lineRule="auto"/>
        <w:rPr>
          <w:rFonts w:ascii="宋体" w:hAnsi="宋体" w:cs="宋体"/>
          <w:bCs/>
          <w:szCs w:val="21"/>
          <w:highlight w:val="none"/>
        </w:rPr>
      </w:pPr>
      <w:r>
        <w:rPr>
          <w:rFonts w:hint="eastAsia" w:ascii="宋体" w:hAnsi="宋体" w:cs="宋体"/>
          <w:bCs/>
          <w:szCs w:val="21"/>
          <w:highlight w:val="none"/>
        </w:rPr>
        <w:t>地  址：</w:t>
      </w:r>
      <w:r>
        <w:rPr>
          <w:rFonts w:hint="eastAsia" w:ascii="宋体" w:hAnsi="宋体" w:cs="宋体"/>
          <w:bCs/>
          <w:szCs w:val="21"/>
          <w:highlight w:val="none"/>
          <w:u w:val="single"/>
        </w:rPr>
        <w:t xml:space="preserve">     </w:t>
      </w:r>
      <w:r>
        <w:rPr>
          <w:rFonts w:hint="eastAsia" w:ascii="宋体" w:hAnsi="宋体" w:cs="宋体"/>
          <w:bCs/>
          <w:szCs w:val="21"/>
          <w:highlight w:val="none"/>
        </w:rPr>
        <w:t xml:space="preserve">           地  址：</w:t>
      </w:r>
      <w:r>
        <w:rPr>
          <w:rFonts w:hint="eastAsia" w:ascii="宋体" w:hAnsi="宋体" w:cs="宋体"/>
          <w:bCs/>
          <w:szCs w:val="21"/>
          <w:highlight w:val="none"/>
          <w:u w:val="single"/>
        </w:rPr>
        <w:t xml:space="preserve">        </w:t>
      </w:r>
    </w:p>
    <w:p w14:paraId="7A6224C4">
      <w:pPr>
        <w:spacing w:line="360" w:lineRule="auto"/>
        <w:rPr>
          <w:rFonts w:ascii="宋体" w:hAnsi="宋体" w:cs="宋体"/>
          <w:bCs/>
          <w:szCs w:val="21"/>
          <w:highlight w:val="none"/>
        </w:rPr>
      </w:pPr>
      <w:r>
        <w:rPr>
          <w:rFonts w:hint="eastAsia" w:ascii="宋体" w:hAnsi="宋体" w:cs="宋体"/>
          <w:bCs/>
          <w:szCs w:val="21"/>
          <w:highlight w:val="none"/>
        </w:rPr>
        <w:t>法定代表人：</w:t>
      </w:r>
      <w:r>
        <w:rPr>
          <w:rFonts w:hint="eastAsia" w:ascii="宋体" w:hAnsi="宋体" w:cs="宋体"/>
          <w:bCs/>
          <w:szCs w:val="21"/>
          <w:highlight w:val="none"/>
          <w:u w:val="single"/>
        </w:rPr>
        <w:t xml:space="preserve">           </w:t>
      </w:r>
      <w:r>
        <w:rPr>
          <w:rFonts w:hint="eastAsia" w:ascii="宋体" w:hAnsi="宋体" w:cs="宋体"/>
          <w:bCs/>
          <w:szCs w:val="21"/>
          <w:highlight w:val="none"/>
        </w:rPr>
        <w:t xml:space="preserve">           法定代表人：</w:t>
      </w:r>
      <w:r>
        <w:rPr>
          <w:rFonts w:hint="eastAsia" w:ascii="宋体" w:hAnsi="宋体" w:cs="宋体"/>
          <w:bCs/>
          <w:szCs w:val="21"/>
          <w:highlight w:val="none"/>
          <w:u w:val="single"/>
        </w:rPr>
        <w:t xml:space="preserve">              </w:t>
      </w:r>
    </w:p>
    <w:p w14:paraId="1691EC3A">
      <w:pPr>
        <w:spacing w:line="360" w:lineRule="auto"/>
        <w:rPr>
          <w:rFonts w:ascii="宋体" w:hAnsi="宋体" w:cs="宋体"/>
          <w:bCs/>
          <w:szCs w:val="21"/>
          <w:highlight w:val="none"/>
        </w:rPr>
      </w:pPr>
      <w:r>
        <w:rPr>
          <w:rFonts w:hint="eastAsia" w:ascii="宋体" w:hAnsi="宋体" w:cs="宋体"/>
          <w:bCs/>
          <w:szCs w:val="21"/>
          <w:highlight w:val="none"/>
        </w:rPr>
        <w:t>委托代理人：</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委托代理人：</w:t>
      </w:r>
      <w:r>
        <w:rPr>
          <w:rFonts w:hint="eastAsia" w:ascii="宋体" w:hAnsi="宋体" w:cs="宋体"/>
          <w:bCs/>
          <w:szCs w:val="21"/>
          <w:highlight w:val="none"/>
          <w:u w:val="single"/>
        </w:rPr>
        <w:t xml:space="preserve">              </w:t>
      </w:r>
    </w:p>
    <w:p w14:paraId="72D53938">
      <w:pPr>
        <w:spacing w:line="360" w:lineRule="auto"/>
        <w:rPr>
          <w:rFonts w:ascii="宋体" w:hAnsi="宋体" w:cs="宋体"/>
          <w:bCs/>
          <w:szCs w:val="21"/>
          <w:highlight w:val="none"/>
        </w:rPr>
      </w:pPr>
      <w:r>
        <w:rPr>
          <w:rFonts w:hint="eastAsia" w:ascii="宋体" w:hAnsi="宋体" w:cs="宋体"/>
          <w:bCs/>
          <w:szCs w:val="21"/>
          <w:highlight w:val="none"/>
        </w:rPr>
        <w:t>电  话：</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电  话：</w:t>
      </w:r>
      <w:r>
        <w:rPr>
          <w:rFonts w:hint="eastAsia" w:ascii="宋体" w:hAnsi="宋体" w:cs="宋体"/>
          <w:bCs/>
          <w:szCs w:val="21"/>
          <w:highlight w:val="none"/>
          <w:u w:val="single"/>
        </w:rPr>
        <w:t xml:space="preserve">      </w:t>
      </w:r>
    </w:p>
    <w:p w14:paraId="324BAE9C">
      <w:pPr>
        <w:spacing w:line="360" w:lineRule="auto"/>
        <w:rPr>
          <w:rFonts w:ascii="宋体" w:hAnsi="宋体" w:cs="宋体"/>
          <w:bCs/>
          <w:szCs w:val="21"/>
          <w:highlight w:val="none"/>
        </w:rPr>
      </w:pPr>
      <w:r>
        <w:rPr>
          <w:rFonts w:hint="eastAsia" w:ascii="宋体" w:hAnsi="宋体" w:cs="宋体"/>
          <w:bCs/>
          <w:szCs w:val="21"/>
          <w:highlight w:val="none"/>
        </w:rPr>
        <w:t>传  真：</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传  真：</w:t>
      </w:r>
      <w:r>
        <w:rPr>
          <w:rFonts w:hint="eastAsia" w:ascii="宋体" w:hAnsi="宋体" w:cs="宋体"/>
          <w:bCs/>
          <w:szCs w:val="21"/>
          <w:highlight w:val="none"/>
          <w:u w:val="single"/>
        </w:rPr>
        <w:t xml:space="preserve">      </w:t>
      </w:r>
    </w:p>
    <w:p w14:paraId="69F0A508">
      <w:pPr>
        <w:spacing w:line="360" w:lineRule="auto"/>
        <w:rPr>
          <w:rFonts w:ascii="宋体" w:hAnsi="宋体" w:cs="宋体"/>
          <w:bCs/>
          <w:szCs w:val="21"/>
          <w:highlight w:val="none"/>
        </w:rPr>
      </w:pPr>
      <w:r>
        <w:rPr>
          <w:rFonts w:hint="eastAsia" w:ascii="宋体" w:hAnsi="宋体" w:cs="宋体"/>
          <w:bCs/>
          <w:szCs w:val="21"/>
          <w:highlight w:val="none"/>
        </w:rPr>
        <w:t>电子信箱：</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电子信箱：</w:t>
      </w:r>
      <w:r>
        <w:rPr>
          <w:rFonts w:hint="eastAsia" w:ascii="宋体" w:hAnsi="宋体" w:cs="宋体"/>
          <w:bCs/>
          <w:szCs w:val="21"/>
          <w:highlight w:val="none"/>
          <w:u w:val="single"/>
        </w:rPr>
        <w:t xml:space="preserve">    </w:t>
      </w:r>
    </w:p>
    <w:p w14:paraId="50B9D1A6">
      <w:pPr>
        <w:spacing w:line="360" w:lineRule="auto"/>
        <w:rPr>
          <w:rFonts w:ascii="宋体" w:hAnsi="宋体" w:cs="宋体"/>
          <w:bCs/>
          <w:szCs w:val="21"/>
          <w:highlight w:val="none"/>
        </w:rPr>
      </w:pPr>
      <w:r>
        <w:rPr>
          <w:rFonts w:hint="eastAsia" w:ascii="宋体" w:hAnsi="宋体" w:cs="宋体"/>
          <w:bCs/>
          <w:szCs w:val="21"/>
          <w:highlight w:val="none"/>
        </w:rPr>
        <w:t>开户银行：</w:t>
      </w:r>
      <w:r>
        <w:rPr>
          <w:rFonts w:hint="eastAsia" w:ascii="宋体" w:hAnsi="宋体" w:cs="宋体"/>
          <w:bCs/>
          <w:szCs w:val="21"/>
          <w:highlight w:val="none"/>
          <w:u w:val="single"/>
        </w:rPr>
        <w:t xml:space="preserve">   </w:t>
      </w:r>
      <w:r>
        <w:rPr>
          <w:rFonts w:hint="eastAsia" w:ascii="宋体" w:hAnsi="宋体" w:cs="宋体"/>
          <w:bCs/>
          <w:szCs w:val="21"/>
          <w:highlight w:val="none"/>
        </w:rPr>
        <w:t xml:space="preserve">           开户银行：</w:t>
      </w:r>
      <w:r>
        <w:rPr>
          <w:rFonts w:hint="eastAsia" w:ascii="宋体" w:hAnsi="宋体" w:cs="宋体"/>
          <w:bCs/>
          <w:szCs w:val="21"/>
          <w:highlight w:val="none"/>
          <w:u w:val="single"/>
        </w:rPr>
        <w:t xml:space="preserve">    </w:t>
      </w:r>
    </w:p>
    <w:p w14:paraId="5D76FA09">
      <w:pPr>
        <w:spacing w:line="360" w:lineRule="auto"/>
        <w:rPr>
          <w:rFonts w:ascii="宋体" w:hAnsi="宋体" w:cs="宋体"/>
          <w:bCs/>
          <w:szCs w:val="21"/>
          <w:highlight w:val="none"/>
        </w:rPr>
      </w:pPr>
      <w:r>
        <w:rPr>
          <w:rFonts w:hint="eastAsia" w:ascii="宋体" w:hAnsi="宋体" w:cs="宋体"/>
          <w:bCs/>
          <w:szCs w:val="21"/>
          <w:highlight w:val="none"/>
        </w:rPr>
        <w:t>账  号：</w:t>
      </w:r>
      <w:r>
        <w:rPr>
          <w:rFonts w:hint="eastAsia" w:ascii="宋体" w:hAnsi="宋体" w:cs="宋体"/>
          <w:bCs/>
          <w:szCs w:val="21"/>
          <w:highlight w:val="none"/>
          <w:u w:val="single"/>
        </w:rPr>
        <w:t xml:space="preserve">       </w:t>
      </w:r>
      <w:r>
        <w:rPr>
          <w:rFonts w:hint="eastAsia" w:ascii="宋体" w:hAnsi="宋体" w:cs="宋体"/>
          <w:bCs/>
          <w:szCs w:val="21"/>
          <w:highlight w:val="none"/>
        </w:rPr>
        <w:t xml:space="preserve">           账  号：</w:t>
      </w:r>
      <w:r>
        <w:rPr>
          <w:rFonts w:hint="eastAsia" w:ascii="宋体" w:hAnsi="宋体" w:cs="宋体"/>
          <w:bCs/>
          <w:szCs w:val="21"/>
          <w:highlight w:val="none"/>
          <w:u w:val="single"/>
        </w:rPr>
        <w:t xml:space="preserve">      </w:t>
      </w:r>
    </w:p>
    <w:p w14:paraId="095CC743">
      <w:pPr>
        <w:pStyle w:val="5"/>
        <w:jc w:val="center"/>
        <w:rPr>
          <w:rFonts w:ascii="宋体" w:hAnsi="宋体" w:cs="宋体"/>
          <w:b w:val="0"/>
          <w:szCs w:val="24"/>
          <w:highlight w:val="none"/>
        </w:rPr>
      </w:pPr>
      <w:r>
        <w:rPr>
          <w:rFonts w:hint="eastAsia" w:ascii="宋体" w:hAnsi="宋体" w:cs="宋体"/>
          <w:b w:val="0"/>
          <w:szCs w:val="24"/>
          <w:highlight w:val="none"/>
        </w:rPr>
        <w:br w:type="page"/>
      </w:r>
      <w:bookmarkStart w:id="32" w:name="_Toc351203494"/>
      <w:bookmarkStart w:id="33" w:name="_Toc13367"/>
      <w:bookmarkStart w:id="34" w:name="_Toc31962_WPSOffice_Level2"/>
      <w:r>
        <w:rPr>
          <w:rFonts w:hint="eastAsia" w:ascii="宋体" w:hAnsi="宋体" w:cs="宋体"/>
          <w:bCs w:val="0"/>
          <w:szCs w:val="24"/>
          <w:highlight w:val="none"/>
        </w:rPr>
        <w:t>第二部分 通用合同条款</w:t>
      </w:r>
      <w:bookmarkEnd w:id="32"/>
      <w:bookmarkEnd w:id="33"/>
      <w:bookmarkEnd w:id="34"/>
      <w:bookmarkStart w:id="35" w:name="_Toc337558727"/>
    </w:p>
    <w:p w14:paraId="38EB160B">
      <w:pPr>
        <w:spacing w:line="360" w:lineRule="auto"/>
        <w:ind w:firstLine="420" w:firstLineChars="200"/>
        <w:rPr>
          <w:rFonts w:ascii="宋体" w:hAnsi="宋体" w:cs="宋体"/>
          <w:szCs w:val="21"/>
          <w:highlight w:val="none"/>
        </w:rPr>
      </w:pPr>
      <w:bookmarkStart w:id="36" w:name="_Toc351203495"/>
      <w:r>
        <w:rPr>
          <w:rFonts w:hint="eastAsia" w:ascii="宋体" w:hAnsi="宋体" w:cs="宋体"/>
          <w:szCs w:val="21"/>
          <w:highlight w:val="none"/>
        </w:rPr>
        <w:t>1.</w:t>
      </w:r>
      <w:bookmarkStart w:id="37" w:name="_Toc303538976"/>
      <w:bookmarkEnd w:id="37"/>
      <w:bookmarkStart w:id="38" w:name="_Toc303538973"/>
      <w:bookmarkEnd w:id="38"/>
      <w:bookmarkStart w:id="39" w:name="_Toc303538975"/>
      <w:bookmarkEnd w:id="39"/>
      <w:bookmarkStart w:id="40" w:name="_Toc303538972"/>
      <w:bookmarkEnd w:id="40"/>
      <w:bookmarkStart w:id="41" w:name="_Toc303538974"/>
      <w:bookmarkEnd w:id="41"/>
      <w:bookmarkStart w:id="42" w:name="_Toc296346528"/>
      <w:bookmarkStart w:id="43" w:name="_Toc296503027"/>
      <w:r>
        <w:rPr>
          <w:rFonts w:hint="eastAsia" w:ascii="宋体" w:hAnsi="宋体" w:cs="宋体"/>
          <w:szCs w:val="21"/>
          <w:highlight w:val="none"/>
        </w:rPr>
        <w:t xml:space="preserve"> 一般约定</w:t>
      </w:r>
      <w:bookmarkEnd w:id="35"/>
      <w:bookmarkEnd w:id="36"/>
      <w:bookmarkEnd w:id="42"/>
      <w:bookmarkEnd w:id="43"/>
    </w:p>
    <w:p w14:paraId="739B4AEB">
      <w:pPr>
        <w:spacing w:line="360" w:lineRule="auto"/>
        <w:ind w:firstLine="420" w:firstLineChars="200"/>
        <w:rPr>
          <w:rFonts w:ascii="宋体" w:hAnsi="宋体" w:cs="宋体"/>
          <w:szCs w:val="21"/>
          <w:highlight w:val="none"/>
        </w:rPr>
      </w:pPr>
      <w:bookmarkStart w:id="44" w:name="_Toc337558728"/>
      <w:bookmarkStart w:id="45" w:name="_Toc296503028"/>
      <w:bookmarkStart w:id="46" w:name="_Toc296346529"/>
      <w:bookmarkStart w:id="47" w:name="_Toc351203496"/>
      <w:r>
        <w:rPr>
          <w:rFonts w:hint="eastAsia" w:ascii="宋体" w:hAnsi="宋体" w:cs="宋体"/>
          <w:szCs w:val="21"/>
          <w:highlight w:val="none"/>
        </w:rPr>
        <w:t>1.1词语定义</w:t>
      </w:r>
      <w:bookmarkEnd w:id="44"/>
      <w:bookmarkEnd w:id="45"/>
      <w:bookmarkEnd w:id="46"/>
      <w:r>
        <w:rPr>
          <w:rFonts w:hint="eastAsia" w:ascii="宋体" w:hAnsi="宋体" w:cs="宋体"/>
          <w:szCs w:val="21"/>
          <w:highlight w:val="none"/>
        </w:rPr>
        <w:t>与解释</w:t>
      </w:r>
      <w:bookmarkEnd w:id="47"/>
    </w:p>
    <w:p w14:paraId="64F0216B">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合同协议书、通用合同条款、专用合同条款中的下列词语具有本款所赋予的含义：</w:t>
      </w:r>
    </w:p>
    <w:p w14:paraId="15F57662">
      <w:pPr>
        <w:spacing w:line="360" w:lineRule="auto"/>
        <w:ind w:firstLine="420" w:firstLineChars="200"/>
        <w:rPr>
          <w:rFonts w:ascii="宋体" w:hAnsi="宋体" w:cs="宋体"/>
          <w:szCs w:val="21"/>
          <w:highlight w:val="none"/>
        </w:rPr>
      </w:pPr>
      <w:r>
        <w:rPr>
          <w:rFonts w:hint="eastAsia" w:ascii="宋体" w:hAnsi="宋体" w:cs="宋体"/>
          <w:szCs w:val="21"/>
          <w:highlight w:val="none"/>
        </w:rPr>
        <w:t>1.1.1 合同</w:t>
      </w:r>
    </w:p>
    <w:p w14:paraId="0BC8BCED">
      <w:pPr>
        <w:spacing w:line="360" w:lineRule="auto"/>
        <w:ind w:firstLine="420" w:firstLineChars="200"/>
        <w:rPr>
          <w:rFonts w:ascii="宋体" w:hAnsi="宋体" w:cs="宋体"/>
          <w:szCs w:val="21"/>
          <w:highlight w:val="none"/>
        </w:rPr>
      </w:pPr>
      <w:r>
        <w:rPr>
          <w:rFonts w:hint="eastAsia" w:ascii="宋体" w:hAnsi="宋体" w:cs="宋体"/>
          <w:szCs w:val="21"/>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6E61D709">
      <w:pPr>
        <w:spacing w:line="360" w:lineRule="auto"/>
        <w:ind w:firstLine="420" w:firstLineChars="200"/>
        <w:rPr>
          <w:rFonts w:ascii="宋体" w:hAnsi="宋体" w:cs="宋体"/>
          <w:szCs w:val="21"/>
          <w:highlight w:val="none"/>
        </w:rPr>
      </w:pPr>
      <w:r>
        <w:rPr>
          <w:rFonts w:hint="eastAsia" w:ascii="宋体" w:hAnsi="宋体" w:cs="宋体"/>
          <w:szCs w:val="21"/>
          <w:highlight w:val="none"/>
        </w:rPr>
        <w:t>1.1.1.2 合同协议书：是指构成合同的由发包人和承包人共同签署的称为“合同协议书”的书面文件。</w:t>
      </w:r>
    </w:p>
    <w:p w14:paraId="02C7BFC4">
      <w:pPr>
        <w:spacing w:line="360" w:lineRule="auto"/>
        <w:ind w:firstLine="420" w:firstLineChars="200"/>
        <w:rPr>
          <w:rFonts w:ascii="宋体" w:hAnsi="宋体" w:cs="宋体"/>
          <w:szCs w:val="21"/>
          <w:highlight w:val="none"/>
        </w:rPr>
      </w:pPr>
      <w:r>
        <w:rPr>
          <w:rFonts w:hint="eastAsia" w:ascii="宋体" w:hAnsi="宋体" w:cs="宋体"/>
          <w:szCs w:val="21"/>
          <w:highlight w:val="none"/>
        </w:rPr>
        <w:t>1.1.1.3 中标通知书：是指构成合同的由发包人通知承包人中标的书面文件。</w:t>
      </w:r>
    </w:p>
    <w:p w14:paraId="6B51117B">
      <w:pPr>
        <w:spacing w:line="360" w:lineRule="auto"/>
        <w:ind w:firstLine="420" w:firstLineChars="200"/>
        <w:rPr>
          <w:rFonts w:ascii="宋体" w:hAnsi="宋体" w:cs="宋体"/>
          <w:szCs w:val="21"/>
          <w:highlight w:val="none"/>
        </w:rPr>
      </w:pPr>
      <w:r>
        <w:rPr>
          <w:rFonts w:hint="eastAsia" w:ascii="宋体" w:hAnsi="宋体" w:cs="宋体"/>
          <w:szCs w:val="21"/>
          <w:highlight w:val="none"/>
        </w:rPr>
        <w:t>1.1.1.4 投标函：是指构成合同的由承包人填写并签署的用于投标的称为“投标函”的文件。</w:t>
      </w:r>
    </w:p>
    <w:p w14:paraId="11164258">
      <w:pPr>
        <w:spacing w:line="360" w:lineRule="auto"/>
        <w:ind w:firstLine="420" w:firstLineChars="200"/>
        <w:rPr>
          <w:rFonts w:ascii="宋体" w:hAnsi="宋体" w:cs="宋体"/>
          <w:szCs w:val="21"/>
          <w:highlight w:val="none"/>
        </w:rPr>
      </w:pPr>
      <w:r>
        <w:rPr>
          <w:rFonts w:hint="eastAsia" w:ascii="宋体" w:hAnsi="宋体" w:cs="宋体"/>
          <w:szCs w:val="21"/>
          <w:highlight w:val="none"/>
        </w:rPr>
        <w:t>1.1.1.5 投标函附录：是指构成合同的附在投标函后的称为“投标函附录”的文件。</w:t>
      </w:r>
    </w:p>
    <w:p w14:paraId="175125A5">
      <w:pPr>
        <w:spacing w:line="360" w:lineRule="auto"/>
        <w:ind w:firstLine="420" w:firstLineChars="200"/>
        <w:rPr>
          <w:rFonts w:ascii="宋体" w:hAnsi="宋体" w:cs="宋体"/>
          <w:szCs w:val="21"/>
          <w:highlight w:val="none"/>
        </w:rPr>
      </w:pPr>
      <w:r>
        <w:rPr>
          <w:rFonts w:hint="eastAsia" w:ascii="宋体" w:hAnsi="宋体" w:cs="宋体"/>
          <w:szCs w:val="21"/>
          <w:highlight w:val="none"/>
        </w:rPr>
        <w:t>1.1.1.6 技术标准和要求：是指构成合同的施工应当遵守的或指导施工的国家、行业或地方的技术标准和要求，以及合同约定的技术标准和要求。</w:t>
      </w:r>
    </w:p>
    <w:p w14:paraId="726112AC">
      <w:pPr>
        <w:spacing w:line="360" w:lineRule="auto"/>
        <w:ind w:firstLine="420" w:firstLineChars="200"/>
        <w:rPr>
          <w:rFonts w:ascii="宋体" w:hAnsi="宋体" w:cs="宋体"/>
          <w:szCs w:val="21"/>
          <w:highlight w:val="none"/>
        </w:rPr>
      </w:pPr>
      <w:r>
        <w:rPr>
          <w:rFonts w:hint="eastAsia" w:ascii="宋体" w:hAnsi="宋体" w:cs="宋体"/>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19AE30F8">
      <w:pPr>
        <w:spacing w:line="360" w:lineRule="auto"/>
        <w:ind w:firstLine="420" w:firstLineChars="200"/>
        <w:rPr>
          <w:rFonts w:ascii="宋体" w:hAnsi="宋体" w:cs="宋体"/>
          <w:szCs w:val="21"/>
          <w:highlight w:val="none"/>
        </w:rPr>
      </w:pPr>
      <w:r>
        <w:rPr>
          <w:rFonts w:hint="eastAsia" w:ascii="宋体" w:hAnsi="宋体" w:cs="宋体"/>
          <w:szCs w:val="21"/>
          <w:highlight w:val="none"/>
        </w:rPr>
        <w:t>1.1.1.8 已标价工程量清单：是指构成合同的由承包人按照规定的格式和要求填写并标明价格的工程量清单，包括说明和表格。</w:t>
      </w:r>
    </w:p>
    <w:p w14:paraId="6427FE2C">
      <w:pPr>
        <w:spacing w:line="360" w:lineRule="auto"/>
        <w:ind w:firstLine="420" w:firstLineChars="200"/>
        <w:rPr>
          <w:rFonts w:ascii="宋体" w:hAnsi="宋体" w:cs="宋体"/>
          <w:szCs w:val="21"/>
          <w:highlight w:val="none"/>
        </w:rPr>
      </w:pPr>
      <w:r>
        <w:rPr>
          <w:rFonts w:hint="eastAsia" w:ascii="宋体" w:hAnsi="宋体" w:cs="宋体"/>
          <w:szCs w:val="21"/>
          <w:highlight w:val="none"/>
        </w:rPr>
        <w:t>1.1.1.9 预算书：是指构成合同的由承包人按照发包人规定的格式和要求编制的工程预算文件。</w:t>
      </w:r>
    </w:p>
    <w:p w14:paraId="7D26B06A">
      <w:pPr>
        <w:spacing w:line="360" w:lineRule="auto"/>
        <w:ind w:firstLine="420" w:firstLineChars="200"/>
        <w:rPr>
          <w:rFonts w:ascii="宋体" w:hAnsi="宋体" w:cs="宋体"/>
          <w:szCs w:val="21"/>
          <w:highlight w:val="none"/>
        </w:rPr>
      </w:pPr>
      <w:r>
        <w:rPr>
          <w:rFonts w:hint="eastAsia" w:ascii="宋体" w:hAnsi="宋体" w:cs="宋体"/>
          <w:szCs w:val="21"/>
          <w:highlight w:val="none"/>
        </w:rPr>
        <w:t>1.1.1.10 其他合同文件：是指经合同当事人约定的与工程施工有关的具有合同约束力的文件或书面协议。合同当事人可以在专用合同条款中进行约定。</w:t>
      </w:r>
    </w:p>
    <w:p w14:paraId="75057716">
      <w:pPr>
        <w:spacing w:line="360" w:lineRule="auto"/>
        <w:ind w:firstLine="420" w:firstLineChars="200"/>
        <w:rPr>
          <w:rFonts w:ascii="宋体" w:hAnsi="宋体" w:cs="宋体"/>
          <w:szCs w:val="21"/>
          <w:highlight w:val="none"/>
        </w:rPr>
      </w:pPr>
      <w:r>
        <w:rPr>
          <w:rFonts w:hint="eastAsia" w:ascii="宋体" w:hAnsi="宋体" w:cs="宋体"/>
          <w:szCs w:val="21"/>
          <w:highlight w:val="none"/>
        </w:rPr>
        <w:t>1.1.2 合同当事人及其他相关方</w:t>
      </w:r>
    </w:p>
    <w:p w14:paraId="059CF61A">
      <w:pPr>
        <w:spacing w:line="360" w:lineRule="auto"/>
        <w:ind w:firstLine="420" w:firstLineChars="200"/>
        <w:rPr>
          <w:rFonts w:ascii="宋体" w:hAnsi="宋体" w:cs="宋体"/>
          <w:szCs w:val="21"/>
          <w:highlight w:val="none"/>
        </w:rPr>
      </w:pPr>
      <w:r>
        <w:rPr>
          <w:rFonts w:hint="eastAsia" w:ascii="宋体" w:hAnsi="宋体" w:cs="宋体"/>
          <w:szCs w:val="21"/>
          <w:highlight w:val="none"/>
        </w:rPr>
        <w:t>1.1.2.1 合同当事人：是指发包人和（或）承包人。</w:t>
      </w:r>
    </w:p>
    <w:p w14:paraId="60360800">
      <w:pPr>
        <w:spacing w:line="360" w:lineRule="auto"/>
        <w:ind w:firstLine="420" w:firstLineChars="200"/>
        <w:rPr>
          <w:rFonts w:ascii="宋体" w:hAnsi="宋体" w:cs="宋体"/>
          <w:szCs w:val="21"/>
          <w:highlight w:val="none"/>
        </w:rPr>
      </w:pPr>
      <w:r>
        <w:rPr>
          <w:rFonts w:hint="eastAsia" w:ascii="宋体" w:hAnsi="宋体" w:cs="宋体"/>
          <w:szCs w:val="21"/>
          <w:highlight w:val="none"/>
        </w:rPr>
        <w:t>1.1.2.2 发包人：是指与承包人签订合同协议书的当事人及取得该当事人资格的合法继承人。</w:t>
      </w:r>
    </w:p>
    <w:p w14:paraId="17391DF2">
      <w:pPr>
        <w:spacing w:line="360" w:lineRule="auto"/>
        <w:ind w:firstLine="420" w:firstLineChars="200"/>
        <w:rPr>
          <w:rFonts w:ascii="宋体" w:hAnsi="宋体" w:cs="宋体"/>
          <w:szCs w:val="21"/>
          <w:highlight w:val="none"/>
        </w:rPr>
      </w:pPr>
      <w:r>
        <w:rPr>
          <w:rFonts w:hint="eastAsia" w:ascii="宋体" w:hAnsi="宋体" w:cs="宋体"/>
          <w:szCs w:val="21"/>
          <w:highlight w:val="none"/>
        </w:rPr>
        <w:t>1.1.2.3 承包人：是指与发包人签订合同协议书的，具有相应工程施工承包资质的当事人及取得该当事人资格的合法继承人。</w:t>
      </w:r>
    </w:p>
    <w:p w14:paraId="1CFE7DFB">
      <w:pPr>
        <w:spacing w:line="360" w:lineRule="auto"/>
        <w:ind w:firstLine="420" w:firstLineChars="200"/>
        <w:rPr>
          <w:rFonts w:ascii="宋体" w:hAnsi="宋体" w:cs="宋体"/>
          <w:szCs w:val="21"/>
          <w:highlight w:val="none"/>
        </w:rPr>
      </w:pPr>
      <w:r>
        <w:rPr>
          <w:rFonts w:hint="eastAsia" w:ascii="宋体" w:hAnsi="宋体" w:cs="宋体"/>
          <w:szCs w:val="21"/>
          <w:highlight w:val="none"/>
        </w:rPr>
        <w:t>1.1.2.4 监理人：是指在专用合同条款中指明的，受发包人委托按照法律规定进行工程监督管理的法人或其他组织。</w:t>
      </w:r>
    </w:p>
    <w:p w14:paraId="399AABB7">
      <w:pPr>
        <w:spacing w:line="360" w:lineRule="auto"/>
        <w:ind w:firstLine="420" w:firstLineChars="200"/>
        <w:rPr>
          <w:rFonts w:ascii="宋体" w:hAnsi="宋体" w:cs="宋体"/>
          <w:szCs w:val="21"/>
          <w:highlight w:val="none"/>
        </w:rPr>
      </w:pPr>
      <w:r>
        <w:rPr>
          <w:rFonts w:hint="eastAsia" w:ascii="宋体" w:hAnsi="宋体" w:cs="宋体"/>
          <w:szCs w:val="21"/>
          <w:highlight w:val="none"/>
        </w:rPr>
        <w:t>1.1.2.5 设计人：是指在专用合同条款中指明的，受发包人委托负责工程设计并具备相应工程设计资质的法人或其他组织。</w:t>
      </w:r>
    </w:p>
    <w:p w14:paraId="6B3AE09E">
      <w:pPr>
        <w:spacing w:line="360" w:lineRule="auto"/>
        <w:ind w:firstLine="420" w:firstLineChars="200"/>
        <w:rPr>
          <w:rFonts w:ascii="宋体" w:hAnsi="宋体" w:cs="宋体"/>
          <w:szCs w:val="21"/>
          <w:highlight w:val="none"/>
        </w:rPr>
      </w:pPr>
      <w:r>
        <w:rPr>
          <w:rFonts w:hint="eastAsia" w:ascii="宋体" w:hAnsi="宋体" w:cs="宋体"/>
          <w:szCs w:val="21"/>
          <w:highlight w:val="none"/>
        </w:rPr>
        <w:t>1.1.2.6 分包人：</w:t>
      </w:r>
      <w:bookmarkStart w:id="48" w:name="#go5"/>
      <w:bookmarkEnd w:id="48"/>
      <w:r>
        <w:rPr>
          <w:rFonts w:hint="eastAsia" w:ascii="宋体" w:hAnsi="宋体" w:cs="宋体"/>
          <w:szCs w:val="21"/>
          <w:highlight w:val="none"/>
        </w:rPr>
        <w:t>是指按照法律规定和合同约定，分包部分工程或工作，并与承包人签订分包合同的具有相应资质的法人。</w:t>
      </w:r>
    </w:p>
    <w:p w14:paraId="39B452C5">
      <w:pPr>
        <w:spacing w:line="360" w:lineRule="auto"/>
        <w:ind w:firstLine="420" w:firstLineChars="200"/>
        <w:rPr>
          <w:rFonts w:ascii="宋体" w:hAnsi="宋体" w:cs="宋体"/>
          <w:szCs w:val="21"/>
          <w:highlight w:val="none"/>
        </w:rPr>
      </w:pPr>
      <w:r>
        <w:rPr>
          <w:rFonts w:hint="eastAsia" w:ascii="宋体" w:hAnsi="宋体" w:cs="宋体"/>
          <w:szCs w:val="21"/>
          <w:highlight w:val="none"/>
        </w:rPr>
        <w:t>1.1.2.7 发包人代表：是指由发包人任命并派驻施工现场在发包人授权范围内行使发包人权利的人。</w:t>
      </w:r>
    </w:p>
    <w:p w14:paraId="588D9F41">
      <w:pPr>
        <w:spacing w:line="360" w:lineRule="auto"/>
        <w:ind w:firstLine="420" w:firstLineChars="200"/>
        <w:rPr>
          <w:rFonts w:ascii="宋体" w:hAnsi="宋体" w:cs="宋体"/>
          <w:szCs w:val="21"/>
          <w:highlight w:val="none"/>
        </w:rPr>
      </w:pPr>
      <w:r>
        <w:rPr>
          <w:rFonts w:hint="eastAsia" w:ascii="宋体" w:hAnsi="宋体" w:cs="宋体"/>
          <w:szCs w:val="21"/>
          <w:highlight w:val="none"/>
        </w:rPr>
        <w:t>1.1.2.8 项目经理：是指由承包人任命并派驻施工现场，在承包人授权范围内负责合同履行，且按照法律规定具有相应资格的项目负责人。</w:t>
      </w:r>
    </w:p>
    <w:p w14:paraId="1626D520">
      <w:pPr>
        <w:spacing w:line="360" w:lineRule="auto"/>
        <w:ind w:firstLine="420" w:firstLineChars="200"/>
        <w:rPr>
          <w:rFonts w:ascii="宋体" w:hAnsi="宋体" w:cs="宋体"/>
          <w:szCs w:val="21"/>
          <w:highlight w:val="none"/>
        </w:rPr>
      </w:pPr>
      <w:r>
        <w:rPr>
          <w:rFonts w:hint="eastAsia" w:ascii="宋体" w:hAnsi="宋体" w:cs="宋体"/>
          <w:szCs w:val="21"/>
          <w:highlight w:val="none"/>
        </w:rPr>
        <w:t>1.1.2.9 总监理工程师：是指由监理人任命并派驻施工现场进行工程监理的总负责人。</w:t>
      </w:r>
    </w:p>
    <w:p w14:paraId="342E440C">
      <w:pPr>
        <w:spacing w:line="360" w:lineRule="auto"/>
        <w:ind w:firstLine="420" w:firstLineChars="200"/>
        <w:rPr>
          <w:rFonts w:ascii="宋体" w:hAnsi="宋体" w:cs="宋体"/>
          <w:szCs w:val="21"/>
          <w:highlight w:val="none"/>
        </w:rPr>
      </w:pPr>
      <w:r>
        <w:rPr>
          <w:rFonts w:hint="eastAsia" w:ascii="宋体" w:hAnsi="宋体" w:cs="宋体"/>
          <w:szCs w:val="21"/>
          <w:highlight w:val="none"/>
        </w:rPr>
        <w:t>1.1.3 工程和设备</w:t>
      </w:r>
    </w:p>
    <w:p w14:paraId="4CDA46CD">
      <w:pPr>
        <w:spacing w:line="360" w:lineRule="auto"/>
        <w:ind w:firstLine="420" w:firstLineChars="200"/>
        <w:rPr>
          <w:rFonts w:ascii="宋体" w:hAnsi="宋体" w:cs="宋体"/>
          <w:szCs w:val="21"/>
          <w:highlight w:val="none"/>
        </w:rPr>
      </w:pPr>
      <w:r>
        <w:rPr>
          <w:rFonts w:hint="eastAsia" w:ascii="宋体" w:hAnsi="宋体" w:cs="宋体"/>
          <w:szCs w:val="21"/>
          <w:highlight w:val="none"/>
        </w:rPr>
        <w:t>1.1.3.1 工程：是指与合同协议书中工程承包范围对应的永久工程和（或）临时工程。</w:t>
      </w:r>
    </w:p>
    <w:p w14:paraId="5D6B6BAF">
      <w:pPr>
        <w:spacing w:line="360" w:lineRule="auto"/>
        <w:ind w:firstLine="420" w:firstLineChars="200"/>
        <w:rPr>
          <w:rFonts w:ascii="宋体" w:hAnsi="宋体" w:cs="宋体"/>
          <w:szCs w:val="21"/>
          <w:highlight w:val="none"/>
        </w:rPr>
      </w:pPr>
      <w:r>
        <w:rPr>
          <w:rFonts w:hint="eastAsia" w:ascii="宋体" w:hAnsi="宋体" w:cs="宋体"/>
          <w:szCs w:val="21"/>
          <w:highlight w:val="none"/>
        </w:rPr>
        <w:t>1.1.3.2 永久工程：是指按合同约定建造并移交给发包人的工程，包括工程设备。</w:t>
      </w:r>
    </w:p>
    <w:p w14:paraId="25766282">
      <w:pPr>
        <w:spacing w:line="360" w:lineRule="auto"/>
        <w:ind w:firstLine="420" w:firstLineChars="200"/>
        <w:rPr>
          <w:rFonts w:ascii="宋体" w:hAnsi="宋体" w:cs="宋体"/>
          <w:szCs w:val="21"/>
          <w:highlight w:val="none"/>
        </w:rPr>
      </w:pPr>
      <w:r>
        <w:rPr>
          <w:rFonts w:hint="eastAsia" w:ascii="宋体" w:hAnsi="宋体" w:cs="宋体"/>
          <w:szCs w:val="21"/>
          <w:highlight w:val="none"/>
        </w:rPr>
        <w:t>1.1.3.3 临时工程：是指为完成合同约定的永久工程所修建的各类临时性工程，不包括施工设备。</w:t>
      </w:r>
    </w:p>
    <w:p w14:paraId="31CD2CEB">
      <w:pPr>
        <w:spacing w:line="360" w:lineRule="auto"/>
        <w:ind w:firstLine="420" w:firstLineChars="200"/>
        <w:rPr>
          <w:rFonts w:ascii="宋体" w:hAnsi="宋体" w:cs="宋体"/>
          <w:szCs w:val="21"/>
          <w:highlight w:val="none"/>
        </w:rPr>
      </w:pPr>
      <w:r>
        <w:rPr>
          <w:rFonts w:hint="eastAsia" w:ascii="宋体" w:hAnsi="宋体" w:cs="宋体"/>
          <w:szCs w:val="21"/>
          <w:highlight w:val="none"/>
        </w:rPr>
        <w:t>1.1.3.4 单位工程：是指在合同协议书中指明的，具备独立施工条件并能形成独立使用功能的永久工程。</w:t>
      </w:r>
    </w:p>
    <w:p w14:paraId="7A8C44B7">
      <w:pPr>
        <w:spacing w:line="360" w:lineRule="auto"/>
        <w:ind w:firstLine="420" w:firstLineChars="200"/>
        <w:rPr>
          <w:rFonts w:ascii="宋体" w:hAnsi="宋体" w:cs="宋体"/>
          <w:szCs w:val="21"/>
          <w:highlight w:val="none"/>
        </w:rPr>
      </w:pPr>
      <w:r>
        <w:rPr>
          <w:rFonts w:hint="eastAsia" w:ascii="宋体" w:hAnsi="宋体" w:cs="宋体"/>
          <w:szCs w:val="21"/>
          <w:highlight w:val="none"/>
        </w:rPr>
        <w:t>1.1.3.5 工程设备：是指构成永久工程的机电设备、金属结构设备、仪器及其他类似的设备和装置。</w:t>
      </w:r>
    </w:p>
    <w:p w14:paraId="42D77B0E">
      <w:pPr>
        <w:spacing w:line="360" w:lineRule="auto"/>
        <w:ind w:firstLine="420" w:firstLineChars="200"/>
        <w:rPr>
          <w:rFonts w:ascii="宋体" w:hAnsi="宋体" w:cs="宋体"/>
          <w:szCs w:val="21"/>
          <w:highlight w:val="none"/>
        </w:rPr>
      </w:pPr>
      <w:r>
        <w:rPr>
          <w:rFonts w:hint="eastAsia" w:ascii="宋体" w:hAnsi="宋体" w:cs="宋体"/>
          <w:szCs w:val="21"/>
          <w:highlight w:val="none"/>
        </w:rPr>
        <w:t>1.1.3.6 施工设备：是指为完成合同约定的各项工作所需的设备、器具和其他物品，但不包括工程设备、临时工程和材料。</w:t>
      </w:r>
    </w:p>
    <w:p w14:paraId="22255187">
      <w:pPr>
        <w:spacing w:line="360" w:lineRule="auto"/>
        <w:ind w:firstLine="420" w:firstLineChars="200"/>
        <w:rPr>
          <w:rFonts w:ascii="宋体" w:hAnsi="宋体" w:cs="宋体"/>
          <w:szCs w:val="21"/>
          <w:highlight w:val="none"/>
        </w:rPr>
      </w:pPr>
      <w:r>
        <w:rPr>
          <w:rFonts w:hint="eastAsia" w:ascii="宋体" w:hAnsi="宋体" w:cs="宋体"/>
          <w:szCs w:val="21"/>
          <w:highlight w:val="none"/>
        </w:rPr>
        <w:t>1.1.3.7 施工现场：是指用于工程施工的场所，以及在专用合同条款中指明作为施工场所组成部分的其他场所，包括永久占地和临时占地。</w:t>
      </w:r>
    </w:p>
    <w:p w14:paraId="0716062A">
      <w:pPr>
        <w:spacing w:line="360" w:lineRule="auto"/>
        <w:ind w:firstLine="420" w:firstLineChars="200"/>
        <w:rPr>
          <w:rFonts w:ascii="宋体" w:hAnsi="宋体" w:cs="宋体"/>
          <w:szCs w:val="21"/>
          <w:highlight w:val="none"/>
        </w:rPr>
      </w:pPr>
      <w:r>
        <w:rPr>
          <w:rFonts w:hint="eastAsia" w:ascii="宋体" w:hAnsi="宋体" w:cs="宋体"/>
          <w:szCs w:val="21"/>
          <w:highlight w:val="none"/>
        </w:rPr>
        <w:t>1.1.3.8临时设施：是指为完成合同约定的各项工作所服务的临时性生产和生活设施。</w:t>
      </w:r>
    </w:p>
    <w:p w14:paraId="24CEC445">
      <w:pPr>
        <w:spacing w:line="360" w:lineRule="auto"/>
        <w:ind w:firstLine="420" w:firstLineChars="200"/>
        <w:rPr>
          <w:rFonts w:ascii="宋体" w:hAnsi="宋体" w:cs="宋体"/>
          <w:szCs w:val="21"/>
          <w:highlight w:val="none"/>
        </w:rPr>
      </w:pPr>
      <w:r>
        <w:rPr>
          <w:rFonts w:hint="eastAsia" w:ascii="宋体" w:hAnsi="宋体" w:cs="宋体"/>
          <w:szCs w:val="21"/>
          <w:highlight w:val="none"/>
        </w:rPr>
        <w:t>1.1.3.9 永久占地：是指专用合同条款中指明为实施工程需永久占用的土地。</w:t>
      </w:r>
    </w:p>
    <w:p w14:paraId="2EA1777C">
      <w:pPr>
        <w:spacing w:line="360" w:lineRule="auto"/>
        <w:ind w:firstLine="420" w:firstLineChars="200"/>
        <w:rPr>
          <w:rFonts w:ascii="宋体" w:hAnsi="宋体" w:cs="宋体"/>
          <w:szCs w:val="21"/>
          <w:highlight w:val="none"/>
        </w:rPr>
      </w:pPr>
      <w:r>
        <w:rPr>
          <w:rFonts w:hint="eastAsia" w:ascii="宋体" w:hAnsi="宋体" w:cs="宋体"/>
          <w:szCs w:val="21"/>
          <w:highlight w:val="none"/>
        </w:rPr>
        <w:t>1.1.3.10 临时占地：是指专用合同条款中指明为实施工程需要临时占用的土地。</w:t>
      </w:r>
    </w:p>
    <w:p w14:paraId="6773859E">
      <w:pPr>
        <w:spacing w:line="360" w:lineRule="auto"/>
        <w:ind w:firstLine="420" w:firstLineChars="200"/>
        <w:rPr>
          <w:rFonts w:ascii="宋体" w:hAnsi="宋体" w:cs="宋体"/>
          <w:szCs w:val="21"/>
          <w:highlight w:val="none"/>
        </w:rPr>
      </w:pPr>
      <w:r>
        <w:rPr>
          <w:rFonts w:hint="eastAsia" w:ascii="宋体" w:hAnsi="宋体" w:cs="宋体"/>
          <w:szCs w:val="21"/>
          <w:highlight w:val="none"/>
        </w:rPr>
        <w:t>1.1.4 日期和期限</w:t>
      </w:r>
    </w:p>
    <w:p w14:paraId="06ED555C">
      <w:pPr>
        <w:spacing w:line="360" w:lineRule="auto"/>
        <w:ind w:firstLine="420" w:firstLineChars="200"/>
        <w:rPr>
          <w:rFonts w:ascii="宋体" w:hAnsi="宋体" w:cs="宋体"/>
          <w:szCs w:val="21"/>
          <w:highlight w:val="none"/>
        </w:rPr>
      </w:pPr>
      <w:r>
        <w:rPr>
          <w:rFonts w:hint="eastAsia" w:ascii="宋体" w:hAnsi="宋体" w:cs="宋体"/>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61EFDB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1.1.4.2 竣工日期：包括计划竣工日期和实际竣工日期。计划竣工日期是指合同协议书约定的竣工日期；实际竣工日期按照第13.2.3项〔竣工日期〕的约定确定。 </w:t>
      </w:r>
    </w:p>
    <w:p w14:paraId="539D9D7A">
      <w:pPr>
        <w:spacing w:line="360" w:lineRule="auto"/>
        <w:ind w:firstLine="420" w:firstLineChars="200"/>
        <w:rPr>
          <w:rFonts w:ascii="宋体" w:hAnsi="宋体" w:cs="宋体"/>
          <w:szCs w:val="21"/>
          <w:highlight w:val="none"/>
        </w:rPr>
      </w:pPr>
      <w:r>
        <w:rPr>
          <w:rFonts w:hint="eastAsia" w:ascii="宋体" w:hAnsi="宋体" w:cs="宋体"/>
          <w:szCs w:val="21"/>
          <w:highlight w:val="none"/>
        </w:rPr>
        <w:t>1.1.4.3 工期：是指在合同协议书约定的承包人完成工程所需的期限，包括按照合同约定所作的期限变更。</w:t>
      </w:r>
    </w:p>
    <w:p w14:paraId="15668139">
      <w:pPr>
        <w:spacing w:line="360" w:lineRule="auto"/>
        <w:ind w:firstLine="420" w:firstLineChars="200"/>
        <w:rPr>
          <w:rFonts w:ascii="宋体" w:hAnsi="宋体" w:cs="宋体"/>
          <w:szCs w:val="21"/>
          <w:highlight w:val="none"/>
        </w:rPr>
      </w:pPr>
      <w:r>
        <w:rPr>
          <w:rFonts w:hint="eastAsia" w:ascii="宋体" w:hAnsi="宋体" w:cs="宋体"/>
          <w:szCs w:val="21"/>
          <w:highlight w:val="none"/>
        </w:rPr>
        <w:t>1.1.4.4 缺陷责任期：是指承包人按照合同约定承担缺陷修复义务，且发包人预留质量保证金（已缴纳履约保证金的除外）的期限，自工程实际竣工日期起计算。</w:t>
      </w:r>
    </w:p>
    <w:p w14:paraId="7665E409">
      <w:pPr>
        <w:spacing w:line="360" w:lineRule="auto"/>
        <w:ind w:firstLine="420" w:firstLineChars="200"/>
        <w:rPr>
          <w:rFonts w:ascii="宋体" w:hAnsi="宋体" w:cs="宋体"/>
          <w:szCs w:val="21"/>
          <w:highlight w:val="none"/>
        </w:rPr>
      </w:pPr>
      <w:r>
        <w:rPr>
          <w:rFonts w:hint="eastAsia" w:ascii="宋体" w:hAnsi="宋体" w:cs="宋体"/>
          <w:szCs w:val="21"/>
          <w:highlight w:val="none"/>
        </w:rPr>
        <w:t>1.1.4.5 保修期：是指承包人按照合同约定对工程承担保修责任的期限，从工程竣工验收合格之日起计算。</w:t>
      </w:r>
    </w:p>
    <w:p w14:paraId="79C125F1">
      <w:pPr>
        <w:spacing w:line="360" w:lineRule="auto"/>
        <w:ind w:firstLine="420" w:firstLineChars="200"/>
        <w:rPr>
          <w:rFonts w:ascii="宋体" w:hAnsi="宋体" w:cs="宋体"/>
          <w:szCs w:val="21"/>
          <w:highlight w:val="none"/>
        </w:rPr>
      </w:pPr>
      <w:r>
        <w:rPr>
          <w:rFonts w:hint="eastAsia" w:ascii="宋体" w:hAnsi="宋体" w:cs="宋体"/>
          <w:szCs w:val="21"/>
          <w:highlight w:val="none"/>
        </w:rPr>
        <w:t>1.1.4.6 基准日期：招标发包的工程以投标截止日前28天的日期为基准日期，直接发包的工程以合同签订日前28天的日期为基准日期。</w:t>
      </w:r>
    </w:p>
    <w:p w14:paraId="6BCE7858">
      <w:pPr>
        <w:spacing w:line="360" w:lineRule="auto"/>
        <w:ind w:firstLine="420" w:firstLineChars="200"/>
        <w:rPr>
          <w:rFonts w:ascii="宋体" w:hAnsi="宋体" w:cs="宋体"/>
          <w:szCs w:val="21"/>
          <w:highlight w:val="none"/>
        </w:rPr>
      </w:pPr>
      <w:r>
        <w:rPr>
          <w:rFonts w:hint="eastAsia" w:ascii="宋体" w:hAnsi="宋体" w:cs="宋体"/>
          <w:szCs w:val="21"/>
          <w:highlight w:val="none"/>
        </w:rPr>
        <w:t>1.1.4.7 天：除特别指明外，均指日历天。合同中按天计算时间的，开始当天不计入，从次日开始计算，期限最后一天的截止时间为当天24:00时。</w:t>
      </w:r>
    </w:p>
    <w:p w14:paraId="789C3CC9">
      <w:pPr>
        <w:spacing w:line="360" w:lineRule="auto"/>
        <w:ind w:firstLine="420" w:firstLineChars="200"/>
        <w:rPr>
          <w:rFonts w:ascii="宋体" w:hAnsi="宋体" w:cs="宋体"/>
          <w:szCs w:val="21"/>
          <w:highlight w:val="none"/>
        </w:rPr>
      </w:pPr>
      <w:r>
        <w:rPr>
          <w:rFonts w:hint="eastAsia" w:ascii="宋体" w:hAnsi="宋体" w:cs="宋体"/>
          <w:szCs w:val="21"/>
          <w:highlight w:val="none"/>
        </w:rPr>
        <w:t>1.1.5 合同价格和费用</w:t>
      </w:r>
    </w:p>
    <w:p w14:paraId="461CA9BD">
      <w:pPr>
        <w:spacing w:line="360" w:lineRule="auto"/>
        <w:ind w:firstLine="420" w:firstLineChars="200"/>
        <w:rPr>
          <w:rFonts w:ascii="宋体" w:hAnsi="宋体" w:cs="宋体"/>
          <w:szCs w:val="21"/>
          <w:highlight w:val="none"/>
        </w:rPr>
      </w:pPr>
      <w:r>
        <w:rPr>
          <w:rFonts w:hint="eastAsia" w:ascii="宋体" w:hAnsi="宋体" w:cs="宋体"/>
          <w:szCs w:val="21"/>
          <w:highlight w:val="none"/>
        </w:rPr>
        <w:t>1.1.5.1 签约合同价：是指发包人和承包人在合同协议书中确定的总金额，包括安全文明施工费、暂估价及暂列金额等。</w:t>
      </w:r>
    </w:p>
    <w:p w14:paraId="50D1EF04">
      <w:pPr>
        <w:spacing w:line="360" w:lineRule="auto"/>
        <w:ind w:firstLine="420" w:firstLineChars="200"/>
        <w:rPr>
          <w:rFonts w:ascii="宋体" w:hAnsi="宋体" w:cs="宋体"/>
          <w:szCs w:val="21"/>
          <w:highlight w:val="none"/>
        </w:rPr>
      </w:pPr>
      <w:r>
        <w:rPr>
          <w:rFonts w:hint="eastAsia" w:ascii="宋体" w:hAnsi="宋体" w:cs="宋体"/>
          <w:szCs w:val="21"/>
          <w:highlight w:val="none"/>
        </w:rPr>
        <w:t>1.1.5.2 合同价格：是指发包人用于支付承包人按照合同约定完成承包范围内全部工作的金额，包括合同履行过程中按合同约定发生的价格变化。</w:t>
      </w:r>
    </w:p>
    <w:p w14:paraId="1E7C4197">
      <w:pPr>
        <w:spacing w:line="360" w:lineRule="auto"/>
        <w:ind w:firstLine="420" w:firstLineChars="200"/>
        <w:rPr>
          <w:rFonts w:ascii="宋体" w:hAnsi="宋体" w:cs="宋体"/>
          <w:szCs w:val="21"/>
          <w:highlight w:val="none"/>
        </w:rPr>
      </w:pPr>
      <w:r>
        <w:rPr>
          <w:rFonts w:hint="eastAsia" w:ascii="宋体" w:hAnsi="宋体" w:cs="宋体"/>
          <w:szCs w:val="21"/>
          <w:highlight w:val="none"/>
        </w:rPr>
        <w:t>1.1.5.3 费用：是指为履行合同所发生的或将要发生的所有必需的开支，包括管理费和应分摊的其他费用，但不包括利润。</w:t>
      </w:r>
    </w:p>
    <w:p w14:paraId="36D49FB2">
      <w:pPr>
        <w:spacing w:line="360" w:lineRule="auto"/>
        <w:ind w:firstLine="420" w:firstLineChars="200"/>
        <w:rPr>
          <w:rFonts w:ascii="宋体" w:hAnsi="宋体" w:cs="宋体"/>
          <w:szCs w:val="21"/>
          <w:highlight w:val="none"/>
        </w:rPr>
      </w:pPr>
      <w:r>
        <w:rPr>
          <w:rFonts w:hint="eastAsia" w:ascii="宋体" w:hAnsi="宋体" w:cs="宋体"/>
          <w:szCs w:val="21"/>
          <w:highlight w:val="none"/>
        </w:rPr>
        <w:t>1.1.5.4 暂估价：是指发包人在工程量清单或预算书中提供的用于支付必然发生但暂时不能确定价格的材料、工程设备的单价、专业工程以及服务工作的金额。</w:t>
      </w:r>
    </w:p>
    <w:p w14:paraId="5C3E60EF">
      <w:pPr>
        <w:spacing w:line="360" w:lineRule="auto"/>
        <w:ind w:firstLine="420" w:firstLineChars="200"/>
        <w:rPr>
          <w:rFonts w:ascii="宋体" w:hAnsi="宋体" w:cs="宋体"/>
          <w:szCs w:val="21"/>
          <w:highlight w:val="none"/>
        </w:rPr>
      </w:pPr>
      <w:r>
        <w:rPr>
          <w:rFonts w:hint="eastAsia" w:ascii="宋体" w:hAnsi="宋体" w:cs="宋体"/>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EDC7FBA">
      <w:pPr>
        <w:spacing w:line="360" w:lineRule="auto"/>
        <w:ind w:firstLine="420" w:firstLineChars="200"/>
        <w:rPr>
          <w:rFonts w:ascii="宋体" w:hAnsi="宋体" w:cs="宋体"/>
          <w:szCs w:val="21"/>
          <w:highlight w:val="none"/>
        </w:rPr>
      </w:pPr>
      <w:r>
        <w:rPr>
          <w:rFonts w:hint="eastAsia" w:ascii="宋体" w:hAnsi="宋体" w:cs="宋体"/>
          <w:szCs w:val="21"/>
          <w:highlight w:val="none"/>
        </w:rPr>
        <w:t>1.1.5.6 计日工：是指合同履行过程中，承包人完成发包人提出的零星工作或需要采用计日工计价的变更工作时，按合同中约定的单价计价的一种方式。</w:t>
      </w:r>
    </w:p>
    <w:p w14:paraId="060E8277">
      <w:pPr>
        <w:spacing w:line="360" w:lineRule="auto"/>
        <w:ind w:firstLine="420" w:firstLineChars="200"/>
        <w:rPr>
          <w:rFonts w:ascii="宋体" w:hAnsi="宋体" w:cs="宋体"/>
          <w:szCs w:val="21"/>
          <w:highlight w:val="none"/>
        </w:rPr>
      </w:pPr>
      <w:r>
        <w:rPr>
          <w:rFonts w:hint="eastAsia" w:ascii="宋体" w:hAnsi="宋体" w:cs="宋体"/>
          <w:szCs w:val="21"/>
          <w:highlight w:val="none"/>
        </w:rPr>
        <w:t>1.1.5.7 质量保证金</w:t>
      </w:r>
      <w:bookmarkStart w:id="49" w:name="#go2"/>
      <w:bookmarkEnd w:id="49"/>
      <w:r>
        <w:rPr>
          <w:rFonts w:hint="eastAsia" w:ascii="宋体" w:hAnsi="宋体" w:cs="宋体"/>
          <w:szCs w:val="21"/>
          <w:highlight w:val="none"/>
        </w:rPr>
        <w:t>：是指按照第15.3款〔质量保证金〕约定承包人用于保证其在缺陷责任期内履行缺陷修补义务的担保。</w:t>
      </w:r>
    </w:p>
    <w:p w14:paraId="295BED22">
      <w:pPr>
        <w:spacing w:line="360" w:lineRule="auto"/>
        <w:ind w:firstLine="420" w:firstLineChars="200"/>
        <w:rPr>
          <w:rFonts w:ascii="宋体" w:hAnsi="宋体" w:cs="宋体"/>
          <w:szCs w:val="21"/>
          <w:highlight w:val="none"/>
        </w:rPr>
      </w:pPr>
      <w:r>
        <w:rPr>
          <w:rFonts w:hint="eastAsia" w:ascii="宋体" w:hAnsi="宋体" w:cs="宋体"/>
          <w:szCs w:val="21"/>
          <w:highlight w:val="none"/>
        </w:rPr>
        <w:t>1.1.5.8 总价项目：是指在现行国家、行业以及地方的计量规则中无工程量计算规则，在已标价工程量清单或预算书中以总价或以费率形式计算的项目。</w:t>
      </w:r>
    </w:p>
    <w:p w14:paraId="00BD6632">
      <w:pPr>
        <w:spacing w:line="360" w:lineRule="auto"/>
        <w:ind w:firstLine="420" w:firstLineChars="200"/>
        <w:rPr>
          <w:rFonts w:ascii="宋体" w:hAnsi="宋体" w:cs="宋体"/>
          <w:szCs w:val="21"/>
          <w:highlight w:val="none"/>
        </w:rPr>
      </w:pPr>
      <w:r>
        <w:rPr>
          <w:rFonts w:hint="eastAsia" w:ascii="宋体" w:hAnsi="宋体" w:cs="宋体"/>
          <w:szCs w:val="21"/>
          <w:highlight w:val="none"/>
        </w:rPr>
        <w:t>1.1.6 其他</w:t>
      </w:r>
    </w:p>
    <w:p w14:paraId="62D9009D">
      <w:pPr>
        <w:spacing w:line="360" w:lineRule="auto"/>
        <w:ind w:firstLine="420" w:firstLineChars="200"/>
        <w:rPr>
          <w:rFonts w:ascii="宋体" w:hAnsi="宋体" w:cs="宋体"/>
          <w:szCs w:val="21"/>
          <w:highlight w:val="none"/>
        </w:rPr>
      </w:pPr>
      <w:r>
        <w:rPr>
          <w:rFonts w:hint="eastAsia" w:ascii="宋体" w:hAnsi="宋体" w:cs="宋体"/>
          <w:szCs w:val="21"/>
          <w:highlight w:val="none"/>
        </w:rPr>
        <w:t>1.1.6.1 书面形式：是指合同文件、信函、电报、传真等可以有形地表现所载内容的形式。</w:t>
      </w:r>
    </w:p>
    <w:p w14:paraId="2F8F5D6B">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w:t>
      </w:r>
      <w:bookmarkStart w:id="50" w:name="_Toc296346530"/>
      <w:bookmarkStart w:id="51" w:name="_Toc351203497"/>
      <w:bookmarkStart w:id="52" w:name="_Toc337558729"/>
      <w:bookmarkStart w:id="53" w:name="_Toc296503029"/>
      <w:r>
        <w:rPr>
          <w:rFonts w:hint="eastAsia" w:ascii="宋体" w:hAnsi="宋体" w:cs="宋体"/>
          <w:szCs w:val="21"/>
          <w:highlight w:val="none"/>
        </w:rPr>
        <w:t>1.2语言文字</w:t>
      </w:r>
      <w:bookmarkEnd w:id="50"/>
      <w:bookmarkEnd w:id="51"/>
      <w:bookmarkEnd w:id="52"/>
      <w:bookmarkEnd w:id="53"/>
    </w:p>
    <w:p w14:paraId="51C01B00">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合同以中国的汉语简体文字编写、解释和说明。合同当事人在专用合同条款中约定使用两种以上语言时，汉语为优先解释和说明合同的语言。</w:t>
      </w:r>
    </w:p>
    <w:p w14:paraId="68F99B1E">
      <w:pPr>
        <w:spacing w:line="360" w:lineRule="auto"/>
        <w:ind w:firstLine="420" w:firstLineChars="200"/>
        <w:rPr>
          <w:rFonts w:ascii="宋体" w:hAnsi="宋体" w:cs="宋体"/>
          <w:szCs w:val="21"/>
          <w:highlight w:val="none"/>
        </w:rPr>
      </w:pPr>
      <w:bookmarkStart w:id="54" w:name="_Toc337558730"/>
      <w:bookmarkStart w:id="55" w:name="_Toc351203498"/>
      <w:bookmarkStart w:id="56" w:name="_Toc296346531"/>
      <w:bookmarkStart w:id="57" w:name="_Toc296503030"/>
      <w:r>
        <w:rPr>
          <w:rFonts w:hint="eastAsia" w:ascii="宋体" w:hAnsi="宋体" w:cs="宋体"/>
          <w:szCs w:val="21"/>
          <w:highlight w:val="none"/>
        </w:rPr>
        <w:t>1.3法律</w:t>
      </w:r>
      <w:bookmarkEnd w:id="54"/>
      <w:bookmarkEnd w:id="55"/>
      <w:bookmarkEnd w:id="56"/>
      <w:bookmarkEnd w:id="57"/>
    </w:p>
    <w:p w14:paraId="78D9979B">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合同所称法律是指中华人民共和国法律、行政法规、部门规章，以及工程所在地的地方性法规、自治条例、单行条例和地方政府规章等。</w:t>
      </w:r>
    </w:p>
    <w:p w14:paraId="1D641C75">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合同当事人可以在专用合同条款中约定合同适用的其他规范性文件。</w:t>
      </w:r>
    </w:p>
    <w:p w14:paraId="0BFCEEFA">
      <w:pPr>
        <w:spacing w:line="360" w:lineRule="auto"/>
        <w:ind w:firstLine="420" w:firstLineChars="200"/>
        <w:rPr>
          <w:rFonts w:ascii="宋体" w:hAnsi="宋体" w:cs="宋体"/>
          <w:szCs w:val="21"/>
          <w:highlight w:val="none"/>
        </w:rPr>
      </w:pPr>
      <w:bookmarkStart w:id="58" w:name="_Toc351203499"/>
      <w:r>
        <w:rPr>
          <w:rFonts w:hint="eastAsia" w:ascii="宋体" w:hAnsi="宋体" w:cs="宋体"/>
          <w:szCs w:val="21"/>
          <w:highlight w:val="none"/>
        </w:rPr>
        <w:t>1.4 标准和规范</w:t>
      </w:r>
      <w:bookmarkEnd w:id="58"/>
    </w:p>
    <w:p w14:paraId="124E61FB">
      <w:pPr>
        <w:spacing w:line="360" w:lineRule="auto"/>
        <w:ind w:firstLine="420" w:firstLineChars="200"/>
        <w:rPr>
          <w:rFonts w:ascii="宋体" w:hAnsi="宋体" w:cs="宋体"/>
          <w:szCs w:val="21"/>
          <w:highlight w:val="none"/>
        </w:rPr>
      </w:pPr>
      <w:r>
        <w:rPr>
          <w:rFonts w:hint="eastAsia" w:ascii="宋体" w:hAnsi="宋体" w:cs="宋体"/>
          <w:szCs w:val="21"/>
          <w:highlight w:val="none"/>
        </w:rPr>
        <w:t>1.4.1 适用于工程的国家标准、行业标准、工程所在地的地方性标准，以及相应的规范、规程等，合同当事人有特别要求的，应在专用合同条款中约定。</w:t>
      </w:r>
    </w:p>
    <w:p w14:paraId="4DB38D07">
      <w:pPr>
        <w:spacing w:line="360" w:lineRule="auto"/>
        <w:ind w:firstLine="420" w:firstLineChars="200"/>
        <w:rPr>
          <w:rFonts w:ascii="宋体" w:hAnsi="宋体" w:cs="宋体"/>
          <w:szCs w:val="21"/>
          <w:highlight w:val="none"/>
        </w:rPr>
      </w:pPr>
      <w:r>
        <w:rPr>
          <w:rFonts w:hint="eastAsia" w:ascii="宋体" w:hAnsi="宋体" w:cs="宋体"/>
          <w:szCs w:val="21"/>
          <w:highlight w:val="none"/>
        </w:rPr>
        <w:t>1.4.2 发包人要求使用国外标准、规范的，发包人负责提供原文版本和中文译本，并在专用合同条款中约定提供标准规范的名称、份数和时间。</w:t>
      </w:r>
    </w:p>
    <w:p w14:paraId="7EADA050">
      <w:pPr>
        <w:spacing w:line="360" w:lineRule="auto"/>
        <w:ind w:firstLine="420" w:firstLineChars="200"/>
        <w:rPr>
          <w:rFonts w:ascii="宋体" w:hAnsi="宋体" w:cs="宋体"/>
          <w:szCs w:val="21"/>
          <w:highlight w:val="none"/>
        </w:rPr>
      </w:pPr>
      <w:r>
        <w:rPr>
          <w:rFonts w:hint="eastAsia" w:ascii="宋体" w:hAnsi="宋体" w:cs="宋体"/>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1F816B0">
      <w:pPr>
        <w:spacing w:line="360" w:lineRule="auto"/>
        <w:ind w:firstLine="420" w:firstLineChars="200"/>
        <w:rPr>
          <w:rFonts w:ascii="宋体" w:hAnsi="宋体" w:cs="宋体"/>
          <w:szCs w:val="21"/>
          <w:highlight w:val="none"/>
        </w:rPr>
      </w:pPr>
      <w:bookmarkStart w:id="59" w:name="_Toc351203500"/>
      <w:r>
        <w:rPr>
          <w:rFonts w:hint="eastAsia" w:ascii="宋体" w:hAnsi="宋体" w:cs="宋体"/>
          <w:szCs w:val="21"/>
          <w:highlight w:val="none"/>
        </w:rPr>
        <w:t>1</w:t>
      </w:r>
      <w:bookmarkStart w:id="60" w:name="_Toc337558731"/>
      <w:bookmarkStart w:id="61" w:name="_Toc296346532"/>
      <w:bookmarkStart w:id="62" w:name="_Toc296503031"/>
      <w:r>
        <w:rPr>
          <w:rFonts w:hint="eastAsia" w:ascii="宋体" w:hAnsi="宋体" w:cs="宋体"/>
          <w:szCs w:val="21"/>
          <w:highlight w:val="none"/>
        </w:rPr>
        <w:t>.5 合同文件的优先顺序</w:t>
      </w:r>
      <w:bookmarkEnd w:id="59"/>
    </w:p>
    <w:bookmarkEnd w:id="60"/>
    <w:bookmarkEnd w:id="61"/>
    <w:bookmarkEnd w:id="62"/>
    <w:p w14:paraId="40EDA7C4">
      <w:pPr>
        <w:spacing w:line="360" w:lineRule="auto"/>
        <w:ind w:firstLine="420" w:firstLineChars="200"/>
        <w:rPr>
          <w:rFonts w:ascii="宋体" w:hAnsi="宋体" w:cs="宋体"/>
          <w:szCs w:val="21"/>
          <w:highlight w:val="none"/>
        </w:rPr>
      </w:pPr>
      <w:r>
        <w:rPr>
          <w:rFonts w:hint="eastAsia" w:ascii="宋体" w:hAnsi="宋体" w:cs="宋体"/>
          <w:szCs w:val="21"/>
          <w:highlight w:val="none"/>
        </w:rPr>
        <w:t>组成合同的各项文件应互相解释，互为说明。除专用合同条款另有约定外，解释合同文件的优先顺序如下：</w:t>
      </w:r>
    </w:p>
    <w:p w14:paraId="24D7B988">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（1）合同协议书；</w:t>
      </w:r>
    </w:p>
    <w:p w14:paraId="61AEF7C2">
      <w:pPr>
        <w:spacing w:line="360" w:lineRule="auto"/>
        <w:ind w:firstLine="420" w:firstLineChars="200"/>
        <w:rPr>
          <w:rFonts w:ascii="宋体" w:hAnsi="宋体" w:cs="宋体"/>
          <w:szCs w:val="21"/>
          <w:highlight w:val="none"/>
        </w:rPr>
      </w:pPr>
      <w:r>
        <w:rPr>
          <w:rFonts w:hint="eastAsia" w:ascii="宋体" w:hAnsi="宋体" w:cs="宋体"/>
          <w:szCs w:val="21"/>
          <w:highlight w:val="none"/>
        </w:rPr>
        <w:t>（2）中标通知书（如果有）；</w:t>
      </w:r>
    </w:p>
    <w:p w14:paraId="48628A2E">
      <w:pPr>
        <w:spacing w:line="360" w:lineRule="auto"/>
        <w:ind w:firstLine="420" w:firstLineChars="200"/>
        <w:rPr>
          <w:rFonts w:ascii="宋体" w:hAnsi="宋体" w:cs="宋体"/>
          <w:szCs w:val="21"/>
          <w:highlight w:val="none"/>
        </w:rPr>
      </w:pPr>
      <w:r>
        <w:rPr>
          <w:rFonts w:hint="eastAsia" w:ascii="宋体" w:hAnsi="宋体" w:cs="宋体"/>
          <w:szCs w:val="21"/>
          <w:highlight w:val="none"/>
        </w:rPr>
        <w:t>（3）投标函及其附录（如果有）；</w:t>
      </w:r>
    </w:p>
    <w:p w14:paraId="57E466B1">
      <w:pPr>
        <w:spacing w:line="360" w:lineRule="auto"/>
        <w:ind w:firstLine="420" w:firstLineChars="200"/>
        <w:rPr>
          <w:rFonts w:ascii="宋体" w:hAnsi="宋体" w:cs="宋体"/>
          <w:szCs w:val="21"/>
          <w:highlight w:val="none"/>
        </w:rPr>
      </w:pPr>
      <w:r>
        <w:rPr>
          <w:rFonts w:hint="eastAsia" w:ascii="宋体" w:hAnsi="宋体" w:cs="宋体"/>
          <w:szCs w:val="21"/>
          <w:highlight w:val="none"/>
        </w:rPr>
        <w:t>（4）专用合同条款及其附件；</w:t>
      </w:r>
    </w:p>
    <w:p w14:paraId="5B0E2A29">
      <w:pPr>
        <w:spacing w:line="360" w:lineRule="auto"/>
        <w:ind w:firstLine="420" w:firstLineChars="200"/>
        <w:rPr>
          <w:rFonts w:ascii="宋体" w:hAnsi="宋体" w:cs="宋体"/>
          <w:szCs w:val="21"/>
          <w:highlight w:val="none"/>
        </w:rPr>
      </w:pPr>
      <w:r>
        <w:rPr>
          <w:rFonts w:hint="eastAsia" w:ascii="宋体" w:hAnsi="宋体" w:cs="宋体"/>
          <w:szCs w:val="21"/>
          <w:highlight w:val="none"/>
        </w:rPr>
        <w:t>（5）通用合同条款；</w:t>
      </w:r>
    </w:p>
    <w:p w14:paraId="589B3558">
      <w:pPr>
        <w:spacing w:line="360" w:lineRule="auto"/>
        <w:ind w:firstLine="420" w:firstLineChars="200"/>
        <w:rPr>
          <w:rFonts w:ascii="宋体" w:hAnsi="宋体" w:cs="宋体"/>
          <w:szCs w:val="21"/>
          <w:highlight w:val="none"/>
        </w:rPr>
      </w:pPr>
      <w:r>
        <w:rPr>
          <w:rFonts w:hint="eastAsia" w:ascii="宋体" w:hAnsi="宋体" w:cs="宋体"/>
          <w:szCs w:val="21"/>
          <w:highlight w:val="none"/>
        </w:rPr>
        <w:t>（6）技术标准和要求；</w:t>
      </w:r>
    </w:p>
    <w:p w14:paraId="3A72930D">
      <w:pPr>
        <w:spacing w:line="360" w:lineRule="auto"/>
        <w:ind w:firstLine="420" w:firstLineChars="200"/>
        <w:rPr>
          <w:rFonts w:ascii="宋体" w:hAnsi="宋体" w:cs="宋体"/>
          <w:szCs w:val="21"/>
          <w:highlight w:val="none"/>
        </w:rPr>
      </w:pPr>
      <w:r>
        <w:rPr>
          <w:rFonts w:hint="eastAsia" w:ascii="宋体" w:hAnsi="宋体" w:cs="宋体"/>
          <w:szCs w:val="21"/>
          <w:highlight w:val="none"/>
        </w:rPr>
        <w:t>（7）图纸；</w:t>
      </w:r>
    </w:p>
    <w:p w14:paraId="615E31B5">
      <w:pPr>
        <w:spacing w:line="360" w:lineRule="auto"/>
        <w:ind w:firstLine="420" w:firstLineChars="200"/>
        <w:rPr>
          <w:rFonts w:ascii="宋体" w:hAnsi="宋体" w:cs="宋体"/>
          <w:szCs w:val="21"/>
          <w:highlight w:val="none"/>
        </w:rPr>
      </w:pPr>
      <w:r>
        <w:rPr>
          <w:rFonts w:hint="eastAsia" w:ascii="宋体" w:hAnsi="宋体" w:cs="宋体"/>
          <w:szCs w:val="21"/>
          <w:highlight w:val="none"/>
        </w:rPr>
        <w:t>（8）已标价工程量清单或预算书；</w:t>
      </w:r>
    </w:p>
    <w:p w14:paraId="1B05D55A">
      <w:pPr>
        <w:spacing w:line="360" w:lineRule="auto"/>
        <w:ind w:firstLine="420" w:firstLineChars="200"/>
        <w:rPr>
          <w:rFonts w:ascii="宋体" w:hAnsi="宋体" w:cs="宋体"/>
          <w:szCs w:val="21"/>
          <w:highlight w:val="none"/>
        </w:rPr>
      </w:pPr>
      <w:r>
        <w:rPr>
          <w:rFonts w:hint="eastAsia" w:ascii="宋体" w:hAnsi="宋体" w:cs="宋体"/>
          <w:szCs w:val="21"/>
          <w:highlight w:val="none"/>
        </w:rPr>
        <w:t>（9）其他合同文件。</w:t>
      </w:r>
    </w:p>
    <w:p w14:paraId="6294F701">
      <w:pPr>
        <w:spacing w:line="360" w:lineRule="auto"/>
        <w:ind w:firstLine="420" w:firstLineChars="200"/>
        <w:rPr>
          <w:rFonts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w:t>
      </w:r>
    </w:p>
    <w:p w14:paraId="6C0E8D84">
      <w:pPr>
        <w:spacing w:line="360" w:lineRule="auto"/>
        <w:ind w:firstLine="420" w:firstLineChars="200"/>
        <w:rPr>
          <w:rFonts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在合同订立及履行过程中形成的与合同有关的文件均构成合同文件组成部分，并根据其性质确定优先解释顺序。</w:t>
      </w:r>
    </w:p>
    <w:p w14:paraId="0887E84C">
      <w:pPr>
        <w:spacing w:line="360" w:lineRule="auto"/>
        <w:ind w:firstLine="420" w:firstLineChars="200"/>
        <w:rPr>
          <w:rFonts w:ascii="宋体" w:hAnsi="宋体" w:cs="宋体"/>
          <w:szCs w:val="21"/>
          <w:highlight w:val="none"/>
        </w:rPr>
      </w:pPr>
      <w:bookmarkStart w:id="63" w:name="_Toc351203501"/>
      <w:r>
        <w:rPr>
          <w:rFonts w:hint="eastAsia" w:ascii="宋体" w:hAnsi="宋体" w:cs="宋体"/>
          <w:szCs w:val="21"/>
          <w:highlight w:val="none"/>
        </w:rPr>
        <w:t>1</w:t>
      </w:r>
      <w:bookmarkStart w:id="64" w:name="_Toc337558732"/>
      <w:bookmarkStart w:id="65" w:name="_Toc296346533"/>
      <w:bookmarkStart w:id="66" w:name="_Toc296503032"/>
      <w:r>
        <w:rPr>
          <w:rFonts w:hint="eastAsia" w:ascii="宋体" w:hAnsi="宋体" w:cs="宋体"/>
          <w:szCs w:val="21"/>
          <w:highlight w:val="none"/>
        </w:rPr>
        <w:t>.6图纸和承包人文件</w:t>
      </w:r>
      <w:bookmarkEnd w:id="63"/>
    </w:p>
    <w:bookmarkEnd w:id="64"/>
    <w:bookmarkEnd w:id="65"/>
    <w:bookmarkEnd w:id="66"/>
    <w:p w14:paraId="6F685234">
      <w:pPr>
        <w:spacing w:line="360" w:lineRule="auto"/>
        <w:ind w:firstLine="420" w:firstLineChars="200"/>
        <w:rPr>
          <w:rFonts w:ascii="宋体" w:hAnsi="宋体" w:cs="宋体"/>
          <w:szCs w:val="21"/>
          <w:highlight w:val="none"/>
        </w:rPr>
      </w:pPr>
      <w:r>
        <w:rPr>
          <w:rFonts w:hint="eastAsia" w:ascii="宋体" w:hAnsi="宋体" w:cs="宋体"/>
          <w:szCs w:val="21"/>
          <w:highlight w:val="none"/>
        </w:rPr>
        <w:t>1.6.1 图纸的提供和交底</w:t>
      </w:r>
    </w:p>
    <w:p w14:paraId="7524744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8AFA8FA">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因发包人未按合同约定提供图纸导致承包人费用增加和（或）工期延误的，按照第7.5.1项〔因发包人原因导致工期延误〕约定办理。</w:t>
      </w:r>
    </w:p>
    <w:p w14:paraId="467F4AD5">
      <w:pPr>
        <w:spacing w:line="360" w:lineRule="auto"/>
        <w:ind w:firstLine="420" w:firstLineChars="200"/>
        <w:rPr>
          <w:rFonts w:ascii="宋体" w:hAnsi="宋体" w:cs="宋体"/>
          <w:szCs w:val="21"/>
          <w:highlight w:val="none"/>
        </w:rPr>
      </w:pPr>
      <w:r>
        <w:rPr>
          <w:rFonts w:hint="eastAsia" w:ascii="宋体" w:hAnsi="宋体" w:cs="宋体"/>
          <w:szCs w:val="21"/>
          <w:highlight w:val="none"/>
        </w:rPr>
        <w:t>1.6.2 图纸的错误</w:t>
      </w:r>
    </w:p>
    <w:p w14:paraId="7C26C8C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FBDFF60">
      <w:pPr>
        <w:spacing w:line="360" w:lineRule="auto"/>
        <w:ind w:firstLine="420" w:firstLineChars="200"/>
        <w:rPr>
          <w:rFonts w:ascii="宋体" w:hAnsi="宋体" w:cs="宋体"/>
          <w:szCs w:val="21"/>
          <w:highlight w:val="none"/>
        </w:rPr>
      </w:pPr>
      <w:r>
        <w:rPr>
          <w:rFonts w:hint="eastAsia" w:ascii="宋体" w:hAnsi="宋体" w:cs="宋体"/>
          <w:szCs w:val="21"/>
          <w:highlight w:val="none"/>
        </w:rPr>
        <w:t>1.6.3 图纸的修改和补充</w:t>
      </w:r>
    </w:p>
    <w:p w14:paraId="015F4550">
      <w:pPr>
        <w:spacing w:line="360" w:lineRule="auto"/>
        <w:ind w:firstLine="420" w:firstLineChars="200"/>
        <w:rPr>
          <w:rFonts w:ascii="宋体" w:hAnsi="宋体" w:cs="宋体"/>
          <w:szCs w:val="21"/>
          <w:highlight w:val="none"/>
        </w:rPr>
      </w:pPr>
      <w:r>
        <w:rPr>
          <w:rFonts w:hint="eastAsia" w:ascii="宋体" w:hAnsi="宋体" w:cs="宋体"/>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472AAB6">
      <w:pPr>
        <w:spacing w:line="360" w:lineRule="auto"/>
        <w:ind w:firstLine="420" w:firstLineChars="200"/>
        <w:rPr>
          <w:rFonts w:ascii="宋体" w:hAnsi="宋体" w:cs="宋体"/>
          <w:szCs w:val="21"/>
          <w:highlight w:val="none"/>
        </w:rPr>
      </w:pPr>
      <w:r>
        <w:rPr>
          <w:rFonts w:hint="eastAsia" w:ascii="宋体" w:hAnsi="宋体" w:cs="宋体"/>
          <w:szCs w:val="21"/>
          <w:highlight w:val="none"/>
        </w:rPr>
        <w:t>1.6.4 承包人文件</w:t>
      </w:r>
    </w:p>
    <w:p w14:paraId="2F68B16A">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承包人应按照专用合同条款的约定提供应当由其编制的与工程施工有关的文件，并按照专用合同条款约定的期限、数量和形式提交监理人，并由监理人报送发包人。</w:t>
      </w:r>
    </w:p>
    <w:p w14:paraId="7E050758">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362D1BA">
      <w:pPr>
        <w:spacing w:line="360" w:lineRule="auto"/>
        <w:ind w:firstLine="420" w:firstLineChars="200"/>
        <w:rPr>
          <w:rFonts w:ascii="宋体" w:hAnsi="宋体" w:cs="宋体"/>
          <w:szCs w:val="21"/>
          <w:highlight w:val="none"/>
        </w:rPr>
      </w:pPr>
      <w:r>
        <w:rPr>
          <w:rFonts w:hint="eastAsia" w:ascii="宋体" w:hAnsi="宋体" w:cs="宋体"/>
          <w:szCs w:val="21"/>
          <w:highlight w:val="none"/>
        </w:rPr>
        <w:t>1.6.5 图纸和承包人文件的保管</w:t>
      </w:r>
    </w:p>
    <w:p w14:paraId="279513CA">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除专用合同条款另有约定外，承包人应在施工现场另外保存一套完整的图纸和承包人文件，供发包人、监理人及有关人员进行工程检查时使用。</w:t>
      </w:r>
    </w:p>
    <w:p w14:paraId="298D619B">
      <w:pPr>
        <w:spacing w:line="360" w:lineRule="auto"/>
        <w:ind w:firstLine="420" w:firstLineChars="200"/>
        <w:rPr>
          <w:rFonts w:ascii="宋体" w:hAnsi="宋体" w:cs="宋体"/>
          <w:szCs w:val="21"/>
          <w:highlight w:val="none"/>
        </w:rPr>
      </w:pPr>
      <w:bookmarkStart w:id="67" w:name="_Toc351203502"/>
      <w:r>
        <w:rPr>
          <w:rFonts w:hint="eastAsia" w:ascii="宋体" w:hAnsi="宋体" w:cs="宋体"/>
          <w:szCs w:val="21"/>
          <w:highlight w:val="none"/>
        </w:rPr>
        <w:t>1</w:t>
      </w:r>
      <w:bookmarkStart w:id="68" w:name="_Toc296346534"/>
      <w:bookmarkStart w:id="69" w:name="_Toc296503033"/>
      <w:bookmarkStart w:id="70" w:name="_Toc337558733"/>
      <w:r>
        <w:rPr>
          <w:rFonts w:hint="eastAsia" w:ascii="宋体" w:hAnsi="宋体" w:cs="宋体"/>
          <w:szCs w:val="21"/>
          <w:highlight w:val="none"/>
        </w:rPr>
        <w:t>.7联络</w:t>
      </w:r>
      <w:bookmarkEnd w:id="67"/>
    </w:p>
    <w:bookmarkEnd w:id="68"/>
    <w:bookmarkEnd w:id="69"/>
    <w:bookmarkEnd w:id="70"/>
    <w:p w14:paraId="06BA7E8F">
      <w:pPr>
        <w:spacing w:line="360" w:lineRule="auto"/>
        <w:ind w:firstLine="420" w:firstLineChars="200"/>
        <w:rPr>
          <w:rFonts w:ascii="宋体" w:hAnsi="宋体" w:cs="宋体"/>
          <w:szCs w:val="21"/>
          <w:highlight w:val="none"/>
        </w:rPr>
      </w:pPr>
      <w:r>
        <w:rPr>
          <w:rFonts w:hint="eastAsia" w:ascii="宋体" w:hAnsi="宋体" w:cs="宋体"/>
          <w:szCs w:val="21"/>
          <w:highlight w:val="none"/>
        </w:rPr>
        <w:t>1.7.1 与合同有关的通知、批准、证明、证书、指示、指令、要求、请求、同意、意见、确定和决定等，均应采用书面形式，并应在合同约定的期限内送达接收人和送达地点。</w:t>
      </w:r>
    </w:p>
    <w:p w14:paraId="0FD6B093">
      <w:pPr>
        <w:spacing w:line="360" w:lineRule="auto"/>
        <w:ind w:firstLine="420" w:firstLineChars="200"/>
        <w:rPr>
          <w:rFonts w:ascii="宋体" w:hAnsi="宋体" w:cs="宋体"/>
          <w:szCs w:val="21"/>
          <w:highlight w:val="none"/>
        </w:rPr>
      </w:pPr>
      <w:r>
        <w:rPr>
          <w:rFonts w:hint="eastAsia" w:ascii="宋体" w:hAnsi="宋体" w:cs="宋体"/>
          <w:szCs w:val="21"/>
          <w:highlight w:val="none"/>
        </w:rPr>
        <w:t>1.7.2 发包人和承包人应在专用合同条款中约定各自的送达接收人和送达地点。任何一方合同当事人指定的接收人或送达地点发生变动的，应提前3天以书面形式通知对方。</w:t>
      </w:r>
    </w:p>
    <w:p w14:paraId="70F7580E">
      <w:pPr>
        <w:spacing w:line="360" w:lineRule="auto"/>
        <w:ind w:firstLine="420" w:firstLineChars="200"/>
        <w:rPr>
          <w:rFonts w:ascii="宋体" w:hAnsi="宋体" w:cs="宋体"/>
          <w:szCs w:val="21"/>
          <w:highlight w:val="none"/>
        </w:rPr>
      </w:pPr>
      <w:r>
        <w:rPr>
          <w:rFonts w:hint="eastAsia" w:ascii="宋体" w:hAnsi="宋体" w:cs="宋体"/>
          <w:szCs w:val="21"/>
          <w:highlight w:val="none"/>
        </w:rPr>
        <w:t>1.7.3 发包人和承包人应当及时签收另一方送达至送达地点和指定接收人的来往信函。拒不签收的，由此增加的费用和（或）延误的工期由拒绝接收一方承担。</w:t>
      </w:r>
    </w:p>
    <w:p w14:paraId="0374FAD9">
      <w:pPr>
        <w:spacing w:line="360" w:lineRule="auto"/>
        <w:ind w:firstLine="420" w:firstLineChars="200"/>
        <w:rPr>
          <w:rFonts w:ascii="宋体" w:hAnsi="宋体" w:cs="宋体"/>
          <w:szCs w:val="21"/>
          <w:highlight w:val="none"/>
        </w:rPr>
      </w:pPr>
      <w:bookmarkStart w:id="71" w:name="_Toc351203503"/>
      <w:r>
        <w:rPr>
          <w:rFonts w:hint="eastAsia" w:ascii="宋体" w:hAnsi="宋体" w:cs="宋体"/>
          <w:szCs w:val="21"/>
          <w:highlight w:val="none"/>
        </w:rPr>
        <w:t>1</w:t>
      </w:r>
      <w:bookmarkStart w:id="72" w:name="_Toc296503035"/>
      <w:bookmarkStart w:id="73" w:name="_Toc337558734"/>
      <w:bookmarkStart w:id="74" w:name="_Toc296346536"/>
      <w:r>
        <w:rPr>
          <w:rFonts w:hint="eastAsia" w:ascii="宋体" w:hAnsi="宋体" w:cs="宋体"/>
          <w:szCs w:val="21"/>
          <w:highlight w:val="none"/>
        </w:rPr>
        <w:t>.8严禁贿赂</w:t>
      </w:r>
      <w:bookmarkEnd w:id="71"/>
    </w:p>
    <w:bookmarkEnd w:id="72"/>
    <w:bookmarkEnd w:id="73"/>
    <w:bookmarkEnd w:id="74"/>
    <w:p w14:paraId="758DEFD3">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合同当事人不得以贿赂或变相贿赂的方式，谋取非法利益或损害对方权益。因一方合同当事人的贿赂造成对方损失的，应赔偿损失，并承担相应的法律责任。</w:t>
      </w:r>
    </w:p>
    <w:p w14:paraId="0BA2D13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EB46A40">
      <w:pPr>
        <w:spacing w:line="360" w:lineRule="auto"/>
        <w:ind w:firstLine="420" w:firstLineChars="200"/>
        <w:rPr>
          <w:rFonts w:ascii="宋体" w:hAnsi="宋体" w:cs="宋体"/>
          <w:szCs w:val="21"/>
          <w:highlight w:val="none"/>
        </w:rPr>
      </w:pPr>
      <w:bookmarkStart w:id="75" w:name="_Toc351203504"/>
      <w:r>
        <w:rPr>
          <w:rFonts w:hint="eastAsia" w:ascii="宋体" w:hAnsi="宋体" w:cs="宋体"/>
          <w:szCs w:val="21"/>
          <w:highlight w:val="none"/>
        </w:rPr>
        <w:t>1</w:t>
      </w:r>
      <w:bookmarkStart w:id="76" w:name="_Toc296346537"/>
      <w:bookmarkStart w:id="77" w:name="_Toc337558735"/>
      <w:bookmarkStart w:id="78" w:name="_Toc296503036"/>
      <w:r>
        <w:rPr>
          <w:rFonts w:hint="eastAsia" w:ascii="宋体" w:hAnsi="宋体" w:cs="宋体"/>
          <w:szCs w:val="21"/>
          <w:highlight w:val="none"/>
        </w:rPr>
        <w:t>.9化石、文物</w:t>
      </w:r>
      <w:bookmarkEnd w:id="75"/>
    </w:p>
    <w:bookmarkEnd w:id="76"/>
    <w:bookmarkEnd w:id="77"/>
    <w:bookmarkEnd w:id="78"/>
    <w:p w14:paraId="58D28659">
      <w:pPr>
        <w:spacing w:line="360" w:lineRule="auto"/>
        <w:ind w:firstLine="420" w:firstLineChars="200"/>
        <w:rPr>
          <w:rFonts w:ascii="宋体" w:hAnsi="宋体" w:cs="宋体"/>
          <w:szCs w:val="21"/>
          <w:highlight w:val="none"/>
        </w:rPr>
      </w:pPr>
      <w:r>
        <w:rPr>
          <w:rFonts w:hint="eastAsia" w:ascii="宋体" w:hAnsi="宋体" w:cs="宋体"/>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170DF11">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发包人、监理人和承包人应按有关政府行政管理部门要求采取妥善的保护措施，由此增加的费用和（或）延误的工期由发包人承担。</w:t>
      </w:r>
    </w:p>
    <w:p w14:paraId="17E163B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承包人发现文物后不及时报告或隐瞒不报，致使文物丢失或损坏的，应赔偿损失，并承担相应的法律责任。</w:t>
      </w:r>
    </w:p>
    <w:p w14:paraId="0ADF7915">
      <w:pPr>
        <w:spacing w:line="360" w:lineRule="auto"/>
        <w:ind w:firstLine="420" w:firstLineChars="200"/>
        <w:rPr>
          <w:rFonts w:ascii="宋体" w:hAnsi="宋体" w:cs="宋体"/>
          <w:szCs w:val="21"/>
          <w:highlight w:val="none"/>
        </w:rPr>
      </w:pPr>
      <w:bookmarkStart w:id="79" w:name="_Toc351203505"/>
      <w:r>
        <w:rPr>
          <w:rFonts w:hint="eastAsia" w:ascii="宋体" w:hAnsi="宋体" w:cs="宋体"/>
          <w:szCs w:val="21"/>
          <w:highlight w:val="none"/>
        </w:rPr>
        <w:t>1</w:t>
      </w:r>
      <w:bookmarkStart w:id="80" w:name="_Toc337558736"/>
      <w:r>
        <w:rPr>
          <w:rFonts w:hint="eastAsia" w:ascii="宋体" w:hAnsi="宋体" w:cs="宋体"/>
          <w:szCs w:val="21"/>
          <w:highlight w:val="none"/>
        </w:rPr>
        <w:t>.10交通运输</w:t>
      </w:r>
      <w:bookmarkEnd w:id="79"/>
    </w:p>
    <w:bookmarkEnd w:id="80"/>
    <w:p w14:paraId="6AFC9C13">
      <w:pPr>
        <w:spacing w:line="360" w:lineRule="auto"/>
        <w:ind w:firstLine="420" w:firstLineChars="200"/>
        <w:rPr>
          <w:rFonts w:ascii="宋体" w:hAnsi="宋体" w:cs="宋体"/>
          <w:szCs w:val="21"/>
          <w:highlight w:val="none"/>
        </w:rPr>
      </w:pPr>
      <w:r>
        <w:rPr>
          <w:rFonts w:hint="eastAsia" w:ascii="宋体" w:hAnsi="宋体" w:cs="宋体"/>
          <w:szCs w:val="21"/>
          <w:highlight w:val="none"/>
        </w:rPr>
        <w:t>1.10.1 出入现场的权利</w:t>
      </w:r>
    </w:p>
    <w:p w14:paraId="35D44BA5">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3C12AA1">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53AB1FC4">
      <w:pPr>
        <w:spacing w:line="360" w:lineRule="auto"/>
        <w:ind w:firstLine="420" w:firstLineChars="200"/>
        <w:rPr>
          <w:rFonts w:ascii="宋体" w:hAnsi="宋体" w:cs="宋体"/>
          <w:szCs w:val="21"/>
          <w:highlight w:val="none"/>
        </w:rPr>
      </w:pPr>
      <w:r>
        <w:rPr>
          <w:rFonts w:hint="eastAsia" w:ascii="宋体" w:hAnsi="宋体" w:cs="宋体"/>
          <w:szCs w:val="21"/>
          <w:highlight w:val="none"/>
        </w:rPr>
        <w:t>1.10.2 场外交通</w:t>
      </w:r>
    </w:p>
    <w:p w14:paraId="51A4E64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89E1891">
      <w:pPr>
        <w:spacing w:line="360" w:lineRule="auto"/>
        <w:ind w:firstLine="420" w:firstLineChars="200"/>
        <w:rPr>
          <w:rFonts w:ascii="宋体" w:hAnsi="宋体" w:cs="宋体"/>
          <w:szCs w:val="21"/>
          <w:highlight w:val="none"/>
        </w:rPr>
      </w:pPr>
      <w:r>
        <w:rPr>
          <w:rFonts w:hint="eastAsia" w:ascii="宋体" w:hAnsi="宋体" w:cs="宋体"/>
          <w:szCs w:val="21"/>
          <w:highlight w:val="none"/>
        </w:rPr>
        <w:t>1.10.3场内交通</w:t>
      </w:r>
    </w:p>
    <w:p w14:paraId="65B81197">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A77EB1D">
      <w:pPr>
        <w:spacing w:line="360" w:lineRule="auto"/>
        <w:ind w:firstLine="420" w:firstLineChars="200"/>
        <w:rPr>
          <w:rFonts w:ascii="宋体" w:hAnsi="宋体" w:cs="宋体"/>
          <w:szCs w:val="21"/>
          <w:highlight w:val="none"/>
        </w:rPr>
      </w:pPr>
      <w:r>
        <w:rPr>
          <w:rFonts w:hint="eastAsia" w:ascii="宋体" w:hAnsi="宋体" w:cs="宋体"/>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BBF4CA5">
      <w:pPr>
        <w:spacing w:line="360" w:lineRule="auto"/>
        <w:ind w:firstLine="420" w:firstLineChars="200"/>
        <w:rPr>
          <w:rFonts w:ascii="宋体" w:hAnsi="宋体" w:cs="宋体"/>
          <w:szCs w:val="21"/>
          <w:highlight w:val="none"/>
        </w:rPr>
      </w:pPr>
      <w:r>
        <w:rPr>
          <w:rFonts w:hint="eastAsia" w:ascii="宋体" w:hAnsi="宋体" w:cs="宋体"/>
          <w:szCs w:val="21"/>
          <w:highlight w:val="none"/>
        </w:rPr>
        <w:t>场外交通和场内交通的边界由合同当事人在专用合同条款中约定。</w:t>
      </w:r>
    </w:p>
    <w:p w14:paraId="33AB4716">
      <w:pPr>
        <w:spacing w:line="360" w:lineRule="auto"/>
        <w:ind w:firstLine="420" w:firstLineChars="200"/>
        <w:rPr>
          <w:rFonts w:ascii="宋体" w:hAnsi="宋体" w:cs="宋体"/>
          <w:szCs w:val="21"/>
          <w:highlight w:val="none"/>
        </w:rPr>
      </w:pPr>
      <w:r>
        <w:rPr>
          <w:rFonts w:hint="eastAsia" w:ascii="宋体" w:hAnsi="宋体" w:cs="宋体"/>
          <w:szCs w:val="21"/>
          <w:highlight w:val="none"/>
        </w:rPr>
        <w:t>1.10.4 超大件和超重件的运输</w:t>
      </w:r>
    </w:p>
    <w:p w14:paraId="4FBC9E2B">
      <w:pPr>
        <w:spacing w:line="360" w:lineRule="auto"/>
        <w:ind w:firstLine="420" w:firstLineChars="200"/>
        <w:rPr>
          <w:rFonts w:ascii="宋体" w:hAnsi="宋体" w:cs="宋体"/>
          <w:szCs w:val="21"/>
          <w:highlight w:val="none"/>
        </w:rPr>
      </w:pPr>
      <w:r>
        <w:rPr>
          <w:rFonts w:hint="eastAsia" w:ascii="宋体" w:hAnsi="宋体" w:cs="宋体"/>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B0898C3">
      <w:pPr>
        <w:spacing w:line="360" w:lineRule="auto"/>
        <w:ind w:firstLine="420" w:firstLineChars="200"/>
        <w:rPr>
          <w:rFonts w:ascii="宋体" w:hAnsi="宋体" w:cs="宋体"/>
          <w:szCs w:val="21"/>
          <w:highlight w:val="none"/>
        </w:rPr>
      </w:pPr>
      <w:r>
        <w:rPr>
          <w:rFonts w:hint="eastAsia" w:ascii="宋体" w:hAnsi="宋体" w:cs="宋体"/>
          <w:szCs w:val="21"/>
          <w:highlight w:val="none"/>
        </w:rPr>
        <w:t>1.10.5 道路和桥梁的损坏责任</w:t>
      </w:r>
    </w:p>
    <w:p w14:paraId="1931CD35">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因承包人运输造成施工场地内外公共道路和桥梁损坏的，由承包人承担修复损坏的全部费用和可能引起的赔偿。</w:t>
      </w:r>
    </w:p>
    <w:p w14:paraId="059E1AA9">
      <w:pPr>
        <w:spacing w:line="360" w:lineRule="auto"/>
        <w:ind w:firstLine="420" w:firstLineChars="200"/>
        <w:rPr>
          <w:rFonts w:ascii="宋体" w:hAnsi="宋体" w:cs="宋体"/>
          <w:szCs w:val="21"/>
          <w:highlight w:val="none"/>
        </w:rPr>
      </w:pPr>
      <w:r>
        <w:rPr>
          <w:rFonts w:hint="eastAsia" w:ascii="宋体" w:hAnsi="宋体" w:cs="宋体"/>
          <w:szCs w:val="21"/>
          <w:highlight w:val="none"/>
        </w:rPr>
        <w:t>1.10.6 水路和航空运输</w:t>
      </w:r>
    </w:p>
    <w:p w14:paraId="23A78CDD">
      <w:pPr>
        <w:spacing w:line="360" w:lineRule="auto"/>
        <w:ind w:firstLine="420" w:firstLineChars="200"/>
        <w:rPr>
          <w:rFonts w:ascii="宋体" w:hAnsi="宋体" w:cs="宋体"/>
          <w:szCs w:val="21"/>
          <w:highlight w:val="none"/>
        </w:rPr>
      </w:pPr>
      <w:r>
        <w:rPr>
          <w:rFonts w:hint="eastAsia" w:ascii="宋体" w:hAnsi="宋体" w:cs="宋体"/>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1A9B0FED">
      <w:pPr>
        <w:spacing w:line="360" w:lineRule="auto"/>
        <w:ind w:firstLine="420" w:firstLineChars="200"/>
        <w:rPr>
          <w:rFonts w:ascii="宋体" w:hAnsi="宋体" w:cs="宋体"/>
          <w:szCs w:val="21"/>
          <w:highlight w:val="none"/>
        </w:rPr>
      </w:pPr>
      <w:bookmarkStart w:id="81" w:name="_Toc351203506"/>
      <w:r>
        <w:rPr>
          <w:rFonts w:hint="eastAsia" w:ascii="宋体" w:hAnsi="宋体" w:cs="宋体"/>
          <w:szCs w:val="21"/>
          <w:highlight w:val="none"/>
        </w:rPr>
        <w:t>1</w:t>
      </w:r>
      <w:bookmarkStart w:id="82" w:name="_Toc337558737"/>
      <w:bookmarkStart w:id="83" w:name="_Toc296503037"/>
      <w:bookmarkStart w:id="84" w:name="_Toc296346538"/>
      <w:r>
        <w:rPr>
          <w:rFonts w:hint="eastAsia" w:ascii="宋体" w:hAnsi="宋体" w:cs="宋体"/>
          <w:szCs w:val="21"/>
          <w:highlight w:val="none"/>
        </w:rPr>
        <w:t>.11知识产权</w:t>
      </w:r>
      <w:bookmarkEnd w:id="81"/>
      <w:r>
        <w:rPr>
          <w:rFonts w:hint="eastAsia" w:ascii="宋体" w:hAnsi="宋体" w:cs="宋体"/>
          <w:szCs w:val="21"/>
          <w:highlight w:val="none"/>
        </w:rPr>
        <w:t xml:space="preserve"> </w:t>
      </w:r>
      <w:bookmarkEnd w:id="82"/>
    </w:p>
    <w:bookmarkEnd w:id="83"/>
    <w:bookmarkEnd w:id="84"/>
    <w:p w14:paraId="59B41668">
      <w:pPr>
        <w:spacing w:line="360" w:lineRule="auto"/>
        <w:ind w:firstLine="420" w:firstLineChars="200"/>
        <w:rPr>
          <w:rFonts w:ascii="宋体" w:hAnsi="宋体" w:cs="宋体"/>
          <w:szCs w:val="21"/>
          <w:highlight w:val="none"/>
        </w:rPr>
      </w:pPr>
      <w:r>
        <w:rPr>
          <w:rFonts w:hint="eastAsia" w:ascii="宋体" w:hAnsi="宋体" w:cs="宋体"/>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BF0BA1F">
      <w:pPr>
        <w:spacing w:line="360" w:lineRule="auto"/>
        <w:ind w:firstLine="420" w:firstLineChars="200"/>
        <w:rPr>
          <w:rFonts w:ascii="宋体" w:hAnsi="宋体" w:cs="宋体"/>
          <w:szCs w:val="21"/>
          <w:highlight w:val="none"/>
        </w:rPr>
      </w:pPr>
      <w:r>
        <w:rPr>
          <w:rFonts w:hint="eastAsia" w:ascii="宋体" w:hAnsi="宋体" w:cs="宋体"/>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E8CDB46">
      <w:pPr>
        <w:spacing w:line="360" w:lineRule="auto"/>
        <w:ind w:firstLine="420" w:firstLineChars="200"/>
        <w:rPr>
          <w:rFonts w:ascii="宋体" w:hAnsi="宋体" w:cs="宋体"/>
          <w:szCs w:val="21"/>
          <w:highlight w:val="none"/>
        </w:rPr>
      </w:pPr>
      <w:r>
        <w:rPr>
          <w:rFonts w:hint="eastAsia" w:ascii="宋体" w:hAnsi="宋体" w:cs="宋体"/>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A33F392">
      <w:pPr>
        <w:spacing w:line="360" w:lineRule="auto"/>
        <w:ind w:firstLine="420" w:firstLineChars="200"/>
        <w:rPr>
          <w:rFonts w:ascii="宋体" w:hAnsi="宋体" w:cs="宋体"/>
          <w:szCs w:val="21"/>
          <w:highlight w:val="none"/>
        </w:rPr>
      </w:pPr>
      <w:r>
        <w:rPr>
          <w:rFonts w:hint="eastAsia" w:ascii="宋体" w:hAnsi="宋体" w:cs="宋体"/>
          <w:szCs w:val="21"/>
          <w:highlight w:val="none"/>
        </w:rPr>
        <w:t>1.11.4 除专用合同条款另有约定外，承包人在合同签订前和签订时已确定采用的专利、专有技术、技术秘密的使用费已包含在签约合同价中。</w:t>
      </w:r>
    </w:p>
    <w:p w14:paraId="67500D13">
      <w:pPr>
        <w:spacing w:line="360" w:lineRule="auto"/>
        <w:ind w:firstLine="420" w:firstLineChars="200"/>
        <w:rPr>
          <w:rFonts w:ascii="宋体" w:hAnsi="宋体" w:cs="宋体"/>
          <w:szCs w:val="21"/>
          <w:highlight w:val="none"/>
        </w:rPr>
      </w:pPr>
      <w:bookmarkStart w:id="85" w:name="_Toc351203507"/>
      <w:r>
        <w:rPr>
          <w:rFonts w:hint="eastAsia" w:ascii="宋体" w:hAnsi="宋体" w:cs="宋体"/>
          <w:szCs w:val="21"/>
          <w:highlight w:val="none"/>
        </w:rPr>
        <w:t>1</w:t>
      </w:r>
      <w:bookmarkStart w:id="86" w:name="_Toc337558738"/>
      <w:r>
        <w:rPr>
          <w:rFonts w:hint="eastAsia" w:ascii="宋体" w:hAnsi="宋体" w:cs="宋体"/>
          <w:szCs w:val="21"/>
          <w:highlight w:val="none"/>
        </w:rPr>
        <w:t>.12保密</w:t>
      </w:r>
      <w:bookmarkEnd w:id="85"/>
    </w:p>
    <w:bookmarkEnd w:id="86"/>
    <w:p w14:paraId="698728C6">
      <w:pPr>
        <w:spacing w:line="360" w:lineRule="auto"/>
        <w:ind w:firstLine="420" w:firstLineChars="200"/>
        <w:rPr>
          <w:rFonts w:ascii="宋体" w:hAnsi="宋体" w:cs="宋体"/>
          <w:szCs w:val="21"/>
          <w:highlight w:val="none"/>
        </w:rPr>
      </w:pPr>
      <w:r>
        <w:rPr>
          <w:rFonts w:hint="eastAsia" w:ascii="宋体" w:hAnsi="宋体" w:cs="宋体"/>
          <w:szCs w:val="21"/>
          <w:highlight w:val="none"/>
        </w:rPr>
        <w:t>除法律规定或合同另有约定外，未经发包人同意，承包人不得将发包人提供的图纸、文件以及声明需要保密的资料信息等商业秘密泄露给第三方。</w:t>
      </w:r>
    </w:p>
    <w:p w14:paraId="23E631F3">
      <w:pPr>
        <w:spacing w:line="360" w:lineRule="auto"/>
        <w:ind w:firstLine="420" w:firstLineChars="200"/>
        <w:rPr>
          <w:rFonts w:ascii="宋体" w:hAnsi="宋体" w:cs="宋体"/>
          <w:szCs w:val="21"/>
          <w:highlight w:val="none"/>
        </w:rPr>
      </w:pPr>
      <w:r>
        <w:rPr>
          <w:rFonts w:hint="eastAsia" w:ascii="宋体" w:hAnsi="宋体" w:cs="宋体"/>
          <w:szCs w:val="21"/>
          <w:highlight w:val="none"/>
        </w:rPr>
        <w:t>除法律规定或合同另有约定外，未经承包人同意，发包人不得将承包人提供的技术秘密及声明需要保密的资料信息等商业秘密泄露给第三方。</w:t>
      </w:r>
    </w:p>
    <w:p w14:paraId="60F60377">
      <w:pPr>
        <w:spacing w:line="360" w:lineRule="auto"/>
        <w:ind w:firstLine="420" w:firstLineChars="200"/>
        <w:rPr>
          <w:rFonts w:ascii="宋体" w:hAnsi="宋体" w:cs="宋体"/>
          <w:szCs w:val="21"/>
          <w:highlight w:val="none"/>
        </w:rPr>
      </w:pPr>
      <w:bookmarkStart w:id="87" w:name="_Toc351203508"/>
      <w:r>
        <w:rPr>
          <w:rFonts w:hint="eastAsia" w:ascii="宋体" w:hAnsi="宋体" w:cs="宋体"/>
          <w:szCs w:val="21"/>
          <w:highlight w:val="none"/>
        </w:rPr>
        <w:t>1.13工程量清单错误的修正</w:t>
      </w:r>
      <w:bookmarkEnd w:id="87"/>
    </w:p>
    <w:p w14:paraId="1F1AEE22">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除专用合同条款另有约定外，发包人提供的工程量清单，应被认为是准确的和完整的。出现下列情形之一时，发包人应予以修正，并相应调整合同价格：</w:t>
      </w:r>
    </w:p>
    <w:p w14:paraId="397ADF39">
      <w:pPr>
        <w:spacing w:line="360" w:lineRule="auto"/>
        <w:ind w:firstLine="420" w:firstLineChars="200"/>
        <w:rPr>
          <w:rFonts w:ascii="宋体" w:hAnsi="宋体" w:cs="宋体"/>
          <w:szCs w:val="21"/>
          <w:highlight w:val="none"/>
        </w:rPr>
      </w:pPr>
      <w:r>
        <w:rPr>
          <w:rFonts w:hint="eastAsia" w:ascii="宋体" w:hAnsi="宋体" w:cs="宋体"/>
          <w:szCs w:val="21"/>
          <w:highlight w:val="none"/>
        </w:rPr>
        <w:t>（1）工程量清单存在缺项、漏项的；</w:t>
      </w:r>
    </w:p>
    <w:p w14:paraId="2D5C58E3">
      <w:pPr>
        <w:spacing w:line="360" w:lineRule="auto"/>
        <w:ind w:firstLine="420" w:firstLineChars="200"/>
        <w:rPr>
          <w:rFonts w:ascii="宋体" w:hAnsi="宋体" w:cs="宋体"/>
          <w:szCs w:val="21"/>
          <w:highlight w:val="none"/>
        </w:rPr>
      </w:pPr>
      <w:r>
        <w:rPr>
          <w:rFonts w:hint="eastAsia" w:ascii="宋体" w:hAnsi="宋体" w:cs="宋体"/>
          <w:szCs w:val="21"/>
          <w:highlight w:val="none"/>
        </w:rPr>
        <w:t>（2）工程量清单偏差超出专用合同条款约定的工程量偏差范围的；</w:t>
      </w:r>
    </w:p>
    <w:p w14:paraId="70046214">
      <w:pPr>
        <w:spacing w:line="360" w:lineRule="auto"/>
        <w:ind w:firstLine="420" w:firstLineChars="200"/>
        <w:rPr>
          <w:rFonts w:ascii="宋体" w:hAnsi="宋体" w:cs="宋体"/>
          <w:szCs w:val="21"/>
          <w:highlight w:val="none"/>
        </w:rPr>
      </w:pPr>
      <w:r>
        <w:rPr>
          <w:rFonts w:hint="eastAsia" w:ascii="宋体" w:hAnsi="宋体" w:cs="宋体"/>
          <w:szCs w:val="21"/>
          <w:highlight w:val="none"/>
        </w:rPr>
        <w:t>（3）未按照国家现行计量规范强制性规定计量的。</w:t>
      </w:r>
    </w:p>
    <w:p w14:paraId="6429AAC2">
      <w:pPr>
        <w:spacing w:line="360" w:lineRule="auto"/>
        <w:ind w:firstLine="420" w:firstLineChars="200"/>
        <w:rPr>
          <w:rFonts w:ascii="宋体" w:hAnsi="宋体" w:cs="宋体"/>
          <w:szCs w:val="21"/>
          <w:highlight w:val="none"/>
        </w:rPr>
      </w:pPr>
      <w:bookmarkStart w:id="88" w:name="_Toc351203509"/>
      <w:r>
        <w:rPr>
          <w:rFonts w:hint="eastAsia" w:ascii="宋体" w:hAnsi="宋体" w:cs="宋体"/>
          <w:szCs w:val="21"/>
          <w:highlight w:val="none"/>
        </w:rPr>
        <w:t>2</w:t>
      </w:r>
      <w:bookmarkStart w:id="89" w:name="_Toc296346539"/>
      <w:bookmarkStart w:id="90" w:name="_Toc296503038"/>
      <w:bookmarkStart w:id="91" w:name="_Toc337558739"/>
      <w:r>
        <w:rPr>
          <w:rFonts w:hint="eastAsia" w:ascii="宋体" w:hAnsi="宋体" w:cs="宋体"/>
          <w:szCs w:val="21"/>
          <w:highlight w:val="none"/>
        </w:rPr>
        <w:t>. 发包人</w:t>
      </w:r>
      <w:bookmarkEnd w:id="88"/>
    </w:p>
    <w:bookmarkEnd w:id="89"/>
    <w:bookmarkEnd w:id="90"/>
    <w:bookmarkEnd w:id="91"/>
    <w:p w14:paraId="213374E8">
      <w:pPr>
        <w:spacing w:line="360" w:lineRule="auto"/>
        <w:ind w:firstLine="420" w:firstLineChars="200"/>
        <w:rPr>
          <w:rFonts w:ascii="宋体" w:hAnsi="宋体" w:cs="宋体"/>
          <w:szCs w:val="21"/>
          <w:highlight w:val="none"/>
        </w:rPr>
      </w:pPr>
      <w:bookmarkStart w:id="92" w:name="_Toc351203510"/>
      <w:r>
        <w:rPr>
          <w:rFonts w:hint="eastAsia" w:ascii="宋体" w:hAnsi="宋体" w:cs="宋体"/>
          <w:szCs w:val="21"/>
          <w:highlight w:val="none"/>
        </w:rPr>
        <w:t>2</w:t>
      </w:r>
      <w:bookmarkStart w:id="93" w:name="_Toc296503039"/>
      <w:bookmarkStart w:id="94" w:name="_Toc337558740"/>
      <w:bookmarkStart w:id="95" w:name="_Toc296346540"/>
      <w:r>
        <w:rPr>
          <w:rFonts w:hint="eastAsia" w:ascii="宋体" w:hAnsi="宋体" w:cs="宋体"/>
          <w:szCs w:val="21"/>
          <w:highlight w:val="none"/>
        </w:rPr>
        <w:t>.1 许可或批准</w:t>
      </w:r>
      <w:bookmarkEnd w:id="92"/>
    </w:p>
    <w:p w14:paraId="3961912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C97B9CC">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因发包人原因未能及时办理完毕前述许可、批准或备案，由发包人承担由此增加的费用和（或）延误的工期，并支付承包人合理的利润。</w:t>
      </w:r>
    </w:p>
    <w:p w14:paraId="724E7E6D">
      <w:pPr>
        <w:spacing w:line="360" w:lineRule="auto"/>
        <w:ind w:firstLine="420" w:firstLineChars="200"/>
        <w:rPr>
          <w:rFonts w:ascii="宋体" w:hAnsi="宋体" w:cs="宋体"/>
          <w:szCs w:val="21"/>
          <w:highlight w:val="none"/>
        </w:rPr>
      </w:pPr>
      <w:bookmarkStart w:id="96" w:name="_Toc351203511"/>
      <w:r>
        <w:rPr>
          <w:rFonts w:hint="eastAsia" w:ascii="宋体" w:hAnsi="宋体" w:cs="宋体"/>
          <w:szCs w:val="21"/>
          <w:highlight w:val="none"/>
        </w:rPr>
        <w:t>2.2 发包人代表</w:t>
      </w:r>
      <w:bookmarkEnd w:id="96"/>
    </w:p>
    <w:p w14:paraId="0944EAE7">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27B6D8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发包人代表不能按照合同约定履行其职责及义务，并导致合同无法继续正常履行的，承包人可以要求发包人撤换发包人代表。</w:t>
      </w:r>
    </w:p>
    <w:p w14:paraId="4506A0AB">
      <w:pPr>
        <w:spacing w:line="360" w:lineRule="auto"/>
        <w:ind w:firstLine="420" w:firstLineChars="200"/>
        <w:rPr>
          <w:rFonts w:ascii="宋体" w:hAnsi="宋体" w:cs="宋体"/>
          <w:szCs w:val="21"/>
          <w:highlight w:val="none"/>
        </w:rPr>
      </w:pPr>
      <w:r>
        <w:rPr>
          <w:rFonts w:hint="eastAsia" w:ascii="宋体" w:hAnsi="宋体" w:cs="宋体"/>
          <w:szCs w:val="21"/>
          <w:highlight w:val="none"/>
        </w:rPr>
        <w:t>不属于法定必须监理的工程，监理人的职权可以由发包人代表或发包人指定的其他人员行使。</w:t>
      </w:r>
    </w:p>
    <w:p w14:paraId="4DB74F01">
      <w:pPr>
        <w:spacing w:line="360" w:lineRule="auto"/>
        <w:ind w:firstLine="420" w:firstLineChars="200"/>
        <w:rPr>
          <w:rFonts w:ascii="宋体" w:hAnsi="宋体" w:cs="宋体"/>
          <w:szCs w:val="21"/>
          <w:highlight w:val="none"/>
        </w:rPr>
      </w:pPr>
      <w:bookmarkStart w:id="97" w:name="_Toc351203512"/>
      <w:r>
        <w:rPr>
          <w:rFonts w:hint="eastAsia" w:ascii="宋体" w:hAnsi="宋体" w:cs="宋体"/>
          <w:szCs w:val="21"/>
          <w:highlight w:val="none"/>
        </w:rPr>
        <w:t>2.3 发包人人员</w:t>
      </w:r>
      <w:bookmarkEnd w:id="97"/>
    </w:p>
    <w:p w14:paraId="3246227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59E80DE">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发包人人员包括发包人代表及其他由发包人派驻施工现场的人员。</w:t>
      </w:r>
      <w:bookmarkEnd w:id="93"/>
      <w:bookmarkEnd w:id="94"/>
      <w:bookmarkEnd w:id="95"/>
    </w:p>
    <w:p w14:paraId="78922163">
      <w:pPr>
        <w:spacing w:line="360" w:lineRule="auto"/>
        <w:ind w:firstLine="420" w:firstLineChars="200"/>
        <w:rPr>
          <w:rFonts w:ascii="宋体" w:hAnsi="宋体" w:cs="宋体"/>
          <w:szCs w:val="21"/>
          <w:highlight w:val="none"/>
        </w:rPr>
      </w:pPr>
      <w:bookmarkStart w:id="98" w:name="_Toc351203513"/>
      <w:r>
        <w:rPr>
          <w:rFonts w:hint="eastAsia" w:ascii="宋体" w:hAnsi="宋体" w:cs="宋体"/>
          <w:szCs w:val="21"/>
          <w:highlight w:val="none"/>
        </w:rPr>
        <w:t>2</w:t>
      </w:r>
      <w:bookmarkStart w:id="99" w:name="_Toc337558741"/>
      <w:bookmarkStart w:id="100" w:name="_Toc296503040"/>
      <w:bookmarkStart w:id="101" w:name="_Toc296346541"/>
      <w:r>
        <w:rPr>
          <w:rFonts w:hint="eastAsia" w:ascii="宋体" w:hAnsi="宋体" w:cs="宋体"/>
          <w:szCs w:val="21"/>
          <w:highlight w:val="none"/>
        </w:rPr>
        <w:t>.4 施工现场、施工条件和基础资料的提供</w:t>
      </w:r>
      <w:bookmarkEnd w:id="98"/>
      <w:r>
        <w:rPr>
          <w:rFonts w:hint="eastAsia" w:ascii="宋体" w:hAnsi="宋体" w:cs="宋体"/>
          <w:szCs w:val="21"/>
          <w:highlight w:val="none"/>
        </w:rPr>
        <w:t xml:space="preserve"> </w:t>
      </w:r>
      <w:bookmarkEnd w:id="99"/>
      <w:bookmarkEnd w:id="100"/>
      <w:bookmarkEnd w:id="101"/>
      <w:r>
        <w:rPr>
          <w:rFonts w:hint="eastAsia" w:ascii="宋体" w:hAnsi="宋体" w:cs="宋体"/>
          <w:szCs w:val="21"/>
          <w:highlight w:val="none"/>
        </w:rPr>
        <w:t xml:space="preserve"> </w:t>
      </w:r>
    </w:p>
    <w:p w14:paraId="130FBA47">
      <w:pPr>
        <w:spacing w:line="360" w:lineRule="auto"/>
        <w:ind w:firstLine="420" w:firstLineChars="200"/>
        <w:rPr>
          <w:rFonts w:ascii="宋体" w:hAnsi="宋体" w:cs="宋体"/>
          <w:szCs w:val="21"/>
          <w:highlight w:val="none"/>
        </w:rPr>
      </w:pPr>
      <w:r>
        <w:rPr>
          <w:rFonts w:hint="eastAsia" w:ascii="宋体" w:hAnsi="宋体" w:cs="宋体"/>
          <w:szCs w:val="21"/>
          <w:highlight w:val="none"/>
        </w:rPr>
        <w:t>2.4.1 提供施工现场</w:t>
      </w:r>
    </w:p>
    <w:p w14:paraId="6907F29E">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除专用合同条款另有约定外，发包人应最迟于开工日期7天前向承包人移交施工现场。</w:t>
      </w:r>
    </w:p>
    <w:p w14:paraId="0A4A21B7">
      <w:pPr>
        <w:spacing w:line="360" w:lineRule="auto"/>
        <w:ind w:firstLine="420" w:firstLineChars="200"/>
        <w:rPr>
          <w:rFonts w:ascii="宋体" w:hAnsi="宋体" w:cs="宋体"/>
          <w:szCs w:val="21"/>
          <w:highlight w:val="none"/>
        </w:rPr>
      </w:pPr>
      <w:r>
        <w:rPr>
          <w:rFonts w:hint="eastAsia" w:ascii="宋体" w:hAnsi="宋体" w:cs="宋体"/>
          <w:szCs w:val="21"/>
          <w:highlight w:val="none"/>
        </w:rPr>
        <w:t>2.4.2 提供施工条件</w:t>
      </w:r>
    </w:p>
    <w:p w14:paraId="2435C55E">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除专用合同条款另有约定外，发包人应负责提供施工所需要的条件，包括：</w:t>
      </w:r>
    </w:p>
    <w:p w14:paraId="51163B52">
      <w:pPr>
        <w:spacing w:line="360" w:lineRule="auto"/>
        <w:ind w:firstLine="420" w:firstLineChars="200"/>
        <w:rPr>
          <w:rFonts w:ascii="宋体" w:hAnsi="宋体" w:cs="宋体"/>
          <w:szCs w:val="21"/>
          <w:highlight w:val="none"/>
        </w:rPr>
      </w:pPr>
      <w:r>
        <w:rPr>
          <w:rFonts w:hint="eastAsia" w:ascii="宋体" w:hAnsi="宋体" w:cs="宋体"/>
          <w:szCs w:val="21"/>
          <w:highlight w:val="none"/>
        </w:rPr>
        <w:t>（1）将施工用水、电力、通讯线路等施工所必需的条件接至施工现场内；</w:t>
      </w:r>
    </w:p>
    <w:p w14:paraId="62E2F895">
      <w:pPr>
        <w:spacing w:line="360" w:lineRule="auto"/>
        <w:ind w:firstLine="420" w:firstLineChars="200"/>
        <w:rPr>
          <w:rFonts w:ascii="宋体" w:hAnsi="宋体" w:cs="宋体"/>
          <w:szCs w:val="21"/>
          <w:highlight w:val="none"/>
        </w:rPr>
      </w:pPr>
      <w:r>
        <w:rPr>
          <w:rFonts w:hint="eastAsia" w:ascii="宋体" w:hAnsi="宋体" w:cs="宋体"/>
          <w:szCs w:val="21"/>
          <w:highlight w:val="none"/>
        </w:rPr>
        <w:t>（2）保证向承包人提供正常施工所需要的进入施工现场的交通条件；</w:t>
      </w:r>
    </w:p>
    <w:p w14:paraId="51962518">
      <w:pPr>
        <w:spacing w:line="360" w:lineRule="auto"/>
        <w:ind w:firstLine="420" w:firstLineChars="200"/>
        <w:rPr>
          <w:rFonts w:ascii="宋体" w:hAnsi="宋体" w:cs="宋体"/>
          <w:szCs w:val="21"/>
          <w:highlight w:val="none"/>
        </w:rPr>
      </w:pPr>
      <w:r>
        <w:rPr>
          <w:rFonts w:hint="eastAsia" w:ascii="宋体" w:hAnsi="宋体" w:cs="宋体"/>
          <w:szCs w:val="21"/>
          <w:highlight w:val="none"/>
        </w:rPr>
        <w:t>（3）协调处理施工现场周围地下管线和邻近建筑物、构筑物、古树名木的保护工作，并承担相关费用；</w:t>
      </w:r>
    </w:p>
    <w:p w14:paraId="0E346BEC">
      <w:pPr>
        <w:spacing w:line="360" w:lineRule="auto"/>
        <w:ind w:firstLine="420" w:firstLineChars="200"/>
        <w:rPr>
          <w:rFonts w:ascii="宋体" w:hAnsi="宋体" w:cs="宋体"/>
          <w:szCs w:val="21"/>
          <w:highlight w:val="none"/>
        </w:rPr>
      </w:pPr>
      <w:r>
        <w:rPr>
          <w:rFonts w:hint="eastAsia" w:ascii="宋体" w:hAnsi="宋体" w:cs="宋体"/>
          <w:szCs w:val="21"/>
          <w:highlight w:val="none"/>
        </w:rPr>
        <w:t>（4）按照专用合同条款约定应提供的其他设施和条件。</w:t>
      </w:r>
    </w:p>
    <w:p w14:paraId="5CD935A4">
      <w:pPr>
        <w:spacing w:line="360" w:lineRule="auto"/>
        <w:ind w:firstLine="420" w:firstLineChars="200"/>
        <w:rPr>
          <w:rFonts w:ascii="宋体" w:hAnsi="宋体" w:cs="宋体"/>
          <w:szCs w:val="21"/>
          <w:highlight w:val="none"/>
        </w:rPr>
      </w:pPr>
      <w:r>
        <w:rPr>
          <w:rFonts w:hint="eastAsia" w:ascii="宋体" w:hAnsi="宋体" w:cs="宋体"/>
          <w:szCs w:val="21"/>
          <w:highlight w:val="none"/>
        </w:rPr>
        <w:t>2.4.3 提供基础资料</w:t>
      </w:r>
    </w:p>
    <w:p w14:paraId="6640D186">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F01FDA9">
      <w:pPr>
        <w:spacing w:line="360" w:lineRule="auto"/>
        <w:ind w:firstLine="420" w:firstLineChars="200"/>
        <w:rPr>
          <w:rFonts w:ascii="宋体" w:hAnsi="宋体" w:cs="宋体"/>
          <w:szCs w:val="21"/>
          <w:highlight w:val="none"/>
        </w:rPr>
      </w:pPr>
      <w:r>
        <w:rPr>
          <w:rFonts w:hint="eastAsia" w:ascii="宋体" w:hAnsi="宋体" w:cs="宋体"/>
          <w:szCs w:val="21"/>
          <w:highlight w:val="none"/>
        </w:rPr>
        <w:t>按照法律规定确需在开工后方能提供的基础资料，发包人应尽其努力及时地在相应工程施工前的合理期限内提供，合理期限应以不影响承包人的正常施工为限。</w:t>
      </w:r>
    </w:p>
    <w:p w14:paraId="3D37DA74">
      <w:pPr>
        <w:spacing w:line="360" w:lineRule="auto"/>
        <w:ind w:firstLine="420" w:firstLineChars="200"/>
        <w:rPr>
          <w:rFonts w:ascii="宋体" w:hAnsi="宋体" w:cs="宋体"/>
          <w:szCs w:val="21"/>
          <w:highlight w:val="none"/>
        </w:rPr>
      </w:pPr>
      <w:r>
        <w:rPr>
          <w:rFonts w:hint="eastAsia" w:ascii="宋体" w:hAnsi="宋体" w:cs="宋体"/>
          <w:szCs w:val="21"/>
          <w:highlight w:val="none"/>
        </w:rPr>
        <w:t>2.4.4 逾期提供的责任</w:t>
      </w:r>
    </w:p>
    <w:p w14:paraId="11F47225">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因发包人原因未能按合同约定及时向承包人提供施工现场、施工条件、基础资料的，由发包人承担由此增加延误的工期。</w:t>
      </w:r>
    </w:p>
    <w:p w14:paraId="292D74C4">
      <w:pPr>
        <w:spacing w:line="360" w:lineRule="auto"/>
        <w:ind w:firstLine="420" w:firstLineChars="200"/>
        <w:rPr>
          <w:rFonts w:ascii="宋体" w:hAnsi="宋体" w:cs="宋体"/>
          <w:szCs w:val="21"/>
          <w:highlight w:val="none"/>
        </w:rPr>
      </w:pPr>
      <w:bookmarkStart w:id="102" w:name="_Toc351203514"/>
      <w:r>
        <w:rPr>
          <w:rFonts w:hint="eastAsia" w:ascii="宋体" w:hAnsi="宋体" w:cs="宋体"/>
          <w:szCs w:val="21"/>
          <w:highlight w:val="none"/>
        </w:rPr>
        <w:t>2</w:t>
      </w:r>
      <w:bookmarkStart w:id="103" w:name="_Toc296346543"/>
      <w:bookmarkStart w:id="104" w:name="_Toc337558745"/>
      <w:bookmarkStart w:id="105" w:name="_Toc296503042"/>
      <w:r>
        <w:rPr>
          <w:rFonts w:hint="eastAsia" w:ascii="宋体" w:hAnsi="宋体" w:cs="宋体"/>
          <w:szCs w:val="21"/>
          <w:highlight w:val="none"/>
        </w:rPr>
        <w:t>.5 资</w:t>
      </w:r>
      <w:bookmarkEnd w:id="103"/>
      <w:bookmarkEnd w:id="104"/>
      <w:bookmarkEnd w:id="105"/>
      <w:r>
        <w:rPr>
          <w:rFonts w:hint="eastAsia" w:ascii="宋体" w:hAnsi="宋体" w:cs="宋体"/>
          <w:szCs w:val="21"/>
          <w:highlight w:val="none"/>
        </w:rPr>
        <w:t>金来源证明及支付担保</w:t>
      </w:r>
      <w:bookmarkEnd w:id="102"/>
    </w:p>
    <w:p w14:paraId="14187622">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除专用合同条款另有约定外，发包人应在收到承包人要求提供资金来源证明的书面通知后28天内，向承包人提供能够按照合同约定支付合同价款的相应资金来源证明。</w:t>
      </w:r>
    </w:p>
    <w:p w14:paraId="555CFB3C">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A508B68">
      <w:pPr>
        <w:spacing w:line="360" w:lineRule="auto"/>
        <w:ind w:firstLine="420" w:firstLineChars="200"/>
        <w:rPr>
          <w:rFonts w:ascii="宋体" w:hAnsi="宋体" w:cs="宋体"/>
          <w:szCs w:val="21"/>
          <w:highlight w:val="none"/>
        </w:rPr>
      </w:pPr>
      <w:bookmarkStart w:id="106" w:name="_Toc351203515"/>
      <w:r>
        <w:rPr>
          <w:rFonts w:hint="eastAsia" w:ascii="宋体" w:hAnsi="宋体" w:cs="宋体"/>
          <w:szCs w:val="21"/>
          <w:highlight w:val="none"/>
        </w:rPr>
        <w:t>2.6 支付合同价款</w:t>
      </w:r>
      <w:bookmarkEnd w:id="106"/>
    </w:p>
    <w:p w14:paraId="3B62D43F">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发包人应按合同约定向承包人及时支付合同价款。</w:t>
      </w:r>
    </w:p>
    <w:p w14:paraId="4148B467">
      <w:pPr>
        <w:spacing w:line="360" w:lineRule="auto"/>
        <w:ind w:firstLine="420" w:firstLineChars="200"/>
        <w:rPr>
          <w:rFonts w:ascii="宋体" w:hAnsi="宋体" w:cs="宋体"/>
          <w:szCs w:val="21"/>
          <w:highlight w:val="none"/>
        </w:rPr>
      </w:pPr>
      <w:bookmarkStart w:id="107" w:name="_Toc351203516"/>
      <w:r>
        <w:rPr>
          <w:rFonts w:hint="eastAsia" w:ascii="宋体" w:hAnsi="宋体" w:cs="宋体"/>
          <w:szCs w:val="21"/>
          <w:highlight w:val="none"/>
        </w:rPr>
        <w:t>2.7 组织竣工验收</w:t>
      </w:r>
      <w:bookmarkEnd w:id="107"/>
    </w:p>
    <w:p w14:paraId="06B0CFF3">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发包人应按合同约定及时组织竣工验收。</w:t>
      </w:r>
    </w:p>
    <w:p w14:paraId="1DADAE25">
      <w:pPr>
        <w:spacing w:line="360" w:lineRule="auto"/>
        <w:ind w:firstLine="420" w:firstLineChars="200"/>
        <w:rPr>
          <w:rFonts w:ascii="宋体" w:hAnsi="宋体" w:cs="宋体"/>
          <w:szCs w:val="21"/>
          <w:highlight w:val="none"/>
        </w:rPr>
      </w:pPr>
      <w:bookmarkStart w:id="108" w:name="_Toc351203517"/>
      <w:r>
        <w:rPr>
          <w:rFonts w:hint="eastAsia" w:ascii="宋体" w:hAnsi="宋体" w:cs="宋体"/>
          <w:szCs w:val="21"/>
          <w:highlight w:val="none"/>
        </w:rPr>
        <w:t>2.8 现场统一管理协议</w:t>
      </w:r>
      <w:bookmarkEnd w:id="108"/>
    </w:p>
    <w:p w14:paraId="5841BF87">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发包人应与承包人、由发包人直接发包的专业工程的承包人签订施工现场统一管理协议，明确各方的权利义务。施工现场统一管理协议作为专用合同条款的附件。</w:t>
      </w:r>
    </w:p>
    <w:p w14:paraId="6E91D097">
      <w:pPr>
        <w:spacing w:line="360" w:lineRule="auto"/>
        <w:ind w:firstLine="420" w:firstLineChars="200"/>
        <w:rPr>
          <w:rFonts w:ascii="宋体" w:hAnsi="宋体" w:cs="宋体"/>
          <w:szCs w:val="21"/>
          <w:highlight w:val="none"/>
        </w:rPr>
      </w:pPr>
      <w:bookmarkStart w:id="109" w:name="_Toc351203518"/>
      <w:r>
        <w:rPr>
          <w:rFonts w:hint="eastAsia" w:ascii="宋体" w:hAnsi="宋体" w:cs="宋体"/>
          <w:szCs w:val="21"/>
          <w:highlight w:val="none"/>
        </w:rPr>
        <w:t>3</w:t>
      </w:r>
      <w:bookmarkStart w:id="110" w:name="_Toc337558746"/>
      <w:bookmarkStart w:id="111" w:name="_Toc296503045"/>
      <w:bookmarkStart w:id="112" w:name="_Toc296346546"/>
      <w:r>
        <w:rPr>
          <w:rFonts w:hint="eastAsia" w:ascii="宋体" w:hAnsi="宋体" w:cs="宋体"/>
          <w:szCs w:val="21"/>
          <w:highlight w:val="none"/>
        </w:rPr>
        <w:t>. 承包人</w:t>
      </w:r>
      <w:bookmarkEnd w:id="109"/>
    </w:p>
    <w:bookmarkEnd w:id="110"/>
    <w:bookmarkEnd w:id="111"/>
    <w:bookmarkEnd w:id="112"/>
    <w:p w14:paraId="44C76DBE">
      <w:pPr>
        <w:spacing w:line="360" w:lineRule="auto"/>
        <w:ind w:firstLine="420" w:firstLineChars="200"/>
        <w:rPr>
          <w:rFonts w:ascii="宋体" w:hAnsi="宋体" w:cs="宋体"/>
          <w:szCs w:val="21"/>
          <w:highlight w:val="none"/>
        </w:rPr>
      </w:pPr>
      <w:bookmarkStart w:id="113" w:name="_Toc351203519"/>
      <w:r>
        <w:rPr>
          <w:rFonts w:hint="eastAsia" w:ascii="宋体" w:hAnsi="宋体" w:cs="宋体"/>
          <w:szCs w:val="21"/>
          <w:highlight w:val="none"/>
        </w:rPr>
        <w:t>3</w:t>
      </w:r>
      <w:bookmarkStart w:id="114" w:name="_Toc337558747"/>
      <w:bookmarkStart w:id="115" w:name="_Toc296346547"/>
      <w:bookmarkStart w:id="116" w:name="_Toc296503046"/>
      <w:r>
        <w:rPr>
          <w:rFonts w:hint="eastAsia" w:ascii="宋体" w:hAnsi="宋体" w:cs="宋体"/>
          <w:szCs w:val="21"/>
          <w:highlight w:val="none"/>
        </w:rPr>
        <w:t>.1 承包人的一般义务</w:t>
      </w:r>
      <w:bookmarkEnd w:id="113"/>
    </w:p>
    <w:bookmarkEnd w:id="114"/>
    <w:bookmarkEnd w:id="115"/>
    <w:bookmarkEnd w:id="116"/>
    <w:p w14:paraId="370D1411">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承包人在履行合同过程中应遵守法律和工程建设标准规范，并履行以下义务：</w:t>
      </w:r>
    </w:p>
    <w:p w14:paraId="5031CF51">
      <w:pPr>
        <w:spacing w:line="360" w:lineRule="auto"/>
        <w:ind w:firstLine="420" w:firstLineChars="200"/>
        <w:rPr>
          <w:rFonts w:ascii="宋体" w:hAnsi="宋体" w:cs="宋体"/>
          <w:szCs w:val="21"/>
          <w:highlight w:val="none"/>
        </w:rPr>
      </w:pPr>
      <w:r>
        <w:rPr>
          <w:rFonts w:hint="eastAsia" w:ascii="宋体" w:hAnsi="宋体" w:cs="宋体"/>
          <w:szCs w:val="21"/>
          <w:highlight w:val="none"/>
        </w:rPr>
        <w:t>办理法律规定应由承包人办理的许可和批准，并将办理结果书面报送发包人留存；</w:t>
      </w:r>
    </w:p>
    <w:p w14:paraId="5632D943">
      <w:pPr>
        <w:spacing w:line="360" w:lineRule="auto"/>
        <w:ind w:firstLine="420" w:firstLineChars="200"/>
        <w:rPr>
          <w:rFonts w:ascii="宋体" w:hAnsi="宋体" w:cs="宋体"/>
          <w:szCs w:val="21"/>
          <w:highlight w:val="none"/>
        </w:rPr>
      </w:pPr>
      <w:r>
        <w:rPr>
          <w:rFonts w:hint="eastAsia" w:ascii="宋体" w:hAnsi="宋体" w:cs="宋体"/>
          <w:szCs w:val="21"/>
          <w:highlight w:val="none"/>
        </w:rPr>
        <w:t>（2）按法律规定和合同约定完成工程，并在保修期内承担保修义务；</w:t>
      </w:r>
    </w:p>
    <w:p w14:paraId="1DC6608A">
      <w:pPr>
        <w:spacing w:line="360" w:lineRule="auto"/>
        <w:ind w:firstLine="420" w:firstLineChars="200"/>
        <w:rPr>
          <w:rFonts w:ascii="宋体" w:hAnsi="宋体" w:cs="宋体"/>
          <w:szCs w:val="21"/>
          <w:highlight w:val="none"/>
        </w:rPr>
      </w:pPr>
      <w:r>
        <w:rPr>
          <w:rFonts w:hint="eastAsia" w:ascii="宋体" w:hAnsi="宋体" w:cs="宋体"/>
          <w:szCs w:val="21"/>
          <w:highlight w:val="none"/>
        </w:rPr>
        <w:t>（3）按法律规定和合同约定采取施工安全和环境保护措施，办理工伤保险，确保工程及人员、材料、设备和设施的安全；</w:t>
      </w:r>
    </w:p>
    <w:p w14:paraId="588D6AB3">
      <w:pPr>
        <w:spacing w:line="360" w:lineRule="auto"/>
        <w:ind w:firstLine="420" w:firstLineChars="200"/>
        <w:rPr>
          <w:rFonts w:ascii="宋体" w:hAnsi="宋体" w:cs="宋体"/>
          <w:szCs w:val="21"/>
          <w:highlight w:val="none"/>
        </w:rPr>
      </w:pPr>
      <w:r>
        <w:rPr>
          <w:rFonts w:hint="eastAsia" w:ascii="宋体" w:hAnsi="宋体" w:cs="宋体"/>
          <w:szCs w:val="21"/>
          <w:highlight w:val="none"/>
        </w:rPr>
        <w:t>（4）按合同约定的工作内容和施工进度要求，编制施工组织设计和施工措施计划，并对所有施工作业和施工方法的完备性和安全可靠性负责；</w:t>
      </w:r>
    </w:p>
    <w:p w14:paraId="444A0F24">
      <w:pPr>
        <w:spacing w:line="360" w:lineRule="auto"/>
        <w:ind w:firstLine="420" w:firstLineChars="200"/>
        <w:rPr>
          <w:rFonts w:ascii="宋体" w:hAnsi="宋体" w:cs="宋体"/>
          <w:szCs w:val="21"/>
          <w:highlight w:val="none"/>
        </w:rPr>
      </w:pPr>
      <w:r>
        <w:rPr>
          <w:rFonts w:hint="eastAsia" w:ascii="宋体" w:hAnsi="宋体" w:cs="宋体"/>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78C6BB7">
      <w:pPr>
        <w:spacing w:line="360" w:lineRule="auto"/>
        <w:ind w:firstLine="420" w:firstLineChars="200"/>
        <w:rPr>
          <w:rFonts w:ascii="宋体" w:hAnsi="宋体" w:cs="宋体"/>
          <w:szCs w:val="21"/>
          <w:highlight w:val="none"/>
        </w:rPr>
      </w:pPr>
      <w:r>
        <w:rPr>
          <w:rFonts w:hint="eastAsia" w:ascii="宋体" w:hAnsi="宋体" w:cs="宋体"/>
          <w:szCs w:val="21"/>
          <w:highlight w:val="none"/>
        </w:rPr>
        <w:t>（6）按照第6.3款〔环境保护〕约定负责施工场地及其周边环境与生态的保护工作；</w:t>
      </w:r>
    </w:p>
    <w:p w14:paraId="7C616FA4">
      <w:pPr>
        <w:spacing w:line="360" w:lineRule="auto"/>
        <w:ind w:firstLine="420" w:firstLineChars="200"/>
        <w:rPr>
          <w:rFonts w:ascii="宋体" w:hAnsi="宋体" w:cs="宋体"/>
          <w:szCs w:val="21"/>
          <w:highlight w:val="none"/>
        </w:rPr>
      </w:pPr>
      <w:r>
        <w:rPr>
          <w:rFonts w:hint="eastAsia" w:ascii="宋体" w:hAnsi="宋体" w:cs="宋体"/>
          <w:szCs w:val="21"/>
          <w:highlight w:val="none"/>
        </w:rPr>
        <w:t>（7）按第6.1款〔安全文明施工〕约定采取施工安全措施，确保工程及其人员、材料、设备和设施的安全，防止因工程施工造成的人身伤害和财产损失；</w:t>
      </w:r>
    </w:p>
    <w:p w14:paraId="586D0583">
      <w:pPr>
        <w:spacing w:line="360" w:lineRule="auto"/>
        <w:ind w:firstLine="420" w:firstLineChars="200"/>
        <w:rPr>
          <w:rFonts w:ascii="宋体" w:hAnsi="宋体" w:cs="宋体"/>
          <w:szCs w:val="21"/>
          <w:highlight w:val="none"/>
        </w:rPr>
      </w:pPr>
      <w:r>
        <w:rPr>
          <w:rFonts w:hint="eastAsia" w:ascii="宋体" w:hAnsi="宋体" w:cs="宋体"/>
          <w:szCs w:val="21"/>
          <w:highlight w:val="none"/>
        </w:rPr>
        <w:t>（8）将发包人按合同约定支付的各项价款专用于合同工程，且应及时支付其雇用人员工资，并及时向分包人支付合同价款；</w:t>
      </w:r>
    </w:p>
    <w:p w14:paraId="56E6C53B">
      <w:pPr>
        <w:spacing w:line="360" w:lineRule="auto"/>
        <w:ind w:firstLine="420" w:firstLineChars="200"/>
        <w:rPr>
          <w:rFonts w:ascii="宋体" w:hAnsi="宋体" w:cs="宋体"/>
          <w:szCs w:val="21"/>
          <w:highlight w:val="none"/>
        </w:rPr>
      </w:pPr>
      <w:r>
        <w:rPr>
          <w:rFonts w:hint="eastAsia" w:ascii="宋体" w:hAnsi="宋体" w:cs="宋体"/>
          <w:szCs w:val="21"/>
          <w:highlight w:val="none"/>
        </w:rPr>
        <w:t>（9）按照法律规定和合同约定编制竣工资料，完成竣工资料立卷及归档，并按专用合同条款约定的竣工资料的套数、内容、时间等要求移交发包人；</w:t>
      </w:r>
    </w:p>
    <w:p w14:paraId="1E519A20">
      <w:pPr>
        <w:spacing w:line="360" w:lineRule="auto"/>
        <w:ind w:firstLine="420" w:firstLineChars="200"/>
        <w:rPr>
          <w:rFonts w:ascii="宋体" w:hAnsi="宋体" w:cs="宋体"/>
          <w:szCs w:val="21"/>
          <w:highlight w:val="none"/>
        </w:rPr>
      </w:pPr>
      <w:r>
        <w:rPr>
          <w:rFonts w:hint="eastAsia" w:ascii="宋体" w:hAnsi="宋体" w:cs="宋体"/>
          <w:szCs w:val="21"/>
          <w:highlight w:val="none"/>
        </w:rPr>
        <w:t>（10）应履行的其他义务。</w:t>
      </w:r>
    </w:p>
    <w:p w14:paraId="12846DFC">
      <w:pPr>
        <w:spacing w:line="360" w:lineRule="auto"/>
        <w:ind w:firstLine="420" w:firstLineChars="200"/>
        <w:rPr>
          <w:rFonts w:ascii="宋体" w:hAnsi="宋体" w:cs="宋体"/>
          <w:szCs w:val="21"/>
          <w:highlight w:val="none"/>
        </w:rPr>
      </w:pPr>
      <w:bookmarkStart w:id="117" w:name="_Toc351203520"/>
      <w:r>
        <w:rPr>
          <w:rFonts w:hint="eastAsia" w:ascii="宋体" w:hAnsi="宋体" w:cs="宋体"/>
          <w:szCs w:val="21"/>
          <w:highlight w:val="none"/>
        </w:rPr>
        <w:t>3</w:t>
      </w:r>
      <w:bookmarkStart w:id="118" w:name="_Toc337558748"/>
      <w:bookmarkStart w:id="119" w:name="_Toc296503047"/>
      <w:bookmarkStart w:id="120" w:name="_Toc296346548"/>
      <w:r>
        <w:rPr>
          <w:rFonts w:hint="eastAsia" w:ascii="宋体" w:hAnsi="宋体" w:cs="宋体"/>
          <w:szCs w:val="21"/>
          <w:highlight w:val="none"/>
        </w:rPr>
        <w:t xml:space="preserve">.2 </w:t>
      </w:r>
      <w:bookmarkEnd w:id="117"/>
      <w:r>
        <w:rPr>
          <w:rFonts w:hint="eastAsia" w:ascii="宋体" w:hAnsi="宋体" w:cs="宋体"/>
          <w:szCs w:val="21"/>
          <w:highlight w:val="none"/>
        </w:rPr>
        <w:t>项目经理</w:t>
      </w:r>
    </w:p>
    <w:bookmarkEnd w:id="118"/>
    <w:bookmarkEnd w:id="119"/>
    <w:bookmarkEnd w:id="120"/>
    <w:p w14:paraId="6DCF4756">
      <w:pPr>
        <w:spacing w:line="360" w:lineRule="auto"/>
        <w:ind w:firstLine="420" w:firstLineChars="200"/>
        <w:rPr>
          <w:rFonts w:ascii="宋体" w:hAnsi="宋体" w:cs="宋体"/>
          <w:szCs w:val="21"/>
          <w:highlight w:val="none"/>
        </w:rPr>
      </w:pPr>
      <w:r>
        <w:rPr>
          <w:rFonts w:hint="eastAsia" w:ascii="宋体" w:hAnsi="宋体" w:cs="宋体"/>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5B3F5DC">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E7905D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承包人违反上述约定的，应按照专用合同条款的约定，承担违约责任。</w:t>
      </w:r>
    </w:p>
    <w:p w14:paraId="794E9555">
      <w:pPr>
        <w:spacing w:line="360" w:lineRule="auto"/>
        <w:ind w:firstLine="420" w:firstLineChars="200"/>
        <w:rPr>
          <w:rFonts w:ascii="宋体" w:hAnsi="宋体" w:cs="宋体"/>
          <w:szCs w:val="21"/>
          <w:highlight w:val="none"/>
        </w:rPr>
      </w:pPr>
      <w:r>
        <w:rPr>
          <w:rFonts w:hint="eastAsia" w:ascii="宋体" w:hAnsi="宋体" w:cs="宋体"/>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1C55BAF">
      <w:pPr>
        <w:spacing w:line="360" w:lineRule="auto"/>
        <w:ind w:firstLine="420" w:firstLineChars="200"/>
        <w:rPr>
          <w:rFonts w:ascii="宋体" w:hAnsi="宋体" w:cs="宋体"/>
          <w:szCs w:val="21"/>
          <w:highlight w:val="none"/>
        </w:rPr>
      </w:pPr>
      <w:r>
        <w:rPr>
          <w:rFonts w:hint="eastAsia" w:ascii="宋体" w:hAnsi="宋体" w:cs="宋体"/>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6C7329F">
      <w:pPr>
        <w:spacing w:line="360" w:lineRule="auto"/>
        <w:ind w:firstLine="420" w:firstLineChars="200"/>
        <w:rPr>
          <w:rFonts w:ascii="宋体" w:hAnsi="宋体" w:cs="宋体"/>
          <w:szCs w:val="21"/>
          <w:highlight w:val="none"/>
        </w:rPr>
      </w:pPr>
      <w:r>
        <w:rPr>
          <w:rFonts w:hint="eastAsia" w:ascii="宋体" w:hAnsi="宋体" w:cs="宋体"/>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70D2183">
      <w:pPr>
        <w:spacing w:line="360" w:lineRule="auto"/>
        <w:ind w:firstLine="420" w:firstLineChars="200"/>
        <w:rPr>
          <w:rFonts w:ascii="宋体" w:hAnsi="宋体" w:cs="宋体"/>
          <w:szCs w:val="21"/>
          <w:highlight w:val="none"/>
        </w:rPr>
      </w:pPr>
      <w:r>
        <w:rPr>
          <w:rFonts w:hint="eastAsia" w:ascii="宋体" w:hAnsi="宋体" w:cs="宋体"/>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41CA6A90">
      <w:pPr>
        <w:spacing w:line="360" w:lineRule="auto"/>
        <w:ind w:firstLine="420" w:firstLineChars="200"/>
        <w:rPr>
          <w:rFonts w:ascii="宋体" w:hAnsi="宋体" w:cs="宋体"/>
          <w:szCs w:val="21"/>
          <w:highlight w:val="none"/>
        </w:rPr>
      </w:pPr>
      <w:bookmarkStart w:id="121" w:name="_Toc351203521"/>
      <w:r>
        <w:rPr>
          <w:rFonts w:hint="eastAsia" w:ascii="宋体" w:hAnsi="宋体" w:cs="宋体"/>
          <w:szCs w:val="21"/>
          <w:highlight w:val="none"/>
        </w:rPr>
        <w:t>3</w:t>
      </w:r>
      <w:bookmarkStart w:id="122" w:name="_Toc296346549"/>
      <w:bookmarkStart w:id="123" w:name="_Toc296503048"/>
      <w:bookmarkStart w:id="124" w:name="_Toc337558749"/>
      <w:r>
        <w:rPr>
          <w:rFonts w:hint="eastAsia" w:ascii="宋体" w:hAnsi="宋体" w:cs="宋体"/>
          <w:szCs w:val="21"/>
          <w:highlight w:val="none"/>
        </w:rPr>
        <w:t xml:space="preserve">.3 </w:t>
      </w:r>
      <w:bookmarkEnd w:id="122"/>
      <w:bookmarkEnd w:id="123"/>
      <w:r>
        <w:rPr>
          <w:rFonts w:hint="eastAsia" w:ascii="宋体" w:hAnsi="宋体" w:cs="宋体"/>
          <w:szCs w:val="21"/>
          <w:highlight w:val="none"/>
        </w:rPr>
        <w:t>承包人人员</w:t>
      </w:r>
      <w:bookmarkEnd w:id="121"/>
    </w:p>
    <w:bookmarkEnd w:id="124"/>
    <w:p w14:paraId="0B0F5405">
      <w:pPr>
        <w:spacing w:line="360" w:lineRule="auto"/>
        <w:ind w:firstLine="420" w:firstLineChars="200"/>
        <w:rPr>
          <w:rFonts w:ascii="宋体" w:hAnsi="宋体" w:cs="宋体"/>
          <w:szCs w:val="21"/>
          <w:highlight w:val="none"/>
        </w:rPr>
      </w:pPr>
      <w:r>
        <w:rPr>
          <w:rFonts w:hint="eastAsia" w:ascii="宋体" w:hAnsi="宋体" w:cs="宋体"/>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59F7F93">
      <w:pPr>
        <w:spacing w:line="360" w:lineRule="auto"/>
        <w:ind w:firstLine="420" w:firstLineChars="200"/>
        <w:rPr>
          <w:rFonts w:ascii="宋体" w:hAnsi="宋体" w:cs="宋体"/>
          <w:szCs w:val="21"/>
          <w:highlight w:val="none"/>
        </w:rPr>
      </w:pPr>
      <w:r>
        <w:rPr>
          <w:rFonts w:hint="eastAsia" w:ascii="宋体" w:hAnsi="宋体" w:cs="宋体"/>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FC5FF8C">
      <w:pPr>
        <w:spacing w:line="360" w:lineRule="auto"/>
        <w:ind w:firstLine="420" w:firstLineChars="200"/>
        <w:rPr>
          <w:rFonts w:ascii="宋体" w:hAnsi="宋体" w:cs="宋体"/>
          <w:szCs w:val="21"/>
          <w:highlight w:val="none"/>
        </w:rPr>
      </w:pPr>
      <w:r>
        <w:rPr>
          <w:rFonts w:hint="eastAsia" w:ascii="宋体" w:hAnsi="宋体" w:cs="宋体"/>
          <w:szCs w:val="21"/>
          <w:highlight w:val="none"/>
        </w:rPr>
        <w:t>特殊工种作业人员均应持有相应的资格证明，监理人可以随时检查。</w:t>
      </w:r>
    </w:p>
    <w:p w14:paraId="03690BFE">
      <w:pPr>
        <w:spacing w:line="360" w:lineRule="auto"/>
        <w:ind w:firstLine="420" w:firstLineChars="200"/>
        <w:rPr>
          <w:rFonts w:ascii="宋体" w:hAnsi="宋体" w:cs="宋体"/>
          <w:szCs w:val="21"/>
          <w:highlight w:val="none"/>
        </w:rPr>
      </w:pPr>
      <w:r>
        <w:rPr>
          <w:rFonts w:hint="eastAsia" w:ascii="宋体" w:hAnsi="宋体" w:cs="宋体"/>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5E0A423">
      <w:pPr>
        <w:spacing w:line="360" w:lineRule="auto"/>
        <w:ind w:firstLine="420" w:firstLineChars="200"/>
        <w:rPr>
          <w:rFonts w:ascii="宋体" w:hAnsi="宋体" w:cs="宋体"/>
          <w:szCs w:val="21"/>
          <w:highlight w:val="none"/>
        </w:rPr>
      </w:pPr>
      <w:r>
        <w:rPr>
          <w:rFonts w:hint="eastAsia" w:ascii="宋体" w:hAnsi="宋体" w:cs="宋体"/>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21A5300">
      <w:pPr>
        <w:spacing w:line="360" w:lineRule="auto"/>
        <w:ind w:firstLine="420" w:firstLineChars="200"/>
        <w:rPr>
          <w:rFonts w:ascii="宋体" w:hAnsi="宋体" w:cs="宋体"/>
          <w:szCs w:val="21"/>
          <w:highlight w:val="none"/>
        </w:rPr>
      </w:pPr>
      <w:r>
        <w:rPr>
          <w:rFonts w:hint="eastAsia" w:ascii="宋体" w:hAnsi="宋体" w:cs="宋体"/>
          <w:szCs w:val="21"/>
          <w:highlight w:val="none"/>
        </w:rPr>
        <w:t>3.3.5 承包人擅自更换主要施工管理人员，或前述人员未经监理人或发包人同意擅自离开施工现场的，应按照专用合同条款约定承担违约责任。</w:t>
      </w:r>
    </w:p>
    <w:p w14:paraId="4F4AB533">
      <w:pPr>
        <w:spacing w:line="360" w:lineRule="auto"/>
        <w:ind w:firstLine="420" w:firstLineChars="200"/>
        <w:rPr>
          <w:rFonts w:ascii="宋体" w:hAnsi="宋体" w:cs="宋体"/>
          <w:szCs w:val="21"/>
          <w:highlight w:val="none"/>
        </w:rPr>
      </w:pPr>
      <w:bookmarkStart w:id="125" w:name="_Toc351203522"/>
      <w:r>
        <w:rPr>
          <w:rFonts w:hint="eastAsia" w:ascii="宋体" w:hAnsi="宋体" w:cs="宋体"/>
          <w:szCs w:val="21"/>
          <w:highlight w:val="none"/>
        </w:rPr>
        <w:t>3</w:t>
      </w:r>
      <w:bookmarkStart w:id="126" w:name="_Toc337558750"/>
      <w:bookmarkStart w:id="127" w:name="_Toc296346551"/>
      <w:bookmarkStart w:id="128" w:name="_Toc296503050"/>
      <w:r>
        <w:rPr>
          <w:rFonts w:hint="eastAsia" w:ascii="宋体" w:hAnsi="宋体" w:cs="宋体"/>
          <w:szCs w:val="21"/>
          <w:highlight w:val="none"/>
        </w:rPr>
        <w:t>.4 承包人现场查勘</w:t>
      </w:r>
      <w:bookmarkEnd w:id="125"/>
    </w:p>
    <w:bookmarkEnd w:id="126"/>
    <w:bookmarkEnd w:id="127"/>
    <w:bookmarkEnd w:id="128"/>
    <w:p w14:paraId="7119CB6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承包人应对基于发包人按照第2.4.3项〔提供基础资料〕提交的基础资料所做出的解释和推断负责，但因基础资料存在错误、遗漏导致承包人解释或推断失实的，由发包人承担责任。</w:t>
      </w:r>
    </w:p>
    <w:p w14:paraId="51D35A9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延误的工期。</w:t>
      </w:r>
    </w:p>
    <w:p w14:paraId="1C253527">
      <w:pPr>
        <w:spacing w:line="360" w:lineRule="auto"/>
        <w:ind w:firstLine="420" w:firstLineChars="200"/>
        <w:rPr>
          <w:rFonts w:ascii="宋体" w:hAnsi="宋体" w:cs="宋体"/>
          <w:szCs w:val="21"/>
          <w:highlight w:val="none"/>
        </w:rPr>
      </w:pPr>
      <w:bookmarkStart w:id="129" w:name="_Toc351203523"/>
      <w:r>
        <w:rPr>
          <w:rFonts w:hint="eastAsia" w:ascii="宋体" w:hAnsi="宋体" w:cs="宋体"/>
          <w:szCs w:val="21"/>
          <w:highlight w:val="none"/>
        </w:rPr>
        <w:t>3</w:t>
      </w:r>
      <w:bookmarkStart w:id="130" w:name="_Toc296503051"/>
      <w:bookmarkStart w:id="131" w:name="_Toc337558751"/>
      <w:bookmarkStart w:id="132" w:name="_Toc296346552"/>
      <w:r>
        <w:rPr>
          <w:rFonts w:hint="eastAsia" w:ascii="宋体" w:hAnsi="宋体" w:cs="宋体"/>
          <w:szCs w:val="21"/>
          <w:highlight w:val="none"/>
        </w:rPr>
        <w:t>.5 分包</w:t>
      </w:r>
      <w:bookmarkEnd w:id="129"/>
    </w:p>
    <w:bookmarkEnd w:id="130"/>
    <w:bookmarkEnd w:id="131"/>
    <w:bookmarkEnd w:id="132"/>
    <w:p w14:paraId="6E331FD8">
      <w:pPr>
        <w:spacing w:line="360" w:lineRule="auto"/>
        <w:ind w:firstLine="420" w:firstLineChars="200"/>
        <w:rPr>
          <w:rFonts w:ascii="宋体" w:hAnsi="宋体" w:cs="宋体"/>
          <w:szCs w:val="21"/>
          <w:highlight w:val="none"/>
        </w:rPr>
      </w:pPr>
      <w:r>
        <w:rPr>
          <w:rFonts w:hint="eastAsia" w:ascii="宋体" w:hAnsi="宋体" w:cs="宋体"/>
          <w:szCs w:val="21"/>
          <w:highlight w:val="none"/>
        </w:rPr>
        <w:t>3.5.1 分包的一般约定</w:t>
      </w:r>
    </w:p>
    <w:p w14:paraId="7A5BDD8A">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2085FA7">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承包人不得以劳务分包的名义转包或违法分包工程。</w:t>
      </w:r>
    </w:p>
    <w:p w14:paraId="54E0054D">
      <w:pPr>
        <w:spacing w:line="360" w:lineRule="auto"/>
        <w:ind w:firstLine="420" w:firstLineChars="200"/>
        <w:rPr>
          <w:rFonts w:ascii="宋体" w:hAnsi="宋体" w:cs="宋体"/>
          <w:szCs w:val="21"/>
          <w:highlight w:val="none"/>
        </w:rPr>
      </w:pPr>
      <w:r>
        <w:rPr>
          <w:rFonts w:hint="eastAsia" w:ascii="宋体" w:hAnsi="宋体" w:cs="宋体"/>
          <w:szCs w:val="21"/>
          <w:highlight w:val="none"/>
        </w:rPr>
        <w:t>3.5.2 分包的确定</w:t>
      </w:r>
    </w:p>
    <w:p w14:paraId="48BF7D01">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56D83E1">
      <w:pPr>
        <w:spacing w:line="360" w:lineRule="auto"/>
        <w:ind w:firstLine="420" w:firstLineChars="200"/>
        <w:rPr>
          <w:rFonts w:ascii="宋体" w:hAnsi="宋体" w:cs="宋体"/>
          <w:szCs w:val="21"/>
          <w:highlight w:val="none"/>
        </w:rPr>
      </w:pPr>
      <w:r>
        <w:rPr>
          <w:rFonts w:hint="eastAsia" w:ascii="宋体" w:hAnsi="宋体" w:cs="宋体"/>
          <w:szCs w:val="21"/>
          <w:highlight w:val="none"/>
        </w:rPr>
        <w:t>3.5.3 分包管理</w:t>
      </w:r>
    </w:p>
    <w:p w14:paraId="73C3B5C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承包人应向监理人提交分包人的主要施工管理人员表，并对分包人的施工人员进行实名制管理，包括但不限于进出场管理、登记造册以及各种证照的办理。</w:t>
      </w:r>
    </w:p>
    <w:p w14:paraId="5D077A67">
      <w:pPr>
        <w:spacing w:line="360" w:lineRule="auto"/>
        <w:ind w:firstLine="420" w:firstLineChars="200"/>
        <w:rPr>
          <w:rFonts w:ascii="宋体" w:hAnsi="宋体" w:cs="宋体"/>
          <w:szCs w:val="21"/>
          <w:highlight w:val="none"/>
        </w:rPr>
      </w:pPr>
      <w:r>
        <w:rPr>
          <w:rFonts w:hint="eastAsia" w:ascii="宋体" w:hAnsi="宋体" w:cs="宋体"/>
          <w:szCs w:val="21"/>
          <w:highlight w:val="none"/>
        </w:rPr>
        <w:t>3.5.4 分包合同价款</w:t>
      </w:r>
    </w:p>
    <w:p w14:paraId="7B600FFC">
      <w:pPr>
        <w:spacing w:line="360" w:lineRule="auto"/>
        <w:ind w:firstLine="420" w:firstLineChars="200"/>
        <w:rPr>
          <w:rFonts w:ascii="宋体" w:hAnsi="宋体" w:cs="宋体"/>
          <w:szCs w:val="21"/>
          <w:highlight w:val="none"/>
        </w:rPr>
      </w:pPr>
      <w:r>
        <w:rPr>
          <w:rFonts w:hint="eastAsia" w:ascii="宋体" w:hAnsi="宋体" w:cs="宋体"/>
          <w:szCs w:val="21"/>
          <w:highlight w:val="none"/>
        </w:rPr>
        <w:t>（1）除本项第（2）目约定的情况或专用合同条款另有约定外，分包合同价款由承包人与分包人结算，未经承包人同意，发包人不得向分包人支付分包工程价款；</w:t>
      </w:r>
    </w:p>
    <w:p w14:paraId="0C0EB630">
      <w:pPr>
        <w:spacing w:line="360" w:lineRule="auto"/>
        <w:ind w:firstLine="420" w:firstLineChars="200"/>
        <w:rPr>
          <w:rFonts w:ascii="宋体" w:hAnsi="宋体" w:cs="宋体"/>
          <w:szCs w:val="21"/>
          <w:highlight w:val="none"/>
        </w:rPr>
      </w:pPr>
      <w:r>
        <w:rPr>
          <w:rFonts w:hint="eastAsia" w:ascii="宋体" w:hAnsi="宋体" w:cs="宋体"/>
          <w:szCs w:val="21"/>
          <w:highlight w:val="none"/>
        </w:rPr>
        <w:t>（2）生效法律文书要求发包人向分包人支付分包合同价款的，发包人有权从应付承包人工程款中扣除该部分款项。</w:t>
      </w:r>
    </w:p>
    <w:p w14:paraId="2EF3D007">
      <w:pPr>
        <w:spacing w:line="360" w:lineRule="auto"/>
        <w:ind w:firstLine="420" w:firstLineChars="200"/>
        <w:rPr>
          <w:rFonts w:ascii="宋体" w:hAnsi="宋体" w:cs="宋体"/>
          <w:szCs w:val="21"/>
          <w:highlight w:val="none"/>
        </w:rPr>
      </w:pPr>
      <w:r>
        <w:rPr>
          <w:rFonts w:hint="eastAsia" w:ascii="宋体" w:hAnsi="宋体" w:cs="宋体"/>
          <w:szCs w:val="21"/>
          <w:highlight w:val="none"/>
        </w:rPr>
        <w:t>3.5.5 分包合同权益的转让</w:t>
      </w:r>
    </w:p>
    <w:p w14:paraId="45DDD1EC">
      <w:pPr>
        <w:spacing w:line="360" w:lineRule="auto"/>
        <w:ind w:firstLine="420" w:firstLineChars="200"/>
        <w:rPr>
          <w:rFonts w:ascii="宋体" w:hAnsi="宋体" w:cs="宋体"/>
          <w:szCs w:val="21"/>
          <w:highlight w:val="none"/>
        </w:rPr>
      </w:pPr>
      <w:r>
        <w:rPr>
          <w:rFonts w:hint="eastAsia" w:ascii="宋体" w:hAnsi="宋体" w:cs="宋体"/>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3" w:name="_Toc351203524"/>
    </w:p>
    <w:p w14:paraId="14879002">
      <w:pPr>
        <w:spacing w:line="360" w:lineRule="auto"/>
        <w:ind w:firstLine="420" w:firstLineChars="200"/>
        <w:rPr>
          <w:rFonts w:ascii="宋体" w:hAnsi="宋体" w:cs="宋体"/>
          <w:szCs w:val="21"/>
          <w:highlight w:val="none"/>
        </w:rPr>
      </w:pPr>
      <w:r>
        <w:rPr>
          <w:rFonts w:hint="eastAsia" w:ascii="宋体" w:hAnsi="宋体" w:cs="宋体"/>
          <w:szCs w:val="21"/>
          <w:highlight w:val="none"/>
        </w:rPr>
        <w:t>3.6 工程照管与成品、半成品保护</w:t>
      </w:r>
      <w:bookmarkEnd w:id="133"/>
    </w:p>
    <w:p w14:paraId="268D1F72">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（1）除专用合同条款另有约定外，自发包人向承包人移交施工现场之日起，承包人应负责照管工程及工程相关的材料、工程设备，直到颁发工程接收证书之日止。</w:t>
      </w:r>
    </w:p>
    <w:p w14:paraId="4D9BE9FE">
      <w:pPr>
        <w:spacing w:line="360" w:lineRule="auto"/>
        <w:ind w:firstLine="420" w:firstLineChars="200"/>
        <w:rPr>
          <w:rFonts w:ascii="宋体" w:hAnsi="宋体" w:cs="宋体"/>
          <w:szCs w:val="21"/>
          <w:highlight w:val="none"/>
        </w:rPr>
      </w:pPr>
      <w:r>
        <w:rPr>
          <w:rFonts w:hint="eastAsia" w:ascii="宋体" w:hAnsi="宋体" w:cs="宋体"/>
          <w:szCs w:val="21"/>
          <w:highlight w:val="none"/>
        </w:rPr>
        <w:t>（2）在承包人负责照管期间，因承包人原因造成工程、材料、工程设备损坏的，由承包人负责修复或更换，并承担由此增加的费用和延误的工期。</w:t>
      </w:r>
    </w:p>
    <w:p w14:paraId="66195DC0">
      <w:pPr>
        <w:spacing w:line="360" w:lineRule="auto"/>
        <w:ind w:firstLine="420" w:firstLineChars="200"/>
        <w:rPr>
          <w:rFonts w:ascii="宋体" w:hAnsi="宋体" w:cs="宋体"/>
          <w:szCs w:val="21"/>
          <w:highlight w:val="none"/>
        </w:rPr>
      </w:pPr>
      <w:r>
        <w:rPr>
          <w:rFonts w:hint="eastAsia" w:ascii="宋体" w:hAnsi="宋体" w:cs="宋体"/>
          <w:szCs w:val="21"/>
          <w:highlight w:val="none"/>
        </w:rPr>
        <w:t>（3）对合同内分期完成的成品和半成品，在工程接收证书颁发前，由承包人承担保护责任。因承包人原因造成成品或半成品损坏的，由承包人负责修复或更换，并承担由此增加的费用和延误的工期。</w:t>
      </w:r>
    </w:p>
    <w:p w14:paraId="56CCA19A">
      <w:pPr>
        <w:spacing w:line="360" w:lineRule="auto"/>
        <w:ind w:firstLine="420" w:firstLineChars="200"/>
        <w:rPr>
          <w:rFonts w:ascii="宋体" w:hAnsi="宋体" w:cs="宋体"/>
          <w:szCs w:val="21"/>
          <w:highlight w:val="none"/>
        </w:rPr>
      </w:pPr>
      <w:bookmarkStart w:id="134" w:name="_Toc351203525"/>
      <w:r>
        <w:rPr>
          <w:rFonts w:hint="eastAsia" w:ascii="宋体" w:hAnsi="宋体" w:cs="宋体"/>
          <w:szCs w:val="21"/>
          <w:highlight w:val="none"/>
        </w:rPr>
        <w:t>3</w:t>
      </w:r>
      <w:bookmarkStart w:id="135" w:name="_Toc337558752"/>
      <w:bookmarkStart w:id="136" w:name="_Toc296346553"/>
      <w:bookmarkStart w:id="137" w:name="_Toc296503052"/>
      <w:r>
        <w:rPr>
          <w:rFonts w:hint="eastAsia" w:ascii="宋体" w:hAnsi="宋体" w:cs="宋体"/>
          <w:szCs w:val="21"/>
          <w:highlight w:val="none"/>
        </w:rPr>
        <w:t>.7 履约担保</w:t>
      </w:r>
      <w:bookmarkEnd w:id="134"/>
    </w:p>
    <w:bookmarkEnd w:id="135"/>
    <w:bookmarkEnd w:id="136"/>
    <w:bookmarkEnd w:id="137"/>
    <w:p w14:paraId="4714208E">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611BEED">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因承包人原因导致工期延长的，继续提供履约担保所增加的费用由承包人承担；非因承包人原因导致工期延长的，继续提供履约担保所增加的费用由发包人承担。</w:t>
      </w:r>
    </w:p>
    <w:p w14:paraId="1AA55131">
      <w:pPr>
        <w:spacing w:line="360" w:lineRule="auto"/>
        <w:ind w:firstLine="420" w:firstLineChars="200"/>
        <w:rPr>
          <w:rFonts w:ascii="宋体" w:hAnsi="宋体" w:cs="宋体"/>
          <w:szCs w:val="21"/>
          <w:highlight w:val="none"/>
        </w:rPr>
      </w:pPr>
      <w:bookmarkStart w:id="138" w:name="_Toc351203526"/>
      <w:r>
        <w:rPr>
          <w:rFonts w:hint="eastAsia" w:ascii="宋体" w:hAnsi="宋体" w:cs="宋体"/>
          <w:szCs w:val="21"/>
          <w:highlight w:val="none"/>
        </w:rPr>
        <w:t>3.8 联合体</w:t>
      </w:r>
      <w:bookmarkEnd w:id="138"/>
    </w:p>
    <w:p w14:paraId="7280E2C6">
      <w:pPr>
        <w:spacing w:line="360" w:lineRule="auto"/>
        <w:ind w:firstLine="420" w:firstLineChars="200"/>
        <w:rPr>
          <w:rFonts w:ascii="宋体" w:hAnsi="宋体" w:cs="宋体"/>
          <w:szCs w:val="21"/>
          <w:highlight w:val="none"/>
        </w:rPr>
      </w:pPr>
      <w:r>
        <w:rPr>
          <w:rFonts w:hint="eastAsia" w:ascii="宋体" w:hAnsi="宋体" w:cs="宋体"/>
          <w:szCs w:val="21"/>
          <w:highlight w:val="none"/>
        </w:rPr>
        <w:t>3.8.1 联合体各方应共同与发包人签订合同协议书。联合体各方应为履行合同向发包人承担连带责任。</w:t>
      </w:r>
    </w:p>
    <w:p w14:paraId="1FE844EB">
      <w:pPr>
        <w:spacing w:line="360" w:lineRule="auto"/>
        <w:ind w:firstLine="420" w:firstLineChars="200"/>
        <w:rPr>
          <w:rFonts w:ascii="宋体" w:hAnsi="宋体" w:cs="宋体"/>
          <w:szCs w:val="21"/>
          <w:highlight w:val="none"/>
        </w:rPr>
      </w:pPr>
      <w:r>
        <w:rPr>
          <w:rFonts w:hint="eastAsia" w:ascii="宋体" w:hAnsi="宋体" w:cs="宋体"/>
          <w:szCs w:val="21"/>
          <w:highlight w:val="none"/>
        </w:rPr>
        <w:t>3.8.2 联合体协议经发包人确认后作为合同附件。在履行合同过程中，未经发包人同意，不得修改联合体协议。</w:t>
      </w:r>
    </w:p>
    <w:p w14:paraId="63F10708">
      <w:pPr>
        <w:spacing w:line="360" w:lineRule="auto"/>
        <w:ind w:firstLine="420" w:firstLineChars="200"/>
        <w:rPr>
          <w:rFonts w:ascii="宋体" w:hAnsi="宋体" w:cs="宋体"/>
          <w:szCs w:val="21"/>
          <w:highlight w:val="none"/>
        </w:rPr>
      </w:pPr>
      <w:r>
        <w:rPr>
          <w:rFonts w:hint="eastAsia" w:ascii="宋体" w:hAnsi="宋体" w:cs="宋体"/>
          <w:szCs w:val="21"/>
          <w:highlight w:val="none"/>
        </w:rPr>
        <w:t>3.8.3 联合体牵头人负责与发包人和监理人联系，并接受指示，负责组织联合体各成员全面履行合同。</w:t>
      </w:r>
    </w:p>
    <w:p w14:paraId="0631580D">
      <w:pPr>
        <w:spacing w:line="360" w:lineRule="auto"/>
        <w:ind w:firstLine="420" w:firstLineChars="200"/>
        <w:rPr>
          <w:rFonts w:ascii="宋体" w:hAnsi="宋体" w:cs="宋体"/>
          <w:szCs w:val="21"/>
          <w:highlight w:val="none"/>
        </w:rPr>
      </w:pPr>
      <w:bookmarkStart w:id="139" w:name="_Toc351203527"/>
      <w:r>
        <w:rPr>
          <w:rFonts w:hint="eastAsia" w:ascii="宋体" w:hAnsi="宋体" w:cs="宋体"/>
          <w:szCs w:val="21"/>
          <w:highlight w:val="none"/>
        </w:rPr>
        <w:t>4</w:t>
      </w:r>
      <w:bookmarkStart w:id="140" w:name="_Toc296503053"/>
      <w:bookmarkStart w:id="141" w:name="_Toc296346554"/>
      <w:bookmarkStart w:id="142" w:name="_Toc337558753"/>
      <w:r>
        <w:rPr>
          <w:rFonts w:hint="eastAsia" w:ascii="宋体" w:hAnsi="宋体" w:cs="宋体"/>
          <w:szCs w:val="21"/>
          <w:highlight w:val="none"/>
        </w:rPr>
        <w:t>. 监</w:t>
      </w:r>
      <w:bookmarkEnd w:id="140"/>
      <w:bookmarkEnd w:id="141"/>
      <w:r>
        <w:rPr>
          <w:rFonts w:hint="eastAsia" w:ascii="宋体" w:hAnsi="宋体" w:cs="宋体"/>
          <w:szCs w:val="21"/>
          <w:highlight w:val="none"/>
        </w:rPr>
        <w:t>理人</w:t>
      </w:r>
      <w:bookmarkEnd w:id="139"/>
    </w:p>
    <w:bookmarkEnd w:id="142"/>
    <w:p w14:paraId="58A0CEDD">
      <w:pPr>
        <w:spacing w:line="360" w:lineRule="auto"/>
        <w:ind w:firstLine="420" w:firstLineChars="200"/>
        <w:rPr>
          <w:rFonts w:ascii="宋体" w:hAnsi="宋体" w:cs="宋体"/>
          <w:szCs w:val="21"/>
          <w:highlight w:val="none"/>
        </w:rPr>
      </w:pPr>
      <w:bookmarkStart w:id="143" w:name="_Toc351203528"/>
      <w:r>
        <w:rPr>
          <w:rFonts w:hint="eastAsia" w:ascii="宋体" w:hAnsi="宋体" w:cs="宋体"/>
          <w:szCs w:val="21"/>
          <w:highlight w:val="none"/>
        </w:rPr>
        <w:t>4</w:t>
      </w:r>
      <w:bookmarkStart w:id="144" w:name="_Toc296346555"/>
      <w:bookmarkStart w:id="145" w:name="_Toc337558754"/>
      <w:bookmarkStart w:id="146" w:name="_Toc296503054"/>
      <w:r>
        <w:rPr>
          <w:rFonts w:hint="eastAsia" w:ascii="宋体" w:hAnsi="宋体" w:cs="宋体"/>
          <w:szCs w:val="21"/>
          <w:highlight w:val="none"/>
        </w:rPr>
        <w:t>.1监理人的一般规定</w:t>
      </w:r>
      <w:bookmarkEnd w:id="143"/>
    </w:p>
    <w:bookmarkEnd w:id="144"/>
    <w:bookmarkEnd w:id="145"/>
    <w:bookmarkEnd w:id="146"/>
    <w:p w14:paraId="64BD6D02">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8619F09">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除专用合同条款另有约定外，监理人在施工现场的办公场所、生活场所由承包人提供，所发生的费用由发包人承担。</w:t>
      </w:r>
    </w:p>
    <w:p w14:paraId="0061AE56">
      <w:pPr>
        <w:spacing w:line="360" w:lineRule="auto"/>
        <w:ind w:firstLine="420" w:firstLineChars="200"/>
        <w:rPr>
          <w:rFonts w:ascii="宋体" w:hAnsi="宋体" w:cs="宋体"/>
          <w:szCs w:val="21"/>
          <w:highlight w:val="none"/>
        </w:rPr>
      </w:pPr>
      <w:bookmarkStart w:id="147" w:name="_Toc351203529"/>
      <w:r>
        <w:rPr>
          <w:rFonts w:hint="eastAsia" w:ascii="宋体" w:hAnsi="宋体" w:cs="宋体"/>
          <w:szCs w:val="21"/>
          <w:highlight w:val="none"/>
        </w:rPr>
        <w:t>4</w:t>
      </w:r>
      <w:bookmarkStart w:id="148" w:name="_Toc337558755"/>
      <w:r>
        <w:rPr>
          <w:rFonts w:hint="eastAsia" w:ascii="宋体" w:hAnsi="宋体" w:cs="宋体"/>
          <w:szCs w:val="21"/>
          <w:highlight w:val="none"/>
        </w:rPr>
        <w:t>.2监理人员</w:t>
      </w:r>
      <w:bookmarkEnd w:id="147"/>
    </w:p>
    <w:bookmarkEnd w:id="148"/>
    <w:p w14:paraId="60831CA2">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AED8F10">
      <w:pPr>
        <w:spacing w:line="360" w:lineRule="auto"/>
        <w:ind w:firstLine="420" w:firstLineChars="200"/>
        <w:rPr>
          <w:rFonts w:ascii="宋体" w:hAnsi="宋体" w:cs="宋体"/>
          <w:szCs w:val="21"/>
          <w:highlight w:val="none"/>
        </w:rPr>
      </w:pPr>
      <w:bookmarkStart w:id="149" w:name="_Toc351203530"/>
      <w:r>
        <w:rPr>
          <w:rFonts w:hint="eastAsia" w:ascii="宋体" w:hAnsi="宋体" w:cs="宋体"/>
          <w:szCs w:val="21"/>
          <w:highlight w:val="none"/>
        </w:rPr>
        <w:t>4</w:t>
      </w:r>
      <w:bookmarkStart w:id="150" w:name="_Toc296503055"/>
      <w:bookmarkStart w:id="151" w:name="_Toc296346556"/>
      <w:bookmarkStart w:id="152" w:name="_Toc337558756"/>
      <w:r>
        <w:rPr>
          <w:rFonts w:hint="eastAsia" w:ascii="宋体" w:hAnsi="宋体" w:cs="宋体"/>
          <w:szCs w:val="21"/>
          <w:highlight w:val="none"/>
        </w:rPr>
        <w:t>.3</w:t>
      </w:r>
      <w:bookmarkEnd w:id="150"/>
      <w:bookmarkEnd w:id="151"/>
      <w:r>
        <w:rPr>
          <w:rFonts w:hint="eastAsia" w:ascii="宋体" w:hAnsi="宋体" w:cs="宋体"/>
          <w:szCs w:val="21"/>
          <w:highlight w:val="none"/>
        </w:rPr>
        <w:t>监理人的指</w:t>
      </w:r>
      <w:bookmarkEnd w:id="152"/>
      <w:r>
        <w:rPr>
          <w:rFonts w:hint="eastAsia" w:ascii="宋体" w:hAnsi="宋体" w:cs="宋体"/>
          <w:szCs w:val="21"/>
          <w:highlight w:val="none"/>
        </w:rPr>
        <w:t>示</w:t>
      </w:r>
      <w:bookmarkEnd w:id="149"/>
    </w:p>
    <w:p w14:paraId="59D73F7C">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31C5B71">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B2E045E">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承包人对监理人发出的指示有疑问的，应向监理人提出书面异议，监理人应在48小时内对该指示予以确认、更改或撤销，监理人逾期未回复的，承包人有权拒绝执行上述指示。</w:t>
      </w:r>
    </w:p>
    <w:p w14:paraId="4408C005">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EB0314B">
      <w:pPr>
        <w:spacing w:line="360" w:lineRule="auto"/>
        <w:ind w:firstLine="420" w:firstLineChars="200"/>
        <w:rPr>
          <w:rFonts w:ascii="宋体" w:hAnsi="宋体" w:cs="宋体"/>
          <w:szCs w:val="21"/>
          <w:highlight w:val="none"/>
        </w:rPr>
      </w:pPr>
      <w:bookmarkStart w:id="153" w:name="_Toc351203531"/>
      <w:r>
        <w:rPr>
          <w:rFonts w:hint="eastAsia" w:ascii="宋体" w:hAnsi="宋体" w:cs="宋体"/>
          <w:szCs w:val="21"/>
          <w:highlight w:val="none"/>
        </w:rPr>
        <w:t>4</w:t>
      </w:r>
      <w:bookmarkStart w:id="154" w:name="_Toc296503057"/>
      <w:bookmarkStart w:id="155" w:name="_Toc296346558"/>
      <w:bookmarkStart w:id="156" w:name="_Toc337558757"/>
      <w:r>
        <w:rPr>
          <w:rFonts w:hint="eastAsia" w:ascii="宋体" w:hAnsi="宋体" w:cs="宋体"/>
          <w:szCs w:val="21"/>
          <w:highlight w:val="none"/>
        </w:rPr>
        <w:t>.4 商定或确定</w:t>
      </w:r>
      <w:bookmarkEnd w:id="153"/>
    </w:p>
    <w:bookmarkEnd w:id="154"/>
    <w:bookmarkEnd w:id="155"/>
    <w:bookmarkEnd w:id="156"/>
    <w:p w14:paraId="157E072B">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合同当事人进行商定或确定时，总监理工程师应当会同合同当事人尽量通过协商达成一致，不能达成一致的，由总监理工程师按照合同约定审慎做出公正的确定。</w:t>
      </w:r>
    </w:p>
    <w:p w14:paraId="19C9BB68">
      <w:pPr>
        <w:spacing w:line="360" w:lineRule="auto"/>
        <w:ind w:firstLine="420" w:firstLineChars="200"/>
        <w:rPr>
          <w:rFonts w:ascii="宋体" w:hAnsi="宋体" w:cs="宋体"/>
          <w:szCs w:val="21"/>
          <w:highlight w:val="none"/>
        </w:rPr>
      </w:pPr>
      <w:r>
        <w:rPr>
          <w:rFonts w:hint="eastAsia" w:ascii="宋体" w:hAnsi="宋体" w:cs="宋体"/>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03212D6">
      <w:pPr>
        <w:spacing w:line="360" w:lineRule="auto"/>
        <w:ind w:firstLine="420" w:firstLineChars="200"/>
        <w:rPr>
          <w:rFonts w:ascii="宋体" w:hAnsi="宋体" w:cs="宋体"/>
          <w:szCs w:val="21"/>
          <w:highlight w:val="none"/>
        </w:rPr>
      </w:pPr>
      <w:bookmarkStart w:id="157" w:name="_Toc351203532"/>
      <w:r>
        <w:rPr>
          <w:rFonts w:hint="eastAsia" w:ascii="宋体" w:hAnsi="宋体" w:cs="宋体"/>
          <w:szCs w:val="21"/>
          <w:highlight w:val="none"/>
        </w:rPr>
        <w:t>5</w:t>
      </w:r>
      <w:bookmarkStart w:id="158" w:name="_Toc337558758"/>
      <w:r>
        <w:rPr>
          <w:rFonts w:hint="eastAsia" w:ascii="宋体" w:hAnsi="宋体" w:cs="宋体"/>
          <w:szCs w:val="21"/>
          <w:highlight w:val="none"/>
        </w:rPr>
        <w:t>. 工程质量</w:t>
      </w:r>
      <w:bookmarkEnd w:id="157"/>
    </w:p>
    <w:bookmarkEnd w:id="158"/>
    <w:p w14:paraId="289A36CC">
      <w:pPr>
        <w:spacing w:line="360" w:lineRule="auto"/>
        <w:ind w:firstLine="420" w:firstLineChars="200"/>
        <w:rPr>
          <w:rFonts w:ascii="宋体" w:hAnsi="宋体" w:cs="宋体"/>
          <w:szCs w:val="21"/>
          <w:highlight w:val="none"/>
        </w:rPr>
      </w:pPr>
      <w:bookmarkStart w:id="159" w:name="_Toc351203533"/>
      <w:r>
        <w:rPr>
          <w:rFonts w:hint="eastAsia" w:ascii="宋体" w:hAnsi="宋体" w:cs="宋体"/>
          <w:szCs w:val="21"/>
          <w:highlight w:val="none"/>
        </w:rPr>
        <w:t>5</w:t>
      </w:r>
      <w:bookmarkStart w:id="160" w:name="_Toc337558759"/>
      <w:r>
        <w:rPr>
          <w:rFonts w:hint="eastAsia" w:ascii="宋体" w:hAnsi="宋体" w:cs="宋体"/>
          <w:szCs w:val="21"/>
          <w:highlight w:val="none"/>
        </w:rPr>
        <w:t>.1质量要求</w:t>
      </w:r>
      <w:bookmarkEnd w:id="159"/>
    </w:p>
    <w:bookmarkEnd w:id="160"/>
    <w:p w14:paraId="6F3148ED">
      <w:pPr>
        <w:spacing w:line="360" w:lineRule="auto"/>
        <w:ind w:firstLine="420" w:firstLineChars="200"/>
        <w:rPr>
          <w:rFonts w:ascii="宋体" w:hAnsi="宋体" w:cs="宋体"/>
          <w:szCs w:val="21"/>
          <w:highlight w:val="none"/>
        </w:rPr>
      </w:pPr>
      <w:r>
        <w:rPr>
          <w:rFonts w:hint="eastAsia" w:ascii="宋体" w:hAnsi="宋体" w:cs="宋体"/>
          <w:szCs w:val="21"/>
          <w:highlight w:val="none"/>
        </w:rPr>
        <w:t>5.1.1 工程质量标准必须符合现行国家有关工程施工质量验收规范和标准的要求。有关工程质量的特殊标准或要求由合同当事人在专用合同条款中约定。</w:t>
      </w:r>
    </w:p>
    <w:p w14:paraId="4BADCE69">
      <w:pPr>
        <w:spacing w:line="360" w:lineRule="auto"/>
        <w:ind w:firstLine="420" w:firstLineChars="200"/>
        <w:rPr>
          <w:rFonts w:ascii="宋体" w:hAnsi="宋体" w:cs="宋体"/>
          <w:szCs w:val="21"/>
          <w:highlight w:val="none"/>
        </w:rPr>
      </w:pPr>
      <w:r>
        <w:rPr>
          <w:rFonts w:hint="eastAsia" w:ascii="宋体" w:hAnsi="宋体" w:cs="宋体"/>
          <w:szCs w:val="21"/>
          <w:highlight w:val="none"/>
        </w:rPr>
        <w:t>5.1.2 因发包人原因造成工程质量未达到合同约定标准的，由发包人承担由此增加的费用和（或）延误的工期，并支付承包人合理的利润。</w:t>
      </w:r>
    </w:p>
    <w:p w14:paraId="626EC2F3">
      <w:pPr>
        <w:spacing w:line="360" w:lineRule="auto"/>
        <w:ind w:firstLine="420" w:firstLineChars="200"/>
        <w:rPr>
          <w:rFonts w:ascii="宋体" w:hAnsi="宋体" w:cs="宋体"/>
          <w:szCs w:val="21"/>
          <w:highlight w:val="none"/>
        </w:rPr>
      </w:pPr>
      <w:r>
        <w:rPr>
          <w:rFonts w:hint="eastAsia" w:ascii="宋体" w:hAnsi="宋体" w:cs="宋体"/>
          <w:szCs w:val="21"/>
          <w:highlight w:val="none"/>
        </w:rPr>
        <w:t>5.1.3 因承包人原因造成工程质量未达到合同约定标准的，发包人有权要求承包人返工直至工程质量达到合同约定的标准为止，并由承包人承担由此增加的费用和延误的工期。</w:t>
      </w:r>
    </w:p>
    <w:p w14:paraId="0ED76AE5">
      <w:pPr>
        <w:spacing w:line="360" w:lineRule="auto"/>
        <w:ind w:firstLine="420" w:firstLineChars="200"/>
        <w:rPr>
          <w:rFonts w:ascii="宋体" w:hAnsi="宋体" w:cs="宋体"/>
          <w:szCs w:val="21"/>
          <w:highlight w:val="none"/>
        </w:rPr>
      </w:pPr>
      <w:bookmarkStart w:id="161" w:name="_Toc351203534"/>
      <w:r>
        <w:rPr>
          <w:rFonts w:hint="eastAsia" w:ascii="宋体" w:hAnsi="宋体" w:cs="宋体"/>
          <w:szCs w:val="21"/>
          <w:highlight w:val="none"/>
        </w:rPr>
        <w:t>5</w:t>
      </w:r>
      <w:bookmarkStart w:id="162" w:name="_Toc337558760"/>
      <w:r>
        <w:rPr>
          <w:rFonts w:hint="eastAsia" w:ascii="宋体" w:hAnsi="宋体" w:cs="宋体"/>
          <w:szCs w:val="21"/>
          <w:highlight w:val="none"/>
        </w:rPr>
        <w:t>.2质量保证措施</w:t>
      </w:r>
      <w:bookmarkEnd w:id="161"/>
    </w:p>
    <w:bookmarkEnd w:id="162"/>
    <w:p w14:paraId="65D18CA0">
      <w:pPr>
        <w:spacing w:line="360" w:lineRule="auto"/>
        <w:ind w:firstLine="420" w:firstLineChars="200"/>
        <w:rPr>
          <w:rFonts w:ascii="宋体" w:hAnsi="宋体" w:cs="宋体"/>
          <w:szCs w:val="21"/>
          <w:highlight w:val="none"/>
        </w:rPr>
      </w:pPr>
      <w:r>
        <w:rPr>
          <w:rFonts w:hint="eastAsia" w:ascii="宋体" w:hAnsi="宋体" w:cs="宋体"/>
          <w:szCs w:val="21"/>
          <w:highlight w:val="none"/>
        </w:rPr>
        <w:t>5.2.1 发包人的质量管理</w:t>
      </w:r>
    </w:p>
    <w:p w14:paraId="186B49C3">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发包人应按照法律规定及合同约定完成与工程质量有关的各项工作。</w:t>
      </w:r>
    </w:p>
    <w:p w14:paraId="62BE8576">
      <w:pPr>
        <w:spacing w:line="360" w:lineRule="auto"/>
        <w:ind w:firstLine="420" w:firstLineChars="200"/>
        <w:rPr>
          <w:rFonts w:ascii="宋体" w:hAnsi="宋体" w:cs="宋体"/>
          <w:szCs w:val="21"/>
          <w:highlight w:val="none"/>
        </w:rPr>
      </w:pPr>
      <w:r>
        <w:rPr>
          <w:rFonts w:hint="eastAsia" w:ascii="宋体" w:hAnsi="宋体" w:cs="宋体"/>
          <w:szCs w:val="21"/>
          <w:highlight w:val="none"/>
        </w:rPr>
        <w:t>5.2.2 承包人的质量管理</w:t>
      </w:r>
    </w:p>
    <w:p w14:paraId="24583912">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6A1DB8B">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承包人应对施工人员进行质量教育和技术培训，定期考核施工人员的劳动技能，严格执行施工规范和操作规程。</w:t>
      </w:r>
    </w:p>
    <w:p w14:paraId="25B1705E">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A32BA81">
      <w:pPr>
        <w:spacing w:line="360" w:lineRule="auto"/>
        <w:ind w:firstLine="420" w:firstLineChars="200"/>
        <w:rPr>
          <w:rFonts w:ascii="宋体" w:hAnsi="宋体" w:cs="宋体"/>
          <w:szCs w:val="21"/>
          <w:highlight w:val="none"/>
        </w:rPr>
      </w:pPr>
      <w:r>
        <w:rPr>
          <w:rFonts w:hint="eastAsia" w:ascii="宋体" w:hAnsi="宋体" w:cs="宋体"/>
          <w:szCs w:val="21"/>
          <w:highlight w:val="none"/>
        </w:rPr>
        <w:t>5.2.3 监理人的质量检查和检验</w:t>
      </w:r>
    </w:p>
    <w:p w14:paraId="57C02A1B">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C490DD4">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延误的工期由发包人承担。</w:t>
      </w:r>
    </w:p>
    <w:p w14:paraId="335A4E38">
      <w:pPr>
        <w:spacing w:line="360" w:lineRule="auto"/>
        <w:ind w:firstLine="420" w:firstLineChars="200"/>
        <w:rPr>
          <w:rFonts w:ascii="宋体" w:hAnsi="宋体" w:cs="宋体"/>
          <w:szCs w:val="21"/>
          <w:highlight w:val="none"/>
        </w:rPr>
      </w:pPr>
      <w:bookmarkStart w:id="163" w:name="_Toc351203535"/>
      <w:r>
        <w:rPr>
          <w:rFonts w:hint="eastAsia" w:ascii="宋体" w:hAnsi="宋体" w:cs="宋体"/>
          <w:szCs w:val="21"/>
          <w:highlight w:val="none"/>
        </w:rPr>
        <w:t>5</w:t>
      </w:r>
      <w:bookmarkStart w:id="164" w:name="_Toc337558761"/>
      <w:r>
        <w:rPr>
          <w:rFonts w:hint="eastAsia" w:ascii="宋体" w:hAnsi="宋体" w:cs="宋体"/>
          <w:szCs w:val="21"/>
          <w:highlight w:val="none"/>
        </w:rPr>
        <w:t>.3 隐蔽工程检查</w:t>
      </w:r>
      <w:bookmarkEnd w:id="163"/>
    </w:p>
    <w:bookmarkEnd w:id="164"/>
    <w:p w14:paraId="1880FCCA">
      <w:pPr>
        <w:spacing w:line="360" w:lineRule="auto"/>
        <w:ind w:firstLine="420" w:firstLineChars="200"/>
        <w:rPr>
          <w:rFonts w:ascii="宋体" w:hAnsi="宋体" w:cs="宋体"/>
          <w:szCs w:val="21"/>
          <w:highlight w:val="none"/>
        </w:rPr>
      </w:pPr>
      <w:r>
        <w:rPr>
          <w:rFonts w:hint="eastAsia" w:ascii="宋体" w:hAnsi="宋体" w:cs="宋体"/>
          <w:szCs w:val="21"/>
          <w:highlight w:val="none"/>
        </w:rPr>
        <w:t>5.3.1承包人自检</w:t>
      </w:r>
    </w:p>
    <w:p w14:paraId="6FA3AD0C">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承包人应当对工程隐蔽部位进行自检，并经自检确认是否具备覆盖条件。</w:t>
      </w:r>
    </w:p>
    <w:p w14:paraId="50497402">
      <w:pPr>
        <w:spacing w:line="360" w:lineRule="auto"/>
        <w:ind w:firstLine="420" w:firstLineChars="200"/>
        <w:rPr>
          <w:rFonts w:ascii="宋体" w:hAnsi="宋体" w:cs="宋体"/>
          <w:szCs w:val="21"/>
          <w:highlight w:val="none"/>
        </w:rPr>
      </w:pPr>
      <w:r>
        <w:rPr>
          <w:rFonts w:hint="eastAsia" w:ascii="宋体" w:hAnsi="宋体" w:cs="宋体"/>
          <w:szCs w:val="21"/>
          <w:highlight w:val="none"/>
        </w:rPr>
        <w:t>5.3.2检查程序</w:t>
      </w:r>
    </w:p>
    <w:p w14:paraId="66A8AEE5">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3F8F6DB">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7D59EE9">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BF0FC41">
      <w:pPr>
        <w:spacing w:line="360" w:lineRule="auto"/>
        <w:ind w:firstLine="420" w:firstLineChars="200"/>
        <w:rPr>
          <w:rFonts w:ascii="宋体" w:hAnsi="宋体" w:cs="宋体"/>
          <w:szCs w:val="21"/>
          <w:highlight w:val="none"/>
        </w:rPr>
      </w:pPr>
      <w:r>
        <w:rPr>
          <w:rFonts w:hint="eastAsia" w:ascii="宋体" w:hAnsi="宋体" w:cs="宋体"/>
          <w:szCs w:val="21"/>
          <w:highlight w:val="none"/>
        </w:rPr>
        <w:t>5.3.3 重新检查</w:t>
      </w:r>
    </w:p>
    <w:p w14:paraId="59416140">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A3415C3">
      <w:pPr>
        <w:spacing w:line="360" w:lineRule="auto"/>
        <w:ind w:firstLine="420" w:firstLineChars="200"/>
        <w:rPr>
          <w:rFonts w:ascii="宋体" w:hAnsi="宋体" w:cs="宋体"/>
          <w:szCs w:val="21"/>
          <w:highlight w:val="none"/>
        </w:rPr>
      </w:pPr>
      <w:r>
        <w:rPr>
          <w:rFonts w:hint="eastAsia" w:ascii="宋体" w:hAnsi="宋体" w:cs="宋体"/>
          <w:szCs w:val="21"/>
          <w:highlight w:val="none"/>
        </w:rPr>
        <w:t>5.3.4 承包人私自覆盖</w:t>
      </w:r>
    </w:p>
    <w:p w14:paraId="0FCCE539">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承包人未通知监理人到场检查，私自将工程隐蔽部位覆盖的，监理人有权指示承包人钻孔探测或揭开检查，无论工程隐蔽部位质量是否合格，由此增加的费用和延误的工期均由承包人承担。</w:t>
      </w:r>
    </w:p>
    <w:p w14:paraId="4FA19645">
      <w:pPr>
        <w:spacing w:line="360" w:lineRule="auto"/>
        <w:ind w:firstLine="420" w:firstLineChars="200"/>
        <w:rPr>
          <w:rFonts w:ascii="宋体" w:hAnsi="宋体" w:cs="宋体"/>
          <w:szCs w:val="21"/>
          <w:highlight w:val="none"/>
        </w:rPr>
      </w:pPr>
      <w:bookmarkStart w:id="165" w:name="_Toc351203536"/>
      <w:r>
        <w:rPr>
          <w:rFonts w:hint="eastAsia" w:ascii="宋体" w:hAnsi="宋体" w:cs="宋体"/>
          <w:szCs w:val="21"/>
          <w:highlight w:val="none"/>
        </w:rPr>
        <w:t>5</w:t>
      </w:r>
      <w:bookmarkStart w:id="166" w:name="_Toc337558762"/>
      <w:r>
        <w:rPr>
          <w:rFonts w:hint="eastAsia" w:ascii="宋体" w:hAnsi="宋体" w:cs="宋体"/>
          <w:szCs w:val="21"/>
          <w:highlight w:val="none"/>
        </w:rPr>
        <w:t>.4不合格工程的处理</w:t>
      </w:r>
      <w:bookmarkEnd w:id="165"/>
    </w:p>
    <w:bookmarkEnd w:id="166"/>
    <w:p w14:paraId="7049A7E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5.4.1 因承包人原因造成工程不合格的，发包人有权随时要求承包人采取补救措施，直至达到合同要求的质量标准，由此增加的费用和延误的工期由承包人承担。无法补救的，按照第13.2.4项〔拒绝接收全部或部分工程〕约定执行。 </w:t>
      </w:r>
    </w:p>
    <w:p w14:paraId="54C3372C">
      <w:pPr>
        <w:spacing w:line="360" w:lineRule="auto"/>
        <w:ind w:firstLine="420" w:firstLineChars="200"/>
        <w:rPr>
          <w:rFonts w:ascii="宋体" w:hAnsi="宋体" w:cs="宋体"/>
          <w:szCs w:val="21"/>
          <w:highlight w:val="none"/>
        </w:rPr>
      </w:pPr>
      <w:r>
        <w:rPr>
          <w:rFonts w:hint="eastAsia" w:ascii="宋体" w:hAnsi="宋体" w:cs="宋体"/>
          <w:szCs w:val="21"/>
          <w:highlight w:val="none"/>
        </w:rPr>
        <w:t>5.4.2 因发包人原因造成工程不合格的，由此增加的费用和（或）延误的工期由发包人承担，并支付承包人合理的利润。</w:t>
      </w:r>
    </w:p>
    <w:p w14:paraId="5954FE0B">
      <w:pPr>
        <w:spacing w:line="360" w:lineRule="auto"/>
        <w:ind w:firstLine="420" w:firstLineChars="200"/>
        <w:rPr>
          <w:rFonts w:ascii="宋体" w:hAnsi="宋体" w:cs="宋体"/>
          <w:szCs w:val="21"/>
          <w:highlight w:val="none"/>
        </w:rPr>
      </w:pPr>
      <w:bookmarkStart w:id="167" w:name="_Toc351203537"/>
      <w:r>
        <w:rPr>
          <w:rFonts w:hint="eastAsia" w:ascii="宋体" w:hAnsi="宋体" w:cs="宋体"/>
          <w:szCs w:val="21"/>
          <w:highlight w:val="none"/>
        </w:rPr>
        <w:t>5.5 质量争议检测</w:t>
      </w:r>
      <w:bookmarkEnd w:id="167"/>
    </w:p>
    <w:p w14:paraId="2234C64E">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合同当事人对工程质量有争议的，由双方协商确定的工程质量检测机构鉴定，由此产生的费用及因此造成的损失，由责任方承担。</w:t>
      </w:r>
    </w:p>
    <w:p w14:paraId="748F3B98">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合同当事人均有责任的，由双方根据其责任分别承担。合同当事人无法达成一致的，按照第4.4款〔商定或确定〕执行。</w:t>
      </w:r>
    </w:p>
    <w:p w14:paraId="486A6D1C">
      <w:pPr>
        <w:spacing w:line="360" w:lineRule="auto"/>
        <w:ind w:firstLine="420" w:firstLineChars="200"/>
        <w:rPr>
          <w:rFonts w:ascii="宋体" w:hAnsi="宋体" w:cs="宋体"/>
          <w:szCs w:val="21"/>
          <w:highlight w:val="none"/>
        </w:rPr>
      </w:pPr>
      <w:bookmarkStart w:id="168" w:name="_Toc351203538"/>
      <w:r>
        <w:rPr>
          <w:rFonts w:hint="eastAsia" w:ascii="宋体" w:hAnsi="宋体" w:cs="宋体"/>
          <w:szCs w:val="21"/>
          <w:highlight w:val="none"/>
        </w:rPr>
        <w:t>6</w:t>
      </w:r>
      <w:bookmarkStart w:id="169" w:name="_Toc337558763"/>
      <w:r>
        <w:rPr>
          <w:rFonts w:hint="eastAsia" w:ascii="宋体" w:hAnsi="宋体" w:cs="宋体"/>
          <w:szCs w:val="21"/>
          <w:highlight w:val="none"/>
        </w:rPr>
        <w:t>. 安全文明施工与环境保护</w:t>
      </w:r>
      <w:bookmarkEnd w:id="168"/>
    </w:p>
    <w:bookmarkEnd w:id="169"/>
    <w:p w14:paraId="7A50E5C8">
      <w:pPr>
        <w:spacing w:line="360" w:lineRule="auto"/>
        <w:ind w:firstLine="420" w:firstLineChars="200"/>
        <w:rPr>
          <w:rFonts w:ascii="宋体" w:hAnsi="宋体" w:cs="宋体"/>
          <w:szCs w:val="21"/>
          <w:highlight w:val="none"/>
        </w:rPr>
      </w:pPr>
      <w:bookmarkStart w:id="170" w:name="_Toc351203539"/>
      <w:r>
        <w:rPr>
          <w:rFonts w:hint="eastAsia" w:ascii="宋体" w:hAnsi="宋体" w:cs="宋体"/>
          <w:szCs w:val="21"/>
          <w:highlight w:val="none"/>
        </w:rPr>
        <w:t>6</w:t>
      </w:r>
      <w:bookmarkStart w:id="171" w:name="_Toc337558764"/>
      <w:r>
        <w:rPr>
          <w:rFonts w:hint="eastAsia" w:ascii="宋体" w:hAnsi="宋体" w:cs="宋体"/>
          <w:szCs w:val="21"/>
          <w:highlight w:val="none"/>
        </w:rPr>
        <w:t>.1安全文明施工</w:t>
      </w:r>
      <w:bookmarkEnd w:id="170"/>
    </w:p>
    <w:bookmarkEnd w:id="171"/>
    <w:p w14:paraId="696409BF">
      <w:pPr>
        <w:spacing w:line="360" w:lineRule="auto"/>
        <w:ind w:firstLine="420" w:firstLineChars="200"/>
        <w:rPr>
          <w:rFonts w:ascii="宋体" w:hAnsi="宋体" w:cs="宋体"/>
          <w:szCs w:val="21"/>
          <w:highlight w:val="none"/>
        </w:rPr>
      </w:pPr>
      <w:r>
        <w:rPr>
          <w:rFonts w:hint="eastAsia" w:ascii="宋体" w:hAnsi="宋体" w:cs="宋体"/>
          <w:szCs w:val="21"/>
          <w:highlight w:val="none"/>
        </w:rPr>
        <w:t>6.1.1安全生产要求</w:t>
      </w:r>
    </w:p>
    <w:p w14:paraId="5F9188C0">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59CA88">
      <w:pPr>
        <w:spacing w:line="360" w:lineRule="auto"/>
        <w:ind w:firstLine="420" w:firstLineChars="200"/>
        <w:rPr>
          <w:rFonts w:ascii="宋体" w:hAnsi="宋体" w:cs="宋体"/>
          <w:szCs w:val="21"/>
          <w:highlight w:val="none"/>
        </w:rPr>
      </w:pPr>
      <w:r>
        <w:rPr>
          <w:rFonts w:hint="eastAsia" w:ascii="宋体" w:hAnsi="宋体" w:cs="宋体"/>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D953A64">
      <w:pPr>
        <w:spacing w:line="360" w:lineRule="auto"/>
        <w:ind w:firstLine="420" w:firstLineChars="200"/>
        <w:rPr>
          <w:rFonts w:ascii="宋体" w:hAnsi="宋体" w:cs="宋体"/>
          <w:szCs w:val="21"/>
          <w:highlight w:val="none"/>
        </w:rPr>
      </w:pPr>
      <w:r>
        <w:rPr>
          <w:rFonts w:hint="eastAsia" w:ascii="宋体" w:hAnsi="宋体" w:cs="宋体"/>
          <w:szCs w:val="21"/>
          <w:highlight w:val="none"/>
        </w:rPr>
        <w:t>因安全生产需要暂停施工的，按照第7.8款〔暂停施工〕的约定执行。</w:t>
      </w:r>
    </w:p>
    <w:p w14:paraId="49D6E052">
      <w:pPr>
        <w:spacing w:line="360" w:lineRule="auto"/>
        <w:ind w:firstLine="420" w:firstLineChars="200"/>
        <w:rPr>
          <w:rFonts w:ascii="宋体" w:hAnsi="宋体" w:cs="宋体"/>
          <w:szCs w:val="21"/>
          <w:highlight w:val="none"/>
        </w:rPr>
      </w:pPr>
      <w:r>
        <w:rPr>
          <w:rFonts w:hint="eastAsia" w:ascii="宋体" w:hAnsi="宋体" w:cs="宋体"/>
          <w:szCs w:val="21"/>
          <w:highlight w:val="none"/>
        </w:rPr>
        <w:t>6.1.2 安全生产保证措施</w:t>
      </w:r>
    </w:p>
    <w:p w14:paraId="1E66A30B">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E673751">
      <w:pPr>
        <w:spacing w:line="360" w:lineRule="auto"/>
        <w:ind w:firstLine="420" w:firstLineChars="200"/>
        <w:rPr>
          <w:rFonts w:ascii="宋体" w:hAnsi="宋体" w:cs="宋体"/>
          <w:szCs w:val="21"/>
          <w:highlight w:val="none"/>
        </w:rPr>
      </w:pPr>
      <w:r>
        <w:rPr>
          <w:rFonts w:hint="eastAsia" w:ascii="宋体" w:hAnsi="宋体" w:cs="宋体"/>
          <w:szCs w:val="21"/>
          <w:highlight w:val="none"/>
        </w:rPr>
        <w:t>6.1.3特别安全生产事项</w:t>
      </w:r>
    </w:p>
    <w:p w14:paraId="0A44CC1C">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0C58DEF">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31A1897">
      <w:pPr>
        <w:spacing w:line="360" w:lineRule="auto"/>
        <w:ind w:firstLine="420" w:firstLineChars="200"/>
        <w:rPr>
          <w:rFonts w:ascii="宋体" w:hAnsi="宋体" w:cs="宋体"/>
          <w:szCs w:val="21"/>
          <w:highlight w:val="none"/>
        </w:rPr>
      </w:pPr>
      <w:r>
        <w:rPr>
          <w:rFonts w:hint="eastAsia" w:ascii="宋体" w:hAnsi="宋体" w:cs="宋体"/>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3F397DA">
      <w:pPr>
        <w:spacing w:line="360" w:lineRule="auto"/>
        <w:ind w:firstLine="420" w:firstLineChars="200"/>
        <w:rPr>
          <w:rFonts w:ascii="宋体" w:hAnsi="宋体" w:cs="宋体"/>
          <w:szCs w:val="21"/>
          <w:highlight w:val="none"/>
        </w:rPr>
      </w:pPr>
      <w:r>
        <w:rPr>
          <w:rFonts w:hint="eastAsia" w:ascii="宋体" w:hAnsi="宋体" w:cs="宋体"/>
          <w:szCs w:val="21"/>
          <w:highlight w:val="none"/>
        </w:rPr>
        <w:t>需单独编制危险性较大分部分项专项工程施工方案的，及要求进行专家论证的超过一定规模的危险性较大的分部分项工程，承包人应及时编制和组织论证。</w:t>
      </w:r>
    </w:p>
    <w:p w14:paraId="7DFF005B">
      <w:pPr>
        <w:spacing w:line="360" w:lineRule="auto"/>
        <w:ind w:firstLine="420" w:firstLineChars="200"/>
        <w:rPr>
          <w:rFonts w:ascii="宋体" w:hAnsi="宋体" w:cs="宋体"/>
          <w:szCs w:val="21"/>
          <w:highlight w:val="none"/>
        </w:rPr>
      </w:pPr>
      <w:r>
        <w:rPr>
          <w:rFonts w:hint="eastAsia" w:ascii="宋体" w:hAnsi="宋体" w:cs="宋体"/>
          <w:szCs w:val="21"/>
          <w:highlight w:val="none"/>
        </w:rPr>
        <w:t>6.1.4 治安保卫</w:t>
      </w:r>
    </w:p>
    <w:p w14:paraId="4B3D4E45">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除专用合同条款另有约定外，发包人应与当地公安部门协商，在现场建立治安管理机构或联防组织，统一管理施工场地的治安保卫事项，履行合同工程的治安保卫职责。</w:t>
      </w:r>
    </w:p>
    <w:p w14:paraId="113D8541">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发包人和承包人除应协助现场治安管理机构或联防组织维护施工场地的社会治安外，还应做好包括生活区在内的各自管辖区的治安保卫工作。</w:t>
      </w:r>
    </w:p>
    <w:p w14:paraId="636BF181">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4D3D19D">
      <w:pPr>
        <w:spacing w:line="360" w:lineRule="auto"/>
        <w:ind w:firstLine="420" w:firstLineChars="200"/>
        <w:rPr>
          <w:rFonts w:ascii="宋体" w:hAnsi="宋体" w:cs="宋体"/>
          <w:szCs w:val="21"/>
          <w:highlight w:val="none"/>
        </w:rPr>
      </w:pPr>
      <w:r>
        <w:rPr>
          <w:rFonts w:hint="eastAsia" w:ascii="宋体" w:hAnsi="宋体" w:cs="宋体"/>
          <w:szCs w:val="21"/>
          <w:highlight w:val="none"/>
        </w:rPr>
        <w:t>6.1.5 文明施工</w:t>
      </w:r>
    </w:p>
    <w:p w14:paraId="120BE1EE">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0D5CEB5">
      <w:pPr>
        <w:spacing w:line="360" w:lineRule="auto"/>
        <w:ind w:firstLine="420" w:firstLineChars="200"/>
        <w:rPr>
          <w:rFonts w:ascii="宋体" w:hAnsi="宋体" w:cs="宋体"/>
          <w:szCs w:val="21"/>
          <w:highlight w:val="none"/>
        </w:rPr>
      </w:pPr>
      <w:r>
        <w:rPr>
          <w:rFonts w:hint="eastAsia" w:ascii="宋体" w:hAnsi="宋体" w:cs="宋体"/>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07AA3B0">
      <w:pPr>
        <w:spacing w:line="360" w:lineRule="auto"/>
        <w:ind w:firstLine="420" w:firstLineChars="200"/>
        <w:rPr>
          <w:rFonts w:ascii="宋体" w:hAnsi="宋体" w:cs="宋体"/>
          <w:szCs w:val="21"/>
          <w:highlight w:val="none"/>
        </w:rPr>
      </w:pPr>
      <w:r>
        <w:rPr>
          <w:rFonts w:hint="eastAsia" w:ascii="宋体" w:hAnsi="宋体" w:cs="宋体"/>
          <w:szCs w:val="21"/>
          <w:highlight w:val="none"/>
        </w:rPr>
        <w:t>6.1.6 安全文明施工费</w:t>
      </w:r>
    </w:p>
    <w:p w14:paraId="3E6C2760">
      <w:pPr>
        <w:spacing w:line="360" w:lineRule="auto"/>
        <w:ind w:firstLine="420" w:firstLineChars="200"/>
        <w:rPr>
          <w:rFonts w:ascii="宋体" w:hAnsi="宋体" w:cs="宋体"/>
          <w:szCs w:val="21"/>
          <w:highlight w:val="none"/>
        </w:rPr>
      </w:pPr>
      <w:r>
        <w:rPr>
          <w:rFonts w:hint="eastAsia" w:ascii="宋体" w:hAnsi="宋体" w:cs="宋体"/>
          <w:szCs w:val="21"/>
          <w:highlight w:val="none"/>
        </w:rPr>
        <w:t>安全文明施工费由发包人承担，发包人不得以任何形式扣减该部分费用。因基准日期后合同所适用的法律或政府有关规定发生变化，增加的安全文明施工费由发包人承担。</w:t>
      </w:r>
    </w:p>
    <w:p w14:paraId="6D94753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1B99D36">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2CD519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0E1BEDB">
      <w:pPr>
        <w:spacing w:line="360" w:lineRule="auto"/>
        <w:ind w:firstLine="420" w:firstLineChars="200"/>
        <w:rPr>
          <w:rFonts w:ascii="宋体" w:hAnsi="宋体" w:cs="宋体"/>
          <w:szCs w:val="21"/>
          <w:highlight w:val="none"/>
        </w:rPr>
      </w:pPr>
      <w:r>
        <w:rPr>
          <w:rFonts w:hint="eastAsia" w:ascii="宋体" w:hAnsi="宋体" w:cs="宋体"/>
          <w:szCs w:val="21"/>
          <w:highlight w:val="none"/>
        </w:rPr>
        <w:t>6.1.7 紧急情况处理</w:t>
      </w:r>
    </w:p>
    <w:p w14:paraId="5C8149A1">
      <w:pPr>
        <w:spacing w:line="360" w:lineRule="auto"/>
        <w:ind w:firstLine="420" w:firstLineChars="200"/>
        <w:rPr>
          <w:rFonts w:ascii="宋体" w:hAnsi="宋体" w:cs="宋体"/>
          <w:szCs w:val="21"/>
          <w:highlight w:val="none"/>
        </w:rPr>
      </w:pPr>
      <w:r>
        <w:rPr>
          <w:rFonts w:hint="eastAsia" w:ascii="宋体" w:hAnsi="宋体" w:cs="宋体"/>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延误的工期由承包人承担。</w:t>
      </w:r>
    </w:p>
    <w:p w14:paraId="0984E071">
      <w:pPr>
        <w:spacing w:line="360" w:lineRule="auto"/>
        <w:ind w:firstLine="420" w:firstLineChars="200"/>
        <w:rPr>
          <w:rFonts w:ascii="宋体" w:hAnsi="宋体" w:cs="宋体"/>
          <w:szCs w:val="21"/>
          <w:highlight w:val="none"/>
        </w:rPr>
      </w:pPr>
      <w:r>
        <w:rPr>
          <w:rFonts w:hint="eastAsia" w:ascii="宋体" w:hAnsi="宋体" w:cs="宋体"/>
          <w:szCs w:val="21"/>
          <w:highlight w:val="none"/>
        </w:rPr>
        <w:t>6.1.8 事故处理</w:t>
      </w:r>
    </w:p>
    <w:p w14:paraId="149CE3F8">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D56A84F">
      <w:pPr>
        <w:spacing w:line="360" w:lineRule="auto"/>
        <w:ind w:firstLine="420" w:firstLineChars="200"/>
        <w:rPr>
          <w:rFonts w:ascii="宋体" w:hAnsi="宋体" w:cs="宋体"/>
          <w:szCs w:val="21"/>
          <w:highlight w:val="none"/>
        </w:rPr>
      </w:pPr>
      <w:r>
        <w:rPr>
          <w:rFonts w:hint="eastAsia" w:ascii="宋体" w:hAnsi="宋体" w:cs="宋体"/>
          <w:szCs w:val="21"/>
          <w:highlight w:val="none"/>
        </w:rPr>
        <w:t>6.1.9 安全生产责任</w:t>
      </w:r>
    </w:p>
    <w:p w14:paraId="1CC91E4D">
      <w:pPr>
        <w:spacing w:line="360" w:lineRule="auto"/>
        <w:ind w:firstLine="420" w:firstLineChars="200"/>
        <w:rPr>
          <w:rFonts w:ascii="宋体" w:hAnsi="宋体" w:cs="宋体"/>
          <w:szCs w:val="21"/>
          <w:highlight w:val="none"/>
        </w:rPr>
      </w:pPr>
      <w:r>
        <w:rPr>
          <w:rFonts w:hint="eastAsia" w:ascii="宋体" w:hAnsi="宋体" w:cs="宋体"/>
          <w:szCs w:val="21"/>
          <w:highlight w:val="none"/>
        </w:rPr>
        <w:t>6.1.9.1 发包人的安全责任</w:t>
      </w:r>
    </w:p>
    <w:p w14:paraId="34280A34">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发包人应负责赔偿以下各种情况造成的损失：</w:t>
      </w:r>
    </w:p>
    <w:p w14:paraId="7E6E95B7">
      <w:pPr>
        <w:spacing w:line="360" w:lineRule="auto"/>
        <w:ind w:firstLine="420" w:firstLineChars="200"/>
        <w:rPr>
          <w:rFonts w:ascii="宋体" w:hAnsi="宋体" w:cs="宋体"/>
          <w:szCs w:val="21"/>
          <w:highlight w:val="none"/>
        </w:rPr>
      </w:pPr>
      <w:r>
        <w:rPr>
          <w:rFonts w:hint="eastAsia" w:ascii="宋体" w:hAnsi="宋体" w:cs="宋体"/>
          <w:szCs w:val="21"/>
          <w:highlight w:val="none"/>
        </w:rPr>
        <w:t>（1）工程或工程的任何部分对土地的占用所造成的第三者财产损失；</w:t>
      </w:r>
    </w:p>
    <w:p w14:paraId="21962AA3">
      <w:pPr>
        <w:spacing w:line="360" w:lineRule="auto"/>
        <w:ind w:firstLine="420" w:firstLineChars="200"/>
        <w:rPr>
          <w:rFonts w:ascii="宋体" w:hAnsi="宋体" w:cs="宋体"/>
          <w:szCs w:val="21"/>
          <w:highlight w:val="none"/>
        </w:rPr>
      </w:pPr>
      <w:r>
        <w:rPr>
          <w:rFonts w:hint="eastAsia" w:ascii="宋体" w:hAnsi="宋体" w:cs="宋体"/>
          <w:szCs w:val="21"/>
          <w:highlight w:val="none"/>
        </w:rPr>
        <w:t>（2）由于发包人原因在施工场地及其毗邻地带造成的第三者人身伤亡和财产损失；</w:t>
      </w:r>
    </w:p>
    <w:p w14:paraId="40024C00">
      <w:pPr>
        <w:spacing w:line="360" w:lineRule="auto"/>
        <w:ind w:firstLine="420" w:firstLineChars="200"/>
        <w:rPr>
          <w:rFonts w:ascii="宋体" w:hAnsi="宋体" w:cs="宋体"/>
          <w:szCs w:val="21"/>
          <w:highlight w:val="none"/>
        </w:rPr>
      </w:pPr>
      <w:r>
        <w:rPr>
          <w:rFonts w:hint="eastAsia" w:ascii="宋体" w:hAnsi="宋体" w:cs="宋体"/>
          <w:szCs w:val="21"/>
          <w:highlight w:val="none"/>
        </w:rPr>
        <w:t>（3）由于发包人原因对承包人、监理人造成的人员人身伤亡和财产损失；</w:t>
      </w:r>
    </w:p>
    <w:p w14:paraId="411B65AE">
      <w:pPr>
        <w:spacing w:line="360" w:lineRule="auto"/>
        <w:ind w:firstLine="420" w:firstLineChars="200"/>
        <w:rPr>
          <w:rFonts w:ascii="宋体" w:hAnsi="宋体" w:cs="宋体"/>
          <w:szCs w:val="21"/>
          <w:highlight w:val="none"/>
        </w:rPr>
      </w:pPr>
      <w:r>
        <w:rPr>
          <w:rFonts w:hint="eastAsia" w:ascii="宋体" w:hAnsi="宋体" w:cs="宋体"/>
          <w:szCs w:val="21"/>
          <w:highlight w:val="none"/>
        </w:rPr>
        <w:t>（4）由于发包人原因造成的发包人自身人员的人身伤害以及财产损失。</w:t>
      </w:r>
    </w:p>
    <w:p w14:paraId="4922A54C">
      <w:pPr>
        <w:spacing w:line="360" w:lineRule="auto"/>
        <w:ind w:firstLine="420" w:firstLineChars="200"/>
        <w:rPr>
          <w:rFonts w:ascii="宋体" w:hAnsi="宋体" w:cs="宋体"/>
          <w:szCs w:val="21"/>
          <w:highlight w:val="none"/>
        </w:rPr>
      </w:pPr>
      <w:r>
        <w:rPr>
          <w:rFonts w:hint="eastAsia" w:ascii="宋体" w:hAnsi="宋体" w:cs="宋体"/>
          <w:szCs w:val="21"/>
          <w:highlight w:val="none"/>
        </w:rPr>
        <w:t>6.1.9.2 承包人的安全责任</w:t>
      </w:r>
    </w:p>
    <w:p w14:paraId="5392F123">
      <w:pPr>
        <w:spacing w:line="360" w:lineRule="auto"/>
        <w:ind w:firstLine="420" w:firstLineChars="200"/>
        <w:rPr>
          <w:rFonts w:ascii="宋体" w:hAnsi="宋体" w:cs="宋体"/>
          <w:szCs w:val="21"/>
          <w:highlight w:val="none"/>
        </w:rPr>
      </w:pPr>
      <w:r>
        <w:rPr>
          <w:rFonts w:hint="eastAsia" w:ascii="宋体" w:hAnsi="宋体" w:cs="宋体"/>
          <w:szCs w:val="21"/>
          <w:highlight w:val="none"/>
        </w:rPr>
        <w:t>由于承包人原因在施工场地内及其毗邻地带造成的发包人、监理人以及第三者人员伤亡和财产损失，由承包人负责赔偿。</w:t>
      </w:r>
    </w:p>
    <w:p w14:paraId="088136C5">
      <w:pPr>
        <w:spacing w:line="360" w:lineRule="auto"/>
        <w:ind w:firstLine="420" w:firstLineChars="200"/>
        <w:rPr>
          <w:rFonts w:ascii="宋体" w:hAnsi="宋体" w:cs="宋体"/>
          <w:szCs w:val="21"/>
          <w:highlight w:val="none"/>
        </w:rPr>
      </w:pPr>
      <w:bookmarkStart w:id="172" w:name="_Toc351203540"/>
      <w:r>
        <w:rPr>
          <w:rFonts w:hint="eastAsia" w:ascii="宋体" w:hAnsi="宋体" w:cs="宋体"/>
          <w:szCs w:val="21"/>
          <w:highlight w:val="none"/>
        </w:rPr>
        <w:t>6</w:t>
      </w:r>
      <w:bookmarkStart w:id="173" w:name="_Toc337558765"/>
      <w:r>
        <w:rPr>
          <w:rFonts w:hint="eastAsia" w:ascii="宋体" w:hAnsi="宋体" w:cs="宋体"/>
          <w:szCs w:val="21"/>
          <w:highlight w:val="none"/>
        </w:rPr>
        <w:t>.2 职业健康</w:t>
      </w:r>
      <w:bookmarkEnd w:id="172"/>
    </w:p>
    <w:bookmarkEnd w:id="173"/>
    <w:p w14:paraId="6E061C5D">
      <w:pPr>
        <w:spacing w:line="360" w:lineRule="auto"/>
        <w:ind w:firstLine="420" w:firstLineChars="200"/>
        <w:rPr>
          <w:rFonts w:ascii="宋体" w:hAnsi="宋体" w:cs="宋体"/>
          <w:szCs w:val="21"/>
          <w:highlight w:val="none"/>
        </w:rPr>
      </w:pPr>
      <w:r>
        <w:rPr>
          <w:rFonts w:hint="eastAsia" w:ascii="宋体" w:hAnsi="宋体" w:cs="宋体"/>
          <w:szCs w:val="21"/>
          <w:highlight w:val="none"/>
        </w:rPr>
        <w:t>6.2.1 劳动保护</w:t>
      </w:r>
    </w:p>
    <w:p w14:paraId="44BDEFD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75AE98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DAC071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547EAD51">
      <w:pPr>
        <w:spacing w:line="360" w:lineRule="auto"/>
        <w:ind w:firstLine="420" w:firstLineChars="200"/>
        <w:rPr>
          <w:rFonts w:ascii="宋体" w:hAnsi="宋体" w:cs="宋体"/>
          <w:szCs w:val="21"/>
          <w:highlight w:val="none"/>
        </w:rPr>
      </w:pPr>
      <w:r>
        <w:rPr>
          <w:rFonts w:hint="eastAsia" w:ascii="宋体" w:hAnsi="宋体" w:cs="宋体"/>
          <w:szCs w:val="21"/>
          <w:highlight w:val="none"/>
        </w:rPr>
        <w:t>6.2.2 生活条件</w:t>
      </w:r>
    </w:p>
    <w:p w14:paraId="7087A07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42ED40B">
      <w:pPr>
        <w:spacing w:line="360" w:lineRule="auto"/>
        <w:ind w:firstLine="420" w:firstLineChars="200"/>
        <w:rPr>
          <w:rFonts w:ascii="宋体" w:hAnsi="宋体" w:cs="宋体"/>
          <w:szCs w:val="21"/>
          <w:highlight w:val="none"/>
        </w:rPr>
      </w:pPr>
      <w:bookmarkStart w:id="174" w:name="_Toc351203541"/>
      <w:r>
        <w:rPr>
          <w:rFonts w:hint="eastAsia" w:ascii="宋体" w:hAnsi="宋体" w:cs="宋体"/>
          <w:szCs w:val="21"/>
          <w:highlight w:val="none"/>
        </w:rPr>
        <w:t>6</w:t>
      </w:r>
      <w:bookmarkStart w:id="175" w:name="_Toc337558766"/>
      <w:r>
        <w:rPr>
          <w:rFonts w:hint="eastAsia" w:ascii="宋体" w:hAnsi="宋体" w:cs="宋体"/>
          <w:szCs w:val="21"/>
          <w:highlight w:val="none"/>
        </w:rPr>
        <w:t>.3 环境保护</w:t>
      </w:r>
      <w:bookmarkEnd w:id="174"/>
    </w:p>
    <w:bookmarkEnd w:id="175"/>
    <w:p w14:paraId="45E597B2">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B99BAAA">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承包人应当承担因其原因引起的环境污染侵权损害赔偿责任，因上述环境污染引起纠纷而导致暂停施工的，由此增加的费用和延误的工期由承包人承担。</w:t>
      </w:r>
    </w:p>
    <w:p w14:paraId="02909BAC">
      <w:pPr>
        <w:spacing w:line="360" w:lineRule="auto"/>
        <w:ind w:firstLine="420" w:firstLineChars="200"/>
        <w:rPr>
          <w:rFonts w:ascii="宋体" w:hAnsi="宋体" w:cs="宋体"/>
          <w:szCs w:val="21"/>
          <w:highlight w:val="none"/>
        </w:rPr>
      </w:pPr>
      <w:bookmarkStart w:id="176" w:name="_Toc351203542"/>
      <w:r>
        <w:rPr>
          <w:rFonts w:hint="eastAsia" w:ascii="宋体" w:hAnsi="宋体" w:cs="宋体"/>
          <w:szCs w:val="21"/>
          <w:highlight w:val="none"/>
        </w:rPr>
        <w:t>7</w:t>
      </w:r>
      <w:bookmarkStart w:id="177" w:name="_Toc337558767"/>
      <w:r>
        <w:rPr>
          <w:rFonts w:hint="eastAsia" w:ascii="宋体" w:hAnsi="宋体" w:cs="宋体"/>
          <w:szCs w:val="21"/>
          <w:highlight w:val="none"/>
        </w:rPr>
        <w:t>. 工期和进度</w:t>
      </w:r>
      <w:bookmarkEnd w:id="176"/>
    </w:p>
    <w:bookmarkEnd w:id="177"/>
    <w:p w14:paraId="11A6DF6A">
      <w:pPr>
        <w:spacing w:line="360" w:lineRule="auto"/>
        <w:ind w:firstLine="420" w:firstLineChars="200"/>
        <w:rPr>
          <w:rFonts w:ascii="宋体" w:hAnsi="宋体" w:cs="宋体"/>
          <w:szCs w:val="21"/>
          <w:highlight w:val="none"/>
        </w:rPr>
      </w:pPr>
      <w:bookmarkStart w:id="178" w:name="_Toc351203543"/>
      <w:r>
        <w:rPr>
          <w:rFonts w:hint="eastAsia" w:ascii="宋体" w:hAnsi="宋体" w:cs="宋体"/>
          <w:szCs w:val="21"/>
          <w:highlight w:val="none"/>
        </w:rPr>
        <w:t>7</w:t>
      </w:r>
      <w:bookmarkStart w:id="179" w:name="_Toc337558768"/>
      <w:bookmarkStart w:id="180" w:name="_Toc296503066"/>
      <w:bookmarkStart w:id="181" w:name="_Toc296346567"/>
      <w:r>
        <w:rPr>
          <w:rFonts w:hint="eastAsia" w:ascii="宋体" w:hAnsi="宋体" w:cs="宋体"/>
          <w:szCs w:val="21"/>
          <w:highlight w:val="none"/>
        </w:rPr>
        <w:t>.1施工组织设计</w:t>
      </w:r>
      <w:bookmarkEnd w:id="178"/>
    </w:p>
    <w:bookmarkEnd w:id="179"/>
    <w:p w14:paraId="61FEA494">
      <w:pPr>
        <w:spacing w:line="360" w:lineRule="auto"/>
        <w:ind w:firstLine="420" w:firstLineChars="200"/>
        <w:rPr>
          <w:rFonts w:ascii="宋体" w:hAnsi="宋体" w:cs="宋体"/>
          <w:szCs w:val="21"/>
          <w:highlight w:val="none"/>
        </w:rPr>
      </w:pPr>
      <w:r>
        <w:rPr>
          <w:rFonts w:hint="eastAsia" w:ascii="宋体" w:hAnsi="宋体" w:cs="宋体"/>
          <w:szCs w:val="21"/>
          <w:highlight w:val="none"/>
        </w:rPr>
        <w:t>7.1.1 施工组织设计的内容</w:t>
      </w:r>
    </w:p>
    <w:p w14:paraId="6B62E1A2">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施工组织设计应包含以下内容：</w:t>
      </w:r>
    </w:p>
    <w:p w14:paraId="2E3A0F1D">
      <w:pPr>
        <w:spacing w:line="360" w:lineRule="auto"/>
        <w:ind w:firstLine="420" w:firstLineChars="200"/>
        <w:rPr>
          <w:rFonts w:ascii="宋体" w:hAnsi="宋体" w:cs="宋体"/>
          <w:szCs w:val="21"/>
          <w:highlight w:val="none"/>
        </w:rPr>
      </w:pPr>
      <w:r>
        <w:rPr>
          <w:rFonts w:hint="eastAsia" w:ascii="宋体" w:hAnsi="宋体" w:cs="宋体"/>
          <w:szCs w:val="21"/>
          <w:highlight w:val="none"/>
        </w:rPr>
        <w:t>（1）施工方案及技术措施；</w:t>
      </w:r>
    </w:p>
    <w:p w14:paraId="7A8E9D12">
      <w:pPr>
        <w:spacing w:line="360" w:lineRule="auto"/>
        <w:ind w:firstLine="420" w:firstLineChars="200"/>
        <w:rPr>
          <w:rFonts w:ascii="宋体" w:hAnsi="宋体" w:cs="宋体"/>
          <w:szCs w:val="21"/>
          <w:highlight w:val="none"/>
        </w:rPr>
      </w:pPr>
      <w:r>
        <w:rPr>
          <w:rFonts w:hint="eastAsia" w:ascii="宋体" w:hAnsi="宋体" w:cs="宋体"/>
          <w:szCs w:val="21"/>
          <w:highlight w:val="none"/>
        </w:rPr>
        <w:t>（2）施工总进度计划及工期保证措施（附横道图或网络图）；</w:t>
      </w:r>
    </w:p>
    <w:p w14:paraId="2C4D94F8">
      <w:pPr>
        <w:spacing w:line="360" w:lineRule="auto"/>
        <w:ind w:firstLine="420" w:firstLineChars="200"/>
        <w:rPr>
          <w:rFonts w:ascii="宋体" w:hAnsi="宋体" w:cs="宋体"/>
          <w:szCs w:val="21"/>
          <w:highlight w:val="none"/>
        </w:rPr>
      </w:pPr>
      <w:r>
        <w:rPr>
          <w:rFonts w:hint="eastAsia" w:ascii="宋体" w:hAnsi="宋体" w:cs="宋体"/>
          <w:szCs w:val="21"/>
          <w:highlight w:val="none"/>
        </w:rPr>
        <w:t>（3）施工现场总平面布置（附总平面布置图）；</w:t>
      </w:r>
    </w:p>
    <w:p w14:paraId="2EC96552">
      <w:pPr>
        <w:spacing w:line="360" w:lineRule="auto"/>
        <w:ind w:firstLine="420" w:firstLineChars="200"/>
        <w:rPr>
          <w:rFonts w:ascii="宋体" w:hAnsi="宋体" w:cs="宋体"/>
          <w:szCs w:val="21"/>
          <w:highlight w:val="none"/>
        </w:rPr>
      </w:pPr>
      <w:r>
        <w:rPr>
          <w:rFonts w:hint="eastAsia" w:ascii="宋体" w:hAnsi="宋体" w:cs="宋体"/>
          <w:szCs w:val="21"/>
          <w:highlight w:val="none"/>
        </w:rPr>
        <w:t>（4）质量保证措施；</w:t>
      </w:r>
    </w:p>
    <w:p w14:paraId="6862B4AE">
      <w:pPr>
        <w:spacing w:line="360" w:lineRule="auto"/>
        <w:ind w:firstLine="420" w:firstLineChars="200"/>
        <w:rPr>
          <w:rFonts w:ascii="宋体" w:hAnsi="宋体" w:cs="宋体"/>
          <w:szCs w:val="21"/>
          <w:highlight w:val="none"/>
        </w:rPr>
      </w:pPr>
      <w:r>
        <w:rPr>
          <w:rFonts w:hint="eastAsia" w:ascii="宋体" w:hAnsi="宋体" w:cs="宋体"/>
          <w:szCs w:val="21"/>
          <w:highlight w:val="none"/>
        </w:rPr>
        <w:t>（5）施工安全措施；</w:t>
      </w:r>
    </w:p>
    <w:p w14:paraId="48CC179E">
      <w:pPr>
        <w:spacing w:line="360" w:lineRule="auto"/>
        <w:ind w:firstLine="420" w:firstLineChars="200"/>
        <w:rPr>
          <w:rFonts w:ascii="宋体" w:hAnsi="宋体" w:cs="宋体"/>
          <w:szCs w:val="21"/>
          <w:highlight w:val="none"/>
        </w:rPr>
      </w:pPr>
      <w:r>
        <w:rPr>
          <w:rFonts w:hint="eastAsia" w:ascii="宋体" w:hAnsi="宋体" w:cs="宋体"/>
          <w:szCs w:val="21"/>
          <w:highlight w:val="none"/>
        </w:rPr>
        <w:t>（6）文明施工及环保措施；</w:t>
      </w:r>
    </w:p>
    <w:p w14:paraId="51DD38AE">
      <w:pPr>
        <w:spacing w:line="360" w:lineRule="auto"/>
        <w:ind w:firstLine="420" w:firstLineChars="200"/>
        <w:rPr>
          <w:rFonts w:ascii="宋体" w:hAnsi="宋体" w:cs="宋体"/>
          <w:szCs w:val="21"/>
          <w:highlight w:val="none"/>
        </w:rPr>
      </w:pPr>
      <w:r>
        <w:rPr>
          <w:rFonts w:hint="eastAsia" w:ascii="宋体" w:hAnsi="宋体" w:cs="宋体"/>
          <w:szCs w:val="21"/>
          <w:highlight w:val="none"/>
        </w:rPr>
        <w:t>（7）项目组织管理机构；</w:t>
      </w:r>
    </w:p>
    <w:p w14:paraId="0C96868B">
      <w:pPr>
        <w:spacing w:line="360" w:lineRule="auto"/>
        <w:ind w:firstLine="420" w:firstLineChars="200"/>
        <w:rPr>
          <w:rFonts w:ascii="宋体" w:hAnsi="宋体" w:cs="宋体"/>
          <w:szCs w:val="21"/>
          <w:highlight w:val="none"/>
        </w:rPr>
      </w:pPr>
      <w:r>
        <w:rPr>
          <w:rFonts w:hint="eastAsia" w:ascii="宋体" w:hAnsi="宋体" w:cs="宋体"/>
          <w:szCs w:val="21"/>
          <w:highlight w:val="none"/>
        </w:rPr>
        <w:t>（8）施工资源投入计划（包括劳动力、材料、机械设备等）；</w:t>
      </w:r>
    </w:p>
    <w:p w14:paraId="65EB15CF">
      <w:pPr>
        <w:spacing w:line="360" w:lineRule="auto"/>
        <w:ind w:firstLine="420" w:firstLineChars="200"/>
        <w:rPr>
          <w:rFonts w:ascii="宋体" w:hAnsi="宋体" w:cs="宋体"/>
          <w:szCs w:val="21"/>
          <w:highlight w:val="none"/>
        </w:rPr>
      </w:pPr>
      <w:r>
        <w:rPr>
          <w:rFonts w:hint="eastAsia" w:ascii="宋体" w:hAnsi="宋体" w:cs="宋体"/>
          <w:szCs w:val="21"/>
          <w:highlight w:val="none"/>
        </w:rPr>
        <w:t>（9）采用新技术、新工艺对提供工程质量、缩短工期、降低造价的可行性；</w:t>
      </w:r>
    </w:p>
    <w:p w14:paraId="6960595D">
      <w:pPr>
        <w:spacing w:line="360" w:lineRule="auto"/>
        <w:ind w:firstLine="420" w:firstLineChars="200"/>
        <w:rPr>
          <w:rFonts w:ascii="宋体" w:hAnsi="宋体" w:cs="宋体"/>
          <w:szCs w:val="21"/>
          <w:highlight w:val="none"/>
        </w:rPr>
      </w:pPr>
      <w:r>
        <w:rPr>
          <w:rFonts w:hint="eastAsia" w:ascii="宋体" w:hAnsi="宋体" w:cs="宋体"/>
          <w:szCs w:val="21"/>
          <w:highlight w:val="none"/>
        </w:rPr>
        <w:t>（10）施工现场扬尘污染防治措施。</w:t>
      </w:r>
    </w:p>
    <w:p w14:paraId="102F6242">
      <w:pPr>
        <w:spacing w:line="360" w:lineRule="auto"/>
        <w:ind w:firstLine="420" w:firstLineChars="200"/>
        <w:rPr>
          <w:rFonts w:ascii="宋体" w:hAnsi="宋体" w:cs="宋体"/>
          <w:szCs w:val="21"/>
          <w:highlight w:val="none"/>
        </w:rPr>
      </w:pPr>
      <w:r>
        <w:rPr>
          <w:rFonts w:hint="eastAsia" w:ascii="宋体" w:hAnsi="宋体" w:cs="宋体"/>
          <w:szCs w:val="21"/>
          <w:highlight w:val="none"/>
        </w:rPr>
        <w:t>（11）合同当事人约定的其他内容。</w:t>
      </w:r>
    </w:p>
    <w:p w14:paraId="0D7103C4">
      <w:pPr>
        <w:spacing w:line="360" w:lineRule="auto"/>
        <w:ind w:firstLine="420" w:firstLineChars="200"/>
        <w:rPr>
          <w:rFonts w:ascii="宋体" w:hAnsi="宋体" w:cs="宋体"/>
          <w:szCs w:val="21"/>
          <w:highlight w:val="none"/>
        </w:rPr>
      </w:pPr>
      <w:r>
        <w:rPr>
          <w:rFonts w:hint="eastAsia" w:ascii="宋体" w:hAnsi="宋体" w:cs="宋体"/>
          <w:szCs w:val="21"/>
          <w:highlight w:val="none"/>
        </w:rPr>
        <w:t>7.1.2 施工组织设计的提交和修改</w:t>
      </w:r>
    </w:p>
    <w:p w14:paraId="7A612B77">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CEB2108">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施工进度计划的编制和修改按照第7.2款〔施工进度计划〕执行。</w:t>
      </w:r>
    </w:p>
    <w:p w14:paraId="02AEF7ED">
      <w:pPr>
        <w:spacing w:line="360" w:lineRule="auto"/>
        <w:ind w:firstLine="420" w:firstLineChars="200"/>
        <w:rPr>
          <w:rFonts w:ascii="宋体" w:hAnsi="宋体" w:cs="宋体"/>
          <w:szCs w:val="21"/>
          <w:highlight w:val="none"/>
        </w:rPr>
      </w:pPr>
      <w:bookmarkStart w:id="182" w:name="_Toc351203544"/>
      <w:r>
        <w:rPr>
          <w:rFonts w:hint="eastAsia" w:ascii="宋体" w:hAnsi="宋体" w:cs="宋体"/>
          <w:szCs w:val="21"/>
          <w:highlight w:val="none"/>
        </w:rPr>
        <w:t>7</w:t>
      </w:r>
      <w:bookmarkStart w:id="183" w:name="_Toc337558769"/>
      <w:r>
        <w:rPr>
          <w:rFonts w:hint="eastAsia" w:ascii="宋体" w:hAnsi="宋体" w:cs="宋体"/>
          <w:szCs w:val="21"/>
          <w:highlight w:val="none"/>
        </w:rPr>
        <w:t>.2 施工进度计划</w:t>
      </w:r>
      <w:bookmarkEnd w:id="182"/>
    </w:p>
    <w:bookmarkEnd w:id="183"/>
    <w:p w14:paraId="76A83722">
      <w:pPr>
        <w:spacing w:line="360" w:lineRule="auto"/>
        <w:ind w:firstLine="420" w:firstLineChars="200"/>
        <w:rPr>
          <w:rFonts w:ascii="宋体" w:hAnsi="宋体" w:cs="宋体"/>
          <w:szCs w:val="21"/>
          <w:highlight w:val="none"/>
        </w:rPr>
      </w:pPr>
      <w:r>
        <w:rPr>
          <w:rFonts w:hint="eastAsia" w:ascii="宋体" w:hAnsi="宋体" w:cs="宋体"/>
          <w:szCs w:val="21"/>
          <w:highlight w:val="none"/>
        </w:rPr>
        <w:t>7.2.1 施工进度计划的编制</w:t>
      </w:r>
    </w:p>
    <w:p w14:paraId="6681CCD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4895CE8">
      <w:pPr>
        <w:spacing w:line="360" w:lineRule="auto"/>
        <w:ind w:firstLine="420" w:firstLineChars="200"/>
        <w:rPr>
          <w:rFonts w:ascii="宋体" w:hAnsi="宋体" w:cs="宋体"/>
          <w:szCs w:val="21"/>
          <w:highlight w:val="none"/>
        </w:rPr>
      </w:pPr>
      <w:r>
        <w:rPr>
          <w:rFonts w:hint="eastAsia" w:ascii="宋体" w:hAnsi="宋体" w:cs="宋体"/>
          <w:szCs w:val="21"/>
          <w:highlight w:val="none"/>
        </w:rPr>
        <w:t>7.2.2 施工进度计划的修订</w:t>
      </w:r>
    </w:p>
    <w:p w14:paraId="7513F05A">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3D2E366">
      <w:pPr>
        <w:spacing w:line="360" w:lineRule="auto"/>
        <w:ind w:firstLine="420" w:firstLineChars="200"/>
        <w:rPr>
          <w:rFonts w:ascii="宋体" w:hAnsi="宋体" w:cs="宋体"/>
          <w:szCs w:val="21"/>
          <w:highlight w:val="none"/>
        </w:rPr>
      </w:pPr>
      <w:bookmarkStart w:id="184" w:name="_Toc351203545"/>
      <w:r>
        <w:rPr>
          <w:rFonts w:hint="eastAsia" w:ascii="宋体" w:hAnsi="宋体" w:cs="宋体"/>
          <w:szCs w:val="21"/>
          <w:highlight w:val="none"/>
        </w:rPr>
        <w:t>7</w:t>
      </w:r>
      <w:bookmarkStart w:id="185" w:name="_Toc337558770"/>
      <w:r>
        <w:rPr>
          <w:rFonts w:hint="eastAsia" w:ascii="宋体" w:hAnsi="宋体" w:cs="宋体"/>
          <w:szCs w:val="21"/>
          <w:highlight w:val="none"/>
        </w:rPr>
        <w:t>.3 开工</w:t>
      </w:r>
      <w:bookmarkEnd w:id="184"/>
    </w:p>
    <w:p w14:paraId="20B61E1C">
      <w:pPr>
        <w:spacing w:line="360" w:lineRule="auto"/>
        <w:ind w:firstLine="420" w:firstLineChars="200"/>
        <w:rPr>
          <w:rFonts w:ascii="宋体" w:hAnsi="宋体" w:cs="宋体"/>
          <w:szCs w:val="21"/>
          <w:highlight w:val="none"/>
        </w:rPr>
      </w:pPr>
      <w:r>
        <w:rPr>
          <w:rFonts w:hint="eastAsia" w:ascii="宋体" w:hAnsi="宋体" w:cs="宋体"/>
          <w:szCs w:val="21"/>
          <w:highlight w:val="none"/>
        </w:rPr>
        <w:t>7.3.1 开工准备</w:t>
      </w:r>
    </w:p>
    <w:p w14:paraId="5C059C61">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1A96962">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除专用合同条款另有约定外，合同当事人应按约定完成开工准备工作。</w:t>
      </w:r>
    </w:p>
    <w:p w14:paraId="5023F4C7">
      <w:pPr>
        <w:spacing w:line="360" w:lineRule="auto"/>
        <w:ind w:firstLine="420" w:firstLineChars="200"/>
        <w:rPr>
          <w:rFonts w:ascii="宋体" w:hAnsi="宋体" w:cs="宋体"/>
          <w:szCs w:val="21"/>
          <w:highlight w:val="none"/>
        </w:rPr>
      </w:pPr>
      <w:r>
        <w:rPr>
          <w:rFonts w:hint="eastAsia" w:ascii="宋体" w:hAnsi="宋体" w:cs="宋体"/>
          <w:szCs w:val="21"/>
          <w:highlight w:val="none"/>
        </w:rPr>
        <w:t>7.3.2 开工通知</w:t>
      </w:r>
    </w:p>
    <w:bookmarkEnd w:id="185"/>
    <w:p w14:paraId="65BE36CE">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F2E98D5">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因发包人原因造成监理人未能在计划开工日期之日起90天内发出开工通知的，承包人有权提出价格调整要求，或者解除合同。发包人应当承担由此增加的费用或延误的工期，并向承包人支付合理利润。</w:t>
      </w:r>
    </w:p>
    <w:p w14:paraId="2EBE0C72">
      <w:pPr>
        <w:spacing w:line="360" w:lineRule="auto"/>
        <w:ind w:firstLine="420" w:firstLineChars="200"/>
        <w:rPr>
          <w:rFonts w:ascii="宋体" w:hAnsi="宋体" w:cs="宋体"/>
          <w:szCs w:val="21"/>
          <w:highlight w:val="none"/>
        </w:rPr>
      </w:pPr>
      <w:bookmarkStart w:id="186" w:name="_Toc351203546"/>
      <w:r>
        <w:rPr>
          <w:rFonts w:hint="eastAsia" w:ascii="宋体" w:hAnsi="宋体" w:cs="宋体"/>
          <w:szCs w:val="21"/>
          <w:highlight w:val="none"/>
        </w:rPr>
        <w:t>7.4测量放线</w:t>
      </w:r>
      <w:bookmarkEnd w:id="186"/>
    </w:p>
    <w:p w14:paraId="34758607">
      <w:pPr>
        <w:spacing w:line="360" w:lineRule="auto"/>
        <w:ind w:firstLine="420" w:firstLineChars="200"/>
        <w:rPr>
          <w:rFonts w:ascii="宋体" w:hAnsi="宋体" w:cs="宋体"/>
          <w:szCs w:val="21"/>
          <w:highlight w:val="none"/>
        </w:rPr>
      </w:pPr>
      <w:r>
        <w:rPr>
          <w:rFonts w:hint="eastAsia" w:ascii="宋体" w:hAnsi="宋体" w:cs="宋体"/>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F0FA52B">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42E9DE7">
      <w:pPr>
        <w:spacing w:line="360" w:lineRule="auto"/>
        <w:ind w:firstLine="420" w:firstLineChars="200"/>
        <w:rPr>
          <w:rFonts w:ascii="宋体" w:hAnsi="宋体" w:cs="宋体"/>
          <w:szCs w:val="21"/>
          <w:highlight w:val="none"/>
        </w:rPr>
      </w:pPr>
      <w:r>
        <w:rPr>
          <w:rFonts w:hint="eastAsia" w:ascii="宋体" w:hAnsi="宋体" w:cs="宋体"/>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6946F22">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施工过程中对施工现场内水准点等测量标志物的保护工作由承包人负责。</w:t>
      </w:r>
      <w:bookmarkStart w:id="187" w:name="_Toc351203547"/>
    </w:p>
    <w:p w14:paraId="582CE74D">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bookmarkEnd w:id="180"/>
      <w:bookmarkEnd w:id="181"/>
      <w:bookmarkStart w:id="188" w:name="_Toc296346574"/>
      <w:bookmarkStart w:id="189" w:name="_Toc296503073"/>
      <w:bookmarkStart w:id="190" w:name="_Toc337558772"/>
      <w:r>
        <w:rPr>
          <w:rFonts w:hint="eastAsia" w:ascii="宋体" w:hAnsi="宋体" w:cs="宋体"/>
          <w:szCs w:val="21"/>
          <w:highlight w:val="none"/>
        </w:rPr>
        <w:t>.5 工期延误</w:t>
      </w:r>
      <w:bookmarkEnd w:id="187"/>
    </w:p>
    <w:bookmarkEnd w:id="188"/>
    <w:bookmarkEnd w:id="189"/>
    <w:bookmarkEnd w:id="190"/>
    <w:p w14:paraId="3E5DFC5E">
      <w:pPr>
        <w:spacing w:line="360" w:lineRule="auto"/>
        <w:ind w:firstLine="420" w:firstLineChars="200"/>
        <w:rPr>
          <w:rFonts w:ascii="宋体" w:hAnsi="宋体" w:cs="宋体"/>
          <w:szCs w:val="21"/>
          <w:highlight w:val="none"/>
        </w:rPr>
      </w:pPr>
      <w:r>
        <w:rPr>
          <w:rFonts w:hint="eastAsia" w:ascii="宋体" w:hAnsi="宋体" w:cs="宋体"/>
          <w:szCs w:val="21"/>
          <w:highlight w:val="none"/>
        </w:rPr>
        <w:t>7.5.1 因发包人原因导致工期延误</w:t>
      </w:r>
    </w:p>
    <w:p w14:paraId="2EAB7EC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在合同履行过程中，因下列情况导致工期延误和（或）费用增加的，由发包人承担由此延误的工期和（或）增加的费用，且发包人应支付承包人合理的利润： </w:t>
      </w:r>
    </w:p>
    <w:p w14:paraId="7D3A6A1D">
      <w:pPr>
        <w:spacing w:line="360" w:lineRule="auto"/>
        <w:ind w:firstLine="420" w:firstLineChars="200"/>
        <w:rPr>
          <w:rFonts w:ascii="宋体" w:hAnsi="宋体" w:cs="宋体"/>
          <w:szCs w:val="21"/>
          <w:highlight w:val="none"/>
        </w:rPr>
      </w:pPr>
      <w:r>
        <w:rPr>
          <w:rFonts w:hint="eastAsia" w:ascii="宋体" w:hAnsi="宋体" w:cs="宋体"/>
          <w:szCs w:val="21"/>
          <w:highlight w:val="none"/>
        </w:rPr>
        <w:t>（1）发包人未能按合同约定提供图纸或所提供图纸不符合合同约定的；</w:t>
      </w:r>
    </w:p>
    <w:p w14:paraId="09B3DCA9">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（2）发包人未能按合同约定提供施工现场、施工条件、基础资料、许可、批准等开工条件的；</w:t>
      </w:r>
    </w:p>
    <w:p w14:paraId="43C1BED9">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（3）发包人提供的测量基准点、基准线和水准点及其书面资料存在错误或疏漏的；</w:t>
      </w:r>
    </w:p>
    <w:p w14:paraId="7906CF9B">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（4）发包人未能在计划开工日期之日起7天内同意下达开工通知的；</w:t>
      </w:r>
    </w:p>
    <w:p w14:paraId="55407BF1">
      <w:pPr>
        <w:spacing w:line="360" w:lineRule="auto"/>
        <w:ind w:firstLine="420" w:firstLineChars="200"/>
        <w:rPr>
          <w:rFonts w:ascii="宋体" w:hAnsi="宋体" w:cs="宋体"/>
          <w:szCs w:val="21"/>
          <w:highlight w:val="none"/>
        </w:rPr>
      </w:pPr>
      <w:r>
        <w:rPr>
          <w:rFonts w:hint="eastAsia" w:ascii="宋体" w:hAnsi="宋体" w:cs="宋体"/>
          <w:szCs w:val="21"/>
          <w:highlight w:val="none"/>
        </w:rPr>
        <w:t>（5）发包人未能按合同约定日期支付工程预付款、进度款或竣工结算款的；</w:t>
      </w:r>
    </w:p>
    <w:p w14:paraId="77ED4BAD">
      <w:pPr>
        <w:spacing w:line="360" w:lineRule="auto"/>
        <w:ind w:firstLine="420" w:firstLineChars="200"/>
        <w:rPr>
          <w:rFonts w:ascii="宋体" w:hAnsi="宋体" w:cs="宋体"/>
          <w:szCs w:val="21"/>
          <w:highlight w:val="none"/>
        </w:rPr>
      </w:pPr>
      <w:r>
        <w:rPr>
          <w:rFonts w:hint="eastAsia" w:ascii="宋体" w:hAnsi="宋体" w:cs="宋体"/>
          <w:szCs w:val="21"/>
          <w:highlight w:val="none"/>
        </w:rPr>
        <w:t>（6）监理人未按合同约定发出指示、批准等文件的；</w:t>
      </w:r>
    </w:p>
    <w:p w14:paraId="554D26CE">
      <w:pPr>
        <w:spacing w:line="360" w:lineRule="auto"/>
        <w:ind w:firstLine="420" w:firstLineChars="200"/>
        <w:rPr>
          <w:rFonts w:ascii="宋体" w:hAnsi="宋体" w:cs="宋体"/>
          <w:szCs w:val="21"/>
          <w:highlight w:val="none"/>
        </w:rPr>
      </w:pPr>
      <w:r>
        <w:rPr>
          <w:rFonts w:hint="eastAsia" w:ascii="宋体" w:hAnsi="宋体" w:cs="宋体"/>
          <w:szCs w:val="21"/>
          <w:highlight w:val="none"/>
        </w:rPr>
        <w:t>（7）专用合同条款中约定的其他情形。</w:t>
      </w:r>
    </w:p>
    <w:p w14:paraId="12B2433E">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77F9688">
      <w:pPr>
        <w:spacing w:line="360" w:lineRule="auto"/>
        <w:ind w:firstLine="420" w:firstLineChars="200"/>
        <w:rPr>
          <w:rFonts w:ascii="宋体" w:hAnsi="宋体" w:cs="宋体"/>
          <w:szCs w:val="21"/>
          <w:highlight w:val="none"/>
        </w:rPr>
      </w:pPr>
      <w:r>
        <w:rPr>
          <w:rFonts w:hint="eastAsia" w:ascii="宋体" w:hAnsi="宋体" w:cs="宋体"/>
          <w:szCs w:val="21"/>
          <w:highlight w:val="none"/>
        </w:rPr>
        <w:t>7.5.2 因承包人原因导致工期延误</w:t>
      </w:r>
    </w:p>
    <w:p w14:paraId="2B503025">
      <w:pPr>
        <w:spacing w:line="360" w:lineRule="auto"/>
        <w:ind w:firstLine="420" w:firstLineChars="200"/>
        <w:rPr>
          <w:rFonts w:ascii="宋体" w:hAnsi="宋体" w:cs="宋体"/>
          <w:szCs w:val="21"/>
          <w:highlight w:val="none"/>
        </w:rPr>
      </w:pPr>
      <w:bookmarkStart w:id="191" w:name="_Toc296346577"/>
      <w:bookmarkStart w:id="192" w:name="_Toc296503076"/>
      <w:r>
        <w:rPr>
          <w:rFonts w:hint="eastAsia" w:ascii="宋体" w:hAnsi="宋体" w:cs="宋体"/>
          <w:szCs w:val="21"/>
          <w:highlight w:val="none"/>
        </w:rPr>
        <w:t>因</w:t>
      </w:r>
      <w:bookmarkEnd w:id="191"/>
      <w:bookmarkEnd w:id="192"/>
      <w:r>
        <w:rPr>
          <w:rFonts w:hint="eastAsia" w:ascii="宋体" w:hAnsi="宋体" w:cs="宋体"/>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32175B5B">
      <w:pPr>
        <w:spacing w:line="360" w:lineRule="auto"/>
        <w:ind w:firstLine="420" w:firstLineChars="200"/>
        <w:rPr>
          <w:rFonts w:ascii="宋体" w:hAnsi="宋体" w:cs="宋体"/>
          <w:szCs w:val="21"/>
          <w:highlight w:val="none"/>
        </w:rPr>
      </w:pPr>
      <w:bookmarkStart w:id="193" w:name="_Toc351203548"/>
      <w:r>
        <w:rPr>
          <w:rFonts w:hint="eastAsia" w:ascii="宋体" w:hAnsi="宋体" w:cs="宋体"/>
          <w:szCs w:val="21"/>
          <w:highlight w:val="none"/>
        </w:rPr>
        <w:t>7</w:t>
      </w:r>
      <w:bookmarkStart w:id="194" w:name="_Toc296503074"/>
      <w:bookmarkStart w:id="195" w:name="_Toc296346575"/>
      <w:bookmarkStart w:id="196" w:name="_Toc337558773"/>
      <w:bookmarkStart w:id="197" w:name="_Toc296346578"/>
      <w:bookmarkStart w:id="198" w:name="_Toc296503077"/>
      <w:r>
        <w:rPr>
          <w:rFonts w:hint="eastAsia" w:ascii="宋体" w:hAnsi="宋体" w:cs="宋体"/>
          <w:szCs w:val="21"/>
          <w:highlight w:val="none"/>
        </w:rPr>
        <w:t>.6 不利物质条件</w:t>
      </w:r>
      <w:bookmarkEnd w:id="193"/>
    </w:p>
    <w:bookmarkEnd w:id="194"/>
    <w:bookmarkEnd w:id="195"/>
    <w:bookmarkEnd w:id="196"/>
    <w:p w14:paraId="361B7C7C">
      <w:pPr>
        <w:spacing w:line="360" w:lineRule="auto"/>
        <w:ind w:firstLine="420" w:firstLineChars="200"/>
        <w:rPr>
          <w:rFonts w:ascii="宋体" w:hAnsi="宋体" w:cs="宋体"/>
          <w:szCs w:val="21"/>
          <w:highlight w:val="none"/>
        </w:rPr>
      </w:pPr>
      <w:r>
        <w:rPr>
          <w:rFonts w:hint="eastAsia" w:ascii="宋体" w:hAnsi="宋体" w:cs="宋体"/>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878917">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9687D4C">
      <w:pPr>
        <w:spacing w:line="360" w:lineRule="auto"/>
        <w:ind w:firstLine="420" w:firstLineChars="200"/>
        <w:rPr>
          <w:rFonts w:ascii="宋体" w:hAnsi="宋体" w:cs="宋体"/>
          <w:szCs w:val="21"/>
          <w:highlight w:val="none"/>
        </w:rPr>
      </w:pPr>
      <w:bookmarkStart w:id="199" w:name="_Toc351203549"/>
      <w:r>
        <w:rPr>
          <w:rFonts w:hint="eastAsia" w:ascii="宋体" w:hAnsi="宋体" w:cs="宋体"/>
          <w:szCs w:val="21"/>
          <w:highlight w:val="none"/>
        </w:rPr>
        <w:t>7</w:t>
      </w:r>
      <w:bookmarkStart w:id="200" w:name="_Toc296346576"/>
      <w:bookmarkStart w:id="201" w:name="_Toc337558774"/>
      <w:bookmarkStart w:id="202" w:name="_Toc296503075"/>
      <w:r>
        <w:rPr>
          <w:rFonts w:hint="eastAsia" w:ascii="宋体" w:hAnsi="宋体" w:cs="宋体"/>
          <w:szCs w:val="21"/>
          <w:highlight w:val="none"/>
        </w:rPr>
        <w:t>.7 异常恶劣的气候条件</w:t>
      </w:r>
      <w:bookmarkEnd w:id="199"/>
    </w:p>
    <w:bookmarkEnd w:id="200"/>
    <w:bookmarkEnd w:id="201"/>
    <w:bookmarkEnd w:id="202"/>
    <w:p w14:paraId="5B3E328D">
      <w:pPr>
        <w:spacing w:line="360" w:lineRule="auto"/>
        <w:ind w:firstLine="420" w:firstLineChars="200"/>
        <w:rPr>
          <w:rFonts w:ascii="宋体" w:hAnsi="宋体" w:cs="宋体"/>
          <w:szCs w:val="21"/>
          <w:highlight w:val="none"/>
        </w:rPr>
      </w:pPr>
      <w:r>
        <w:rPr>
          <w:rFonts w:hint="eastAsia" w:ascii="宋体" w:hAnsi="宋体" w:cs="宋体"/>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B245400">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03" w:name="_Toc351203550"/>
    </w:p>
    <w:p w14:paraId="4532B9DD">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bookmarkStart w:id="204" w:name="_Toc337558775"/>
      <w:r>
        <w:rPr>
          <w:rFonts w:hint="eastAsia" w:ascii="宋体" w:hAnsi="宋体" w:cs="宋体"/>
          <w:szCs w:val="21"/>
          <w:highlight w:val="none"/>
        </w:rPr>
        <w:t>.8 暂停施工</w:t>
      </w:r>
      <w:bookmarkEnd w:id="203"/>
    </w:p>
    <w:bookmarkEnd w:id="197"/>
    <w:bookmarkEnd w:id="198"/>
    <w:bookmarkEnd w:id="204"/>
    <w:p w14:paraId="03A22D92">
      <w:pPr>
        <w:spacing w:line="360" w:lineRule="auto"/>
        <w:ind w:firstLine="420" w:firstLineChars="200"/>
        <w:rPr>
          <w:rFonts w:ascii="宋体" w:hAnsi="宋体" w:cs="宋体"/>
          <w:szCs w:val="21"/>
          <w:highlight w:val="none"/>
        </w:rPr>
      </w:pPr>
      <w:r>
        <w:rPr>
          <w:rFonts w:hint="eastAsia" w:ascii="宋体" w:hAnsi="宋体" w:cs="宋体"/>
          <w:szCs w:val="21"/>
          <w:highlight w:val="none"/>
        </w:rPr>
        <w:t>7.8.1发包人原因引起的暂停施工</w:t>
      </w:r>
    </w:p>
    <w:p w14:paraId="39FEEFBC">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因发包人原因引起暂停施工的，监理人经发包人同意后，应及时下达暂停施工指示。情况紧急且监理人未及时下达暂停施工指示的，按照第7.8.4项〔紧急情况下的暂停施工〕执行。</w:t>
      </w:r>
    </w:p>
    <w:p w14:paraId="3074116F">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因发包人原因引起的暂停施工，发包人应承担由此增加的费用和（或）延误的工期，并支付承包人合理的利润。</w:t>
      </w:r>
    </w:p>
    <w:p w14:paraId="7A66B8E2">
      <w:pPr>
        <w:spacing w:line="360" w:lineRule="auto"/>
        <w:ind w:firstLine="420" w:firstLineChars="200"/>
        <w:rPr>
          <w:rFonts w:ascii="宋体" w:hAnsi="宋体" w:cs="宋体"/>
          <w:szCs w:val="21"/>
          <w:highlight w:val="none"/>
        </w:rPr>
      </w:pPr>
      <w:r>
        <w:rPr>
          <w:rFonts w:hint="eastAsia" w:ascii="宋体" w:hAnsi="宋体" w:cs="宋体"/>
          <w:szCs w:val="21"/>
          <w:highlight w:val="none"/>
        </w:rPr>
        <w:t>7.8.2 承包人原因引起的暂停施工</w:t>
      </w:r>
    </w:p>
    <w:p w14:paraId="729AA6D5">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DE6E080">
      <w:pPr>
        <w:spacing w:line="360" w:lineRule="auto"/>
        <w:ind w:firstLine="420" w:firstLineChars="200"/>
        <w:rPr>
          <w:rFonts w:ascii="宋体" w:hAnsi="宋体" w:cs="宋体"/>
          <w:szCs w:val="21"/>
          <w:highlight w:val="none"/>
        </w:rPr>
      </w:pPr>
      <w:r>
        <w:rPr>
          <w:rFonts w:hint="eastAsia" w:ascii="宋体" w:hAnsi="宋体" w:cs="宋体"/>
          <w:szCs w:val="21"/>
          <w:highlight w:val="none"/>
        </w:rPr>
        <w:t>7.8.3 指示暂停施工</w:t>
      </w:r>
    </w:p>
    <w:p w14:paraId="1F680A7F">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监理人认为有必要时，并经发包人批准后，可向承包人作出暂停施工的指示，承包人应按监理人指示暂停施工。</w:t>
      </w:r>
    </w:p>
    <w:p w14:paraId="04EFC658">
      <w:pPr>
        <w:spacing w:line="360" w:lineRule="auto"/>
        <w:ind w:firstLine="420" w:firstLineChars="200"/>
        <w:rPr>
          <w:rFonts w:ascii="宋体" w:hAnsi="宋体" w:cs="宋体"/>
          <w:szCs w:val="21"/>
          <w:highlight w:val="none"/>
        </w:rPr>
      </w:pPr>
      <w:r>
        <w:rPr>
          <w:rFonts w:hint="eastAsia" w:ascii="宋体" w:hAnsi="宋体" w:cs="宋体"/>
          <w:szCs w:val="21"/>
          <w:highlight w:val="none"/>
        </w:rPr>
        <w:t>7.8.4 紧急情况下的暂停施工</w:t>
      </w:r>
    </w:p>
    <w:p w14:paraId="6B09C7C6">
      <w:pPr>
        <w:spacing w:line="360" w:lineRule="auto"/>
        <w:ind w:firstLine="420" w:firstLineChars="200"/>
        <w:rPr>
          <w:rFonts w:ascii="宋体" w:hAnsi="宋体" w:cs="宋体"/>
          <w:szCs w:val="21"/>
          <w:highlight w:val="none"/>
        </w:rPr>
      </w:pPr>
      <w:r>
        <w:rPr>
          <w:rFonts w:hint="eastAsia" w:ascii="宋体" w:hAnsi="宋体" w:cs="宋体"/>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D454EC0">
      <w:pPr>
        <w:spacing w:line="360" w:lineRule="auto"/>
        <w:ind w:firstLine="420" w:firstLineChars="200"/>
        <w:rPr>
          <w:rFonts w:ascii="宋体" w:hAnsi="宋体" w:cs="宋体"/>
          <w:szCs w:val="21"/>
          <w:highlight w:val="none"/>
        </w:rPr>
      </w:pPr>
      <w:r>
        <w:rPr>
          <w:rFonts w:hint="eastAsia" w:ascii="宋体" w:hAnsi="宋体" w:cs="宋体"/>
          <w:szCs w:val="21"/>
          <w:highlight w:val="none"/>
        </w:rPr>
        <w:t>7.8.5 暂停施工后的复工</w:t>
      </w:r>
    </w:p>
    <w:p w14:paraId="03B7DBE9">
      <w:pPr>
        <w:spacing w:line="360" w:lineRule="auto"/>
        <w:ind w:firstLine="420" w:firstLineChars="200"/>
        <w:rPr>
          <w:rFonts w:ascii="宋体" w:hAnsi="宋体" w:cs="宋体"/>
          <w:szCs w:val="21"/>
          <w:highlight w:val="none"/>
        </w:rPr>
      </w:pPr>
      <w:r>
        <w:rPr>
          <w:rFonts w:hint="eastAsia" w:ascii="宋体" w:hAnsi="宋体" w:cs="宋体"/>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2E9BD0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承包人无故拖延和拒绝复工的，承包人承担由此增加的费用和（或）延误的工期；因发包人原因无法按时复工的，按照第7.5.1项〔因发包人原因导致工期延误〕约定办理。</w:t>
      </w:r>
    </w:p>
    <w:p w14:paraId="283FC72A">
      <w:pPr>
        <w:spacing w:line="360" w:lineRule="auto"/>
        <w:ind w:firstLine="420" w:firstLineChars="200"/>
        <w:rPr>
          <w:rFonts w:ascii="宋体" w:hAnsi="宋体" w:cs="宋体"/>
          <w:szCs w:val="21"/>
          <w:highlight w:val="none"/>
        </w:rPr>
      </w:pPr>
      <w:r>
        <w:rPr>
          <w:rFonts w:hint="eastAsia" w:ascii="宋体" w:hAnsi="宋体" w:cs="宋体"/>
          <w:szCs w:val="21"/>
          <w:highlight w:val="none"/>
        </w:rPr>
        <w:t>7.8.6 暂停施工持续56天以上</w:t>
      </w:r>
    </w:p>
    <w:p w14:paraId="2A82C84E">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28E2DD9">
      <w:pPr>
        <w:spacing w:line="360" w:lineRule="auto"/>
        <w:ind w:firstLine="420" w:firstLineChars="200"/>
        <w:rPr>
          <w:rFonts w:ascii="宋体" w:hAnsi="宋体" w:cs="宋体"/>
          <w:szCs w:val="21"/>
          <w:highlight w:val="none"/>
        </w:rPr>
      </w:pPr>
      <w:r>
        <w:rPr>
          <w:rFonts w:hint="eastAsia" w:ascii="宋体" w:hAnsi="宋体" w:cs="宋体"/>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4706E3F">
      <w:pPr>
        <w:spacing w:line="360" w:lineRule="auto"/>
        <w:ind w:firstLine="420" w:firstLineChars="200"/>
        <w:rPr>
          <w:rFonts w:ascii="宋体" w:hAnsi="宋体" w:cs="宋体"/>
          <w:szCs w:val="21"/>
          <w:highlight w:val="none"/>
        </w:rPr>
      </w:pPr>
      <w:r>
        <w:rPr>
          <w:rFonts w:hint="eastAsia" w:ascii="宋体" w:hAnsi="宋体" w:cs="宋体"/>
          <w:szCs w:val="21"/>
          <w:highlight w:val="none"/>
        </w:rPr>
        <w:t>7.8.7 暂停施工期间的工程照管</w:t>
      </w:r>
    </w:p>
    <w:p w14:paraId="6BAB9F52">
      <w:pPr>
        <w:spacing w:line="360" w:lineRule="auto"/>
        <w:ind w:firstLine="420" w:firstLineChars="200"/>
        <w:rPr>
          <w:rFonts w:ascii="宋体" w:hAnsi="宋体" w:cs="宋体"/>
          <w:szCs w:val="21"/>
          <w:highlight w:val="none"/>
        </w:rPr>
      </w:pPr>
      <w:r>
        <w:rPr>
          <w:rFonts w:hint="eastAsia" w:ascii="宋体" w:hAnsi="宋体" w:cs="宋体"/>
          <w:szCs w:val="21"/>
          <w:highlight w:val="none"/>
        </w:rPr>
        <w:t>暂停施工期间，承包人应负责妥善照管工程并提供安全保障，由此增加的费用由责任方承担。</w:t>
      </w:r>
    </w:p>
    <w:p w14:paraId="4C80392B">
      <w:pPr>
        <w:spacing w:line="360" w:lineRule="auto"/>
        <w:ind w:firstLine="420" w:firstLineChars="200"/>
        <w:rPr>
          <w:rFonts w:ascii="宋体" w:hAnsi="宋体" w:cs="宋体"/>
          <w:szCs w:val="21"/>
          <w:highlight w:val="none"/>
        </w:rPr>
      </w:pPr>
      <w:r>
        <w:rPr>
          <w:rFonts w:hint="eastAsia" w:ascii="宋体" w:hAnsi="宋体" w:cs="宋体"/>
          <w:szCs w:val="21"/>
          <w:highlight w:val="none"/>
        </w:rPr>
        <w:t>7.8.8 暂停施工的措施</w:t>
      </w:r>
    </w:p>
    <w:p w14:paraId="51178E6F">
      <w:pPr>
        <w:spacing w:line="360" w:lineRule="auto"/>
        <w:ind w:firstLine="420" w:firstLineChars="200"/>
        <w:rPr>
          <w:rFonts w:ascii="宋体" w:hAnsi="宋体" w:cs="宋体"/>
          <w:szCs w:val="21"/>
          <w:highlight w:val="none"/>
        </w:rPr>
      </w:pPr>
      <w:r>
        <w:rPr>
          <w:rFonts w:hint="eastAsia" w:ascii="宋体" w:hAnsi="宋体" w:cs="宋体"/>
          <w:szCs w:val="21"/>
          <w:highlight w:val="none"/>
        </w:rPr>
        <w:t>暂停施工期间，发包人和承包人均应采取必要的措施确保工程质量及安全，防止因暂停施工扩大损失。</w:t>
      </w:r>
    </w:p>
    <w:p w14:paraId="37FEF6C1">
      <w:pPr>
        <w:spacing w:line="360" w:lineRule="auto"/>
        <w:ind w:firstLine="420" w:firstLineChars="200"/>
        <w:rPr>
          <w:rFonts w:ascii="宋体" w:hAnsi="宋体" w:cs="宋体"/>
          <w:szCs w:val="21"/>
          <w:highlight w:val="none"/>
        </w:rPr>
      </w:pPr>
      <w:bookmarkStart w:id="205" w:name="_Toc351203551"/>
      <w:r>
        <w:rPr>
          <w:rFonts w:hint="eastAsia" w:ascii="宋体" w:hAnsi="宋体" w:cs="宋体"/>
          <w:szCs w:val="21"/>
          <w:highlight w:val="none"/>
        </w:rPr>
        <w:t>7.9提前竣工</w:t>
      </w:r>
      <w:bookmarkEnd w:id="205"/>
    </w:p>
    <w:p w14:paraId="358A22A0">
      <w:pPr>
        <w:spacing w:line="360" w:lineRule="auto"/>
        <w:ind w:firstLine="420" w:firstLineChars="200"/>
        <w:rPr>
          <w:rFonts w:ascii="宋体" w:hAnsi="宋体" w:cs="宋体"/>
          <w:szCs w:val="21"/>
          <w:highlight w:val="none"/>
        </w:rPr>
      </w:pPr>
      <w:r>
        <w:rPr>
          <w:rFonts w:hint="eastAsia" w:ascii="宋体" w:hAnsi="宋体" w:cs="宋体"/>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A8545C6">
      <w:pPr>
        <w:spacing w:line="360" w:lineRule="auto"/>
        <w:ind w:firstLine="420" w:firstLineChars="200"/>
        <w:rPr>
          <w:rFonts w:ascii="宋体" w:hAnsi="宋体" w:cs="宋体"/>
          <w:szCs w:val="21"/>
          <w:highlight w:val="none"/>
        </w:rPr>
      </w:pPr>
      <w:r>
        <w:rPr>
          <w:rFonts w:hint="eastAsia" w:ascii="宋体" w:hAnsi="宋体" w:cs="宋体"/>
          <w:szCs w:val="21"/>
          <w:highlight w:val="none"/>
        </w:rPr>
        <w:t>7.9.2 发包人要求承包人提前竣工，或承包人提出提前竣工的建议能够给发包人带来效益的，合同当事人可以在专用合同条款中约定提前竣工的奖励。</w:t>
      </w:r>
    </w:p>
    <w:p w14:paraId="5A8C1C06">
      <w:pPr>
        <w:spacing w:line="360" w:lineRule="auto"/>
        <w:ind w:firstLine="420" w:firstLineChars="200"/>
        <w:rPr>
          <w:rFonts w:ascii="宋体" w:hAnsi="宋体" w:cs="宋体"/>
          <w:szCs w:val="21"/>
          <w:highlight w:val="none"/>
        </w:rPr>
      </w:pPr>
      <w:bookmarkStart w:id="206" w:name="_Toc351203552"/>
      <w:r>
        <w:rPr>
          <w:rFonts w:hint="eastAsia" w:ascii="宋体" w:hAnsi="宋体" w:cs="宋体"/>
          <w:szCs w:val="21"/>
          <w:highlight w:val="none"/>
        </w:rPr>
        <w:t>8</w:t>
      </w:r>
      <w:bookmarkStart w:id="207" w:name="_Toc337558776"/>
      <w:bookmarkStart w:id="208" w:name="_Toc296503058"/>
      <w:bookmarkStart w:id="209" w:name="_Toc296346559"/>
      <w:r>
        <w:rPr>
          <w:rFonts w:hint="eastAsia" w:ascii="宋体" w:hAnsi="宋体" w:cs="宋体"/>
          <w:szCs w:val="21"/>
          <w:highlight w:val="none"/>
        </w:rPr>
        <w:t>. 材料与设备</w:t>
      </w:r>
      <w:bookmarkEnd w:id="206"/>
    </w:p>
    <w:bookmarkEnd w:id="207"/>
    <w:bookmarkEnd w:id="208"/>
    <w:bookmarkEnd w:id="209"/>
    <w:p w14:paraId="1CFB81D9">
      <w:pPr>
        <w:spacing w:line="360" w:lineRule="auto"/>
        <w:ind w:firstLine="420" w:firstLineChars="200"/>
        <w:rPr>
          <w:rFonts w:ascii="宋体" w:hAnsi="宋体" w:cs="宋体"/>
          <w:szCs w:val="21"/>
          <w:highlight w:val="none"/>
        </w:rPr>
      </w:pPr>
      <w:bookmarkStart w:id="210" w:name="_Toc351203553"/>
      <w:r>
        <w:rPr>
          <w:rFonts w:hint="eastAsia" w:ascii="宋体" w:hAnsi="宋体" w:cs="宋体"/>
          <w:szCs w:val="21"/>
          <w:highlight w:val="none"/>
        </w:rPr>
        <w:t>8</w:t>
      </w:r>
      <w:bookmarkStart w:id="211" w:name="_Toc296346560"/>
      <w:bookmarkStart w:id="212" w:name="_Toc337558777"/>
      <w:bookmarkStart w:id="213" w:name="_Toc296503059"/>
      <w:bookmarkStart w:id="214" w:name="_Toc468936960"/>
      <w:r>
        <w:rPr>
          <w:rFonts w:hint="eastAsia" w:ascii="宋体" w:hAnsi="宋体" w:cs="宋体"/>
          <w:szCs w:val="21"/>
          <w:highlight w:val="none"/>
        </w:rPr>
        <w:t>.1发包人供应材料与工程设备</w:t>
      </w:r>
      <w:bookmarkEnd w:id="210"/>
    </w:p>
    <w:bookmarkEnd w:id="211"/>
    <w:bookmarkEnd w:id="212"/>
    <w:bookmarkEnd w:id="213"/>
    <w:p w14:paraId="47FD9B20">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发包人自行供应材料、工程设备的，应在签订合同时在专用合同条款的《发包人供应材料设备一览表》中明确材料、工程设备的品种、规格、型号、数量、单价、质量等级和送达地点。</w:t>
      </w:r>
    </w:p>
    <w:p w14:paraId="0464F92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3739946">
      <w:pPr>
        <w:spacing w:line="360" w:lineRule="auto"/>
        <w:ind w:firstLine="420" w:firstLineChars="200"/>
        <w:rPr>
          <w:rFonts w:ascii="宋体" w:hAnsi="宋体" w:cs="宋体"/>
          <w:szCs w:val="21"/>
          <w:highlight w:val="none"/>
        </w:rPr>
      </w:pPr>
      <w:bookmarkStart w:id="215" w:name="_Toc351203554"/>
      <w:r>
        <w:rPr>
          <w:rFonts w:hint="eastAsia" w:ascii="宋体" w:hAnsi="宋体" w:cs="宋体"/>
          <w:szCs w:val="21"/>
          <w:highlight w:val="none"/>
        </w:rPr>
        <w:t>8</w:t>
      </w:r>
      <w:bookmarkStart w:id="216" w:name="_Toc337558778"/>
      <w:bookmarkStart w:id="217" w:name="_Toc296346561"/>
      <w:bookmarkStart w:id="218" w:name="_Toc296503060"/>
      <w:r>
        <w:rPr>
          <w:rFonts w:hint="eastAsia" w:ascii="宋体" w:hAnsi="宋体" w:cs="宋体"/>
          <w:szCs w:val="21"/>
          <w:highlight w:val="none"/>
        </w:rPr>
        <w:t>.2承包人采购材料与工程设备</w:t>
      </w:r>
      <w:bookmarkEnd w:id="215"/>
    </w:p>
    <w:bookmarkEnd w:id="216"/>
    <w:bookmarkEnd w:id="217"/>
    <w:bookmarkEnd w:id="218"/>
    <w:p w14:paraId="7F6B693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A2A277E">
      <w:pPr>
        <w:spacing w:line="360" w:lineRule="auto"/>
        <w:ind w:firstLine="420" w:firstLineChars="200"/>
        <w:rPr>
          <w:rFonts w:ascii="宋体" w:hAnsi="宋体" w:cs="宋体"/>
          <w:szCs w:val="21"/>
          <w:highlight w:val="none"/>
        </w:rPr>
      </w:pPr>
      <w:bookmarkStart w:id="219" w:name="_Toc351203555"/>
      <w:r>
        <w:rPr>
          <w:rFonts w:hint="eastAsia" w:ascii="宋体" w:hAnsi="宋体" w:cs="宋体"/>
          <w:szCs w:val="21"/>
          <w:highlight w:val="none"/>
        </w:rPr>
        <w:t>8</w:t>
      </w:r>
      <w:bookmarkStart w:id="220" w:name="_Toc337558779"/>
      <w:bookmarkStart w:id="221" w:name="_Toc296503061"/>
      <w:bookmarkStart w:id="222" w:name="_Toc296346562"/>
      <w:r>
        <w:rPr>
          <w:rFonts w:hint="eastAsia" w:ascii="宋体" w:hAnsi="宋体" w:cs="宋体"/>
          <w:szCs w:val="21"/>
          <w:highlight w:val="none"/>
        </w:rPr>
        <w:t>.3材料与工程设备的接收与拒收</w:t>
      </w:r>
      <w:bookmarkEnd w:id="219"/>
    </w:p>
    <w:bookmarkEnd w:id="220"/>
    <w:bookmarkEnd w:id="221"/>
    <w:bookmarkEnd w:id="222"/>
    <w:p w14:paraId="30A1509C">
      <w:pPr>
        <w:spacing w:line="360" w:lineRule="auto"/>
        <w:ind w:firstLine="420" w:firstLineChars="200"/>
        <w:rPr>
          <w:rFonts w:ascii="宋体" w:hAnsi="宋体" w:cs="宋体"/>
          <w:szCs w:val="21"/>
          <w:highlight w:val="none"/>
        </w:rPr>
      </w:pPr>
      <w:r>
        <w:rPr>
          <w:rFonts w:hint="eastAsia" w:ascii="宋体" w:hAnsi="宋体" w:cs="宋体"/>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95437A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发包人提供的材料和工程设备的规格、数量或质量不符合合同约定的，或因发包人原因导致交货日期延误或交货地点变更等情况的，按照第16.1款〔发包人违约〕约定办理。</w:t>
      </w:r>
    </w:p>
    <w:p w14:paraId="3EC504B3">
      <w:pPr>
        <w:spacing w:line="360" w:lineRule="auto"/>
        <w:ind w:firstLine="420" w:firstLineChars="200"/>
        <w:rPr>
          <w:rFonts w:ascii="宋体" w:hAnsi="宋体" w:cs="宋体"/>
          <w:szCs w:val="21"/>
          <w:highlight w:val="none"/>
        </w:rPr>
      </w:pPr>
      <w:r>
        <w:rPr>
          <w:rFonts w:hint="eastAsia" w:ascii="宋体" w:hAnsi="宋体" w:cs="宋体"/>
          <w:szCs w:val="21"/>
          <w:highlight w:val="none"/>
        </w:rPr>
        <w:t>8.3.2 承包人采购的材料和工程设备，应保证产品质量合格，承包人应在材料和工程设备到货前24小时通知监理人检验。承</w:t>
      </w:r>
      <w:bookmarkStart w:id="223" w:name="_Toc250655469"/>
      <w:r>
        <w:rPr>
          <w:rFonts w:hint="eastAsia" w:ascii="宋体" w:hAnsi="宋体" w:cs="宋体"/>
          <w:szCs w:val="21"/>
          <w:highlight w:val="none"/>
        </w:rPr>
        <w:t>包人进行永久设备、材料的制造和生产的，应符合相关质量标准，并向监理人提交材料的样本以及有关资料，并应在使用该材料或工程设备之前获得监理人同意。</w:t>
      </w:r>
    </w:p>
    <w:bookmarkEnd w:id="223"/>
    <w:p w14:paraId="66BFF73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CF239AF">
      <w:pPr>
        <w:spacing w:line="360" w:lineRule="auto"/>
        <w:ind w:firstLine="420" w:firstLineChars="200"/>
        <w:rPr>
          <w:rFonts w:ascii="宋体" w:hAnsi="宋体" w:cs="宋体"/>
          <w:szCs w:val="21"/>
          <w:highlight w:val="none"/>
        </w:rPr>
      </w:pPr>
      <w:bookmarkStart w:id="224" w:name="_Toc351203556"/>
      <w:r>
        <w:rPr>
          <w:rFonts w:hint="eastAsia" w:ascii="宋体" w:hAnsi="宋体" w:cs="宋体"/>
          <w:szCs w:val="21"/>
          <w:highlight w:val="none"/>
        </w:rPr>
        <w:t>8</w:t>
      </w:r>
      <w:bookmarkStart w:id="225" w:name="_Toc296346563"/>
      <w:bookmarkStart w:id="226" w:name="_Toc337558780"/>
      <w:bookmarkStart w:id="227" w:name="_Toc296503062"/>
      <w:r>
        <w:rPr>
          <w:rFonts w:hint="eastAsia" w:ascii="宋体" w:hAnsi="宋体" w:cs="宋体"/>
          <w:szCs w:val="21"/>
          <w:highlight w:val="none"/>
        </w:rPr>
        <w:t>.4材料与工程设备的保管与使用</w:t>
      </w:r>
      <w:bookmarkEnd w:id="224"/>
    </w:p>
    <w:bookmarkEnd w:id="225"/>
    <w:bookmarkEnd w:id="226"/>
    <w:bookmarkEnd w:id="227"/>
    <w:p w14:paraId="04694C01">
      <w:pPr>
        <w:spacing w:line="360" w:lineRule="auto"/>
        <w:ind w:firstLine="420" w:firstLineChars="200"/>
        <w:rPr>
          <w:rFonts w:ascii="宋体" w:hAnsi="宋体" w:cs="宋体"/>
          <w:szCs w:val="21"/>
          <w:highlight w:val="none"/>
        </w:rPr>
      </w:pPr>
      <w:r>
        <w:rPr>
          <w:rFonts w:hint="eastAsia" w:ascii="宋体" w:hAnsi="宋体" w:cs="宋体"/>
          <w:szCs w:val="21"/>
          <w:highlight w:val="none"/>
        </w:rPr>
        <w:t>8.4.1 发包人供应材料与工程设备的保管与使用</w:t>
      </w:r>
    </w:p>
    <w:p w14:paraId="22B955D5">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54B9E62">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发包人供应的材料和工程设备使用前，由承包人负责检验，检验费用由发包人承担，不合格的不得使用。</w:t>
      </w:r>
    </w:p>
    <w:p w14:paraId="4CF6A72D">
      <w:pPr>
        <w:spacing w:line="360" w:lineRule="auto"/>
        <w:ind w:firstLine="420" w:firstLineChars="200"/>
        <w:rPr>
          <w:rFonts w:ascii="宋体" w:hAnsi="宋体" w:cs="宋体"/>
          <w:szCs w:val="21"/>
          <w:highlight w:val="none"/>
        </w:rPr>
      </w:pPr>
      <w:r>
        <w:rPr>
          <w:rFonts w:hint="eastAsia" w:ascii="宋体" w:hAnsi="宋体" w:cs="宋体"/>
          <w:szCs w:val="21"/>
          <w:highlight w:val="none"/>
        </w:rPr>
        <w:t>8.4.2 承包人采购材料与工程设备的保管与使用</w:t>
      </w:r>
    </w:p>
    <w:p w14:paraId="7C0E385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AA5E5B8">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71F42B76">
      <w:pPr>
        <w:spacing w:line="360" w:lineRule="auto"/>
        <w:ind w:firstLine="420" w:firstLineChars="200"/>
        <w:rPr>
          <w:rFonts w:ascii="宋体" w:hAnsi="宋体" w:cs="宋体"/>
          <w:szCs w:val="21"/>
          <w:highlight w:val="none"/>
        </w:rPr>
      </w:pPr>
      <w:bookmarkStart w:id="228" w:name="_Toc351203557"/>
      <w:r>
        <w:rPr>
          <w:rFonts w:hint="eastAsia" w:ascii="宋体" w:hAnsi="宋体" w:cs="宋体"/>
          <w:szCs w:val="21"/>
          <w:highlight w:val="none"/>
        </w:rPr>
        <w:t>8.5禁止使用不合格的材料和工程设备</w:t>
      </w:r>
      <w:bookmarkEnd w:id="228"/>
    </w:p>
    <w:p w14:paraId="5DA7982E">
      <w:pPr>
        <w:spacing w:line="360" w:lineRule="auto"/>
        <w:ind w:firstLine="420" w:firstLineChars="200"/>
        <w:rPr>
          <w:rFonts w:ascii="宋体" w:hAnsi="宋体" w:cs="宋体"/>
          <w:szCs w:val="21"/>
          <w:highlight w:val="none"/>
        </w:rPr>
      </w:pPr>
      <w:r>
        <w:rPr>
          <w:rFonts w:hint="eastAsia" w:ascii="宋体" w:hAnsi="宋体" w:cs="宋体"/>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62272E1C">
      <w:pPr>
        <w:spacing w:line="360" w:lineRule="auto"/>
        <w:ind w:firstLine="420" w:firstLineChars="200"/>
        <w:rPr>
          <w:rFonts w:ascii="宋体" w:hAnsi="宋体" w:cs="宋体"/>
          <w:szCs w:val="21"/>
          <w:highlight w:val="none"/>
        </w:rPr>
      </w:pPr>
      <w:r>
        <w:rPr>
          <w:rFonts w:hint="eastAsia" w:ascii="宋体" w:hAnsi="宋体" w:cs="宋体"/>
          <w:szCs w:val="21"/>
          <w:highlight w:val="none"/>
        </w:rPr>
        <w:t>8.5.2 监理人发现承包人使用了不合格的材料和工程设备，承包人应按照监理人的指示立即改正，并禁止在工程中继续使用不合格的材料和工程设备。</w:t>
      </w:r>
    </w:p>
    <w:p w14:paraId="4774B731">
      <w:pPr>
        <w:spacing w:line="360" w:lineRule="auto"/>
        <w:ind w:firstLine="420" w:firstLineChars="200"/>
        <w:rPr>
          <w:rFonts w:ascii="宋体" w:hAnsi="宋体" w:cs="宋体"/>
          <w:szCs w:val="21"/>
          <w:highlight w:val="none"/>
        </w:rPr>
      </w:pPr>
      <w:r>
        <w:rPr>
          <w:rFonts w:hint="eastAsia" w:ascii="宋体" w:hAnsi="宋体" w:cs="宋体"/>
          <w:szCs w:val="21"/>
          <w:highlight w:val="none"/>
        </w:rPr>
        <w:t>8.5.3 发包人提供的材料或工程设备不符合合同要求的，承包人有权拒绝，并可要求发包人更换，由此增加的费用和（或）延误的工期由发包人承担，并支付承包人合理的利润。</w:t>
      </w:r>
    </w:p>
    <w:p w14:paraId="10A7C27A">
      <w:pPr>
        <w:spacing w:line="360" w:lineRule="auto"/>
        <w:ind w:firstLine="420" w:firstLineChars="200"/>
        <w:rPr>
          <w:rFonts w:ascii="宋体" w:hAnsi="宋体" w:cs="宋体"/>
          <w:szCs w:val="21"/>
          <w:highlight w:val="none"/>
        </w:rPr>
      </w:pPr>
      <w:bookmarkStart w:id="229" w:name="_Toc351203558"/>
      <w:r>
        <w:rPr>
          <w:rFonts w:hint="eastAsia" w:ascii="宋体" w:hAnsi="宋体" w:cs="宋体"/>
          <w:szCs w:val="21"/>
          <w:highlight w:val="none"/>
        </w:rPr>
        <w:t>8.6 样品</w:t>
      </w:r>
      <w:bookmarkEnd w:id="229"/>
    </w:p>
    <w:p w14:paraId="401FFF85">
      <w:pPr>
        <w:spacing w:line="360" w:lineRule="auto"/>
        <w:ind w:firstLine="420" w:firstLineChars="200"/>
        <w:rPr>
          <w:rFonts w:ascii="宋体" w:hAnsi="宋体" w:cs="宋体"/>
          <w:szCs w:val="21"/>
          <w:highlight w:val="none"/>
        </w:rPr>
      </w:pPr>
      <w:r>
        <w:rPr>
          <w:rFonts w:hint="eastAsia" w:ascii="宋体" w:hAnsi="宋体" w:cs="宋体"/>
          <w:szCs w:val="21"/>
          <w:highlight w:val="none"/>
        </w:rPr>
        <w:t>8.6.1</w:t>
      </w:r>
      <w:r>
        <w:rPr>
          <w:rFonts w:hint="eastAsia" w:ascii="宋体" w:hAnsi="宋体" w:cs="宋体"/>
          <w:szCs w:val="21"/>
          <w:highlight w:val="none"/>
        </w:rPr>
        <w:tab/>
      </w:r>
      <w:r>
        <w:rPr>
          <w:rFonts w:hint="eastAsia" w:ascii="宋体" w:hAnsi="宋体" w:cs="宋体"/>
          <w:szCs w:val="21"/>
          <w:highlight w:val="none"/>
        </w:rPr>
        <w:t>样品的报送与封存</w:t>
      </w:r>
    </w:p>
    <w:p w14:paraId="1ADA644A">
      <w:pPr>
        <w:spacing w:line="360" w:lineRule="auto"/>
        <w:ind w:firstLine="420" w:firstLineChars="200"/>
        <w:rPr>
          <w:rFonts w:ascii="宋体" w:hAnsi="宋体" w:cs="宋体"/>
          <w:szCs w:val="21"/>
          <w:highlight w:val="none"/>
        </w:rPr>
      </w:pPr>
      <w:r>
        <w:rPr>
          <w:rFonts w:hint="eastAsia" w:ascii="宋体" w:hAnsi="宋体" w:cs="宋体"/>
          <w:szCs w:val="21"/>
          <w:highlight w:val="none"/>
        </w:rPr>
        <w:t>需要承包人报送样品的材料或工程设备，样品的种类、名称、规格、数量等要求均应在专用合同条款中约定。样品的报送程序如下：</w:t>
      </w:r>
    </w:p>
    <w:p w14:paraId="224396DA">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CA1D808">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55025E1">
      <w:pPr>
        <w:spacing w:line="360" w:lineRule="auto"/>
        <w:ind w:firstLine="420" w:firstLineChars="200"/>
        <w:rPr>
          <w:rFonts w:ascii="宋体" w:hAnsi="宋体" w:cs="宋体"/>
          <w:szCs w:val="21"/>
          <w:highlight w:val="none"/>
        </w:rPr>
      </w:pPr>
      <w:r>
        <w:rPr>
          <w:rFonts w:hint="eastAsia" w:ascii="宋体" w:hAnsi="宋体" w:cs="宋体"/>
          <w:szCs w:val="21"/>
          <w:highlight w:val="none"/>
        </w:rPr>
        <w:t>（3）经发包人和监理人审批确认的样品应按约定的方法封样，封存的样品作为检验工程相关部分的标准之一。承包人在施工过程中不得使用与样品不符的材料或工程设备。</w:t>
      </w:r>
    </w:p>
    <w:p w14:paraId="66FEC0A0">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2F75812">
      <w:pPr>
        <w:spacing w:line="360" w:lineRule="auto"/>
        <w:ind w:firstLine="420" w:firstLineChars="200"/>
        <w:rPr>
          <w:rFonts w:ascii="宋体" w:hAnsi="宋体" w:cs="宋体"/>
          <w:szCs w:val="21"/>
          <w:highlight w:val="none"/>
        </w:rPr>
      </w:pPr>
      <w:r>
        <w:rPr>
          <w:rFonts w:hint="eastAsia" w:ascii="宋体" w:hAnsi="宋体" w:cs="宋体"/>
          <w:szCs w:val="21"/>
          <w:highlight w:val="none"/>
        </w:rPr>
        <w:t>8.6.2 样品的保管</w:t>
      </w:r>
    </w:p>
    <w:p w14:paraId="606826B3">
      <w:pPr>
        <w:spacing w:line="360" w:lineRule="auto"/>
        <w:ind w:firstLine="420" w:firstLineChars="200"/>
        <w:rPr>
          <w:rFonts w:ascii="宋体" w:hAnsi="宋体" w:cs="宋体"/>
          <w:szCs w:val="21"/>
          <w:highlight w:val="none"/>
        </w:rPr>
      </w:pPr>
      <w:r>
        <w:rPr>
          <w:rFonts w:hint="eastAsia" w:ascii="宋体" w:hAnsi="宋体" w:cs="宋体"/>
          <w:szCs w:val="21"/>
          <w:highlight w:val="none"/>
        </w:rPr>
        <w:t>经批准的样品应由监理人负责封存于现场，承包人应在现场为保存样品提供适当和固定的场所并保持适当和良好的存储环境条件。</w:t>
      </w:r>
    </w:p>
    <w:p w14:paraId="38DA9B7A">
      <w:pPr>
        <w:spacing w:line="360" w:lineRule="auto"/>
        <w:ind w:firstLine="420" w:firstLineChars="200"/>
        <w:rPr>
          <w:rFonts w:ascii="宋体" w:hAnsi="宋体" w:cs="宋体"/>
          <w:szCs w:val="21"/>
          <w:highlight w:val="none"/>
        </w:rPr>
      </w:pPr>
      <w:bookmarkStart w:id="230" w:name="_Toc351203559"/>
      <w:r>
        <w:rPr>
          <w:rFonts w:hint="eastAsia" w:ascii="宋体" w:hAnsi="宋体" w:cs="宋体"/>
          <w:szCs w:val="21"/>
          <w:highlight w:val="none"/>
        </w:rPr>
        <w:t>8.7材料与工程设备的替代</w:t>
      </w:r>
      <w:bookmarkEnd w:id="230"/>
    </w:p>
    <w:p w14:paraId="6D3DEC3C">
      <w:pPr>
        <w:spacing w:line="360" w:lineRule="auto"/>
        <w:ind w:firstLine="420" w:firstLineChars="200"/>
        <w:rPr>
          <w:rFonts w:ascii="宋体" w:hAnsi="宋体" w:cs="宋体"/>
          <w:szCs w:val="21"/>
          <w:highlight w:val="none"/>
        </w:rPr>
      </w:pPr>
      <w:r>
        <w:rPr>
          <w:rFonts w:hint="eastAsia" w:ascii="宋体" w:hAnsi="宋体" w:cs="宋体"/>
          <w:szCs w:val="21"/>
          <w:highlight w:val="none"/>
        </w:rPr>
        <w:t>8.7.1 出现下列情况需要使用替代材料和工程设备的，承包人应按照第8.7.2项约定的程序执行：</w:t>
      </w:r>
    </w:p>
    <w:p w14:paraId="30284B29">
      <w:pPr>
        <w:spacing w:line="360" w:lineRule="auto"/>
        <w:ind w:firstLine="420" w:firstLineChars="200"/>
        <w:rPr>
          <w:rFonts w:ascii="宋体" w:hAnsi="宋体" w:cs="宋体"/>
          <w:szCs w:val="21"/>
          <w:highlight w:val="none"/>
        </w:rPr>
      </w:pPr>
      <w:r>
        <w:rPr>
          <w:rFonts w:hint="eastAsia" w:ascii="宋体" w:hAnsi="宋体" w:cs="宋体"/>
          <w:szCs w:val="21"/>
          <w:highlight w:val="none"/>
        </w:rPr>
        <w:t>（1）基准日期后生效的法律规定禁止使用的；</w:t>
      </w:r>
    </w:p>
    <w:p w14:paraId="0022BEA1">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（2）发包人要求使用替代品的；</w:t>
      </w:r>
    </w:p>
    <w:p w14:paraId="6EA2163B">
      <w:pPr>
        <w:spacing w:line="360" w:lineRule="auto"/>
        <w:ind w:firstLine="420" w:firstLineChars="200"/>
        <w:rPr>
          <w:rFonts w:ascii="宋体" w:hAnsi="宋体" w:cs="宋体"/>
          <w:szCs w:val="21"/>
          <w:highlight w:val="none"/>
        </w:rPr>
      </w:pPr>
      <w:r>
        <w:rPr>
          <w:rFonts w:hint="eastAsia" w:ascii="宋体" w:hAnsi="宋体" w:cs="宋体"/>
          <w:szCs w:val="21"/>
          <w:highlight w:val="none"/>
        </w:rPr>
        <w:t>（3）因其他原因必须使用替代品的。</w:t>
      </w:r>
    </w:p>
    <w:p w14:paraId="6876FFD5">
      <w:pPr>
        <w:spacing w:line="360" w:lineRule="auto"/>
        <w:ind w:firstLine="420" w:firstLineChars="200"/>
        <w:rPr>
          <w:rFonts w:ascii="宋体" w:hAnsi="宋体" w:cs="宋体"/>
          <w:szCs w:val="21"/>
          <w:highlight w:val="none"/>
        </w:rPr>
      </w:pPr>
      <w:r>
        <w:rPr>
          <w:rFonts w:hint="eastAsia" w:ascii="宋体" w:hAnsi="宋体" w:cs="宋体"/>
          <w:szCs w:val="21"/>
          <w:highlight w:val="none"/>
        </w:rPr>
        <w:t>8.7.2 承包人应在使用替代材料和工程设备28天前书面通知监理人，并附下列文件：</w:t>
      </w:r>
    </w:p>
    <w:p w14:paraId="22D69906">
      <w:pPr>
        <w:spacing w:line="360" w:lineRule="auto"/>
        <w:ind w:firstLine="420" w:firstLineChars="200"/>
        <w:rPr>
          <w:rFonts w:ascii="宋体" w:hAnsi="宋体" w:cs="宋体"/>
          <w:szCs w:val="21"/>
          <w:highlight w:val="none"/>
        </w:rPr>
      </w:pPr>
      <w:r>
        <w:rPr>
          <w:rFonts w:hint="eastAsia" w:ascii="宋体" w:hAnsi="宋体" w:cs="宋体"/>
          <w:szCs w:val="21"/>
          <w:highlight w:val="none"/>
        </w:rPr>
        <w:t>（1）被替代的材料和工程设备的名称、数量、规格、型号、品牌、性能、价格及其他相关资料；</w:t>
      </w:r>
    </w:p>
    <w:p w14:paraId="11CA10AA">
      <w:pPr>
        <w:spacing w:line="360" w:lineRule="auto"/>
        <w:ind w:firstLine="420" w:firstLineChars="200"/>
        <w:rPr>
          <w:rFonts w:ascii="宋体" w:hAnsi="宋体" w:cs="宋体"/>
          <w:szCs w:val="21"/>
          <w:highlight w:val="none"/>
        </w:rPr>
      </w:pPr>
      <w:r>
        <w:rPr>
          <w:rFonts w:hint="eastAsia" w:ascii="宋体" w:hAnsi="宋体" w:cs="宋体"/>
          <w:szCs w:val="21"/>
          <w:highlight w:val="none"/>
        </w:rPr>
        <w:t>（2）替代品的名称、数量、规格、型号、品牌、性能、价格及其他相关资料；</w:t>
      </w:r>
    </w:p>
    <w:p w14:paraId="7F6E8C27">
      <w:pPr>
        <w:spacing w:line="360" w:lineRule="auto"/>
        <w:ind w:firstLine="420" w:firstLineChars="200"/>
        <w:rPr>
          <w:rFonts w:ascii="宋体" w:hAnsi="宋体" w:cs="宋体"/>
          <w:szCs w:val="21"/>
          <w:highlight w:val="none"/>
        </w:rPr>
      </w:pPr>
      <w:r>
        <w:rPr>
          <w:rFonts w:hint="eastAsia" w:ascii="宋体" w:hAnsi="宋体" w:cs="宋体"/>
          <w:szCs w:val="21"/>
          <w:highlight w:val="none"/>
        </w:rPr>
        <w:t>（3）替代品与被替代产品之间的差异以及使用替代品可能对工程产生的影响；</w:t>
      </w:r>
    </w:p>
    <w:p w14:paraId="169FD9A4">
      <w:pPr>
        <w:spacing w:line="360" w:lineRule="auto"/>
        <w:ind w:firstLine="420" w:firstLineChars="200"/>
        <w:rPr>
          <w:rFonts w:ascii="宋体" w:hAnsi="宋体" w:cs="宋体"/>
          <w:szCs w:val="21"/>
          <w:highlight w:val="none"/>
        </w:rPr>
      </w:pPr>
      <w:r>
        <w:rPr>
          <w:rFonts w:hint="eastAsia" w:ascii="宋体" w:hAnsi="宋体" w:cs="宋体"/>
          <w:szCs w:val="21"/>
          <w:highlight w:val="none"/>
        </w:rPr>
        <w:t>（4）替代品与被替代产品的价格差异；</w:t>
      </w:r>
    </w:p>
    <w:p w14:paraId="0BEFBB20">
      <w:pPr>
        <w:spacing w:line="360" w:lineRule="auto"/>
        <w:ind w:firstLine="420" w:firstLineChars="200"/>
        <w:rPr>
          <w:rFonts w:ascii="宋体" w:hAnsi="宋体" w:cs="宋体"/>
          <w:szCs w:val="21"/>
          <w:highlight w:val="none"/>
        </w:rPr>
      </w:pPr>
      <w:r>
        <w:rPr>
          <w:rFonts w:hint="eastAsia" w:ascii="宋体" w:hAnsi="宋体" w:cs="宋体"/>
          <w:szCs w:val="21"/>
          <w:highlight w:val="none"/>
        </w:rPr>
        <w:t>（5）使用替代品的理由和原因说明；</w:t>
      </w:r>
    </w:p>
    <w:p w14:paraId="20B452A8">
      <w:pPr>
        <w:spacing w:line="360" w:lineRule="auto"/>
        <w:ind w:firstLine="420" w:firstLineChars="200"/>
        <w:rPr>
          <w:rFonts w:ascii="宋体" w:hAnsi="宋体" w:cs="宋体"/>
          <w:szCs w:val="21"/>
          <w:highlight w:val="none"/>
        </w:rPr>
      </w:pPr>
      <w:r>
        <w:rPr>
          <w:rFonts w:hint="eastAsia" w:ascii="宋体" w:hAnsi="宋体" w:cs="宋体"/>
          <w:szCs w:val="21"/>
          <w:highlight w:val="none"/>
        </w:rPr>
        <w:t>（6）监理人要求的其他文件。</w:t>
      </w:r>
    </w:p>
    <w:p w14:paraId="1E3B52FD">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监理人应在收到通知后14天内向承包人发出经发包人签认的书面指示；监理人逾期发出书面指示的，视为发包人和监理人同意使用替代品。</w:t>
      </w:r>
    </w:p>
    <w:p w14:paraId="10F9EA55">
      <w:pPr>
        <w:spacing w:line="360" w:lineRule="auto"/>
        <w:ind w:firstLine="420" w:firstLineChars="200"/>
        <w:rPr>
          <w:rFonts w:ascii="宋体" w:hAnsi="宋体" w:cs="宋体"/>
          <w:szCs w:val="21"/>
          <w:highlight w:val="none"/>
        </w:rPr>
      </w:pPr>
      <w:r>
        <w:rPr>
          <w:rFonts w:hint="eastAsia" w:ascii="宋体" w:hAnsi="宋体" w:cs="宋体"/>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EF2E7F">
      <w:pPr>
        <w:spacing w:line="360" w:lineRule="auto"/>
        <w:ind w:firstLine="420" w:firstLineChars="200"/>
        <w:rPr>
          <w:rFonts w:ascii="宋体" w:hAnsi="宋体" w:cs="宋体"/>
          <w:szCs w:val="21"/>
          <w:highlight w:val="none"/>
        </w:rPr>
      </w:pPr>
      <w:bookmarkStart w:id="231" w:name="_Toc351203560"/>
      <w:r>
        <w:rPr>
          <w:rFonts w:hint="eastAsia" w:ascii="宋体" w:hAnsi="宋体" w:cs="宋体"/>
          <w:szCs w:val="21"/>
          <w:highlight w:val="none"/>
        </w:rPr>
        <w:t>8.8施工设备和临时设施</w:t>
      </w:r>
      <w:bookmarkEnd w:id="231"/>
    </w:p>
    <w:p w14:paraId="0618BA19">
      <w:pPr>
        <w:spacing w:line="360" w:lineRule="auto"/>
        <w:ind w:firstLine="420" w:firstLineChars="200"/>
        <w:rPr>
          <w:rFonts w:ascii="宋体" w:hAnsi="宋体" w:cs="宋体"/>
          <w:szCs w:val="21"/>
          <w:highlight w:val="none"/>
        </w:rPr>
      </w:pPr>
      <w:r>
        <w:rPr>
          <w:rFonts w:hint="eastAsia" w:ascii="宋体" w:hAnsi="宋体" w:cs="宋体"/>
          <w:szCs w:val="21"/>
          <w:highlight w:val="none"/>
        </w:rPr>
        <w:t>8.8.1 承包人提供的施工设备和临时设施</w:t>
      </w:r>
    </w:p>
    <w:p w14:paraId="7784570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A7675B7">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除专用合同条款另有约定外，承包人应自行承担修建临时设施的费用，需要临时占地的，应由发包人办理申请手续并承担相应费用。</w:t>
      </w:r>
    </w:p>
    <w:p w14:paraId="3F639257">
      <w:pPr>
        <w:spacing w:line="360" w:lineRule="auto"/>
        <w:ind w:firstLine="420" w:firstLineChars="200"/>
        <w:rPr>
          <w:rFonts w:ascii="宋体" w:hAnsi="宋体" w:cs="宋体"/>
          <w:szCs w:val="21"/>
          <w:highlight w:val="none"/>
        </w:rPr>
      </w:pPr>
      <w:r>
        <w:rPr>
          <w:rFonts w:hint="eastAsia" w:ascii="宋体" w:hAnsi="宋体" w:cs="宋体"/>
          <w:szCs w:val="21"/>
          <w:highlight w:val="none"/>
        </w:rPr>
        <w:t>8.8.2发包人提供的施工设备和临时设施</w:t>
      </w:r>
    </w:p>
    <w:p w14:paraId="4AFF3590">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发包人提供的施工设备或临时设施在专用合同条款中约定。</w:t>
      </w:r>
    </w:p>
    <w:p w14:paraId="18265713">
      <w:pPr>
        <w:spacing w:line="360" w:lineRule="auto"/>
        <w:ind w:firstLine="420" w:firstLineChars="200"/>
        <w:rPr>
          <w:rFonts w:ascii="宋体" w:hAnsi="宋体" w:cs="宋体"/>
          <w:szCs w:val="21"/>
          <w:highlight w:val="none"/>
        </w:rPr>
      </w:pPr>
      <w:r>
        <w:rPr>
          <w:rFonts w:hint="eastAsia" w:ascii="宋体" w:hAnsi="宋体" w:cs="宋体"/>
          <w:szCs w:val="21"/>
          <w:highlight w:val="none"/>
        </w:rPr>
        <w:t>8.8.3要求承包人增加或更换施工设备</w:t>
      </w:r>
    </w:p>
    <w:p w14:paraId="0F75B527">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C217F2E">
      <w:pPr>
        <w:spacing w:line="360" w:lineRule="auto"/>
        <w:ind w:firstLine="420" w:firstLineChars="200"/>
        <w:rPr>
          <w:rFonts w:ascii="宋体" w:hAnsi="宋体" w:cs="宋体"/>
          <w:szCs w:val="21"/>
          <w:highlight w:val="none"/>
        </w:rPr>
      </w:pPr>
      <w:bookmarkStart w:id="232" w:name="_Toc351203561"/>
      <w:r>
        <w:rPr>
          <w:rFonts w:hint="eastAsia" w:ascii="宋体" w:hAnsi="宋体" w:cs="宋体"/>
          <w:szCs w:val="21"/>
          <w:highlight w:val="none"/>
        </w:rPr>
        <w:t>8</w:t>
      </w:r>
      <w:bookmarkStart w:id="233" w:name="_Toc296503063"/>
      <w:bookmarkStart w:id="234" w:name="_Toc296346564"/>
      <w:bookmarkStart w:id="235" w:name="_Toc337558781"/>
      <w:r>
        <w:rPr>
          <w:rFonts w:hint="eastAsia" w:ascii="宋体" w:hAnsi="宋体" w:cs="宋体"/>
          <w:szCs w:val="21"/>
          <w:highlight w:val="none"/>
        </w:rPr>
        <w:t>.9材料与设备专用</w:t>
      </w:r>
      <w:bookmarkEnd w:id="232"/>
      <w:r>
        <w:rPr>
          <w:rFonts w:hint="eastAsia" w:ascii="宋体" w:hAnsi="宋体" w:cs="宋体"/>
          <w:szCs w:val="21"/>
          <w:highlight w:val="none"/>
        </w:rPr>
        <w:t>要求</w:t>
      </w:r>
    </w:p>
    <w:bookmarkEnd w:id="233"/>
    <w:bookmarkEnd w:id="234"/>
    <w:bookmarkEnd w:id="235"/>
    <w:p w14:paraId="41CA045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14"/>
      <w:r>
        <w:rPr>
          <w:rFonts w:hint="eastAsia" w:ascii="宋体" w:hAnsi="宋体" w:cs="宋体"/>
          <w:szCs w:val="21"/>
          <w:highlight w:val="none"/>
        </w:rPr>
        <w:t>经发包人批准，承包人可以根据施工进度计划撤走闲置的施工设备和其他物品。</w:t>
      </w:r>
    </w:p>
    <w:p w14:paraId="1F84CD0E">
      <w:pPr>
        <w:spacing w:line="360" w:lineRule="auto"/>
        <w:ind w:firstLine="420" w:firstLineChars="200"/>
        <w:rPr>
          <w:rFonts w:ascii="宋体" w:hAnsi="宋体" w:cs="宋体"/>
          <w:szCs w:val="21"/>
          <w:highlight w:val="none"/>
        </w:rPr>
      </w:pPr>
      <w:bookmarkStart w:id="236" w:name="_Toc351203562"/>
      <w:r>
        <w:rPr>
          <w:rFonts w:hint="eastAsia" w:ascii="宋体" w:hAnsi="宋体" w:cs="宋体"/>
          <w:szCs w:val="21"/>
          <w:highlight w:val="none"/>
        </w:rPr>
        <w:t>9</w:t>
      </w:r>
      <w:bookmarkStart w:id="237" w:name="_Toc337558782"/>
      <w:bookmarkStart w:id="238" w:name="_Toc296503083"/>
      <w:bookmarkStart w:id="239" w:name="_Toc296346584"/>
      <w:r>
        <w:rPr>
          <w:rFonts w:hint="eastAsia" w:ascii="宋体" w:hAnsi="宋体" w:cs="宋体"/>
          <w:szCs w:val="21"/>
          <w:highlight w:val="none"/>
        </w:rPr>
        <w:t>. 试验与检验</w:t>
      </w:r>
      <w:bookmarkEnd w:id="236"/>
    </w:p>
    <w:bookmarkEnd w:id="237"/>
    <w:p w14:paraId="0A546773">
      <w:pPr>
        <w:spacing w:line="360" w:lineRule="auto"/>
        <w:ind w:firstLine="420" w:firstLineChars="200"/>
        <w:rPr>
          <w:rFonts w:ascii="宋体" w:hAnsi="宋体" w:cs="宋体"/>
          <w:szCs w:val="21"/>
          <w:highlight w:val="none"/>
        </w:rPr>
      </w:pPr>
      <w:bookmarkStart w:id="240" w:name="_Toc351203563"/>
      <w:r>
        <w:rPr>
          <w:rFonts w:hint="eastAsia" w:ascii="宋体" w:hAnsi="宋体" w:cs="宋体"/>
          <w:szCs w:val="21"/>
          <w:highlight w:val="none"/>
        </w:rPr>
        <w:t>9</w:t>
      </w:r>
      <w:bookmarkStart w:id="241" w:name="_Toc337558783"/>
      <w:r>
        <w:rPr>
          <w:rFonts w:hint="eastAsia" w:ascii="宋体" w:hAnsi="宋体" w:cs="宋体"/>
          <w:szCs w:val="21"/>
          <w:highlight w:val="none"/>
        </w:rPr>
        <w:t>.1试验设备与试验人员</w:t>
      </w:r>
      <w:bookmarkEnd w:id="240"/>
    </w:p>
    <w:bookmarkEnd w:id="241"/>
    <w:p w14:paraId="64AD56C1">
      <w:pPr>
        <w:spacing w:line="360" w:lineRule="auto"/>
        <w:ind w:firstLine="420" w:firstLineChars="200"/>
        <w:rPr>
          <w:rFonts w:ascii="宋体" w:hAnsi="宋体" w:cs="宋体"/>
          <w:szCs w:val="21"/>
          <w:highlight w:val="none"/>
        </w:rPr>
      </w:pPr>
      <w:r>
        <w:rPr>
          <w:rFonts w:hint="eastAsia" w:ascii="宋体" w:hAnsi="宋体" w:cs="宋体"/>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C6C8E22">
      <w:pPr>
        <w:spacing w:line="360" w:lineRule="auto"/>
        <w:ind w:firstLine="420" w:firstLineChars="200"/>
        <w:rPr>
          <w:rFonts w:ascii="宋体" w:hAnsi="宋体" w:cs="宋体"/>
          <w:szCs w:val="21"/>
          <w:highlight w:val="none"/>
        </w:rPr>
      </w:pPr>
      <w:r>
        <w:rPr>
          <w:rFonts w:hint="eastAsia" w:ascii="宋体" w:hAnsi="宋体" w:cs="宋体"/>
          <w:szCs w:val="21"/>
          <w:highlight w:val="none"/>
        </w:rPr>
        <w:t>9.1.2 承包人应按专用合同条款的约定提供试验设备、取样装置、试验场所和试验条件，并向监理人提交相应进场计划表。</w:t>
      </w:r>
    </w:p>
    <w:p w14:paraId="0F80A120">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承包人配置的试验设备要符合相应试验规程的要求并经过具有资质的检测单位检测，且在正式使用该试验设备前，需要经过监理人与承包人共同校定。</w:t>
      </w:r>
    </w:p>
    <w:p w14:paraId="7D1FA003">
      <w:pPr>
        <w:spacing w:line="360" w:lineRule="auto"/>
        <w:ind w:firstLine="420" w:firstLineChars="200"/>
        <w:rPr>
          <w:rFonts w:ascii="宋体" w:hAnsi="宋体" w:cs="宋体"/>
          <w:szCs w:val="21"/>
          <w:highlight w:val="none"/>
        </w:rPr>
      </w:pPr>
      <w:r>
        <w:rPr>
          <w:rFonts w:hint="eastAsia" w:ascii="宋体" w:hAnsi="宋体" w:cs="宋体"/>
          <w:szCs w:val="21"/>
          <w:highlight w:val="none"/>
        </w:rPr>
        <w:t>9.1.3 承包人应向监理人提交试验人员的名单及其岗位、资格等证明资料，试验人员必须能够熟练进行相应的检测试验，承包人对试验人员的试验程序和试验结果的正确性负责。</w:t>
      </w:r>
    </w:p>
    <w:p w14:paraId="44366385">
      <w:pPr>
        <w:spacing w:line="360" w:lineRule="auto"/>
        <w:ind w:firstLine="420" w:firstLineChars="200"/>
        <w:rPr>
          <w:rFonts w:ascii="宋体" w:hAnsi="宋体" w:cs="宋体"/>
          <w:szCs w:val="21"/>
          <w:highlight w:val="none"/>
        </w:rPr>
      </w:pPr>
      <w:bookmarkStart w:id="242" w:name="_Toc351203564"/>
      <w:r>
        <w:rPr>
          <w:rFonts w:hint="eastAsia" w:ascii="宋体" w:hAnsi="宋体" w:cs="宋体"/>
          <w:szCs w:val="21"/>
          <w:highlight w:val="none"/>
        </w:rPr>
        <w:t>9</w:t>
      </w:r>
      <w:bookmarkStart w:id="243" w:name="_Toc337558784"/>
      <w:r>
        <w:rPr>
          <w:rFonts w:hint="eastAsia" w:ascii="宋体" w:hAnsi="宋体" w:cs="宋体"/>
          <w:szCs w:val="21"/>
          <w:highlight w:val="none"/>
        </w:rPr>
        <w:t>.2取样</w:t>
      </w:r>
      <w:bookmarkEnd w:id="242"/>
    </w:p>
    <w:bookmarkEnd w:id="243"/>
    <w:p w14:paraId="1CC36464">
      <w:pPr>
        <w:spacing w:line="360" w:lineRule="auto"/>
        <w:ind w:firstLine="420" w:firstLineChars="200"/>
        <w:rPr>
          <w:rFonts w:ascii="宋体" w:hAnsi="宋体" w:cs="宋体"/>
          <w:szCs w:val="21"/>
          <w:highlight w:val="none"/>
        </w:rPr>
      </w:pPr>
      <w:r>
        <w:rPr>
          <w:rFonts w:hint="eastAsia" w:ascii="宋体" w:hAnsi="宋体" w:cs="宋体"/>
          <w:szCs w:val="21"/>
          <w:highlight w:val="none"/>
        </w:rPr>
        <w:t>试验属于自检性质的，承包人可以单独取样。试验属于监理人抽检性质的，可由监理人取样，也可由承包人的试验人员在监理人的监督下取样。</w:t>
      </w:r>
    </w:p>
    <w:p w14:paraId="7AAEFBB0">
      <w:pPr>
        <w:spacing w:line="360" w:lineRule="auto"/>
        <w:ind w:firstLine="420" w:firstLineChars="200"/>
        <w:rPr>
          <w:rFonts w:ascii="宋体" w:hAnsi="宋体" w:cs="宋体"/>
          <w:szCs w:val="21"/>
          <w:highlight w:val="none"/>
        </w:rPr>
      </w:pPr>
      <w:bookmarkStart w:id="244" w:name="_Toc351203565"/>
      <w:r>
        <w:rPr>
          <w:rFonts w:hint="eastAsia" w:ascii="宋体" w:hAnsi="宋体" w:cs="宋体"/>
          <w:szCs w:val="21"/>
          <w:highlight w:val="none"/>
        </w:rPr>
        <w:t>9</w:t>
      </w:r>
      <w:bookmarkStart w:id="245" w:name="_Toc337558785"/>
      <w:r>
        <w:rPr>
          <w:rFonts w:hint="eastAsia" w:ascii="宋体" w:hAnsi="宋体" w:cs="宋体"/>
          <w:szCs w:val="21"/>
          <w:highlight w:val="none"/>
        </w:rPr>
        <w:t>.3材料、工程设备和工程的试验和检验</w:t>
      </w:r>
      <w:bookmarkEnd w:id="244"/>
    </w:p>
    <w:bookmarkEnd w:id="245"/>
    <w:p w14:paraId="3AEED999">
      <w:pPr>
        <w:spacing w:line="360" w:lineRule="auto"/>
        <w:ind w:firstLine="420" w:firstLineChars="200"/>
        <w:rPr>
          <w:rFonts w:ascii="宋体" w:hAnsi="宋体" w:cs="宋体"/>
          <w:szCs w:val="21"/>
          <w:highlight w:val="none"/>
        </w:rPr>
      </w:pPr>
      <w:r>
        <w:rPr>
          <w:rFonts w:hint="eastAsia" w:ascii="宋体" w:hAnsi="宋体" w:cs="宋体"/>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433DA3F">
      <w:pPr>
        <w:spacing w:line="360" w:lineRule="auto"/>
        <w:ind w:firstLine="420" w:firstLineChars="200"/>
        <w:rPr>
          <w:rFonts w:ascii="宋体" w:hAnsi="宋体" w:cs="宋体"/>
          <w:szCs w:val="21"/>
          <w:highlight w:val="none"/>
        </w:rPr>
      </w:pPr>
      <w:r>
        <w:rPr>
          <w:rFonts w:hint="eastAsia" w:ascii="宋体" w:hAnsi="宋体" w:cs="宋体"/>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36BB446">
      <w:pPr>
        <w:spacing w:line="360" w:lineRule="auto"/>
        <w:ind w:firstLine="420" w:firstLineChars="200"/>
        <w:rPr>
          <w:rFonts w:ascii="宋体" w:hAnsi="宋体" w:cs="宋体"/>
          <w:szCs w:val="21"/>
          <w:highlight w:val="none"/>
        </w:rPr>
      </w:pPr>
      <w:r>
        <w:rPr>
          <w:rFonts w:hint="eastAsia" w:ascii="宋体" w:hAnsi="宋体" w:cs="宋体"/>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310CB7E">
      <w:pPr>
        <w:spacing w:line="360" w:lineRule="auto"/>
        <w:ind w:firstLine="420" w:firstLineChars="200"/>
        <w:rPr>
          <w:rFonts w:ascii="宋体" w:hAnsi="宋体" w:cs="宋体"/>
          <w:szCs w:val="21"/>
          <w:highlight w:val="none"/>
        </w:rPr>
      </w:pPr>
      <w:bookmarkStart w:id="246" w:name="_Toc351203566"/>
      <w:r>
        <w:rPr>
          <w:rFonts w:hint="eastAsia" w:ascii="宋体" w:hAnsi="宋体" w:cs="宋体"/>
          <w:szCs w:val="21"/>
          <w:highlight w:val="none"/>
        </w:rPr>
        <w:t>9</w:t>
      </w:r>
      <w:bookmarkStart w:id="247" w:name="_Toc337558786"/>
      <w:r>
        <w:rPr>
          <w:rFonts w:hint="eastAsia" w:ascii="宋体" w:hAnsi="宋体" w:cs="宋体"/>
          <w:szCs w:val="21"/>
          <w:highlight w:val="none"/>
        </w:rPr>
        <w:t>.4现场工艺试验</w:t>
      </w:r>
      <w:bookmarkEnd w:id="246"/>
    </w:p>
    <w:bookmarkEnd w:id="247"/>
    <w:p w14:paraId="4CDD363C">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1CEE9559">
      <w:pPr>
        <w:spacing w:line="360" w:lineRule="auto"/>
        <w:ind w:firstLine="420" w:firstLineChars="200"/>
        <w:rPr>
          <w:rFonts w:ascii="宋体" w:hAnsi="宋体" w:cs="宋体"/>
          <w:szCs w:val="21"/>
          <w:highlight w:val="none"/>
        </w:rPr>
      </w:pPr>
      <w:bookmarkStart w:id="248" w:name="_Toc351203567"/>
      <w:r>
        <w:rPr>
          <w:rFonts w:hint="eastAsia" w:ascii="宋体" w:hAnsi="宋体" w:cs="宋体"/>
          <w:szCs w:val="21"/>
          <w:highlight w:val="none"/>
        </w:rPr>
        <w:t>1</w:t>
      </w:r>
      <w:bookmarkStart w:id="249" w:name="_Toc337558787"/>
      <w:r>
        <w:rPr>
          <w:rFonts w:hint="eastAsia" w:ascii="宋体" w:hAnsi="宋体" w:cs="宋体"/>
          <w:szCs w:val="21"/>
          <w:highlight w:val="none"/>
        </w:rPr>
        <w:t>0. 变更</w:t>
      </w:r>
      <w:bookmarkEnd w:id="238"/>
      <w:bookmarkEnd w:id="239"/>
      <w:bookmarkEnd w:id="248"/>
    </w:p>
    <w:bookmarkEnd w:id="249"/>
    <w:p w14:paraId="6B402146">
      <w:pPr>
        <w:spacing w:line="360" w:lineRule="auto"/>
        <w:ind w:firstLine="420" w:firstLineChars="200"/>
        <w:rPr>
          <w:rFonts w:ascii="宋体" w:hAnsi="宋体" w:cs="宋体"/>
          <w:szCs w:val="21"/>
          <w:highlight w:val="none"/>
        </w:rPr>
      </w:pPr>
      <w:bookmarkStart w:id="250" w:name="_Toc351203568"/>
      <w:r>
        <w:rPr>
          <w:rFonts w:hint="eastAsia" w:ascii="宋体" w:hAnsi="宋体" w:cs="宋体"/>
          <w:szCs w:val="21"/>
          <w:highlight w:val="none"/>
        </w:rPr>
        <w:t>1</w:t>
      </w:r>
      <w:bookmarkStart w:id="251" w:name="_Toc296503084"/>
      <w:bookmarkStart w:id="252" w:name="_Toc337558788"/>
      <w:bookmarkStart w:id="253" w:name="_Toc296346585"/>
      <w:r>
        <w:rPr>
          <w:rFonts w:hint="eastAsia" w:ascii="宋体" w:hAnsi="宋体" w:cs="宋体"/>
          <w:szCs w:val="21"/>
          <w:highlight w:val="none"/>
        </w:rPr>
        <w:t>0.1变更的范围</w:t>
      </w:r>
      <w:bookmarkEnd w:id="250"/>
    </w:p>
    <w:bookmarkEnd w:id="251"/>
    <w:bookmarkEnd w:id="252"/>
    <w:bookmarkEnd w:id="253"/>
    <w:p w14:paraId="3899FE4A">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除专用合同条款另有约定外，合同履行过程中发生以下情形的，应按照本条约定进行变更：</w:t>
      </w:r>
    </w:p>
    <w:p w14:paraId="344BBF9B">
      <w:pPr>
        <w:spacing w:line="360" w:lineRule="auto"/>
        <w:ind w:firstLine="420" w:firstLineChars="200"/>
        <w:rPr>
          <w:rFonts w:ascii="宋体" w:hAnsi="宋体" w:cs="宋体"/>
          <w:szCs w:val="21"/>
          <w:highlight w:val="none"/>
        </w:rPr>
      </w:pPr>
      <w:r>
        <w:rPr>
          <w:rFonts w:hint="eastAsia" w:ascii="宋体" w:hAnsi="宋体" w:cs="宋体"/>
          <w:szCs w:val="21"/>
          <w:highlight w:val="none"/>
        </w:rPr>
        <w:t>（1）增加或减少合同中任何工作，或追加额外的工作；</w:t>
      </w:r>
    </w:p>
    <w:p w14:paraId="6ECA9BF2">
      <w:pPr>
        <w:spacing w:line="360" w:lineRule="auto"/>
        <w:ind w:firstLine="420" w:firstLineChars="200"/>
        <w:rPr>
          <w:rFonts w:ascii="宋体" w:hAnsi="宋体" w:cs="宋体"/>
          <w:szCs w:val="21"/>
          <w:highlight w:val="none"/>
        </w:rPr>
      </w:pPr>
      <w:r>
        <w:rPr>
          <w:rFonts w:hint="eastAsia" w:ascii="宋体" w:hAnsi="宋体" w:cs="宋体"/>
          <w:szCs w:val="21"/>
          <w:highlight w:val="none"/>
        </w:rPr>
        <w:t>（2）取消合同中任何工作，但转由他人实施的工作除外；</w:t>
      </w:r>
    </w:p>
    <w:p w14:paraId="16E17754">
      <w:pPr>
        <w:spacing w:line="360" w:lineRule="auto"/>
        <w:ind w:firstLine="420" w:firstLineChars="200"/>
        <w:rPr>
          <w:rFonts w:ascii="宋体" w:hAnsi="宋体" w:cs="宋体"/>
          <w:szCs w:val="21"/>
          <w:highlight w:val="none"/>
        </w:rPr>
      </w:pPr>
      <w:r>
        <w:rPr>
          <w:rFonts w:hint="eastAsia" w:ascii="宋体" w:hAnsi="宋体" w:cs="宋体"/>
          <w:szCs w:val="21"/>
          <w:highlight w:val="none"/>
        </w:rPr>
        <w:t>（3）改变合同中任何工作的质量标准或其他特性；</w:t>
      </w:r>
    </w:p>
    <w:p w14:paraId="409A3DA9">
      <w:pPr>
        <w:spacing w:line="360" w:lineRule="auto"/>
        <w:ind w:firstLine="420" w:firstLineChars="200"/>
        <w:rPr>
          <w:rFonts w:ascii="宋体" w:hAnsi="宋体" w:cs="宋体"/>
          <w:szCs w:val="21"/>
          <w:highlight w:val="none"/>
        </w:rPr>
      </w:pPr>
      <w:r>
        <w:rPr>
          <w:rFonts w:hint="eastAsia" w:ascii="宋体" w:hAnsi="宋体" w:cs="宋体"/>
          <w:szCs w:val="21"/>
          <w:highlight w:val="none"/>
        </w:rPr>
        <w:t>（4）改变工程的基线、标高、位置和尺寸；</w:t>
      </w:r>
    </w:p>
    <w:p w14:paraId="421CACC1">
      <w:pPr>
        <w:spacing w:line="360" w:lineRule="auto"/>
        <w:ind w:firstLine="420" w:firstLineChars="200"/>
        <w:rPr>
          <w:rFonts w:ascii="宋体" w:hAnsi="宋体" w:cs="宋体"/>
          <w:szCs w:val="21"/>
          <w:highlight w:val="none"/>
        </w:rPr>
      </w:pPr>
      <w:r>
        <w:rPr>
          <w:rFonts w:hint="eastAsia" w:ascii="宋体" w:hAnsi="宋体" w:cs="宋体"/>
          <w:szCs w:val="21"/>
          <w:highlight w:val="none"/>
        </w:rPr>
        <w:t>（5）改变工程的时间安排或实施顺序。</w:t>
      </w:r>
    </w:p>
    <w:p w14:paraId="4A09F31C">
      <w:pPr>
        <w:spacing w:line="360" w:lineRule="auto"/>
        <w:ind w:firstLine="420" w:firstLineChars="200"/>
        <w:rPr>
          <w:rFonts w:ascii="宋体" w:hAnsi="宋体" w:cs="宋体"/>
          <w:szCs w:val="21"/>
          <w:highlight w:val="none"/>
        </w:rPr>
      </w:pPr>
      <w:bookmarkStart w:id="254" w:name="_Toc351203569"/>
      <w:r>
        <w:rPr>
          <w:rFonts w:hint="eastAsia" w:ascii="宋体" w:hAnsi="宋体" w:cs="宋体"/>
          <w:szCs w:val="21"/>
          <w:highlight w:val="none"/>
        </w:rPr>
        <w:t>1</w:t>
      </w:r>
      <w:bookmarkStart w:id="255" w:name="_Toc296346586"/>
      <w:bookmarkStart w:id="256" w:name="_Toc337558789"/>
      <w:bookmarkStart w:id="257" w:name="_Toc296503085"/>
      <w:r>
        <w:rPr>
          <w:rFonts w:hint="eastAsia" w:ascii="宋体" w:hAnsi="宋体" w:cs="宋体"/>
          <w:szCs w:val="21"/>
          <w:highlight w:val="none"/>
        </w:rPr>
        <w:t>0.2变更权</w:t>
      </w:r>
      <w:bookmarkEnd w:id="254"/>
    </w:p>
    <w:bookmarkEnd w:id="255"/>
    <w:bookmarkEnd w:id="256"/>
    <w:bookmarkEnd w:id="257"/>
    <w:p w14:paraId="268E65C6">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015BAF2">
      <w:pPr>
        <w:spacing w:line="360" w:lineRule="auto"/>
        <w:ind w:firstLine="420" w:firstLineChars="200"/>
        <w:rPr>
          <w:rFonts w:ascii="宋体" w:hAnsi="宋体" w:cs="宋体"/>
          <w:szCs w:val="21"/>
          <w:highlight w:val="none"/>
        </w:rPr>
      </w:pPr>
      <w:r>
        <w:rPr>
          <w:rFonts w:hint="eastAsia" w:ascii="宋体" w:hAnsi="宋体" w:cs="宋体"/>
          <w:szCs w:val="21"/>
          <w:highlight w:val="none"/>
        </w:rPr>
        <w:t>涉及设计变更的，应由设计人提供变更后的图纸和说明。如变更超过原设计标准或批准的建设规模时，发包人应及时办理规划、设计变更等审批手续。</w:t>
      </w:r>
    </w:p>
    <w:p w14:paraId="3F786133">
      <w:pPr>
        <w:spacing w:line="360" w:lineRule="auto"/>
        <w:ind w:firstLine="420" w:firstLineChars="200"/>
        <w:rPr>
          <w:rFonts w:ascii="宋体" w:hAnsi="宋体" w:cs="宋体"/>
          <w:szCs w:val="21"/>
          <w:highlight w:val="none"/>
        </w:rPr>
      </w:pPr>
      <w:bookmarkStart w:id="258" w:name="_Toc351203570"/>
      <w:r>
        <w:rPr>
          <w:rFonts w:hint="eastAsia" w:ascii="宋体" w:hAnsi="宋体" w:cs="宋体"/>
          <w:szCs w:val="21"/>
          <w:highlight w:val="none"/>
        </w:rPr>
        <w:t>1</w:t>
      </w:r>
      <w:bookmarkStart w:id="259" w:name="_Toc337558790"/>
      <w:bookmarkStart w:id="260" w:name="_Toc296346587"/>
      <w:bookmarkStart w:id="261" w:name="_Toc296503086"/>
      <w:r>
        <w:rPr>
          <w:rFonts w:hint="eastAsia" w:ascii="宋体" w:hAnsi="宋体" w:cs="宋体"/>
          <w:szCs w:val="21"/>
          <w:highlight w:val="none"/>
        </w:rPr>
        <w:t>0.3变更程序</w:t>
      </w:r>
      <w:bookmarkEnd w:id="258"/>
    </w:p>
    <w:bookmarkEnd w:id="259"/>
    <w:bookmarkEnd w:id="260"/>
    <w:bookmarkEnd w:id="261"/>
    <w:p w14:paraId="1B8A0E71">
      <w:pPr>
        <w:spacing w:line="360" w:lineRule="auto"/>
        <w:ind w:firstLine="420" w:firstLineChars="200"/>
        <w:rPr>
          <w:rFonts w:ascii="宋体" w:hAnsi="宋体" w:cs="宋体"/>
          <w:szCs w:val="21"/>
          <w:highlight w:val="none"/>
        </w:rPr>
      </w:pPr>
      <w:r>
        <w:rPr>
          <w:rFonts w:hint="eastAsia" w:ascii="宋体" w:hAnsi="宋体" w:cs="宋体"/>
          <w:szCs w:val="21"/>
          <w:highlight w:val="none"/>
        </w:rPr>
        <w:t>10.3.1 发包人提出变更</w:t>
      </w:r>
    </w:p>
    <w:p w14:paraId="64B22693">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发包人提出变更的，应通过监理人向承包人发出变更指示，变更指示应说明计划变更的工程范围和变更的内容。</w:t>
      </w:r>
    </w:p>
    <w:p w14:paraId="5B53ABEF">
      <w:pPr>
        <w:spacing w:line="360" w:lineRule="auto"/>
        <w:ind w:firstLine="420" w:firstLineChars="200"/>
        <w:rPr>
          <w:rFonts w:ascii="宋体" w:hAnsi="宋体" w:cs="宋体"/>
          <w:szCs w:val="21"/>
          <w:highlight w:val="none"/>
        </w:rPr>
      </w:pPr>
      <w:r>
        <w:rPr>
          <w:rFonts w:hint="eastAsia" w:ascii="宋体" w:hAnsi="宋体" w:cs="宋体"/>
          <w:szCs w:val="21"/>
          <w:highlight w:val="none"/>
        </w:rPr>
        <w:t>10.3.2 监理人提出变更建议</w:t>
      </w:r>
    </w:p>
    <w:p w14:paraId="46262C1A">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78A3DB0">
      <w:pPr>
        <w:spacing w:line="360" w:lineRule="auto"/>
        <w:ind w:firstLine="420" w:firstLineChars="200"/>
        <w:rPr>
          <w:rFonts w:ascii="宋体" w:hAnsi="宋体" w:cs="宋体"/>
          <w:szCs w:val="21"/>
          <w:highlight w:val="none"/>
        </w:rPr>
      </w:pPr>
      <w:r>
        <w:rPr>
          <w:rFonts w:hint="eastAsia" w:ascii="宋体" w:hAnsi="宋体" w:cs="宋体"/>
          <w:szCs w:val="21"/>
          <w:highlight w:val="none"/>
        </w:rPr>
        <w:t>10.3.3 变更执行</w:t>
      </w:r>
    </w:p>
    <w:p w14:paraId="56A90D3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63B5462">
      <w:pPr>
        <w:spacing w:line="360" w:lineRule="auto"/>
        <w:ind w:firstLine="420" w:firstLineChars="200"/>
        <w:rPr>
          <w:rFonts w:ascii="宋体" w:hAnsi="宋体" w:cs="宋体"/>
          <w:szCs w:val="21"/>
          <w:highlight w:val="none"/>
        </w:rPr>
      </w:pPr>
      <w:bookmarkStart w:id="262" w:name="_Toc351203571"/>
      <w:r>
        <w:rPr>
          <w:rFonts w:hint="eastAsia" w:ascii="宋体" w:hAnsi="宋体" w:cs="宋体"/>
          <w:szCs w:val="21"/>
          <w:highlight w:val="none"/>
        </w:rPr>
        <w:t>1</w:t>
      </w:r>
      <w:bookmarkStart w:id="263" w:name="_Toc337558791"/>
      <w:bookmarkStart w:id="264" w:name="_Toc296346588"/>
      <w:bookmarkStart w:id="265" w:name="_Toc296503087"/>
      <w:r>
        <w:rPr>
          <w:rFonts w:hint="eastAsia" w:ascii="宋体" w:hAnsi="宋体" w:cs="宋体"/>
          <w:szCs w:val="21"/>
          <w:highlight w:val="none"/>
        </w:rPr>
        <w:t>0.4变更估价</w:t>
      </w:r>
      <w:bookmarkEnd w:id="262"/>
    </w:p>
    <w:bookmarkEnd w:id="263"/>
    <w:bookmarkEnd w:id="264"/>
    <w:bookmarkEnd w:id="265"/>
    <w:p w14:paraId="66D7EE31">
      <w:pPr>
        <w:spacing w:line="360" w:lineRule="auto"/>
        <w:ind w:firstLine="420" w:firstLineChars="200"/>
        <w:rPr>
          <w:rFonts w:ascii="宋体" w:hAnsi="宋体" w:cs="宋体"/>
          <w:szCs w:val="21"/>
          <w:highlight w:val="none"/>
        </w:rPr>
      </w:pPr>
      <w:r>
        <w:rPr>
          <w:rFonts w:hint="eastAsia" w:ascii="宋体" w:hAnsi="宋体" w:cs="宋体"/>
          <w:szCs w:val="21"/>
          <w:highlight w:val="none"/>
        </w:rPr>
        <w:t>10.4.1 变更估价原则</w:t>
      </w:r>
    </w:p>
    <w:p w14:paraId="29421F6F">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除专用合同条款另有约定外，变更估价按照本款约定处理：</w:t>
      </w:r>
    </w:p>
    <w:p w14:paraId="4507D14D">
      <w:pPr>
        <w:spacing w:line="360" w:lineRule="auto"/>
        <w:ind w:firstLine="420" w:firstLineChars="200"/>
        <w:rPr>
          <w:rFonts w:ascii="宋体" w:hAnsi="宋体" w:cs="宋体"/>
          <w:szCs w:val="21"/>
          <w:highlight w:val="none"/>
        </w:rPr>
      </w:pPr>
      <w:r>
        <w:rPr>
          <w:rFonts w:hint="eastAsia" w:ascii="宋体" w:hAnsi="宋体" w:cs="宋体"/>
          <w:szCs w:val="21"/>
          <w:highlight w:val="none"/>
        </w:rPr>
        <w:t>（1）已标价工程量清单或预算书有相同项目的，按照相同项目单价认定；</w:t>
      </w:r>
    </w:p>
    <w:p w14:paraId="46797208">
      <w:pPr>
        <w:spacing w:line="360" w:lineRule="auto"/>
        <w:ind w:firstLine="420" w:firstLineChars="200"/>
        <w:rPr>
          <w:rFonts w:ascii="宋体" w:hAnsi="宋体" w:cs="宋体"/>
          <w:szCs w:val="21"/>
          <w:highlight w:val="none"/>
        </w:rPr>
      </w:pPr>
      <w:r>
        <w:rPr>
          <w:rFonts w:hint="eastAsia" w:ascii="宋体" w:hAnsi="宋体" w:cs="宋体"/>
          <w:szCs w:val="21"/>
          <w:highlight w:val="none"/>
        </w:rPr>
        <w:t>（2）已标价工程量清单或预算书中无相同项目，但有类似项目的，参照类似项目的单价认定；</w:t>
      </w:r>
    </w:p>
    <w:p w14:paraId="639F36CA">
      <w:pPr>
        <w:spacing w:line="360" w:lineRule="auto"/>
        <w:ind w:firstLine="420" w:firstLineChars="200"/>
        <w:rPr>
          <w:rFonts w:ascii="宋体" w:hAnsi="宋体" w:cs="宋体"/>
          <w:szCs w:val="21"/>
          <w:highlight w:val="none"/>
        </w:rPr>
      </w:pPr>
      <w:r>
        <w:rPr>
          <w:rFonts w:hint="eastAsia" w:ascii="宋体" w:hAnsi="宋体" w:cs="宋体"/>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91D01F0">
      <w:pPr>
        <w:spacing w:line="360" w:lineRule="auto"/>
        <w:ind w:firstLine="420" w:firstLineChars="200"/>
        <w:rPr>
          <w:rFonts w:ascii="宋体" w:hAnsi="宋体" w:cs="宋体"/>
          <w:szCs w:val="21"/>
          <w:highlight w:val="none"/>
        </w:rPr>
      </w:pPr>
      <w:r>
        <w:rPr>
          <w:rFonts w:hint="eastAsia" w:ascii="宋体" w:hAnsi="宋体" w:cs="宋体"/>
          <w:szCs w:val="21"/>
          <w:highlight w:val="none"/>
        </w:rPr>
        <w:t>10.4.2 变更估价程序</w:t>
      </w:r>
    </w:p>
    <w:p w14:paraId="13773AE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B475AE5">
      <w:pPr>
        <w:spacing w:line="360" w:lineRule="auto"/>
        <w:ind w:firstLine="420" w:firstLineChars="200"/>
        <w:rPr>
          <w:rFonts w:ascii="宋体" w:hAnsi="宋体" w:cs="宋体"/>
          <w:szCs w:val="21"/>
          <w:highlight w:val="none"/>
        </w:rPr>
      </w:pPr>
      <w:r>
        <w:rPr>
          <w:rFonts w:hint="eastAsia" w:ascii="宋体" w:hAnsi="宋体" w:cs="宋体"/>
          <w:szCs w:val="21"/>
          <w:highlight w:val="none"/>
        </w:rPr>
        <w:t>因变更引起的价格调整应计入最近一期的进度款中支付。</w:t>
      </w:r>
    </w:p>
    <w:p w14:paraId="3E7AFDA4">
      <w:pPr>
        <w:spacing w:line="360" w:lineRule="auto"/>
        <w:ind w:firstLine="420" w:firstLineChars="200"/>
        <w:rPr>
          <w:rFonts w:ascii="宋体" w:hAnsi="宋体" w:cs="宋体"/>
          <w:szCs w:val="21"/>
          <w:highlight w:val="none"/>
        </w:rPr>
      </w:pPr>
      <w:bookmarkStart w:id="266" w:name="_Toc351203572"/>
      <w:r>
        <w:rPr>
          <w:rFonts w:hint="eastAsia" w:ascii="宋体" w:hAnsi="宋体" w:cs="宋体"/>
          <w:szCs w:val="21"/>
          <w:highlight w:val="none"/>
        </w:rPr>
        <w:t>1</w:t>
      </w:r>
      <w:bookmarkStart w:id="267" w:name="_Toc337558792"/>
      <w:bookmarkStart w:id="268" w:name="_Toc296503094"/>
      <w:bookmarkStart w:id="269" w:name="_Toc296346595"/>
      <w:r>
        <w:rPr>
          <w:rFonts w:hint="eastAsia" w:ascii="宋体" w:hAnsi="宋体" w:cs="宋体"/>
          <w:szCs w:val="21"/>
          <w:highlight w:val="none"/>
        </w:rPr>
        <w:t>0.5承包人的合理化建议</w:t>
      </w:r>
      <w:bookmarkEnd w:id="266"/>
    </w:p>
    <w:bookmarkEnd w:id="267"/>
    <w:bookmarkEnd w:id="268"/>
    <w:bookmarkEnd w:id="269"/>
    <w:p w14:paraId="58AA19AC">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承包人提出合理化建议的，应向监理人提交合理化建议说明，说明建议的内容和理由，以及实施该建议对合同价格和工期的影响。</w:t>
      </w:r>
    </w:p>
    <w:p w14:paraId="1E81A148">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FB0BD75">
      <w:pPr>
        <w:spacing w:line="360" w:lineRule="auto"/>
        <w:ind w:firstLine="420" w:firstLineChars="200"/>
        <w:rPr>
          <w:rFonts w:ascii="宋体" w:hAnsi="宋体" w:cs="宋体"/>
          <w:szCs w:val="21"/>
          <w:highlight w:val="none"/>
        </w:rPr>
      </w:pPr>
      <w:r>
        <w:rPr>
          <w:rFonts w:hint="eastAsia" w:ascii="宋体" w:hAnsi="宋体" w:cs="宋体"/>
          <w:szCs w:val="21"/>
          <w:highlight w:val="none"/>
        </w:rPr>
        <w:t>合理化建议降低了合同价格或者提高了工程经济效益的，发包人可对承包人给予奖励，奖励的方法和金额在专用合同条款中约定。</w:t>
      </w:r>
    </w:p>
    <w:p w14:paraId="6E814F90">
      <w:pPr>
        <w:spacing w:line="360" w:lineRule="auto"/>
        <w:ind w:firstLine="420" w:firstLineChars="200"/>
        <w:rPr>
          <w:rFonts w:ascii="宋体" w:hAnsi="宋体" w:cs="宋体"/>
          <w:szCs w:val="21"/>
          <w:highlight w:val="none"/>
        </w:rPr>
      </w:pPr>
      <w:bookmarkStart w:id="270" w:name="_Toc351203573"/>
      <w:r>
        <w:rPr>
          <w:rFonts w:hint="eastAsia" w:ascii="宋体" w:hAnsi="宋体" w:cs="宋体"/>
          <w:szCs w:val="21"/>
          <w:highlight w:val="none"/>
        </w:rPr>
        <w:t>1</w:t>
      </w:r>
      <w:bookmarkStart w:id="271" w:name="_Toc337558793"/>
      <w:r>
        <w:rPr>
          <w:rFonts w:hint="eastAsia" w:ascii="宋体" w:hAnsi="宋体" w:cs="宋体"/>
          <w:szCs w:val="21"/>
          <w:highlight w:val="none"/>
        </w:rPr>
        <w:t>0.6变更引起的工期调整</w:t>
      </w:r>
      <w:bookmarkEnd w:id="270"/>
      <w:r>
        <w:rPr>
          <w:rFonts w:hint="eastAsia" w:ascii="宋体" w:hAnsi="宋体" w:cs="宋体"/>
          <w:szCs w:val="21"/>
          <w:highlight w:val="none"/>
        </w:rPr>
        <w:t xml:space="preserve"> </w:t>
      </w:r>
      <w:bookmarkEnd w:id="271"/>
      <w:r>
        <w:rPr>
          <w:rFonts w:hint="eastAsia" w:ascii="宋体" w:hAnsi="宋体" w:cs="宋体"/>
          <w:szCs w:val="21"/>
          <w:highlight w:val="none"/>
        </w:rPr>
        <w:t xml:space="preserve">  </w:t>
      </w:r>
    </w:p>
    <w:p w14:paraId="4CDBD79F">
      <w:pPr>
        <w:spacing w:line="360" w:lineRule="auto"/>
        <w:ind w:firstLine="420" w:firstLineChars="200"/>
        <w:rPr>
          <w:rFonts w:ascii="宋体" w:hAnsi="宋体" w:cs="宋体"/>
          <w:szCs w:val="21"/>
          <w:highlight w:val="none"/>
        </w:rPr>
      </w:pPr>
      <w:r>
        <w:rPr>
          <w:rFonts w:hint="eastAsia" w:ascii="宋体" w:hAnsi="宋体" w:cs="宋体"/>
          <w:szCs w:val="21"/>
          <w:highlight w:val="none"/>
        </w:rPr>
        <w:t>因变更引起工期变化的，合同当事人均可要求调整合同工期，由合同当事人按照第4.4款〔商定或确定〕并参考工程所在地的工期定额标准确定增减工期天数。</w:t>
      </w:r>
    </w:p>
    <w:p w14:paraId="63E8A2D2">
      <w:pPr>
        <w:spacing w:line="360" w:lineRule="auto"/>
        <w:ind w:firstLine="420" w:firstLineChars="200"/>
        <w:rPr>
          <w:rFonts w:ascii="宋体" w:hAnsi="宋体" w:cs="宋体"/>
          <w:szCs w:val="21"/>
          <w:highlight w:val="none"/>
        </w:rPr>
      </w:pPr>
      <w:bookmarkStart w:id="272" w:name="_Toc351203574"/>
      <w:r>
        <w:rPr>
          <w:rFonts w:hint="eastAsia" w:ascii="宋体" w:hAnsi="宋体" w:cs="宋体"/>
          <w:szCs w:val="21"/>
          <w:highlight w:val="none"/>
        </w:rPr>
        <w:t>10.7暂估价</w:t>
      </w:r>
      <w:bookmarkEnd w:id="272"/>
    </w:p>
    <w:p w14:paraId="5B5A14AF">
      <w:pPr>
        <w:spacing w:line="360" w:lineRule="auto"/>
        <w:ind w:firstLine="420" w:firstLineChars="200"/>
        <w:rPr>
          <w:rFonts w:ascii="宋体" w:hAnsi="宋体" w:cs="宋体"/>
          <w:szCs w:val="21"/>
          <w:highlight w:val="none"/>
        </w:rPr>
      </w:pPr>
      <w:r>
        <w:rPr>
          <w:rFonts w:hint="eastAsia" w:ascii="宋体" w:hAnsi="宋体" w:cs="宋体"/>
          <w:szCs w:val="21"/>
          <w:highlight w:val="none"/>
        </w:rPr>
        <w:t>暂估价专业分包工程、服务、材料和工程设备的明细由合同当事人在专用合同条款中约定。</w:t>
      </w:r>
    </w:p>
    <w:p w14:paraId="4B3A9224">
      <w:pPr>
        <w:spacing w:line="360" w:lineRule="auto"/>
        <w:ind w:firstLine="420" w:firstLineChars="200"/>
        <w:rPr>
          <w:rFonts w:ascii="宋体" w:hAnsi="宋体" w:cs="宋体"/>
          <w:szCs w:val="21"/>
          <w:highlight w:val="none"/>
        </w:rPr>
      </w:pPr>
      <w:r>
        <w:rPr>
          <w:rFonts w:hint="eastAsia" w:ascii="宋体" w:hAnsi="宋体" w:cs="宋体"/>
          <w:szCs w:val="21"/>
          <w:highlight w:val="none"/>
        </w:rPr>
        <w:t>10.7.1 依法必须招标的暂估价项目</w:t>
      </w:r>
    </w:p>
    <w:p w14:paraId="0C59AF7A">
      <w:pPr>
        <w:spacing w:line="360" w:lineRule="auto"/>
        <w:ind w:firstLine="420" w:firstLineChars="200"/>
        <w:rPr>
          <w:rFonts w:ascii="宋体" w:hAnsi="宋体" w:cs="宋体"/>
          <w:szCs w:val="21"/>
          <w:highlight w:val="none"/>
        </w:rPr>
      </w:pPr>
      <w:r>
        <w:rPr>
          <w:rFonts w:hint="eastAsia" w:ascii="宋体" w:hAnsi="宋体" w:cs="宋体"/>
          <w:szCs w:val="21"/>
          <w:highlight w:val="none"/>
        </w:rPr>
        <w:t>对于依法必须招标的暂估价项目，采取以下第1种方式确定。合同当事人也可以在专用合同条款中选择其他招标方式。</w:t>
      </w:r>
    </w:p>
    <w:p w14:paraId="2482C0F3">
      <w:pPr>
        <w:spacing w:line="360" w:lineRule="auto"/>
        <w:ind w:firstLine="420" w:firstLineChars="200"/>
        <w:rPr>
          <w:rFonts w:ascii="宋体" w:hAnsi="宋体" w:cs="宋体"/>
          <w:szCs w:val="21"/>
          <w:highlight w:val="none"/>
        </w:rPr>
      </w:pPr>
      <w:r>
        <w:rPr>
          <w:rFonts w:hint="eastAsia" w:ascii="宋体" w:hAnsi="宋体" w:cs="宋体"/>
          <w:szCs w:val="21"/>
          <w:highlight w:val="none"/>
        </w:rPr>
        <w:t>第1种方式：对于依法必须招标的暂估价项目，由承包人招标，对该暂估价项目的确认和批准按照以下约定执行：</w:t>
      </w:r>
    </w:p>
    <w:p w14:paraId="66F99A0B">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8C58CBD">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6143C20">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3A20E2B">
      <w:pPr>
        <w:spacing w:line="360" w:lineRule="auto"/>
        <w:ind w:firstLine="420" w:firstLineChars="200"/>
        <w:rPr>
          <w:rFonts w:ascii="宋体" w:hAnsi="宋体" w:cs="宋体"/>
          <w:szCs w:val="21"/>
          <w:highlight w:val="none"/>
        </w:rPr>
      </w:pPr>
      <w:r>
        <w:rPr>
          <w:rFonts w:hint="eastAsia" w:ascii="宋体" w:hAnsi="宋体" w:cs="宋体"/>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1532447">
      <w:pPr>
        <w:spacing w:line="360" w:lineRule="auto"/>
        <w:ind w:firstLine="420" w:firstLineChars="200"/>
        <w:rPr>
          <w:rFonts w:ascii="宋体" w:hAnsi="宋体" w:cs="宋体"/>
          <w:szCs w:val="21"/>
          <w:highlight w:val="none"/>
        </w:rPr>
      </w:pPr>
      <w:r>
        <w:rPr>
          <w:rFonts w:hint="eastAsia" w:ascii="宋体" w:hAnsi="宋体" w:cs="宋体"/>
          <w:szCs w:val="21"/>
          <w:highlight w:val="none"/>
        </w:rPr>
        <w:t>10.7.2不属于依法必须招标的暂估价项目</w:t>
      </w:r>
    </w:p>
    <w:p w14:paraId="1B261800">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除专用合同条款另有约定外，对于不属于依法必须招标的暂估价项目，采取以下第1种方式确定： </w:t>
      </w:r>
    </w:p>
    <w:p w14:paraId="5B73A499">
      <w:pPr>
        <w:spacing w:line="360" w:lineRule="auto"/>
        <w:ind w:firstLine="420" w:firstLineChars="200"/>
        <w:rPr>
          <w:rFonts w:ascii="宋体" w:hAnsi="宋体" w:cs="宋体"/>
          <w:szCs w:val="21"/>
          <w:highlight w:val="none"/>
        </w:rPr>
      </w:pPr>
      <w:r>
        <w:rPr>
          <w:rFonts w:hint="eastAsia" w:ascii="宋体" w:hAnsi="宋体" w:cs="宋体"/>
          <w:szCs w:val="21"/>
          <w:highlight w:val="none"/>
        </w:rPr>
        <w:t>第1种方式：对于不属于依法必须招标的暂估价项目，按本项约定确认和批准：</w:t>
      </w:r>
    </w:p>
    <w:p w14:paraId="6276BB42">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B35F7AB">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（2）发包人认为承包人确定的供应商、分包人无法满足工程质量或合同要求的，发包人可以要求承包人重新确定暂估价项目的供应商、分包人;</w:t>
      </w:r>
    </w:p>
    <w:p w14:paraId="1E199152">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（3）承包人应当在签订暂估价合同后7天内，将暂估价合同副本报送发包人留存。</w:t>
      </w:r>
    </w:p>
    <w:p w14:paraId="206FEB2E">
      <w:pPr>
        <w:spacing w:line="360" w:lineRule="auto"/>
        <w:ind w:firstLine="420" w:firstLineChars="200"/>
        <w:rPr>
          <w:rFonts w:ascii="宋体" w:hAnsi="宋体" w:cs="宋体"/>
          <w:szCs w:val="21"/>
          <w:highlight w:val="none"/>
        </w:rPr>
      </w:pPr>
      <w:r>
        <w:rPr>
          <w:rFonts w:hint="eastAsia" w:ascii="宋体" w:hAnsi="宋体" w:cs="宋体"/>
          <w:szCs w:val="21"/>
          <w:highlight w:val="none"/>
        </w:rPr>
        <w:t>第2种方式：承包人按照第10.7.1项〔依法必须招标的暂估价项目〕约定的第1种方式确定暂估价项目。</w:t>
      </w:r>
    </w:p>
    <w:p w14:paraId="091E6C7C">
      <w:pPr>
        <w:spacing w:line="360" w:lineRule="auto"/>
        <w:ind w:firstLine="420" w:firstLineChars="200"/>
        <w:rPr>
          <w:rFonts w:ascii="宋体" w:hAnsi="宋体" w:cs="宋体"/>
          <w:szCs w:val="21"/>
          <w:highlight w:val="none"/>
        </w:rPr>
      </w:pPr>
      <w:r>
        <w:rPr>
          <w:rFonts w:hint="eastAsia" w:ascii="宋体" w:hAnsi="宋体" w:cs="宋体"/>
          <w:szCs w:val="21"/>
          <w:highlight w:val="none"/>
        </w:rPr>
        <w:t>第3种方式：承包人直接实施的暂估价项目</w:t>
      </w:r>
    </w:p>
    <w:p w14:paraId="43736B57">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承包人具备实施暂估价项目的资格和条件的，经发包人和承包人协商一致后，可由承包人自行实施暂估价项目，合同当事人可以在专用合同条款约定具体事项。</w:t>
      </w:r>
    </w:p>
    <w:p w14:paraId="0C83DCE8">
      <w:pPr>
        <w:spacing w:line="360" w:lineRule="auto"/>
        <w:ind w:firstLine="420" w:firstLineChars="200"/>
        <w:rPr>
          <w:rFonts w:ascii="宋体" w:hAnsi="宋体" w:cs="宋体"/>
          <w:szCs w:val="21"/>
          <w:highlight w:val="none"/>
        </w:rPr>
      </w:pPr>
      <w:r>
        <w:rPr>
          <w:rFonts w:hint="eastAsia" w:ascii="宋体" w:hAnsi="宋体" w:cs="宋体"/>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0B6ECAE">
      <w:pPr>
        <w:spacing w:line="360" w:lineRule="auto"/>
        <w:ind w:firstLine="420" w:firstLineChars="200"/>
        <w:rPr>
          <w:rFonts w:ascii="宋体" w:hAnsi="宋体" w:cs="宋体"/>
          <w:szCs w:val="21"/>
          <w:highlight w:val="none"/>
        </w:rPr>
      </w:pPr>
      <w:bookmarkStart w:id="273" w:name="_Toc351203575"/>
      <w:r>
        <w:rPr>
          <w:rFonts w:hint="eastAsia" w:ascii="宋体" w:hAnsi="宋体" w:cs="宋体"/>
          <w:szCs w:val="21"/>
          <w:highlight w:val="none"/>
        </w:rPr>
        <w:t>1</w:t>
      </w:r>
      <w:bookmarkStart w:id="274" w:name="_Toc337558794"/>
      <w:bookmarkStart w:id="275" w:name="_Toc322522561"/>
      <w:bookmarkStart w:id="276" w:name="_Toc296503090"/>
      <w:bookmarkStart w:id="277" w:name="_Toc296346591"/>
      <w:r>
        <w:rPr>
          <w:rFonts w:hint="eastAsia" w:ascii="宋体" w:hAnsi="宋体" w:cs="宋体"/>
          <w:szCs w:val="21"/>
          <w:highlight w:val="none"/>
        </w:rPr>
        <w:t>0.8暂列金额</w:t>
      </w:r>
      <w:bookmarkEnd w:id="273"/>
    </w:p>
    <w:bookmarkEnd w:id="274"/>
    <w:p w14:paraId="509773B7">
      <w:pPr>
        <w:spacing w:line="360" w:lineRule="auto"/>
        <w:ind w:firstLine="420" w:firstLineChars="200"/>
        <w:rPr>
          <w:rFonts w:ascii="宋体" w:hAnsi="宋体" w:cs="宋体"/>
          <w:szCs w:val="21"/>
          <w:highlight w:val="none"/>
        </w:rPr>
      </w:pPr>
      <w:r>
        <w:rPr>
          <w:rFonts w:hint="eastAsia" w:ascii="宋体" w:hAnsi="宋体" w:cs="宋体"/>
          <w:szCs w:val="21"/>
          <w:highlight w:val="none"/>
        </w:rPr>
        <w:t>暂列金额应按照发包人的要求使用，发包人的要求应通过监理人发出。合同当事人可以在专用合同条款中协商确定有关事项。</w:t>
      </w:r>
    </w:p>
    <w:bookmarkEnd w:id="275"/>
    <w:bookmarkEnd w:id="276"/>
    <w:bookmarkEnd w:id="277"/>
    <w:p w14:paraId="4841AAD1">
      <w:pPr>
        <w:spacing w:line="360" w:lineRule="auto"/>
        <w:ind w:firstLine="420" w:firstLineChars="200"/>
        <w:rPr>
          <w:rFonts w:ascii="宋体" w:hAnsi="宋体" w:cs="宋体"/>
          <w:szCs w:val="21"/>
          <w:highlight w:val="none"/>
        </w:rPr>
      </w:pPr>
      <w:bookmarkStart w:id="278" w:name="_Toc351203576"/>
      <w:r>
        <w:rPr>
          <w:rFonts w:hint="eastAsia" w:ascii="宋体" w:hAnsi="宋体" w:cs="宋体"/>
          <w:szCs w:val="21"/>
          <w:highlight w:val="none"/>
        </w:rPr>
        <w:t>1</w:t>
      </w:r>
      <w:bookmarkStart w:id="279" w:name="_Toc296346592"/>
      <w:bookmarkStart w:id="280" w:name="_Toc296503091"/>
      <w:bookmarkStart w:id="281" w:name="_Toc337558796"/>
      <w:r>
        <w:rPr>
          <w:rFonts w:hint="eastAsia" w:ascii="宋体" w:hAnsi="宋体" w:cs="宋体"/>
          <w:szCs w:val="21"/>
          <w:highlight w:val="none"/>
        </w:rPr>
        <w:t>0.9计日工</w:t>
      </w:r>
      <w:bookmarkEnd w:id="278"/>
      <w:r>
        <w:rPr>
          <w:rFonts w:hint="eastAsia" w:ascii="宋体" w:hAnsi="宋体" w:cs="宋体"/>
          <w:szCs w:val="21"/>
          <w:highlight w:val="none"/>
        </w:rPr>
        <w:t xml:space="preserve"> </w:t>
      </w:r>
      <w:bookmarkEnd w:id="279"/>
      <w:bookmarkEnd w:id="280"/>
      <w:bookmarkEnd w:id="281"/>
    </w:p>
    <w:p w14:paraId="44021B59">
      <w:pPr>
        <w:spacing w:line="360" w:lineRule="auto"/>
        <w:ind w:firstLine="420" w:firstLineChars="200"/>
        <w:rPr>
          <w:rFonts w:ascii="宋体" w:hAnsi="宋体" w:cs="宋体"/>
          <w:szCs w:val="21"/>
          <w:highlight w:val="none"/>
        </w:rPr>
      </w:pPr>
      <w:r>
        <w:rPr>
          <w:rFonts w:hint="eastAsia" w:ascii="宋体" w:hAnsi="宋体" w:cs="宋体"/>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0C0581F">
      <w:pPr>
        <w:spacing w:line="360" w:lineRule="auto"/>
        <w:ind w:firstLine="420" w:firstLineChars="200"/>
        <w:rPr>
          <w:rFonts w:ascii="宋体" w:hAnsi="宋体" w:cs="宋体"/>
          <w:szCs w:val="21"/>
          <w:highlight w:val="none"/>
        </w:rPr>
      </w:pPr>
      <w:r>
        <w:rPr>
          <w:rFonts w:hint="eastAsia" w:ascii="宋体" w:hAnsi="宋体" w:cs="宋体"/>
          <w:szCs w:val="21"/>
          <w:highlight w:val="none"/>
        </w:rPr>
        <w:t>采用计日工计价的任何一项工作，承包人应在该项工作实施过程中，每天提交以下报表和有关凭证报送监理人审查：</w:t>
      </w:r>
    </w:p>
    <w:p w14:paraId="26B0BAF6">
      <w:pPr>
        <w:spacing w:line="360" w:lineRule="auto"/>
        <w:ind w:firstLine="420" w:firstLineChars="200"/>
        <w:rPr>
          <w:rFonts w:ascii="宋体" w:hAnsi="宋体" w:cs="宋体"/>
          <w:szCs w:val="21"/>
          <w:highlight w:val="none"/>
        </w:rPr>
      </w:pPr>
      <w:r>
        <w:rPr>
          <w:rFonts w:hint="eastAsia" w:ascii="宋体" w:hAnsi="宋体" w:cs="宋体"/>
          <w:szCs w:val="21"/>
          <w:highlight w:val="none"/>
        </w:rPr>
        <w:t>（1）工作名称、内容和数量；</w:t>
      </w:r>
    </w:p>
    <w:p w14:paraId="5DBD5D24">
      <w:pPr>
        <w:spacing w:line="360" w:lineRule="auto"/>
        <w:ind w:firstLine="420" w:firstLineChars="200"/>
        <w:rPr>
          <w:rFonts w:ascii="宋体" w:hAnsi="宋体" w:cs="宋体"/>
          <w:szCs w:val="21"/>
          <w:highlight w:val="none"/>
        </w:rPr>
      </w:pPr>
      <w:r>
        <w:rPr>
          <w:rFonts w:hint="eastAsia" w:ascii="宋体" w:hAnsi="宋体" w:cs="宋体"/>
          <w:szCs w:val="21"/>
          <w:highlight w:val="none"/>
        </w:rPr>
        <w:t>（2）投入该工作的所有人员的姓名、专业、工种、级别和耗用工时；</w:t>
      </w:r>
    </w:p>
    <w:p w14:paraId="6F96FC12">
      <w:pPr>
        <w:spacing w:line="360" w:lineRule="auto"/>
        <w:ind w:firstLine="420" w:firstLineChars="200"/>
        <w:rPr>
          <w:rFonts w:ascii="宋体" w:hAnsi="宋体" w:cs="宋体"/>
          <w:szCs w:val="21"/>
          <w:highlight w:val="none"/>
        </w:rPr>
      </w:pPr>
      <w:r>
        <w:rPr>
          <w:rFonts w:hint="eastAsia" w:ascii="宋体" w:hAnsi="宋体" w:cs="宋体"/>
          <w:szCs w:val="21"/>
          <w:highlight w:val="none"/>
        </w:rPr>
        <w:t>（3）投入该工作的材料类别和数量；</w:t>
      </w:r>
    </w:p>
    <w:p w14:paraId="4904ABA8">
      <w:pPr>
        <w:spacing w:line="360" w:lineRule="auto"/>
        <w:ind w:firstLine="420" w:firstLineChars="200"/>
        <w:rPr>
          <w:rFonts w:ascii="宋体" w:hAnsi="宋体" w:cs="宋体"/>
          <w:szCs w:val="21"/>
          <w:highlight w:val="none"/>
        </w:rPr>
      </w:pPr>
      <w:r>
        <w:rPr>
          <w:rFonts w:hint="eastAsia" w:ascii="宋体" w:hAnsi="宋体" w:cs="宋体"/>
          <w:szCs w:val="21"/>
          <w:highlight w:val="none"/>
        </w:rPr>
        <w:t>（4）投入该工作的施工设备型号、台数和耗用台时；</w:t>
      </w:r>
    </w:p>
    <w:p w14:paraId="46134D38">
      <w:pPr>
        <w:spacing w:line="360" w:lineRule="auto"/>
        <w:ind w:firstLine="420" w:firstLineChars="200"/>
        <w:rPr>
          <w:rFonts w:ascii="宋体" w:hAnsi="宋体" w:cs="宋体"/>
          <w:szCs w:val="21"/>
          <w:highlight w:val="none"/>
        </w:rPr>
      </w:pPr>
      <w:r>
        <w:rPr>
          <w:rFonts w:hint="eastAsia" w:ascii="宋体" w:hAnsi="宋体" w:cs="宋体"/>
          <w:szCs w:val="21"/>
          <w:highlight w:val="none"/>
        </w:rPr>
        <w:t>（5）其他有关资料和凭证。</w:t>
      </w:r>
    </w:p>
    <w:p w14:paraId="009C55B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计日工由承包人汇总后，列入最近一期进度付款申请单，由监理人审查并经发包人批准后列入进度付款。</w:t>
      </w:r>
    </w:p>
    <w:p w14:paraId="49D39EB2">
      <w:pPr>
        <w:spacing w:line="360" w:lineRule="auto"/>
        <w:ind w:firstLine="420" w:firstLineChars="200"/>
        <w:rPr>
          <w:rFonts w:ascii="宋体" w:hAnsi="宋体" w:cs="宋体"/>
          <w:szCs w:val="21"/>
          <w:highlight w:val="none"/>
        </w:rPr>
      </w:pPr>
      <w:bookmarkStart w:id="282" w:name="_Toc351203577"/>
      <w:r>
        <w:rPr>
          <w:rFonts w:hint="eastAsia" w:ascii="宋体" w:hAnsi="宋体" w:cs="宋体"/>
          <w:szCs w:val="21"/>
          <w:highlight w:val="none"/>
        </w:rPr>
        <w:t>11. 价格调整</w:t>
      </w:r>
      <w:bookmarkEnd w:id="282"/>
    </w:p>
    <w:p w14:paraId="60122B65">
      <w:pPr>
        <w:spacing w:line="360" w:lineRule="auto"/>
        <w:ind w:firstLine="420" w:firstLineChars="200"/>
        <w:rPr>
          <w:rFonts w:ascii="宋体" w:hAnsi="宋体" w:cs="宋体"/>
          <w:szCs w:val="21"/>
          <w:highlight w:val="none"/>
        </w:rPr>
      </w:pPr>
      <w:bookmarkStart w:id="283" w:name="_Toc351203578"/>
      <w:bookmarkStart w:id="284" w:name="_Toc296346593"/>
      <w:bookmarkStart w:id="285" w:name="_Toc296503092"/>
      <w:bookmarkStart w:id="286" w:name="_Toc337558797"/>
      <w:r>
        <w:rPr>
          <w:rFonts w:hint="eastAsia" w:ascii="宋体" w:hAnsi="宋体" w:cs="宋体"/>
          <w:szCs w:val="21"/>
          <w:highlight w:val="none"/>
        </w:rPr>
        <w:t>11.1市场价格波动引起的调整</w:t>
      </w:r>
      <w:bookmarkEnd w:id="283"/>
    </w:p>
    <w:bookmarkEnd w:id="284"/>
    <w:bookmarkEnd w:id="285"/>
    <w:bookmarkEnd w:id="286"/>
    <w:p w14:paraId="2880367A">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除专用合同条款另有约定外，市场价格波动超过合同当事人约定的范围，合同价格应当调整。合同当事人可以在专用合同条款中约定选择以下一种方式对合同价格进行调整：</w:t>
      </w:r>
    </w:p>
    <w:p w14:paraId="78C46FB9">
      <w:pPr>
        <w:spacing w:line="360" w:lineRule="auto"/>
        <w:ind w:firstLine="420" w:firstLineChars="200"/>
        <w:rPr>
          <w:rFonts w:ascii="宋体" w:hAnsi="宋体" w:cs="宋体"/>
          <w:szCs w:val="21"/>
          <w:highlight w:val="none"/>
        </w:rPr>
      </w:pPr>
      <w:r>
        <w:rPr>
          <w:rFonts w:hint="eastAsia" w:ascii="宋体" w:hAnsi="宋体" w:cs="宋体"/>
          <w:szCs w:val="21"/>
          <w:highlight w:val="none"/>
        </w:rPr>
        <w:t>第1种方式：采用价格指数进行价格调整。</w:t>
      </w:r>
    </w:p>
    <w:p w14:paraId="1CC36CB5">
      <w:pPr>
        <w:spacing w:line="360" w:lineRule="auto"/>
        <w:ind w:firstLine="420" w:firstLineChars="200"/>
        <w:rPr>
          <w:rFonts w:ascii="宋体" w:hAnsi="宋体" w:cs="宋体"/>
          <w:szCs w:val="21"/>
          <w:highlight w:val="none"/>
        </w:rPr>
      </w:pPr>
      <w:r>
        <w:rPr>
          <w:rFonts w:hint="eastAsia" w:ascii="宋体" w:hAnsi="宋体" w:cs="宋体"/>
          <w:szCs w:val="21"/>
          <w:highlight w:val="none"/>
        </w:rPr>
        <w:t>（1）价格调整公式</w:t>
      </w:r>
    </w:p>
    <w:p w14:paraId="76282948">
      <w:pPr>
        <w:spacing w:line="360" w:lineRule="auto"/>
        <w:ind w:firstLine="420" w:firstLineChars="200"/>
        <w:rPr>
          <w:rFonts w:ascii="宋体" w:hAnsi="宋体" w:cs="宋体"/>
          <w:szCs w:val="21"/>
          <w:highlight w:val="none"/>
        </w:rPr>
      </w:pPr>
      <w:r>
        <w:rPr>
          <w:rFonts w:hint="eastAsia" w:ascii="宋体" w:hAnsi="宋体" w:cs="宋体"/>
          <w:szCs w:val="21"/>
          <w:highlight w:val="none"/>
        </w:rPr>
        <w:t>因人工、材料和设备等价格波动影响合同价格时，根据专用合同条款中约定的数据，按以下公式计算差额并调整合同价格：</w:t>
      </w:r>
    </w:p>
    <w:p w14:paraId="1DA081A1">
      <w:pPr>
        <w:spacing w:line="360" w:lineRule="auto"/>
        <w:ind w:firstLine="420" w:firstLineChars="200"/>
        <w:rPr>
          <w:rFonts w:ascii="宋体" w:hAnsi="宋体" w:cs="宋体"/>
          <w:szCs w:val="21"/>
          <w:highlight w:val="none"/>
        </w:rPr>
      </w:pPr>
      <w:r>
        <w:rPr>
          <w:rFonts w:hint="eastAsia" w:ascii="宋体" w:hAnsi="宋体" w:cs="宋体"/>
          <w:szCs w:val="21"/>
          <w:highlight w:val="none"/>
        </w:rPr>
        <w:object>
          <v:shape id="_x0000_i1025" o:spt="75" type="#_x0000_t75" style="height:43.8pt;width:360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14:paraId="008D034C">
      <w:pPr>
        <w:spacing w:line="360" w:lineRule="auto"/>
        <w:ind w:firstLine="420" w:firstLineChars="200"/>
        <w:rPr>
          <w:rFonts w:ascii="宋体" w:hAnsi="宋体" w:cs="宋体"/>
          <w:szCs w:val="21"/>
          <w:highlight w:val="none"/>
        </w:rPr>
      </w:pPr>
      <w:r>
        <w:rPr>
          <w:rFonts w:hint="eastAsia" w:ascii="宋体" w:hAnsi="宋体" w:cs="宋体"/>
          <w:szCs w:val="21"/>
          <w:highlight w:val="none"/>
        </w:rPr>
        <w:t>公式中：ΔP——需调整的价格差额；</w:t>
      </w:r>
    </w:p>
    <w:p w14:paraId="51F14DD9">
      <w:pPr>
        <w:spacing w:line="360" w:lineRule="auto"/>
        <w:ind w:firstLine="420" w:firstLineChars="200"/>
        <w:rPr>
          <w:rFonts w:ascii="宋体" w:hAnsi="宋体" w:cs="宋体"/>
          <w:szCs w:val="21"/>
          <w:highlight w:val="none"/>
        </w:rPr>
      </w:pPr>
      <w:r>
        <w:rPr>
          <w:rFonts w:hint="eastAsia" w:ascii="宋体" w:hAnsi="宋体" w:cs="宋体"/>
          <w:szCs w:val="21"/>
          <w:highlight w:val="none"/>
        </w:rPr>
        <w:object>
          <v:shape id="_x0000_i1026" o:spt="75" type="#_x0000_t75" style="height:18pt;width:18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ascii="宋体" w:hAnsi="宋体" w:cs="宋体"/>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5F0F9EB2">
      <w:pPr>
        <w:spacing w:line="360" w:lineRule="auto"/>
        <w:ind w:firstLine="420" w:firstLineChars="200"/>
        <w:rPr>
          <w:rFonts w:ascii="宋体" w:hAnsi="宋体" w:cs="宋体"/>
          <w:szCs w:val="21"/>
          <w:highlight w:val="none"/>
        </w:rPr>
      </w:pPr>
      <w:r>
        <w:rPr>
          <w:rFonts w:hint="eastAsia" w:ascii="宋体" w:hAnsi="宋体" w:cs="宋体"/>
          <w:szCs w:val="21"/>
          <w:highlight w:val="none"/>
        </w:rPr>
        <w:t>A——定值权重（即不调部分的权重）；</w:t>
      </w:r>
    </w:p>
    <w:p w14:paraId="324DB93E">
      <w:pPr>
        <w:spacing w:line="360" w:lineRule="auto"/>
        <w:ind w:firstLine="420" w:firstLineChars="200"/>
        <w:rPr>
          <w:rFonts w:ascii="宋体" w:hAnsi="宋体" w:cs="宋体"/>
          <w:szCs w:val="21"/>
          <w:highlight w:val="none"/>
        </w:rPr>
      </w:pPr>
      <w:r>
        <w:rPr>
          <w:rFonts w:hint="eastAsia" w:ascii="宋体" w:hAnsi="宋体" w:cs="宋体"/>
          <w:szCs w:val="21"/>
          <w:highlight w:val="none"/>
        </w:rPr>
        <w:object>
          <v:shape id="_x0000_i1027" o:spt="75" type="#_x0000_t75" style="height:21pt;width:100.8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hint="eastAsia" w:ascii="宋体" w:hAnsi="宋体" w:cs="宋体"/>
          <w:szCs w:val="21"/>
          <w:highlight w:val="none"/>
        </w:rPr>
        <w:t>——各可调因子的变值权重（即可调部分的权重），为各可调因子在签约合同价中所占的比例；</w:t>
      </w:r>
    </w:p>
    <w:p w14:paraId="5ABD1617">
      <w:pPr>
        <w:spacing w:line="360" w:lineRule="auto"/>
        <w:ind w:firstLine="420" w:firstLineChars="200"/>
        <w:rPr>
          <w:rFonts w:ascii="宋体" w:hAnsi="宋体" w:cs="宋体"/>
          <w:szCs w:val="21"/>
          <w:highlight w:val="none"/>
        </w:rPr>
      </w:pPr>
      <w:r>
        <w:rPr>
          <w:rFonts w:hint="eastAsia" w:ascii="宋体" w:hAnsi="宋体" w:cs="宋体"/>
          <w:szCs w:val="21"/>
          <w:highlight w:val="none"/>
        </w:rPr>
        <w:object>
          <v:shape id="_x0000_i1028" o:spt="75" type="#_x0000_t75" style="height:20.4pt;width:102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ascii="宋体" w:hAnsi="宋体" w:cs="宋体"/>
          <w:szCs w:val="21"/>
          <w:highlight w:val="none"/>
        </w:rPr>
        <w:t>——各可调因子的现行价格指数，指约定的付款证书相关周期最后一天的前42天的各可调因子的价格指数；</w:t>
      </w:r>
    </w:p>
    <w:p w14:paraId="31CBB47F">
      <w:pPr>
        <w:spacing w:line="360" w:lineRule="auto"/>
        <w:ind w:firstLine="420" w:firstLineChars="200"/>
        <w:rPr>
          <w:rFonts w:ascii="宋体" w:hAnsi="宋体" w:cs="宋体"/>
          <w:szCs w:val="21"/>
          <w:highlight w:val="none"/>
        </w:rPr>
      </w:pPr>
      <w:r>
        <w:rPr>
          <w:rFonts w:hint="eastAsia" w:ascii="宋体" w:hAnsi="宋体" w:cs="宋体"/>
          <w:szCs w:val="21"/>
          <w:highlight w:val="none"/>
        </w:rPr>
        <w:object>
          <v:shape id="_x0000_i1029" o:spt="75" type="#_x0000_t75" style="height:20.4pt;width:108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r>
        <w:rPr>
          <w:rFonts w:hint="eastAsia" w:ascii="宋体" w:hAnsi="宋体" w:cs="宋体"/>
          <w:szCs w:val="21"/>
          <w:highlight w:val="none"/>
        </w:rPr>
        <w:t>——各可调因子的基本价格指数，指基准日期的各可调因子的价格指数。</w:t>
      </w:r>
    </w:p>
    <w:p w14:paraId="175324B9">
      <w:pPr>
        <w:spacing w:line="360" w:lineRule="auto"/>
        <w:ind w:firstLine="420" w:firstLineChars="200"/>
        <w:rPr>
          <w:rFonts w:ascii="宋体" w:hAnsi="宋体" w:cs="宋体"/>
          <w:szCs w:val="21"/>
          <w:highlight w:val="none"/>
        </w:rPr>
      </w:pPr>
      <w:r>
        <w:rPr>
          <w:rFonts w:hint="eastAsia" w:ascii="宋体" w:hAnsi="宋体" w:cs="宋体"/>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4C65E28">
      <w:pPr>
        <w:spacing w:line="360" w:lineRule="auto"/>
        <w:ind w:firstLine="420" w:firstLineChars="200"/>
        <w:rPr>
          <w:rFonts w:ascii="宋体" w:hAnsi="宋体" w:cs="宋体"/>
          <w:szCs w:val="21"/>
          <w:highlight w:val="none"/>
        </w:rPr>
      </w:pPr>
      <w:r>
        <w:rPr>
          <w:rFonts w:hint="eastAsia" w:ascii="宋体" w:hAnsi="宋体" w:cs="宋体"/>
          <w:szCs w:val="21"/>
          <w:highlight w:val="none"/>
        </w:rPr>
        <w:t>（2）暂时确定调整差额</w:t>
      </w:r>
    </w:p>
    <w:p w14:paraId="722D4B05">
      <w:pPr>
        <w:spacing w:line="360" w:lineRule="auto"/>
        <w:ind w:firstLine="420" w:firstLineChars="200"/>
        <w:rPr>
          <w:rFonts w:ascii="宋体" w:hAnsi="宋体" w:cs="宋体"/>
          <w:szCs w:val="21"/>
          <w:highlight w:val="none"/>
        </w:rPr>
      </w:pPr>
      <w:r>
        <w:rPr>
          <w:rFonts w:hint="eastAsia" w:ascii="宋体" w:hAnsi="宋体" w:cs="宋体"/>
          <w:szCs w:val="21"/>
          <w:highlight w:val="none"/>
        </w:rPr>
        <w:t>在计算调整差额时无现行价格指数的，合同当事人同意暂用前次价格指数计算。实际价格指数有调整的，合同当事人进行相应调整。</w:t>
      </w:r>
    </w:p>
    <w:p w14:paraId="79D6522E">
      <w:pPr>
        <w:spacing w:line="360" w:lineRule="auto"/>
        <w:ind w:firstLine="420" w:firstLineChars="200"/>
        <w:rPr>
          <w:rFonts w:ascii="宋体" w:hAnsi="宋体" w:cs="宋体"/>
          <w:szCs w:val="21"/>
          <w:highlight w:val="none"/>
        </w:rPr>
      </w:pPr>
      <w:r>
        <w:rPr>
          <w:rFonts w:hint="eastAsia" w:ascii="宋体" w:hAnsi="宋体" w:cs="宋体"/>
          <w:szCs w:val="21"/>
          <w:highlight w:val="none"/>
        </w:rPr>
        <w:t>（3）权重的调整</w:t>
      </w:r>
    </w:p>
    <w:p w14:paraId="0FC2F559">
      <w:pPr>
        <w:spacing w:line="360" w:lineRule="auto"/>
        <w:ind w:firstLine="420" w:firstLineChars="200"/>
        <w:rPr>
          <w:rFonts w:ascii="宋体" w:hAnsi="宋体" w:cs="宋体"/>
          <w:szCs w:val="21"/>
          <w:highlight w:val="none"/>
        </w:rPr>
      </w:pPr>
      <w:r>
        <w:rPr>
          <w:rFonts w:hint="eastAsia" w:ascii="宋体" w:hAnsi="宋体" w:cs="宋体"/>
          <w:szCs w:val="21"/>
          <w:highlight w:val="none"/>
        </w:rPr>
        <w:t>因变更导致合同约定的权重不合理时，按照第4.4款〔商定或确定〕执行。</w:t>
      </w:r>
    </w:p>
    <w:p w14:paraId="494C0818">
      <w:pPr>
        <w:spacing w:line="360" w:lineRule="auto"/>
        <w:ind w:firstLine="420" w:firstLineChars="200"/>
        <w:rPr>
          <w:rFonts w:ascii="宋体" w:hAnsi="宋体" w:cs="宋体"/>
          <w:szCs w:val="21"/>
          <w:highlight w:val="none"/>
        </w:rPr>
      </w:pPr>
      <w:r>
        <w:rPr>
          <w:rFonts w:hint="eastAsia" w:ascii="宋体" w:hAnsi="宋体" w:cs="宋体"/>
          <w:szCs w:val="21"/>
          <w:highlight w:val="none"/>
        </w:rPr>
        <w:t>（4）因承包人原因工期延误后的价格调整</w:t>
      </w:r>
    </w:p>
    <w:p w14:paraId="57EAAB00">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A3D2433">
      <w:pPr>
        <w:spacing w:line="360" w:lineRule="auto"/>
        <w:ind w:firstLine="420" w:firstLineChars="200"/>
        <w:rPr>
          <w:rFonts w:ascii="宋体" w:hAnsi="宋体" w:cs="宋体"/>
          <w:szCs w:val="21"/>
          <w:highlight w:val="none"/>
        </w:rPr>
      </w:pPr>
      <w:r>
        <w:rPr>
          <w:rFonts w:hint="eastAsia" w:ascii="宋体" w:hAnsi="宋体" w:cs="宋体"/>
          <w:szCs w:val="21"/>
          <w:highlight w:val="none"/>
        </w:rPr>
        <w:t>第2种方式：采用造价信息进行价格调整。</w:t>
      </w:r>
    </w:p>
    <w:p w14:paraId="01415B12">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9465728">
      <w:pPr>
        <w:spacing w:line="360" w:lineRule="auto"/>
        <w:ind w:firstLine="420" w:firstLineChars="200"/>
        <w:rPr>
          <w:rFonts w:ascii="宋体" w:hAnsi="宋体" w:cs="宋体"/>
          <w:szCs w:val="21"/>
          <w:highlight w:val="none"/>
        </w:rPr>
      </w:pPr>
      <w:r>
        <w:rPr>
          <w:rFonts w:hint="eastAsia" w:ascii="宋体" w:hAnsi="宋体" w:cs="宋体"/>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7690E4A">
      <w:pPr>
        <w:spacing w:line="360" w:lineRule="auto"/>
        <w:ind w:firstLine="420" w:firstLineChars="200"/>
        <w:rPr>
          <w:rFonts w:ascii="宋体" w:hAnsi="宋体" w:cs="宋体"/>
          <w:szCs w:val="21"/>
          <w:highlight w:val="none"/>
        </w:rPr>
      </w:pPr>
      <w:r>
        <w:rPr>
          <w:rFonts w:hint="eastAsia" w:ascii="宋体" w:hAnsi="宋体" w:cs="宋体"/>
          <w:szCs w:val="21"/>
          <w:highlight w:val="none"/>
        </w:rPr>
        <w:t>（2）材料、工程设备价格变化的价款调整按照发包人提供的基准价格，按以下风险范围规定执行:</w:t>
      </w:r>
    </w:p>
    <w:p w14:paraId="625190CE">
      <w:pPr>
        <w:spacing w:line="360" w:lineRule="auto"/>
        <w:ind w:firstLine="420" w:firstLineChars="200"/>
        <w:rPr>
          <w:rFonts w:ascii="宋体" w:hAnsi="宋体" w:cs="宋体"/>
          <w:szCs w:val="21"/>
          <w:highlight w:val="none"/>
        </w:rPr>
      </w:pPr>
      <w:r>
        <w:rPr>
          <w:rFonts w:hint="eastAsia" w:ascii="宋体" w:hAnsi="宋体" w:cs="宋体"/>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6AEE134">
      <w:pPr>
        <w:spacing w:line="360" w:lineRule="auto"/>
        <w:ind w:firstLine="420" w:firstLineChars="200"/>
        <w:rPr>
          <w:rFonts w:ascii="宋体" w:hAnsi="宋体" w:cs="宋体"/>
          <w:szCs w:val="21"/>
          <w:highlight w:val="none"/>
        </w:rPr>
      </w:pPr>
      <w:r>
        <w:rPr>
          <w:rFonts w:hint="eastAsia" w:ascii="宋体" w:hAnsi="宋体" w:cs="宋体"/>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FA56C5A">
      <w:pPr>
        <w:spacing w:line="360" w:lineRule="auto"/>
        <w:ind w:firstLine="420" w:firstLineChars="200"/>
        <w:rPr>
          <w:rFonts w:ascii="宋体" w:hAnsi="宋体" w:cs="宋体"/>
          <w:szCs w:val="21"/>
          <w:highlight w:val="none"/>
        </w:rPr>
      </w:pPr>
      <w:r>
        <w:rPr>
          <w:rFonts w:hint="eastAsia" w:ascii="宋体" w:hAnsi="宋体" w:cs="宋体"/>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730AA3E">
      <w:pPr>
        <w:spacing w:line="360" w:lineRule="auto"/>
        <w:ind w:firstLine="420" w:firstLineChars="200"/>
        <w:rPr>
          <w:rFonts w:ascii="宋体" w:hAnsi="宋体" w:cs="宋体"/>
          <w:szCs w:val="21"/>
          <w:highlight w:val="none"/>
        </w:rPr>
      </w:pPr>
      <w:r>
        <w:rPr>
          <w:rFonts w:hint="eastAsia" w:ascii="宋体" w:hAnsi="宋体" w:cs="宋体"/>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7BEC92E">
      <w:pPr>
        <w:spacing w:line="360" w:lineRule="auto"/>
        <w:ind w:firstLine="420" w:firstLineChars="200"/>
        <w:rPr>
          <w:rFonts w:ascii="宋体" w:hAnsi="宋体" w:cs="宋体"/>
          <w:szCs w:val="21"/>
          <w:highlight w:val="none"/>
        </w:rPr>
      </w:pPr>
      <w:bookmarkStart w:id="287" w:name="OLE_LINK3"/>
      <w:r>
        <w:rPr>
          <w:rFonts w:hint="eastAsia" w:ascii="宋体" w:hAnsi="宋体" w:cs="宋体"/>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139EE4C">
      <w:pPr>
        <w:spacing w:line="360" w:lineRule="auto"/>
        <w:ind w:firstLine="420" w:firstLineChars="200"/>
        <w:rPr>
          <w:rFonts w:ascii="宋体" w:hAnsi="宋体" w:cs="宋体"/>
          <w:szCs w:val="21"/>
          <w:highlight w:val="none"/>
        </w:rPr>
      </w:pPr>
      <w:r>
        <w:rPr>
          <w:rFonts w:hint="eastAsia" w:ascii="宋体" w:hAnsi="宋体" w:cs="宋体"/>
          <w:szCs w:val="21"/>
          <w:highlight w:val="none"/>
        </w:rPr>
        <w:t>（3）施工机械台班单价或施工机械使用费发生变化超过省级或行业建设主管部门或其授权的工程造价管理机构规定的范围时，按规定调整合同价格。</w:t>
      </w:r>
    </w:p>
    <w:p w14:paraId="4FB59459">
      <w:pPr>
        <w:spacing w:line="360" w:lineRule="auto"/>
        <w:ind w:firstLine="420" w:firstLineChars="200"/>
        <w:rPr>
          <w:rFonts w:ascii="宋体" w:hAnsi="宋体" w:cs="宋体"/>
          <w:szCs w:val="21"/>
          <w:highlight w:val="none"/>
        </w:rPr>
      </w:pPr>
      <w:r>
        <w:rPr>
          <w:rFonts w:hint="eastAsia" w:ascii="宋体" w:hAnsi="宋体" w:cs="宋体"/>
          <w:szCs w:val="21"/>
          <w:highlight w:val="none"/>
        </w:rPr>
        <w:t>第3种方式：专用合同条款约定的其他方式。</w:t>
      </w:r>
    </w:p>
    <w:p w14:paraId="0E4BB1EB">
      <w:pPr>
        <w:spacing w:line="360" w:lineRule="auto"/>
        <w:ind w:firstLine="420" w:firstLineChars="200"/>
        <w:rPr>
          <w:rFonts w:ascii="宋体" w:hAnsi="宋体" w:cs="宋体"/>
          <w:szCs w:val="21"/>
          <w:highlight w:val="none"/>
        </w:rPr>
      </w:pPr>
      <w:bookmarkStart w:id="288" w:name="_Toc351203579"/>
      <w:bookmarkStart w:id="289" w:name="_Toc337558798"/>
      <w:bookmarkStart w:id="290" w:name="_Toc296503093"/>
      <w:bookmarkStart w:id="291" w:name="_Toc296346594"/>
      <w:r>
        <w:rPr>
          <w:rFonts w:hint="eastAsia" w:ascii="宋体" w:hAnsi="宋体" w:cs="宋体"/>
          <w:szCs w:val="21"/>
          <w:highlight w:val="none"/>
        </w:rPr>
        <w:t>11.2法律变化引起的调整</w:t>
      </w:r>
      <w:bookmarkEnd w:id="288"/>
    </w:p>
    <w:bookmarkEnd w:id="289"/>
    <w:bookmarkEnd w:id="290"/>
    <w:bookmarkEnd w:id="291"/>
    <w:p w14:paraId="115298F4">
      <w:pPr>
        <w:spacing w:line="360" w:lineRule="auto"/>
        <w:ind w:firstLine="420" w:firstLineChars="200"/>
        <w:rPr>
          <w:rFonts w:ascii="宋体" w:hAnsi="宋体" w:cs="宋体"/>
          <w:szCs w:val="21"/>
          <w:highlight w:val="none"/>
        </w:rPr>
      </w:pPr>
      <w:r>
        <w:rPr>
          <w:rFonts w:hint="eastAsia" w:ascii="宋体" w:hAnsi="宋体" w:cs="宋体"/>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4516916">
      <w:pPr>
        <w:spacing w:line="360" w:lineRule="auto"/>
        <w:ind w:firstLine="420" w:firstLineChars="200"/>
        <w:rPr>
          <w:rFonts w:ascii="宋体" w:hAnsi="宋体" w:cs="宋体"/>
          <w:szCs w:val="21"/>
          <w:highlight w:val="none"/>
        </w:rPr>
      </w:pPr>
      <w:r>
        <w:rPr>
          <w:rFonts w:hint="eastAsia" w:ascii="宋体" w:hAnsi="宋体" w:cs="宋体"/>
          <w:szCs w:val="21"/>
          <w:highlight w:val="none"/>
        </w:rPr>
        <w:t>因法律变化引起的合同价格和工期调整，合同当事人无法达成一致的，由总监理工程师按第4.4款〔商定或确定〕的约定处理。</w:t>
      </w:r>
    </w:p>
    <w:p w14:paraId="69443192">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因承包人原因造成工期延误，在工期延误期间出现法律变化的，由此增加的费用和（或）延误的工期由承包人承担。</w:t>
      </w:r>
    </w:p>
    <w:p w14:paraId="52DDCD66">
      <w:pPr>
        <w:spacing w:line="360" w:lineRule="auto"/>
        <w:ind w:firstLine="420" w:firstLineChars="200"/>
        <w:rPr>
          <w:rFonts w:ascii="宋体" w:hAnsi="宋体" w:cs="宋体"/>
          <w:szCs w:val="21"/>
          <w:highlight w:val="none"/>
        </w:rPr>
      </w:pPr>
      <w:bookmarkStart w:id="292" w:name="_Toc351203580"/>
      <w:bookmarkStart w:id="293" w:name="_Toc337558799"/>
      <w:bookmarkStart w:id="294" w:name="_Toc296503096"/>
      <w:bookmarkStart w:id="295" w:name="_Toc296346597"/>
      <w:r>
        <w:rPr>
          <w:rFonts w:hint="eastAsia" w:ascii="宋体" w:hAnsi="宋体" w:cs="宋体"/>
          <w:szCs w:val="21"/>
          <w:highlight w:val="none"/>
        </w:rPr>
        <w:t>12. 合同价格、计量与支付</w:t>
      </w:r>
      <w:bookmarkEnd w:id="292"/>
    </w:p>
    <w:bookmarkEnd w:id="293"/>
    <w:p w14:paraId="5D426563">
      <w:pPr>
        <w:spacing w:line="360" w:lineRule="auto"/>
        <w:ind w:firstLine="420" w:firstLineChars="200"/>
        <w:rPr>
          <w:rFonts w:ascii="宋体" w:hAnsi="宋体" w:cs="宋体"/>
          <w:szCs w:val="21"/>
          <w:highlight w:val="none"/>
        </w:rPr>
      </w:pPr>
      <w:bookmarkStart w:id="296" w:name="_Toc351203581"/>
      <w:bookmarkStart w:id="297" w:name="_Toc337558800"/>
      <w:r>
        <w:rPr>
          <w:rFonts w:hint="eastAsia" w:ascii="宋体" w:hAnsi="宋体" w:cs="宋体"/>
          <w:szCs w:val="21"/>
          <w:highlight w:val="none"/>
        </w:rPr>
        <w:t>12.1 合同价</w:t>
      </w:r>
      <w:bookmarkEnd w:id="294"/>
      <w:bookmarkEnd w:id="295"/>
      <w:r>
        <w:rPr>
          <w:rFonts w:hint="eastAsia" w:ascii="宋体" w:hAnsi="宋体" w:cs="宋体"/>
          <w:szCs w:val="21"/>
          <w:highlight w:val="none"/>
        </w:rPr>
        <w:t>格形式</w:t>
      </w:r>
      <w:bookmarkEnd w:id="296"/>
    </w:p>
    <w:bookmarkEnd w:id="297"/>
    <w:p w14:paraId="1C50A77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发包人和承包人应在合同协议书中选择下列一种合同价格形式： </w:t>
      </w:r>
    </w:p>
    <w:p w14:paraId="3263DE76">
      <w:pPr>
        <w:spacing w:line="360" w:lineRule="auto"/>
        <w:ind w:firstLine="420" w:firstLineChars="200"/>
        <w:rPr>
          <w:rFonts w:ascii="宋体" w:hAnsi="宋体" w:cs="宋体"/>
          <w:szCs w:val="21"/>
          <w:highlight w:val="none"/>
        </w:rPr>
      </w:pPr>
      <w:r>
        <w:rPr>
          <w:rFonts w:hint="eastAsia" w:ascii="宋体" w:hAnsi="宋体" w:cs="宋体"/>
          <w:szCs w:val="21"/>
          <w:highlight w:val="none"/>
        </w:rPr>
        <w:t>1.单价合同</w:t>
      </w:r>
    </w:p>
    <w:p w14:paraId="26F16F20">
      <w:pPr>
        <w:spacing w:line="360" w:lineRule="auto"/>
        <w:ind w:firstLine="420" w:firstLineChars="200"/>
        <w:rPr>
          <w:rFonts w:ascii="宋体" w:hAnsi="宋体" w:cs="宋体"/>
          <w:szCs w:val="21"/>
          <w:highlight w:val="none"/>
        </w:rPr>
      </w:pPr>
      <w:r>
        <w:rPr>
          <w:rFonts w:hint="eastAsia" w:ascii="宋体" w:hAnsi="宋体" w:cs="宋体"/>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1BCB9CE2">
      <w:pPr>
        <w:spacing w:line="360" w:lineRule="auto"/>
        <w:ind w:firstLine="420" w:firstLineChars="200"/>
        <w:rPr>
          <w:rFonts w:ascii="宋体" w:hAnsi="宋体" w:cs="宋体"/>
          <w:szCs w:val="21"/>
          <w:highlight w:val="none"/>
        </w:rPr>
      </w:pPr>
      <w:r>
        <w:rPr>
          <w:rFonts w:hint="eastAsia" w:ascii="宋体" w:hAnsi="宋体" w:cs="宋体"/>
          <w:szCs w:val="21"/>
          <w:highlight w:val="none"/>
        </w:rPr>
        <w:t>2.总价合同</w:t>
      </w:r>
    </w:p>
    <w:p w14:paraId="46109733">
      <w:pPr>
        <w:spacing w:line="360" w:lineRule="auto"/>
        <w:ind w:firstLine="420" w:firstLineChars="200"/>
        <w:rPr>
          <w:rFonts w:ascii="宋体" w:hAnsi="宋体" w:cs="宋体"/>
          <w:szCs w:val="21"/>
          <w:highlight w:val="none"/>
        </w:rPr>
      </w:pPr>
      <w:r>
        <w:rPr>
          <w:rFonts w:hint="eastAsia" w:ascii="宋体" w:hAnsi="宋体" w:cs="宋体"/>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5ACAA9C">
      <w:pPr>
        <w:spacing w:line="360" w:lineRule="auto"/>
        <w:ind w:firstLine="420" w:firstLineChars="200"/>
        <w:rPr>
          <w:rFonts w:ascii="宋体" w:hAnsi="宋体" w:cs="宋体"/>
          <w:szCs w:val="21"/>
          <w:highlight w:val="none"/>
        </w:rPr>
      </w:pPr>
      <w:r>
        <w:rPr>
          <w:rFonts w:hint="eastAsia" w:ascii="宋体" w:hAnsi="宋体" w:cs="宋体"/>
          <w:szCs w:val="21"/>
          <w:highlight w:val="none"/>
        </w:rPr>
        <w:t>3.其它价格形式</w:t>
      </w:r>
    </w:p>
    <w:p w14:paraId="5CD438B8">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合同当事人可在专用合同条款中约定其他合同价格形式。</w:t>
      </w:r>
    </w:p>
    <w:p w14:paraId="6080931F">
      <w:pPr>
        <w:spacing w:line="360" w:lineRule="auto"/>
        <w:ind w:firstLine="420" w:firstLineChars="200"/>
        <w:rPr>
          <w:rFonts w:ascii="宋体" w:hAnsi="宋体" w:cs="宋体"/>
          <w:szCs w:val="21"/>
          <w:highlight w:val="none"/>
        </w:rPr>
      </w:pPr>
      <w:bookmarkStart w:id="298" w:name="_Toc296503097"/>
      <w:bookmarkStart w:id="299" w:name="_Toc296346598"/>
      <w:bookmarkStart w:id="300" w:name="_Toc351203582"/>
      <w:bookmarkStart w:id="301" w:name="_Toc337558801"/>
      <w:r>
        <w:rPr>
          <w:rFonts w:hint="eastAsia" w:ascii="宋体" w:hAnsi="宋体" w:cs="宋体"/>
          <w:szCs w:val="21"/>
          <w:highlight w:val="none"/>
        </w:rPr>
        <w:t>12.2预</w:t>
      </w:r>
      <w:bookmarkEnd w:id="298"/>
      <w:bookmarkEnd w:id="299"/>
      <w:bookmarkStart w:id="302" w:name="_Toc296503100"/>
      <w:bookmarkStart w:id="303" w:name="_Toc296346601"/>
      <w:r>
        <w:rPr>
          <w:rFonts w:hint="eastAsia" w:ascii="宋体" w:hAnsi="宋体" w:cs="宋体"/>
          <w:szCs w:val="21"/>
          <w:highlight w:val="none"/>
        </w:rPr>
        <w:t>付款</w:t>
      </w:r>
      <w:bookmarkEnd w:id="300"/>
    </w:p>
    <w:bookmarkEnd w:id="301"/>
    <w:bookmarkEnd w:id="302"/>
    <w:bookmarkEnd w:id="303"/>
    <w:p w14:paraId="34E9B064">
      <w:pPr>
        <w:spacing w:line="360" w:lineRule="auto"/>
        <w:ind w:firstLine="420" w:firstLineChars="200"/>
        <w:rPr>
          <w:rFonts w:ascii="宋体" w:hAnsi="宋体" w:cs="宋体"/>
          <w:szCs w:val="21"/>
          <w:highlight w:val="none"/>
        </w:rPr>
      </w:pPr>
      <w:r>
        <w:rPr>
          <w:rFonts w:hint="eastAsia" w:ascii="宋体" w:hAnsi="宋体" w:cs="宋体"/>
          <w:szCs w:val="21"/>
          <w:highlight w:val="none"/>
        </w:rPr>
        <w:t>12.2.1预付款的支付</w:t>
      </w:r>
    </w:p>
    <w:p w14:paraId="3B8B8EA2">
      <w:pPr>
        <w:spacing w:line="360" w:lineRule="auto"/>
        <w:ind w:firstLine="420" w:firstLineChars="200"/>
        <w:rPr>
          <w:rFonts w:ascii="宋体" w:hAnsi="宋体" w:cs="宋体"/>
          <w:szCs w:val="21"/>
          <w:highlight w:val="none"/>
        </w:rPr>
      </w:pPr>
      <w:r>
        <w:rPr>
          <w:rFonts w:hint="eastAsia" w:ascii="宋体" w:hAnsi="宋体" w:cs="宋体"/>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4B71869B">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除专用合同条款另有约定外，预付款在进度付款中同比例扣回。</w:t>
      </w:r>
      <w:bookmarkEnd w:id="287"/>
      <w:r>
        <w:rPr>
          <w:rFonts w:hint="eastAsia" w:ascii="宋体" w:hAnsi="宋体" w:cs="宋体"/>
          <w:szCs w:val="21"/>
          <w:highlight w:val="none"/>
        </w:rPr>
        <w:t>在颁发工程接收证书前，提前解除合同的，尚未扣完的预付款应与合同价款一并结算。</w:t>
      </w:r>
    </w:p>
    <w:p w14:paraId="054AD799">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3FDD3BF6">
      <w:pPr>
        <w:spacing w:line="360" w:lineRule="auto"/>
        <w:ind w:firstLine="420" w:firstLineChars="200"/>
        <w:rPr>
          <w:rFonts w:ascii="宋体" w:hAnsi="宋体" w:cs="宋体"/>
          <w:szCs w:val="21"/>
          <w:highlight w:val="none"/>
        </w:rPr>
      </w:pPr>
      <w:r>
        <w:rPr>
          <w:rFonts w:hint="eastAsia" w:ascii="宋体" w:hAnsi="宋体" w:cs="宋体"/>
          <w:szCs w:val="21"/>
          <w:highlight w:val="none"/>
        </w:rPr>
        <w:t>12.2.2 预付款担保</w:t>
      </w:r>
    </w:p>
    <w:p w14:paraId="34219A69">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EAB8167">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发包人在工程款中逐期扣回预付款后，预付款担保额度应相应减少，但剩余的预付款担保金额不得低于未被扣回的预付款金额。</w:t>
      </w:r>
    </w:p>
    <w:p w14:paraId="7E8F63E5">
      <w:pPr>
        <w:spacing w:line="360" w:lineRule="auto"/>
        <w:ind w:firstLine="420" w:firstLineChars="200"/>
        <w:rPr>
          <w:rFonts w:ascii="宋体" w:hAnsi="宋体" w:cs="宋体"/>
          <w:szCs w:val="21"/>
          <w:highlight w:val="none"/>
        </w:rPr>
      </w:pPr>
      <w:bookmarkStart w:id="304" w:name="_Toc351203583"/>
      <w:bookmarkStart w:id="305" w:name="_Toc337558802"/>
      <w:r>
        <w:rPr>
          <w:rFonts w:hint="eastAsia" w:ascii="宋体" w:hAnsi="宋体" w:cs="宋体"/>
          <w:szCs w:val="21"/>
          <w:highlight w:val="none"/>
        </w:rPr>
        <w:t>12.3计量</w:t>
      </w:r>
      <w:bookmarkEnd w:id="304"/>
    </w:p>
    <w:bookmarkEnd w:id="305"/>
    <w:p w14:paraId="4E7C8762">
      <w:pPr>
        <w:spacing w:line="360" w:lineRule="auto"/>
        <w:ind w:firstLine="420" w:firstLineChars="200"/>
        <w:rPr>
          <w:rFonts w:ascii="宋体" w:hAnsi="宋体" w:cs="宋体"/>
          <w:szCs w:val="21"/>
          <w:highlight w:val="none"/>
        </w:rPr>
      </w:pPr>
      <w:r>
        <w:rPr>
          <w:rFonts w:hint="eastAsia" w:ascii="宋体" w:hAnsi="宋体" w:cs="宋体"/>
          <w:szCs w:val="21"/>
          <w:highlight w:val="none"/>
        </w:rPr>
        <w:t>12.3.1 计量原则</w:t>
      </w:r>
    </w:p>
    <w:p w14:paraId="1C04DCB7">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工程量计量按照合同约定的工程量计算规则、图纸及变更指示等进行计量。工程量计算规则应以相关的国家标准、行业标准等为依据，由合同当事人在专用合同条款中约定。</w:t>
      </w:r>
    </w:p>
    <w:p w14:paraId="63B52F19">
      <w:pPr>
        <w:spacing w:line="360" w:lineRule="auto"/>
        <w:ind w:firstLine="420" w:firstLineChars="200"/>
        <w:rPr>
          <w:rFonts w:ascii="宋体" w:hAnsi="宋体" w:cs="宋体"/>
          <w:szCs w:val="21"/>
          <w:highlight w:val="none"/>
        </w:rPr>
      </w:pPr>
      <w:r>
        <w:rPr>
          <w:rFonts w:hint="eastAsia" w:ascii="宋体" w:hAnsi="宋体" w:cs="宋体"/>
          <w:szCs w:val="21"/>
          <w:highlight w:val="none"/>
        </w:rPr>
        <w:t>12.3.2 计量周期</w:t>
      </w:r>
    </w:p>
    <w:p w14:paraId="26DED3B6">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除专用合同条款另有约定外，工程量的计量按月进行。</w:t>
      </w:r>
    </w:p>
    <w:p w14:paraId="5CECB9D5">
      <w:pPr>
        <w:spacing w:line="360" w:lineRule="auto"/>
        <w:ind w:firstLine="420" w:firstLineChars="200"/>
        <w:rPr>
          <w:rFonts w:ascii="宋体" w:hAnsi="宋体" w:cs="宋体"/>
          <w:szCs w:val="21"/>
          <w:highlight w:val="none"/>
        </w:rPr>
      </w:pPr>
      <w:r>
        <w:rPr>
          <w:rFonts w:hint="eastAsia" w:ascii="宋体" w:hAnsi="宋体" w:cs="宋体"/>
          <w:szCs w:val="21"/>
          <w:highlight w:val="none"/>
        </w:rPr>
        <w:t>12.3.3 单价合同的计量</w:t>
      </w:r>
    </w:p>
    <w:p w14:paraId="0DD434D4">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除专用合同条款另有约定外，单价合同的计量按照本项约定执行：</w:t>
      </w:r>
    </w:p>
    <w:p w14:paraId="2EDC017C">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（1）承包人应于每月25日向监理人报送上月20日至当月19日已完成的工程量报告，并附具进度付款申请单、已完成工程量报表和有关资料。</w:t>
      </w:r>
    </w:p>
    <w:p w14:paraId="3C4346E8">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904299F">
      <w:pPr>
        <w:spacing w:line="360" w:lineRule="auto"/>
        <w:ind w:firstLine="420" w:firstLineChars="200"/>
        <w:rPr>
          <w:rFonts w:ascii="宋体" w:hAnsi="宋体" w:cs="宋体"/>
          <w:szCs w:val="21"/>
          <w:highlight w:val="none"/>
        </w:rPr>
      </w:pPr>
      <w:r>
        <w:rPr>
          <w:rFonts w:hint="eastAsia" w:ascii="宋体" w:hAnsi="宋体" w:cs="宋体"/>
          <w:szCs w:val="21"/>
          <w:highlight w:val="none"/>
        </w:rPr>
        <w:t>（3）监理人未在收到承包人提交的工程量报表后的7天内完成审核的，承包人报送的工程量报告中的工程量视为承包人实际完成的工程量，据此计算工程价款。</w:t>
      </w:r>
    </w:p>
    <w:p w14:paraId="6D2980FF">
      <w:pPr>
        <w:spacing w:line="360" w:lineRule="auto"/>
        <w:ind w:firstLine="420" w:firstLineChars="200"/>
        <w:rPr>
          <w:rFonts w:ascii="宋体" w:hAnsi="宋体" w:cs="宋体"/>
          <w:szCs w:val="21"/>
          <w:highlight w:val="none"/>
        </w:rPr>
      </w:pPr>
      <w:r>
        <w:rPr>
          <w:rFonts w:hint="eastAsia" w:ascii="宋体" w:hAnsi="宋体" w:cs="宋体"/>
          <w:szCs w:val="21"/>
          <w:highlight w:val="none"/>
        </w:rPr>
        <w:t>12.3.4 总价合同的计量</w:t>
      </w:r>
    </w:p>
    <w:p w14:paraId="2E36FB38">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除专用合同条款另有约定外，按月计量支付的总价合同，按照本项约定执行：</w:t>
      </w:r>
    </w:p>
    <w:p w14:paraId="170EA46E">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（1）承包人应于每月25日向监理人报送上月20日至当月19日已完成的工程量报告，并附具进度付款申请单、已完成工程量报表和有关资料。</w:t>
      </w:r>
    </w:p>
    <w:p w14:paraId="06E7DE56">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7B11417">
      <w:pPr>
        <w:spacing w:line="360" w:lineRule="auto"/>
        <w:ind w:firstLine="420" w:firstLineChars="200"/>
        <w:rPr>
          <w:rFonts w:ascii="宋体" w:hAnsi="宋体" w:cs="宋体"/>
          <w:szCs w:val="21"/>
          <w:highlight w:val="none"/>
        </w:rPr>
      </w:pPr>
      <w:r>
        <w:rPr>
          <w:rFonts w:hint="eastAsia" w:ascii="宋体" w:hAnsi="宋体" w:cs="宋体"/>
          <w:szCs w:val="21"/>
          <w:highlight w:val="none"/>
        </w:rPr>
        <w:t>（3）监理人未在收到承包人提交的工程量报表后的7天内完成复核的，承包人提交的工程量报告中的工程量视为承包人实际完成的工程量。</w:t>
      </w:r>
    </w:p>
    <w:p w14:paraId="4016C6FA">
      <w:pPr>
        <w:spacing w:line="360" w:lineRule="auto"/>
        <w:ind w:firstLine="420" w:firstLineChars="200"/>
        <w:rPr>
          <w:rFonts w:ascii="宋体" w:hAnsi="宋体" w:cs="宋体"/>
          <w:szCs w:val="21"/>
          <w:highlight w:val="none"/>
        </w:rPr>
      </w:pPr>
      <w:r>
        <w:rPr>
          <w:rFonts w:hint="eastAsia" w:ascii="宋体" w:hAnsi="宋体" w:cs="宋体"/>
          <w:szCs w:val="21"/>
          <w:highlight w:val="none"/>
        </w:rPr>
        <w:t>12.3.5 总价合同采用支付分解表计量支付的，可以按照第12.3.4项〔总价合同的计量〕约定进行计量，但合同价款按照支付分解表进行支付。</w:t>
      </w:r>
    </w:p>
    <w:p w14:paraId="2BBF296D">
      <w:pPr>
        <w:spacing w:line="360" w:lineRule="auto"/>
        <w:ind w:firstLine="420" w:firstLineChars="200"/>
        <w:rPr>
          <w:rFonts w:ascii="宋体" w:hAnsi="宋体" w:cs="宋体"/>
          <w:szCs w:val="21"/>
          <w:highlight w:val="none"/>
        </w:rPr>
      </w:pPr>
      <w:r>
        <w:rPr>
          <w:rFonts w:hint="eastAsia" w:ascii="宋体" w:hAnsi="宋体" w:cs="宋体"/>
          <w:szCs w:val="21"/>
          <w:highlight w:val="none"/>
        </w:rPr>
        <w:t>12.3.6 其他价格形式合同的计量</w:t>
      </w:r>
    </w:p>
    <w:p w14:paraId="23387D7E">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合同当事人可在专用合同条款中约定其他价格形式合同的计量方式和程序。</w:t>
      </w:r>
    </w:p>
    <w:p w14:paraId="7371CCD1">
      <w:pPr>
        <w:spacing w:line="360" w:lineRule="auto"/>
        <w:ind w:firstLine="420" w:firstLineChars="200"/>
        <w:rPr>
          <w:rFonts w:ascii="宋体" w:hAnsi="宋体" w:cs="宋体"/>
          <w:szCs w:val="21"/>
          <w:highlight w:val="none"/>
        </w:rPr>
      </w:pPr>
      <w:bookmarkStart w:id="306" w:name="_Toc296503101"/>
      <w:bookmarkStart w:id="307" w:name="_Toc296346602"/>
      <w:bookmarkStart w:id="308" w:name="_Toc351203584"/>
      <w:bookmarkStart w:id="309" w:name="_Toc337558803"/>
      <w:r>
        <w:rPr>
          <w:rFonts w:hint="eastAsia" w:ascii="宋体" w:hAnsi="宋体" w:cs="宋体"/>
          <w:szCs w:val="21"/>
          <w:highlight w:val="none"/>
        </w:rPr>
        <w:t>12.4工程进度款支</w:t>
      </w:r>
      <w:bookmarkEnd w:id="306"/>
      <w:bookmarkEnd w:id="307"/>
      <w:r>
        <w:rPr>
          <w:rFonts w:hint="eastAsia" w:ascii="宋体" w:hAnsi="宋体" w:cs="宋体"/>
          <w:szCs w:val="21"/>
          <w:highlight w:val="none"/>
        </w:rPr>
        <w:t>付</w:t>
      </w:r>
      <w:bookmarkEnd w:id="308"/>
    </w:p>
    <w:bookmarkEnd w:id="309"/>
    <w:p w14:paraId="6B69FD96">
      <w:pPr>
        <w:spacing w:line="360" w:lineRule="auto"/>
        <w:ind w:firstLine="420" w:firstLineChars="200"/>
        <w:rPr>
          <w:rFonts w:ascii="宋体" w:hAnsi="宋体" w:cs="宋体"/>
          <w:szCs w:val="21"/>
          <w:highlight w:val="none"/>
        </w:rPr>
      </w:pPr>
      <w:r>
        <w:rPr>
          <w:rFonts w:hint="eastAsia" w:ascii="宋体" w:hAnsi="宋体" w:cs="宋体"/>
          <w:szCs w:val="21"/>
          <w:highlight w:val="none"/>
        </w:rPr>
        <w:t>12.4.1 付款周期</w:t>
      </w:r>
    </w:p>
    <w:p w14:paraId="363FA832">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除专用合同条款另有约定外，付款周期应按照第12.3.2项〔计量周期〕的约定与计量周期保持一致。</w:t>
      </w:r>
    </w:p>
    <w:p w14:paraId="7411A040">
      <w:pPr>
        <w:spacing w:line="360" w:lineRule="auto"/>
        <w:ind w:firstLine="420" w:firstLineChars="200"/>
        <w:rPr>
          <w:rFonts w:ascii="宋体" w:hAnsi="宋体" w:cs="宋体"/>
          <w:szCs w:val="21"/>
          <w:highlight w:val="none"/>
        </w:rPr>
      </w:pPr>
      <w:r>
        <w:rPr>
          <w:rFonts w:hint="eastAsia" w:ascii="宋体" w:hAnsi="宋体" w:cs="宋体"/>
          <w:szCs w:val="21"/>
          <w:highlight w:val="none"/>
        </w:rPr>
        <w:t>12.4.2 进度付款申请单的编制</w:t>
      </w:r>
    </w:p>
    <w:p w14:paraId="515603CF">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除专用合同条款另有约定外，进度付款申请单应包括下列内容：</w:t>
      </w:r>
    </w:p>
    <w:p w14:paraId="024CD09C">
      <w:pPr>
        <w:spacing w:line="360" w:lineRule="auto"/>
        <w:ind w:firstLine="420" w:firstLineChars="200"/>
        <w:rPr>
          <w:rFonts w:ascii="宋体" w:hAnsi="宋体" w:cs="宋体"/>
          <w:szCs w:val="21"/>
          <w:highlight w:val="none"/>
        </w:rPr>
      </w:pPr>
      <w:r>
        <w:rPr>
          <w:rFonts w:hint="eastAsia" w:ascii="宋体" w:hAnsi="宋体" w:cs="宋体"/>
          <w:szCs w:val="21"/>
          <w:highlight w:val="none"/>
        </w:rPr>
        <w:t>（1）截至本次付款周期已完成工作对应的金额；</w:t>
      </w:r>
    </w:p>
    <w:p w14:paraId="5D321162">
      <w:pPr>
        <w:spacing w:line="360" w:lineRule="auto"/>
        <w:ind w:firstLine="420" w:firstLineChars="200"/>
        <w:rPr>
          <w:rFonts w:ascii="宋体" w:hAnsi="宋体" w:cs="宋体"/>
          <w:szCs w:val="21"/>
          <w:highlight w:val="none"/>
        </w:rPr>
      </w:pPr>
      <w:r>
        <w:rPr>
          <w:rFonts w:hint="eastAsia" w:ascii="宋体" w:hAnsi="宋体" w:cs="宋体"/>
          <w:szCs w:val="21"/>
          <w:highlight w:val="none"/>
        </w:rPr>
        <w:t>（2）根据第10条〔变更〕应增加和扣减的变更金额；</w:t>
      </w:r>
    </w:p>
    <w:p w14:paraId="7BE5DE52">
      <w:pPr>
        <w:spacing w:line="360" w:lineRule="auto"/>
        <w:ind w:firstLine="420" w:firstLineChars="200"/>
        <w:rPr>
          <w:rFonts w:ascii="宋体" w:hAnsi="宋体" w:cs="宋体"/>
          <w:szCs w:val="21"/>
          <w:highlight w:val="none"/>
        </w:rPr>
      </w:pPr>
      <w:r>
        <w:rPr>
          <w:rFonts w:hint="eastAsia" w:ascii="宋体" w:hAnsi="宋体" w:cs="宋体"/>
          <w:szCs w:val="21"/>
          <w:highlight w:val="none"/>
        </w:rPr>
        <w:t>（3）根据第12.2款〔预付款〕约定应支付的预付款和扣减的返还预付款；</w:t>
      </w:r>
    </w:p>
    <w:p w14:paraId="076E3C46">
      <w:pPr>
        <w:spacing w:line="360" w:lineRule="auto"/>
        <w:ind w:firstLine="420" w:firstLineChars="200"/>
        <w:rPr>
          <w:rFonts w:ascii="宋体" w:hAnsi="宋体" w:cs="宋体"/>
          <w:szCs w:val="21"/>
          <w:highlight w:val="none"/>
        </w:rPr>
      </w:pPr>
      <w:r>
        <w:rPr>
          <w:rFonts w:hint="eastAsia" w:ascii="宋体" w:hAnsi="宋体" w:cs="宋体"/>
          <w:szCs w:val="21"/>
          <w:highlight w:val="none"/>
        </w:rPr>
        <w:t>（4）根据第15.3款〔质量保证金〕约定应扣减的质量保证金；</w:t>
      </w:r>
    </w:p>
    <w:p w14:paraId="3F6202B5">
      <w:pPr>
        <w:spacing w:line="360" w:lineRule="auto"/>
        <w:ind w:firstLine="420" w:firstLineChars="200"/>
        <w:rPr>
          <w:rFonts w:ascii="宋体" w:hAnsi="宋体" w:cs="宋体"/>
          <w:szCs w:val="21"/>
          <w:highlight w:val="none"/>
        </w:rPr>
      </w:pPr>
      <w:r>
        <w:rPr>
          <w:rFonts w:hint="eastAsia" w:ascii="宋体" w:hAnsi="宋体" w:cs="宋体"/>
          <w:szCs w:val="21"/>
          <w:highlight w:val="none"/>
        </w:rPr>
        <w:t>（5）根据第19条〔索赔〕应增加和扣减的索赔金额；</w:t>
      </w:r>
    </w:p>
    <w:p w14:paraId="3E26F39D">
      <w:pPr>
        <w:spacing w:line="360" w:lineRule="auto"/>
        <w:ind w:firstLine="420" w:firstLineChars="200"/>
        <w:rPr>
          <w:rFonts w:ascii="宋体" w:hAnsi="宋体" w:cs="宋体"/>
          <w:szCs w:val="21"/>
          <w:highlight w:val="none"/>
        </w:rPr>
      </w:pPr>
      <w:r>
        <w:rPr>
          <w:rFonts w:hint="eastAsia" w:ascii="宋体" w:hAnsi="宋体" w:cs="宋体"/>
          <w:szCs w:val="21"/>
          <w:highlight w:val="none"/>
        </w:rPr>
        <w:t>（6）对已签发的进度款支付证书中出现错误的修正，应在本次进度付款中支付或扣除的金额；</w:t>
      </w:r>
    </w:p>
    <w:p w14:paraId="08310DF7">
      <w:pPr>
        <w:spacing w:line="360" w:lineRule="auto"/>
        <w:ind w:firstLine="420" w:firstLineChars="200"/>
        <w:rPr>
          <w:rFonts w:ascii="宋体" w:hAnsi="宋体" w:cs="宋体"/>
          <w:szCs w:val="21"/>
          <w:highlight w:val="none"/>
        </w:rPr>
      </w:pPr>
      <w:r>
        <w:rPr>
          <w:rFonts w:hint="eastAsia" w:ascii="宋体" w:hAnsi="宋体" w:cs="宋体"/>
          <w:szCs w:val="21"/>
          <w:highlight w:val="none"/>
        </w:rPr>
        <w:t>（7）根据合同约定应增加和扣减的其他金额。</w:t>
      </w:r>
    </w:p>
    <w:p w14:paraId="3AA8CFD8">
      <w:pPr>
        <w:spacing w:line="360" w:lineRule="auto"/>
        <w:ind w:firstLine="420" w:firstLineChars="200"/>
        <w:rPr>
          <w:rFonts w:ascii="宋体" w:hAnsi="宋体" w:cs="宋体"/>
          <w:szCs w:val="21"/>
          <w:highlight w:val="none"/>
        </w:rPr>
      </w:pPr>
      <w:r>
        <w:rPr>
          <w:rFonts w:hint="eastAsia" w:ascii="宋体" w:hAnsi="宋体" w:cs="宋体"/>
          <w:szCs w:val="21"/>
          <w:highlight w:val="none"/>
        </w:rPr>
        <w:t>12.4.3 进度付款申请单的提交</w:t>
      </w:r>
    </w:p>
    <w:p w14:paraId="39CECBA7">
      <w:pPr>
        <w:spacing w:line="360" w:lineRule="auto"/>
        <w:ind w:firstLine="420" w:firstLineChars="200"/>
        <w:rPr>
          <w:rFonts w:ascii="宋体" w:hAnsi="宋体" w:cs="宋体"/>
          <w:szCs w:val="21"/>
          <w:highlight w:val="none"/>
        </w:rPr>
      </w:pPr>
      <w:r>
        <w:rPr>
          <w:rFonts w:hint="eastAsia" w:ascii="宋体" w:hAnsi="宋体" w:cs="宋体"/>
          <w:szCs w:val="21"/>
          <w:highlight w:val="none"/>
        </w:rPr>
        <w:t>（1）单价合同进度付款申请单的提交</w:t>
      </w:r>
    </w:p>
    <w:p w14:paraId="7218782A">
      <w:pPr>
        <w:spacing w:line="360" w:lineRule="auto"/>
        <w:ind w:firstLine="420" w:firstLineChars="200"/>
        <w:rPr>
          <w:rFonts w:ascii="宋体" w:hAnsi="宋体" w:cs="宋体"/>
          <w:szCs w:val="21"/>
          <w:highlight w:val="none"/>
        </w:rPr>
      </w:pPr>
      <w:r>
        <w:rPr>
          <w:rFonts w:hint="eastAsia" w:ascii="宋体" w:hAnsi="宋体" w:cs="宋体"/>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916C370">
      <w:pPr>
        <w:spacing w:line="360" w:lineRule="auto"/>
        <w:ind w:firstLine="420" w:firstLineChars="200"/>
        <w:rPr>
          <w:rFonts w:ascii="宋体" w:hAnsi="宋体" w:cs="宋体"/>
          <w:szCs w:val="21"/>
          <w:highlight w:val="none"/>
        </w:rPr>
      </w:pPr>
      <w:r>
        <w:rPr>
          <w:rFonts w:hint="eastAsia" w:ascii="宋体" w:hAnsi="宋体" w:cs="宋体"/>
          <w:szCs w:val="21"/>
          <w:highlight w:val="none"/>
        </w:rPr>
        <w:t>（2）总价合同进度付款申请单的提交</w:t>
      </w:r>
    </w:p>
    <w:p w14:paraId="234E4013">
      <w:pPr>
        <w:spacing w:line="360" w:lineRule="auto"/>
        <w:ind w:firstLine="420" w:firstLineChars="200"/>
        <w:rPr>
          <w:rFonts w:ascii="宋体" w:hAnsi="宋体" w:cs="宋体"/>
          <w:szCs w:val="21"/>
          <w:highlight w:val="none"/>
        </w:rPr>
      </w:pPr>
      <w:r>
        <w:rPr>
          <w:rFonts w:hint="eastAsia" w:ascii="宋体" w:hAnsi="宋体" w:cs="宋体"/>
          <w:szCs w:val="21"/>
          <w:highlight w:val="none"/>
        </w:rPr>
        <w:t>总价合同按月计量支付的，承包人按照第12.3.4项〔总价合同的计量〕约定的时间按月向监理人提交进度付款申请单，并附上已完成工程量报表和有关资料。</w:t>
      </w:r>
    </w:p>
    <w:p w14:paraId="5755E762">
      <w:pPr>
        <w:spacing w:line="360" w:lineRule="auto"/>
        <w:ind w:firstLine="420" w:firstLineChars="200"/>
        <w:rPr>
          <w:rFonts w:ascii="宋体" w:hAnsi="宋体" w:cs="宋体"/>
          <w:szCs w:val="21"/>
          <w:highlight w:val="none"/>
        </w:rPr>
      </w:pPr>
      <w:r>
        <w:rPr>
          <w:rFonts w:hint="eastAsia" w:ascii="宋体" w:hAnsi="宋体" w:cs="宋体"/>
          <w:szCs w:val="21"/>
          <w:highlight w:val="none"/>
        </w:rPr>
        <w:t>总价合同按支付分解表支付的，承包人应按照第12.4.6项〔支付分解表〕及第12.4.2项〔进度付款申请单的编制〕的约定向监理人提交进度付款申请单。</w:t>
      </w:r>
    </w:p>
    <w:p w14:paraId="6654FB04">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（3）其他价格形式合同的进度付款申请单的提交</w:t>
      </w:r>
    </w:p>
    <w:p w14:paraId="1718D73A">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合同当事人可在专用合同条款中约定其他价格形式合同的进度付款申请单的编制和提交程序。</w:t>
      </w:r>
    </w:p>
    <w:p w14:paraId="6AA706E2">
      <w:pPr>
        <w:spacing w:line="360" w:lineRule="auto"/>
        <w:ind w:firstLine="420" w:firstLineChars="200"/>
        <w:rPr>
          <w:rFonts w:ascii="宋体" w:hAnsi="宋体" w:cs="宋体"/>
          <w:szCs w:val="21"/>
          <w:highlight w:val="none"/>
        </w:rPr>
      </w:pPr>
      <w:r>
        <w:rPr>
          <w:rFonts w:hint="eastAsia" w:ascii="宋体" w:hAnsi="宋体" w:cs="宋体"/>
          <w:szCs w:val="21"/>
          <w:highlight w:val="none"/>
        </w:rPr>
        <w:t>12.4.4 进度款审核和支付</w:t>
      </w:r>
    </w:p>
    <w:p w14:paraId="4823FAAD">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892ABD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D92510C">
      <w:pPr>
        <w:spacing w:line="360" w:lineRule="auto"/>
        <w:ind w:firstLine="420" w:firstLineChars="200"/>
        <w:rPr>
          <w:rFonts w:ascii="宋体" w:hAnsi="宋体" w:cs="宋体"/>
          <w:szCs w:val="21"/>
          <w:highlight w:val="none"/>
        </w:rPr>
      </w:pPr>
      <w:r>
        <w:rPr>
          <w:rFonts w:hint="eastAsia" w:ascii="宋体" w:hAnsi="宋体" w:cs="宋体"/>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EBA6A57">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（3）发包人签发进度款支付证书或临时进度款支付证书，不表明发包人已同意、批准或接受了承包人完成的相应部分的工作。</w:t>
      </w:r>
    </w:p>
    <w:p w14:paraId="445E859C">
      <w:pPr>
        <w:spacing w:line="360" w:lineRule="auto"/>
        <w:ind w:firstLine="420" w:firstLineChars="200"/>
        <w:rPr>
          <w:rFonts w:ascii="宋体" w:hAnsi="宋体" w:cs="宋体"/>
          <w:szCs w:val="21"/>
          <w:highlight w:val="none"/>
        </w:rPr>
      </w:pPr>
      <w:r>
        <w:rPr>
          <w:rFonts w:hint="eastAsia" w:ascii="宋体" w:hAnsi="宋体" w:cs="宋体"/>
          <w:szCs w:val="21"/>
          <w:highlight w:val="none"/>
        </w:rPr>
        <w:t>12.4.5 进度付款的修正</w:t>
      </w:r>
    </w:p>
    <w:p w14:paraId="70C5F140">
      <w:pPr>
        <w:spacing w:line="360" w:lineRule="auto"/>
        <w:ind w:firstLine="420" w:firstLineChars="200"/>
        <w:rPr>
          <w:rFonts w:ascii="宋体" w:hAnsi="宋体" w:cs="宋体"/>
          <w:szCs w:val="21"/>
          <w:highlight w:val="none"/>
        </w:rPr>
      </w:pPr>
      <w:r>
        <w:rPr>
          <w:rFonts w:hint="eastAsia" w:ascii="宋体" w:hAnsi="宋体" w:cs="宋体"/>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24147C95">
      <w:pPr>
        <w:spacing w:line="360" w:lineRule="auto"/>
        <w:ind w:firstLine="420" w:firstLineChars="200"/>
        <w:rPr>
          <w:rFonts w:ascii="宋体" w:hAnsi="宋体" w:cs="宋体"/>
          <w:szCs w:val="21"/>
          <w:highlight w:val="none"/>
        </w:rPr>
      </w:pPr>
      <w:r>
        <w:rPr>
          <w:rFonts w:hint="eastAsia" w:ascii="宋体" w:hAnsi="宋体" w:cs="宋体"/>
          <w:szCs w:val="21"/>
          <w:highlight w:val="none"/>
        </w:rPr>
        <w:t>12.4.6 支付分解表</w:t>
      </w:r>
    </w:p>
    <w:p w14:paraId="14C63E61">
      <w:pPr>
        <w:spacing w:line="360" w:lineRule="auto"/>
        <w:ind w:firstLine="420" w:firstLineChars="200"/>
        <w:rPr>
          <w:rFonts w:ascii="宋体" w:hAnsi="宋体" w:cs="宋体"/>
          <w:szCs w:val="21"/>
          <w:highlight w:val="none"/>
        </w:rPr>
      </w:pPr>
      <w:r>
        <w:rPr>
          <w:rFonts w:hint="eastAsia" w:ascii="宋体" w:hAnsi="宋体" w:cs="宋体"/>
          <w:szCs w:val="21"/>
          <w:highlight w:val="none"/>
        </w:rPr>
        <w:t>1.支付分解表的编制要求</w:t>
      </w:r>
    </w:p>
    <w:p w14:paraId="56EF8456">
      <w:pPr>
        <w:spacing w:line="360" w:lineRule="auto"/>
        <w:ind w:firstLine="420" w:firstLineChars="200"/>
        <w:rPr>
          <w:rFonts w:ascii="宋体" w:hAnsi="宋体" w:cs="宋体"/>
          <w:szCs w:val="21"/>
          <w:highlight w:val="none"/>
        </w:rPr>
      </w:pPr>
      <w:r>
        <w:rPr>
          <w:rFonts w:hint="eastAsia" w:ascii="宋体" w:hAnsi="宋体" w:cs="宋体"/>
          <w:szCs w:val="21"/>
          <w:highlight w:val="none"/>
        </w:rPr>
        <w:t>（1）支付分解表中所列的每期付款金额，应为第12.4.2项〔进度付款申请单的编制〕第（1）目的估算金额；</w:t>
      </w:r>
    </w:p>
    <w:p w14:paraId="4ABD282D">
      <w:pPr>
        <w:spacing w:line="360" w:lineRule="auto"/>
        <w:ind w:firstLine="420" w:firstLineChars="200"/>
        <w:rPr>
          <w:rFonts w:ascii="宋体" w:hAnsi="宋体" w:cs="宋体"/>
          <w:szCs w:val="21"/>
          <w:highlight w:val="none"/>
        </w:rPr>
      </w:pPr>
      <w:r>
        <w:rPr>
          <w:rFonts w:hint="eastAsia" w:ascii="宋体" w:hAnsi="宋体" w:cs="宋体"/>
          <w:szCs w:val="21"/>
          <w:highlight w:val="none"/>
        </w:rPr>
        <w:t>（2）实际进度与施工进度计划不一致的，合同当事人可按照第4.4款〔商定或确定〕修改支付分解表；</w:t>
      </w:r>
    </w:p>
    <w:p w14:paraId="05B8796F">
      <w:pPr>
        <w:spacing w:line="360" w:lineRule="auto"/>
        <w:ind w:firstLine="420" w:firstLineChars="200"/>
        <w:rPr>
          <w:rFonts w:ascii="宋体" w:hAnsi="宋体" w:cs="宋体"/>
          <w:szCs w:val="21"/>
          <w:highlight w:val="none"/>
        </w:rPr>
      </w:pPr>
      <w:r>
        <w:rPr>
          <w:rFonts w:hint="eastAsia" w:ascii="宋体" w:hAnsi="宋体" w:cs="宋体"/>
          <w:szCs w:val="21"/>
          <w:highlight w:val="none"/>
        </w:rPr>
        <w:t>（3）不采用支付分解表的，承包人应向发包人和监理人提交按季度编制的支付估算分解表，用于支付参考。</w:t>
      </w:r>
    </w:p>
    <w:p w14:paraId="180C1C81">
      <w:pPr>
        <w:spacing w:line="360" w:lineRule="auto"/>
        <w:ind w:firstLine="420" w:firstLineChars="200"/>
        <w:rPr>
          <w:rFonts w:ascii="宋体" w:hAnsi="宋体" w:cs="宋体"/>
          <w:szCs w:val="21"/>
          <w:highlight w:val="none"/>
        </w:rPr>
      </w:pPr>
      <w:r>
        <w:rPr>
          <w:rFonts w:hint="eastAsia" w:ascii="宋体" w:hAnsi="宋体" w:cs="宋体"/>
          <w:szCs w:val="21"/>
          <w:highlight w:val="none"/>
        </w:rPr>
        <w:t>2.总价合同支付分解表的编制与审批</w:t>
      </w:r>
    </w:p>
    <w:p w14:paraId="55001797">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7A8DACF">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7FB31CB2">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（3）发包人逾期未完成支付分解表审批的，也未及时要求承包人进行修正和提供补充资料的，则承包人提交的支付分解表视为已经获得发包人批准。</w:t>
      </w:r>
    </w:p>
    <w:p w14:paraId="7E264797">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3.单价合同的总价项目支付分解表的编制与审批</w:t>
      </w:r>
    </w:p>
    <w:p w14:paraId="2057ADEF">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C3B8450">
      <w:pPr>
        <w:spacing w:line="360" w:lineRule="auto"/>
        <w:ind w:firstLine="420" w:firstLineChars="200"/>
        <w:rPr>
          <w:rFonts w:ascii="宋体" w:hAnsi="宋体" w:cs="宋体"/>
          <w:szCs w:val="21"/>
          <w:highlight w:val="none"/>
        </w:rPr>
      </w:pPr>
      <w:bookmarkStart w:id="310" w:name="_Toc351203585"/>
      <w:r>
        <w:rPr>
          <w:rFonts w:hint="eastAsia" w:ascii="宋体" w:hAnsi="宋体" w:cs="宋体"/>
          <w:szCs w:val="21"/>
          <w:highlight w:val="none"/>
        </w:rPr>
        <w:t>12.5支付账户</w:t>
      </w:r>
      <w:bookmarkEnd w:id="310"/>
    </w:p>
    <w:p w14:paraId="54DE53B2">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发包人应将合同价款支付至合同协议书中约定的承包人账户。</w:t>
      </w:r>
    </w:p>
    <w:p w14:paraId="53B05303">
      <w:pPr>
        <w:spacing w:line="360" w:lineRule="auto"/>
        <w:ind w:firstLine="420" w:firstLineChars="200"/>
        <w:rPr>
          <w:rFonts w:ascii="宋体" w:hAnsi="宋体" w:cs="宋体"/>
          <w:szCs w:val="21"/>
          <w:highlight w:val="none"/>
        </w:rPr>
      </w:pPr>
      <w:bookmarkStart w:id="311" w:name="_Toc351203586"/>
      <w:bookmarkStart w:id="312" w:name="_Toc337558804"/>
      <w:bookmarkStart w:id="313" w:name="_Toc296503106"/>
      <w:bookmarkStart w:id="314" w:name="_Toc296346607"/>
      <w:bookmarkStart w:id="315" w:name="_Toc322522574"/>
      <w:r>
        <w:rPr>
          <w:rFonts w:hint="eastAsia" w:ascii="宋体" w:hAnsi="宋体" w:cs="宋体"/>
          <w:szCs w:val="21"/>
          <w:highlight w:val="none"/>
        </w:rPr>
        <w:t>13. 验收和工程试车</w:t>
      </w:r>
      <w:bookmarkEnd w:id="311"/>
    </w:p>
    <w:bookmarkEnd w:id="312"/>
    <w:bookmarkEnd w:id="313"/>
    <w:bookmarkEnd w:id="314"/>
    <w:bookmarkEnd w:id="315"/>
    <w:p w14:paraId="04FC171C">
      <w:pPr>
        <w:spacing w:line="360" w:lineRule="auto"/>
        <w:ind w:firstLine="420" w:firstLineChars="200"/>
        <w:rPr>
          <w:rFonts w:ascii="宋体" w:hAnsi="宋体" w:cs="宋体"/>
          <w:szCs w:val="21"/>
          <w:highlight w:val="none"/>
        </w:rPr>
      </w:pPr>
      <w:bookmarkStart w:id="316" w:name="_Toc351203587"/>
      <w:bookmarkStart w:id="317" w:name="_Toc337558805"/>
      <w:bookmarkStart w:id="318" w:name="_Toc296503110"/>
      <w:bookmarkStart w:id="319" w:name="_Toc296346611"/>
      <w:r>
        <w:rPr>
          <w:rFonts w:hint="eastAsia" w:ascii="宋体" w:hAnsi="宋体" w:cs="宋体"/>
          <w:szCs w:val="21"/>
          <w:highlight w:val="none"/>
        </w:rPr>
        <w:t>13.1分部分项工程验收</w:t>
      </w:r>
      <w:bookmarkEnd w:id="316"/>
    </w:p>
    <w:bookmarkEnd w:id="317"/>
    <w:p w14:paraId="6D519360">
      <w:pPr>
        <w:spacing w:line="360" w:lineRule="auto"/>
        <w:ind w:firstLine="420" w:firstLineChars="200"/>
        <w:rPr>
          <w:rFonts w:ascii="宋体" w:hAnsi="宋体" w:cs="宋体"/>
          <w:szCs w:val="21"/>
          <w:highlight w:val="none"/>
        </w:rPr>
      </w:pPr>
      <w:r>
        <w:rPr>
          <w:rFonts w:hint="eastAsia" w:ascii="宋体" w:hAnsi="宋体" w:cs="宋体"/>
          <w:szCs w:val="21"/>
          <w:highlight w:val="none"/>
        </w:rPr>
        <w:t>13.1.1 分部分项工程质量应符合国家有关工程施工验收规范、标准及合同约定，承包人应按照施工组织设计的要求完成分部分项工程施工。</w:t>
      </w:r>
    </w:p>
    <w:p w14:paraId="5A7B3964">
      <w:pPr>
        <w:spacing w:line="360" w:lineRule="auto"/>
        <w:ind w:firstLine="420" w:firstLineChars="200"/>
        <w:rPr>
          <w:rFonts w:ascii="宋体" w:hAnsi="宋体" w:cs="宋体"/>
          <w:szCs w:val="21"/>
          <w:highlight w:val="none"/>
        </w:rPr>
      </w:pPr>
      <w:r>
        <w:rPr>
          <w:rFonts w:hint="eastAsia" w:ascii="宋体" w:hAnsi="宋体" w:cs="宋体"/>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D35E622">
      <w:pPr>
        <w:spacing w:line="360" w:lineRule="auto"/>
        <w:ind w:firstLine="420" w:firstLineChars="200"/>
        <w:rPr>
          <w:rFonts w:ascii="宋体" w:hAnsi="宋体" w:cs="宋体"/>
          <w:szCs w:val="21"/>
          <w:highlight w:val="none"/>
        </w:rPr>
      </w:pPr>
      <w:r>
        <w:rPr>
          <w:rFonts w:hint="eastAsia" w:ascii="宋体" w:hAnsi="宋体" w:cs="宋体"/>
          <w:szCs w:val="21"/>
          <w:highlight w:val="none"/>
        </w:rPr>
        <w:t>分部分项工程的验收资料应当作为竣工资料的组成部分。</w:t>
      </w:r>
    </w:p>
    <w:p w14:paraId="69D693C6">
      <w:pPr>
        <w:spacing w:line="360" w:lineRule="auto"/>
        <w:ind w:firstLine="420" w:firstLineChars="200"/>
        <w:rPr>
          <w:rFonts w:ascii="宋体" w:hAnsi="宋体" w:cs="宋体"/>
          <w:szCs w:val="21"/>
          <w:highlight w:val="none"/>
        </w:rPr>
      </w:pPr>
      <w:bookmarkStart w:id="320" w:name="_Toc351203588"/>
      <w:bookmarkStart w:id="321" w:name="_Toc337558806"/>
      <w:r>
        <w:rPr>
          <w:rFonts w:hint="eastAsia" w:ascii="宋体" w:hAnsi="宋体" w:cs="宋体"/>
          <w:szCs w:val="21"/>
          <w:highlight w:val="none"/>
        </w:rPr>
        <w:t>13.2竣工验收</w:t>
      </w:r>
      <w:bookmarkEnd w:id="320"/>
    </w:p>
    <w:bookmarkEnd w:id="318"/>
    <w:bookmarkEnd w:id="319"/>
    <w:bookmarkEnd w:id="321"/>
    <w:p w14:paraId="561AF785">
      <w:pPr>
        <w:spacing w:line="360" w:lineRule="auto"/>
        <w:ind w:firstLine="420" w:firstLineChars="200"/>
        <w:rPr>
          <w:rFonts w:ascii="宋体" w:hAnsi="宋体" w:cs="宋体"/>
          <w:szCs w:val="21"/>
          <w:highlight w:val="none"/>
        </w:rPr>
      </w:pPr>
      <w:r>
        <w:rPr>
          <w:rFonts w:hint="eastAsia" w:ascii="宋体" w:hAnsi="宋体" w:cs="宋体"/>
          <w:szCs w:val="21"/>
          <w:highlight w:val="none"/>
        </w:rPr>
        <w:t>13.2.1竣工验收条件</w:t>
      </w:r>
    </w:p>
    <w:p w14:paraId="43BC26B9">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工程具备以下条件的，承包人可以申请竣工验收：</w:t>
      </w:r>
    </w:p>
    <w:p w14:paraId="40C65548">
      <w:pPr>
        <w:spacing w:line="360" w:lineRule="auto"/>
        <w:ind w:firstLine="420" w:firstLineChars="200"/>
        <w:rPr>
          <w:rFonts w:ascii="宋体" w:hAnsi="宋体" w:cs="宋体"/>
          <w:szCs w:val="21"/>
          <w:highlight w:val="none"/>
        </w:rPr>
      </w:pPr>
      <w:r>
        <w:rPr>
          <w:rFonts w:hint="eastAsia" w:ascii="宋体" w:hAnsi="宋体" w:cs="宋体"/>
          <w:szCs w:val="21"/>
          <w:highlight w:val="none"/>
        </w:rPr>
        <w:t>（1）除发包人同意的甩项工作和缺陷修补工作外，合同范围内的全部工程以及有关工作，包括合同要求的试验、试运行以及检验均已完成，并符合合同要求；</w:t>
      </w:r>
    </w:p>
    <w:p w14:paraId="3F7C0311">
      <w:pPr>
        <w:spacing w:line="360" w:lineRule="auto"/>
        <w:ind w:firstLine="420" w:firstLineChars="200"/>
        <w:rPr>
          <w:rFonts w:ascii="宋体" w:hAnsi="宋体" w:cs="宋体"/>
          <w:szCs w:val="21"/>
          <w:highlight w:val="none"/>
        </w:rPr>
      </w:pPr>
      <w:r>
        <w:rPr>
          <w:rFonts w:hint="eastAsia" w:ascii="宋体" w:hAnsi="宋体" w:cs="宋体"/>
          <w:szCs w:val="21"/>
          <w:highlight w:val="none"/>
        </w:rPr>
        <w:t>（2）已按合同约定编制了甩项工作和缺陷修补工作清单以及相应的施工计划；</w:t>
      </w:r>
    </w:p>
    <w:p w14:paraId="0D5F9549">
      <w:pPr>
        <w:spacing w:line="360" w:lineRule="auto"/>
        <w:ind w:firstLine="420" w:firstLineChars="200"/>
        <w:rPr>
          <w:rFonts w:ascii="宋体" w:hAnsi="宋体" w:cs="宋体"/>
          <w:szCs w:val="21"/>
          <w:highlight w:val="none"/>
        </w:rPr>
      </w:pPr>
      <w:r>
        <w:rPr>
          <w:rFonts w:hint="eastAsia" w:ascii="宋体" w:hAnsi="宋体" w:cs="宋体"/>
          <w:szCs w:val="21"/>
          <w:highlight w:val="none"/>
        </w:rPr>
        <w:t>（3）已按合同约定的内容和份数备齐竣工资料。</w:t>
      </w:r>
    </w:p>
    <w:p w14:paraId="3252561D">
      <w:pPr>
        <w:spacing w:line="360" w:lineRule="auto"/>
        <w:ind w:firstLine="420" w:firstLineChars="200"/>
        <w:rPr>
          <w:rFonts w:ascii="宋体" w:hAnsi="宋体" w:cs="宋体"/>
          <w:szCs w:val="21"/>
          <w:highlight w:val="none"/>
        </w:rPr>
      </w:pPr>
      <w:r>
        <w:rPr>
          <w:rFonts w:hint="eastAsia" w:ascii="宋体" w:hAnsi="宋体" w:cs="宋体"/>
          <w:szCs w:val="21"/>
          <w:highlight w:val="none"/>
        </w:rPr>
        <w:t>13.2.2竣工验收程序</w:t>
      </w:r>
    </w:p>
    <w:p w14:paraId="6A1FAE5C">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除专用合同条款另有约定外，承包人申请竣工验收的，应当按照以下程序进行：</w:t>
      </w:r>
    </w:p>
    <w:p w14:paraId="1001FF44">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47F8B19">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65D2CEB">
      <w:pPr>
        <w:spacing w:line="360" w:lineRule="auto"/>
        <w:ind w:firstLine="420" w:firstLineChars="200"/>
        <w:rPr>
          <w:rFonts w:ascii="宋体" w:hAnsi="宋体" w:cs="宋体"/>
          <w:szCs w:val="21"/>
          <w:highlight w:val="none"/>
        </w:rPr>
      </w:pPr>
      <w:r>
        <w:rPr>
          <w:rFonts w:hint="eastAsia" w:ascii="宋体" w:hAnsi="宋体" w:cs="宋体"/>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75174143">
      <w:pPr>
        <w:spacing w:line="360" w:lineRule="auto"/>
        <w:ind w:firstLine="420" w:firstLineChars="200"/>
        <w:rPr>
          <w:rFonts w:ascii="宋体" w:hAnsi="宋体" w:cs="宋体"/>
          <w:szCs w:val="21"/>
          <w:highlight w:val="none"/>
        </w:rPr>
      </w:pPr>
      <w:r>
        <w:rPr>
          <w:rFonts w:hint="eastAsia" w:ascii="宋体" w:hAnsi="宋体" w:cs="宋体"/>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642A791">
      <w:pPr>
        <w:spacing w:line="360" w:lineRule="auto"/>
        <w:ind w:firstLine="420" w:firstLineChars="200"/>
        <w:rPr>
          <w:rFonts w:ascii="宋体" w:hAnsi="宋体" w:cs="宋体"/>
          <w:szCs w:val="21"/>
          <w:highlight w:val="none"/>
        </w:rPr>
      </w:pPr>
      <w:r>
        <w:rPr>
          <w:rFonts w:hint="eastAsia" w:ascii="宋体" w:hAnsi="宋体" w:cs="宋体"/>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0F28B01">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AA6223E">
      <w:pPr>
        <w:spacing w:line="360" w:lineRule="auto"/>
        <w:ind w:firstLine="420" w:firstLineChars="200"/>
        <w:rPr>
          <w:rFonts w:ascii="宋体" w:hAnsi="宋体" w:cs="宋体"/>
          <w:szCs w:val="21"/>
          <w:highlight w:val="none"/>
        </w:rPr>
      </w:pPr>
      <w:r>
        <w:rPr>
          <w:rFonts w:hint="eastAsia" w:ascii="宋体" w:hAnsi="宋体" w:cs="宋体"/>
          <w:szCs w:val="21"/>
          <w:highlight w:val="none"/>
        </w:rPr>
        <w:t>13.2.3竣工日期</w:t>
      </w:r>
    </w:p>
    <w:p w14:paraId="0CD3D253">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2" w:name="#go14"/>
      <w:bookmarkEnd w:id="322"/>
      <w:r>
        <w:rPr>
          <w:rFonts w:hint="eastAsia" w:ascii="宋体" w:hAnsi="宋体" w:cs="宋体"/>
          <w:szCs w:val="21"/>
          <w:highlight w:val="none"/>
        </w:rPr>
        <w:t>收申请报告的日期为实际竣工日期；工程未经竣工验收，发包人擅自使用的，以转移占有工程之日为实际竣工日期。</w:t>
      </w:r>
    </w:p>
    <w:p w14:paraId="51FA3CA3">
      <w:pPr>
        <w:spacing w:line="360" w:lineRule="auto"/>
        <w:ind w:firstLine="420" w:firstLineChars="200"/>
        <w:rPr>
          <w:rFonts w:ascii="宋体" w:hAnsi="宋体" w:cs="宋体"/>
          <w:szCs w:val="21"/>
          <w:highlight w:val="none"/>
        </w:rPr>
      </w:pPr>
      <w:r>
        <w:rPr>
          <w:rFonts w:hint="eastAsia" w:ascii="宋体" w:hAnsi="宋体" w:cs="宋体"/>
          <w:szCs w:val="21"/>
          <w:highlight w:val="none"/>
        </w:rPr>
        <w:t>13.2.4 拒绝接收全部或部分工程</w:t>
      </w:r>
    </w:p>
    <w:p w14:paraId="5880AEE9">
      <w:pPr>
        <w:spacing w:line="360" w:lineRule="auto"/>
        <w:ind w:firstLine="420" w:firstLineChars="200"/>
        <w:rPr>
          <w:rFonts w:ascii="宋体" w:hAnsi="宋体" w:cs="宋体"/>
          <w:szCs w:val="21"/>
          <w:highlight w:val="none"/>
        </w:rPr>
      </w:pPr>
      <w:r>
        <w:rPr>
          <w:rFonts w:hint="eastAsia" w:ascii="宋体" w:hAnsi="宋体" w:cs="宋体"/>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CBA7000">
      <w:pPr>
        <w:spacing w:line="360" w:lineRule="auto"/>
        <w:ind w:firstLine="420" w:firstLineChars="200"/>
        <w:rPr>
          <w:rFonts w:ascii="宋体" w:hAnsi="宋体" w:cs="宋体"/>
          <w:szCs w:val="21"/>
          <w:highlight w:val="none"/>
        </w:rPr>
      </w:pPr>
      <w:r>
        <w:rPr>
          <w:rFonts w:hint="eastAsia" w:ascii="宋体" w:hAnsi="宋体" w:cs="宋体"/>
          <w:szCs w:val="21"/>
          <w:highlight w:val="none"/>
        </w:rPr>
        <w:t>13.2.5 移交、接收全部与部分工程</w:t>
      </w:r>
    </w:p>
    <w:p w14:paraId="4BE468FA">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除专用合同条款另有约定外，合同当事人应当在颁发工程接收证书后7天内完成工程的移交。</w:t>
      </w:r>
    </w:p>
    <w:p w14:paraId="3DF6A1F4">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F3E1306">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EB37192">
      <w:pPr>
        <w:spacing w:line="360" w:lineRule="auto"/>
        <w:ind w:firstLine="420" w:firstLineChars="200"/>
        <w:rPr>
          <w:rFonts w:ascii="宋体" w:hAnsi="宋体" w:cs="宋体"/>
          <w:szCs w:val="21"/>
          <w:highlight w:val="none"/>
        </w:rPr>
      </w:pPr>
      <w:bookmarkStart w:id="323" w:name="_Toc351203589"/>
      <w:bookmarkStart w:id="324" w:name="_Toc296503111"/>
      <w:bookmarkStart w:id="325" w:name="_Toc337558807"/>
      <w:bookmarkStart w:id="326" w:name="_Toc296346612"/>
      <w:r>
        <w:rPr>
          <w:rFonts w:hint="eastAsia" w:ascii="宋体" w:hAnsi="宋体" w:cs="宋体"/>
          <w:szCs w:val="21"/>
          <w:highlight w:val="none"/>
        </w:rPr>
        <w:t>13.3工程试车</w:t>
      </w:r>
      <w:bookmarkEnd w:id="323"/>
    </w:p>
    <w:bookmarkEnd w:id="324"/>
    <w:bookmarkEnd w:id="325"/>
    <w:bookmarkEnd w:id="326"/>
    <w:p w14:paraId="7BDBB87F">
      <w:pPr>
        <w:spacing w:line="360" w:lineRule="auto"/>
        <w:ind w:firstLine="420" w:firstLineChars="200"/>
        <w:rPr>
          <w:rFonts w:ascii="宋体" w:hAnsi="宋体" w:cs="宋体"/>
          <w:szCs w:val="21"/>
          <w:highlight w:val="none"/>
        </w:rPr>
      </w:pPr>
      <w:r>
        <w:rPr>
          <w:rFonts w:hint="eastAsia" w:ascii="宋体" w:hAnsi="宋体" w:cs="宋体"/>
          <w:szCs w:val="21"/>
          <w:highlight w:val="none"/>
        </w:rPr>
        <w:t>13.3.1试车程序</w:t>
      </w:r>
    </w:p>
    <w:p w14:paraId="6BA9D8D2">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工程需要试车的，除专用合同条款另有约定外，试车内容应与承包人承包范围相一致，试车费用由承包人承担。工程试车应按如下程序进行：</w:t>
      </w:r>
    </w:p>
    <w:p w14:paraId="0924C23D">
      <w:pPr>
        <w:spacing w:line="360" w:lineRule="auto"/>
        <w:ind w:firstLine="420" w:firstLineChars="200"/>
        <w:rPr>
          <w:rFonts w:ascii="宋体" w:hAnsi="宋体" w:cs="宋体"/>
          <w:szCs w:val="21"/>
          <w:highlight w:val="none"/>
        </w:rPr>
      </w:pPr>
      <w:r>
        <w:rPr>
          <w:rFonts w:hint="eastAsia" w:ascii="宋体" w:hAnsi="宋体" w:cs="宋体"/>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9FF6B1D">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F194B9D">
      <w:pPr>
        <w:spacing w:line="360" w:lineRule="auto"/>
        <w:ind w:firstLine="420" w:firstLineChars="200"/>
        <w:rPr>
          <w:rFonts w:ascii="宋体" w:hAnsi="宋体" w:cs="宋体"/>
          <w:szCs w:val="21"/>
          <w:highlight w:val="none"/>
        </w:rPr>
      </w:pPr>
      <w:r>
        <w:rPr>
          <w:rFonts w:hint="eastAsia" w:ascii="宋体" w:hAnsi="宋体" w:cs="宋体"/>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28BF4BF">
      <w:pPr>
        <w:spacing w:line="360" w:lineRule="auto"/>
        <w:ind w:firstLine="420" w:firstLineChars="200"/>
        <w:rPr>
          <w:rFonts w:ascii="宋体" w:hAnsi="宋体" w:cs="宋体"/>
          <w:szCs w:val="21"/>
          <w:highlight w:val="none"/>
        </w:rPr>
      </w:pPr>
      <w:r>
        <w:rPr>
          <w:rFonts w:hint="eastAsia" w:ascii="宋体" w:hAnsi="宋体" w:cs="宋体"/>
          <w:szCs w:val="21"/>
          <w:highlight w:val="none"/>
        </w:rPr>
        <w:t>13.3.2 试车中的责任</w:t>
      </w:r>
    </w:p>
    <w:p w14:paraId="4C2D10C3">
      <w:pPr>
        <w:spacing w:line="360" w:lineRule="auto"/>
        <w:ind w:firstLine="420" w:firstLineChars="200"/>
        <w:rPr>
          <w:rFonts w:ascii="宋体" w:hAnsi="宋体" w:cs="宋体"/>
          <w:szCs w:val="21"/>
          <w:highlight w:val="none"/>
        </w:rPr>
      </w:pPr>
      <w:r>
        <w:rPr>
          <w:rFonts w:hint="eastAsia" w:ascii="宋体" w:hAnsi="宋体" w:cs="宋体"/>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229FB72">
      <w:pPr>
        <w:spacing w:line="360" w:lineRule="auto"/>
        <w:ind w:firstLine="420" w:firstLineChars="200"/>
        <w:rPr>
          <w:rFonts w:ascii="宋体" w:hAnsi="宋体" w:cs="宋体"/>
          <w:szCs w:val="21"/>
          <w:highlight w:val="none"/>
        </w:rPr>
      </w:pPr>
      <w:r>
        <w:rPr>
          <w:rFonts w:hint="eastAsia" w:ascii="宋体" w:hAnsi="宋体" w:cs="宋体"/>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14C53B3">
      <w:pPr>
        <w:spacing w:line="360" w:lineRule="auto"/>
        <w:ind w:firstLine="420" w:firstLineChars="200"/>
        <w:rPr>
          <w:rFonts w:ascii="宋体" w:hAnsi="宋体" w:cs="宋体"/>
          <w:szCs w:val="21"/>
          <w:highlight w:val="none"/>
        </w:rPr>
      </w:pPr>
      <w:r>
        <w:rPr>
          <w:rFonts w:hint="eastAsia" w:ascii="宋体" w:hAnsi="宋体" w:cs="宋体"/>
          <w:szCs w:val="21"/>
          <w:highlight w:val="none"/>
        </w:rPr>
        <w:t>13.3.3 投料试车</w:t>
      </w:r>
    </w:p>
    <w:p w14:paraId="2ACDA023">
      <w:pPr>
        <w:spacing w:line="360" w:lineRule="auto"/>
        <w:ind w:firstLine="420" w:firstLineChars="200"/>
        <w:rPr>
          <w:rFonts w:ascii="宋体" w:hAnsi="宋体" w:cs="宋体"/>
          <w:szCs w:val="21"/>
          <w:highlight w:val="none"/>
        </w:rPr>
      </w:pPr>
      <w:r>
        <w:rPr>
          <w:rFonts w:hint="eastAsia" w:ascii="宋体" w:hAnsi="宋体" w:cs="宋体"/>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483EA6E8">
      <w:pPr>
        <w:spacing w:line="360" w:lineRule="auto"/>
        <w:ind w:firstLine="420" w:firstLineChars="200"/>
        <w:rPr>
          <w:rFonts w:ascii="宋体" w:hAnsi="宋体" w:cs="宋体"/>
          <w:szCs w:val="21"/>
          <w:highlight w:val="none"/>
        </w:rPr>
      </w:pPr>
      <w:r>
        <w:rPr>
          <w:rFonts w:hint="eastAsia" w:ascii="宋体" w:hAnsi="宋体" w:cs="宋体"/>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566C4EB">
      <w:pPr>
        <w:spacing w:line="360" w:lineRule="auto"/>
        <w:ind w:firstLine="420" w:firstLineChars="200"/>
        <w:rPr>
          <w:rFonts w:ascii="宋体" w:hAnsi="宋体" w:cs="宋体"/>
          <w:szCs w:val="21"/>
          <w:highlight w:val="none"/>
        </w:rPr>
      </w:pPr>
      <w:bookmarkStart w:id="327" w:name="_Toc351203590"/>
      <w:bookmarkStart w:id="328" w:name="_Toc337558808"/>
      <w:r>
        <w:rPr>
          <w:rFonts w:hint="eastAsia" w:ascii="宋体" w:hAnsi="宋体" w:cs="宋体"/>
          <w:szCs w:val="21"/>
          <w:highlight w:val="none"/>
        </w:rPr>
        <w:t>13.4提前交付单位工程的验收</w:t>
      </w:r>
      <w:bookmarkEnd w:id="327"/>
    </w:p>
    <w:bookmarkEnd w:id="328"/>
    <w:p w14:paraId="68D6AF41">
      <w:pPr>
        <w:spacing w:line="360" w:lineRule="auto"/>
        <w:ind w:firstLine="420" w:firstLineChars="200"/>
        <w:rPr>
          <w:rFonts w:ascii="宋体" w:hAnsi="宋体" w:cs="宋体"/>
          <w:szCs w:val="21"/>
          <w:highlight w:val="none"/>
        </w:rPr>
      </w:pPr>
      <w:r>
        <w:rPr>
          <w:rFonts w:hint="eastAsia" w:ascii="宋体" w:hAnsi="宋体" w:cs="宋体"/>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51F85B50">
      <w:pPr>
        <w:spacing w:line="360" w:lineRule="auto"/>
        <w:ind w:firstLine="420" w:firstLineChars="200"/>
        <w:rPr>
          <w:rFonts w:ascii="宋体" w:hAnsi="宋体" w:cs="宋体"/>
          <w:szCs w:val="21"/>
          <w:highlight w:val="none"/>
        </w:rPr>
      </w:pPr>
      <w:r>
        <w:rPr>
          <w:rFonts w:hint="eastAsia" w:ascii="宋体" w:hAnsi="宋体" w:cs="宋体"/>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8646FEF">
      <w:pPr>
        <w:spacing w:line="360" w:lineRule="auto"/>
        <w:ind w:firstLine="420" w:firstLineChars="200"/>
        <w:rPr>
          <w:rFonts w:ascii="宋体" w:hAnsi="宋体" w:cs="宋体"/>
          <w:szCs w:val="21"/>
          <w:highlight w:val="none"/>
        </w:rPr>
      </w:pPr>
      <w:r>
        <w:rPr>
          <w:rFonts w:hint="eastAsia" w:ascii="宋体" w:hAnsi="宋体" w:cs="宋体"/>
          <w:szCs w:val="21"/>
          <w:highlight w:val="none"/>
        </w:rPr>
        <w:t>13.4.2 发包人要求在工程竣工前交付单位工程，由此导致承包人费用增加和（或）工期延误的，由发包人承担由此增加的费用和（或）延误的工期，并支付承包人合理的利润。</w:t>
      </w:r>
    </w:p>
    <w:p w14:paraId="653112AD">
      <w:pPr>
        <w:spacing w:line="360" w:lineRule="auto"/>
        <w:ind w:firstLine="420" w:firstLineChars="200"/>
        <w:rPr>
          <w:rFonts w:ascii="宋体" w:hAnsi="宋体" w:cs="宋体"/>
          <w:szCs w:val="21"/>
          <w:highlight w:val="none"/>
        </w:rPr>
      </w:pPr>
      <w:bookmarkStart w:id="329" w:name="_Toc351203591"/>
      <w:r>
        <w:rPr>
          <w:rFonts w:hint="eastAsia" w:ascii="宋体" w:hAnsi="宋体" w:cs="宋体"/>
          <w:szCs w:val="21"/>
          <w:highlight w:val="none"/>
        </w:rPr>
        <w:t>13.5 施工期运行</w:t>
      </w:r>
      <w:bookmarkEnd w:id="329"/>
    </w:p>
    <w:p w14:paraId="41D3077F">
      <w:pPr>
        <w:spacing w:line="360" w:lineRule="auto"/>
        <w:ind w:firstLine="420" w:firstLineChars="200"/>
        <w:rPr>
          <w:rFonts w:ascii="宋体" w:hAnsi="宋体" w:cs="宋体"/>
          <w:szCs w:val="21"/>
          <w:highlight w:val="none"/>
        </w:rPr>
      </w:pPr>
      <w:r>
        <w:rPr>
          <w:rFonts w:hint="eastAsia" w:ascii="宋体" w:hAnsi="宋体" w:cs="宋体"/>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3BB9C7C">
      <w:pPr>
        <w:spacing w:line="360" w:lineRule="auto"/>
        <w:ind w:firstLine="420" w:firstLineChars="200"/>
        <w:rPr>
          <w:rFonts w:ascii="宋体" w:hAnsi="宋体" w:cs="宋体"/>
          <w:szCs w:val="21"/>
          <w:highlight w:val="none"/>
        </w:rPr>
      </w:pPr>
      <w:r>
        <w:rPr>
          <w:rFonts w:hint="eastAsia" w:ascii="宋体" w:hAnsi="宋体" w:cs="宋体"/>
          <w:szCs w:val="21"/>
          <w:highlight w:val="none"/>
        </w:rPr>
        <w:t>13.5.2 在施工期运行中发现工程或工程设备损坏或存在缺陷的，由承包人按第15.2款〔缺陷责任期〕约定进行修复。</w:t>
      </w:r>
    </w:p>
    <w:p w14:paraId="14B8EC40">
      <w:pPr>
        <w:spacing w:line="360" w:lineRule="auto"/>
        <w:ind w:firstLine="420" w:firstLineChars="200"/>
        <w:rPr>
          <w:rFonts w:ascii="宋体" w:hAnsi="宋体" w:cs="宋体"/>
          <w:szCs w:val="21"/>
          <w:highlight w:val="none"/>
        </w:rPr>
      </w:pPr>
      <w:bookmarkStart w:id="330" w:name="_Toc296503112"/>
      <w:bookmarkStart w:id="331" w:name="_Toc296346613"/>
      <w:bookmarkStart w:id="332" w:name="_Toc351203592"/>
      <w:bookmarkStart w:id="333" w:name="_Toc337558809"/>
      <w:r>
        <w:rPr>
          <w:rFonts w:hint="eastAsia" w:ascii="宋体" w:hAnsi="宋体" w:cs="宋体"/>
          <w:szCs w:val="21"/>
          <w:highlight w:val="none"/>
        </w:rPr>
        <w:t>13.6 竣工退</w:t>
      </w:r>
      <w:bookmarkEnd w:id="330"/>
      <w:bookmarkEnd w:id="331"/>
      <w:r>
        <w:rPr>
          <w:rFonts w:hint="eastAsia" w:ascii="宋体" w:hAnsi="宋体" w:cs="宋体"/>
          <w:szCs w:val="21"/>
          <w:highlight w:val="none"/>
        </w:rPr>
        <w:t>场</w:t>
      </w:r>
      <w:bookmarkEnd w:id="332"/>
    </w:p>
    <w:bookmarkEnd w:id="333"/>
    <w:p w14:paraId="4245899F">
      <w:pPr>
        <w:spacing w:line="360" w:lineRule="auto"/>
        <w:ind w:firstLine="420" w:firstLineChars="200"/>
        <w:rPr>
          <w:rFonts w:ascii="宋体" w:hAnsi="宋体" w:cs="宋体"/>
          <w:szCs w:val="21"/>
          <w:highlight w:val="none"/>
        </w:rPr>
      </w:pPr>
      <w:r>
        <w:rPr>
          <w:rFonts w:hint="eastAsia" w:ascii="宋体" w:hAnsi="宋体" w:cs="宋体"/>
          <w:szCs w:val="21"/>
          <w:highlight w:val="none"/>
        </w:rPr>
        <w:t>13.6.1 竣工退场</w:t>
      </w:r>
    </w:p>
    <w:p w14:paraId="18C85D3A">
      <w:pPr>
        <w:spacing w:line="360" w:lineRule="auto"/>
        <w:ind w:firstLine="420" w:firstLineChars="200"/>
        <w:rPr>
          <w:rFonts w:ascii="宋体" w:hAnsi="宋体" w:cs="宋体"/>
          <w:szCs w:val="21"/>
          <w:highlight w:val="none"/>
        </w:rPr>
      </w:pPr>
      <w:r>
        <w:rPr>
          <w:rFonts w:hint="eastAsia" w:ascii="宋体" w:hAnsi="宋体" w:cs="宋体"/>
          <w:szCs w:val="21"/>
          <w:highlight w:val="none"/>
        </w:rPr>
        <w:t>颁发工程接收证书后，承包人应按以下要求对施工现场进行清理：</w:t>
      </w:r>
    </w:p>
    <w:p w14:paraId="032B60E5">
      <w:pPr>
        <w:spacing w:line="360" w:lineRule="auto"/>
        <w:ind w:firstLine="420" w:firstLineChars="200"/>
        <w:rPr>
          <w:rFonts w:ascii="宋体" w:hAnsi="宋体" w:cs="宋体"/>
          <w:szCs w:val="21"/>
          <w:highlight w:val="none"/>
        </w:rPr>
      </w:pPr>
      <w:r>
        <w:rPr>
          <w:rFonts w:hint="eastAsia" w:ascii="宋体" w:hAnsi="宋体" w:cs="宋体"/>
          <w:szCs w:val="21"/>
          <w:highlight w:val="none"/>
        </w:rPr>
        <w:t>（1）施工现场内残留的垃圾已全部清除出场；</w:t>
      </w:r>
    </w:p>
    <w:p w14:paraId="7D13E193">
      <w:pPr>
        <w:spacing w:line="360" w:lineRule="auto"/>
        <w:ind w:firstLine="420" w:firstLineChars="200"/>
        <w:rPr>
          <w:rFonts w:ascii="宋体" w:hAnsi="宋体" w:cs="宋体"/>
          <w:szCs w:val="21"/>
          <w:highlight w:val="none"/>
        </w:rPr>
      </w:pPr>
      <w:r>
        <w:rPr>
          <w:rFonts w:hint="eastAsia" w:ascii="宋体" w:hAnsi="宋体" w:cs="宋体"/>
          <w:szCs w:val="21"/>
          <w:highlight w:val="none"/>
        </w:rPr>
        <w:t>（2）临时工程已拆除，场地已进行清理、平整或复原；</w:t>
      </w:r>
    </w:p>
    <w:p w14:paraId="49157258">
      <w:pPr>
        <w:spacing w:line="360" w:lineRule="auto"/>
        <w:ind w:firstLine="420" w:firstLineChars="200"/>
        <w:rPr>
          <w:rFonts w:ascii="宋体" w:hAnsi="宋体" w:cs="宋体"/>
          <w:szCs w:val="21"/>
          <w:highlight w:val="none"/>
        </w:rPr>
      </w:pPr>
      <w:r>
        <w:rPr>
          <w:rFonts w:hint="eastAsia" w:ascii="宋体" w:hAnsi="宋体" w:cs="宋体"/>
          <w:szCs w:val="21"/>
          <w:highlight w:val="none"/>
        </w:rPr>
        <w:t>（3）按合同约定应撤离的人员、承包人施工设备和剩余的材料，包括废弃的施工设备和材料，已按计划撤离施工现场；</w:t>
      </w:r>
    </w:p>
    <w:p w14:paraId="38C25014">
      <w:pPr>
        <w:spacing w:line="360" w:lineRule="auto"/>
        <w:ind w:firstLine="420" w:firstLineChars="200"/>
        <w:rPr>
          <w:rFonts w:ascii="宋体" w:hAnsi="宋体" w:cs="宋体"/>
          <w:szCs w:val="21"/>
          <w:highlight w:val="none"/>
        </w:rPr>
      </w:pPr>
      <w:r>
        <w:rPr>
          <w:rFonts w:hint="eastAsia" w:ascii="宋体" w:hAnsi="宋体" w:cs="宋体"/>
          <w:szCs w:val="21"/>
          <w:highlight w:val="none"/>
        </w:rPr>
        <w:t>（4）施工现场周边及其附近道路、河道的施工堆积物，已全部清理；</w:t>
      </w:r>
    </w:p>
    <w:p w14:paraId="472CA0D7">
      <w:pPr>
        <w:spacing w:line="360" w:lineRule="auto"/>
        <w:ind w:firstLine="420" w:firstLineChars="200"/>
        <w:rPr>
          <w:rFonts w:ascii="宋体" w:hAnsi="宋体" w:cs="宋体"/>
          <w:szCs w:val="21"/>
          <w:highlight w:val="none"/>
        </w:rPr>
      </w:pPr>
      <w:r>
        <w:rPr>
          <w:rFonts w:hint="eastAsia" w:ascii="宋体" w:hAnsi="宋体" w:cs="宋体"/>
          <w:szCs w:val="21"/>
          <w:highlight w:val="none"/>
        </w:rPr>
        <w:t>（5）施工现场其他场地清理工作已全部完成。</w:t>
      </w:r>
    </w:p>
    <w:p w14:paraId="4B0609EA">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561A81D">
      <w:pPr>
        <w:spacing w:line="360" w:lineRule="auto"/>
        <w:ind w:firstLine="420" w:firstLineChars="200"/>
        <w:rPr>
          <w:rFonts w:ascii="宋体" w:hAnsi="宋体" w:cs="宋体"/>
          <w:szCs w:val="21"/>
          <w:highlight w:val="none"/>
        </w:rPr>
      </w:pPr>
      <w:r>
        <w:rPr>
          <w:rFonts w:hint="eastAsia" w:ascii="宋体" w:hAnsi="宋体" w:cs="宋体"/>
          <w:szCs w:val="21"/>
          <w:highlight w:val="none"/>
        </w:rPr>
        <w:t>13.6.2 地表还原</w:t>
      </w:r>
    </w:p>
    <w:p w14:paraId="0F2A64F6">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9EAB84B">
      <w:pPr>
        <w:spacing w:line="360" w:lineRule="auto"/>
        <w:ind w:firstLine="420" w:firstLineChars="200"/>
        <w:rPr>
          <w:rFonts w:ascii="宋体" w:hAnsi="宋体" w:cs="宋体"/>
          <w:szCs w:val="21"/>
          <w:highlight w:val="none"/>
        </w:rPr>
      </w:pPr>
      <w:bookmarkStart w:id="334" w:name="_Toc351203593"/>
      <w:bookmarkStart w:id="335" w:name="_Toc337558810"/>
      <w:bookmarkStart w:id="336" w:name="_Toc296346614"/>
      <w:bookmarkStart w:id="337" w:name="_Toc296503113"/>
      <w:r>
        <w:rPr>
          <w:rFonts w:hint="eastAsia" w:ascii="宋体" w:hAnsi="宋体" w:cs="宋体"/>
          <w:szCs w:val="21"/>
          <w:highlight w:val="none"/>
        </w:rPr>
        <w:t>14. 竣工结算</w:t>
      </w:r>
      <w:bookmarkEnd w:id="334"/>
    </w:p>
    <w:bookmarkEnd w:id="335"/>
    <w:p w14:paraId="4D8DA298">
      <w:pPr>
        <w:spacing w:line="360" w:lineRule="auto"/>
        <w:ind w:firstLine="420" w:firstLineChars="200"/>
        <w:rPr>
          <w:rFonts w:ascii="宋体" w:hAnsi="宋体" w:cs="宋体"/>
          <w:szCs w:val="21"/>
          <w:highlight w:val="none"/>
        </w:rPr>
      </w:pPr>
      <w:bookmarkStart w:id="338" w:name="_Toc351203594"/>
      <w:bookmarkStart w:id="339" w:name="_Toc337558811"/>
      <w:r>
        <w:rPr>
          <w:rFonts w:hint="eastAsia" w:ascii="宋体" w:hAnsi="宋体" w:cs="宋体"/>
          <w:szCs w:val="21"/>
          <w:highlight w:val="none"/>
        </w:rPr>
        <w:t>14.1 竣工结算申请</w:t>
      </w:r>
      <w:bookmarkEnd w:id="338"/>
    </w:p>
    <w:bookmarkEnd w:id="339"/>
    <w:p w14:paraId="0309CC26">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4CF05B6">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除专用合同条款另有约定外，竣工结算申请单应包括以下内容：</w:t>
      </w:r>
    </w:p>
    <w:p w14:paraId="36CF99EC">
      <w:pPr>
        <w:spacing w:line="360" w:lineRule="auto"/>
        <w:ind w:firstLine="420" w:firstLineChars="200"/>
        <w:rPr>
          <w:rFonts w:ascii="宋体" w:hAnsi="宋体" w:cs="宋体"/>
          <w:szCs w:val="21"/>
          <w:highlight w:val="none"/>
        </w:rPr>
      </w:pPr>
      <w:r>
        <w:rPr>
          <w:rFonts w:hint="eastAsia" w:ascii="宋体" w:hAnsi="宋体" w:cs="宋体"/>
          <w:szCs w:val="21"/>
          <w:highlight w:val="none"/>
        </w:rPr>
        <w:t>（1）竣工结算合同价格；</w:t>
      </w:r>
    </w:p>
    <w:p w14:paraId="07503EA1">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（2）发包人已支付承包人的款项；</w:t>
      </w:r>
    </w:p>
    <w:p w14:paraId="4B6A349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（3）应扣留的质量保证金。已缴纳履约保证金的或提供其他工程质量担保方式的除外； </w:t>
      </w:r>
    </w:p>
    <w:p w14:paraId="45792B13">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（4）发包人应支付承包人的合同价款。</w:t>
      </w:r>
    </w:p>
    <w:p w14:paraId="3C113F01">
      <w:pPr>
        <w:spacing w:line="360" w:lineRule="auto"/>
        <w:ind w:firstLine="420" w:firstLineChars="200"/>
        <w:rPr>
          <w:rFonts w:ascii="宋体" w:hAnsi="宋体" w:cs="宋体"/>
          <w:szCs w:val="21"/>
          <w:highlight w:val="none"/>
        </w:rPr>
      </w:pPr>
      <w:bookmarkStart w:id="340" w:name="_Toc351203595"/>
      <w:bookmarkStart w:id="341" w:name="_Toc337558812"/>
      <w:r>
        <w:rPr>
          <w:rFonts w:hint="eastAsia" w:ascii="宋体" w:hAnsi="宋体" w:cs="宋体"/>
          <w:szCs w:val="21"/>
          <w:highlight w:val="none"/>
        </w:rPr>
        <w:t>14.2 竣工结算审核</w:t>
      </w:r>
      <w:bookmarkEnd w:id="340"/>
    </w:p>
    <w:bookmarkEnd w:id="341"/>
    <w:p w14:paraId="40149247">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684AC87">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114E528">
      <w:pPr>
        <w:spacing w:line="360" w:lineRule="auto"/>
        <w:ind w:firstLine="420" w:firstLineChars="200"/>
        <w:rPr>
          <w:rFonts w:ascii="宋体" w:hAnsi="宋体" w:cs="宋体"/>
          <w:szCs w:val="21"/>
          <w:highlight w:val="none"/>
        </w:rPr>
      </w:pPr>
      <w:r>
        <w:rPr>
          <w:rFonts w:hint="eastAsia" w:ascii="宋体" w:hAnsi="宋体" w:cs="宋体"/>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2B531CF">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9F79B18">
      <w:pPr>
        <w:spacing w:line="360" w:lineRule="auto"/>
        <w:ind w:firstLine="420" w:firstLineChars="200"/>
        <w:rPr>
          <w:rFonts w:ascii="宋体" w:hAnsi="宋体" w:cs="宋体"/>
          <w:szCs w:val="21"/>
          <w:highlight w:val="none"/>
        </w:rPr>
      </w:pPr>
      <w:bookmarkStart w:id="342" w:name="_Toc351203596"/>
      <w:bookmarkStart w:id="343" w:name="_Toc337558813"/>
      <w:r>
        <w:rPr>
          <w:rFonts w:hint="eastAsia" w:ascii="宋体" w:hAnsi="宋体" w:cs="宋体"/>
          <w:szCs w:val="21"/>
          <w:highlight w:val="none"/>
        </w:rPr>
        <w:t>14.3 甩项竣工协议</w:t>
      </w:r>
      <w:bookmarkEnd w:id="342"/>
    </w:p>
    <w:bookmarkEnd w:id="343"/>
    <w:p w14:paraId="015C47E3">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3AF9B1A">
      <w:pPr>
        <w:spacing w:line="360" w:lineRule="auto"/>
        <w:ind w:firstLine="420" w:firstLineChars="200"/>
        <w:rPr>
          <w:rFonts w:ascii="宋体" w:hAnsi="宋体" w:cs="宋体"/>
          <w:szCs w:val="21"/>
          <w:highlight w:val="none"/>
        </w:rPr>
      </w:pPr>
      <w:bookmarkStart w:id="344" w:name="_Toc351203597"/>
      <w:bookmarkStart w:id="345" w:name="_Toc337558814"/>
      <w:r>
        <w:rPr>
          <w:rFonts w:hint="eastAsia" w:ascii="宋体" w:hAnsi="宋体" w:cs="宋体"/>
          <w:szCs w:val="21"/>
          <w:highlight w:val="none"/>
        </w:rPr>
        <w:t>14.4 最终结清</w:t>
      </w:r>
      <w:bookmarkEnd w:id="344"/>
    </w:p>
    <w:bookmarkEnd w:id="345"/>
    <w:p w14:paraId="69B831F0">
      <w:pPr>
        <w:spacing w:line="360" w:lineRule="auto"/>
        <w:ind w:firstLine="420" w:firstLineChars="200"/>
        <w:rPr>
          <w:rFonts w:ascii="宋体" w:hAnsi="宋体" w:cs="宋体"/>
          <w:szCs w:val="21"/>
          <w:highlight w:val="none"/>
        </w:rPr>
      </w:pPr>
      <w:r>
        <w:rPr>
          <w:rFonts w:hint="eastAsia" w:ascii="宋体" w:hAnsi="宋体" w:cs="宋体"/>
          <w:szCs w:val="21"/>
          <w:highlight w:val="none"/>
        </w:rPr>
        <w:t>14.4.1 最终结清申请单</w:t>
      </w:r>
    </w:p>
    <w:p w14:paraId="44787445">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（1）除专用合同条款另有约定外，承包人应在缺陷责任期终止证书颁发后7天内，按专用合同条款约定的份数向发包人提交最终结清申请单，并提供相关证明材料。</w:t>
      </w:r>
    </w:p>
    <w:p w14:paraId="241C01CB">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除专用合同条款另有约定外，最终结清申请单应列明质量保证金、应扣除的质量保证金、缺陷责任期内发生的增减费用。</w:t>
      </w:r>
    </w:p>
    <w:p w14:paraId="47507FE8">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（2）发包人对最终结清申请单内容有异议的，有权要求承包人进行修正和提供补充资料，承包人应向发包人提交修正后的最终结清申请单。</w:t>
      </w:r>
    </w:p>
    <w:p w14:paraId="7EF10FA1">
      <w:pPr>
        <w:spacing w:line="360" w:lineRule="auto"/>
        <w:ind w:firstLine="420" w:firstLineChars="200"/>
        <w:rPr>
          <w:rFonts w:ascii="宋体" w:hAnsi="宋体" w:cs="宋体"/>
          <w:szCs w:val="21"/>
          <w:highlight w:val="none"/>
        </w:rPr>
      </w:pPr>
      <w:r>
        <w:rPr>
          <w:rFonts w:hint="eastAsia" w:ascii="宋体" w:hAnsi="宋体" w:cs="宋体"/>
          <w:szCs w:val="21"/>
          <w:highlight w:val="none"/>
        </w:rPr>
        <w:t>14.4.2 最终结清证书和支付</w:t>
      </w:r>
    </w:p>
    <w:p w14:paraId="22138124">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0B15A66">
      <w:pPr>
        <w:spacing w:line="360" w:lineRule="auto"/>
        <w:ind w:firstLine="420" w:firstLineChars="200"/>
        <w:rPr>
          <w:rFonts w:ascii="宋体" w:hAnsi="宋体" w:cs="宋体"/>
          <w:szCs w:val="21"/>
          <w:highlight w:val="none"/>
        </w:rPr>
      </w:pPr>
      <w:r>
        <w:rPr>
          <w:rFonts w:hint="eastAsia" w:ascii="宋体" w:hAnsi="宋体" w:cs="宋体"/>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3A062B3">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（3）承包人对发包人颁发的最终结清证书有异议的，按第20条〔争议解决〕的约定办理。</w:t>
      </w:r>
    </w:p>
    <w:p w14:paraId="2AC674D7">
      <w:pPr>
        <w:spacing w:line="360" w:lineRule="auto"/>
        <w:ind w:firstLine="420" w:firstLineChars="200"/>
        <w:rPr>
          <w:rFonts w:ascii="宋体" w:hAnsi="宋体" w:cs="宋体"/>
          <w:szCs w:val="21"/>
          <w:highlight w:val="none"/>
        </w:rPr>
      </w:pPr>
      <w:bookmarkStart w:id="346" w:name="_Toc351203598"/>
      <w:bookmarkStart w:id="347" w:name="_Toc337558815"/>
      <w:r>
        <w:rPr>
          <w:rFonts w:hint="eastAsia" w:ascii="宋体" w:hAnsi="宋体" w:cs="宋体"/>
          <w:szCs w:val="21"/>
          <w:highlight w:val="none"/>
        </w:rPr>
        <w:t>15. 缺陷责任与保修</w:t>
      </w:r>
      <w:bookmarkEnd w:id="346"/>
    </w:p>
    <w:bookmarkEnd w:id="336"/>
    <w:bookmarkEnd w:id="337"/>
    <w:bookmarkEnd w:id="347"/>
    <w:p w14:paraId="4EF640EE">
      <w:pPr>
        <w:spacing w:line="360" w:lineRule="auto"/>
        <w:ind w:firstLine="420" w:firstLineChars="200"/>
        <w:rPr>
          <w:rFonts w:ascii="宋体" w:hAnsi="宋体" w:cs="宋体"/>
          <w:szCs w:val="21"/>
          <w:highlight w:val="none"/>
        </w:rPr>
      </w:pPr>
      <w:bookmarkStart w:id="348" w:name="_Toc351203599"/>
      <w:bookmarkStart w:id="349" w:name="_Toc337558816"/>
      <w:bookmarkStart w:id="350" w:name="_Toc296503114"/>
      <w:bookmarkStart w:id="351" w:name="_Toc296346615"/>
      <w:r>
        <w:rPr>
          <w:rFonts w:hint="eastAsia" w:ascii="宋体" w:hAnsi="宋体" w:cs="宋体"/>
          <w:szCs w:val="21"/>
          <w:highlight w:val="none"/>
        </w:rPr>
        <w:t>15.1 工程保修的原则</w:t>
      </w:r>
      <w:bookmarkEnd w:id="348"/>
    </w:p>
    <w:bookmarkEnd w:id="349"/>
    <w:p w14:paraId="3B073BD6">
      <w:pPr>
        <w:spacing w:line="360" w:lineRule="auto"/>
        <w:ind w:firstLine="420" w:firstLineChars="200"/>
        <w:rPr>
          <w:rFonts w:ascii="宋体" w:hAnsi="宋体" w:cs="宋体"/>
          <w:szCs w:val="21"/>
          <w:highlight w:val="none"/>
        </w:rPr>
      </w:pPr>
      <w:r>
        <w:rPr>
          <w:rFonts w:hint="eastAsia" w:ascii="宋体" w:hAnsi="宋体" w:cs="宋体"/>
          <w:szCs w:val="21"/>
          <w:highlight w:val="none"/>
        </w:rPr>
        <w:t>在工程移交发包人后，因承包人原因产生的质量缺陷，承包人应承担质量缺陷责任和保修义务。缺陷责任期届满，承包人仍应按合同约定的工程各部位保修年限承担保修义务。</w:t>
      </w:r>
    </w:p>
    <w:p w14:paraId="6971ACC2">
      <w:pPr>
        <w:spacing w:line="360" w:lineRule="auto"/>
        <w:ind w:firstLine="420" w:firstLineChars="200"/>
        <w:rPr>
          <w:rFonts w:ascii="宋体" w:hAnsi="宋体" w:cs="宋体"/>
          <w:szCs w:val="21"/>
          <w:highlight w:val="none"/>
        </w:rPr>
      </w:pPr>
      <w:bookmarkStart w:id="352" w:name="_Toc351203600"/>
      <w:bookmarkStart w:id="353" w:name="_Toc337558817"/>
      <w:r>
        <w:rPr>
          <w:rFonts w:hint="eastAsia" w:ascii="宋体" w:hAnsi="宋体" w:cs="宋体"/>
          <w:szCs w:val="21"/>
          <w:highlight w:val="none"/>
        </w:rPr>
        <w:t>15.2 缺陷责任期</w:t>
      </w:r>
      <w:bookmarkEnd w:id="350"/>
      <w:bookmarkEnd w:id="351"/>
      <w:bookmarkEnd w:id="352"/>
    </w:p>
    <w:bookmarkEnd w:id="353"/>
    <w:p w14:paraId="28D7C11A">
      <w:pPr>
        <w:spacing w:line="360" w:lineRule="auto"/>
        <w:ind w:firstLine="420" w:firstLineChars="200"/>
        <w:rPr>
          <w:rFonts w:ascii="宋体" w:hAnsi="宋体" w:cs="宋体"/>
          <w:szCs w:val="21"/>
          <w:highlight w:val="none"/>
        </w:rPr>
      </w:pPr>
      <w:r>
        <w:rPr>
          <w:rFonts w:hint="eastAsia" w:ascii="宋体" w:hAnsi="宋体" w:cs="宋体"/>
          <w:szCs w:val="21"/>
          <w:highlight w:val="none"/>
        </w:rPr>
        <w:t>15.2.1 缺陷责任期从工程通过竣工验收之日起计算，合同当事人应在专用合同条款约定缺陷责任期的具体期限，但该期限最长不超过24个月。</w:t>
      </w:r>
    </w:p>
    <w:p w14:paraId="1D72B8D8">
      <w:pPr>
        <w:spacing w:line="360" w:lineRule="auto"/>
        <w:ind w:firstLine="420" w:firstLineChars="200"/>
        <w:rPr>
          <w:rFonts w:ascii="宋体" w:hAnsi="宋体" w:cs="宋体"/>
          <w:szCs w:val="21"/>
          <w:highlight w:val="none"/>
        </w:rPr>
      </w:pPr>
      <w:r>
        <w:rPr>
          <w:rFonts w:hint="eastAsia" w:ascii="宋体" w:hAnsi="宋体" w:cs="宋体"/>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9CA697C">
      <w:pPr>
        <w:spacing w:line="360" w:lineRule="auto"/>
        <w:ind w:firstLine="420" w:firstLineChars="200"/>
        <w:rPr>
          <w:rFonts w:ascii="宋体" w:hAnsi="宋体" w:cs="宋体"/>
          <w:szCs w:val="21"/>
          <w:highlight w:val="none"/>
        </w:rPr>
      </w:pPr>
      <w:r>
        <w:rPr>
          <w:rFonts w:hint="eastAsia" w:ascii="宋体" w:hAnsi="宋体" w:cs="宋体"/>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1B48685">
      <w:pPr>
        <w:spacing w:line="360" w:lineRule="auto"/>
        <w:ind w:firstLine="420" w:firstLineChars="200"/>
        <w:rPr>
          <w:rFonts w:ascii="宋体" w:hAnsi="宋体" w:cs="宋体"/>
          <w:szCs w:val="21"/>
          <w:highlight w:val="none"/>
        </w:rPr>
      </w:pPr>
      <w:r>
        <w:rPr>
          <w:rFonts w:hint="eastAsia" w:ascii="宋体" w:hAnsi="宋体" w:cs="宋体"/>
          <w:szCs w:val="21"/>
          <w:highlight w:val="none"/>
        </w:rPr>
        <w:t>由他人原因造成的缺陷，发包人负责组织维修，承包人不承担费用，且发包人不得从保证金中扣除费用。</w:t>
      </w:r>
    </w:p>
    <w:p w14:paraId="257CCE03">
      <w:pPr>
        <w:spacing w:line="360" w:lineRule="auto"/>
        <w:ind w:firstLine="420" w:firstLineChars="200"/>
        <w:rPr>
          <w:rFonts w:ascii="宋体" w:hAnsi="宋体" w:cs="宋体"/>
          <w:szCs w:val="21"/>
          <w:highlight w:val="none"/>
        </w:rPr>
      </w:pPr>
      <w:r>
        <w:rPr>
          <w:rFonts w:hint="eastAsia" w:ascii="宋体" w:hAnsi="宋体" w:cs="宋体"/>
          <w:szCs w:val="21"/>
          <w:highlight w:val="none"/>
        </w:rPr>
        <w:t>15.2.3 任何一项缺陷或损坏修复后，经检查证明其影响了工程或工程设备的使用性能，承包人应重新进行合同约定的试验和试运行，试验和试运行的全部费用应由责任方承担。</w:t>
      </w:r>
    </w:p>
    <w:p w14:paraId="110A16B1">
      <w:pPr>
        <w:spacing w:line="360" w:lineRule="auto"/>
        <w:ind w:firstLine="420" w:firstLineChars="200"/>
        <w:rPr>
          <w:rFonts w:ascii="宋体" w:hAnsi="宋体" w:cs="宋体"/>
          <w:szCs w:val="21"/>
          <w:highlight w:val="none"/>
        </w:rPr>
      </w:pPr>
      <w:r>
        <w:rPr>
          <w:rFonts w:hint="eastAsia" w:ascii="宋体" w:hAnsi="宋体" w:cs="宋体"/>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B8082BF">
      <w:pPr>
        <w:spacing w:line="360" w:lineRule="auto"/>
        <w:ind w:firstLine="420" w:firstLineChars="200"/>
        <w:rPr>
          <w:rFonts w:ascii="宋体" w:hAnsi="宋体" w:cs="宋体"/>
          <w:szCs w:val="21"/>
          <w:highlight w:val="none"/>
        </w:rPr>
      </w:pPr>
      <w:bookmarkStart w:id="354" w:name="_Toc351203601"/>
      <w:bookmarkStart w:id="355" w:name="_Toc337558818"/>
      <w:bookmarkStart w:id="356" w:name="_Toc296503115"/>
      <w:bookmarkStart w:id="357" w:name="_Toc296346616"/>
      <w:r>
        <w:rPr>
          <w:rFonts w:hint="eastAsia" w:ascii="宋体" w:hAnsi="宋体" w:cs="宋体"/>
          <w:szCs w:val="21"/>
          <w:highlight w:val="none"/>
        </w:rPr>
        <w:t>15.3 质量保证金</w:t>
      </w:r>
      <w:bookmarkEnd w:id="354"/>
    </w:p>
    <w:bookmarkEnd w:id="355"/>
    <w:p w14:paraId="4B5E45E6">
      <w:pPr>
        <w:spacing w:line="360" w:lineRule="auto"/>
        <w:ind w:firstLine="420" w:firstLineChars="200"/>
        <w:rPr>
          <w:rFonts w:ascii="宋体" w:hAnsi="宋体" w:cs="宋体"/>
          <w:szCs w:val="21"/>
          <w:highlight w:val="none"/>
        </w:rPr>
      </w:pPr>
      <w:r>
        <w:rPr>
          <w:rFonts w:hint="eastAsia" w:ascii="宋体" w:hAnsi="宋体" w:cs="宋体"/>
          <w:szCs w:val="21"/>
          <w:highlight w:val="none"/>
        </w:rPr>
        <w:t>经合同当事人协商一致扣留质量保证金的，应在专用合同条款中予以明确。</w:t>
      </w:r>
    </w:p>
    <w:p w14:paraId="558800FF">
      <w:pPr>
        <w:spacing w:line="360" w:lineRule="auto"/>
        <w:ind w:firstLine="420" w:firstLineChars="200"/>
        <w:rPr>
          <w:rFonts w:ascii="宋体" w:hAnsi="宋体" w:cs="宋体"/>
          <w:szCs w:val="21"/>
          <w:highlight w:val="none"/>
        </w:rPr>
      </w:pPr>
      <w:r>
        <w:rPr>
          <w:rFonts w:hint="eastAsia" w:ascii="宋体" w:hAnsi="宋体" w:cs="宋体"/>
          <w:szCs w:val="21"/>
          <w:highlight w:val="none"/>
        </w:rPr>
        <w:t>在工程项目竣工前，承包人已经提供履约担保的，发包人不得同时预留工程质量保证金。</w:t>
      </w:r>
    </w:p>
    <w:p w14:paraId="6D26F3FA">
      <w:pPr>
        <w:spacing w:line="360" w:lineRule="auto"/>
        <w:ind w:firstLine="420" w:firstLineChars="200"/>
        <w:rPr>
          <w:rFonts w:ascii="宋体" w:hAnsi="宋体" w:cs="宋体"/>
          <w:szCs w:val="21"/>
          <w:highlight w:val="none"/>
        </w:rPr>
      </w:pPr>
      <w:r>
        <w:rPr>
          <w:rFonts w:hint="eastAsia" w:ascii="宋体" w:hAnsi="宋体" w:cs="宋体"/>
          <w:szCs w:val="21"/>
          <w:highlight w:val="none"/>
        </w:rPr>
        <w:t>15.3.1 承包人提供质量保证金的方式</w:t>
      </w:r>
    </w:p>
    <w:p w14:paraId="6BC152F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承包人提供质量保证金有以下三种方式：</w:t>
      </w:r>
    </w:p>
    <w:p w14:paraId="13F9DA62">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（1）质量保证金保函； </w:t>
      </w:r>
    </w:p>
    <w:p w14:paraId="31176309">
      <w:pPr>
        <w:spacing w:line="360" w:lineRule="auto"/>
        <w:ind w:firstLine="420" w:firstLineChars="200"/>
        <w:rPr>
          <w:rFonts w:ascii="宋体" w:hAnsi="宋体" w:cs="宋体"/>
          <w:szCs w:val="21"/>
          <w:highlight w:val="none"/>
        </w:rPr>
      </w:pPr>
      <w:r>
        <w:rPr>
          <w:rFonts w:hint="eastAsia" w:ascii="宋体" w:hAnsi="宋体" w:cs="宋体"/>
          <w:szCs w:val="21"/>
          <w:highlight w:val="none"/>
        </w:rPr>
        <w:t>（2）相应比例的工程款；</w:t>
      </w:r>
    </w:p>
    <w:p w14:paraId="586379B5">
      <w:pPr>
        <w:spacing w:line="360" w:lineRule="auto"/>
        <w:ind w:firstLine="420" w:firstLineChars="200"/>
        <w:rPr>
          <w:rFonts w:ascii="宋体" w:hAnsi="宋体" w:cs="宋体"/>
          <w:szCs w:val="21"/>
          <w:highlight w:val="none"/>
        </w:rPr>
      </w:pPr>
      <w:r>
        <w:rPr>
          <w:rFonts w:hint="eastAsia" w:ascii="宋体" w:hAnsi="宋体" w:cs="宋体"/>
          <w:szCs w:val="21"/>
          <w:highlight w:val="none"/>
        </w:rPr>
        <w:t>（3）双方约定的其他方式。</w:t>
      </w:r>
    </w:p>
    <w:p w14:paraId="33C8F48E">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除专用合同条款另有约定外，质量保证金原则上采用上述第（1）种方式。</w:t>
      </w:r>
    </w:p>
    <w:p w14:paraId="16BB8FDF">
      <w:pPr>
        <w:spacing w:line="360" w:lineRule="auto"/>
        <w:ind w:firstLine="420" w:firstLineChars="200"/>
        <w:rPr>
          <w:rFonts w:ascii="宋体" w:hAnsi="宋体" w:cs="宋体"/>
          <w:szCs w:val="21"/>
          <w:highlight w:val="none"/>
        </w:rPr>
      </w:pPr>
      <w:r>
        <w:rPr>
          <w:rFonts w:hint="eastAsia" w:ascii="宋体" w:hAnsi="宋体" w:cs="宋体"/>
          <w:szCs w:val="21"/>
          <w:highlight w:val="none"/>
        </w:rPr>
        <w:t>15.3.2 质量保证金的扣留</w:t>
      </w:r>
    </w:p>
    <w:p w14:paraId="392DC5C6">
      <w:pPr>
        <w:spacing w:line="360" w:lineRule="auto"/>
        <w:ind w:firstLine="420" w:firstLineChars="200"/>
        <w:rPr>
          <w:rFonts w:ascii="宋体" w:hAnsi="宋体" w:cs="宋体"/>
          <w:szCs w:val="21"/>
          <w:highlight w:val="none"/>
        </w:rPr>
      </w:pPr>
      <w:r>
        <w:rPr>
          <w:rFonts w:hint="eastAsia" w:ascii="宋体" w:hAnsi="宋体" w:cs="宋体"/>
          <w:szCs w:val="21"/>
          <w:highlight w:val="none"/>
        </w:rPr>
        <w:t>质量保证金的扣留有以下三种方式：</w:t>
      </w:r>
    </w:p>
    <w:p w14:paraId="2E5E76F7">
      <w:pPr>
        <w:spacing w:line="360" w:lineRule="auto"/>
        <w:ind w:firstLine="420" w:firstLineChars="200"/>
        <w:rPr>
          <w:rFonts w:ascii="宋体" w:hAnsi="宋体" w:cs="宋体"/>
          <w:szCs w:val="21"/>
          <w:highlight w:val="none"/>
        </w:rPr>
      </w:pPr>
      <w:r>
        <w:rPr>
          <w:rFonts w:hint="eastAsia" w:ascii="宋体" w:hAnsi="宋体" w:cs="宋体"/>
          <w:szCs w:val="21"/>
          <w:highlight w:val="none"/>
        </w:rPr>
        <w:t>（1）在支付工程进度款时逐次扣留，在此情形下，质量保证金的计算基数不包括预付款的支付、扣回以及价格调整的金额；</w:t>
      </w:r>
    </w:p>
    <w:p w14:paraId="190F606F">
      <w:pPr>
        <w:spacing w:line="360" w:lineRule="auto"/>
        <w:ind w:firstLine="420" w:firstLineChars="200"/>
        <w:rPr>
          <w:rFonts w:ascii="宋体" w:hAnsi="宋体" w:cs="宋体"/>
          <w:szCs w:val="21"/>
          <w:highlight w:val="none"/>
        </w:rPr>
      </w:pPr>
      <w:r>
        <w:rPr>
          <w:rFonts w:hint="eastAsia" w:ascii="宋体" w:hAnsi="宋体" w:cs="宋体"/>
          <w:szCs w:val="21"/>
          <w:highlight w:val="none"/>
        </w:rPr>
        <w:t>（2）工</w:t>
      </w:r>
      <w:bookmarkStart w:id="358" w:name="#go6"/>
      <w:bookmarkEnd w:id="358"/>
      <w:r>
        <w:rPr>
          <w:rFonts w:hint="eastAsia" w:ascii="宋体" w:hAnsi="宋体" w:cs="宋体"/>
          <w:szCs w:val="21"/>
          <w:highlight w:val="none"/>
        </w:rPr>
        <w:t>程竣工结算时一次性扣留质量保证金；</w:t>
      </w:r>
    </w:p>
    <w:p w14:paraId="3057CC99">
      <w:pPr>
        <w:spacing w:line="360" w:lineRule="auto"/>
        <w:ind w:firstLine="420" w:firstLineChars="200"/>
        <w:rPr>
          <w:rFonts w:ascii="宋体" w:hAnsi="宋体" w:cs="宋体"/>
          <w:szCs w:val="21"/>
          <w:highlight w:val="none"/>
        </w:rPr>
      </w:pPr>
      <w:r>
        <w:rPr>
          <w:rFonts w:hint="eastAsia" w:ascii="宋体" w:hAnsi="宋体" w:cs="宋体"/>
          <w:szCs w:val="21"/>
          <w:highlight w:val="none"/>
        </w:rPr>
        <w:t>（3）双方约定的其他扣留方式。</w:t>
      </w:r>
    </w:p>
    <w:p w14:paraId="5EEA6978">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除专用合同条款另有约定外，质量保证金的扣留原则上采用上述第（1）种方式。</w:t>
      </w:r>
    </w:p>
    <w:p w14:paraId="03DA3B34">
      <w:pPr>
        <w:spacing w:line="360" w:lineRule="auto"/>
        <w:ind w:firstLine="420" w:firstLineChars="200"/>
        <w:rPr>
          <w:rFonts w:ascii="宋体" w:hAnsi="宋体" w:cs="宋体"/>
          <w:szCs w:val="21"/>
          <w:highlight w:val="none"/>
        </w:rPr>
      </w:pPr>
      <w:r>
        <w:rPr>
          <w:rFonts w:hint="eastAsia" w:ascii="宋体" w:hAnsi="宋体" w:cs="宋体"/>
          <w:szCs w:val="21"/>
          <w:highlight w:val="none"/>
        </w:rPr>
        <w:t>发</w:t>
      </w:r>
      <w:bookmarkStart w:id="359" w:name="#go4"/>
      <w:bookmarkEnd w:id="359"/>
      <w:r>
        <w:rPr>
          <w:rFonts w:hint="eastAsia" w:ascii="宋体" w:hAnsi="宋体" w:cs="宋体"/>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0E9EBF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发包人在退还质量保证金的同时按照中国人民银行发布的同期同类贷款基准利率支付利息。</w:t>
      </w:r>
    </w:p>
    <w:p w14:paraId="467AF8AD">
      <w:pPr>
        <w:spacing w:line="360" w:lineRule="auto"/>
        <w:ind w:firstLine="420" w:firstLineChars="200"/>
        <w:rPr>
          <w:rFonts w:ascii="宋体" w:hAnsi="宋体" w:cs="宋体"/>
          <w:szCs w:val="21"/>
          <w:highlight w:val="none"/>
        </w:rPr>
      </w:pPr>
      <w:r>
        <w:rPr>
          <w:rFonts w:hint="eastAsia" w:ascii="宋体" w:hAnsi="宋体" w:cs="宋体"/>
          <w:szCs w:val="21"/>
          <w:highlight w:val="none"/>
        </w:rPr>
        <w:t>15.3.3 质量保证金的退还</w:t>
      </w:r>
    </w:p>
    <w:p w14:paraId="7FAE0C97">
      <w:pPr>
        <w:spacing w:line="360" w:lineRule="auto"/>
        <w:ind w:firstLine="420" w:firstLineChars="200"/>
        <w:rPr>
          <w:rFonts w:ascii="宋体" w:hAnsi="宋体" w:cs="宋体"/>
          <w:szCs w:val="21"/>
          <w:highlight w:val="none"/>
        </w:rPr>
      </w:pPr>
      <w:r>
        <w:rPr>
          <w:rFonts w:hint="eastAsia" w:ascii="宋体" w:hAnsi="宋体" w:cs="宋体"/>
          <w:szCs w:val="21"/>
          <w:highlight w:val="none"/>
        </w:rPr>
        <w:t>缺陷责任期内，承包人认真履行合同约定的责任，到期后，承包人可向发包人申请返还保证金。</w:t>
      </w:r>
    </w:p>
    <w:p w14:paraId="5E3EE4A3">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791705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发包人和承包人对保证金预留、返还以及工程维修质量、费用有争议的，按本合同第20条约定的争议和纠纷解决程序处理。</w:t>
      </w:r>
    </w:p>
    <w:p w14:paraId="0DAAD4E6">
      <w:pPr>
        <w:spacing w:line="360" w:lineRule="auto"/>
        <w:ind w:firstLine="420" w:firstLineChars="200"/>
        <w:rPr>
          <w:rFonts w:ascii="宋体" w:hAnsi="宋体" w:cs="宋体"/>
          <w:szCs w:val="21"/>
          <w:highlight w:val="none"/>
        </w:rPr>
      </w:pPr>
      <w:bookmarkStart w:id="360" w:name="_Toc351203602"/>
      <w:bookmarkStart w:id="361" w:name="_Toc337558819"/>
      <w:r>
        <w:rPr>
          <w:rFonts w:hint="eastAsia" w:ascii="宋体" w:hAnsi="宋体" w:cs="宋体"/>
          <w:szCs w:val="21"/>
          <w:highlight w:val="none"/>
        </w:rPr>
        <w:t>15.4 保修</w:t>
      </w:r>
      <w:bookmarkEnd w:id="360"/>
    </w:p>
    <w:bookmarkEnd w:id="356"/>
    <w:bookmarkEnd w:id="357"/>
    <w:bookmarkEnd w:id="361"/>
    <w:p w14:paraId="11F7C77E">
      <w:pPr>
        <w:spacing w:line="360" w:lineRule="auto"/>
        <w:ind w:firstLine="420" w:firstLineChars="200"/>
        <w:rPr>
          <w:rFonts w:ascii="宋体" w:hAnsi="宋体" w:cs="宋体"/>
          <w:szCs w:val="21"/>
          <w:highlight w:val="none"/>
        </w:rPr>
      </w:pPr>
      <w:r>
        <w:rPr>
          <w:rFonts w:hint="eastAsia" w:ascii="宋体" w:hAnsi="宋体" w:cs="宋体"/>
          <w:szCs w:val="21"/>
          <w:highlight w:val="none"/>
        </w:rPr>
        <w:t>15.4.1保修责任</w:t>
      </w:r>
    </w:p>
    <w:p w14:paraId="794D8BA9">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6B7C011">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发包人未经竣工验收擅自使用工程的，保修期自转移占有之日起算。</w:t>
      </w:r>
    </w:p>
    <w:p w14:paraId="5DED17E6">
      <w:pPr>
        <w:spacing w:line="360" w:lineRule="auto"/>
        <w:ind w:firstLine="420" w:firstLineChars="200"/>
        <w:rPr>
          <w:rFonts w:ascii="宋体" w:hAnsi="宋体" w:cs="宋体"/>
          <w:szCs w:val="21"/>
          <w:highlight w:val="none"/>
        </w:rPr>
      </w:pPr>
      <w:r>
        <w:rPr>
          <w:rFonts w:hint="eastAsia" w:ascii="宋体" w:hAnsi="宋体" w:cs="宋体"/>
          <w:szCs w:val="21"/>
          <w:highlight w:val="none"/>
        </w:rPr>
        <w:t>15.4.2 修复费用</w:t>
      </w:r>
    </w:p>
    <w:p w14:paraId="4906F2E9">
      <w:pPr>
        <w:spacing w:line="360" w:lineRule="auto"/>
        <w:ind w:firstLine="420" w:firstLineChars="200"/>
        <w:rPr>
          <w:rFonts w:ascii="宋体" w:hAnsi="宋体" w:cs="宋体"/>
          <w:szCs w:val="21"/>
          <w:highlight w:val="none"/>
        </w:rPr>
      </w:pPr>
      <w:r>
        <w:rPr>
          <w:rFonts w:hint="eastAsia" w:ascii="宋体" w:hAnsi="宋体" w:cs="宋体"/>
          <w:szCs w:val="21"/>
          <w:highlight w:val="none"/>
        </w:rPr>
        <w:t>保修期内，修复的费用按照以下约定处理：</w:t>
      </w:r>
    </w:p>
    <w:p w14:paraId="2723B993">
      <w:pPr>
        <w:spacing w:line="360" w:lineRule="auto"/>
        <w:ind w:firstLine="420" w:firstLineChars="200"/>
        <w:rPr>
          <w:rFonts w:ascii="宋体" w:hAnsi="宋体" w:cs="宋体"/>
          <w:szCs w:val="21"/>
          <w:highlight w:val="none"/>
        </w:rPr>
      </w:pPr>
      <w:r>
        <w:rPr>
          <w:rFonts w:hint="eastAsia" w:ascii="宋体" w:hAnsi="宋体" w:cs="宋体"/>
          <w:szCs w:val="21"/>
          <w:highlight w:val="none"/>
        </w:rPr>
        <w:t>（1）保修期内，因承包人原因造成工程的缺陷、损坏，承包人应负责修复，并承担修复的费用以及因工程的缺陷、损坏造成的人身伤害和财产损失；</w:t>
      </w:r>
    </w:p>
    <w:p w14:paraId="0FFBD5C5">
      <w:pPr>
        <w:spacing w:line="360" w:lineRule="auto"/>
        <w:ind w:firstLine="420" w:firstLineChars="200"/>
        <w:rPr>
          <w:rFonts w:ascii="宋体" w:hAnsi="宋体" w:cs="宋体"/>
          <w:szCs w:val="21"/>
          <w:highlight w:val="none"/>
        </w:rPr>
      </w:pPr>
      <w:r>
        <w:rPr>
          <w:rFonts w:hint="eastAsia" w:ascii="宋体" w:hAnsi="宋体" w:cs="宋体"/>
          <w:szCs w:val="21"/>
          <w:highlight w:val="none"/>
        </w:rPr>
        <w:t>（2）保修期内，因发包人使用不当造成工程的缺陷、损坏，可以委托承包人修复，但发包人应承担修复的费用，并支付承包人合理利润；</w:t>
      </w:r>
    </w:p>
    <w:p w14:paraId="37FB2BAF">
      <w:pPr>
        <w:spacing w:line="360" w:lineRule="auto"/>
        <w:ind w:firstLine="420" w:firstLineChars="200"/>
        <w:rPr>
          <w:rFonts w:ascii="宋体" w:hAnsi="宋体" w:cs="宋体"/>
          <w:szCs w:val="21"/>
          <w:highlight w:val="none"/>
        </w:rPr>
      </w:pPr>
      <w:r>
        <w:rPr>
          <w:rFonts w:hint="eastAsia" w:ascii="宋体" w:hAnsi="宋体" w:cs="宋体"/>
          <w:szCs w:val="21"/>
          <w:highlight w:val="none"/>
        </w:rPr>
        <w:t>（3）因其他原因造成工程的缺陷、损坏，可以委托承包人修复，发包人应承担修复的费用，并支付承包人合理的利润，因工程的缺陷、损坏造成的人身伤害和财产损失由责任方承担。</w:t>
      </w:r>
    </w:p>
    <w:p w14:paraId="6E002D37">
      <w:pPr>
        <w:spacing w:line="360" w:lineRule="auto"/>
        <w:ind w:firstLine="420" w:firstLineChars="200"/>
        <w:rPr>
          <w:rFonts w:ascii="宋体" w:hAnsi="宋体" w:cs="宋体"/>
          <w:szCs w:val="21"/>
          <w:highlight w:val="none"/>
        </w:rPr>
      </w:pPr>
      <w:r>
        <w:rPr>
          <w:rFonts w:hint="eastAsia" w:ascii="宋体" w:hAnsi="宋体" w:cs="宋体"/>
          <w:szCs w:val="21"/>
          <w:highlight w:val="none"/>
        </w:rPr>
        <w:t>15.4.3 修复通知</w:t>
      </w:r>
    </w:p>
    <w:p w14:paraId="4ECFB65F">
      <w:pPr>
        <w:spacing w:line="360" w:lineRule="auto"/>
        <w:ind w:firstLine="420" w:firstLineChars="200"/>
        <w:rPr>
          <w:rFonts w:ascii="宋体" w:hAnsi="宋体" w:cs="宋体"/>
          <w:szCs w:val="21"/>
          <w:highlight w:val="none"/>
        </w:rPr>
      </w:pPr>
      <w:r>
        <w:rPr>
          <w:rFonts w:hint="eastAsia" w:ascii="宋体" w:hAnsi="宋体" w:cs="宋体"/>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5C40C9D">
      <w:pPr>
        <w:spacing w:line="360" w:lineRule="auto"/>
        <w:ind w:firstLine="420" w:firstLineChars="200"/>
        <w:rPr>
          <w:rFonts w:ascii="宋体" w:hAnsi="宋体" w:cs="宋体"/>
          <w:szCs w:val="21"/>
          <w:highlight w:val="none"/>
        </w:rPr>
      </w:pPr>
      <w:r>
        <w:rPr>
          <w:rFonts w:hint="eastAsia" w:ascii="宋体" w:hAnsi="宋体" w:cs="宋体"/>
          <w:szCs w:val="21"/>
          <w:highlight w:val="none"/>
        </w:rPr>
        <w:t>15.4.4 未能修复</w:t>
      </w:r>
    </w:p>
    <w:p w14:paraId="26221D1D">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9BDCC0">
      <w:pPr>
        <w:spacing w:line="360" w:lineRule="auto"/>
        <w:ind w:firstLine="420" w:firstLineChars="200"/>
        <w:rPr>
          <w:rFonts w:ascii="宋体" w:hAnsi="宋体" w:cs="宋体"/>
          <w:szCs w:val="21"/>
          <w:highlight w:val="none"/>
        </w:rPr>
      </w:pPr>
      <w:r>
        <w:rPr>
          <w:rFonts w:hint="eastAsia" w:ascii="宋体" w:hAnsi="宋体" w:cs="宋体"/>
          <w:szCs w:val="21"/>
          <w:highlight w:val="none"/>
        </w:rPr>
        <w:t>15.4.5 承包人出入权</w:t>
      </w:r>
    </w:p>
    <w:p w14:paraId="77682A3B">
      <w:pPr>
        <w:spacing w:line="360" w:lineRule="auto"/>
        <w:ind w:firstLine="420" w:firstLineChars="200"/>
        <w:rPr>
          <w:rFonts w:ascii="宋体" w:hAnsi="宋体" w:cs="宋体"/>
          <w:szCs w:val="21"/>
          <w:highlight w:val="none"/>
        </w:rPr>
      </w:pPr>
      <w:r>
        <w:rPr>
          <w:rFonts w:hint="eastAsia" w:ascii="宋体" w:hAnsi="宋体" w:cs="宋体"/>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7678B08">
      <w:pPr>
        <w:spacing w:line="360" w:lineRule="auto"/>
        <w:ind w:firstLine="420" w:firstLineChars="200"/>
        <w:rPr>
          <w:rFonts w:ascii="宋体" w:hAnsi="宋体" w:cs="宋体"/>
          <w:szCs w:val="21"/>
          <w:highlight w:val="none"/>
        </w:rPr>
      </w:pPr>
      <w:bookmarkStart w:id="362" w:name="_Toc351203603"/>
      <w:bookmarkStart w:id="363" w:name="_Toc337558820"/>
      <w:r>
        <w:rPr>
          <w:rFonts w:hint="eastAsia" w:ascii="宋体" w:hAnsi="宋体" w:cs="宋体"/>
          <w:szCs w:val="21"/>
          <w:highlight w:val="none"/>
        </w:rPr>
        <w:t>16. 违约</w:t>
      </w:r>
      <w:bookmarkEnd w:id="362"/>
    </w:p>
    <w:bookmarkEnd w:id="363"/>
    <w:p w14:paraId="7162C9EA">
      <w:pPr>
        <w:spacing w:line="360" w:lineRule="auto"/>
        <w:ind w:firstLine="420" w:firstLineChars="200"/>
        <w:rPr>
          <w:rFonts w:ascii="宋体" w:hAnsi="宋体" w:cs="宋体"/>
          <w:szCs w:val="21"/>
          <w:highlight w:val="none"/>
        </w:rPr>
      </w:pPr>
      <w:bookmarkStart w:id="364" w:name="_Toc296346630"/>
      <w:bookmarkStart w:id="365" w:name="_Toc296503129"/>
      <w:bookmarkStart w:id="366" w:name="_Toc351203604"/>
      <w:bookmarkStart w:id="367" w:name="_Toc337558821"/>
      <w:r>
        <w:rPr>
          <w:rFonts w:hint="eastAsia" w:ascii="宋体" w:hAnsi="宋体" w:cs="宋体"/>
          <w:szCs w:val="21"/>
          <w:highlight w:val="none"/>
        </w:rPr>
        <w:t>16.1 发</w:t>
      </w:r>
      <w:bookmarkEnd w:id="364"/>
      <w:bookmarkEnd w:id="365"/>
      <w:r>
        <w:rPr>
          <w:rFonts w:hint="eastAsia" w:ascii="宋体" w:hAnsi="宋体" w:cs="宋体"/>
          <w:szCs w:val="21"/>
          <w:highlight w:val="none"/>
        </w:rPr>
        <w:t>包人违约</w:t>
      </w:r>
      <w:bookmarkEnd w:id="366"/>
    </w:p>
    <w:bookmarkEnd w:id="367"/>
    <w:p w14:paraId="659581F5">
      <w:pPr>
        <w:spacing w:line="360" w:lineRule="auto"/>
        <w:ind w:firstLine="420" w:firstLineChars="200"/>
        <w:rPr>
          <w:rFonts w:ascii="宋体" w:hAnsi="宋体" w:cs="宋体"/>
          <w:szCs w:val="21"/>
          <w:highlight w:val="none"/>
        </w:rPr>
      </w:pPr>
      <w:r>
        <w:rPr>
          <w:rFonts w:hint="eastAsia" w:ascii="宋体" w:hAnsi="宋体" w:cs="宋体"/>
          <w:szCs w:val="21"/>
          <w:highlight w:val="none"/>
        </w:rPr>
        <w:t>16.1.1 发包人违约的情形</w:t>
      </w:r>
    </w:p>
    <w:p w14:paraId="4267935D">
      <w:pPr>
        <w:spacing w:line="360" w:lineRule="auto"/>
        <w:ind w:firstLine="420" w:firstLineChars="200"/>
        <w:rPr>
          <w:rFonts w:ascii="宋体" w:hAnsi="宋体" w:cs="宋体"/>
          <w:szCs w:val="21"/>
          <w:highlight w:val="none"/>
        </w:rPr>
      </w:pPr>
      <w:r>
        <w:rPr>
          <w:rFonts w:hint="eastAsia" w:ascii="宋体" w:hAnsi="宋体" w:cs="宋体"/>
          <w:szCs w:val="21"/>
          <w:highlight w:val="none"/>
        </w:rPr>
        <w:t>在合同履行过程中发生的下列情形，属于发包人违约：</w:t>
      </w:r>
    </w:p>
    <w:p w14:paraId="0182076E">
      <w:pPr>
        <w:spacing w:line="360" w:lineRule="auto"/>
        <w:ind w:firstLine="420" w:firstLineChars="200"/>
        <w:rPr>
          <w:rFonts w:ascii="宋体" w:hAnsi="宋体" w:cs="宋体"/>
          <w:szCs w:val="21"/>
          <w:highlight w:val="none"/>
        </w:rPr>
      </w:pPr>
      <w:r>
        <w:rPr>
          <w:rFonts w:hint="eastAsia" w:ascii="宋体" w:hAnsi="宋体" w:cs="宋体"/>
          <w:szCs w:val="21"/>
          <w:highlight w:val="none"/>
        </w:rPr>
        <w:t>（1）因发包人原因未能在计划开工日期前7天内下达开工通知的；</w:t>
      </w:r>
    </w:p>
    <w:p w14:paraId="44C5CAEA">
      <w:pPr>
        <w:spacing w:line="360" w:lineRule="auto"/>
        <w:ind w:firstLine="420" w:firstLineChars="200"/>
        <w:rPr>
          <w:rFonts w:ascii="宋体" w:hAnsi="宋体" w:cs="宋体"/>
          <w:szCs w:val="21"/>
          <w:highlight w:val="none"/>
        </w:rPr>
      </w:pPr>
      <w:r>
        <w:rPr>
          <w:rFonts w:hint="eastAsia" w:ascii="宋体" w:hAnsi="宋体" w:cs="宋体"/>
          <w:szCs w:val="21"/>
          <w:highlight w:val="none"/>
        </w:rPr>
        <w:t>（2）因发包人原因未能按合同约定支付合同价款的；</w:t>
      </w:r>
    </w:p>
    <w:p w14:paraId="5E5C699F">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（3）发包人违反第10.1款〔变更的范围〕第（2）项约定，自行实施被取消的工作或转由他人实施的；</w:t>
      </w:r>
    </w:p>
    <w:p w14:paraId="1D09D79D">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（4）发包人提供的材料、工程设备的规格、数量或质量不符合合同约定，或因发包人原因导致交货日期延误或交货地点变更等情况的；</w:t>
      </w:r>
    </w:p>
    <w:p w14:paraId="0B1F2062">
      <w:pPr>
        <w:spacing w:line="360" w:lineRule="auto"/>
        <w:ind w:firstLine="420" w:firstLineChars="200"/>
        <w:rPr>
          <w:rFonts w:ascii="宋体" w:hAnsi="宋体" w:cs="宋体"/>
          <w:szCs w:val="21"/>
          <w:highlight w:val="none"/>
        </w:rPr>
      </w:pPr>
      <w:r>
        <w:rPr>
          <w:rFonts w:hint="eastAsia" w:ascii="宋体" w:hAnsi="宋体" w:cs="宋体"/>
          <w:szCs w:val="21"/>
          <w:highlight w:val="none"/>
        </w:rPr>
        <w:t>（5）因发包人违反合同约定造成暂停施工的；</w:t>
      </w:r>
    </w:p>
    <w:p w14:paraId="7C3457C0">
      <w:pPr>
        <w:spacing w:line="360" w:lineRule="auto"/>
        <w:ind w:firstLine="420" w:firstLineChars="200"/>
        <w:rPr>
          <w:rFonts w:ascii="宋体" w:hAnsi="宋体" w:cs="宋体"/>
          <w:szCs w:val="21"/>
          <w:highlight w:val="none"/>
        </w:rPr>
      </w:pPr>
      <w:r>
        <w:rPr>
          <w:rFonts w:hint="eastAsia" w:ascii="宋体" w:hAnsi="宋体" w:cs="宋体"/>
          <w:szCs w:val="21"/>
          <w:highlight w:val="none"/>
        </w:rPr>
        <w:t>（6）发包人无正当理由没有在约定期限内发出复工指示，导致承包人无法复工的；</w:t>
      </w:r>
    </w:p>
    <w:p w14:paraId="25FA9631">
      <w:pPr>
        <w:spacing w:line="360" w:lineRule="auto"/>
        <w:ind w:firstLine="420" w:firstLineChars="200"/>
        <w:rPr>
          <w:rFonts w:ascii="宋体" w:hAnsi="宋体" w:cs="宋体"/>
          <w:szCs w:val="21"/>
          <w:highlight w:val="none"/>
        </w:rPr>
      </w:pPr>
      <w:r>
        <w:rPr>
          <w:rFonts w:hint="eastAsia" w:ascii="宋体" w:hAnsi="宋体" w:cs="宋体"/>
          <w:szCs w:val="21"/>
          <w:highlight w:val="none"/>
        </w:rPr>
        <w:t>（7）发包人明确表示或者以其行为表明不履行合同主要义务的；</w:t>
      </w:r>
    </w:p>
    <w:p w14:paraId="5CBD4A07">
      <w:pPr>
        <w:spacing w:line="360" w:lineRule="auto"/>
        <w:ind w:firstLine="420" w:firstLineChars="200"/>
        <w:rPr>
          <w:rFonts w:ascii="宋体" w:hAnsi="宋体" w:cs="宋体"/>
          <w:szCs w:val="21"/>
          <w:highlight w:val="none"/>
        </w:rPr>
      </w:pPr>
      <w:r>
        <w:rPr>
          <w:rFonts w:hint="eastAsia" w:ascii="宋体" w:hAnsi="宋体" w:cs="宋体"/>
          <w:szCs w:val="21"/>
          <w:highlight w:val="none"/>
        </w:rPr>
        <w:t>（8）发包人未能按照合同约定履行其他义务的。</w:t>
      </w:r>
    </w:p>
    <w:p w14:paraId="3FCD3F10">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5BE9E88">
      <w:pPr>
        <w:spacing w:line="360" w:lineRule="auto"/>
        <w:ind w:firstLine="420" w:firstLineChars="200"/>
        <w:rPr>
          <w:rFonts w:ascii="宋体" w:hAnsi="宋体" w:cs="宋体"/>
          <w:szCs w:val="21"/>
          <w:highlight w:val="none"/>
        </w:rPr>
      </w:pPr>
      <w:r>
        <w:rPr>
          <w:rFonts w:hint="eastAsia" w:ascii="宋体" w:hAnsi="宋体" w:cs="宋体"/>
          <w:szCs w:val="21"/>
          <w:highlight w:val="none"/>
        </w:rPr>
        <w:t>16.1.2 发包人违约的责任</w:t>
      </w:r>
    </w:p>
    <w:p w14:paraId="445BA8E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9F24568">
      <w:pPr>
        <w:spacing w:line="360" w:lineRule="auto"/>
        <w:ind w:firstLine="420" w:firstLineChars="200"/>
        <w:rPr>
          <w:rFonts w:ascii="宋体" w:hAnsi="宋体" w:cs="宋体"/>
          <w:szCs w:val="21"/>
          <w:highlight w:val="none"/>
        </w:rPr>
      </w:pPr>
      <w:r>
        <w:rPr>
          <w:rFonts w:hint="eastAsia" w:ascii="宋体" w:hAnsi="宋体" w:cs="宋体"/>
          <w:szCs w:val="21"/>
          <w:highlight w:val="none"/>
        </w:rPr>
        <w:t>16.1.3 因发包人违约解除合同</w:t>
      </w:r>
    </w:p>
    <w:p w14:paraId="4A44CA89">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1C2E038">
      <w:pPr>
        <w:spacing w:line="360" w:lineRule="auto"/>
        <w:ind w:firstLine="420" w:firstLineChars="200"/>
        <w:rPr>
          <w:rFonts w:ascii="宋体" w:hAnsi="宋体" w:cs="宋体"/>
          <w:szCs w:val="21"/>
          <w:highlight w:val="none"/>
        </w:rPr>
      </w:pPr>
      <w:r>
        <w:rPr>
          <w:rFonts w:hint="eastAsia" w:ascii="宋体" w:hAnsi="宋体" w:cs="宋体"/>
          <w:szCs w:val="21"/>
          <w:highlight w:val="none"/>
        </w:rPr>
        <w:t>16.1.4 因发包人违约解除合同后的付款</w:t>
      </w:r>
    </w:p>
    <w:p w14:paraId="5A61D846">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承包人按照本款约定解除合同的，发包人应在解除合同后28天内支付下列款项，并解除履约担保：</w:t>
      </w:r>
    </w:p>
    <w:p w14:paraId="71BFA0EF">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（1）合同解除前所完成工作的价款；</w:t>
      </w:r>
    </w:p>
    <w:p w14:paraId="59B961C3">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（2）承包人为工程施工订购并已付款的材料、工程设备和其他物品的价款；</w:t>
      </w:r>
    </w:p>
    <w:p w14:paraId="0B8F4C36">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（3）承包人撤离施工现场以及遣散承包人人员的款项；</w:t>
      </w:r>
    </w:p>
    <w:p w14:paraId="5224069C">
      <w:pPr>
        <w:spacing w:line="360" w:lineRule="auto"/>
        <w:ind w:firstLine="420" w:firstLineChars="200"/>
        <w:rPr>
          <w:rFonts w:ascii="宋体" w:hAnsi="宋体" w:cs="宋体"/>
          <w:szCs w:val="21"/>
          <w:highlight w:val="none"/>
        </w:rPr>
      </w:pPr>
      <w:r>
        <w:rPr>
          <w:rFonts w:hint="eastAsia" w:ascii="宋体" w:hAnsi="宋体" w:cs="宋体"/>
          <w:szCs w:val="21"/>
          <w:highlight w:val="none"/>
        </w:rPr>
        <w:t>（4）按照合同约定在合同解除前应支付的违约金；</w:t>
      </w:r>
    </w:p>
    <w:p w14:paraId="5D5B409E">
      <w:pPr>
        <w:spacing w:line="360" w:lineRule="auto"/>
        <w:ind w:firstLine="420" w:firstLineChars="200"/>
        <w:rPr>
          <w:rFonts w:ascii="宋体" w:hAnsi="宋体" w:cs="宋体"/>
          <w:szCs w:val="21"/>
          <w:highlight w:val="none"/>
        </w:rPr>
      </w:pPr>
      <w:r>
        <w:rPr>
          <w:rFonts w:hint="eastAsia" w:ascii="宋体" w:hAnsi="宋体" w:cs="宋体"/>
          <w:szCs w:val="21"/>
          <w:highlight w:val="none"/>
        </w:rPr>
        <w:t>（5）按照合同约定应当支付给承包人的其他款项；</w:t>
      </w:r>
    </w:p>
    <w:p w14:paraId="79964DF9">
      <w:pPr>
        <w:spacing w:line="360" w:lineRule="auto"/>
        <w:ind w:firstLine="420" w:firstLineChars="200"/>
        <w:rPr>
          <w:rFonts w:ascii="宋体" w:hAnsi="宋体" w:cs="宋体"/>
          <w:szCs w:val="21"/>
          <w:highlight w:val="none"/>
        </w:rPr>
      </w:pPr>
      <w:r>
        <w:rPr>
          <w:rFonts w:hint="eastAsia" w:ascii="宋体" w:hAnsi="宋体" w:cs="宋体"/>
          <w:szCs w:val="21"/>
          <w:highlight w:val="none"/>
        </w:rPr>
        <w:t>（6）按照合同约定应退还的质量保证金；</w:t>
      </w:r>
    </w:p>
    <w:p w14:paraId="097783FB">
      <w:pPr>
        <w:spacing w:line="360" w:lineRule="auto"/>
        <w:ind w:firstLine="420" w:firstLineChars="200"/>
        <w:rPr>
          <w:rFonts w:ascii="宋体" w:hAnsi="宋体" w:cs="宋体"/>
          <w:szCs w:val="21"/>
          <w:highlight w:val="none"/>
        </w:rPr>
      </w:pPr>
      <w:r>
        <w:rPr>
          <w:rFonts w:hint="eastAsia" w:ascii="宋体" w:hAnsi="宋体" w:cs="宋体"/>
          <w:szCs w:val="21"/>
          <w:highlight w:val="none"/>
        </w:rPr>
        <w:t>（7）因解除合同给承包人造成的损失。</w:t>
      </w:r>
    </w:p>
    <w:p w14:paraId="78032DB6">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合同当事人未能就解除合同后的结清达成一致的，按照第20条〔争议解决〕的约定处理。</w:t>
      </w:r>
    </w:p>
    <w:p w14:paraId="52EFB4A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承包人应妥善做好已完工程和与工程有关的已购材料、工程设备的保护和移交工作，并将施工设备和人员撤出施工现场，发包人应为承包人撤出提供必要条件。</w:t>
      </w:r>
    </w:p>
    <w:p w14:paraId="1A79638E">
      <w:pPr>
        <w:spacing w:line="360" w:lineRule="auto"/>
        <w:ind w:firstLine="420" w:firstLineChars="200"/>
        <w:rPr>
          <w:rFonts w:ascii="宋体" w:hAnsi="宋体" w:cs="宋体"/>
          <w:szCs w:val="21"/>
          <w:highlight w:val="none"/>
        </w:rPr>
      </w:pPr>
      <w:bookmarkStart w:id="368" w:name="_Toc351203605"/>
      <w:bookmarkStart w:id="369" w:name="_Toc296346632"/>
      <w:bookmarkStart w:id="370" w:name="_Toc296503131"/>
      <w:bookmarkStart w:id="371" w:name="_Toc337558822"/>
      <w:r>
        <w:rPr>
          <w:rFonts w:hint="eastAsia" w:ascii="宋体" w:hAnsi="宋体" w:cs="宋体"/>
          <w:szCs w:val="21"/>
          <w:highlight w:val="none"/>
        </w:rPr>
        <w:t>16.2 承包人违约</w:t>
      </w:r>
      <w:bookmarkEnd w:id="368"/>
    </w:p>
    <w:bookmarkEnd w:id="369"/>
    <w:bookmarkEnd w:id="370"/>
    <w:bookmarkEnd w:id="371"/>
    <w:p w14:paraId="44CED7A4">
      <w:pPr>
        <w:spacing w:line="360" w:lineRule="auto"/>
        <w:ind w:firstLine="420" w:firstLineChars="200"/>
        <w:rPr>
          <w:rFonts w:ascii="宋体" w:hAnsi="宋体" w:cs="宋体"/>
          <w:szCs w:val="21"/>
          <w:highlight w:val="none"/>
        </w:rPr>
      </w:pPr>
      <w:r>
        <w:rPr>
          <w:rFonts w:hint="eastAsia" w:ascii="宋体" w:hAnsi="宋体" w:cs="宋体"/>
          <w:szCs w:val="21"/>
          <w:highlight w:val="none"/>
        </w:rPr>
        <w:t>16.2.1 承包人违约的情形</w:t>
      </w:r>
    </w:p>
    <w:p w14:paraId="21609ABA">
      <w:pPr>
        <w:spacing w:line="360" w:lineRule="auto"/>
        <w:ind w:firstLine="420" w:firstLineChars="200"/>
        <w:rPr>
          <w:rFonts w:ascii="宋体" w:hAnsi="宋体" w:cs="宋体"/>
          <w:szCs w:val="21"/>
          <w:highlight w:val="none"/>
        </w:rPr>
      </w:pPr>
      <w:r>
        <w:rPr>
          <w:rFonts w:hint="eastAsia" w:ascii="宋体" w:hAnsi="宋体" w:cs="宋体"/>
          <w:szCs w:val="21"/>
          <w:highlight w:val="none"/>
        </w:rPr>
        <w:t>在合同履行过程中发生的下列情形，属于承包人违约：</w:t>
      </w:r>
    </w:p>
    <w:p w14:paraId="6C7E7341">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（1）承包人违反合同约定进行转包或违法分包的；</w:t>
      </w:r>
    </w:p>
    <w:p w14:paraId="2328C5B5">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（2）承包人违反合同约定采购和使用不合格的材料和工程设备的；</w:t>
      </w:r>
    </w:p>
    <w:p w14:paraId="016FFF0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（3）因承包人原因导致工程质量不符合合同要求的； </w:t>
      </w:r>
    </w:p>
    <w:p w14:paraId="02CF5C03">
      <w:pPr>
        <w:spacing w:line="360" w:lineRule="auto"/>
        <w:ind w:firstLine="420" w:firstLineChars="200"/>
        <w:rPr>
          <w:rFonts w:ascii="宋体" w:hAnsi="宋体" w:cs="宋体"/>
          <w:szCs w:val="21"/>
          <w:highlight w:val="none"/>
        </w:rPr>
      </w:pPr>
      <w:r>
        <w:rPr>
          <w:rFonts w:hint="eastAsia" w:ascii="宋体" w:hAnsi="宋体" w:cs="宋体"/>
          <w:szCs w:val="21"/>
          <w:highlight w:val="none"/>
        </w:rPr>
        <w:t>（4）承包人违反第8.9款〔材料与设备专用要求〕的约定，未经批准，私自将已按照合同约定进入施工现场的材料或设备撤离施工现场的；</w:t>
      </w:r>
    </w:p>
    <w:p w14:paraId="17B8CB1A">
      <w:pPr>
        <w:spacing w:line="360" w:lineRule="auto"/>
        <w:ind w:firstLine="420" w:firstLineChars="200"/>
        <w:rPr>
          <w:rFonts w:ascii="宋体" w:hAnsi="宋体" w:cs="宋体"/>
          <w:szCs w:val="21"/>
          <w:highlight w:val="none"/>
        </w:rPr>
      </w:pPr>
      <w:r>
        <w:rPr>
          <w:rFonts w:hint="eastAsia" w:ascii="宋体" w:hAnsi="宋体" w:cs="宋体"/>
          <w:szCs w:val="21"/>
          <w:highlight w:val="none"/>
        </w:rPr>
        <w:t>（5）承包人未能按施工进度计划及时完成合同约定的工作，造成工期延误的；</w:t>
      </w:r>
    </w:p>
    <w:p w14:paraId="5CF09563">
      <w:pPr>
        <w:spacing w:line="360" w:lineRule="auto"/>
        <w:ind w:firstLine="420" w:firstLineChars="200"/>
        <w:rPr>
          <w:rFonts w:ascii="宋体" w:hAnsi="宋体" w:cs="宋体"/>
          <w:szCs w:val="21"/>
          <w:highlight w:val="none"/>
        </w:rPr>
      </w:pPr>
      <w:r>
        <w:rPr>
          <w:rFonts w:hint="eastAsia" w:ascii="宋体" w:hAnsi="宋体" w:cs="宋体"/>
          <w:szCs w:val="21"/>
          <w:highlight w:val="none"/>
        </w:rPr>
        <w:t>（6）承包人在缺陷责任期及保修期内，未能在合理期限对工程缺陷进行修复，或拒绝按发包人要求进行修复的；</w:t>
      </w:r>
    </w:p>
    <w:p w14:paraId="517664AA">
      <w:pPr>
        <w:spacing w:line="360" w:lineRule="auto"/>
        <w:ind w:firstLine="420" w:firstLineChars="200"/>
        <w:rPr>
          <w:rFonts w:ascii="宋体" w:hAnsi="宋体" w:cs="宋体"/>
          <w:szCs w:val="21"/>
          <w:highlight w:val="none"/>
        </w:rPr>
      </w:pPr>
      <w:r>
        <w:rPr>
          <w:rFonts w:hint="eastAsia" w:ascii="宋体" w:hAnsi="宋体" w:cs="宋体"/>
          <w:szCs w:val="21"/>
          <w:highlight w:val="none"/>
        </w:rPr>
        <w:t>（7）承包人明确表示或者以其行为表明不履行合同主要义务的；</w:t>
      </w:r>
    </w:p>
    <w:p w14:paraId="4010C872">
      <w:pPr>
        <w:spacing w:line="360" w:lineRule="auto"/>
        <w:ind w:firstLine="420" w:firstLineChars="200"/>
        <w:rPr>
          <w:rFonts w:ascii="宋体" w:hAnsi="宋体" w:cs="宋体"/>
          <w:szCs w:val="21"/>
          <w:highlight w:val="none"/>
        </w:rPr>
      </w:pPr>
      <w:r>
        <w:rPr>
          <w:rFonts w:hint="eastAsia" w:ascii="宋体" w:hAnsi="宋体" w:cs="宋体"/>
          <w:szCs w:val="21"/>
          <w:highlight w:val="none"/>
        </w:rPr>
        <w:t>（8）承包人未能按照合同约定履行其他义务的。</w:t>
      </w:r>
    </w:p>
    <w:p w14:paraId="239DD71E">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承包人发生除本项第（7）目约定以外的其他违约情况时，监理人可向承包人发出整改通知，要求其在指定的期限内改正。</w:t>
      </w:r>
    </w:p>
    <w:p w14:paraId="45B9F3B4">
      <w:pPr>
        <w:spacing w:line="360" w:lineRule="auto"/>
        <w:ind w:firstLine="420" w:firstLineChars="200"/>
        <w:rPr>
          <w:rFonts w:ascii="宋体" w:hAnsi="宋体" w:cs="宋体"/>
          <w:szCs w:val="21"/>
          <w:highlight w:val="none"/>
        </w:rPr>
      </w:pPr>
      <w:r>
        <w:rPr>
          <w:rFonts w:hint="eastAsia" w:ascii="宋体" w:hAnsi="宋体" w:cs="宋体"/>
          <w:szCs w:val="21"/>
          <w:highlight w:val="none"/>
        </w:rPr>
        <w:t>16.2.2 承包人违约的责任</w:t>
      </w:r>
    </w:p>
    <w:p w14:paraId="767AF7E7">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承包人应承担因其违约行为而增加的费用和（或）延误的工期。此外，合同当事人可在专用合同条款中另行约定承包人违约责任的承担方式和计算方法。</w:t>
      </w:r>
    </w:p>
    <w:p w14:paraId="5B1BA47A">
      <w:pPr>
        <w:spacing w:line="360" w:lineRule="auto"/>
        <w:ind w:firstLine="420" w:firstLineChars="200"/>
        <w:rPr>
          <w:rFonts w:ascii="宋体" w:hAnsi="宋体" w:cs="宋体"/>
          <w:szCs w:val="21"/>
          <w:highlight w:val="none"/>
        </w:rPr>
      </w:pPr>
      <w:r>
        <w:rPr>
          <w:rFonts w:hint="eastAsia" w:ascii="宋体" w:hAnsi="宋体" w:cs="宋体"/>
          <w:szCs w:val="21"/>
          <w:highlight w:val="none"/>
        </w:rPr>
        <w:t>16.2.3 因承包人违约解除合同</w:t>
      </w:r>
    </w:p>
    <w:p w14:paraId="08B96E1E">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41513C4">
      <w:pPr>
        <w:spacing w:line="360" w:lineRule="auto"/>
        <w:ind w:firstLine="420" w:firstLineChars="200"/>
        <w:rPr>
          <w:rFonts w:ascii="宋体" w:hAnsi="宋体" w:cs="宋体"/>
          <w:szCs w:val="21"/>
          <w:highlight w:val="none"/>
        </w:rPr>
      </w:pPr>
      <w:r>
        <w:rPr>
          <w:rFonts w:hint="eastAsia" w:ascii="宋体" w:hAnsi="宋体" w:cs="宋体"/>
          <w:szCs w:val="21"/>
          <w:highlight w:val="none"/>
        </w:rPr>
        <w:t>16.2.4因承包人违约解除合同后的处理</w:t>
      </w:r>
    </w:p>
    <w:p w14:paraId="47BDE493">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因承包人原因导致合同解除的，则合同当事人应在合同解除后28天内完成估价、付款和清算，并按以下约定执行：</w:t>
      </w:r>
    </w:p>
    <w:p w14:paraId="6925613F">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（1）合同解除后，按第4.4款〔商定或确定〕商定或确定承包人实际完成工作对应的合同价款，以及承包人已提供的材料、工程设备、施工设备和临时工程等的价值；</w:t>
      </w:r>
    </w:p>
    <w:p w14:paraId="38FC0739">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（2）合同解除后，承包人应支付的违约金；</w:t>
      </w:r>
    </w:p>
    <w:p w14:paraId="53857412">
      <w:pPr>
        <w:spacing w:line="360" w:lineRule="auto"/>
        <w:ind w:firstLine="420" w:firstLineChars="200"/>
        <w:rPr>
          <w:rFonts w:ascii="宋体" w:hAnsi="宋体" w:cs="宋体"/>
          <w:szCs w:val="21"/>
          <w:highlight w:val="none"/>
        </w:rPr>
      </w:pPr>
      <w:r>
        <w:rPr>
          <w:rFonts w:hint="eastAsia" w:ascii="宋体" w:hAnsi="宋体" w:cs="宋体"/>
          <w:szCs w:val="21"/>
          <w:highlight w:val="none"/>
        </w:rPr>
        <w:t>（3）合同解除后，因解除合同给发包人造成的损失；</w:t>
      </w:r>
    </w:p>
    <w:p w14:paraId="2CCDB426">
      <w:pPr>
        <w:spacing w:line="360" w:lineRule="auto"/>
        <w:ind w:firstLine="420" w:firstLineChars="200"/>
        <w:rPr>
          <w:rFonts w:ascii="宋体" w:hAnsi="宋体" w:cs="宋体"/>
          <w:szCs w:val="21"/>
          <w:highlight w:val="none"/>
        </w:rPr>
      </w:pPr>
      <w:r>
        <w:rPr>
          <w:rFonts w:hint="eastAsia" w:ascii="宋体" w:hAnsi="宋体" w:cs="宋体"/>
          <w:szCs w:val="21"/>
          <w:highlight w:val="none"/>
        </w:rPr>
        <w:t>（4）合同解除后，承包人应按照发包人要求和监理人的指示完成现场的清理和撤离；</w:t>
      </w:r>
    </w:p>
    <w:p w14:paraId="49C83AC6">
      <w:pPr>
        <w:spacing w:line="360" w:lineRule="auto"/>
        <w:ind w:firstLine="420" w:firstLineChars="200"/>
        <w:rPr>
          <w:rFonts w:ascii="宋体" w:hAnsi="宋体" w:cs="宋体"/>
          <w:szCs w:val="21"/>
          <w:highlight w:val="none"/>
        </w:rPr>
      </w:pPr>
      <w:r>
        <w:rPr>
          <w:rFonts w:hint="eastAsia" w:ascii="宋体" w:hAnsi="宋体" w:cs="宋体"/>
          <w:szCs w:val="21"/>
          <w:highlight w:val="none"/>
        </w:rPr>
        <w:t>（5）发包人和承包人应在合同解除后进行清算，出具最终结清付款证书，结清全部款项。</w:t>
      </w:r>
    </w:p>
    <w:p w14:paraId="571412C7">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A31D69B">
      <w:pPr>
        <w:spacing w:line="360" w:lineRule="auto"/>
        <w:ind w:firstLine="420" w:firstLineChars="200"/>
        <w:rPr>
          <w:rFonts w:ascii="宋体" w:hAnsi="宋体" w:cs="宋体"/>
          <w:szCs w:val="21"/>
          <w:highlight w:val="none"/>
        </w:rPr>
      </w:pPr>
      <w:r>
        <w:rPr>
          <w:rFonts w:hint="eastAsia" w:ascii="宋体" w:hAnsi="宋体" w:cs="宋体"/>
          <w:szCs w:val="21"/>
          <w:highlight w:val="none"/>
        </w:rPr>
        <w:t>16.2.5采购合同权益转让</w:t>
      </w:r>
    </w:p>
    <w:p w14:paraId="5F69EA6C">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289A49F">
      <w:pPr>
        <w:spacing w:line="360" w:lineRule="auto"/>
        <w:ind w:firstLine="420" w:firstLineChars="200"/>
        <w:rPr>
          <w:rFonts w:ascii="宋体" w:hAnsi="宋体" w:cs="宋体"/>
          <w:szCs w:val="21"/>
          <w:highlight w:val="none"/>
        </w:rPr>
      </w:pPr>
      <w:bookmarkStart w:id="372" w:name="_Toc351203606"/>
      <w:r>
        <w:rPr>
          <w:rFonts w:hint="eastAsia" w:ascii="宋体" w:hAnsi="宋体" w:cs="宋体"/>
          <w:szCs w:val="21"/>
          <w:highlight w:val="none"/>
        </w:rPr>
        <w:t>16.3 第三人造成的违约</w:t>
      </w:r>
      <w:bookmarkEnd w:id="372"/>
    </w:p>
    <w:p w14:paraId="043A942F">
      <w:pPr>
        <w:spacing w:line="360" w:lineRule="auto"/>
        <w:ind w:firstLine="420" w:firstLineChars="200"/>
        <w:rPr>
          <w:rFonts w:ascii="宋体" w:hAnsi="宋体" w:cs="宋体"/>
          <w:szCs w:val="21"/>
          <w:highlight w:val="none"/>
        </w:rPr>
      </w:pPr>
      <w:r>
        <w:rPr>
          <w:rFonts w:hint="eastAsia" w:ascii="宋体" w:hAnsi="宋体" w:cs="宋体"/>
          <w:szCs w:val="21"/>
          <w:highlight w:val="none"/>
        </w:rPr>
        <w:t>在履行合同过程中，一方当事人因第三人的原因造成违约的，应当向对方当事人承担违约责任。一方当事人和第三人之间的纠纷，依照法律规定或者按照约定解决。</w:t>
      </w:r>
    </w:p>
    <w:p w14:paraId="486BCF0C">
      <w:pPr>
        <w:spacing w:line="360" w:lineRule="auto"/>
        <w:ind w:firstLine="420" w:firstLineChars="200"/>
        <w:rPr>
          <w:rFonts w:ascii="宋体" w:hAnsi="宋体" w:cs="宋体"/>
          <w:szCs w:val="21"/>
          <w:highlight w:val="none"/>
        </w:rPr>
      </w:pPr>
      <w:bookmarkStart w:id="373" w:name="_Toc351203607"/>
      <w:bookmarkStart w:id="374" w:name="_Toc337558823"/>
      <w:bookmarkStart w:id="375" w:name="_Toc296503116"/>
      <w:bookmarkStart w:id="376" w:name="_Toc296346617"/>
      <w:r>
        <w:rPr>
          <w:rFonts w:hint="eastAsia" w:ascii="宋体" w:hAnsi="宋体" w:cs="宋体"/>
          <w:szCs w:val="21"/>
          <w:highlight w:val="none"/>
        </w:rPr>
        <w:t>17. 不可抗力</w:t>
      </w:r>
      <w:bookmarkEnd w:id="373"/>
      <w:r>
        <w:rPr>
          <w:rFonts w:hint="eastAsia" w:ascii="宋体" w:hAnsi="宋体" w:cs="宋体"/>
          <w:szCs w:val="21"/>
          <w:highlight w:val="none"/>
        </w:rPr>
        <w:t xml:space="preserve"> </w:t>
      </w:r>
      <w:bookmarkEnd w:id="374"/>
      <w:bookmarkEnd w:id="375"/>
      <w:bookmarkEnd w:id="376"/>
    </w:p>
    <w:p w14:paraId="3CAC17F5">
      <w:pPr>
        <w:spacing w:line="360" w:lineRule="auto"/>
        <w:ind w:firstLine="420" w:firstLineChars="200"/>
        <w:rPr>
          <w:rFonts w:ascii="宋体" w:hAnsi="宋体" w:cs="宋体"/>
          <w:szCs w:val="21"/>
          <w:highlight w:val="none"/>
        </w:rPr>
      </w:pPr>
      <w:bookmarkStart w:id="377" w:name="_Toc351203608"/>
      <w:bookmarkStart w:id="378" w:name="_Toc296503117"/>
      <w:bookmarkStart w:id="379" w:name="_Toc296346618"/>
      <w:bookmarkStart w:id="380" w:name="_Toc337558824"/>
      <w:r>
        <w:rPr>
          <w:rFonts w:hint="eastAsia" w:ascii="宋体" w:hAnsi="宋体" w:cs="宋体"/>
          <w:szCs w:val="21"/>
          <w:highlight w:val="none"/>
        </w:rPr>
        <w:t>17.1 不可抗力的确认</w:t>
      </w:r>
      <w:bookmarkEnd w:id="377"/>
    </w:p>
    <w:bookmarkEnd w:id="378"/>
    <w:bookmarkEnd w:id="379"/>
    <w:bookmarkEnd w:id="380"/>
    <w:p w14:paraId="6618D4C4">
      <w:pPr>
        <w:spacing w:line="360" w:lineRule="auto"/>
        <w:ind w:firstLine="420" w:firstLineChars="200"/>
        <w:rPr>
          <w:rFonts w:ascii="宋体" w:hAnsi="宋体" w:cs="宋体"/>
          <w:szCs w:val="21"/>
          <w:highlight w:val="none"/>
        </w:rPr>
      </w:pPr>
      <w:r>
        <w:rPr>
          <w:rFonts w:hint="eastAsia" w:ascii="宋体" w:hAnsi="宋体" w:cs="宋体"/>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FB27B7D">
      <w:pPr>
        <w:spacing w:line="360" w:lineRule="auto"/>
        <w:ind w:firstLine="420" w:firstLineChars="200"/>
        <w:rPr>
          <w:rFonts w:ascii="宋体" w:hAnsi="宋体" w:cs="宋体"/>
          <w:szCs w:val="21"/>
          <w:highlight w:val="none"/>
        </w:rPr>
      </w:pPr>
      <w:r>
        <w:rPr>
          <w:rFonts w:hint="eastAsia" w:ascii="宋体" w:hAnsi="宋体" w:cs="宋体"/>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888AA85">
      <w:pPr>
        <w:spacing w:line="360" w:lineRule="auto"/>
        <w:ind w:firstLine="420" w:firstLineChars="200"/>
        <w:rPr>
          <w:rFonts w:ascii="宋体" w:hAnsi="宋体" w:cs="宋体"/>
          <w:szCs w:val="21"/>
          <w:highlight w:val="none"/>
        </w:rPr>
      </w:pPr>
      <w:bookmarkStart w:id="381" w:name="_Toc351203609"/>
      <w:bookmarkStart w:id="382" w:name="_Toc296346619"/>
      <w:bookmarkStart w:id="383" w:name="_Toc337558825"/>
      <w:bookmarkStart w:id="384" w:name="_Toc296503118"/>
      <w:r>
        <w:rPr>
          <w:rFonts w:hint="eastAsia" w:ascii="宋体" w:hAnsi="宋体" w:cs="宋体"/>
          <w:szCs w:val="21"/>
          <w:highlight w:val="none"/>
        </w:rPr>
        <w:t>17.2 不可抗力的通知</w:t>
      </w:r>
      <w:bookmarkEnd w:id="381"/>
    </w:p>
    <w:bookmarkEnd w:id="382"/>
    <w:bookmarkEnd w:id="383"/>
    <w:bookmarkEnd w:id="384"/>
    <w:p w14:paraId="0B94A5D6">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合同一方当事人遇到不可抗力事件，使其履行合同义务受到阻碍时，应立即通知合同另一方当事人和监理人，书面说明不可抗力和受阻碍的详细情况，并提供必要的证明。</w:t>
      </w:r>
    </w:p>
    <w:p w14:paraId="5E9D9E24">
      <w:pPr>
        <w:spacing w:line="360" w:lineRule="auto"/>
        <w:ind w:firstLine="420" w:firstLineChars="200"/>
        <w:rPr>
          <w:rFonts w:ascii="宋体" w:hAnsi="宋体" w:cs="宋体"/>
          <w:szCs w:val="21"/>
          <w:highlight w:val="none"/>
        </w:rPr>
      </w:pPr>
      <w:r>
        <w:rPr>
          <w:rFonts w:hint="eastAsia" w:ascii="宋体" w:hAnsi="宋体" w:cs="宋体"/>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B734A44">
      <w:pPr>
        <w:spacing w:line="360" w:lineRule="auto"/>
        <w:ind w:firstLine="420" w:firstLineChars="200"/>
        <w:rPr>
          <w:rFonts w:ascii="宋体" w:hAnsi="宋体" w:cs="宋体"/>
          <w:szCs w:val="21"/>
          <w:highlight w:val="none"/>
        </w:rPr>
      </w:pPr>
      <w:bookmarkStart w:id="385" w:name="_Toc351203610"/>
      <w:bookmarkStart w:id="386" w:name="_Toc296346620"/>
      <w:bookmarkStart w:id="387" w:name="_Toc296503119"/>
      <w:bookmarkStart w:id="388" w:name="_Toc337558826"/>
      <w:r>
        <w:rPr>
          <w:rFonts w:hint="eastAsia" w:ascii="宋体" w:hAnsi="宋体" w:cs="宋体"/>
          <w:szCs w:val="21"/>
          <w:highlight w:val="none"/>
        </w:rPr>
        <w:t>17.3 不可抗力后果的承担</w:t>
      </w:r>
      <w:bookmarkEnd w:id="385"/>
    </w:p>
    <w:bookmarkEnd w:id="386"/>
    <w:bookmarkEnd w:id="387"/>
    <w:bookmarkEnd w:id="388"/>
    <w:p w14:paraId="2C805976">
      <w:pPr>
        <w:spacing w:line="360" w:lineRule="auto"/>
        <w:ind w:firstLine="420" w:firstLineChars="200"/>
        <w:rPr>
          <w:rFonts w:ascii="宋体" w:hAnsi="宋体" w:cs="宋体"/>
          <w:szCs w:val="21"/>
          <w:highlight w:val="none"/>
        </w:rPr>
      </w:pPr>
      <w:r>
        <w:rPr>
          <w:rFonts w:hint="eastAsia" w:ascii="宋体" w:hAnsi="宋体" w:cs="宋体"/>
          <w:szCs w:val="21"/>
          <w:highlight w:val="none"/>
        </w:rPr>
        <w:t>17.3.1 不可抗力引起的后果及造成的损失由合同当事人按照法律规定及合同约定各自承担。不可抗力发生前已完成的工程应当按照合同约定进行计量支付。</w:t>
      </w:r>
    </w:p>
    <w:p w14:paraId="68E1731D">
      <w:pPr>
        <w:spacing w:line="360" w:lineRule="auto"/>
        <w:ind w:firstLine="420" w:firstLineChars="200"/>
        <w:rPr>
          <w:rFonts w:ascii="宋体" w:hAnsi="宋体" w:cs="宋体"/>
          <w:szCs w:val="21"/>
          <w:highlight w:val="none"/>
        </w:rPr>
      </w:pPr>
      <w:r>
        <w:rPr>
          <w:rFonts w:hint="eastAsia" w:ascii="宋体" w:hAnsi="宋体" w:cs="宋体"/>
          <w:szCs w:val="21"/>
          <w:highlight w:val="none"/>
        </w:rPr>
        <w:t>17.3.2 不可抗力导致的人员伤亡、财产损失、费用增加和（或）工期延误等后果，由合同当事人按以下原则承担：</w:t>
      </w:r>
    </w:p>
    <w:p w14:paraId="2D035131">
      <w:pPr>
        <w:spacing w:line="360" w:lineRule="auto"/>
        <w:ind w:firstLine="420" w:firstLineChars="200"/>
        <w:rPr>
          <w:rFonts w:ascii="宋体" w:hAnsi="宋体" w:cs="宋体"/>
          <w:szCs w:val="21"/>
          <w:highlight w:val="none"/>
        </w:rPr>
      </w:pPr>
      <w:r>
        <w:rPr>
          <w:rFonts w:hint="eastAsia" w:ascii="宋体" w:hAnsi="宋体" w:cs="宋体"/>
          <w:szCs w:val="21"/>
          <w:highlight w:val="none"/>
        </w:rPr>
        <w:t>（1）永久工程、已运至施工现场的材料和工程设备的损坏，以及因工程损坏造成的第三人人员伤亡和财产损失由发包人承担；</w:t>
      </w:r>
    </w:p>
    <w:p w14:paraId="727DB9DC">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（2）承包人施工设备的损坏由承包人承担；</w:t>
      </w:r>
    </w:p>
    <w:p w14:paraId="5CD2BC55">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（3）发包人和承包人承担各自人员伤亡和财产的损失；</w:t>
      </w:r>
    </w:p>
    <w:p w14:paraId="4BADEA94">
      <w:pPr>
        <w:spacing w:line="360" w:lineRule="auto"/>
        <w:ind w:firstLine="420" w:firstLineChars="200"/>
        <w:rPr>
          <w:rFonts w:ascii="宋体" w:hAnsi="宋体" w:cs="宋体"/>
          <w:szCs w:val="21"/>
          <w:highlight w:val="none"/>
        </w:rPr>
      </w:pPr>
      <w:r>
        <w:rPr>
          <w:rFonts w:hint="eastAsia" w:ascii="宋体" w:hAnsi="宋体" w:cs="宋体"/>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DEDE49C">
      <w:pPr>
        <w:spacing w:line="360" w:lineRule="auto"/>
        <w:ind w:firstLine="420" w:firstLineChars="200"/>
        <w:rPr>
          <w:rFonts w:ascii="宋体" w:hAnsi="宋体" w:cs="宋体"/>
          <w:szCs w:val="21"/>
          <w:highlight w:val="none"/>
        </w:rPr>
      </w:pPr>
      <w:r>
        <w:rPr>
          <w:rFonts w:hint="eastAsia" w:ascii="宋体" w:hAnsi="宋体" w:cs="宋体"/>
          <w:szCs w:val="21"/>
          <w:highlight w:val="none"/>
        </w:rPr>
        <w:t>（5）因不可抗力引起或将引起工期延误，发包人要求赶工的，由此增加的赶工费用由发包人承担；</w:t>
      </w:r>
    </w:p>
    <w:p w14:paraId="526DFB9A">
      <w:pPr>
        <w:spacing w:line="360" w:lineRule="auto"/>
        <w:ind w:firstLine="420" w:firstLineChars="200"/>
        <w:rPr>
          <w:rFonts w:ascii="宋体" w:hAnsi="宋体" w:cs="宋体"/>
          <w:szCs w:val="21"/>
          <w:highlight w:val="none"/>
        </w:rPr>
      </w:pPr>
      <w:r>
        <w:rPr>
          <w:rFonts w:hint="eastAsia" w:ascii="宋体" w:hAnsi="宋体" w:cs="宋体"/>
          <w:szCs w:val="21"/>
          <w:highlight w:val="none"/>
        </w:rPr>
        <w:t>（6）承包人在停工期间按照发包人要求照管、清理和修复工程的费用由发包人承担。</w:t>
      </w:r>
    </w:p>
    <w:p w14:paraId="09F9DF6A">
      <w:pPr>
        <w:spacing w:line="360" w:lineRule="auto"/>
        <w:ind w:firstLine="420" w:firstLineChars="200"/>
        <w:rPr>
          <w:rFonts w:ascii="宋体" w:hAnsi="宋体" w:cs="宋体"/>
          <w:szCs w:val="21"/>
          <w:highlight w:val="none"/>
        </w:rPr>
      </w:pPr>
      <w:r>
        <w:rPr>
          <w:rFonts w:hint="eastAsia" w:ascii="宋体" w:hAnsi="宋体" w:cs="宋体"/>
          <w:szCs w:val="21"/>
          <w:highlight w:val="none"/>
        </w:rPr>
        <w:t>不可抗力发生后，合同当事人均应采取措施尽量避免和减少损失的扩大，任何一方当事人没有采取有效措施导致损失扩大的，应对扩大的损失承担责任。</w:t>
      </w:r>
    </w:p>
    <w:p w14:paraId="66E2E709">
      <w:pPr>
        <w:spacing w:line="360" w:lineRule="auto"/>
        <w:ind w:firstLine="420" w:firstLineChars="200"/>
        <w:rPr>
          <w:rFonts w:ascii="宋体" w:hAnsi="宋体" w:cs="宋体"/>
          <w:szCs w:val="21"/>
          <w:highlight w:val="none"/>
        </w:rPr>
      </w:pPr>
      <w:r>
        <w:rPr>
          <w:rFonts w:hint="eastAsia" w:ascii="宋体" w:hAnsi="宋体" w:cs="宋体"/>
          <w:szCs w:val="21"/>
          <w:highlight w:val="none"/>
        </w:rPr>
        <w:t>因合同一方迟延履行合同义务，在迟延履行期间遭遇不可抗力的，不免除其违约责任。</w:t>
      </w:r>
    </w:p>
    <w:p w14:paraId="4E6DE49D">
      <w:pPr>
        <w:spacing w:line="360" w:lineRule="auto"/>
        <w:ind w:firstLine="420" w:firstLineChars="200"/>
        <w:rPr>
          <w:rFonts w:ascii="宋体" w:hAnsi="宋体" w:cs="宋体"/>
          <w:szCs w:val="21"/>
          <w:highlight w:val="none"/>
        </w:rPr>
      </w:pPr>
      <w:bookmarkStart w:id="389" w:name="_Toc351203611"/>
      <w:bookmarkStart w:id="390" w:name="_Toc337558827"/>
      <w:r>
        <w:rPr>
          <w:rFonts w:hint="eastAsia" w:ascii="宋体" w:hAnsi="宋体" w:cs="宋体"/>
          <w:szCs w:val="21"/>
          <w:highlight w:val="none"/>
        </w:rPr>
        <w:t>17.4 因不可抗力解除合同</w:t>
      </w:r>
      <w:bookmarkEnd w:id="389"/>
    </w:p>
    <w:bookmarkEnd w:id="390"/>
    <w:p w14:paraId="7F20ED89">
      <w:pPr>
        <w:spacing w:line="360" w:lineRule="auto"/>
        <w:ind w:firstLine="420" w:firstLineChars="200"/>
        <w:rPr>
          <w:rFonts w:ascii="宋体" w:hAnsi="宋体" w:cs="宋体"/>
          <w:szCs w:val="21"/>
          <w:highlight w:val="none"/>
        </w:rPr>
      </w:pPr>
      <w:r>
        <w:rPr>
          <w:rFonts w:hint="eastAsia" w:ascii="宋体" w:hAnsi="宋体" w:cs="宋体"/>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DC7E618">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（1）合同解除前承包人已完成工作的价款；</w:t>
      </w:r>
    </w:p>
    <w:p w14:paraId="71061C90">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（2）承包人为工程订购的并已交付给承包人，或承包人有责任接受交付的材料、工程设备和其他物品的价款；</w:t>
      </w:r>
    </w:p>
    <w:p w14:paraId="6A080A6F">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（3）发包人要求承包人退货或解除订货合同而产生的费用，或因不能退货或解除合同而产生的损失；</w:t>
      </w:r>
    </w:p>
    <w:p w14:paraId="705061FC">
      <w:pPr>
        <w:spacing w:line="360" w:lineRule="auto"/>
        <w:ind w:firstLine="420" w:firstLineChars="200"/>
        <w:rPr>
          <w:rFonts w:ascii="宋体" w:hAnsi="宋体" w:cs="宋体"/>
          <w:szCs w:val="21"/>
          <w:highlight w:val="none"/>
        </w:rPr>
      </w:pPr>
      <w:r>
        <w:rPr>
          <w:rFonts w:hint="eastAsia" w:ascii="宋体" w:hAnsi="宋体" w:cs="宋体"/>
          <w:szCs w:val="21"/>
          <w:highlight w:val="none"/>
        </w:rPr>
        <w:t>（4）承包人撤离施工现场以及遣散承包人人员的费用；</w:t>
      </w:r>
    </w:p>
    <w:p w14:paraId="167BD38F">
      <w:pPr>
        <w:spacing w:line="360" w:lineRule="auto"/>
        <w:ind w:firstLine="420" w:firstLineChars="200"/>
        <w:rPr>
          <w:rFonts w:ascii="宋体" w:hAnsi="宋体" w:cs="宋体"/>
          <w:szCs w:val="21"/>
          <w:highlight w:val="none"/>
        </w:rPr>
      </w:pPr>
      <w:r>
        <w:rPr>
          <w:rFonts w:hint="eastAsia" w:ascii="宋体" w:hAnsi="宋体" w:cs="宋体"/>
          <w:szCs w:val="21"/>
          <w:highlight w:val="none"/>
        </w:rPr>
        <w:t>（5）按照合同约定在合同解除前应支付给承包人的其他款项；</w:t>
      </w:r>
    </w:p>
    <w:p w14:paraId="0E433876">
      <w:pPr>
        <w:spacing w:line="360" w:lineRule="auto"/>
        <w:ind w:firstLine="420" w:firstLineChars="200"/>
        <w:rPr>
          <w:rFonts w:ascii="宋体" w:hAnsi="宋体" w:cs="宋体"/>
          <w:szCs w:val="21"/>
          <w:highlight w:val="none"/>
        </w:rPr>
      </w:pPr>
      <w:r>
        <w:rPr>
          <w:rFonts w:hint="eastAsia" w:ascii="宋体" w:hAnsi="宋体" w:cs="宋体"/>
          <w:szCs w:val="21"/>
          <w:highlight w:val="none"/>
        </w:rPr>
        <w:t>（6）扣减承包人按照合同约定应向发包人支付的款项；</w:t>
      </w:r>
    </w:p>
    <w:p w14:paraId="3960DE6A">
      <w:pPr>
        <w:spacing w:line="360" w:lineRule="auto"/>
        <w:ind w:firstLine="420" w:firstLineChars="200"/>
        <w:rPr>
          <w:rFonts w:ascii="宋体" w:hAnsi="宋体" w:cs="宋体"/>
          <w:szCs w:val="21"/>
          <w:highlight w:val="none"/>
        </w:rPr>
      </w:pPr>
      <w:r>
        <w:rPr>
          <w:rFonts w:hint="eastAsia" w:ascii="宋体" w:hAnsi="宋体" w:cs="宋体"/>
          <w:szCs w:val="21"/>
          <w:highlight w:val="none"/>
        </w:rPr>
        <w:t>（7）双方商定或确定的其他款项。</w:t>
      </w:r>
    </w:p>
    <w:p w14:paraId="5BC512C6">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除专用合同条款另有约定外，合同解除后，发包人应在商定或确定上述款项后28天内完成上述款项的支付。</w:t>
      </w:r>
    </w:p>
    <w:p w14:paraId="16B5C106">
      <w:pPr>
        <w:spacing w:line="360" w:lineRule="auto"/>
        <w:ind w:firstLine="420" w:firstLineChars="200"/>
        <w:rPr>
          <w:rFonts w:ascii="宋体" w:hAnsi="宋体" w:cs="宋体"/>
          <w:szCs w:val="21"/>
          <w:highlight w:val="none"/>
        </w:rPr>
      </w:pPr>
      <w:bookmarkStart w:id="391" w:name="_Toc351203612"/>
      <w:bookmarkStart w:id="392" w:name="_Toc296503120"/>
      <w:bookmarkStart w:id="393" w:name="_Toc337558828"/>
      <w:bookmarkStart w:id="394" w:name="_Toc296346621"/>
      <w:r>
        <w:rPr>
          <w:rFonts w:hint="eastAsia" w:ascii="宋体" w:hAnsi="宋体" w:cs="宋体"/>
          <w:szCs w:val="21"/>
          <w:highlight w:val="none"/>
        </w:rPr>
        <w:t>18. 保险</w:t>
      </w:r>
      <w:bookmarkEnd w:id="391"/>
    </w:p>
    <w:bookmarkEnd w:id="392"/>
    <w:bookmarkEnd w:id="393"/>
    <w:bookmarkEnd w:id="394"/>
    <w:p w14:paraId="7EEE603F">
      <w:pPr>
        <w:spacing w:line="360" w:lineRule="auto"/>
        <w:ind w:firstLine="420" w:firstLineChars="200"/>
        <w:rPr>
          <w:rFonts w:ascii="宋体" w:hAnsi="宋体" w:cs="宋体"/>
          <w:szCs w:val="21"/>
          <w:highlight w:val="none"/>
        </w:rPr>
      </w:pPr>
      <w:bookmarkStart w:id="395" w:name="_Toc351203613"/>
      <w:bookmarkStart w:id="396" w:name="_Toc337558829"/>
      <w:bookmarkStart w:id="397" w:name="_Toc296346622"/>
      <w:bookmarkStart w:id="398" w:name="_Toc296503121"/>
      <w:r>
        <w:rPr>
          <w:rFonts w:hint="eastAsia" w:ascii="宋体" w:hAnsi="宋体" w:cs="宋体"/>
          <w:szCs w:val="21"/>
          <w:highlight w:val="none"/>
        </w:rPr>
        <w:t>18.1 工程保险</w:t>
      </w:r>
      <w:bookmarkEnd w:id="395"/>
    </w:p>
    <w:bookmarkEnd w:id="396"/>
    <w:bookmarkEnd w:id="397"/>
    <w:bookmarkEnd w:id="398"/>
    <w:p w14:paraId="6A83A622">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除专用合同条款另有约定外，发包人应投保建筑工程一切险或安装工程一切险；发包人委托承包人投保的，因投保产生的保险费和其他相关费用由发包人承担。</w:t>
      </w:r>
    </w:p>
    <w:p w14:paraId="5B8DC151">
      <w:pPr>
        <w:spacing w:line="360" w:lineRule="auto"/>
        <w:ind w:firstLine="420" w:firstLineChars="200"/>
        <w:rPr>
          <w:rFonts w:ascii="宋体" w:hAnsi="宋体" w:cs="宋体"/>
          <w:szCs w:val="21"/>
          <w:highlight w:val="none"/>
        </w:rPr>
      </w:pPr>
      <w:bookmarkStart w:id="399" w:name="_Toc351203614"/>
      <w:bookmarkStart w:id="400" w:name="_Toc337558830"/>
      <w:bookmarkStart w:id="401" w:name="_Toc296346623"/>
      <w:bookmarkStart w:id="402" w:name="_Toc296503122"/>
      <w:r>
        <w:rPr>
          <w:rFonts w:hint="eastAsia" w:ascii="宋体" w:hAnsi="宋体" w:cs="宋体"/>
          <w:szCs w:val="21"/>
          <w:highlight w:val="none"/>
        </w:rPr>
        <w:t>18.2 工伤保险</w:t>
      </w:r>
      <w:bookmarkEnd w:id="399"/>
    </w:p>
    <w:bookmarkEnd w:id="400"/>
    <w:bookmarkEnd w:id="401"/>
    <w:bookmarkEnd w:id="402"/>
    <w:p w14:paraId="20CAA8F6">
      <w:pPr>
        <w:spacing w:line="360" w:lineRule="auto"/>
        <w:ind w:firstLine="420" w:firstLineChars="200"/>
        <w:rPr>
          <w:rFonts w:ascii="宋体" w:hAnsi="宋体" w:cs="宋体"/>
          <w:szCs w:val="21"/>
          <w:highlight w:val="none"/>
        </w:rPr>
      </w:pPr>
      <w:r>
        <w:rPr>
          <w:rFonts w:hint="eastAsia" w:ascii="宋体" w:hAnsi="宋体" w:cs="宋体"/>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3788F135">
      <w:pPr>
        <w:spacing w:line="360" w:lineRule="auto"/>
        <w:ind w:firstLine="420" w:firstLineChars="200"/>
        <w:rPr>
          <w:rFonts w:ascii="宋体" w:hAnsi="宋体" w:cs="宋体"/>
          <w:szCs w:val="21"/>
          <w:highlight w:val="none"/>
        </w:rPr>
      </w:pPr>
      <w:r>
        <w:rPr>
          <w:rFonts w:hint="eastAsia" w:ascii="宋体" w:hAnsi="宋体" w:cs="宋体"/>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00CB116B">
      <w:pPr>
        <w:spacing w:line="360" w:lineRule="auto"/>
        <w:ind w:firstLine="420" w:firstLineChars="200"/>
        <w:rPr>
          <w:rFonts w:ascii="宋体" w:hAnsi="宋体" w:cs="宋体"/>
          <w:szCs w:val="21"/>
          <w:highlight w:val="none"/>
        </w:rPr>
      </w:pPr>
      <w:bookmarkStart w:id="403" w:name="_Toc351203615"/>
      <w:bookmarkStart w:id="404" w:name="_Toc296503125"/>
      <w:bookmarkStart w:id="405" w:name="_Toc296346626"/>
      <w:bookmarkStart w:id="406" w:name="_Toc337558831"/>
      <w:r>
        <w:rPr>
          <w:rFonts w:hint="eastAsia" w:ascii="宋体" w:hAnsi="宋体" w:cs="宋体"/>
          <w:szCs w:val="21"/>
          <w:highlight w:val="none"/>
        </w:rPr>
        <w:t>18.3其他保险</w:t>
      </w:r>
      <w:bookmarkEnd w:id="403"/>
    </w:p>
    <w:bookmarkEnd w:id="404"/>
    <w:bookmarkEnd w:id="405"/>
    <w:bookmarkEnd w:id="406"/>
    <w:p w14:paraId="459F198B">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D680711">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除专用合同条款另有约定外，承包人应为其施工设备等办理财产保险。</w:t>
      </w:r>
    </w:p>
    <w:p w14:paraId="0B83C23D">
      <w:pPr>
        <w:spacing w:line="360" w:lineRule="auto"/>
        <w:ind w:firstLine="420" w:firstLineChars="200"/>
        <w:rPr>
          <w:rFonts w:ascii="宋体" w:hAnsi="宋体" w:cs="宋体"/>
          <w:szCs w:val="21"/>
          <w:highlight w:val="none"/>
        </w:rPr>
      </w:pPr>
      <w:bookmarkStart w:id="407" w:name="_Toc351203616"/>
      <w:r>
        <w:rPr>
          <w:rFonts w:hint="eastAsia" w:ascii="宋体" w:hAnsi="宋体" w:cs="宋体"/>
          <w:szCs w:val="21"/>
          <w:highlight w:val="none"/>
        </w:rPr>
        <w:t>18.4持续保险</w:t>
      </w:r>
      <w:bookmarkEnd w:id="407"/>
    </w:p>
    <w:p w14:paraId="5DF8026F">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合同当事人应与保险人保持联系，使保险人能够随时了解工程实施中的变动，并确保按保险合同条款要求持续保险。</w:t>
      </w:r>
    </w:p>
    <w:p w14:paraId="7EFB7E6C">
      <w:pPr>
        <w:spacing w:line="360" w:lineRule="auto"/>
        <w:ind w:firstLine="420" w:firstLineChars="200"/>
        <w:rPr>
          <w:rFonts w:ascii="宋体" w:hAnsi="宋体" w:cs="宋体"/>
          <w:szCs w:val="21"/>
          <w:highlight w:val="none"/>
        </w:rPr>
      </w:pPr>
      <w:bookmarkStart w:id="408" w:name="_Toc351203617"/>
      <w:bookmarkStart w:id="409" w:name="_Toc296346627"/>
      <w:bookmarkStart w:id="410" w:name="_Toc296503126"/>
      <w:bookmarkStart w:id="411" w:name="_Toc337558832"/>
      <w:r>
        <w:rPr>
          <w:rFonts w:hint="eastAsia" w:ascii="宋体" w:hAnsi="宋体" w:cs="宋体"/>
          <w:szCs w:val="21"/>
          <w:highlight w:val="none"/>
        </w:rPr>
        <w:t>18.5 保险凭证</w:t>
      </w:r>
      <w:bookmarkEnd w:id="408"/>
    </w:p>
    <w:bookmarkEnd w:id="409"/>
    <w:bookmarkEnd w:id="410"/>
    <w:bookmarkEnd w:id="411"/>
    <w:p w14:paraId="6DBF8C5C">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合同当事人应及时向另一方当事人提交其已投保的各项保险的凭证和保险单复印件。</w:t>
      </w:r>
    </w:p>
    <w:p w14:paraId="1E3ACAF2">
      <w:pPr>
        <w:spacing w:line="360" w:lineRule="auto"/>
        <w:ind w:firstLine="420" w:firstLineChars="200"/>
        <w:rPr>
          <w:rFonts w:ascii="宋体" w:hAnsi="宋体" w:cs="宋体"/>
          <w:szCs w:val="21"/>
          <w:highlight w:val="none"/>
        </w:rPr>
      </w:pPr>
      <w:bookmarkStart w:id="412" w:name="_Toc351203618"/>
      <w:bookmarkStart w:id="413" w:name="_Toc296346628"/>
      <w:bookmarkStart w:id="414" w:name="_Toc296503127"/>
      <w:bookmarkStart w:id="415" w:name="_Toc337558833"/>
      <w:r>
        <w:rPr>
          <w:rFonts w:hint="eastAsia" w:ascii="宋体" w:hAnsi="宋体" w:cs="宋体"/>
          <w:szCs w:val="21"/>
          <w:highlight w:val="none"/>
        </w:rPr>
        <w:t>18.6 未按约定投保的补救</w:t>
      </w:r>
      <w:bookmarkEnd w:id="412"/>
    </w:p>
    <w:bookmarkEnd w:id="413"/>
    <w:bookmarkEnd w:id="414"/>
    <w:bookmarkEnd w:id="415"/>
    <w:p w14:paraId="39DF39CF">
      <w:pPr>
        <w:spacing w:line="360" w:lineRule="auto"/>
        <w:ind w:firstLine="420" w:firstLineChars="200"/>
        <w:rPr>
          <w:rFonts w:ascii="宋体" w:hAnsi="宋体" w:cs="宋体"/>
          <w:szCs w:val="21"/>
          <w:highlight w:val="none"/>
        </w:rPr>
      </w:pPr>
      <w:r>
        <w:rPr>
          <w:rFonts w:hint="eastAsia" w:ascii="宋体" w:hAnsi="宋体" w:cs="宋体"/>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17358125">
      <w:pPr>
        <w:spacing w:line="360" w:lineRule="auto"/>
        <w:ind w:firstLine="420" w:firstLineChars="200"/>
        <w:rPr>
          <w:rFonts w:ascii="宋体" w:hAnsi="宋体" w:cs="宋体"/>
          <w:szCs w:val="21"/>
          <w:highlight w:val="none"/>
        </w:rPr>
      </w:pPr>
      <w:r>
        <w:rPr>
          <w:rFonts w:hint="eastAsia" w:ascii="宋体" w:hAnsi="宋体" w:cs="宋体"/>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1BE5AA1">
      <w:pPr>
        <w:spacing w:line="360" w:lineRule="auto"/>
        <w:ind w:firstLine="420" w:firstLineChars="200"/>
        <w:rPr>
          <w:rFonts w:ascii="宋体" w:hAnsi="宋体" w:cs="宋体"/>
          <w:szCs w:val="21"/>
          <w:highlight w:val="none"/>
        </w:rPr>
      </w:pPr>
      <w:bookmarkStart w:id="416" w:name="_Toc351203619"/>
      <w:bookmarkStart w:id="417" w:name="_Toc337558834"/>
      <w:r>
        <w:rPr>
          <w:rFonts w:hint="eastAsia" w:ascii="宋体" w:hAnsi="宋体" w:cs="宋体"/>
          <w:szCs w:val="21"/>
          <w:highlight w:val="none"/>
        </w:rPr>
        <w:t>18.7 通知义务</w:t>
      </w:r>
      <w:bookmarkEnd w:id="416"/>
    </w:p>
    <w:bookmarkEnd w:id="417"/>
    <w:p w14:paraId="6D5E685E">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52FC841C">
      <w:pPr>
        <w:spacing w:line="360" w:lineRule="auto"/>
        <w:ind w:firstLine="420" w:firstLineChars="200"/>
        <w:rPr>
          <w:rFonts w:ascii="宋体" w:hAnsi="宋体" w:cs="宋体"/>
          <w:szCs w:val="21"/>
          <w:highlight w:val="none"/>
        </w:rPr>
      </w:pPr>
      <w:r>
        <w:rPr>
          <w:rFonts w:hint="eastAsia" w:ascii="宋体" w:hAnsi="宋体" w:cs="宋体"/>
          <w:szCs w:val="21"/>
          <w:highlight w:val="none"/>
        </w:rPr>
        <w:t>保险事故发生时，投保人应按照保险合同规定的条件和期限及时向保险人报告。发包人和承包人应当在知道保险事故发生后及时通知对方。</w:t>
      </w:r>
    </w:p>
    <w:p w14:paraId="1F5676E5">
      <w:pPr>
        <w:spacing w:line="360" w:lineRule="auto"/>
        <w:ind w:firstLine="420" w:firstLineChars="200"/>
        <w:rPr>
          <w:rFonts w:ascii="宋体" w:hAnsi="宋体" w:cs="宋体"/>
          <w:szCs w:val="21"/>
          <w:highlight w:val="none"/>
        </w:rPr>
      </w:pPr>
      <w:bookmarkStart w:id="418" w:name="_Toc351203620"/>
      <w:bookmarkStart w:id="419" w:name="_Toc296346641"/>
      <w:bookmarkStart w:id="420" w:name="_Toc337558835"/>
      <w:bookmarkStart w:id="421" w:name="_Toc296503140"/>
      <w:r>
        <w:rPr>
          <w:rFonts w:hint="eastAsia" w:ascii="宋体" w:hAnsi="宋体" w:cs="宋体"/>
          <w:szCs w:val="21"/>
          <w:highlight w:val="none"/>
        </w:rPr>
        <w:t>19. 索赔</w:t>
      </w:r>
      <w:bookmarkEnd w:id="418"/>
    </w:p>
    <w:bookmarkEnd w:id="419"/>
    <w:bookmarkEnd w:id="420"/>
    <w:bookmarkEnd w:id="421"/>
    <w:p w14:paraId="5F336084">
      <w:pPr>
        <w:spacing w:line="360" w:lineRule="auto"/>
        <w:ind w:firstLine="420" w:firstLineChars="200"/>
        <w:rPr>
          <w:rFonts w:ascii="宋体" w:hAnsi="宋体" w:cs="宋体"/>
          <w:szCs w:val="21"/>
          <w:highlight w:val="none"/>
        </w:rPr>
      </w:pPr>
      <w:bookmarkStart w:id="422" w:name="_Toc351203621"/>
      <w:bookmarkStart w:id="423" w:name="_Toc337558836"/>
      <w:bookmarkStart w:id="424" w:name="_Toc296346642"/>
      <w:bookmarkStart w:id="425" w:name="_Toc296503141"/>
      <w:r>
        <w:rPr>
          <w:rFonts w:hint="eastAsia" w:ascii="宋体" w:hAnsi="宋体" w:cs="宋体"/>
          <w:szCs w:val="21"/>
          <w:highlight w:val="none"/>
        </w:rPr>
        <w:t>19.1承包人的索赔</w:t>
      </w:r>
      <w:bookmarkEnd w:id="422"/>
    </w:p>
    <w:bookmarkEnd w:id="423"/>
    <w:bookmarkEnd w:id="424"/>
    <w:bookmarkEnd w:id="425"/>
    <w:p w14:paraId="401AC01F">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根据合同约定，承包人认为有权得到追加付款和（或）延长工期的，应按以下程序向发包人提出索赔：</w:t>
      </w:r>
    </w:p>
    <w:p w14:paraId="07EF9E8C">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63A694F">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0621D331">
      <w:pPr>
        <w:spacing w:line="360" w:lineRule="auto"/>
        <w:ind w:firstLine="420" w:firstLineChars="200"/>
        <w:rPr>
          <w:rFonts w:ascii="宋体" w:hAnsi="宋体" w:cs="宋体"/>
          <w:szCs w:val="21"/>
          <w:highlight w:val="none"/>
        </w:rPr>
      </w:pPr>
      <w:r>
        <w:rPr>
          <w:rFonts w:hint="eastAsia" w:ascii="宋体" w:hAnsi="宋体" w:cs="宋体"/>
          <w:szCs w:val="21"/>
          <w:highlight w:val="none"/>
        </w:rPr>
        <w:t>（3）索赔事件具有持续影响的，承包人应按合理时间间隔继续递交延续索赔通知，说明持续影响的实际情况和记录，列出累计的追加付款金额和（或）工期延长天数；</w:t>
      </w:r>
    </w:p>
    <w:p w14:paraId="3D5229BC">
      <w:pPr>
        <w:spacing w:line="360" w:lineRule="auto"/>
        <w:ind w:firstLine="420" w:firstLineChars="200"/>
        <w:rPr>
          <w:rFonts w:ascii="宋体" w:hAnsi="宋体" w:cs="宋体"/>
          <w:szCs w:val="21"/>
          <w:highlight w:val="none"/>
        </w:rPr>
      </w:pPr>
      <w:r>
        <w:rPr>
          <w:rFonts w:hint="eastAsia" w:ascii="宋体" w:hAnsi="宋体" w:cs="宋体"/>
          <w:szCs w:val="21"/>
          <w:highlight w:val="none"/>
        </w:rPr>
        <w:t>（4）在索赔事件影响结束后28天内，承包人应向监理人递交最终索赔报告，说明最终要求索赔的追加付款金额和（或）延长的工期，并附必要的记录和证明材料。</w:t>
      </w:r>
    </w:p>
    <w:p w14:paraId="7B689166">
      <w:pPr>
        <w:spacing w:line="360" w:lineRule="auto"/>
        <w:ind w:firstLine="420" w:firstLineChars="200"/>
        <w:rPr>
          <w:rFonts w:ascii="宋体" w:hAnsi="宋体" w:cs="宋体"/>
          <w:szCs w:val="21"/>
          <w:highlight w:val="none"/>
        </w:rPr>
      </w:pPr>
      <w:bookmarkStart w:id="426" w:name="_Toc351203622"/>
      <w:bookmarkStart w:id="427" w:name="_Toc296503142"/>
      <w:bookmarkStart w:id="428" w:name="_Toc296346643"/>
      <w:bookmarkStart w:id="429" w:name="_Toc337558837"/>
      <w:r>
        <w:rPr>
          <w:rFonts w:hint="eastAsia" w:ascii="宋体" w:hAnsi="宋体" w:cs="宋体"/>
          <w:szCs w:val="21"/>
          <w:highlight w:val="none"/>
        </w:rPr>
        <w:t>19.2 对承包人索赔的处理</w:t>
      </w:r>
      <w:bookmarkEnd w:id="426"/>
    </w:p>
    <w:bookmarkEnd w:id="427"/>
    <w:bookmarkEnd w:id="428"/>
    <w:bookmarkEnd w:id="429"/>
    <w:p w14:paraId="022D9DD3">
      <w:pPr>
        <w:spacing w:line="360" w:lineRule="auto"/>
        <w:ind w:firstLine="420" w:firstLineChars="200"/>
        <w:rPr>
          <w:rFonts w:ascii="宋体" w:hAnsi="宋体" w:cs="宋体"/>
          <w:szCs w:val="21"/>
          <w:highlight w:val="none"/>
        </w:rPr>
      </w:pPr>
      <w:r>
        <w:rPr>
          <w:rFonts w:hint="eastAsia" w:ascii="宋体" w:hAnsi="宋体" w:cs="宋体"/>
          <w:szCs w:val="21"/>
          <w:highlight w:val="none"/>
        </w:rPr>
        <w:t>对承包人索赔的处理如下：</w:t>
      </w:r>
    </w:p>
    <w:p w14:paraId="2C176679">
      <w:pPr>
        <w:spacing w:line="360" w:lineRule="auto"/>
        <w:ind w:firstLine="420" w:firstLineChars="200"/>
        <w:rPr>
          <w:rFonts w:ascii="宋体" w:hAnsi="宋体" w:cs="宋体"/>
          <w:szCs w:val="21"/>
          <w:highlight w:val="none"/>
        </w:rPr>
      </w:pPr>
      <w:r>
        <w:rPr>
          <w:rFonts w:hint="eastAsia" w:ascii="宋体" w:hAnsi="宋体" w:cs="宋体"/>
          <w:szCs w:val="21"/>
          <w:highlight w:val="none"/>
        </w:rPr>
        <w:t>（1）监理人应在收到索赔报告后14天内完成审查并报送发包人。监理人对索赔报告存在异议的，有权要求承包人提交全部原始记录副本；</w:t>
      </w:r>
    </w:p>
    <w:p w14:paraId="7CB79A98">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0A7B042A">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（3）承包人接受索赔处理结果的，索赔款项在当期进度款中进行支付；承包人不接受索赔处理结果的，按照第20条〔争议解决〕约定处理。</w:t>
      </w:r>
    </w:p>
    <w:p w14:paraId="146DE57A">
      <w:pPr>
        <w:spacing w:line="360" w:lineRule="auto"/>
        <w:ind w:firstLine="420" w:firstLineChars="200"/>
        <w:rPr>
          <w:rFonts w:ascii="宋体" w:hAnsi="宋体" w:cs="宋体"/>
          <w:szCs w:val="21"/>
          <w:highlight w:val="none"/>
        </w:rPr>
      </w:pPr>
      <w:bookmarkStart w:id="430" w:name="_Toc351203623"/>
      <w:bookmarkStart w:id="431" w:name="_Toc337558838"/>
      <w:bookmarkStart w:id="432" w:name="_Toc296346644"/>
      <w:bookmarkStart w:id="433" w:name="_Toc296503143"/>
      <w:r>
        <w:rPr>
          <w:rFonts w:hint="eastAsia" w:ascii="宋体" w:hAnsi="宋体" w:cs="宋体"/>
          <w:szCs w:val="21"/>
          <w:highlight w:val="none"/>
        </w:rPr>
        <w:t>19.3发包人的索赔</w:t>
      </w:r>
      <w:bookmarkEnd w:id="430"/>
    </w:p>
    <w:bookmarkEnd w:id="431"/>
    <w:bookmarkEnd w:id="432"/>
    <w:bookmarkEnd w:id="433"/>
    <w:p w14:paraId="6DC58DC4">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根据合同约定，发包人认为有权得到赔付金额和（或）延长缺陷责任期的，监理人应向承包人发出通知并附有详细的证明。</w:t>
      </w:r>
    </w:p>
    <w:p w14:paraId="3351CA77">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68F8009">
      <w:pPr>
        <w:spacing w:line="360" w:lineRule="auto"/>
        <w:ind w:firstLine="420" w:firstLineChars="200"/>
        <w:rPr>
          <w:rFonts w:ascii="宋体" w:hAnsi="宋体" w:cs="宋体"/>
          <w:szCs w:val="21"/>
          <w:highlight w:val="none"/>
        </w:rPr>
      </w:pPr>
      <w:bookmarkStart w:id="434" w:name="_Toc351203624"/>
      <w:bookmarkStart w:id="435" w:name="_Toc296346645"/>
      <w:bookmarkStart w:id="436" w:name="_Toc337558839"/>
      <w:bookmarkStart w:id="437" w:name="_Toc296503144"/>
      <w:r>
        <w:rPr>
          <w:rFonts w:hint="eastAsia" w:ascii="宋体" w:hAnsi="宋体" w:cs="宋体"/>
          <w:szCs w:val="21"/>
          <w:highlight w:val="none"/>
        </w:rPr>
        <w:t>19.4 对发包人索赔的处理</w:t>
      </w:r>
      <w:bookmarkEnd w:id="434"/>
    </w:p>
    <w:bookmarkEnd w:id="435"/>
    <w:bookmarkEnd w:id="436"/>
    <w:bookmarkEnd w:id="437"/>
    <w:p w14:paraId="2B08F3C1">
      <w:pPr>
        <w:spacing w:line="360" w:lineRule="auto"/>
        <w:ind w:firstLine="420" w:firstLineChars="200"/>
        <w:rPr>
          <w:rFonts w:ascii="宋体" w:hAnsi="宋体" w:cs="宋体"/>
          <w:szCs w:val="21"/>
          <w:highlight w:val="none"/>
        </w:rPr>
      </w:pPr>
      <w:r>
        <w:rPr>
          <w:rFonts w:hint="eastAsia" w:ascii="宋体" w:hAnsi="宋体" w:cs="宋体"/>
          <w:szCs w:val="21"/>
          <w:highlight w:val="none"/>
        </w:rPr>
        <w:t>对发包人索赔的处理如下：</w:t>
      </w:r>
    </w:p>
    <w:p w14:paraId="63F763B2">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（1）承包人收到发包人提交的索赔报告后，应及时审查索赔报告的内容、查验发包人证明材料；</w:t>
      </w:r>
    </w:p>
    <w:p w14:paraId="25AEE802">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（2）承包人应在收到索赔报告或有关索赔的进一步证明材料后28天内，将索赔处理结果答复发包人。如果承包人未在上述期限内作出答复的，则视为对发包人索赔要求的认可；</w:t>
      </w:r>
    </w:p>
    <w:p w14:paraId="3D40250D">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（3）承包人接受索赔处理结果的，发包人可从应支付给承包人的合同价款中扣除赔付的金额或延长缺陷责任期；发包人不接受索赔处理结果的，按第20条〔争议解决〕约定处理。</w:t>
      </w:r>
    </w:p>
    <w:p w14:paraId="7EB4F56E">
      <w:pPr>
        <w:spacing w:line="360" w:lineRule="auto"/>
        <w:ind w:firstLine="420" w:firstLineChars="200"/>
        <w:rPr>
          <w:rFonts w:ascii="宋体" w:hAnsi="宋体" w:cs="宋体"/>
          <w:szCs w:val="21"/>
          <w:highlight w:val="none"/>
        </w:rPr>
      </w:pPr>
      <w:bookmarkStart w:id="438" w:name="_Toc351203625"/>
      <w:r>
        <w:rPr>
          <w:rFonts w:hint="eastAsia" w:ascii="宋体" w:hAnsi="宋体" w:cs="宋体"/>
          <w:szCs w:val="21"/>
          <w:highlight w:val="none"/>
        </w:rPr>
        <w:t>19.5 提出索赔的期限</w:t>
      </w:r>
      <w:bookmarkEnd w:id="438"/>
    </w:p>
    <w:p w14:paraId="110335CF">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（1）承包人按第14.2款〔竣工结算审核〕约定接收竣工付款证书后，应被视为已无权再提出在工程接收证书颁发前所发生的任何索赔。</w:t>
      </w:r>
    </w:p>
    <w:p w14:paraId="2C4A8EDC">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（2）承包人按第14.4款〔最终结清〕提交的最终结清申请单中，只限于提出工程接收证书颁发后发生的索赔。提出索赔的期限自接受最终结清证书时终止。</w:t>
      </w:r>
    </w:p>
    <w:p w14:paraId="5640D5EB">
      <w:pPr>
        <w:spacing w:line="360" w:lineRule="auto"/>
        <w:ind w:firstLine="420" w:firstLineChars="200"/>
        <w:rPr>
          <w:rFonts w:ascii="宋体" w:hAnsi="宋体" w:cs="宋体"/>
          <w:szCs w:val="21"/>
          <w:highlight w:val="none"/>
        </w:rPr>
      </w:pPr>
      <w:bookmarkStart w:id="439" w:name="_Toc351203626"/>
      <w:r>
        <w:rPr>
          <w:rFonts w:hint="eastAsia" w:ascii="宋体" w:hAnsi="宋体" w:cs="宋体"/>
          <w:szCs w:val="21"/>
          <w:highlight w:val="none"/>
        </w:rPr>
        <w:t>20</w:t>
      </w:r>
      <w:bookmarkStart w:id="440" w:name="_Toc337558840"/>
      <w:bookmarkStart w:id="441" w:name="_Toc296503146"/>
      <w:bookmarkStart w:id="442" w:name="_Toc296346647"/>
      <w:r>
        <w:rPr>
          <w:rFonts w:hint="eastAsia" w:ascii="宋体" w:hAnsi="宋体" w:cs="宋体"/>
          <w:szCs w:val="21"/>
          <w:highlight w:val="none"/>
        </w:rPr>
        <w:t>. 争议解决</w:t>
      </w:r>
      <w:bookmarkEnd w:id="439"/>
    </w:p>
    <w:bookmarkEnd w:id="440"/>
    <w:bookmarkEnd w:id="441"/>
    <w:bookmarkEnd w:id="442"/>
    <w:p w14:paraId="3C7BA5B4">
      <w:pPr>
        <w:spacing w:line="360" w:lineRule="auto"/>
        <w:ind w:firstLine="420" w:firstLineChars="200"/>
        <w:rPr>
          <w:rFonts w:ascii="宋体" w:hAnsi="宋体" w:cs="宋体"/>
          <w:szCs w:val="21"/>
          <w:highlight w:val="none"/>
        </w:rPr>
      </w:pPr>
      <w:bookmarkStart w:id="443" w:name="_Toc351203627"/>
      <w:bookmarkStart w:id="444" w:name="_Toc337558841"/>
      <w:bookmarkStart w:id="445" w:name="_Toc296503147"/>
      <w:bookmarkStart w:id="446" w:name="_Toc296346648"/>
      <w:r>
        <w:rPr>
          <w:rFonts w:hint="eastAsia" w:ascii="宋体" w:hAnsi="宋体" w:cs="宋体"/>
          <w:szCs w:val="21"/>
          <w:highlight w:val="none"/>
        </w:rPr>
        <w:t>20.1和解</w:t>
      </w:r>
      <w:bookmarkEnd w:id="443"/>
    </w:p>
    <w:bookmarkEnd w:id="444"/>
    <w:bookmarkEnd w:id="445"/>
    <w:bookmarkEnd w:id="446"/>
    <w:p w14:paraId="30DBFAAF">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合同当事人可以就争议自行和解，自行和解达成协议的经双方签字并盖章后作为合同补充文件，双方均应遵照执行。</w:t>
      </w:r>
    </w:p>
    <w:p w14:paraId="73F20B9F">
      <w:pPr>
        <w:spacing w:line="360" w:lineRule="auto"/>
        <w:ind w:firstLine="420" w:firstLineChars="200"/>
        <w:rPr>
          <w:rFonts w:ascii="宋体" w:hAnsi="宋体" w:cs="宋体"/>
          <w:szCs w:val="21"/>
          <w:highlight w:val="none"/>
        </w:rPr>
      </w:pPr>
      <w:bookmarkStart w:id="447" w:name="_Toc351203628"/>
      <w:r>
        <w:rPr>
          <w:rFonts w:hint="eastAsia" w:ascii="宋体" w:hAnsi="宋体" w:cs="宋体"/>
          <w:szCs w:val="21"/>
          <w:highlight w:val="none"/>
        </w:rPr>
        <w:t>20</w:t>
      </w:r>
      <w:bookmarkStart w:id="448" w:name="_Toc296503148"/>
      <w:bookmarkStart w:id="449" w:name="_Toc337558842"/>
      <w:bookmarkStart w:id="450" w:name="_Toc296346649"/>
      <w:r>
        <w:rPr>
          <w:rFonts w:hint="eastAsia" w:ascii="宋体" w:hAnsi="宋体" w:cs="宋体"/>
          <w:szCs w:val="21"/>
          <w:highlight w:val="none"/>
        </w:rPr>
        <w:t>.2调解</w:t>
      </w:r>
      <w:bookmarkEnd w:id="447"/>
    </w:p>
    <w:bookmarkEnd w:id="448"/>
    <w:bookmarkEnd w:id="449"/>
    <w:bookmarkEnd w:id="450"/>
    <w:p w14:paraId="4D66D615">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合同当事人可以就争议请求建设行政主管部门、行业协会或其他第三方进行调解，调解达成协议的，经双方签字并盖章后作为合同补充文件，双方均应遵照执行。</w:t>
      </w:r>
    </w:p>
    <w:p w14:paraId="3D862629">
      <w:pPr>
        <w:spacing w:line="360" w:lineRule="auto"/>
        <w:ind w:firstLine="420" w:firstLineChars="200"/>
        <w:rPr>
          <w:rFonts w:ascii="宋体" w:hAnsi="宋体" w:cs="宋体"/>
          <w:szCs w:val="21"/>
          <w:highlight w:val="none"/>
        </w:rPr>
      </w:pPr>
      <w:bookmarkStart w:id="451" w:name="_Toc351203629"/>
      <w:bookmarkStart w:id="452" w:name="_Toc337558843"/>
      <w:bookmarkStart w:id="453" w:name="_Toc296503149"/>
      <w:bookmarkStart w:id="454" w:name="_Toc296346650"/>
      <w:r>
        <w:rPr>
          <w:rFonts w:hint="eastAsia" w:ascii="宋体" w:hAnsi="宋体" w:cs="宋体"/>
          <w:szCs w:val="21"/>
          <w:highlight w:val="none"/>
        </w:rPr>
        <w:t>20.3争议评审</w:t>
      </w:r>
      <w:bookmarkEnd w:id="451"/>
    </w:p>
    <w:bookmarkEnd w:id="452"/>
    <w:bookmarkEnd w:id="453"/>
    <w:bookmarkEnd w:id="454"/>
    <w:p w14:paraId="4526C501">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合同当事人在专用合同条款中约定采取争议评审方式解决争议以及评审规则，并按下列约定执行： </w:t>
      </w:r>
    </w:p>
    <w:p w14:paraId="2B13D85A">
      <w:pPr>
        <w:spacing w:line="360" w:lineRule="auto"/>
        <w:ind w:firstLine="420" w:firstLineChars="200"/>
        <w:rPr>
          <w:rFonts w:ascii="宋体" w:hAnsi="宋体" w:cs="宋体"/>
          <w:szCs w:val="21"/>
          <w:highlight w:val="none"/>
        </w:rPr>
      </w:pPr>
      <w:r>
        <w:rPr>
          <w:rFonts w:hint="eastAsia" w:ascii="宋体" w:hAnsi="宋体" w:cs="宋体"/>
          <w:szCs w:val="21"/>
          <w:highlight w:val="none"/>
        </w:rPr>
        <w:t>20.3.1 争议评审小组的确定</w:t>
      </w:r>
    </w:p>
    <w:p w14:paraId="3EEBEB53">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56545746">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DA985D7">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除专用合同条款另有约定外，评审员报酬由发包人和承包人各承担一半。</w:t>
      </w:r>
    </w:p>
    <w:p w14:paraId="4311CAA5">
      <w:pPr>
        <w:spacing w:line="360" w:lineRule="auto"/>
        <w:ind w:firstLine="420" w:firstLineChars="200"/>
        <w:rPr>
          <w:rFonts w:ascii="宋体" w:hAnsi="宋体" w:cs="宋体"/>
          <w:szCs w:val="21"/>
          <w:highlight w:val="none"/>
        </w:rPr>
      </w:pPr>
      <w:r>
        <w:rPr>
          <w:rFonts w:hint="eastAsia" w:ascii="宋体" w:hAnsi="宋体" w:cs="宋体"/>
          <w:szCs w:val="21"/>
          <w:highlight w:val="none"/>
        </w:rPr>
        <w:t>20.3.2 争议评审小组的决定</w:t>
      </w:r>
    </w:p>
    <w:p w14:paraId="418D280F">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ABB18C9">
      <w:pPr>
        <w:spacing w:line="360" w:lineRule="auto"/>
        <w:ind w:firstLine="420" w:firstLineChars="200"/>
        <w:rPr>
          <w:rFonts w:ascii="宋体" w:hAnsi="宋体" w:cs="宋体"/>
          <w:szCs w:val="21"/>
          <w:highlight w:val="none"/>
        </w:rPr>
      </w:pPr>
      <w:r>
        <w:rPr>
          <w:rFonts w:hint="eastAsia" w:ascii="宋体" w:hAnsi="宋体" w:cs="宋体"/>
          <w:szCs w:val="21"/>
          <w:highlight w:val="none"/>
        </w:rPr>
        <w:t>20.3.3 争议评审小组决定的效力</w:t>
      </w:r>
    </w:p>
    <w:p w14:paraId="7BF0406B">
      <w:pPr>
        <w:spacing w:line="360" w:lineRule="auto"/>
        <w:ind w:firstLine="420" w:firstLineChars="200"/>
        <w:rPr>
          <w:rFonts w:ascii="宋体" w:hAnsi="宋体" w:cs="宋体"/>
          <w:szCs w:val="21"/>
          <w:highlight w:val="none"/>
        </w:rPr>
      </w:pPr>
      <w:r>
        <w:rPr>
          <w:rFonts w:hint="eastAsia" w:ascii="宋体" w:hAnsi="宋体" w:cs="宋体"/>
          <w:szCs w:val="21"/>
          <w:highlight w:val="none"/>
        </w:rPr>
        <w:t>争议评审小组作出的书面决定经合同当事人签字确认后，对双方具有约束力，双方应遵照执行。</w:t>
      </w:r>
    </w:p>
    <w:p w14:paraId="317E0B07">
      <w:pPr>
        <w:spacing w:line="360" w:lineRule="auto"/>
        <w:ind w:firstLine="420" w:firstLineChars="200"/>
        <w:rPr>
          <w:rFonts w:ascii="宋体" w:hAnsi="宋体" w:cs="宋体"/>
          <w:szCs w:val="21"/>
          <w:highlight w:val="none"/>
        </w:rPr>
      </w:pPr>
      <w:r>
        <w:rPr>
          <w:rFonts w:hint="eastAsia" w:ascii="宋体" w:hAnsi="宋体" w:cs="宋体"/>
          <w:szCs w:val="21"/>
          <w:highlight w:val="none"/>
        </w:rPr>
        <w:t>任何一方当事人不接受争议评审小组决定或不履行争议评审小组决定的，双方可选择采用其他争议解决方式。</w:t>
      </w:r>
    </w:p>
    <w:p w14:paraId="08BEE2CB">
      <w:pPr>
        <w:spacing w:line="360" w:lineRule="auto"/>
        <w:ind w:firstLine="420" w:firstLineChars="200"/>
        <w:rPr>
          <w:rFonts w:ascii="宋体" w:hAnsi="宋体" w:cs="宋体"/>
          <w:szCs w:val="21"/>
          <w:highlight w:val="none"/>
        </w:rPr>
      </w:pPr>
      <w:bookmarkStart w:id="455" w:name="_Toc351203630"/>
      <w:bookmarkStart w:id="456" w:name="_Toc296346651"/>
      <w:bookmarkStart w:id="457" w:name="_Toc296503150"/>
      <w:bookmarkStart w:id="458" w:name="_Toc337558844"/>
      <w:r>
        <w:rPr>
          <w:rFonts w:hint="eastAsia" w:ascii="宋体" w:hAnsi="宋体" w:cs="宋体"/>
          <w:szCs w:val="21"/>
          <w:highlight w:val="none"/>
        </w:rPr>
        <w:t>20.4仲裁或诉讼</w:t>
      </w:r>
      <w:bookmarkEnd w:id="455"/>
    </w:p>
    <w:bookmarkEnd w:id="456"/>
    <w:bookmarkEnd w:id="457"/>
    <w:bookmarkEnd w:id="458"/>
    <w:p w14:paraId="4002DDE9">
      <w:pPr>
        <w:spacing w:line="360" w:lineRule="auto"/>
        <w:ind w:firstLine="420" w:firstLineChars="200"/>
        <w:rPr>
          <w:rFonts w:ascii="宋体" w:hAnsi="宋体" w:cs="宋体"/>
          <w:szCs w:val="21"/>
          <w:highlight w:val="none"/>
        </w:rPr>
      </w:pPr>
      <w:r>
        <w:rPr>
          <w:rFonts w:hint="eastAsia" w:ascii="宋体" w:hAnsi="宋体" w:cs="宋体"/>
          <w:szCs w:val="21"/>
          <w:highlight w:val="none"/>
        </w:rPr>
        <w:t>因合同及合同有关事项产生的争议，合同当事人可以在专用合同条款中约定以下一种方式解决争议：</w:t>
      </w:r>
    </w:p>
    <w:p w14:paraId="1E136071">
      <w:pPr>
        <w:spacing w:line="360" w:lineRule="auto"/>
        <w:ind w:firstLine="420" w:firstLineChars="200"/>
        <w:rPr>
          <w:rFonts w:ascii="宋体" w:hAnsi="宋体" w:cs="宋体"/>
          <w:szCs w:val="21"/>
          <w:highlight w:val="none"/>
        </w:rPr>
      </w:pPr>
      <w:r>
        <w:rPr>
          <w:rFonts w:hint="eastAsia" w:ascii="宋体" w:hAnsi="宋体" w:cs="宋体"/>
          <w:szCs w:val="21"/>
          <w:highlight w:val="none"/>
        </w:rPr>
        <w:t>（1）向约定的仲裁委员会申请仲裁；</w:t>
      </w:r>
    </w:p>
    <w:p w14:paraId="3E0FE19C">
      <w:pPr>
        <w:spacing w:line="360" w:lineRule="auto"/>
        <w:ind w:firstLine="420" w:firstLineChars="200"/>
        <w:rPr>
          <w:rFonts w:ascii="宋体" w:hAnsi="宋体" w:cs="宋体"/>
          <w:szCs w:val="21"/>
          <w:highlight w:val="none"/>
        </w:rPr>
      </w:pPr>
      <w:r>
        <w:rPr>
          <w:rFonts w:hint="eastAsia" w:ascii="宋体" w:hAnsi="宋体" w:cs="宋体"/>
          <w:szCs w:val="21"/>
          <w:highlight w:val="none"/>
        </w:rPr>
        <w:t>（2）向有管辖权的人民法院起诉。</w:t>
      </w:r>
    </w:p>
    <w:p w14:paraId="62073F73">
      <w:pPr>
        <w:spacing w:line="360" w:lineRule="auto"/>
        <w:ind w:firstLine="420" w:firstLineChars="200"/>
        <w:rPr>
          <w:rFonts w:ascii="宋体" w:hAnsi="宋体" w:cs="宋体"/>
          <w:szCs w:val="21"/>
          <w:highlight w:val="none"/>
        </w:rPr>
      </w:pPr>
      <w:bookmarkStart w:id="459" w:name="_Toc351203631"/>
      <w:bookmarkStart w:id="460" w:name="_Toc296503152"/>
      <w:bookmarkStart w:id="461" w:name="_Toc296346653"/>
      <w:bookmarkStart w:id="462" w:name="_Toc337558845"/>
      <w:r>
        <w:rPr>
          <w:rFonts w:hint="eastAsia" w:ascii="宋体" w:hAnsi="宋体" w:cs="宋体"/>
          <w:szCs w:val="21"/>
          <w:highlight w:val="none"/>
        </w:rPr>
        <w:t>20.5争议解决条款效力</w:t>
      </w:r>
      <w:bookmarkEnd w:id="459"/>
    </w:p>
    <w:bookmarkEnd w:id="460"/>
    <w:bookmarkEnd w:id="461"/>
    <w:bookmarkEnd w:id="462"/>
    <w:p w14:paraId="6BDD14F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合同有关争议解决的条款独立存在，合同的变更、解除、终止、无效或者被撤销均不影响其效力。 </w:t>
      </w:r>
    </w:p>
    <w:p w14:paraId="3263188B">
      <w:pPr>
        <w:pStyle w:val="5"/>
        <w:jc w:val="center"/>
        <w:rPr>
          <w:rFonts w:ascii="宋体" w:hAnsi="宋体" w:cs="宋体"/>
          <w:b w:val="0"/>
          <w:szCs w:val="24"/>
          <w:highlight w:val="none"/>
        </w:rPr>
      </w:pPr>
      <w:r>
        <w:rPr>
          <w:rFonts w:hint="eastAsia" w:ascii="宋体" w:hAnsi="宋体" w:cs="宋体"/>
          <w:bCs w:val="0"/>
          <w:szCs w:val="24"/>
          <w:highlight w:val="none"/>
        </w:rPr>
        <w:t>第三部分 专用合同条款</w:t>
      </w:r>
    </w:p>
    <w:p w14:paraId="0345C0A2">
      <w:pPr>
        <w:pStyle w:val="6"/>
        <w:spacing w:before="120" w:after="120"/>
        <w:rPr>
          <w:rFonts w:ascii="宋体" w:hAnsi="宋体" w:cs="宋体"/>
          <w:bCs/>
          <w:color w:val="auto"/>
          <w:kern w:val="0"/>
          <w:sz w:val="24"/>
          <w:szCs w:val="24"/>
          <w:highlight w:val="none"/>
          <w:u w:val="none"/>
        </w:rPr>
      </w:pPr>
      <w:bookmarkStart w:id="463" w:name="_Toc351203633"/>
      <w:bookmarkStart w:id="464" w:name="_Toc5297_WPSOffice_Level3"/>
      <w:r>
        <w:rPr>
          <w:rFonts w:hint="eastAsia" w:ascii="宋体" w:hAnsi="宋体" w:cs="宋体"/>
          <w:bCs/>
          <w:color w:val="auto"/>
          <w:kern w:val="0"/>
          <w:sz w:val="24"/>
          <w:szCs w:val="24"/>
          <w:highlight w:val="none"/>
          <w:u w:val="none"/>
        </w:rPr>
        <w:t>1</w:t>
      </w:r>
      <w:bookmarkStart w:id="465" w:name="_Toc297048342"/>
      <w:bookmarkStart w:id="466" w:name="_Toc296347155"/>
      <w:bookmarkStart w:id="467" w:name="_Toc296346657"/>
      <w:bookmarkStart w:id="468" w:name="_Toc296503156"/>
      <w:bookmarkStart w:id="469" w:name="_Toc296944495"/>
      <w:bookmarkStart w:id="470" w:name="_Toc292559361"/>
      <w:bookmarkStart w:id="471" w:name="_Toc292559866"/>
      <w:bookmarkStart w:id="472" w:name="_Toc296891196"/>
      <w:bookmarkStart w:id="473" w:name="_Toc296890984"/>
      <w:bookmarkStart w:id="474" w:name="_Toc297120456"/>
      <w:r>
        <w:rPr>
          <w:rFonts w:hint="eastAsia" w:ascii="宋体" w:hAnsi="宋体" w:cs="宋体"/>
          <w:bCs/>
          <w:color w:val="auto"/>
          <w:kern w:val="0"/>
          <w:sz w:val="24"/>
          <w:szCs w:val="24"/>
          <w:highlight w:val="none"/>
          <w:u w:val="none"/>
        </w:rPr>
        <w:t>. 一般约定</w:t>
      </w:r>
      <w:bookmarkEnd w:id="463"/>
      <w:bookmarkEnd w:id="464"/>
    </w:p>
    <w:bookmarkEnd w:id="465"/>
    <w:bookmarkEnd w:id="466"/>
    <w:bookmarkEnd w:id="467"/>
    <w:bookmarkEnd w:id="468"/>
    <w:bookmarkEnd w:id="469"/>
    <w:bookmarkEnd w:id="470"/>
    <w:bookmarkEnd w:id="471"/>
    <w:bookmarkEnd w:id="472"/>
    <w:bookmarkEnd w:id="473"/>
    <w:bookmarkEnd w:id="474"/>
    <w:p w14:paraId="6CE0590A">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1.1 词语定义</w:t>
      </w:r>
    </w:p>
    <w:p w14:paraId="77EDA8D7">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1.1.1合同</w:t>
      </w:r>
    </w:p>
    <w:p w14:paraId="25472754">
      <w:pPr>
        <w:spacing w:line="360" w:lineRule="auto"/>
        <w:ind w:left="1214" w:leftChars="228" w:hanging="735" w:hangingChars="350"/>
        <w:rPr>
          <w:rFonts w:ascii="宋体" w:hAnsi="宋体" w:cs="宋体"/>
          <w:bCs/>
          <w:kern w:val="0"/>
          <w:szCs w:val="21"/>
          <w:highlight w:val="none"/>
        </w:rPr>
      </w:pPr>
      <w:r>
        <w:rPr>
          <w:rFonts w:hint="eastAsia" w:ascii="宋体" w:hAnsi="宋体" w:cs="宋体"/>
          <w:bCs/>
          <w:kern w:val="0"/>
          <w:szCs w:val="21"/>
          <w:highlight w:val="none"/>
        </w:rPr>
        <w:t>1.1.1.10其他合同文件包括：</w:t>
      </w:r>
    </w:p>
    <w:p w14:paraId="6AEC9091">
      <w:pPr>
        <w:spacing w:line="360" w:lineRule="auto"/>
        <w:ind w:firstLine="422" w:firstLineChars="200"/>
        <w:rPr>
          <w:rFonts w:ascii="宋体" w:hAnsi="宋体" w:cs="宋体"/>
          <w:b/>
          <w:bCs/>
          <w:szCs w:val="21"/>
          <w:highlight w:val="none"/>
          <w:u w:val="single"/>
        </w:rPr>
      </w:pPr>
      <w:r>
        <w:rPr>
          <w:rFonts w:hint="eastAsia" w:ascii="宋体" w:hAnsi="宋体" w:cs="宋体"/>
          <w:b/>
          <w:bCs/>
          <w:szCs w:val="21"/>
          <w:highlight w:val="none"/>
          <w:u w:val="single"/>
        </w:rPr>
        <w:t>招标文件、工程量清单、招标答疑文件、图纸投标文件、承诺书、中标通知书、履行合同过程中双方确认的对合同有影响的会议纪要、签证、及设计变更等相关资料</w:t>
      </w:r>
      <w:r>
        <w:rPr>
          <w:rFonts w:hint="eastAsia" w:ascii="宋体" w:hAnsi="宋体" w:cs="宋体"/>
          <w:b/>
          <w:bCs/>
          <w:szCs w:val="21"/>
          <w:highlight w:val="none"/>
        </w:rPr>
        <w:t>。</w:t>
      </w:r>
    </w:p>
    <w:p w14:paraId="7F1C093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1.1.2 合同当事人及其他相关方</w:t>
      </w:r>
    </w:p>
    <w:p w14:paraId="7066050E">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1.1.2.4监理人：</w:t>
      </w:r>
    </w:p>
    <w:p w14:paraId="34CB196D">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名    称：</w:t>
      </w:r>
      <w:r>
        <w:rPr>
          <w:rFonts w:hint="eastAsia" w:ascii="宋体" w:hAnsi="宋体" w:cs="宋体"/>
          <w:bCs/>
          <w:szCs w:val="21"/>
          <w:highlight w:val="none"/>
          <w:u w:val="single"/>
        </w:rPr>
        <w:t xml:space="preserve">                </w:t>
      </w:r>
      <w:r>
        <w:rPr>
          <w:rFonts w:hint="eastAsia" w:ascii="宋体" w:hAnsi="宋体" w:cs="宋体"/>
          <w:bCs/>
          <w:szCs w:val="21"/>
          <w:highlight w:val="none"/>
        </w:rPr>
        <w:t>；</w:t>
      </w:r>
    </w:p>
    <w:p w14:paraId="5112265C">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资质类别和等级：</w:t>
      </w:r>
      <w:r>
        <w:rPr>
          <w:rFonts w:hint="eastAsia" w:ascii="宋体" w:hAnsi="宋体" w:cs="宋体"/>
          <w:bCs/>
          <w:szCs w:val="21"/>
          <w:highlight w:val="none"/>
          <w:u w:val="single"/>
        </w:rPr>
        <w:t>               </w:t>
      </w:r>
      <w:r>
        <w:rPr>
          <w:rFonts w:hint="eastAsia" w:ascii="宋体" w:hAnsi="宋体" w:cs="宋体"/>
          <w:bCs/>
          <w:szCs w:val="21"/>
          <w:highlight w:val="none"/>
        </w:rPr>
        <w:t>；</w:t>
      </w:r>
    </w:p>
    <w:p w14:paraId="12149FC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联系电话：</w:t>
      </w:r>
      <w:r>
        <w:rPr>
          <w:rFonts w:hint="eastAsia" w:ascii="宋体" w:hAnsi="宋体" w:cs="宋体"/>
          <w:bCs/>
          <w:szCs w:val="21"/>
          <w:highlight w:val="none"/>
          <w:u w:val="single"/>
        </w:rPr>
        <w:t>                </w:t>
      </w:r>
      <w:r>
        <w:rPr>
          <w:rFonts w:hint="eastAsia" w:ascii="宋体" w:hAnsi="宋体" w:cs="宋体"/>
          <w:bCs/>
          <w:szCs w:val="21"/>
          <w:highlight w:val="none"/>
        </w:rPr>
        <w:t>；</w:t>
      </w:r>
    </w:p>
    <w:p w14:paraId="7175622A">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电子信箱：</w:t>
      </w:r>
      <w:r>
        <w:rPr>
          <w:rFonts w:hint="eastAsia" w:ascii="宋体" w:hAnsi="宋体" w:cs="宋体"/>
          <w:bCs/>
          <w:szCs w:val="21"/>
          <w:highlight w:val="none"/>
          <w:u w:val="single"/>
        </w:rPr>
        <w:t>                </w:t>
      </w:r>
      <w:r>
        <w:rPr>
          <w:rFonts w:hint="eastAsia" w:ascii="宋体" w:hAnsi="宋体" w:cs="宋体"/>
          <w:bCs/>
          <w:szCs w:val="21"/>
          <w:highlight w:val="none"/>
        </w:rPr>
        <w:t>；</w:t>
      </w:r>
    </w:p>
    <w:p w14:paraId="49F5AEB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通信地址：</w:t>
      </w:r>
      <w:r>
        <w:rPr>
          <w:rFonts w:hint="eastAsia" w:ascii="宋体" w:hAnsi="宋体" w:cs="宋体"/>
          <w:bCs/>
          <w:szCs w:val="21"/>
          <w:highlight w:val="none"/>
          <w:u w:val="single"/>
        </w:rPr>
        <w:t>                </w:t>
      </w:r>
      <w:r>
        <w:rPr>
          <w:rFonts w:hint="eastAsia" w:ascii="宋体" w:hAnsi="宋体" w:cs="宋体"/>
          <w:bCs/>
          <w:szCs w:val="21"/>
          <w:highlight w:val="none"/>
        </w:rPr>
        <w:t>。</w:t>
      </w:r>
    </w:p>
    <w:p w14:paraId="2A15CB30">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1.1.2.5 设计人：</w:t>
      </w:r>
    </w:p>
    <w:p w14:paraId="1175A54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名    称：</w:t>
      </w:r>
      <w:r>
        <w:rPr>
          <w:rFonts w:hint="eastAsia" w:ascii="宋体" w:hAnsi="宋体" w:cs="宋体"/>
          <w:bCs/>
          <w:szCs w:val="21"/>
          <w:highlight w:val="none"/>
          <w:u w:val="single"/>
        </w:rPr>
        <w:t xml:space="preserve">                 </w:t>
      </w:r>
      <w:r>
        <w:rPr>
          <w:rFonts w:hint="eastAsia" w:ascii="宋体" w:hAnsi="宋体" w:cs="宋体"/>
          <w:bCs/>
          <w:szCs w:val="21"/>
          <w:highlight w:val="none"/>
        </w:rPr>
        <w:t>；</w:t>
      </w:r>
    </w:p>
    <w:p w14:paraId="10A9254C">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资质类别和等级：</w:t>
      </w:r>
      <w:r>
        <w:rPr>
          <w:rFonts w:hint="eastAsia" w:ascii="宋体" w:hAnsi="宋体" w:cs="宋体"/>
          <w:bCs/>
          <w:szCs w:val="21"/>
          <w:highlight w:val="none"/>
          <w:u w:val="single"/>
        </w:rPr>
        <w:t>               </w:t>
      </w:r>
      <w:r>
        <w:rPr>
          <w:rFonts w:hint="eastAsia" w:ascii="宋体" w:hAnsi="宋体" w:cs="宋体"/>
          <w:bCs/>
          <w:szCs w:val="21"/>
          <w:highlight w:val="none"/>
        </w:rPr>
        <w:t>；</w:t>
      </w:r>
    </w:p>
    <w:p w14:paraId="56AA777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联系电话：</w:t>
      </w:r>
      <w:r>
        <w:rPr>
          <w:rFonts w:hint="eastAsia" w:ascii="宋体" w:hAnsi="宋体" w:cs="宋体"/>
          <w:bCs/>
          <w:szCs w:val="21"/>
          <w:highlight w:val="none"/>
          <w:u w:val="single"/>
        </w:rPr>
        <w:t>                 </w:t>
      </w:r>
      <w:r>
        <w:rPr>
          <w:rFonts w:hint="eastAsia" w:ascii="宋体" w:hAnsi="宋体" w:cs="宋体"/>
          <w:bCs/>
          <w:szCs w:val="21"/>
          <w:highlight w:val="none"/>
        </w:rPr>
        <w:t>；</w:t>
      </w:r>
    </w:p>
    <w:p w14:paraId="496BA5D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电子信箱：</w:t>
      </w:r>
      <w:r>
        <w:rPr>
          <w:rFonts w:hint="eastAsia" w:ascii="宋体" w:hAnsi="宋体" w:cs="宋体"/>
          <w:bCs/>
          <w:szCs w:val="21"/>
          <w:highlight w:val="none"/>
          <w:u w:val="single"/>
        </w:rPr>
        <w:t xml:space="preserve">                    </w:t>
      </w:r>
      <w:r>
        <w:rPr>
          <w:rFonts w:hint="eastAsia" w:ascii="宋体" w:hAnsi="宋体" w:cs="宋体"/>
          <w:bCs/>
          <w:szCs w:val="21"/>
          <w:highlight w:val="none"/>
        </w:rPr>
        <w:t>；</w:t>
      </w:r>
    </w:p>
    <w:p w14:paraId="59CBC1A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通信地址：</w:t>
      </w:r>
      <w:r>
        <w:rPr>
          <w:rFonts w:hint="eastAsia" w:ascii="宋体" w:hAnsi="宋体" w:cs="宋体"/>
          <w:bCs/>
          <w:szCs w:val="21"/>
          <w:highlight w:val="none"/>
          <w:u w:val="single"/>
        </w:rPr>
        <w:t>                </w:t>
      </w:r>
      <w:r>
        <w:rPr>
          <w:rFonts w:hint="eastAsia" w:ascii="宋体" w:hAnsi="宋体" w:cs="宋体"/>
          <w:bCs/>
          <w:szCs w:val="21"/>
          <w:highlight w:val="none"/>
        </w:rPr>
        <w:t>。</w:t>
      </w:r>
    </w:p>
    <w:p w14:paraId="0CA94567">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 xml:space="preserve">1.3法律 </w:t>
      </w:r>
    </w:p>
    <w:p w14:paraId="452A6A96">
      <w:pPr>
        <w:spacing w:after="120" w:line="360" w:lineRule="auto"/>
        <w:ind w:firstLine="420" w:firstLineChars="200"/>
        <w:rPr>
          <w:rFonts w:ascii="宋体" w:hAnsi="宋体" w:cs="宋体"/>
          <w:bCs/>
          <w:szCs w:val="21"/>
          <w:highlight w:val="none"/>
          <w:u w:val="single"/>
        </w:rPr>
      </w:pPr>
      <w:r>
        <w:rPr>
          <w:rFonts w:hint="eastAsia" w:ascii="宋体" w:hAnsi="宋体" w:cs="宋体"/>
          <w:bCs/>
          <w:szCs w:val="21"/>
          <w:highlight w:val="none"/>
        </w:rPr>
        <w:t>适用于合同的其他规范性文件：</w:t>
      </w:r>
      <w:r>
        <w:rPr>
          <w:rFonts w:hint="eastAsia" w:ascii="宋体" w:hAnsi="宋体" w:cs="宋体"/>
          <w:bCs/>
          <w:szCs w:val="21"/>
          <w:highlight w:val="none"/>
          <w:u w:val="single"/>
        </w:rPr>
        <w:t>《中华人民共和国建筑法》、《中华人民共和国民法典》、《中华人民共和国安全生产法》；陕西省、西安市关于安全生产文明施工的法规、条例和规范性文件等。</w:t>
      </w:r>
    </w:p>
    <w:p w14:paraId="75363812">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1.4 标准和规范</w:t>
      </w:r>
    </w:p>
    <w:p w14:paraId="03982FD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1.4.1适用于工程的标准规范包括：</w:t>
      </w:r>
      <w:r>
        <w:rPr>
          <w:rFonts w:hint="eastAsia" w:ascii="宋体" w:hAnsi="宋体" w:cs="宋体"/>
          <w:szCs w:val="21"/>
          <w:highlight w:val="none"/>
          <w:u w:val="single"/>
        </w:rPr>
        <w:t>执行国家建筑工程施工及验收规范标准以及材料、设备所涉及的现行国家、省、市或行业的工程建设标准、规范的要求</w:t>
      </w:r>
      <w:r>
        <w:rPr>
          <w:rFonts w:hint="eastAsia" w:ascii="宋体" w:hAnsi="宋体" w:cs="宋体"/>
          <w:bCs/>
          <w:szCs w:val="21"/>
          <w:highlight w:val="none"/>
        </w:rPr>
        <w:t>。</w:t>
      </w:r>
    </w:p>
    <w:p w14:paraId="09213606">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1.4.2 发包人提供国外标准、规范的名称：</w:t>
      </w:r>
      <w:r>
        <w:rPr>
          <w:rFonts w:hint="eastAsia" w:ascii="宋体" w:hAnsi="宋体" w:cs="宋体"/>
          <w:bCs/>
          <w:kern w:val="0"/>
          <w:szCs w:val="21"/>
          <w:highlight w:val="none"/>
          <w:u w:val="single"/>
        </w:rPr>
        <w:t xml:space="preserve">   无   </w:t>
      </w:r>
      <w:r>
        <w:rPr>
          <w:rFonts w:hint="eastAsia" w:ascii="宋体" w:hAnsi="宋体" w:cs="宋体"/>
          <w:bCs/>
          <w:kern w:val="0"/>
          <w:szCs w:val="21"/>
          <w:highlight w:val="none"/>
        </w:rPr>
        <w:t>；</w:t>
      </w:r>
    </w:p>
    <w:p w14:paraId="7E628002">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发包人提供国外标准、规范的份数：</w:t>
      </w:r>
      <w:r>
        <w:rPr>
          <w:rFonts w:hint="eastAsia" w:ascii="宋体" w:hAnsi="宋体" w:cs="宋体"/>
          <w:bCs/>
          <w:kern w:val="0"/>
          <w:szCs w:val="21"/>
          <w:highlight w:val="none"/>
          <w:u w:val="single"/>
        </w:rPr>
        <w:t xml:space="preserve">   无   </w:t>
      </w:r>
      <w:r>
        <w:rPr>
          <w:rFonts w:hint="eastAsia" w:ascii="宋体" w:hAnsi="宋体" w:cs="宋体"/>
          <w:bCs/>
          <w:kern w:val="0"/>
          <w:szCs w:val="21"/>
          <w:highlight w:val="none"/>
        </w:rPr>
        <w:t>；</w:t>
      </w:r>
    </w:p>
    <w:p w14:paraId="7C789D54">
      <w:pPr>
        <w:spacing w:line="360" w:lineRule="auto"/>
        <w:ind w:firstLine="420" w:firstLineChars="200"/>
        <w:rPr>
          <w:rFonts w:ascii="宋体" w:hAnsi="宋体" w:cs="宋体"/>
          <w:bCs/>
          <w:szCs w:val="21"/>
          <w:highlight w:val="none"/>
        </w:rPr>
      </w:pPr>
      <w:r>
        <w:rPr>
          <w:rFonts w:hint="eastAsia" w:ascii="宋体" w:hAnsi="宋体" w:cs="宋体"/>
          <w:bCs/>
          <w:kern w:val="0"/>
          <w:szCs w:val="21"/>
          <w:highlight w:val="none"/>
        </w:rPr>
        <w:t>发包人提供国外标准、规范的名称：</w:t>
      </w:r>
      <w:r>
        <w:rPr>
          <w:rFonts w:hint="eastAsia" w:ascii="宋体" w:hAnsi="宋体" w:cs="宋体"/>
          <w:bCs/>
          <w:kern w:val="0"/>
          <w:szCs w:val="21"/>
          <w:highlight w:val="none"/>
          <w:u w:val="single"/>
        </w:rPr>
        <w:t xml:space="preserve">   无   </w:t>
      </w:r>
      <w:r>
        <w:rPr>
          <w:rFonts w:hint="eastAsia" w:ascii="宋体" w:hAnsi="宋体" w:cs="宋体"/>
          <w:bCs/>
          <w:kern w:val="0"/>
          <w:szCs w:val="21"/>
          <w:highlight w:val="none"/>
        </w:rPr>
        <w:t>。</w:t>
      </w:r>
    </w:p>
    <w:p w14:paraId="689698FE">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1.4.3发包人对工程的技术部分投标文件准和功能要求的特殊要求：</w:t>
      </w:r>
      <w:r>
        <w:rPr>
          <w:rFonts w:hint="eastAsia" w:ascii="宋体" w:hAnsi="宋体" w:cs="宋体"/>
          <w:bCs/>
          <w:kern w:val="0"/>
          <w:szCs w:val="21"/>
          <w:highlight w:val="none"/>
          <w:u w:val="single"/>
        </w:rPr>
        <w:t xml:space="preserve">   无   </w:t>
      </w:r>
      <w:r>
        <w:rPr>
          <w:rFonts w:hint="eastAsia" w:ascii="宋体" w:hAnsi="宋体" w:cs="宋体"/>
          <w:bCs/>
          <w:kern w:val="0"/>
          <w:szCs w:val="21"/>
          <w:highlight w:val="none"/>
        </w:rPr>
        <w:t>。</w:t>
      </w:r>
    </w:p>
    <w:p w14:paraId="6DE1DC74">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1.5 合同文件的优先顺序</w:t>
      </w:r>
    </w:p>
    <w:p w14:paraId="5EC22CB7">
      <w:pPr>
        <w:spacing w:line="360" w:lineRule="auto"/>
        <w:ind w:firstLine="420" w:firstLineChars="200"/>
        <w:rPr>
          <w:highlight w:val="none"/>
        </w:rPr>
      </w:pPr>
      <w:r>
        <w:rPr>
          <w:rFonts w:hint="eastAsia" w:ascii="宋体" w:hAnsi="宋体" w:cs="宋体"/>
          <w:bCs/>
          <w:szCs w:val="21"/>
          <w:highlight w:val="none"/>
        </w:rPr>
        <w:t>合同文件组成及优先顺序为：</w:t>
      </w:r>
      <w:r>
        <w:rPr>
          <w:rFonts w:hint="eastAsia" w:ascii="宋体" w:hAnsi="宋体" w:cs="宋体"/>
          <w:szCs w:val="21"/>
          <w:highlight w:val="none"/>
          <w:u w:val="single"/>
        </w:rPr>
        <w:t>1.本合同协议书；2.本合同专用条款；3.施工招标文件及附件；4.工程量清单及答疑纪要；5.本合同通用条款；6.中标通知书；7.投标文件、已标价工程量清单及其附件；8.图纸；9.标准、规范及有关技术文件；10.合同签署及履行中承发包双方之间澄清、洽商、变更等明确双方权利义务的纪要、补充协议</w:t>
      </w:r>
      <w:r>
        <w:rPr>
          <w:rFonts w:hint="eastAsia" w:ascii="宋体" w:hAnsi="宋体" w:cs="宋体"/>
          <w:bCs/>
          <w:szCs w:val="21"/>
          <w:highlight w:val="none"/>
        </w:rPr>
        <w:t>。</w:t>
      </w:r>
    </w:p>
    <w:p w14:paraId="360A1E5B">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1.6 图纸和承包人文件</w:t>
      </w:r>
      <w:r>
        <w:rPr>
          <w:rFonts w:hint="eastAsia" w:ascii="宋体" w:hAnsi="宋体" w:cs="宋体"/>
          <w:bCs/>
          <w:kern w:val="0"/>
          <w:szCs w:val="21"/>
          <w:highlight w:val="none"/>
        </w:rPr>
        <w:tab/>
      </w:r>
    </w:p>
    <w:p w14:paraId="181A4568">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1.6.1 图纸的提供</w:t>
      </w:r>
    </w:p>
    <w:p w14:paraId="1F1A00CA">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发包人向承包人提供图纸的期限：</w:t>
      </w:r>
      <w:r>
        <w:rPr>
          <w:rFonts w:hint="eastAsia" w:ascii="宋体" w:hAnsi="宋体" w:cs="宋体"/>
          <w:szCs w:val="21"/>
          <w:highlight w:val="none"/>
          <w:u w:val="single"/>
        </w:rPr>
        <w:t xml:space="preserve">             </w:t>
      </w:r>
      <w:r>
        <w:rPr>
          <w:rFonts w:hint="eastAsia" w:ascii="宋体" w:hAnsi="宋体" w:cs="宋体"/>
          <w:bCs/>
          <w:szCs w:val="21"/>
          <w:highlight w:val="none"/>
        </w:rPr>
        <w:t>；</w:t>
      </w:r>
    </w:p>
    <w:p w14:paraId="669B3DD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发包人向承包人提供图纸的数量：</w:t>
      </w:r>
      <w:r>
        <w:rPr>
          <w:rFonts w:hint="eastAsia" w:ascii="宋体" w:hAnsi="宋体" w:cs="宋体"/>
          <w:szCs w:val="21"/>
          <w:highlight w:val="none"/>
          <w:u w:val="single"/>
        </w:rPr>
        <w:t>以双方实际约定的数量为准。</w:t>
      </w:r>
      <w:r>
        <w:rPr>
          <w:rFonts w:hint="eastAsia" w:ascii="宋体" w:hAnsi="宋体" w:cs="宋体"/>
          <w:bCs/>
          <w:szCs w:val="21"/>
          <w:highlight w:val="none"/>
        </w:rPr>
        <w:t>；</w:t>
      </w:r>
    </w:p>
    <w:p w14:paraId="0012965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发包人向承包人提供图纸的内容：</w:t>
      </w:r>
      <w:r>
        <w:rPr>
          <w:rFonts w:hint="eastAsia" w:ascii="宋体" w:hAnsi="宋体" w:cs="宋体"/>
          <w:szCs w:val="21"/>
          <w:highlight w:val="none"/>
          <w:u w:val="single"/>
        </w:rPr>
        <w:t xml:space="preserve">                      </w:t>
      </w:r>
      <w:r>
        <w:rPr>
          <w:rFonts w:hint="eastAsia" w:ascii="宋体" w:hAnsi="宋体" w:cs="宋体"/>
          <w:szCs w:val="21"/>
          <w:highlight w:val="none"/>
        </w:rPr>
        <w:t>；</w:t>
      </w:r>
    </w:p>
    <w:p w14:paraId="0D81CE9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1.6.4 承包人文件</w:t>
      </w:r>
    </w:p>
    <w:p w14:paraId="56478F5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需要由承包人提供的文件，包括：</w:t>
      </w:r>
      <w:r>
        <w:rPr>
          <w:rFonts w:hint="eastAsia" w:ascii="宋体" w:hAnsi="宋体" w:cs="宋体"/>
          <w:szCs w:val="21"/>
          <w:highlight w:val="none"/>
          <w:u w:val="single"/>
        </w:rPr>
        <w:t>实施性施工组织设计及方案</w:t>
      </w:r>
      <w:r>
        <w:rPr>
          <w:rFonts w:hint="eastAsia" w:ascii="宋体" w:hAnsi="宋体" w:cs="宋体"/>
          <w:bCs/>
          <w:szCs w:val="21"/>
          <w:highlight w:val="none"/>
        </w:rPr>
        <w:t>；</w:t>
      </w:r>
    </w:p>
    <w:p w14:paraId="486E3C7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承包人提供的文件的期限为：</w:t>
      </w:r>
      <w:r>
        <w:rPr>
          <w:rFonts w:hint="eastAsia" w:ascii="宋体" w:hAnsi="宋体" w:cs="宋体"/>
          <w:szCs w:val="21"/>
          <w:highlight w:val="none"/>
          <w:u w:val="single"/>
        </w:rPr>
        <w:t>开工前</w:t>
      </w:r>
      <w:r>
        <w:rPr>
          <w:rFonts w:hint="eastAsia" w:ascii="宋体" w:hAnsi="宋体" w:cs="宋体"/>
          <w:bCs/>
          <w:szCs w:val="21"/>
          <w:highlight w:val="none"/>
        </w:rPr>
        <w:t>；</w:t>
      </w:r>
    </w:p>
    <w:p w14:paraId="22AC792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承包人提供的文件的数量为：</w:t>
      </w:r>
      <w:r>
        <w:rPr>
          <w:rFonts w:hint="eastAsia" w:ascii="宋体" w:hAnsi="宋体" w:cs="宋体"/>
          <w:bCs/>
          <w:szCs w:val="21"/>
          <w:highlight w:val="none"/>
          <w:u w:val="single"/>
        </w:rPr>
        <w:t xml:space="preserve">       </w:t>
      </w:r>
      <w:r>
        <w:rPr>
          <w:rFonts w:hint="eastAsia" w:ascii="宋体" w:hAnsi="宋体" w:cs="宋体"/>
          <w:bCs/>
          <w:szCs w:val="21"/>
          <w:highlight w:val="none"/>
        </w:rPr>
        <w:t>；</w:t>
      </w:r>
    </w:p>
    <w:p w14:paraId="0CA9DA1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承包人提供的文件的形式为：</w:t>
      </w:r>
      <w:r>
        <w:rPr>
          <w:rFonts w:hint="eastAsia" w:ascii="宋体" w:hAnsi="宋体" w:cs="宋体"/>
          <w:szCs w:val="21"/>
          <w:highlight w:val="none"/>
          <w:u w:val="single"/>
        </w:rPr>
        <w:t>书面文件</w:t>
      </w:r>
      <w:r>
        <w:rPr>
          <w:rFonts w:hint="eastAsia" w:ascii="宋体" w:hAnsi="宋体" w:cs="宋体"/>
          <w:bCs/>
          <w:szCs w:val="21"/>
          <w:highlight w:val="none"/>
        </w:rPr>
        <w:t>；</w:t>
      </w:r>
    </w:p>
    <w:p w14:paraId="19EB2DD0">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发包人审批承包人文件的期限：</w:t>
      </w:r>
      <w:r>
        <w:rPr>
          <w:rFonts w:hint="eastAsia" w:ascii="宋体" w:hAnsi="宋体" w:cs="宋体"/>
          <w:szCs w:val="21"/>
          <w:highlight w:val="none"/>
          <w:u w:val="single"/>
        </w:rPr>
        <w:t>收到文件后7个日历天内审查完毕</w:t>
      </w:r>
      <w:r>
        <w:rPr>
          <w:rFonts w:hint="eastAsia" w:ascii="宋体" w:hAnsi="宋体" w:cs="宋体"/>
          <w:bCs/>
          <w:szCs w:val="21"/>
          <w:highlight w:val="none"/>
        </w:rPr>
        <w:t>。</w:t>
      </w:r>
    </w:p>
    <w:p w14:paraId="524BB39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1.6.5 现场图纸准备</w:t>
      </w:r>
    </w:p>
    <w:p w14:paraId="002515C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关于现场图纸准备的约定：</w:t>
      </w:r>
      <w:r>
        <w:rPr>
          <w:rFonts w:hint="eastAsia" w:ascii="宋体" w:hAnsi="宋体" w:cs="宋体"/>
          <w:szCs w:val="21"/>
          <w:highlight w:val="none"/>
          <w:u w:val="single"/>
        </w:rPr>
        <w:t>由承包人准备</w:t>
      </w:r>
      <w:r>
        <w:rPr>
          <w:rFonts w:hint="eastAsia" w:ascii="宋体" w:hAnsi="宋体" w:cs="宋体"/>
          <w:bCs/>
          <w:szCs w:val="21"/>
          <w:highlight w:val="none"/>
        </w:rPr>
        <w:t>。</w:t>
      </w:r>
    </w:p>
    <w:p w14:paraId="5EFF51E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1.7 联络</w:t>
      </w:r>
    </w:p>
    <w:p w14:paraId="6DBE9FF4">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1.7.1发包人和承包人应当在</w:t>
      </w:r>
      <w:r>
        <w:rPr>
          <w:rFonts w:hint="eastAsia" w:ascii="宋体" w:hAnsi="宋体" w:cs="宋体"/>
          <w:bCs/>
          <w:szCs w:val="21"/>
          <w:highlight w:val="none"/>
          <w:u w:val="single"/>
        </w:rPr>
        <w:t>3</w:t>
      </w:r>
      <w:r>
        <w:rPr>
          <w:rFonts w:hint="eastAsia" w:ascii="宋体" w:hAnsi="宋体" w:cs="宋体"/>
          <w:bCs/>
          <w:kern w:val="0"/>
          <w:szCs w:val="21"/>
          <w:highlight w:val="none"/>
        </w:rPr>
        <w:t>天内将与合同有关的通知、批准、证明、证书、指示、指令、要求、请求、同意、意见、确定和决定等书面函件送达对方当事人。</w:t>
      </w:r>
    </w:p>
    <w:p w14:paraId="64B873FA">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1.7.2 发包人接收文件的地点：</w:t>
      </w:r>
      <w:r>
        <w:rPr>
          <w:rFonts w:hint="eastAsia" w:ascii="宋体" w:hAnsi="宋体" w:cs="宋体"/>
          <w:szCs w:val="21"/>
          <w:highlight w:val="none"/>
          <w:u w:val="single"/>
        </w:rPr>
        <w:t xml:space="preserve">              </w:t>
      </w:r>
      <w:r>
        <w:rPr>
          <w:rFonts w:hint="eastAsia" w:ascii="宋体" w:hAnsi="宋体" w:cs="宋体"/>
          <w:bCs/>
          <w:kern w:val="0"/>
          <w:szCs w:val="21"/>
          <w:highlight w:val="none"/>
        </w:rPr>
        <w:t>；</w:t>
      </w:r>
    </w:p>
    <w:p w14:paraId="4EE0371C">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发包人指定的接收人为：</w:t>
      </w:r>
      <w:r>
        <w:rPr>
          <w:rFonts w:hint="eastAsia" w:ascii="宋体" w:hAnsi="宋体" w:cs="宋体"/>
          <w:bCs/>
          <w:szCs w:val="21"/>
          <w:highlight w:val="none"/>
          <w:u w:val="single"/>
        </w:rPr>
        <w:t xml:space="preserve">          </w:t>
      </w:r>
      <w:r>
        <w:rPr>
          <w:rFonts w:hint="eastAsia" w:ascii="宋体" w:hAnsi="宋体" w:cs="宋体"/>
          <w:bCs/>
          <w:kern w:val="0"/>
          <w:szCs w:val="21"/>
          <w:highlight w:val="none"/>
        </w:rPr>
        <w:t>。</w:t>
      </w:r>
    </w:p>
    <w:p w14:paraId="04E93063">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承包人接收文件的地点：</w:t>
      </w:r>
      <w:r>
        <w:rPr>
          <w:rFonts w:hint="eastAsia" w:ascii="宋体" w:hAnsi="宋体" w:cs="宋体"/>
          <w:szCs w:val="21"/>
          <w:highlight w:val="none"/>
          <w:u w:val="single"/>
        </w:rPr>
        <w:t xml:space="preserve">                    </w:t>
      </w:r>
      <w:r>
        <w:rPr>
          <w:rFonts w:hint="eastAsia" w:ascii="宋体" w:hAnsi="宋体" w:cs="宋体"/>
          <w:bCs/>
          <w:kern w:val="0"/>
          <w:szCs w:val="21"/>
          <w:highlight w:val="none"/>
        </w:rPr>
        <w:t>；</w:t>
      </w:r>
    </w:p>
    <w:p w14:paraId="590AEF06">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承包人指定的接收人为：</w:t>
      </w:r>
      <w:r>
        <w:rPr>
          <w:rFonts w:hint="eastAsia" w:ascii="宋体" w:hAnsi="宋体" w:cs="宋体"/>
          <w:bCs/>
          <w:szCs w:val="21"/>
          <w:highlight w:val="none"/>
          <w:u w:val="single"/>
        </w:rPr>
        <w:t xml:space="preserve">       </w:t>
      </w:r>
      <w:r>
        <w:rPr>
          <w:rFonts w:hint="eastAsia" w:ascii="宋体" w:hAnsi="宋体" w:cs="宋体"/>
          <w:bCs/>
          <w:kern w:val="0"/>
          <w:szCs w:val="21"/>
          <w:highlight w:val="none"/>
        </w:rPr>
        <w:t>。</w:t>
      </w:r>
    </w:p>
    <w:p w14:paraId="2F805410">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监理人接收文件的地点：</w:t>
      </w:r>
      <w:r>
        <w:rPr>
          <w:rFonts w:hint="eastAsia" w:ascii="宋体" w:hAnsi="宋体" w:cs="宋体"/>
          <w:szCs w:val="21"/>
          <w:highlight w:val="none"/>
          <w:u w:val="single"/>
        </w:rPr>
        <w:t xml:space="preserve">                     </w:t>
      </w:r>
      <w:r>
        <w:rPr>
          <w:rFonts w:hint="eastAsia" w:ascii="宋体" w:hAnsi="宋体" w:cs="宋体"/>
          <w:bCs/>
          <w:kern w:val="0"/>
          <w:szCs w:val="21"/>
          <w:highlight w:val="none"/>
        </w:rPr>
        <w:t>；</w:t>
      </w:r>
    </w:p>
    <w:p w14:paraId="575E3ECF">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监理人指定的接收人为：</w:t>
      </w:r>
      <w:r>
        <w:rPr>
          <w:rFonts w:hint="eastAsia" w:ascii="宋体" w:hAnsi="宋体" w:cs="宋体"/>
          <w:bCs/>
          <w:szCs w:val="21"/>
          <w:highlight w:val="none"/>
          <w:u w:val="single"/>
        </w:rPr>
        <w:t xml:space="preserve">       </w:t>
      </w:r>
      <w:r>
        <w:rPr>
          <w:rFonts w:hint="eastAsia" w:ascii="宋体" w:hAnsi="宋体" w:cs="宋体"/>
          <w:bCs/>
          <w:kern w:val="0"/>
          <w:szCs w:val="21"/>
          <w:highlight w:val="none"/>
        </w:rPr>
        <w:t>。</w:t>
      </w:r>
    </w:p>
    <w:p w14:paraId="20C84162">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1.10 交通运输</w:t>
      </w:r>
    </w:p>
    <w:p w14:paraId="34C9FE11">
      <w:pPr>
        <w:spacing w:line="360" w:lineRule="auto"/>
        <w:ind w:firstLine="420" w:firstLineChars="200"/>
        <w:outlineLvl w:val="0"/>
        <w:rPr>
          <w:rFonts w:ascii="宋体" w:hAnsi="宋体" w:cs="宋体"/>
          <w:bCs/>
          <w:szCs w:val="21"/>
          <w:highlight w:val="none"/>
        </w:rPr>
      </w:pPr>
      <w:bookmarkStart w:id="475" w:name="_Toc6515"/>
      <w:bookmarkStart w:id="476" w:name="_Toc17451"/>
      <w:bookmarkStart w:id="477" w:name="_Toc26977"/>
      <w:bookmarkStart w:id="478" w:name="_Toc24736"/>
      <w:bookmarkStart w:id="479" w:name="_Toc17011"/>
      <w:bookmarkStart w:id="480" w:name="_Toc160"/>
      <w:bookmarkStart w:id="481" w:name="_Toc25129"/>
      <w:bookmarkStart w:id="482" w:name="_Toc31330"/>
      <w:bookmarkStart w:id="483" w:name="_Toc8708"/>
      <w:bookmarkStart w:id="484" w:name="_Toc11475"/>
      <w:bookmarkStart w:id="485" w:name="_Toc25887"/>
      <w:r>
        <w:rPr>
          <w:rFonts w:hint="eastAsia" w:ascii="宋体" w:hAnsi="宋体" w:cs="宋体"/>
          <w:bCs/>
          <w:szCs w:val="21"/>
          <w:highlight w:val="none"/>
        </w:rPr>
        <w:t>1</w:t>
      </w:r>
      <w:bookmarkStart w:id="486" w:name="_Toc303539100"/>
      <w:bookmarkStart w:id="487" w:name="_Toc304295521"/>
      <w:bookmarkStart w:id="488" w:name="_Toc300934943"/>
      <w:bookmarkStart w:id="489" w:name="_Toc312677986"/>
      <w:bookmarkStart w:id="490" w:name="_Toc318581155"/>
      <w:r>
        <w:rPr>
          <w:rFonts w:hint="eastAsia" w:ascii="宋体" w:hAnsi="宋体" w:cs="宋体"/>
          <w:bCs/>
          <w:szCs w:val="21"/>
          <w:highlight w:val="none"/>
        </w:rPr>
        <w:t>.10.1 出入现场的权利</w:t>
      </w:r>
      <w:bookmarkEnd w:id="475"/>
      <w:bookmarkEnd w:id="476"/>
      <w:bookmarkEnd w:id="477"/>
      <w:bookmarkEnd w:id="478"/>
      <w:bookmarkEnd w:id="479"/>
      <w:bookmarkEnd w:id="480"/>
      <w:bookmarkEnd w:id="481"/>
      <w:bookmarkEnd w:id="482"/>
      <w:bookmarkEnd w:id="483"/>
      <w:bookmarkEnd w:id="484"/>
      <w:bookmarkEnd w:id="485"/>
    </w:p>
    <w:p w14:paraId="1A7B023E">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关于出入现场的权利的约定：</w:t>
      </w:r>
      <w:r>
        <w:rPr>
          <w:rFonts w:hint="eastAsia" w:ascii="宋体" w:hAnsi="宋体" w:cs="宋体"/>
          <w:bCs/>
          <w:szCs w:val="21"/>
          <w:highlight w:val="none"/>
          <w:u w:val="single"/>
        </w:rPr>
        <w:t>承包人负责</w:t>
      </w:r>
      <w:r>
        <w:rPr>
          <w:rFonts w:hint="eastAsia" w:ascii="宋体" w:hAnsi="宋体" w:cs="宋体"/>
          <w:szCs w:val="21"/>
          <w:highlight w:val="none"/>
          <w:u w:val="single"/>
        </w:rPr>
        <w:t>现场管理，承包人应遵守发包人现场管理规定。承包人应按照发包人的要求负责取得出入现场的手续及权利</w:t>
      </w:r>
      <w:r>
        <w:rPr>
          <w:rFonts w:hint="eastAsia" w:ascii="宋体" w:hAnsi="宋体" w:cs="宋体"/>
          <w:bCs/>
          <w:szCs w:val="21"/>
          <w:highlight w:val="none"/>
        </w:rPr>
        <w:t>。</w:t>
      </w:r>
    </w:p>
    <w:bookmarkEnd w:id="486"/>
    <w:bookmarkEnd w:id="487"/>
    <w:bookmarkEnd w:id="488"/>
    <w:bookmarkEnd w:id="489"/>
    <w:bookmarkEnd w:id="490"/>
    <w:p w14:paraId="1EE5237C">
      <w:pPr>
        <w:spacing w:line="360" w:lineRule="auto"/>
        <w:ind w:firstLine="420" w:firstLineChars="200"/>
        <w:jc w:val="left"/>
        <w:outlineLvl w:val="0"/>
        <w:rPr>
          <w:rFonts w:ascii="宋体" w:hAnsi="宋体" w:cs="宋体"/>
          <w:bCs/>
          <w:szCs w:val="21"/>
          <w:highlight w:val="none"/>
        </w:rPr>
      </w:pPr>
      <w:bookmarkStart w:id="491" w:name="_Toc3029"/>
      <w:bookmarkStart w:id="492" w:name="_Toc31901"/>
      <w:bookmarkStart w:id="493" w:name="_Toc7633"/>
      <w:bookmarkStart w:id="494" w:name="_Toc16965"/>
      <w:bookmarkStart w:id="495" w:name="_Toc23361"/>
      <w:bookmarkStart w:id="496" w:name="_Toc30448"/>
      <w:bookmarkStart w:id="497" w:name="_Toc4081"/>
      <w:bookmarkStart w:id="498" w:name="_Toc28795"/>
      <w:bookmarkStart w:id="499" w:name="_Toc14468"/>
      <w:bookmarkStart w:id="500" w:name="_Toc29781"/>
      <w:bookmarkStart w:id="501" w:name="_Toc22735"/>
      <w:r>
        <w:rPr>
          <w:rFonts w:hint="eastAsia" w:ascii="宋体" w:hAnsi="宋体" w:cs="宋体"/>
          <w:bCs/>
          <w:szCs w:val="21"/>
          <w:highlight w:val="none"/>
        </w:rPr>
        <w:t>1</w:t>
      </w:r>
      <w:bookmarkStart w:id="502" w:name="_Toc304295522"/>
      <w:bookmarkStart w:id="503" w:name="_Toc300934944"/>
      <w:bookmarkStart w:id="504" w:name="_Toc318581156"/>
      <w:bookmarkStart w:id="505" w:name="_Toc312677987"/>
      <w:bookmarkStart w:id="506" w:name="_Toc303539101"/>
      <w:r>
        <w:rPr>
          <w:rFonts w:hint="eastAsia" w:ascii="宋体" w:hAnsi="宋体" w:cs="宋体"/>
          <w:bCs/>
          <w:szCs w:val="21"/>
          <w:highlight w:val="none"/>
        </w:rPr>
        <w:t>.10.3 场内交通</w:t>
      </w:r>
      <w:bookmarkEnd w:id="491"/>
      <w:bookmarkEnd w:id="492"/>
      <w:bookmarkEnd w:id="493"/>
      <w:bookmarkEnd w:id="494"/>
      <w:bookmarkEnd w:id="495"/>
      <w:bookmarkEnd w:id="496"/>
      <w:bookmarkEnd w:id="497"/>
      <w:bookmarkEnd w:id="498"/>
      <w:bookmarkEnd w:id="499"/>
      <w:bookmarkEnd w:id="500"/>
      <w:bookmarkEnd w:id="501"/>
    </w:p>
    <w:p w14:paraId="7AF57D68">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关于场外交通和场内交通的边界的约定：</w:t>
      </w:r>
      <w:r>
        <w:rPr>
          <w:rFonts w:hint="eastAsia" w:ascii="宋体" w:hAnsi="宋体" w:cs="宋体"/>
          <w:szCs w:val="21"/>
          <w:highlight w:val="none"/>
          <w:u w:val="single"/>
        </w:rPr>
        <w:t>根据现场情况，双方另行约定</w:t>
      </w:r>
      <w:r>
        <w:rPr>
          <w:rFonts w:hint="eastAsia" w:ascii="宋体" w:hAnsi="宋体" w:cs="宋体"/>
          <w:bCs/>
          <w:szCs w:val="21"/>
          <w:highlight w:val="none"/>
        </w:rPr>
        <w:t>。</w:t>
      </w:r>
    </w:p>
    <w:p w14:paraId="3622A1D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关于发包人向承包人免费提供满足工程施工需要的场内道路和交通设施的约定：</w:t>
      </w:r>
      <w:r>
        <w:rPr>
          <w:rFonts w:hint="eastAsia" w:ascii="宋体" w:hAnsi="宋体" w:cs="宋体"/>
          <w:szCs w:val="21"/>
          <w:highlight w:val="none"/>
          <w:u w:val="single"/>
        </w:rPr>
        <w:t>以场地现状为准，发包人不提供除现状外的其他道路</w:t>
      </w:r>
      <w:r>
        <w:rPr>
          <w:rFonts w:hint="eastAsia" w:ascii="宋体" w:hAnsi="宋体" w:cs="宋体"/>
          <w:bCs/>
          <w:szCs w:val="21"/>
          <w:highlight w:val="none"/>
        </w:rPr>
        <w:t>。</w:t>
      </w:r>
      <w:bookmarkEnd w:id="502"/>
      <w:bookmarkEnd w:id="503"/>
      <w:bookmarkEnd w:id="504"/>
      <w:bookmarkEnd w:id="505"/>
      <w:bookmarkEnd w:id="506"/>
      <w:r>
        <w:rPr>
          <w:rFonts w:hint="eastAsia" w:ascii="宋体" w:hAnsi="宋体" w:cs="宋体"/>
          <w:bCs/>
          <w:szCs w:val="21"/>
          <w:highlight w:val="none"/>
        </w:rPr>
        <w:t xml:space="preserve">  </w:t>
      </w:r>
      <w:bookmarkStart w:id="507" w:name="_Toc318581157"/>
    </w:p>
    <w:p w14:paraId="7A047931">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1.10.4超大件和超重件的运输</w:t>
      </w:r>
    </w:p>
    <w:p w14:paraId="0D92DF7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运输超大件或超重件所需的道路和桥梁临时加固改造费用和其他有关费用由</w:t>
      </w:r>
      <w:r>
        <w:rPr>
          <w:rFonts w:hint="eastAsia" w:ascii="宋体" w:hAnsi="宋体" w:cs="宋体"/>
          <w:bCs/>
          <w:szCs w:val="21"/>
          <w:highlight w:val="none"/>
          <w:u w:val="single"/>
        </w:rPr>
        <w:t>承包人</w:t>
      </w:r>
      <w:r>
        <w:rPr>
          <w:rFonts w:hint="eastAsia" w:ascii="宋体" w:hAnsi="宋体" w:cs="宋体"/>
          <w:bCs/>
          <w:szCs w:val="21"/>
          <w:highlight w:val="none"/>
        </w:rPr>
        <w:t>承担。</w:t>
      </w:r>
    </w:p>
    <w:bookmarkEnd w:id="507"/>
    <w:p w14:paraId="4D4395F1">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1.11 知识产权</w:t>
      </w:r>
    </w:p>
    <w:p w14:paraId="47796E3D">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Cs w:val="21"/>
          <w:highlight w:val="none"/>
          <w:u w:val="single"/>
        </w:rPr>
        <w:t>归属于发包人</w:t>
      </w:r>
      <w:r>
        <w:rPr>
          <w:rFonts w:hint="eastAsia" w:ascii="宋体" w:hAnsi="宋体" w:cs="宋体"/>
          <w:bCs/>
          <w:szCs w:val="21"/>
          <w:highlight w:val="none"/>
        </w:rPr>
        <w:t>。</w:t>
      </w:r>
    </w:p>
    <w:p w14:paraId="1EE8FD2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关于发包人提供的上述文件的使用限制的要求：</w:t>
      </w:r>
      <w:r>
        <w:rPr>
          <w:rFonts w:hint="eastAsia" w:ascii="宋体" w:hAnsi="宋体" w:cs="宋体"/>
          <w:szCs w:val="21"/>
          <w:highlight w:val="none"/>
          <w:u w:val="single"/>
        </w:rPr>
        <w:t>承包人对上述文件复制应经发包人同意并记录，按受控文件要求进行管理，不得外传、外借</w:t>
      </w:r>
      <w:r>
        <w:rPr>
          <w:rFonts w:hint="eastAsia" w:ascii="宋体" w:hAnsi="宋体" w:cs="宋体"/>
          <w:bCs/>
          <w:szCs w:val="21"/>
          <w:highlight w:val="none"/>
        </w:rPr>
        <w:t>。</w:t>
      </w:r>
    </w:p>
    <w:p w14:paraId="26773FDE">
      <w:pPr>
        <w:pStyle w:val="6"/>
        <w:spacing w:before="120" w:after="120"/>
        <w:rPr>
          <w:rFonts w:ascii="宋体" w:hAnsi="宋体" w:cs="宋体"/>
          <w:bCs/>
          <w:color w:val="auto"/>
          <w:kern w:val="0"/>
          <w:sz w:val="24"/>
          <w:szCs w:val="24"/>
          <w:highlight w:val="none"/>
          <w:u w:val="none"/>
        </w:rPr>
      </w:pPr>
      <w:bookmarkStart w:id="508" w:name="_Toc351203634"/>
      <w:bookmarkStart w:id="509" w:name="_Toc20072_WPSOffice_Level3"/>
      <w:r>
        <w:rPr>
          <w:rFonts w:hint="eastAsia" w:ascii="宋体" w:hAnsi="宋体" w:cs="宋体"/>
          <w:bCs/>
          <w:color w:val="auto"/>
          <w:kern w:val="0"/>
          <w:sz w:val="24"/>
          <w:szCs w:val="24"/>
          <w:highlight w:val="none"/>
          <w:u w:val="none"/>
        </w:rPr>
        <w:t>2</w:t>
      </w:r>
      <w:bookmarkStart w:id="510" w:name="_Toc296346658"/>
      <w:bookmarkStart w:id="511" w:name="_Toc292559867"/>
      <w:bookmarkStart w:id="512" w:name="_Toc292559362"/>
      <w:bookmarkStart w:id="513" w:name="_Toc296503157"/>
      <w:bookmarkStart w:id="514" w:name="_Toc296944496"/>
      <w:bookmarkStart w:id="515" w:name="_Toc296891197"/>
      <w:bookmarkStart w:id="516" w:name="_Toc296890985"/>
      <w:bookmarkStart w:id="517" w:name="_Toc297120457"/>
      <w:bookmarkStart w:id="518" w:name="_Toc297048343"/>
      <w:bookmarkStart w:id="519" w:name="_Toc296347156"/>
      <w:r>
        <w:rPr>
          <w:rFonts w:hint="eastAsia" w:ascii="宋体" w:hAnsi="宋体" w:cs="宋体"/>
          <w:bCs/>
          <w:color w:val="auto"/>
          <w:kern w:val="0"/>
          <w:sz w:val="24"/>
          <w:szCs w:val="24"/>
          <w:highlight w:val="none"/>
          <w:u w:val="none"/>
        </w:rPr>
        <w:t>. 发包人</w:t>
      </w:r>
      <w:bookmarkEnd w:id="508"/>
      <w:bookmarkEnd w:id="509"/>
    </w:p>
    <w:bookmarkEnd w:id="510"/>
    <w:bookmarkEnd w:id="511"/>
    <w:bookmarkEnd w:id="512"/>
    <w:bookmarkEnd w:id="513"/>
    <w:bookmarkEnd w:id="514"/>
    <w:bookmarkEnd w:id="515"/>
    <w:bookmarkEnd w:id="516"/>
    <w:bookmarkEnd w:id="517"/>
    <w:bookmarkEnd w:id="518"/>
    <w:bookmarkEnd w:id="519"/>
    <w:p w14:paraId="310DEA94">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2.2 发包人代表</w:t>
      </w:r>
    </w:p>
    <w:p w14:paraId="37A9850C">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发包人代表：</w:t>
      </w:r>
    </w:p>
    <w:p w14:paraId="0CEFF94A">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姓    名：</w:t>
      </w:r>
      <w:r>
        <w:rPr>
          <w:rFonts w:hint="eastAsia" w:ascii="宋体" w:hAnsi="宋体" w:cs="宋体"/>
          <w:bCs/>
          <w:szCs w:val="21"/>
          <w:highlight w:val="none"/>
          <w:u w:val="single"/>
        </w:rPr>
        <w:t>      </w:t>
      </w:r>
      <w:r>
        <w:rPr>
          <w:rFonts w:hint="eastAsia" w:ascii="宋体" w:hAnsi="宋体" w:cs="宋体"/>
          <w:bCs/>
          <w:szCs w:val="21"/>
          <w:highlight w:val="none"/>
        </w:rPr>
        <w:t>；</w:t>
      </w:r>
    </w:p>
    <w:p w14:paraId="1C4BDF2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身份证号：</w:t>
      </w:r>
      <w:r>
        <w:rPr>
          <w:rFonts w:hint="eastAsia" w:ascii="宋体" w:hAnsi="宋体" w:cs="宋体"/>
          <w:bCs/>
          <w:szCs w:val="21"/>
          <w:highlight w:val="none"/>
          <w:u w:val="single"/>
        </w:rPr>
        <w:t xml:space="preserve">        </w:t>
      </w:r>
      <w:r>
        <w:rPr>
          <w:rFonts w:hint="eastAsia" w:ascii="宋体" w:hAnsi="宋体" w:cs="宋体"/>
          <w:bCs/>
          <w:szCs w:val="21"/>
          <w:highlight w:val="none"/>
        </w:rPr>
        <w:t>；</w:t>
      </w:r>
    </w:p>
    <w:p w14:paraId="0D9385C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职    务：</w:t>
      </w:r>
      <w:r>
        <w:rPr>
          <w:rFonts w:hint="eastAsia" w:ascii="宋体" w:hAnsi="宋体" w:cs="宋体"/>
          <w:bCs/>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u w:val="single"/>
        </w:rPr>
        <w:t xml:space="preserve">     </w:t>
      </w:r>
      <w:r>
        <w:rPr>
          <w:rFonts w:hint="eastAsia" w:ascii="宋体" w:hAnsi="宋体" w:cs="宋体"/>
          <w:bCs/>
          <w:szCs w:val="21"/>
          <w:highlight w:val="none"/>
        </w:rPr>
        <w:t>；</w:t>
      </w:r>
    </w:p>
    <w:p w14:paraId="5AF39AF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联系电话：</w:t>
      </w:r>
      <w:r>
        <w:rPr>
          <w:rFonts w:hint="eastAsia" w:ascii="宋体" w:hAnsi="宋体" w:cs="宋体"/>
          <w:bCs/>
          <w:szCs w:val="21"/>
          <w:highlight w:val="none"/>
          <w:u w:val="single"/>
        </w:rPr>
        <w:t>      </w:t>
      </w:r>
      <w:r>
        <w:rPr>
          <w:rFonts w:hint="eastAsia" w:ascii="宋体" w:hAnsi="宋体" w:cs="宋体"/>
          <w:bCs/>
          <w:szCs w:val="21"/>
          <w:highlight w:val="none"/>
        </w:rPr>
        <w:t>；</w:t>
      </w:r>
    </w:p>
    <w:p w14:paraId="419BA8A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电子信箱：</w:t>
      </w:r>
      <w:r>
        <w:rPr>
          <w:rFonts w:hint="eastAsia" w:ascii="宋体" w:hAnsi="宋体" w:cs="宋体"/>
          <w:bCs/>
          <w:szCs w:val="21"/>
          <w:highlight w:val="none"/>
          <w:u w:val="single"/>
        </w:rPr>
        <w:t>      </w:t>
      </w:r>
      <w:r>
        <w:rPr>
          <w:rFonts w:hint="eastAsia" w:ascii="宋体" w:hAnsi="宋体" w:cs="宋体"/>
          <w:bCs/>
          <w:szCs w:val="21"/>
          <w:highlight w:val="none"/>
        </w:rPr>
        <w:t>；</w:t>
      </w:r>
    </w:p>
    <w:p w14:paraId="3A9983F0">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通信地址：</w:t>
      </w:r>
      <w:r>
        <w:rPr>
          <w:rFonts w:hint="eastAsia" w:ascii="宋体" w:hAnsi="宋体" w:cs="宋体"/>
          <w:bCs/>
          <w:szCs w:val="21"/>
          <w:highlight w:val="none"/>
          <w:u w:val="single"/>
        </w:rPr>
        <w:t>      </w:t>
      </w:r>
      <w:r>
        <w:rPr>
          <w:rFonts w:hint="eastAsia" w:ascii="宋体" w:hAnsi="宋体" w:cs="宋体"/>
          <w:bCs/>
          <w:szCs w:val="21"/>
          <w:highlight w:val="none"/>
        </w:rPr>
        <w:t>。</w:t>
      </w:r>
    </w:p>
    <w:p w14:paraId="288039D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发包人对发包人代表的授权范围如下：</w:t>
      </w:r>
      <w:r>
        <w:rPr>
          <w:rFonts w:hint="eastAsia" w:ascii="宋体" w:hAnsi="宋体" w:cs="宋体"/>
          <w:szCs w:val="21"/>
          <w:highlight w:val="none"/>
          <w:u w:val="single"/>
        </w:rPr>
        <w:t>负责本合同现场施工全过程范围内相关参与单位的内、外部关系协调、处理往来工程文件，对工程进度、质量、造价进行管理</w:t>
      </w:r>
      <w:r>
        <w:rPr>
          <w:rFonts w:hint="eastAsia" w:ascii="宋体" w:hAnsi="宋体" w:cs="宋体"/>
          <w:bCs/>
          <w:szCs w:val="21"/>
          <w:highlight w:val="none"/>
        </w:rPr>
        <w:t>。</w:t>
      </w:r>
    </w:p>
    <w:p w14:paraId="778ECD89">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2.4 施工现场、施工条件和基础资料的提供</w:t>
      </w:r>
    </w:p>
    <w:p w14:paraId="65034E5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2.4.1 提供施工现场</w:t>
      </w:r>
    </w:p>
    <w:p w14:paraId="774485B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关于发包人移交施工现场的期限要求：</w:t>
      </w:r>
      <w:r>
        <w:rPr>
          <w:rFonts w:hint="eastAsia" w:ascii="宋体" w:hAnsi="宋体" w:cs="宋体"/>
          <w:szCs w:val="21"/>
          <w:highlight w:val="none"/>
          <w:u w:val="single"/>
        </w:rPr>
        <w:t xml:space="preserve">                  </w:t>
      </w:r>
      <w:r>
        <w:rPr>
          <w:rFonts w:hint="eastAsia" w:ascii="宋体" w:hAnsi="宋体" w:cs="宋体"/>
          <w:bCs/>
          <w:szCs w:val="21"/>
          <w:highlight w:val="none"/>
        </w:rPr>
        <w:t>。</w:t>
      </w:r>
    </w:p>
    <w:p w14:paraId="30715BF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2.5 资金来源证明及支付担保</w:t>
      </w:r>
    </w:p>
    <w:p w14:paraId="4C9280F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发包人提供资金来源证明的期限要求：</w:t>
      </w:r>
      <w:r>
        <w:rPr>
          <w:rFonts w:hint="eastAsia" w:ascii="宋体" w:hAnsi="宋体" w:cs="宋体"/>
          <w:bCs/>
          <w:szCs w:val="21"/>
          <w:highlight w:val="none"/>
          <w:u w:val="single"/>
        </w:rPr>
        <w:t xml:space="preserve">无   </w:t>
      </w:r>
      <w:r>
        <w:rPr>
          <w:rFonts w:hint="eastAsia" w:ascii="宋体" w:hAnsi="宋体" w:cs="宋体"/>
          <w:bCs/>
          <w:szCs w:val="21"/>
          <w:highlight w:val="none"/>
        </w:rPr>
        <w:t>。</w:t>
      </w:r>
    </w:p>
    <w:p w14:paraId="0B4DB7C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发包人是否提供支付担保：</w:t>
      </w:r>
      <w:r>
        <w:rPr>
          <w:rFonts w:hint="eastAsia" w:ascii="宋体" w:hAnsi="宋体" w:cs="宋体"/>
          <w:bCs/>
          <w:szCs w:val="21"/>
          <w:highlight w:val="none"/>
          <w:u w:val="single"/>
        </w:rPr>
        <w:t xml:space="preserve">  </w:t>
      </w:r>
      <w:r>
        <w:rPr>
          <w:rFonts w:hint="eastAsia" w:ascii="宋体" w:hAnsi="宋体" w:cs="宋体"/>
          <w:bCs/>
          <w:szCs w:val="21"/>
          <w:highlight w:val="none"/>
        </w:rPr>
        <w:t>。</w:t>
      </w:r>
    </w:p>
    <w:p w14:paraId="1C7449C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发包人提供支付担保的形式：</w:t>
      </w:r>
      <w:r>
        <w:rPr>
          <w:rFonts w:hint="eastAsia" w:ascii="宋体" w:hAnsi="宋体" w:cs="宋体"/>
          <w:bCs/>
          <w:szCs w:val="21"/>
          <w:highlight w:val="none"/>
          <w:u w:val="single"/>
        </w:rPr>
        <w:t xml:space="preserve">   </w:t>
      </w:r>
      <w:r>
        <w:rPr>
          <w:rFonts w:hint="eastAsia" w:ascii="宋体" w:hAnsi="宋体" w:cs="宋体"/>
          <w:bCs/>
          <w:szCs w:val="21"/>
          <w:highlight w:val="none"/>
        </w:rPr>
        <w:t>。</w:t>
      </w:r>
    </w:p>
    <w:p w14:paraId="6466139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2.6 开工前10天施工场地具备施工条件；</w:t>
      </w:r>
    </w:p>
    <w:p w14:paraId="4628DA0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2.7  开工前5天提供工程地质和地下管线资料；</w:t>
      </w:r>
    </w:p>
    <w:p w14:paraId="5477E2A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2.8开工前完成设计交底；</w:t>
      </w:r>
    </w:p>
    <w:p w14:paraId="7AC8F34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2.9 有权要求更换项目经理，以书面形式通知。</w:t>
      </w:r>
    </w:p>
    <w:p w14:paraId="083C3762">
      <w:pPr>
        <w:pStyle w:val="6"/>
        <w:spacing w:before="120" w:after="120"/>
        <w:rPr>
          <w:rFonts w:ascii="宋体" w:hAnsi="宋体" w:cs="宋体"/>
          <w:bCs/>
          <w:color w:val="auto"/>
          <w:kern w:val="0"/>
          <w:sz w:val="24"/>
          <w:szCs w:val="24"/>
          <w:highlight w:val="none"/>
          <w:u w:val="none"/>
        </w:rPr>
      </w:pPr>
      <w:bookmarkStart w:id="520" w:name="_Toc351203635"/>
      <w:bookmarkStart w:id="521" w:name="_Toc28907_WPSOffice_Level3"/>
      <w:r>
        <w:rPr>
          <w:rFonts w:hint="eastAsia" w:ascii="宋体" w:hAnsi="宋体" w:cs="宋体"/>
          <w:bCs/>
          <w:color w:val="auto"/>
          <w:kern w:val="0"/>
          <w:sz w:val="24"/>
          <w:szCs w:val="24"/>
          <w:highlight w:val="none"/>
          <w:u w:val="none"/>
        </w:rPr>
        <w:t>3</w:t>
      </w:r>
      <w:bookmarkStart w:id="522" w:name="_Toc297120458"/>
      <w:bookmarkStart w:id="523" w:name="_Toc296944497"/>
      <w:bookmarkStart w:id="524" w:name="_Toc297048344"/>
      <w:bookmarkStart w:id="525" w:name="_Toc296347157"/>
      <w:bookmarkStart w:id="526" w:name="_Toc296890986"/>
      <w:bookmarkStart w:id="527" w:name="_Toc296346659"/>
      <w:bookmarkStart w:id="528" w:name="_Toc292559363"/>
      <w:bookmarkStart w:id="529" w:name="_Toc296891198"/>
      <w:bookmarkStart w:id="530" w:name="_Toc296503158"/>
      <w:bookmarkStart w:id="531" w:name="_Toc292559868"/>
      <w:r>
        <w:rPr>
          <w:rFonts w:hint="eastAsia" w:ascii="宋体" w:hAnsi="宋体" w:cs="宋体"/>
          <w:bCs/>
          <w:color w:val="auto"/>
          <w:kern w:val="0"/>
          <w:sz w:val="24"/>
          <w:szCs w:val="24"/>
          <w:highlight w:val="none"/>
          <w:u w:val="none"/>
        </w:rPr>
        <w:t>. 承包人</w:t>
      </w:r>
      <w:bookmarkEnd w:id="520"/>
      <w:bookmarkEnd w:id="521"/>
    </w:p>
    <w:bookmarkEnd w:id="522"/>
    <w:bookmarkEnd w:id="523"/>
    <w:bookmarkEnd w:id="524"/>
    <w:bookmarkEnd w:id="525"/>
    <w:bookmarkEnd w:id="526"/>
    <w:bookmarkEnd w:id="527"/>
    <w:bookmarkEnd w:id="528"/>
    <w:bookmarkEnd w:id="529"/>
    <w:bookmarkEnd w:id="530"/>
    <w:bookmarkEnd w:id="531"/>
    <w:p w14:paraId="13BA5C9C">
      <w:pPr>
        <w:spacing w:line="360" w:lineRule="auto"/>
        <w:ind w:firstLine="420" w:firstLineChars="200"/>
        <w:rPr>
          <w:rFonts w:ascii="宋体" w:hAnsi="宋体" w:cs="宋体"/>
          <w:szCs w:val="21"/>
          <w:highlight w:val="none"/>
        </w:rPr>
      </w:pPr>
      <w:r>
        <w:rPr>
          <w:rFonts w:hint="eastAsia" w:ascii="宋体" w:hAnsi="宋体" w:cs="宋体"/>
          <w:szCs w:val="21"/>
          <w:highlight w:val="none"/>
        </w:rPr>
        <w:t>3.1 承包人的一般义务</w:t>
      </w:r>
    </w:p>
    <w:p w14:paraId="1939B044">
      <w:pPr>
        <w:spacing w:line="360" w:lineRule="auto"/>
        <w:ind w:firstLine="420" w:firstLineChars="200"/>
        <w:rPr>
          <w:rFonts w:ascii="宋体" w:hAnsi="宋体" w:cs="宋体"/>
          <w:szCs w:val="21"/>
          <w:highlight w:val="none"/>
        </w:rPr>
      </w:pPr>
      <w:r>
        <w:rPr>
          <w:rFonts w:hint="eastAsia" w:ascii="宋体" w:hAnsi="宋体" w:cs="宋体"/>
          <w:szCs w:val="21"/>
          <w:highlight w:val="none"/>
        </w:rPr>
        <w:t>(9)承包人提交的竣工资料的内容：</w:t>
      </w:r>
    </w:p>
    <w:p w14:paraId="786B5268">
      <w:pPr>
        <w:spacing w:line="360" w:lineRule="auto"/>
        <w:ind w:firstLine="420" w:firstLineChars="200"/>
        <w:rPr>
          <w:highlight w:val="none"/>
        </w:rPr>
      </w:pPr>
      <w:r>
        <w:rPr>
          <w:rFonts w:hint="eastAsia" w:ascii="宋体" w:hAnsi="宋体" w:cs="宋体"/>
          <w:szCs w:val="21"/>
          <w:highlight w:val="none"/>
        </w:rPr>
        <w:t xml:space="preserve">满足现行法律法规规定、相关机构规定及发包人要求的竣工资料的要求。 承包人提交的竣工资料形式要求：详见专用条款 21.3 条，否则，剩余工程款不予支付。          </w:t>
      </w:r>
      <w:r>
        <w:rPr>
          <w:rStyle w:val="307"/>
          <w:rFonts w:hint="default"/>
          <w:color w:val="auto"/>
          <w:sz w:val="21"/>
          <w:szCs w:val="21"/>
          <w:highlight w:val="none"/>
        </w:rPr>
        <w:t xml:space="preserve"> </w:t>
      </w:r>
    </w:p>
    <w:p w14:paraId="34EDB65B">
      <w:pPr>
        <w:spacing w:line="360" w:lineRule="auto"/>
        <w:ind w:firstLine="525" w:firstLineChars="250"/>
        <w:jc w:val="left"/>
        <w:rPr>
          <w:rFonts w:ascii="宋体" w:hAnsi="宋体" w:cs="宋体"/>
          <w:bCs/>
          <w:szCs w:val="21"/>
          <w:highlight w:val="none"/>
        </w:rPr>
      </w:pPr>
      <w:r>
        <w:rPr>
          <w:rFonts w:hint="eastAsia" w:ascii="宋体" w:hAnsi="宋体" w:cs="宋体"/>
          <w:bCs/>
          <w:szCs w:val="21"/>
          <w:highlight w:val="none"/>
        </w:rPr>
        <w:t>承包人提交的竣工资料的费用承担：</w:t>
      </w:r>
      <w:r>
        <w:rPr>
          <w:rFonts w:hint="eastAsia" w:ascii="宋体" w:hAnsi="宋体" w:cs="宋体"/>
          <w:szCs w:val="21"/>
          <w:highlight w:val="none"/>
          <w:u w:val="single"/>
        </w:rPr>
        <w:t>由承包人自行承担</w:t>
      </w:r>
      <w:r>
        <w:rPr>
          <w:rFonts w:hint="eastAsia" w:ascii="宋体" w:hAnsi="宋体" w:cs="宋体"/>
          <w:bCs/>
          <w:szCs w:val="21"/>
          <w:highlight w:val="none"/>
        </w:rPr>
        <w:t>。</w:t>
      </w:r>
    </w:p>
    <w:p w14:paraId="6C2D602D">
      <w:pPr>
        <w:spacing w:line="360" w:lineRule="auto"/>
        <w:ind w:firstLine="420" w:firstLineChars="200"/>
        <w:rPr>
          <w:rFonts w:ascii="宋体" w:hAnsi="宋体"/>
          <w:szCs w:val="21"/>
          <w:highlight w:val="none"/>
          <w:u w:val="single"/>
        </w:rPr>
      </w:pPr>
      <w:r>
        <w:rPr>
          <w:rFonts w:hint="eastAsia" w:ascii="宋体" w:hAnsi="宋体" w:cs="宋体"/>
          <w:szCs w:val="21"/>
          <w:highlight w:val="none"/>
        </w:rPr>
        <w:t>（10）</w:t>
      </w:r>
      <w:r>
        <w:rPr>
          <w:rFonts w:hint="eastAsia" w:ascii="宋体" w:hAnsi="宋体" w:cs="宋体"/>
          <w:bCs/>
          <w:kern w:val="0"/>
          <w:szCs w:val="21"/>
          <w:highlight w:val="none"/>
        </w:rPr>
        <w:t>承包人应履行的其他义务：</w:t>
      </w:r>
      <w:r>
        <w:rPr>
          <w:rFonts w:hint="eastAsia" w:ascii="宋体" w:hAnsi="宋体"/>
          <w:szCs w:val="21"/>
          <w:highlight w:val="none"/>
        </w:rPr>
        <w:t xml:space="preserve"> 应提供计划、报表的名称及完成时间：</w:t>
      </w:r>
      <w:r>
        <w:rPr>
          <w:rFonts w:hint="eastAsia" w:ascii="宋体" w:hAnsi="宋体"/>
          <w:szCs w:val="21"/>
          <w:highlight w:val="none"/>
          <w:u w:val="single"/>
        </w:rPr>
        <w:t>每月25日前，向发包人提交施工计划及完成量报表</w:t>
      </w:r>
      <w:r>
        <w:rPr>
          <w:rFonts w:hint="eastAsia" w:ascii="宋体" w:hAnsi="宋体"/>
          <w:szCs w:val="21"/>
          <w:highlight w:val="none"/>
        </w:rPr>
        <w:t>；承担施工安全保卫工作及非夜间施工照明的责任和要求：</w:t>
      </w:r>
      <w:r>
        <w:rPr>
          <w:rFonts w:hint="eastAsia" w:ascii="宋体" w:hAnsi="宋体"/>
          <w:szCs w:val="21"/>
          <w:highlight w:val="none"/>
          <w:u w:val="single"/>
        </w:rPr>
        <w:t>施工全过程派专人负责</w:t>
      </w:r>
      <w:r>
        <w:rPr>
          <w:rFonts w:hint="eastAsia" w:ascii="宋体" w:hAnsi="宋体"/>
          <w:szCs w:val="21"/>
          <w:highlight w:val="none"/>
        </w:rPr>
        <w:t>；需承包人办理的有关施工场地交通、环卫和施工噪音管理等手续：</w:t>
      </w:r>
      <w:r>
        <w:rPr>
          <w:rFonts w:hint="eastAsia" w:ascii="宋体" w:hAnsi="宋体"/>
          <w:szCs w:val="21"/>
          <w:highlight w:val="none"/>
          <w:u w:val="single"/>
        </w:rPr>
        <w:t>开工前办理完毕</w:t>
      </w:r>
      <w:r>
        <w:rPr>
          <w:rFonts w:hint="eastAsia" w:ascii="宋体" w:hAnsi="宋体"/>
          <w:szCs w:val="21"/>
          <w:highlight w:val="none"/>
        </w:rPr>
        <w:t>；已完工程成品保护的特殊要求及费用承担：</w:t>
      </w:r>
      <w:r>
        <w:rPr>
          <w:rFonts w:hint="eastAsia" w:ascii="宋体" w:hAnsi="宋体"/>
          <w:szCs w:val="21"/>
          <w:highlight w:val="none"/>
          <w:u w:val="single"/>
        </w:rPr>
        <w:t>已完工程办理移交手续前全部由承包人负责，发包人不承担任何相关费用</w:t>
      </w:r>
      <w:r>
        <w:rPr>
          <w:rFonts w:hint="eastAsia" w:ascii="宋体" w:hAnsi="宋体"/>
          <w:szCs w:val="21"/>
          <w:highlight w:val="none"/>
        </w:rPr>
        <w:t>；施工场地周围地下管线和邻近建筑物、构筑物(含文物保护建筑)、古树名木的保护要求及费用承担：</w:t>
      </w:r>
      <w:r>
        <w:rPr>
          <w:rFonts w:hint="eastAsia" w:ascii="宋体" w:hAnsi="宋体"/>
          <w:szCs w:val="21"/>
          <w:highlight w:val="none"/>
          <w:u w:val="single"/>
        </w:rPr>
        <w:t>无论发包人提供的资料详细与否，由施工带来的对周围地下管线和邻近建筑物、构筑物(含文物保护建筑)、古树名木的损害，由承包人进行赔偿。对周围地下管线和邻近建筑物、构筑物(含文物保护建筑)、古树名木的保护费用由发包人承担</w:t>
      </w:r>
      <w:r>
        <w:rPr>
          <w:rFonts w:hint="eastAsia" w:ascii="宋体" w:hAnsi="宋体"/>
          <w:b/>
          <w:bCs/>
          <w:szCs w:val="21"/>
          <w:highlight w:val="none"/>
          <w:u w:val="single"/>
        </w:rPr>
        <w:t>；</w:t>
      </w:r>
      <w:r>
        <w:rPr>
          <w:rFonts w:hint="eastAsia" w:ascii="宋体" w:hAnsi="宋体"/>
          <w:szCs w:val="21"/>
          <w:highlight w:val="none"/>
        </w:rPr>
        <w:t xml:space="preserve"> 双方约定承包人应做的其他工作：</w:t>
      </w:r>
      <w:r>
        <w:rPr>
          <w:rFonts w:hint="eastAsia" w:ascii="宋体" w:hAnsi="宋体"/>
          <w:szCs w:val="21"/>
          <w:highlight w:val="none"/>
          <w:u w:val="single"/>
        </w:rPr>
        <w:t>承包人应对发包人提供的水准点、坐标控制点、管线走向进行现场复核；如发现现场情况与发包人提供的资料或图纸不符，必须立即通知监理和发包人，征得发包人同意后方可继续施工，否则发生的相关工程量将不会得到发包人确认。</w:t>
      </w:r>
    </w:p>
    <w:p w14:paraId="2C925903">
      <w:pPr>
        <w:spacing w:line="360" w:lineRule="auto"/>
        <w:ind w:firstLine="420" w:firstLineChars="200"/>
        <w:jc w:val="left"/>
        <w:rPr>
          <w:rFonts w:ascii="宋体" w:hAnsi="宋体" w:cs="宋体"/>
          <w:bCs/>
          <w:kern w:val="0"/>
          <w:szCs w:val="21"/>
          <w:highlight w:val="none"/>
        </w:rPr>
      </w:pPr>
    </w:p>
    <w:p w14:paraId="3ACE5F14">
      <w:pPr>
        <w:spacing w:after="120" w:line="360" w:lineRule="auto"/>
        <w:ind w:firstLine="420" w:firstLineChars="200"/>
        <w:rPr>
          <w:rFonts w:ascii="宋体" w:hAnsi="宋体" w:cs="宋体"/>
          <w:bCs/>
          <w:szCs w:val="21"/>
          <w:highlight w:val="none"/>
        </w:rPr>
      </w:pPr>
      <w:r>
        <w:rPr>
          <w:rFonts w:hint="eastAsia" w:ascii="宋体" w:hAnsi="宋体" w:cs="宋体"/>
          <w:bCs/>
          <w:szCs w:val="21"/>
          <w:highlight w:val="none"/>
        </w:rPr>
        <w:t>3.2 项目经理</w:t>
      </w:r>
    </w:p>
    <w:p w14:paraId="66F1407B">
      <w:pPr>
        <w:spacing w:line="360" w:lineRule="auto"/>
        <w:ind w:firstLine="420" w:firstLineChars="200"/>
        <w:rPr>
          <w:rFonts w:ascii="宋体" w:hAnsi="宋体" w:cs="宋体"/>
          <w:bCs/>
          <w:szCs w:val="21"/>
          <w:highlight w:val="none"/>
        </w:rPr>
      </w:pPr>
      <w:r>
        <w:rPr>
          <w:rFonts w:hint="eastAsia" w:ascii="宋体" w:hAnsi="宋体" w:cs="宋体"/>
          <w:bCs/>
          <w:kern w:val="0"/>
          <w:szCs w:val="21"/>
          <w:highlight w:val="none"/>
        </w:rPr>
        <w:t xml:space="preserve">3.2.1 </w:t>
      </w:r>
      <w:r>
        <w:rPr>
          <w:rFonts w:hint="eastAsia" w:ascii="宋体" w:hAnsi="宋体" w:cs="宋体"/>
          <w:bCs/>
          <w:szCs w:val="21"/>
          <w:highlight w:val="none"/>
        </w:rPr>
        <w:t>项目经理：</w:t>
      </w:r>
    </w:p>
    <w:p w14:paraId="4132900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姓    名：</w:t>
      </w:r>
      <w:r>
        <w:rPr>
          <w:rFonts w:hint="eastAsia" w:ascii="宋体" w:hAnsi="宋体" w:cs="宋体"/>
          <w:bCs/>
          <w:szCs w:val="21"/>
          <w:highlight w:val="none"/>
          <w:u w:val="single"/>
        </w:rPr>
        <w:t>         </w:t>
      </w:r>
      <w:r>
        <w:rPr>
          <w:rFonts w:hint="eastAsia" w:ascii="宋体" w:hAnsi="宋体" w:cs="宋体"/>
          <w:bCs/>
          <w:szCs w:val="21"/>
          <w:highlight w:val="none"/>
        </w:rPr>
        <w:t>；</w:t>
      </w:r>
    </w:p>
    <w:p w14:paraId="7DFB31A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身份证号：</w:t>
      </w:r>
      <w:r>
        <w:rPr>
          <w:rFonts w:hint="eastAsia" w:ascii="宋体" w:hAnsi="宋体" w:cs="宋体"/>
          <w:bCs/>
          <w:szCs w:val="21"/>
          <w:highlight w:val="none"/>
          <w:u w:val="single"/>
        </w:rPr>
        <w:t>         </w:t>
      </w:r>
      <w:r>
        <w:rPr>
          <w:rFonts w:hint="eastAsia" w:ascii="宋体" w:hAnsi="宋体" w:cs="宋体"/>
          <w:bCs/>
          <w:szCs w:val="21"/>
          <w:highlight w:val="none"/>
        </w:rPr>
        <w:t>；</w:t>
      </w:r>
    </w:p>
    <w:p w14:paraId="655D6018">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建造师执业资格等级：</w:t>
      </w:r>
      <w:r>
        <w:rPr>
          <w:rFonts w:hint="eastAsia" w:ascii="宋体" w:hAnsi="宋体" w:cs="宋体"/>
          <w:bCs/>
          <w:szCs w:val="21"/>
          <w:highlight w:val="none"/>
          <w:u w:val="single"/>
        </w:rPr>
        <w:t>   </w:t>
      </w:r>
      <w:r>
        <w:rPr>
          <w:rFonts w:hint="eastAsia" w:ascii="宋体" w:hAnsi="宋体" w:cs="宋体"/>
          <w:bCs/>
          <w:szCs w:val="21"/>
          <w:highlight w:val="none"/>
        </w:rPr>
        <w:t>；</w:t>
      </w:r>
    </w:p>
    <w:p w14:paraId="2B8AC77C">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建造师注册证书号：</w:t>
      </w:r>
      <w:r>
        <w:rPr>
          <w:rFonts w:hint="eastAsia" w:ascii="宋体" w:hAnsi="宋体" w:cs="宋体"/>
          <w:bCs/>
          <w:szCs w:val="21"/>
          <w:highlight w:val="none"/>
          <w:u w:val="single"/>
        </w:rPr>
        <w:t> </w:t>
      </w:r>
      <w:r>
        <w:rPr>
          <w:rFonts w:hint="eastAsia" w:ascii="宋体" w:hAnsi="宋体" w:cs="宋体"/>
          <w:bCs/>
          <w:szCs w:val="21"/>
          <w:highlight w:val="none"/>
        </w:rPr>
        <w:t>；</w:t>
      </w:r>
    </w:p>
    <w:p w14:paraId="2311897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建造师执业印章号：</w:t>
      </w:r>
      <w:r>
        <w:rPr>
          <w:rFonts w:hint="eastAsia" w:ascii="宋体" w:hAnsi="宋体" w:cs="宋体"/>
          <w:bCs/>
          <w:szCs w:val="21"/>
          <w:highlight w:val="none"/>
          <w:u w:val="single"/>
        </w:rPr>
        <w:t> </w:t>
      </w:r>
      <w:r>
        <w:rPr>
          <w:rFonts w:hint="eastAsia" w:ascii="宋体" w:hAnsi="宋体" w:cs="宋体"/>
          <w:bCs/>
          <w:szCs w:val="21"/>
          <w:highlight w:val="none"/>
        </w:rPr>
        <w:t>；</w:t>
      </w:r>
    </w:p>
    <w:p w14:paraId="4B2CBB8A">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安全生产考核合格证书号：</w:t>
      </w:r>
      <w:r>
        <w:rPr>
          <w:rFonts w:hint="eastAsia" w:ascii="宋体" w:hAnsi="宋体" w:cs="宋体"/>
          <w:bCs/>
          <w:szCs w:val="21"/>
          <w:highlight w:val="none"/>
          <w:u w:val="single"/>
        </w:rPr>
        <w:t> </w:t>
      </w:r>
      <w:r>
        <w:rPr>
          <w:rFonts w:hint="eastAsia" w:ascii="宋体" w:hAnsi="宋体" w:cs="宋体"/>
          <w:bCs/>
          <w:szCs w:val="21"/>
          <w:highlight w:val="none"/>
        </w:rPr>
        <w:t>；</w:t>
      </w:r>
    </w:p>
    <w:p w14:paraId="35E554B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联系电话：</w:t>
      </w:r>
      <w:r>
        <w:rPr>
          <w:rFonts w:hint="eastAsia" w:ascii="宋体" w:hAnsi="宋体" w:cs="宋体"/>
          <w:bCs/>
          <w:szCs w:val="21"/>
          <w:highlight w:val="none"/>
          <w:u w:val="single"/>
        </w:rPr>
        <w:t>         </w:t>
      </w:r>
      <w:r>
        <w:rPr>
          <w:rFonts w:hint="eastAsia" w:ascii="宋体" w:hAnsi="宋体" w:cs="宋体"/>
          <w:bCs/>
          <w:szCs w:val="21"/>
          <w:highlight w:val="none"/>
        </w:rPr>
        <w:t>；</w:t>
      </w:r>
    </w:p>
    <w:p w14:paraId="11560C5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电子信箱：</w:t>
      </w:r>
      <w:r>
        <w:rPr>
          <w:rFonts w:hint="eastAsia" w:ascii="宋体" w:hAnsi="宋体" w:cs="宋体"/>
          <w:bCs/>
          <w:szCs w:val="21"/>
          <w:highlight w:val="none"/>
          <w:u w:val="single"/>
        </w:rPr>
        <w:t>         </w:t>
      </w:r>
      <w:r>
        <w:rPr>
          <w:rFonts w:hint="eastAsia" w:ascii="宋体" w:hAnsi="宋体" w:cs="宋体"/>
          <w:bCs/>
          <w:szCs w:val="21"/>
          <w:highlight w:val="none"/>
        </w:rPr>
        <w:t>；</w:t>
      </w:r>
    </w:p>
    <w:p w14:paraId="760FB290">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通信地址：</w:t>
      </w:r>
      <w:r>
        <w:rPr>
          <w:rFonts w:hint="eastAsia" w:ascii="宋体" w:hAnsi="宋体" w:cs="宋体"/>
          <w:bCs/>
          <w:szCs w:val="21"/>
          <w:highlight w:val="none"/>
          <w:u w:val="single"/>
        </w:rPr>
        <w:t>         </w:t>
      </w:r>
      <w:r>
        <w:rPr>
          <w:rFonts w:hint="eastAsia" w:ascii="宋体" w:hAnsi="宋体" w:cs="宋体"/>
          <w:bCs/>
          <w:szCs w:val="21"/>
          <w:highlight w:val="none"/>
        </w:rPr>
        <w:t>；</w:t>
      </w:r>
    </w:p>
    <w:p w14:paraId="60120A1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承包人对项目经理的授权范围如下：</w:t>
      </w:r>
      <w:r>
        <w:rPr>
          <w:rFonts w:hint="eastAsia" w:ascii="宋体" w:hAnsi="宋体" w:cs="宋体"/>
          <w:szCs w:val="21"/>
          <w:highlight w:val="none"/>
          <w:u w:val="single"/>
        </w:rPr>
        <w:t>全权处理本项目的一切事务</w:t>
      </w:r>
      <w:r>
        <w:rPr>
          <w:rFonts w:hint="eastAsia" w:ascii="宋体" w:hAnsi="宋体" w:cs="宋体"/>
          <w:bCs/>
          <w:szCs w:val="21"/>
          <w:highlight w:val="none"/>
        </w:rPr>
        <w:t>。</w:t>
      </w:r>
    </w:p>
    <w:p w14:paraId="5737BB2A">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关于项目经理每月在施工现场的时间要求：</w:t>
      </w:r>
      <w:r>
        <w:rPr>
          <w:rFonts w:hint="eastAsia" w:ascii="宋体" w:hAnsi="宋体" w:cs="宋体"/>
          <w:szCs w:val="21"/>
          <w:highlight w:val="none"/>
          <w:u w:val="single"/>
        </w:rPr>
        <w:t>关于项目经理每月在施工现场的时间要求：不得少于25天，外出连续等于或超过二天以上时，必须事先向发包人请假并获批准，否则，每擅自离工地现场一天按人民币1000元的标准从合同价款中扣除相应金额作为违约金</w:t>
      </w:r>
      <w:r>
        <w:rPr>
          <w:rFonts w:hint="eastAsia" w:ascii="宋体" w:hAnsi="宋体" w:cs="宋体"/>
          <w:bCs/>
          <w:kern w:val="0"/>
          <w:szCs w:val="21"/>
          <w:highlight w:val="none"/>
        </w:rPr>
        <w:t>。</w:t>
      </w:r>
    </w:p>
    <w:p w14:paraId="66130862">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承包人未提交劳动合同，以及没有为项目经理缴纳社会保险证明的违约责任：</w:t>
      </w:r>
      <w:r>
        <w:rPr>
          <w:rFonts w:hint="eastAsia" w:ascii="宋体" w:hAnsi="宋体" w:cs="宋体"/>
          <w:szCs w:val="21"/>
          <w:highlight w:val="none"/>
          <w:u w:val="single"/>
        </w:rPr>
        <w:t>由承包人自行承担</w:t>
      </w:r>
      <w:r>
        <w:rPr>
          <w:rFonts w:hint="eastAsia" w:ascii="宋体" w:hAnsi="宋体" w:cs="宋体"/>
          <w:bCs/>
          <w:szCs w:val="21"/>
          <w:highlight w:val="none"/>
        </w:rPr>
        <w:t>。</w:t>
      </w:r>
    </w:p>
    <w:p w14:paraId="1120DE6C">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3.2.3 承包人擅自更换项目经理的违约责任：项目施工过程中承包</w:t>
      </w:r>
      <w:r>
        <w:rPr>
          <w:rFonts w:hint="eastAsia" w:ascii="宋体" w:hAnsi="宋体" w:cs="宋体"/>
          <w:bCs/>
          <w:color w:val="auto"/>
          <w:kern w:val="0"/>
          <w:szCs w:val="21"/>
          <w:highlight w:val="none"/>
        </w:rPr>
        <w:t>人不得擅自更换项目经理，否则视为承包人违约，发包人有权对承包人处以每次人民币100000元</w:t>
      </w:r>
      <w:r>
        <w:rPr>
          <w:rFonts w:hint="eastAsia" w:ascii="宋体" w:hAnsi="宋体" w:cs="宋体"/>
          <w:bCs/>
          <w:kern w:val="0"/>
          <w:szCs w:val="21"/>
          <w:highlight w:val="none"/>
        </w:rPr>
        <w:t>的罚金，在工程款中予以扣除。如因不可抗力因素需更换项目经理，则需在15个日历天之前以书面形式告知发包人，发包人同意后方可更换。</w:t>
      </w:r>
    </w:p>
    <w:p w14:paraId="2960526A">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项目经理不得擅自更换。确因重病或重伤（甲级以上医院证明）、辞职或调离承包人单位（社保转出证明）、出现重大管理失误发包人认为不称职或被停职、开除等特殊原因，不能继续履行职责需要更换的，承包人持相关证明材料按有关规定，经发包人书面同意后方可变更；承包人应在发包人同意后5个工作日内，将变更人员信息向项目所在地建设行政主管部门登记备案，接受我省建设工程领域建筑工人实名制管理。</w:t>
      </w:r>
    </w:p>
    <w:p w14:paraId="0CD480DF">
      <w:pPr>
        <w:spacing w:line="360" w:lineRule="auto"/>
        <w:ind w:firstLine="420" w:firstLineChars="200"/>
        <w:rPr>
          <w:rFonts w:hint="eastAsia" w:ascii="宋体" w:hAnsi="宋体" w:cs="宋体"/>
          <w:bCs/>
          <w:kern w:val="0"/>
          <w:szCs w:val="21"/>
          <w:highlight w:val="none"/>
        </w:rPr>
      </w:pPr>
    </w:p>
    <w:p w14:paraId="108AF225">
      <w:pPr>
        <w:autoSpaceDE w:val="0"/>
        <w:autoSpaceDN w:val="0"/>
        <w:spacing w:line="360" w:lineRule="auto"/>
        <w:ind w:firstLine="420" w:firstLineChars="200"/>
        <w:contextualSpacing/>
        <w:rPr>
          <w:rFonts w:ascii="宋体" w:hAnsi="宋体" w:cs="宋体"/>
          <w:bCs/>
          <w:szCs w:val="21"/>
          <w:highlight w:val="none"/>
        </w:rPr>
      </w:pPr>
      <w:r>
        <w:rPr>
          <w:rFonts w:hint="eastAsia" w:ascii="宋体" w:hAnsi="宋体" w:cs="宋体"/>
          <w:bCs/>
          <w:szCs w:val="21"/>
          <w:highlight w:val="none"/>
        </w:rPr>
        <w:t>3.2.4 承包人无正当理由拒绝更换项目经理的违约责任：</w:t>
      </w:r>
      <w:r>
        <w:rPr>
          <w:rFonts w:hint="eastAsia" w:ascii="宋体" w:hAnsi="宋体" w:cs="宋体"/>
          <w:szCs w:val="21"/>
          <w:highlight w:val="none"/>
          <w:u w:val="single"/>
        </w:rPr>
        <w:t>视为承包人违约，</w:t>
      </w:r>
      <w:r>
        <w:rPr>
          <w:rFonts w:hint="eastAsia" w:ascii="宋体" w:hAnsi="宋体" w:cs="宋体"/>
          <w:highlight w:val="none"/>
          <w:u w:val="single"/>
        </w:rPr>
        <w:t>发包人有权对承包人</w:t>
      </w:r>
      <w:r>
        <w:rPr>
          <w:rFonts w:hint="eastAsia" w:ascii="宋体" w:hAnsi="宋体" w:cs="宋体"/>
          <w:szCs w:val="21"/>
          <w:highlight w:val="none"/>
          <w:u w:val="single"/>
        </w:rPr>
        <w:t>处</w:t>
      </w:r>
      <w:r>
        <w:rPr>
          <w:rStyle w:val="307"/>
          <w:rFonts w:hint="default" w:cs="宋体"/>
          <w:color w:val="auto"/>
          <w:highlight w:val="none"/>
        </w:rPr>
        <w:t>以每次</w:t>
      </w:r>
      <w:r>
        <w:rPr>
          <w:rFonts w:hint="eastAsia" w:ascii="宋体" w:hAnsi="宋体" w:cs="宋体"/>
          <w:szCs w:val="21"/>
          <w:highlight w:val="none"/>
          <w:u w:val="single"/>
        </w:rPr>
        <w:t>人民币100000元罚金，将在工程款中予以扣除</w:t>
      </w:r>
      <w:r>
        <w:rPr>
          <w:rStyle w:val="307"/>
          <w:rFonts w:hint="default" w:cs="宋体"/>
          <w:color w:val="auto"/>
          <w:sz w:val="21"/>
          <w:szCs w:val="21"/>
          <w:highlight w:val="none"/>
        </w:rPr>
        <w:t>。</w:t>
      </w:r>
    </w:p>
    <w:p w14:paraId="4EAB925C">
      <w:pPr>
        <w:autoSpaceDE w:val="0"/>
        <w:autoSpaceDN w:val="0"/>
        <w:spacing w:line="360" w:lineRule="auto"/>
        <w:ind w:firstLine="420" w:firstLineChars="200"/>
        <w:contextualSpacing/>
        <w:rPr>
          <w:rFonts w:ascii="宋体" w:hAnsi="宋体" w:cs="宋体"/>
          <w:bCs/>
          <w:szCs w:val="21"/>
          <w:highlight w:val="none"/>
        </w:rPr>
      </w:pPr>
      <w:r>
        <w:rPr>
          <w:rFonts w:hint="eastAsia" w:ascii="宋体" w:hAnsi="宋体" w:cs="宋体"/>
          <w:bCs/>
          <w:szCs w:val="21"/>
          <w:highlight w:val="none"/>
        </w:rPr>
        <w:t>3.3 承包人人员</w:t>
      </w:r>
    </w:p>
    <w:p w14:paraId="77E729C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3.3.1 承包人提交项目管理机构及施工现场管理人员安排报告的期限：</w:t>
      </w:r>
      <w:r>
        <w:rPr>
          <w:rFonts w:hint="eastAsia" w:ascii="宋体" w:hAnsi="宋体" w:cs="宋体"/>
          <w:szCs w:val="21"/>
          <w:highlight w:val="none"/>
          <w:u w:val="single"/>
        </w:rPr>
        <w:t>合同签订后7日内</w:t>
      </w:r>
      <w:r>
        <w:rPr>
          <w:rFonts w:hint="eastAsia" w:ascii="宋体" w:hAnsi="宋体" w:cs="宋体"/>
          <w:bCs/>
          <w:szCs w:val="21"/>
          <w:highlight w:val="none"/>
        </w:rPr>
        <w:t>。</w:t>
      </w:r>
    </w:p>
    <w:p w14:paraId="7DEEE41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3.3.3 承包人无正当理由拒绝撤换主要施工管理人员的违约责任：</w:t>
      </w:r>
      <w:r>
        <w:rPr>
          <w:rFonts w:hint="eastAsia" w:ascii="宋体" w:hAnsi="宋体" w:cs="宋体"/>
          <w:szCs w:val="21"/>
          <w:highlight w:val="none"/>
          <w:u w:val="single"/>
        </w:rPr>
        <w:t>视为承包人违约，</w:t>
      </w:r>
      <w:r>
        <w:rPr>
          <w:rFonts w:hint="eastAsia" w:ascii="宋体" w:hAnsi="宋体" w:cs="宋体"/>
          <w:highlight w:val="none"/>
          <w:u w:val="single"/>
        </w:rPr>
        <w:t>发包人有权对承包人</w:t>
      </w:r>
      <w:r>
        <w:rPr>
          <w:rFonts w:hint="eastAsia" w:ascii="宋体" w:hAnsi="宋体" w:cs="宋体"/>
          <w:szCs w:val="21"/>
          <w:highlight w:val="none"/>
          <w:u w:val="single"/>
        </w:rPr>
        <w:t>处</w:t>
      </w:r>
      <w:r>
        <w:rPr>
          <w:rFonts w:hint="eastAsia" w:ascii="宋体" w:hAnsi="宋体" w:cs="宋体"/>
          <w:bCs/>
          <w:szCs w:val="21"/>
          <w:highlight w:val="none"/>
        </w:rPr>
        <w:t>以每次</w:t>
      </w:r>
      <w:r>
        <w:rPr>
          <w:rFonts w:hint="eastAsia" w:ascii="宋体" w:hAnsi="宋体" w:cs="宋体"/>
          <w:szCs w:val="21"/>
          <w:highlight w:val="none"/>
          <w:u w:val="single"/>
        </w:rPr>
        <w:t>人民币10000元罚金，将在工程工程款中予以扣除</w:t>
      </w:r>
      <w:r>
        <w:rPr>
          <w:rStyle w:val="307"/>
          <w:rFonts w:hint="default" w:cs="宋体"/>
          <w:color w:val="auto"/>
          <w:sz w:val="21"/>
          <w:szCs w:val="21"/>
          <w:highlight w:val="none"/>
        </w:rPr>
        <w:t>。</w:t>
      </w:r>
    </w:p>
    <w:p w14:paraId="4012C184">
      <w:pPr>
        <w:spacing w:line="360" w:lineRule="auto"/>
        <w:ind w:firstLine="420" w:firstLineChars="200"/>
        <w:rPr>
          <w:rFonts w:ascii="宋体" w:hAnsi="宋体" w:cs="宋体"/>
          <w:bCs/>
          <w:szCs w:val="21"/>
          <w:highlight w:val="none"/>
          <w:u w:val="single"/>
        </w:rPr>
      </w:pPr>
      <w:r>
        <w:rPr>
          <w:rFonts w:hint="eastAsia" w:ascii="宋体" w:hAnsi="宋体" w:cs="宋体"/>
          <w:bCs/>
          <w:szCs w:val="21"/>
          <w:highlight w:val="none"/>
        </w:rPr>
        <w:t>3.3.4 承包人主要施工管理人员离开施工现场的批准要求：</w:t>
      </w:r>
      <w:r>
        <w:rPr>
          <w:rFonts w:hint="eastAsia" w:ascii="宋体" w:hAnsi="宋体" w:cs="宋体"/>
          <w:szCs w:val="21"/>
          <w:highlight w:val="none"/>
          <w:u w:val="single"/>
        </w:rPr>
        <w:t>须事先征得总监理工程师和发包人的许可</w:t>
      </w:r>
      <w:r>
        <w:rPr>
          <w:rFonts w:hint="eastAsia" w:ascii="宋体" w:hAnsi="宋体" w:cs="宋体"/>
          <w:bCs/>
          <w:szCs w:val="21"/>
          <w:highlight w:val="none"/>
        </w:rPr>
        <w:t xml:space="preserve">。 </w:t>
      </w:r>
    </w:p>
    <w:p w14:paraId="7573418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3.3.5承包人擅自更换主要施工管理人员的违约责任：</w:t>
      </w:r>
      <w:r>
        <w:rPr>
          <w:rFonts w:hint="eastAsia" w:ascii="宋体" w:hAnsi="宋体" w:cs="宋体"/>
          <w:szCs w:val="21"/>
          <w:highlight w:val="none"/>
          <w:u w:val="single"/>
        </w:rPr>
        <w:t>视为承包人违约，</w:t>
      </w:r>
      <w:r>
        <w:rPr>
          <w:rFonts w:hint="eastAsia" w:ascii="宋体" w:hAnsi="宋体" w:cs="宋体"/>
          <w:highlight w:val="none"/>
          <w:u w:val="single"/>
        </w:rPr>
        <w:t>发包人有权对承包人</w:t>
      </w:r>
      <w:r>
        <w:rPr>
          <w:rFonts w:hint="eastAsia" w:ascii="宋体" w:hAnsi="宋体" w:cs="宋体"/>
          <w:szCs w:val="21"/>
          <w:highlight w:val="none"/>
          <w:u w:val="single"/>
        </w:rPr>
        <w:t>处罚金1000元/次，将在工程工程款中予以扣除</w:t>
      </w:r>
      <w:r>
        <w:rPr>
          <w:rStyle w:val="307"/>
          <w:rFonts w:hint="default" w:cs="宋体"/>
          <w:color w:val="auto"/>
          <w:sz w:val="21"/>
          <w:szCs w:val="21"/>
          <w:highlight w:val="none"/>
        </w:rPr>
        <w:t>。</w:t>
      </w:r>
    </w:p>
    <w:p w14:paraId="51BD4F53">
      <w:pPr>
        <w:spacing w:line="360" w:lineRule="auto"/>
        <w:ind w:firstLine="420" w:firstLineChars="200"/>
        <w:rPr>
          <w:rStyle w:val="307"/>
          <w:rFonts w:hint="default" w:cs="宋体"/>
          <w:color w:val="auto"/>
          <w:sz w:val="21"/>
          <w:szCs w:val="21"/>
          <w:highlight w:val="none"/>
        </w:rPr>
      </w:pPr>
      <w:r>
        <w:rPr>
          <w:rFonts w:hint="eastAsia" w:ascii="宋体" w:hAnsi="宋体" w:cs="宋体"/>
          <w:bCs/>
          <w:szCs w:val="21"/>
          <w:highlight w:val="none"/>
        </w:rPr>
        <w:t>承包人主要施工管理人员擅自离开施工现场的违约责任：</w:t>
      </w:r>
      <w:r>
        <w:rPr>
          <w:rFonts w:hint="eastAsia" w:ascii="宋体" w:hAnsi="宋体" w:cs="宋体"/>
          <w:szCs w:val="21"/>
          <w:highlight w:val="none"/>
          <w:u w:val="single"/>
        </w:rPr>
        <w:t>视为承包人违约，</w:t>
      </w:r>
      <w:r>
        <w:rPr>
          <w:rFonts w:hint="eastAsia" w:ascii="宋体" w:hAnsi="宋体" w:cs="宋体"/>
          <w:highlight w:val="none"/>
          <w:u w:val="single"/>
        </w:rPr>
        <w:t>发包人有权对承包人</w:t>
      </w:r>
      <w:r>
        <w:rPr>
          <w:rFonts w:hint="eastAsia" w:ascii="宋体" w:hAnsi="宋体" w:cs="宋体"/>
          <w:szCs w:val="21"/>
          <w:highlight w:val="none"/>
          <w:u w:val="single"/>
        </w:rPr>
        <w:t>处罚金500元/日，将在工程工程款中予以扣除</w:t>
      </w:r>
      <w:r>
        <w:rPr>
          <w:rStyle w:val="307"/>
          <w:rFonts w:hint="default" w:cs="宋体"/>
          <w:color w:val="auto"/>
          <w:sz w:val="21"/>
          <w:szCs w:val="21"/>
          <w:highlight w:val="none"/>
        </w:rPr>
        <w:t xml:space="preserve">。 </w:t>
      </w:r>
    </w:p>
    <w:p w14:paraId="00967960">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w:t>
      </w:r>
      <w:bookmarkStart w:id="532" w:name="_Toc297216151"/>
      <w:bookmarkStart w:id="533" w:name="_Toc312677988"/>
      <w:bookmarkStart w:id="534" w:name="_Toc296346660"/>
      <w:bookmarkStart w:id="535" w:name="_Toc296891199"/>
      <w:bookmarkStart w:id="536" w:name="_Toc304295523"/>
      <w:bookmarkStart w:id="537" w:name="_Toc296944498"/>
      <w:bookmarkStart w:id="538" w:name="_Toc292559364"/>
      <w:bookmarkStart w:id="539" w:name="_Toc300934945"/>
      <w:bookmarkStart w:id="540" w:name="_Toc297120459"/>
      <w:bookmarkStart w:id="541" w:name="_Toc296503159"/>
      <w:bookmarkStart w:id="542" w:name="_Toc297123492"/>
      <w:bookmarkStart w:id="543" w:name="_Toc296890987"/>
      <w:bookmarkStart w:id="544" w:name="_Toc296347158"/>
      <w:bookmarkStart w:id="545" w:name="_Toc297048345"/>
      <w:bookmarkStart w:id="546" w:name="_Toc292559869"/>
      <w:bookmarkStart w:id="547" w:name="_Toc303539102"/>
      <w:r>
        <w:rPr>
          <w:rFonts w:hint="eastAsia" w:ascii="宋体" w:hAnsi="宋体" w:cs="宋体"/>
          <w:bCs/>
          <w:szCs w:val="21"/>
          <w:highlight w:val="none"/>
        </w:rPr>
        <w:t>.5 分包</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14:paraId="5C77D7C0">
      <w:pPr>
        <w:spacing w:line="360" w:lineRule="auto"/>
        <w:ind w:firstLine="420" w:firstLineChars="200"/>
        <w:rPr>
          <w:rFonts w:ascii="宋体" w:hAnsi="宋体" w:cs="宋体"/>
          <w:bCs/>
          <w:szCs w:val="21"/>
          <w:highlight w:val="none"/>
          <w:u w:val="single"/>
        </w:rPr>
      </w:pPr>
      <w:r>
        <w:rPr>
          <w:rFonts w:hint="eastAsia" w:ascii="宋体" w:hAnsi="宋体" w:cs="宋体"/>
          <w:bCs/>
          <w:szCs w:val="21"/>
          <w:highlight w:val="none"/>
        </w:rPr>
        <w:t>3</w:t>
      </w:r>
      <w:bookmarkStart w:id="548" w:name="_Toc300934946"/>
      <w:bookmarkStart w:id="549" w:name="_Toc296346661"/>
      <w:bookmarkStart w:id="550" w:name="_Toc304295524"/>
      <w:bookmarkStart w:id="551" w:name="_Toc297048346"/>
      <w:bookmarkStart w:id="552" w:name="_Toc296347159"/>
      <w:bookmarkStart w:id="553" w:name="_Toc297120460"/>
      <w:bookmarkStart w:id="554" w:name="_Toc296944499"/>
      <w:bookmarkStart w:id="555" w:name="_Toc292559365"/>
      <w:bookmarkStart w:id="556" w:name="_Toc296891200"/>
      <w:bookmarkStart w:id="557" w:name="_Toc292559870"/>
      <w:bookmarkStart w:id="558" w:name="_Toc297123493"/>
      <w:bookmarkStart w:id="559" w:name="_Toc296890988"/>
      <w:bookmarkStart w:id="560" w:name="_Toc303539103"/>
      <w:bookmarkStart w:id="561" w:name="_Toc318581158"/>
      <w:bookmarkStart w:id="562" w:name="_Toc296503160"/>
      <w:bookmarkStart w:id="563" w:name="_Toc312677989"/>
      <w:bookmarkStart w:id="564" w:name="_Toc297216152"/>
      <w:r>
        <w:rPr>
          <w:rFonts w:hint="eastAsia" w:ascii="宋体" w:hAnsi="宋体" w:cs="宋体"/>
          <w:bCs/>
          <w:szCs w:val="21"/>
          <w:highlight w:val="none"/>
        </w:rPr>
        <w:t>.5.1 分包的一般约定：</w:t>
      </w:r>
      <w:r>
        <w:rPr>
          <w:rFonts w:hint="eastAsia" w:ascii="宋体" w:hAnsi="宋体" w:cs="宋体"/>
          <w:b/>
          <w:szCs w:val="21"/>
          <w:highlight w:val="none"/>
          <w:u w:val="single"/>
        </w:rPr>
        <w:t>不允许</w:t>
      </w:r>
      <w:r>
        <w:rPr>
          <w:rFonts w:hint="eastAsia" w:ascii="宋体" w:hAnsi="宋体" w:cs="宋体"/>
          <w:bCs/>
          <w:szCs w:val="21"/>
          <w:highlight w:val="none"/>
        </w:rPr>
        <w:t>。</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5" w:name="_Toc312677990"/>
      <w:bookmarkStart w:id="566" w:name="_Toc318581159"/>
    </w:p>
    <w:p w14:paraId="6740F970">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3.5.4 分包合同价款</w:t>
      </w:r>
    </w:p>
    <w:p w14:paraId="6561470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关于分包合同价款支付的约定：</w:t>
      </w:r>
      <w:r>
        <w:rPr>
          <w:rFonts w:hint="eastAsia" w:ascii="宋体" w:hAnsi="宋体" w:cs="宋体"/>
          <w:b/>
          <w:szCs w:val="21"/>
          <w:highlight w:val="none"/>
          <w:u w:val="single"/>
        </w:rPr>
        <w:t>/</w:t>
      </w:r>
      <w:r>
        <w:rPr>
          <w:rFonts w:hint="eastAsia" w:ascii="宋体" w:hAnsi="宋体" w:cs="宋体"/>
          <w:bCs/>
          <w:szCs w:val="21"/>
          <w:highlight w:val="none"/>
        </w:rPr>
        <w:t>。</w:t>
      </w:r>
    </w:p>
    <w:bookmarkEnd w:id="565"/>
    <w:bookmarkEnd w:id="566"/>
    <w:p w14:paraId="061DC73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3.6 工程照管与成品、半成品保护：</w:t>
      </w:r>
    </w:p>
    <w:p w14:paraId="6910E6E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承包人负责照管工程及工程相关的材料、工程设备的起始时间：</w:t>
      </w:r>
      <w:r>
        <w:rPr>
          <w:rFonts w:hint="eastAsia" w:ascii="宋体" w:hAnsi="宋体" w:cs="宋体"/>
          <w:bCs/>
          <w:szCs w:val="21"/>
          <w:highlight w:val="none"/>
          <w:u w:val="single"/>
        </w:rPr>
        <w:t>合同签订后至工程竣工验收合格并交付发包人后</w:t>
      </w:r>
      <w:r>
        <w:rPr>
          <w:rFonts w:hint="eastAsia" w:ascii="宋体" w:hAnsi="宋体" w:cs="宋体"/>
          <w:bCs/>
          <w:szCs w:val="21"/>
          <w:highlight w:val="none"/>
        </w:rPr>
        <w:t>。</w:t>
      </w:r>
    </w:p>
    <w:p w14:paraId="5D60C1E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3.7 履约担保</w:t>
      </w:r>
    </w:p>
    <w:p w14:paraId="75FB919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承包人是否提供履约担保：</w:t>
      </w:r>
      <w:r>
        <w:rPr>
          <w:rFonts w:hint="eastAsia" w:ascii="宋体" w:hAnsi="宋体" w:cs="宋体"/>
          <w:b/>
          <w:szCs w:val="21"/>
          <w:highlight w:val="none"/>
          <w:u w:val="single"/>
        </w:rPr>
        <w:t>/</w:t>
      </w:r>
      <w:r>
        <w:rPr>
          <w:rFonts w:hint="eastAsia" w:ascii="宋体" w:hAnsi="宋体" w:cs="宋体"/>
          <w:bCs/>
          <w:szCs w:val="21"/>
          <w:highlight w:val="none"/>
        </w:rPr>
        <w:t>。</w:t>
      </w:r>
    </w:p>
    <w:p w14:paraId="1C1BA0A2">
      <w:pPr>
        <w:spacing w:line="360" w:lineRule="auto"/>
        <w:ind w:firstLine="420" w:firstLineChars="200"/>
        <w:rPr>
          <w:rFonts w:ascii="宋体" w:hAnsi="宋体" w:cs="宋体"/>
          <w:bCs/>
          <w:szCs w:val="21"/>
          <w:highlight w:val="none"/>
        </w:rPr>
      </w:pPr>
      <w:bookmarkStart w:id="567" w:name="_Toc351203636"/>
      <w:bookmarkStart w:id="568" w:name="_Toc14941_WPSOffice_Level3"/>
      <w:r>
        <w:rPr>
          <w:rFonts w:hint="eastAsia" w:ascii="宋体" w:hAnsi="宋体" w:cs="宋体"/>
          <w:bCs/>
          <w:szCs w:val="21"/>
          <w:highlight w:val="none"/>
        </w:rPr>
        <w:t>承包人提供履约担保的时间：</w:t>
      </w:r>
      <w:r>
        <w:rPr>
          <w:rFonts w:hint="eastAsia" w:ascii="宋体" w:hAnsi="宋体" w:cs="宋体"/>
          <w:b/>
          <w:szCs w:val="21"/>
          <w:highlight w:val="none"/>
          <w:u w:val="single"/>
        </w:rPr>
        <w:t>/</w:t>
      </w:r>
      <w:r>
        <w:rPr>
          <w:rFonts w:hint="eastAsia" w:ascii="宋体" w:hAnsi="宋体" w:cs="宋体"/>
          <w:bCs/>
          <w:szCs w:val="21"/>
          <w:highlight w:val="none"/>
        </w:rPr>
        <w:t>。</w:t>
      </w:r>
    </w:p>
    <w:p w14:paraId="2A480A5C">
      <w:pPr>
        <w:pStyle w:val="6"/>
        <w:spacing w:before="120" w:after="120"/>
        <w:rPr>
          <w:rFonts w:ascii="宋体" w:hAnsi="宋体" w:cs="宋体"/>
          <w:bCs/>
          <w:color w:val="auto"/>
          <w:kern w:val="0"/>
          <w:sz w:val="24"/>
          <w:szCs w:val="24"/>
          <w:highlight w:val="none"/>
          <w:u w:val="none"/>
        </w:rPr>
      </w:pPr>
      <w:r>
        <w:rPr>
          <w:rFonts w:hint="eastAsia" w:ascii="宋体" w:hAnsi="宋体" w:cs="宋体"/>
          <w:bCs/>
          <w:color w:val="auto"/>
          <w:kern w:val="0"/>
          <w:sz w:val="24"/>
          <w:szCs w:val="24"/>
          <w:highlight w:val="none"/>
          <w:u w:val="none"/>
        </w:rPr>
        <w:t>4</w:t>
      </w:r>
      <w:bookmarkStart w:id="569" w:name="_Toc296347161"/>
      <w:bookmarkStart w:id="570" w:name="_Toc296891202"/>
      <w:bookmarkStart w:id="571" w:name="_Toc297120462"/>
      <w:bookmarkStart w:id="572" w:name="_Toc296890990"/>
      <w:bookmarkStart w:id="573" w:name="_Toc297048348"/>
      <w:bookmarkStart w:id="574" w:name="_Toc296346663"/>
      <w:bookmarkStart w:id="575" w:name="_Toc292559871"/>
      <w:bookmarkStart w:id="576" w:name="_Toc296944501"/>
      <w:bookmarkStart w:id="577" w:name="_Toc296503162"/>
      <w:bookmarkStart w:id="578" w:name="_Toc292559366"/>
      <w:bookmarkStart w:id="579" w:name="_Toc267251413"/>
      <w:r>
        <w:rPr>
          <w:rFonts w:hint="eastAsia" w:ascii="宋体" w:hAnsi="宋体" w:cs="宋体"/>
          <w:bCs/>
          <w:color w:val="auto"/>
          <w:kern w:val="0"/>
          <w:sz w:val="24"/>
          <w:szCs w:val="24"/>
          <w:highlight w:val="none"/>
          <w:u w:val="none"/>
        </w:rPr>
        <w:t>. 监</w:t>
      </w:r>
      <w:bookmarkEnd w:id="569"/>
      <w:bookmarkEnd w:id="570"/>
      <w:bookmarkEnd w:id="571"/>
      <w:bookmarkEnd w:id="572"/>
      <w:bookmarkEnd w:id="573"/>
      <w:bookmarkEnd w:id="574"/>
      <w:bookmarkEnd w:id="575"/>
      <w:bookmarkEnd w:id="576"/>
      <w:bookmarkEnd w:id="577"/>
      <w:bookmarkEnd w:id="578"/>
      <w:bookmarkEnd w:id="579"/>
      <w:r>
        <w:rPr>
          <w:rFonts w:hint="eastAsia" w:ascii="宋体" w:hAnsi="宋体" w:cs="宋体"/>
          <w:bCs/>
          <w:color w:val="auto"/>
          <w:kern w:val="0"/>
          <w:sz w:val="24"/>
          <w:szCs w:val="24"/>
          <w:highlight w:val="none"/>
          <w:u w:val="none"/>
        </w:rPr>
        <w:t>理人</w:t>
      </w:r>
      <w:bookmarkEnd w:id="567"/>
      <w:bookmarkEnd w:id="568"/>
    </w:p>
    <w:p w14:paraId="5F31FC4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4.1监理人的一般规定</w:t>
      </w:r>
    </w:p>
    <w:p w14:paraId="71285B5D">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关于监理人的监理内容：</w:t>
      </w:r>
      <w:r>
        <w:rPr>
          <w:rFonts w:hint="eastAsia" w:ascii="宋体" w:hAnsi="宋体" w:cs="宋体"/>
          <w:szCs w:val="21"/>
          <w:highlight w:val="none"/>
          <w:u w:val="single"/>
        </w:rPr>
        <w:t>具体以签订的本项目监理合同为准</w:t>
      </w:r>
      <w:r>
        <w:rPr>
          <w:rFonts w:hint="eastAsia" w:ascii="宋体" w:hAnsi="宋体" w:cs="宋体"/>
          <w:bCs/>
          <w:szCs w:val="21"/>
          <w:highlight w:val="none"/>
        </w:rPr>
        <w:t>。</w:t>
      </w:r>
    </w:p>
    <w:p w14:paraId="6B1D785D">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关于监理人的监理权限：</w:t>
      </w:r>
      <w:r>
        <w:rPr>
          <w:rFonts w:hint="eastAsia" w:ascii="宋体" w:hAnsi="宋体" w:cs="宋体"/>
          <w:szCs w:val="21"/>
          <w:highlight w:val="none"/>
          <w:u w:val="single"/>
        </w:rPr>
        <w:t>具体以签订的本项目监理合同为准</w:t>
      </w:r>
      <w:r>
        <w:rPr>
          <w:rFonts w:hint="eastAsia" w:ascii="宋体" w:hAnsi="宋体" w:cs="宋体"/>
          <w:bCs/>
          <w:szCs w:val="21"/>
          <w:highlight w:val="none"/>
        </w:rPr>
        <w:t xml:space="preserve">。 </w:t>
      </w:r>
    </w:p>
    <w:p w14:paraId="6676828D">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关于监理人在施工现场的办公场所、生活场所的提供和费用承担的约定：</w:t>
      </w:r>
      <w:r>
        <w:rPr>
          <w:rFonts w:hint="eastAsia" w:ascii="宋体" w:hAnsi="宋体" w:cs="宋体"/>
          <w:szCs w:val="21"/>
          <w:highlight w:val="none"/>
          <w:u w:val="single"/>
        </w:rPr>
        <w:t>双方约定</w:t>
      </w:r>
      <w:r>
        <w:rPr>
          <w:rFonts w:hint="eastAsia" w:ascii="宋体" w:hAnsi="宋体" w:cs="宋体"/>
          <w:bCs/>
          <w:szCs w:val="21"/>
          <w:highlight w:val="none"/>
        </w:rPr>
        <w:t>。</w:t>
      </w:r>
    </w:p>
    <w:p w14:paraId="7A1FBD3A">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4.2 监理人员</w:t>
      </w:r>
    </w:p>
    <w:p w14:paraId="3A31C37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总监理工程师：</w:t>
      </w:r>
    </w:p>
    <w:p w14:paraId="70AD95E8">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姓    名：</w:t>
      </w:r>
      <w:r>
        <w:rPr>
          <w:rFonts w:hint="eastAsia" w:ascii="宋体" w:hAnsi="宋体" w:cs="宋体"/>
          <w:bCs/>
          <w:szCs w:val="21"/>
          <w:highlight w:val="none"/>
          <w:u w:val="single"/>
        </w:rPr>
        <w:t>   </w:t>
      </w:r>
      <w:r>
        <w:rPr>
          <w:rFonts w:hint="eastAsia" w:ascii="宋体" w:hAnsi="宋体" w:cs="宋体"/>
          <w:bCs/>
          <w:szCs w:val="21"/>
          <w:highlight w:val="none"/>
        </w:rPr>
        <w:t>；</w:t>
      </w:r>
    </w:p>
    <w:p w14:paraId="6828229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职    务：</w:t>
      </w:r>
      <w:r>
        <w:rPr>
          <w:rFonts w:hint="eastAsia" w:ascii="宋体" w:hAnsi="宋体" w:cs="宋体"/>
          <w:bCs/>
          <w:szCs w:val="21"/>
          <w:highlight w:val="none"/>
          <w:u w:val="single"/>
        </w:rPr>
        <w:t>   </w:t>
      </w:r>
      <w:r>
        <w:rPr>
          <w:rFonts w:hint="eastAsia" w:ascii="宋体" w:hAnsi="宋体" w:cs="宋体"/>
          <w:bCs/>
          <w:szCs w:val="21"/>
          <w:highlight w:val="none"/>
        </w:rPr>
        <w:t>；</w:t>
      </w:r>
    </w:p>
    <w:p w14:paraId="3105E2F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监理工程师执业资格证书号：</w:t>
      </w:r>
      <w:r>
        <w:rPr>
          <w:rFonts w:hint="eastAsia" w:ascii="宋体" w:hAnsi="宋体" w:cs="宋体"/>
          <w:bCs/>
          <w:szCs w:val="21"/>
          <w:highlight w:val="none"/>
          <w:u w:val="single"/>
        </w:rPr>
        <w:t> </w:t>
      </w:r>
      <w:r>
        <w:rPr>
          <w:rFonts w:hint="eastAsia" w:ascii="宋体" w:hAnsi="宋体" w:cs="宋体"/>
          <w:bCs/>
          <w:szCs w:val="21"/>
          <w:highlight w:val="none"/>
        </w:rPr>
        <w:t>；</w:t>
      </w:r>
    </w:p>
    <w:p w14:paraId="4D23BBEC">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联系电话：</w:t>
      </w:r>
      <w:r>
        <w:rPr>
          <w:rFonts w:hint="eastAsia" w:ascii="宋体" w:hAnsi="宋体" w:cs="宋体"/>
          <w:bCs/>
          <w:szCs w:val="21"/>
          <w:highlight w:val="none"/>
          <w:u w:val="single"/>
        </w:rPr>
        <w:t>   </w:t>
      </w:r>
      <w:r>
        <w:rPr>
          <w:rFonts w:hint="eastAsia" w:ascii="宋体" w:hAnsi="宋体" w:cs="宋体"/>
          <w:bCs/>
          <w:szCs w:val="21"/>
          <w:highlight w:val="none"/>
        </w:rPr>
        <w:t>；</w:t>
      </w:r>
    </w:p>
    <w:p w14:paraId="4D5B74B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电子信箱：</w:t>
      </w:r>
      <w:r>
        <w:rPr>
          <w:rFonts w:hint="eastAsia" w:ascii="宋体" w:hAnsi="宋体" w:cs="宋体"/>
          <w:bCs/>
          <w:szCs w:val="21"/>
          <w:highlight w:val="none"/>
          <w:u w:val="single"/>
        </w:rPr>
        <w:t>   </w:t>
      </w:r>
      <w:r>
        <w:rPr>
          <w:rFonts w:hint="eastAsia" w:ascii="宋体" w:hAnsi="宋体" w:cs="宋体"/>
          <w:bCs/>
          <w:szCs w:val="21"/>
          <w:highlight w:val="none"/>
        </w:rPr>
        <w:t>；</w:t>
      </w:r>
    </w:p>
    <w:p w14:paraId="65D246D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通信地址：</w:t>
      </w:r>
      <w:r>
        <w:rPr>
          <w:rFonts w:hint="eastAsia" w:ascii="宋体" w:hAnsi="宋体" w:cs="宋体"/>
          <w:bCs/>
          <w:szCs w:val="21"/>
          <w:highlight w:val="none"/>
          <w:u w:val="single"/>
        </w:rPr>
        <w:t>   </w:t>
      </w:r>
      <w:r>
        <w:rPr>
          <w:rFonts w:hint="eastAsia" w:ascii="宋体" w:hAnsi="宋体" w:cs="宋体"/>
          <w:bCs/>
          <w:szCs w:val="21"/>
          <w:highlight w:val="none"/>
        </w:rPr>
        <w:t>；</w:t>
      </w:r>
    </w:p>
    <w:p w14:paraId="26D662D6">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关于监理人的其他约定：</w:t>
      </w:r>
      <w:r>
        <w:rPr>
          <w:rFonts w:hint="eastAsia" w:ascii="宋体" w:hAnsi="宋体" w:cs="宋体"/>
          <w:bCs/>
          <w:szCs w:val="21"/>
          <w:highlight w:val="none"/>
          <w:u w:val="single"/>
        </w:rPr>
        <w:t>   </w:t>
      </w:r>
      <w:r>
        <w:rPr>
          <w:rFonts w:hint="eastAsia" w:ascii="宋体" w:hAnsi="宋体" w:cs="宋体"/>
          <w:bCs/>
          <w:szCs w:val="21"/>
          <w:highlight w:val="none"/>
        </w:rPr>
        <w:t>。</w:t>
      </w:r>
    </w:p>
    <w:p w14:paraId="63346559">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4.4 商定或确定</w:t>
      </w:r>
    </w:p>
    <w:p w14:paraId="03B1E5A9">
      <w:pPr>
        <w:spacing w:line="360" w:lineRule="auto"/>
        <w:ind w:firstLine="420" w:firstLineChars="200"/>
        <w:rPr>
          <w:rFonts w:ascii="宋体" w:hAnsi="宋体" w:cs="宋体"/>
          <w:bCs/>
          <w:szCs w:val="21"/>
          <w:highlight w:val="none"/>
        </w:rPr>
      </w:pPr>
      <w:bookmarkStart w:id="580" w:name="_Toc267251418"/>
      <w:r>
        <w:rPr>
          <w:rFonts w:hint="eastAsia" w:ascii="宋体" w:hAnsi="宋体" w:cs="宋体"/>
          <w:bCs/>
          <w:szCs w:val="21"/>
          <w:highlight w:val="none"/>
        </w:rPr>
        <w:t>在发包人和承包人不能通过协商达成一致意见时，发包人授权监理人对以下事项进行确定：</w:t>
      </w:r>
    </w:p>
    <w:p w14:paraId="11C17B48">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kern w:val="0"/>
          <w:szCs w:val="21"/>
          <w:highlight w:val="none"/>
        </w:rPr>
        <w:t>（1）</w:t>
      </w:r>
      <w:r>
        <w:rPr>
          <w:rFonts w:hint="eastAsia" w:ascii="宋体" w:hAnsi="宋体" w:cs="宋体"/>
          <w:szCs w:val="21"/>
          <w:highlight w:val="none"/>
          <w:u w:val="single"/>
        </w:rPr>
        <w:t>对工程设计中的技术问题，按照安全和优化的原则，向设计人提出建议；如果拟提出的建议可能会提高工程造价，或延长工期，应当事先对造价、工期进行评估，呈报书面材料征得委托人的同意。当发现工程设计不符合国家颁布的建设工程质量标准或设计合同约定的质量标准时，监理人应当书面报告发包人并要求设计人更正</w:t>
      </w:r>
      <w:r>
        <w:rPr>
          <w:rFonts w:hint="eastAsia" w:ascii="宋体" w:hAnsi="宋体" w:cs="宋体"/>
          <w:bCs/>
          <w:szCs w:val="21"/>
          <w:highlight w:val="none"/>
        </w:rPr>
        <w:t>。</w:t>
      </w:r>
    </w:p>
    <w:p w14:paraId="172AA1EF">
      <w:pPr>
        <w:autoSpaceDE w:val="0"/>
        <w:autoSpaceDN w:val="0"/>
        <w:adjustRightInd w:val="0"/>
        <w:spacing w:line="360" w:lineRule="auto"/>
        <w:ind w:right="246" w:firstLine="420" w:firstLineChars="200"/>
        <w:rPr>
          <w:rFonts w:ascii="宋体" w:hAnsi="宋体" w:cs="宋体"/>
          <w:szCs w:val="21"/>
          <w:highlight w:val="none"/>
        </w:rPr>
      </w:pPr>
      <w:r>
        <w:rPr>
          <w:rFonts w:hint="eastAsia" w:ascii="宋体" w:hAnsi="宋体" w:cs="宋体"/>
          <w:bCs/>
          <w:kern w:val="0"/>
          <w:szCs w:val="21"/>
          <w:highlight w:val="none"/>
        </w:rPr>
        <w:t>（2）</w:t>
      </w:r>
      <w:r>
        <w:rPr>
          <w:rFonts w:hint="eastAsia" w:ascii="宋体" w:hAnsi="宋体" w:cs="宋体"/>
          <w:szCs w:val="21"/>
          <w:highlight w:val="none"/>
          <w:u w:val="single"/>
        </w:rPr>
        <w:t>征得发包人同意，监理人有权发布开工令、停工令、复工令，但应当事先向发包人报告并取得发包人同意方可。如在紧急情况下未能事先报告时，则应在24小时内向发包人作出书面报告</w:t>
      </w:r>
      <w:r>
        <w:rPr>
          <w:rFonts w:hint="eastAsia" w:ascii="宋体" w:hAnsi="宋体" w:cs="宋体"/>
          <w:szCs w:val="21"/>
          <w:highlight w:val="none"/>
        </w:rPr>
        <w:t>。</w:t>
      </w:r>
    </w:p>
    <w:p w14:paraId="1B7530D6">
      <w:pPr>
        <w:autoSpaceDE w:val="0"/>
        <w:autoSpaceDN w:val="0"/>
        <w:adjustRightInd w:val="0"/>
        <w:spacing w:line="360" w:lineRule="auto"/>
        <w:ind w:right="246" w:firstLine="420" w:firstLineChars="200"/>
        <w:rPr>
          <w:rFonts w:ascii="宋体" w:hAnsi="宋体" w:cs="宋体"/>
          <w:bCs/>
          <w:szCs w:val="21"/>
          <w:highlight w:val="none"/>
        </w:rPr>
      </w:pPr>
      <w:r>
        <w:rPr>
          <w:rFonts w:hint="eastAsia" w:ascii="宋体" w:hAnsi="宋体" w:cs="宋体"/>
          <w:bCs/>
          <w:kern w:val="0"/>
          <w:szCs w:val="21"/>
          <w:highlight w:val="none"/>
        </w:rPr>
        <w:t>（3）</w:t>
      </w:r>
      <w:r>
        <w:rPr>
          <w:rFonts w:hint="eastAsia" w:ascii="宋体" w:hAnsi="宋体" w:cs="宋体"/>
          <w:szCs w:val="21"/>
          <w:highlight w:val="none"/>
          <w:u w:val="single"/>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r>
        <w:rPr>
          <w:rFonts w:hint="eastAsia" w:ascii="宋体" w:hAnsi="宋体" w:cs="宋体"/>
          <w:szCs w:val="21"/>
          <w:highlight w:val="none"/>
        </w:rPr>
        <w:t>。</w:t>
      </w:r>
    </w:p>
    <w:p w14:paraId="77CF7E09">
      <w:pPr>
        <w:autoSpaceDE w:val="0"/>
        <w:autoSpaceDN w:val="0"/>
        <w:adjustRightInd w:val="0"/>
        <w:spacing w:line="360" w:lineRule="auto"/>
        <w:ind w:right="246" w:firstLine="472" w:firstLineChars="225"/>
        <w:rPr>
          <w:rFonts w:ascii="宋体" w:hAnsi="宋体" w:cs="宋体"/>
          <w:szCs w:val="21"/>
          <w:highlight w:val="none"/>
        </w:rPr>
      </w:pPr>
      <w:r>
        <w:rPr>
          <w:rFonts w:hint="eastAsia" w:ascii="宋体" w:hAnsi="宋体" w:cs="宋体"/>
          <w:szCs w:val="21"/>
          <w:highlight w:val="none"/>
        </w:rPr>
        <w:t xml:space="preserve">(4) </w:t>
      </w:r>
      <w:r>
        <w:rPr>
          <w:rFonts w:hint="eastAsia" w:ascii="宋体" w:hAnsi="宋体" w:cs="宋体"/>
          <w:szCs w:val="21"/>
          <w:highlight w:val="none"/>
          <w:u w:val="single"/>
        </w:rPr>
        <w:t>在工程施工合同约定的工程价格范围内，工程款支付的初审权，以及工程结算的复核初审权与否决权。未经总监理工程师签字确认，发包人不支付工程款</w:t>
      </w:r>
      <w:r>
        <w:rPr>
          <w:rFonts w:hint="eastAsia" w:ascii="宋体" w:hAnsi="宋体" w:cs="宋体"/>
          <w:szCs w:val="21"/>
          <w:highlight w:val="none"/>
        </w:rPr>
        <w:t>。</w:t>
      </w:r>
    </w:p>
    <w:p w14:paraId="79D24A32">
      <w:pPr>
        <w:autoSpaceDE w:val="0"/>
        <w:autoSpaceDN w:val="0"/>
        <w:adjustRightInd w:val="0"/>
        <w:spacing w:line="360" w:lineRule="auto"/>
        <w:ind w:right="246" w:firstLine="472" w:firstLineChars="225"/>
        <w:rPr>
          <w:rFonts w:ascii="宋体" w:hAnsi="宋体" w:cs="宋体"/>
          <w:szCs w:val="21"/>
          <w:highlight w:val="none"/>
        </w:rPr>
      </w:pPr>
      <w:r>
        <w:rPr>
          <w:rFonts w:hint="eastAsia" w:ascii="宋体" w:hAnsi="宋体" w:cs="宋体"/>
          <w:szCs w:val="21"/>
          <w:highlight w:val="none"/>
        </w:rPr>
        <w:t>(5)需要取得发包人批准才能行使的职权：</w:t>
      </w:r>
    </w:p>
    <w:p w14:paraId="3C0B7114">
      <w:pPr>
        <w:autoSpaceDE w:val="0"/>
        <w:autoSpaceDN w:val="0"/>
        <w:adjustRightInd w:val="0"/>
        <w:spacing w:line="360" w:lineRule="auto"/>
        <w:ind w:right="246" w:firstLine="472" w:firstLineChars="225"/>
        <w:rPr>
          <w:rFonts w:ascii="宋体" w:hAnsi="宋体" w:cs="宋体"/>
          <w:szCs w:val="21"/>
          <w:highlight w:val="none"/>
          <w:u w:val="single"/>
        </w:rPr>
      </w:pPr>
      <w:r>
        <w:rPr>
          <w:rFonts w:hint="eastAsia" w:ascii="宋体" w:hAnsi="宋体" w:cs="宋体"/>
          <w:szCs w:val="21"/>
          <w:highlight w:val="none"/>
        </w:rPr>
        <w:t xml:space="preserve"> ①</w:t>
      </w:r>
      <w:r>
        <w:rPr>
          <w:rFonts w:hint="eastAsia" w:ascii="宋体" w:hAnsi="宋体" w:cs="宋体"/>
          <w:szCs w:val="21"/>
          <w:highlight w:val="none"/>
          <w:u w:val="single"/>
        </w:rPr>
        <w:t>设计变更</w:t>
      </w:r>
      <w:r>
        <w:rPr>
          <w:rFonts w:hint="eastAsia" w:ascii="宋体" w:hAnsi="宋体" w:cs="宋体"/>
          <w:szCs w:val="21"/>
          <w:highlight w:val="none"/>
        </w:rPr>
        <w:t>；②</w:t>
      </w:r>
      <w:r>
        <w:rPr>
          <w:rFonts w:hint="eastAsia" w:ascii="宋体" w:hAnsi="宋体" w:cs="宋体"/>
          <w:szCs w:val="21"/>
          <w:highlight w:val="none"/>
          <w:u w:val="single"/>
        </w:rPr>
        <w:t>工期延误索赔或鉴证，工程量及费用增减的索赔或鉴证</w:t>
      </w:r>
      <w:r>
        <w:rPr>
          <w:rFonts w:hint="eastAsia" w:ascii="宋体" w:hAnsi="宋体" w:cs="宋体"/>
          <w:szCs w:val="21"/>
          <w:highlight w:val="none"/>
        </w:rPr>
        <w:t>；③</w:t>
      </w:r>
      <w:r>
        <w:rPr>
          <w:rFonts w:hint="eastAsia" w:ascii="宋体" w:hAnsi="宋体" w:cs="宋体"/>
          <w:szCs w:val="21"/>
          <w:highlight w:val="none"/>
          <w:u w:val="single"/>
        </w:rPr>
        <w:t>涉及产生合同外费用的（措施费等）</w:t>
      </w:r>
      <w:r>
        <w:rPr>
          <w:rFonts w:hint="eastAsia" w:ascii="宋体" w:hAnsi="宋体" w:cs="宋体"/>
          <w:szCs w:val="21"/>
          <w:highlight w:val="none"/>
        </w:rPr>
        <w:t>；</w:t>
      </w:r>
      <w:r>
        <w:rPr>
          <w:rFonts w:hint="eastAsia" w:ascii="宋体" w:hAnsi="宋体" w:cs="宋体"/>
          <w:szCs w:val="21"/>
          <w:highlight w:val="none"/>
        </w:rPr>
        <w:fldChar w:fldCharType="begin"/>
      </w:r>
      <w:r>
        <w:rPr>
          <w:rFonts w:hint="eastAsia" w:ascii="宋体" w:hAnsi="宋体" w:cs="宋体"/>
          <w:szCs w:val="21"/>
          <w:highlight w:val="none"/>
        </w:rPr>
        <w:instrText xml:space="preserve"> = 4 \* GB3 </w:instrText>
      </w:r>
      <w:r>
        <w:rPr>
          <w:rFonts w:hint="eastAsia" w:ascii="宋体" w:hAnsi="宋体" w:cs="宋体"/>
          <w:szCs w:val="21"/>
          <w:highlight w:val="none"/>
        </w:rPr>
        <w:fldChar w:fldCharType="separate"/>
      </w:r>
      <w:r>
        <w:rPr>
          <w:rFonts w:hint="eastAsia" w:ascii="宋体" w:hAnsi="宋体" w:cs="宋体"/>
          <w:szCs w:val="21"/>
          <w:highlight w:val="none"/>
        </w:rPr>
        <w:t>④</w:t>
      </w:r>
      <w:r>
        <w:rPr>
          <w:rFonts w:hint="eastAsia" w:ascii="宋体" w:hAnsi="宋体" w:cs="宋体"/>
          <w:szCs w:val="21"/>
          <w:highlight w:val="none"/>
        </w:rPr>
        <w:fldChar w:fldCharType="end"/>
      </w:r>
      <w:r>
        <w:rPr>
          <w:rFonts w:hint="eastAsia" w:ascii="宋体" w:hAnsi="宋体" w:cs="宋体"/>
          <w:szCs w:val="21"/>
          <w:highlight w:val="none"/>
          <w:u w:val="single"/>
        </w:rPr>
        <w:t>工程款支付</w:t>
      </w:r>
      <w:r>
        <w:rPr>
          <w:rFonts w:hint="eastAsia" w:ascii="宋体" w:hAnsi="宋体" w:cs="宋体"/>
          <w:szCs w:val="21"/>
          <w:highlight w:val="none"/>
        </w:rPr>
        <w:t>；</w:t>
      </w:r>
      <w:r>
        <w:rPr>
          <w:rFonts w:hint="eastAsia" w:ascii="宋体" w:hAnsi="宋体" w:cs="宋体"/>
          <w:szCs w:val="21"/>
          <w:highlight w:val="none"/>
        </w:rPr>
        <w:fldChar w:fldCharType="begin"/>
      </w:r>
      <w:r>
        <w:rPr>
          <w:rFonts w:hint="eastAsia" w:ascii="宋体" w:hAnsi="宋体" w:cs="宋体"/>
          <w:szCs w:val="21"/>
          <w:highlight w:val="none"/>
        </w:rPr>
        <w:instrText xml:space="preserve"> = 5 \* GB3 </w:instrText>
      </w:r>
      <w:r>
        <w:rPr>
          <w:rFonts w:hint="eastAsia" w:ascii="宋体" w:hAnsi="宋体" w:cs="宋体"/>
          <w:szCs w:val="21"/>
          <w:highlight w:val="none"/>
        </w:rPr>
        <w:fldChar w:fldCharType="separate"/>
      </w:r>
      <w:r>
        <w:rPr>
          <w:rFonts w:hint="eastAsia" w:ascii="宋体" w:hAnsi="宋体" w:cs="宋体"/>
          <w:szCs w:val="21"/>
          <w:highlight w:val="none"/>
        </w:rPr>
        <w:t>⑤</w:t>
      </w:r>
      <w:r>
        <w:rPr>
          <w:rFonts w:hint="eastAsia" w:ascii="宋体" w:hAnsi="宋体" w:cs="宋体"/>
          <w:szCs w:val="21"/>
          <w:highlight w:val="none"/>
        </w:rPr>
        <w:fldChar w:fldCharType="end"/>
      </w:r>
      <w:r>
        <w:rPr>
          <w:rFonts w:hint="eastAsia" w:ascii="宋体" w:hAnsi="宋体" w:cs="宋体"/>
          <w:szCs w:val="21"/>
          <w:highlight w:val="none"/>
          <w:u w:val="single"/>
        </w:rPr>
        <w:t>施工组织设计、施工总进度计划的审定</w:t>
      </w:r>
      <w:r>
        <w:rPr>
          <w:rFonts w:hint="eastAsia" w:ascii="宋体" w:hAnsi="宋体" w:cs="宋体"/>
          <w:szCs w:val="21"/>
          <w:highlight w:val="none"/>
        </w:rPr>
        <w:t>；</w:t>
      </w:r>
      <w:r>
        <w:rPr>
          <w:rFonts w:hint="eastAsia" w:ascii="宋体" w:hAnsi="宋体" w:cs="宋体"/>
          <w:szCs w:val="21"/>
          <w:highlight w:val="none"/>
        </w:rPr>
        <w:fldChar w:fldCharType="begin"/>
      </w:r>
      <w:r>
        <w:rPr>
          <w:rFonts w:hint="eastAsia" w:ascii="宋体" w:hAnsi="宋体" w:cs="宋体"/>
          <w:szCs w:val="21"/>
          <w:highlight w:val="none"/>
        </w:rPr>
        <w:instrText xml:space="preserve"> = 6 \* GB3 </w:instrText>
      </w:r>
      <w:r>
        <w:rPr>
          <w:rFonts w:hint="eastAsia" w:ascii="宋体" w:hAnsi="宋体" w:cs="宋体"/>
          <w:szCs w:val="21"/>
          <w:highlight w:val="none"/>
        </w:rPr>
        <w:fldChar w:fldCharType="separate"/>
      </w:r>
      <w:r>
        <w:rPr>
          <w:rFonts w:hint="eastAsia" w:ascii="宋体" w:hAnsi="宋体" w:cs="宋体"/>
          <w:szCs w:val="21"/>
          <w:highlight w:val="none"/>
        </w:rPr>
        <w:t>⑥</w:t>
      </w:r>
      <w:r>
        <w:rPr>
          <w:rFonts w:hint="eastAsia" w:ascii="宋体" w:hAnsi="宋体" w:cs="宋体"/>
          <w:szCs w:val="21"/>
          <w:highlight w:val="none"/>
        </w:rPr>
        <w:fldChar w:fldCharType="end"/>
      </w:r>
      <w:r>
        <w:rPr>
          <w:rFonts w:hint="eastAsia" w:ascii="宋体" w:hAnsi="宋体" w:cs="宋体"/>
          <w:szCs w:val="21"/>
          <w:highlight w:val="none"/>
        </w:rPr>
        <w:t>；</w:t>
      </w:r>
      <w:r>
        <w:rPr>
          <w:rFonts w:hint="eastAsia" w:ascii="宋体" w:hAnsi="宋体" w:cs="宋体"/>
          <w:szCs w:val="21"/>
          <w:highlight w:val="none"/>
          <w:u w:val="single"/>
        </w:rPr>
        <w:t>其它重要突发事件处理决定见本工程建设监理合同约定权限以及发包人以书面形式委托监理工程师的其它权限</w:t>
      </w:r>
      <w:r>
        <w:rPr>
          <w:rFonts w:hint="eastAsia" w:ascii="宋体" w:hAnsi="宋体" w:cs="宋体"/>
          <w:szCs w:val="21"/>
          <w:highlight w:val="none"/>
        </w:rPr>
        <w:t>；</w:t>
      </w:r>
      <w:r>
        <w:rPr>
          <w:rFonts w:hint="eastAsia" w:ascii="宋体" w:hAnsi="宋体" w:cs="宋体"/>
          <w:szCs w:val="21"/>
          <w:highlight w:val="none"/>
        </w:rPr>
        <w:fldChar w:fldCharType="begin"/>
      </w:r>
      <w:r>
        <w:rPr>
          <w:rFonts w:hint="eastAsia" w:ascii="宋体" w:hAnsi="宋体" w:cs="宋体"/>
          <w:szCs w:val="21"/>
          <w:highlight w:val="none"/>
        </w:rPr>
        <w:instrText xml:space="preserve"> = 7 \* GB3 </w:instrText>
      </w:r>
      <w:r>
        <w:rPr>
          <w:rFonts w:hint="eastAsia" w:ascii="宋体" w:hAnsi="宋体" w:cs="宋体"/>
          <w:szCs w:val="21"/>
          <w:highlight w:val="none"/>
        </w:rPr>
        <w:fldChar w:fldCharType="separate"/>
      </w:r>
      <w:r>
        <w:rPr>
          <w:rFonts w:hint="eastAsia" w:ascii="宋体" w:hAnsi="宋体" w:cs="宋体"/>
          <w:szCs w:val="21"/>
          <w:highlight w:val="none"/>
        </w:rPr>
        <w:t>⑦</w:t>
      </w:r>
      <w:r>
        <w:rPr>
          <w:rFonts w:hint="eastAsia" w:ascii="宋体" w:hAnsi="宋体" w:cs="宋体"/>
          <w:szCs w:val="21"/>
          <w:highlight w:val="none"/>
        </w:rPr>
        <w:fldChar w:fldCharType="end"/>
      </w:r>
      <w:r>
        <w:rPr>
          <w:rFonts w:hint="eastAsia" w:ascii="宋体" w:hAnsi="宋体" w:cs="宋体"/>
          <w:szCs w:val="21"/>
          <w:highlight w:val="none"/>
          <w:u w:val="single"/>
        </w:rPr>
        <w:t>停工、复工通知</w:t>
      </w:r>
      <w:r>
        <w:rPr>
          <w:rFonts w:hint="eastAsia" w:ascii="宋体" w:hAnsi="宋体" w:cs="宋体"/>
          <w:szCs w:val="21"/>
          <w:highlight w:val="none"/>
        </w:rPr>
        <w:t xml:space="preserve">； </w:t>
      </w:r>
      <w:r>
        <w:rPr>
          <w:rFonts w:hint="eastAsia" w:ascii="宋体" w:hAnsi="宋体" w:cs="宋体"/>
          <w:szCs w:val="21"/>
          <w:highlight w:val="none"/>
        </w:rPr>
        <w:fldChar w:fldCharType="begin"/>
      </w:r>
      <w:r>
        <w:rPr>
          <w:rFonts w:hint="eastAsia" w:ascii="宋体" w:hAnsi="宋体" w:cs="宋体"/>
          <w:szCs w:val="21"/>
          <w:highlight w:val="none"/>
        </w:rPr>
        <w:instrText xml:space="preserve"> = 8 \* GB3 </w:instrText>
      </w:r>
      <w:r>
        <w:rPr>
          <w:rFonts w:hint="eastAsia" w:ascii="宋体" w:hAnsi="宋体" w:cs="宋体"/>
          <w:szCs w:val="21"/>
          <w:highlight w:val="none"/>
        </w:rPr>
        <w:fldChar w:fldCharType="separate"/>
      </w:r>
      <w:r>
        <w:rPr>
          <w:rFonts w:hint="eastAsia" w:ascii="宋体" w:hAnsi="宋体" w:cs="宋体"/>
          <w:szCs w:val="21"/>
          <w:highlight w:val="none"/>
        </w:rPr>
        <w:t>⑧</w:t>
      </w:r>
      <w:r>
        <w:rPr>
          <w:rFonts w:hint="eastAsia" w:ascii="宋体" w:hAnsi="宋体" w:cs="宋体"/>
          <w:szCs w:val="21"/>
          <w:highlight w:val="none"/>
        </w:rPr>
        <w:fldChar w:fldCharType="end"/>
      </w:r>
      <w:r>
        <w:rPr>
          <w:rFonts w:hint="eastAsia" w:ascii="宋体" w:hAnsi="宋体" w:cs="宋体"/>
          <w:szCs w:val="21"/>
          <w:highlight w:val="none"/>
          <w:u w:val="single"/>
        </w:rPr>
        <w:t>发包人认为须取得批准方可实施的其它重要事项。</w:t>
      </w:r>
    </w:p>
    <w:p w14:paraId="1DC057E2">
      <w:pPr>
        <w:pStyle w:val="6"/>
        <w:spacing w:before="120" w:after="120"/>
        <w:rPr>
          <w:rFonts w:ascii="宋体" w:hAnsi="宋体" w:cs="宋体"/>
          <w:bCs/>
          <w:szCs w:val="21"/>
          <w:highlight w:val="none"/>
        </w:rPr>
      </w:pPr>
      <w:bookmarkStart w:id="581" w:name="_Toc11078_WPSOffice_Level3"/>
      <w:bookmarkStart w:id="582" w:name="_Toc351203637"/>
      <w:r>
        <w:rPr>
          <w:rFonts w:hint="eastAsia" w:ascii="宋体" w:hAnsi="宋体" w:cs="宋体"/>
          <w:bCs/>
          <w:color w:val="auto"/>
          <w:kern w:val="0"/>
          <w:sz w:val="24"/>
          <w:szCs w:val="24"/>
          <w:highlight w:val="none"/>
          <w:u w:val="none"/>
        </w:rPr>
        <w:t>5</w:t>
      </w:r>
      <w:bookmarkEnd w:id="580"/>
      <w:bookmarkStart w:id="583" w:name="_Toc297120463"/>
      <w:bookmarkStart w:id="584" w:name="_Toc296891203"/>
      <w:bookmarkStart w:id="585" w:name="_Toc292559367"/>
      <w:bookmarkStart w:id="586" w:name="_Toc292559872"/>
      <w:bookmarkStart w:id="587" w:name="_Toc296944502"/>
      <w:bookmarkStart w:id="588" w:name="_Toc296503163"/>
      <w:bookmarkStart w:id="589" w:name="_Toc296347162"/>
      <w:bookmarkStart w:id="590" w:name="_Toc296346664"/>
      <w:bookmarkStart w:id="591" w:name="_Toc296890991"/>
      <w:bookmarkStart w:id="592" w:name="_Toc297048349"/>
      <w:r>
        <w:rPr>
          <w:rFonts w:hint="eastAsia" w:ascii="宋体" w:hAnsi="宋体" w:cs="宋体"/>
          <w:bCs/>
          <w:color w:val="auto"/>
          <w:kern w:val="0"/>
          <w:sz w:val="24"/>
          <w:szCs w:val="24"/>
          <w:highlight w:val="none"/>
          <w:u w:val="none"/>
        </w:rPr>
        <w:t>.工程质量</w:t>
      </w:r>
      <w:bookmarkEnd w:id="581"/>
      <w:bookmarkEnd w:id="582"/>
      <w:bookmarkStart w:id="593" w:name="_Toc318581164"/>
      <w:bookmarkStart w:id="594" w:name="_Toc297123496"/>
      <w:bookmarkStart w:id="595" w:name="_Toc303539106"/>
      <w:bookmarkStart w:id="596" w:name="_Toc312677997"/>
      <w:bookmarkStart w:id="597" w:name="_Toc304295527"/>
      <w:bookmarkStart w:id="598" w:name="_Toc297216155"/>
      <w:bookmarkStart w:id="599" w:name="_Toc300934949"/>
    </w:p>
    <w:p w14:paraId="672BF42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5.3 隐蔽工程检查</w:t>
      </w:r>
    </w:p>
    <w:p w14:paraId="5DE405B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5.3.2承包人提前通知监理人隐蔽工程检查的期限的约定：</w:t>
      </w:r>
      <w:r>
        <w:rPr>
          <w:rFonts w:hint="eastAsia" w:ascii="宋体" w:hAnsi="宋体" w:cs="宋体"/>
          <w:bCs/>
          <w:szCs w:val="21"/>
          <w:highlight w:val="none"/>
          <w:u w:val="single"/>
        </w:rPr>
        <w:t>执行《通用条款》的规定</w:t>
      </w:r>
      <w:r>
        <w:rPr>
          <w:rFonts w:hint="eastAsia" w:ascii="宋体" w:hAnsi="宋体" w:cs="宋体"/>
          <w:bCs/>
          <w:szCs w:val="21"/>
          <w:highlight w:val="none"/>
        </w:rPr>
        <w:t>。</w:t>
      </w:r>
    </w:p>
    <w:p w14:paraId="33EE81E7">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监理人不能按时进行检查时，应提前</w:t>
      </w:r>
      <w:r>
        <w:rPr>
          <w:rFonts w:hint="eastAsia" w:ascii="宋体" w:hAnsi="宋体" w:cs="宋体"/>
          <w:bCs/>
          <w:szCs w:val="21"/>
          <w:highlight w:val="none"/>
          <w:u w:val="single"/>
        </w:rPr>
        <w:t>24</w:t>
      </w:r>
      <w:r>
        <w:rPr>
          <w:rFonts w:hint="eastAsia" w:ascii="宋体" w:hAnsi="宋体" w:cs="宋体"/>
          <w:bCs/>
          <w:szCs w:val="21"/>
          <w:highlight w:val="none"/>
        </w:rPr>
        <w:t>小时提交书面延期要求。</w:t>
      </w:r>
    </w:p>
    <w:p w14:paraId="5BBD0D2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关于延期最长不得超过：</w:t>
      </w:r>
      <w:r>
        <w:rPr>
          <w:rFonts w:hint="eastAsia" w:ascii="宋体" w:hAnsi="宋体" w:cs="宋体"/>
          <w:bCs/>
          <w:szCs w:val="21"/>
          <w:highlight w:val="none"/>
          <w:u w:val="single"/>
        </w:rPr>
        <w:t>24</w:t>
      </w:r>
      <w:r>
        <w:rPr>
          <w:rFonts w:hint="eastAsia" w:ascii="宋体" w:hAnsi="宋体" w:cs="宋体"/>
          <w:bCs/>
          <w:szCs w:val="21"/>
          <w:highlight w:val="none"/>
        </w:rPr>
        <w:t>小时。</w:t>
      </w:r>
    </w:p>
    <w:p w14:paraId="3685B957">
      <w:pPr>
        <w:pStyle w:val="6"/>
        <w:spacing w:before="120" w:after="120"/>
        <w:rPr>
          <w:rFonts w:ascii="宋体" w:hAnsi="宋体" w:cs="宋体"/>
          <w:bCs/>
          <w:color w:val="auto"/>
          <w:kern w:val="0"/>
          <w:sz w:val="24"/>
          <w:szCs w:val="24"/>
          <w:highlight w:val="none"/>
          <w:u w:val="none"/>
        </w:rPr>
      </w:pPr>
      <w:bookmarkStart w:id="600" w:name="_Toc351203638"/>
      <w:bookmarkStart w:id="601" w:name="_Toc4153_WPSOffice_Level3"/>
      <w:r>
        <w:rPr>
          <w:rFonts w:hint="eastAsia" w:ascii="宋体" w:hAnsi="宋体" w:cs="宋体"/>
          <w:bCs/>
          <w:color w:val="auto"/>
          <w:kern w:val="0"/>
          <w:sz w:val="24"/>
          <w:szCs w:val="24"/>
          <w:highlight w:val="none"/>
          <w:u w:val="none"/>
        </w:rPr>
        <w:t>6.安全文明施工与环境保护</w:t>
      </w:r>
      <w:bookmarkEnd w:id="600"/>
      <w:bookmarkEnd w:id="601"/>
    </w:p>
    <w:p w14:paraId="2C093848">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6.1安全文明施工</w:t>
      </w:r>
    </w:p>
    <w:p w14:paraId="784AEB64">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6.1.1 项目安全生产的达标目标及相应事项的约定：</w:t>
      </w:r>
      <w:r>
        <w:rPr>
          <w:rFonts w:hint="eastAsia" w:ascii="宋体" w:hAnsi="宋体" w:cs="宋体"/>
          <w:szCs w:val="21"/>
          <w:highlight w:val="none"/>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r>
        <w:rPr>
          <w:rFonts w:hint="eastAsia" w:ascii="宋体" w:hAnsi="宋体" w:cs="宋体"/>
          <w:bCs/>
          <w:szCs w:val="21"/>
          <w:highlight w:val="none"/>
          <w:u w:val="single"/>
        </w:rPr>
        <w:t>；在施工期间发生的任何质量、安全事故，其责任与费用完全由承包人自行全部承担，因此而带给发包人所造成的损失或使发包人受第三方侵扰的，发包人有权暂停支付工程款，并就相应损失从承包人的工程款中予以扣除</w:t>
      </w:r>
      <w:r>
        <w:rPr>
          <w:rFonts w:hint="eastAsia" w:ascii="宋体" w:hAnsi="宋体" w:cs="宋体"/>
          <w:bCs/>
          <w:szCs w:val="21"/>
          <w:highlight w:val="none"/>
        </w:rPr>
        <w:t>。</w:t>
      </w:r>
    </w:p>
    <w:p w14:paraId="1A537CDD">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6.1.4 关于治安保卫的特别约定：</w:t>
      </w:r>
      <w:r>
        <w:rPr>
          <w:rFonts w:hint="eastAsia" w:ascii="宋体" w:hAnsi="宋体" w:cs="宋体"/>
          <w:bCs/>
          <w:szCs w:val="21"/>
          <w:highlight w:val="none"/>
          <w:u w:val="single"/>
        </w:rPr>
        <w:t>执行《通用条款》的规定</w:t>
      </w:r>
      <w:r>
        <w:rPr>
          <w:rFonts w:hint="eastAsia" w:ascii="宋体" w:hAnsi="宋体" w:cs="宋体"/>
          <w:bCs/>
          <w:szCs w:val="21"/>
          <w:highlight w:val="none"/>
        </w:rPr>
        <w:t>。</w:t>
      </w:r>
    </w:p>
    <w:p w14:paraId="31FA3EA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关于编制施工场地治安管理计划的约定：</w:t>
      </w:r>
      <w:r>
        <w:rPr>
          <w:rFonts w:hint="eastAsia" w:ascii="宋体" w:hAnsi="宋体" w:cs="宋体"/>
          <w:szCs w:val="21"/>
          <w:highlight w:val="none"/>
          <w:u w:val="single"/>
        </w:rPr>
        <w:t>由承包人编制，开工前提供</w:t>
      </w:r>
      <w:r>
        <w:rPr>
          <w:rFonts w:hint="eastAsia" w:ascii="宋体" w:hAnsi="宋体" w:cs="宋体"/>
          <w:bCs/>
          <w:szCs w:val="21"/>
          <w:highlight w:val="none"/>
        </w:rPr>
        <w:t>。</w:t>
      </w:r>
    </w:p>
    <w:p w14:paraId="2A43B24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6.1.5 文明施工</w:t>
      </w:r>
    </w:p>
    <w:p w14:paraId="3B358CD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合同当事人对文明施工的要求：</w:t>
      </w:r>
      <w:r>
        <w:rPr>
          <w:rFonts w:hint="eastAsia" w:ascii="宋体" w:hAnsi="宋体" w:cs="宋体"/>
          <w:szCs w:val="21"/>
          <w:highlight w:val="none"/>
          <w:u w:val="single"/>
        </w:rPr>
        <w:t>满足西安市对文明工地的现行要求</w:t>
      </w:r>
      <w:r>
        <w:rPr>
          <w:rFonts w:hint="eastAsia" w:ascii="宋体" w:hAnsi="宋体" w:cs="宋体"/>
          <w:bCs/>
          <w:szCs w:val="21"/>
          <w:highlight w:val="none"/>
        </w:rPr>
        <w:t>。</w:t>
      </w:r>
    </w:p>
    <w:bookmarkEnd w:id="593"/>
    <w:bookmarkEnd w:id="594"/>
    <w:bookmarkEnd w:id="595"/>
    <w:bookmarkEnd w:id="596"/>
    <w:bookmarkEnd w:id="597"/>
    <w:bookmarkEnd w:id="598"/>
    <w:bookmarkEnd w:id="599"/>
    <w:p w14:paraId="03C68351">
      <w:pPr>
        <w:pStyle w:val="6"/>
        <w:spacing w:before="120" w:after="120"/>
        <w:rPr>
          <w:rFonts w:ascii="宋体" w:hAnsi="宋体" w:cs="宋体"/>
          <w:bCs/>
          <w:color w:val="auto"/>
          <w:kern w:val="0"/>
          <w:sz w:val="24"/>
          <w:szCs w:val="24"/>
          <w:highlight w:val="none"/>
          <w:u w:val="none"/>
        </w:rPr>
      </w:pPr>
      <w:bookmarkStart w:id="602" w:name="_Toc351203639"/>
      <w:bookmarkStart w:id="603" w:name="_Toc7180_WPSOffice_Level3"/>
      <w:r>
        <w:rPr>
          <w:rFonts w:hint="eastAsia" w:ascii="宋体" w:hAnsi="宋体" w:cs="宋体"/>
          <w:bCs/>
          <w:color w:val="auto"/>
          <w:kern w:val="0"/>
          <w:sz w:val="24"/>
          <w:szCs w:val="24"/>
          <w:highlight w:val="none"/>
          <w:u w:val="none"/>
        </w:rPr>
        <w:t>7. 工期和进度</w:t>
      </w:r>
      <w:bookmarkEnd w:id="602"/>
      <w:bookmarkEnd w:id="603"/>
    </w:p>
    <w:p w14:paraId="32444C7A">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7.1 施工组织设计</w:t>
      </w:r>
    </w:p>
    <w:p w14:paraId="1C3EC78E">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szCs w:val="21"/>
          <w:highlight w:val="none"/>
        </w:rPr>
        <w:t>7.1.1 合</w:t>
      </w:r>
      <w:r>
        <w:rPr>
          <w:rFonts w:hint="eastAsia" w:ascii="宋体" w:hAnsi="宋体" w:cs="宋体"/>
          <w:bCs/>
          <w:kern w:val="0"/>
          <w:szCs w:val="21"/>
          <w:highlight w:val="none"/>
        </w:rPr>
        <w:t>同当事人约定的施工组织设计应包括的其他内容：</w:t>
      </w:r>
      <w:r>
        <w:rPr>
          <w:rFonts w:hint="eastAsia" w:ascii="宋体" w:hAnsi="宋体" w:cs="宋体"/>
          <w:szCs w:val="21"/>
          <w:highlight w:val="none"/>
          <w:u w:val="single"/>
        </w:rPr>
        <w:t>按通用条款执行</w:t>
      </w:r>
      <w:r>
        <w:rPr>
          <w:rFonts w:hint="eastAsia" w:ascii="宋体" w:hAnsi="宋体" w:cs="宋体"/>
          <w:bCs/>
          <w:szCs w:val="21"/>
          <w:highlight w:val="none"/>
        </w:rPr>
        <w:t>。</w:t>
      </w:r>
    </w:p>
    <w:p w14:paraId="07F5C4AA">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szCs w:val="21"/>
          <w:highlight w:val="none"/>
        </w:rPr>
        <w:t xml:space="preserve">7.1.2 </w:t>
      </w:r>
      <w:r>
        <w:rPr>
          <w:rFonts w:hint="eastAsia" w:ascii="宋体" w:hAnsi="宋体" w:cs="宋体"/>
          <w:bCs/>
          <w:kern w:val="0"/>
          <w:szCs w:val="21"/>
          <w:highlight w:val="none"/>
        </w:rPr>
        <w:t>施工组织设计的提交和修改</w:t>
      </w:r>
    </w:p>
    <w:p w14:paraId="4805CB9B">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kern w:val="0"/>
          <w:szCs w:val="21"/>
          <w:highlight w:val="none"/>
        </w:rPr>
        <w:t>承包人提交详细施工组织设计的期限的约定：</w:t>
      </w:r>
      <w:r>
        <w:rPr>
          <w:rFonts w:hint="eastAsia" w:ascii="宋体" w:hAnsi="宋体" w:cs="宋体"/>
          <w:szCs w:val="21"/>
          <w:highlight w:val="none"/>
          <w:u w:val="single"/>
        </w:rPr>
        <w:t>按通用条款执行</w:t>
      </w:r>
      <w:r>
        <w:rPr>
          <w:rFonts w:hint="eastAsia" w:ascii="宋体" w:hAnsi="宋体" w:cs="宋体"/>
          <w:bCs/>
          <w:szCs w:val="21"/>
          <w:highlight w:val="none"/>
        </w:rPr>
        <w:t>。</w:t>
      </w:r>
    </w:p>
    <w:p w14:paraId="1F2E35A1">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发包人和监理人在收到详细的施工组织设计后确认或提出修改意见的期限：</w:t>
      </w:r>
      <w:r>
        <w:rPr>
          <w:rFonts w:hint="eastAsia" w:ascii="宋体" w:hAnsi="宋体" w:cs="宋体"/>
          <w:szCs w:val="21"/>
          <w:highlight w:val="none"/>
          <w:u w:val="single"/>
        </w:rPr>
        <w:t>按通用条款执行</w:t>
      </w:r>
      <w:r>
        <w:rPr>
          <w:rFonts w:hint="eastAsia" w:ascii="宋体" w:hAnsi="宋体" w:cs="宋体"/>
          <w:bCs/>
          <w:szCs w:val="21"/>
          <w:highlight w:val="none"/>
        </w:rPr>
        <w:t>。</w:t>
      </w:r>
    </w:p>
    <w:p w14:paraId="2451917A">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w:t>
      </w:r>
      <w:bookmarkStart w:id="604" w:name="_Toc297216173"/>
      <w:bookmarkStart w:id="605" w:name="_Toc303539123"/>
      <w:bookmarkStart w:id="606" w:name="_Toc312678005"/>
      <w:bookmarkStart w:id="607" w:name="_Toc297123514"/>
      <w:bookmarkStart w:id="608" w:name="_Toc304295541"/>
      <w:bookmarkStart w:id="609" w:name="_Toc300934966"/>
      <w:bookmarkStart w:id="610" w:name="_Toc312677479"/>
      <w:r>
        <w:rPr>
          <w:rFonts w:hint="eastAsia" w:ascii="宋体" w:hAnsi="宋体" w:cs="宋体"/>
          <w:bCs/>
          <w:szCs w:val="21"/>
          <w:highlight w:val="none"/>
        </w:rPr>
        <w:t>.2 施工进度计划</w:t>
      </w:r>
    </w:p>
    <w:p w14:paraId="6D45C3D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7.2.2 施工进度计划的修订</w:t>
      </w:r>
    </w:p>
    <w:p w14:paraId="7C07209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发包人和监理人在收到修订的施工进度计划后确认或提出修改意见的期限：</w:t>
      </w:r>
      <w:r>
        <w:rPr>
          <w:rFonts w:hint="eastAsia" w:ascii="宋体" w:hAnsi="宋体" w:cs="宋体"/>
          <w:szCs w:val="21"/>
          <w:highlight w:val="none"/>
          <w:u w:val="single"/>
        </w:rPr>
        <w:t>按通用条款执行</w:t>
      </w:r>
      <w:r>
        <w:rPr>
          <w:rFonts w:hint="eastAsia" w:ascii="宋体" w:hAnsi="宋体" w:cs="宋体"/>
          <w:bCs/>
          <w:szCs w:val="21"/>
          <w:highlight w:val="none"/>
        </w:rPr>
        <w:t>。</w:t>
      </w:r>
    </w:p>
    <w:bookmarkEnd w:id="604"/>
    <w:bookmarkEnd w:id="605"/>
    <w:bookmarkEnd w:id="606"/>
    <w:bookmarkEnd w:id="607"/>
    <w:bookmarkEnd w:id="608"/>
    <w:bookmarkEnd w:id="609"/>
    <w:bookmarkEnd w:id="610"/>
    <w:p w14:paraId="21923C6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w:t>
      </w:r>
      <w:bookmarkStart w:id="611" w:name="_Toc312677484"/>
      <w:bookmarkStart w:id="612" w:name="_Toc300934968"/>
      <w:bookmarkStart w:id="613" w:name="_Toc312678010"/>
      <w:bookmarkStart w:id="614" w:name="_Toc297123516"/>
      <w:bookmarkStart w:id="615" w:name="_Toc304295546"/>
      <w:bookmarkStart w:id="616" w:name="_Toc303539125"/>
      <w:bookmarkStart w:id="617" w:name="_Toc297216175"/>
      <w:r>
        <w:rPr>
          <w:rFonts w:hint="eastAsia" w:ascii="宋体" w:hAnsi="宋体" w:cs="宋体"/>
          <w:bCs/>
          <w:szCs w:val="21"/>
          <w:highlight w:val="none"/>
        </w:rPr>
        <w:t>.5 工期延误</w:t>
      </w:r>
    </w:p>
    <w:bookmarkEnd w:id="611"/>
    <w:bookmarkEnd w:id="612"/>
    <w:bookmarkEnd w:id="613"/>
    <w:bookmarkEnd w:id="614"/>
    <w:bookmarkEnd w:id="615"/>
    <w:bookmarkEnd w:id="616"/>
    <w:bookmarkEnd w:id="617"/>
    <w:p w14:paraId="4BAD0B2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7.5.1 因发包人原因导致工期延误</w:t>
      </w:r>
    </w:p>
    <w:p w14:paraId="6AD9C1B9">
      <w:pPr>
        <w:spacing w:line="360" w:lineRule="auto"/>
        <w:ind w:firstLine="210" w:firstLineChars="100"/>
        <w:jc w:val="left"/>
        <w:rPr>
          <w:rFonts w:ascii="宋体" w:hAnsi="宋体" w:cs="宋体"/>
          <w:bCs/>
          <w:szCs w:val="21"/>
          <w:highlight w:val="none"/>
        </w:rPr>
      </w:pPr>
      <w:r>
        <w:rPr>
          <w:rFonts w:hint="eastAsia" w:ascii="宋体" w:hAnsi="宋体" w:cs="宋体"/>
          <w:bCs/>
          <w:szCs w:val="21"/>
          <w:highlight w:val="none"/>
        </w:rPr>
        <w:t>（7）因发包人原因导致工期延误的其他情形：</w:t>
      </w:r>
      <w:r>
        <w:rPr>
          <w:rFonts w:hint="eastAsia" w:ascii="宋体" w:hAnsi="宋体" w:cs="宋体"/>
          <w:szCs w:val="21"/>
          <w:highlight w:val="none"/>
          <w:u w:val="single"/>
        </w:rPr>
        <w:t>无</w:t>
      </w:r>
      <w:r>
        <w:rPr>
          <w:rFonts w:hint="eastAsia" w:ascii="宋体" w:hAnsi="宋体" w:cs="宋体"/>
          <w:bCs/>
          <w:szCs w:val="21"/>
          <w:highlight w:val="none"/>
        </w:rPr>
        <w:t>。</w:t>
      </w:r>
    </w:p>
    <w:p w14:paraId="65BBDB4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w:t>
      </w:r>
      <w:bookmarkStart w:id="618" w:name="_Toc312678012"/>
      <w:bookmarkStart w:id="619" w:name="_Toc318581169"/>
      <w:bookmarkStart w:id="620" w:name="_Toc312677486"/>
      <w:bookmarkStart w:id="621" w:name="_Toc300934970"/>
      <w:bookmarkStart w:id="622" w:name="_Toc297123518"/>
      <w:bookmarkStart w:id="623" w:name="_Toc297216177"/>
      <w:bookmarkStart w:id="624" w:name="_Toc303539127"/>
      <w:bookmarkStart w:id="625" w:name="_Toc304295548"/>
      <w:r>
        <w:rPr>
          <w:rFonts w:hint="eastAsia" w:ascii="宋体" w:hAnsi="宋体" w:cs="宋体"/>
          <w:bCs/>
          <w:szCs w:val="21"/>
          <w:highlight w:val="none"/>
        </w:rPr>
        <w:t>.5.2 因承包人原因导致工期延误</w:t>
      </w:r>
    </w:p>
    <w:bookmarkEnd w:id="618"/>
    <w:bookmarkEnd w:id="619"/>
    <w:bookmarkEnd w:id="620"/>
    <w:p w14:paraId="3CD6BE2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因</w:t>
      </w:r>
      <w:bookmarkStart w:id="626" w:name="_Toc312677487"/>
      <w:bookmarkStart w:id="627" w:name="_Toc312678013"/>
      <w:bookmarkStart w:id="628" w:name="_Toc318581170"/>
      <w:r>
        <w:rPr>
          <w:rFonts w:hint="eastAsia" w:ascii="宋体" w:hAnsi="宋体" w:cs="宋体"/>
          <w:bCs/>
          <w:szCs w:val="21"/>
          <w:highlight w:val="none"/>
        </w:rPr>
        <w:t>承包人原因造成工期延误，逾期竣工违约金的计算方法为：</w:t>
      </w:r>
      <w:r>
        <w:rPr>
          <w:rFonts w:hint="eastAsia" w:ascii="宋体" w:hAnsi="宋体" w:cs="宋体"/>
          <w:szCs w:val="21"/>
          <w:highlight w:val="none"/>
          <w:u w:val="single"/>
        </w:rPr>
        <w:t>每逾期一天，逾期竣工违约金为1000元/天</w:t>
      </w:r>
      <w:r>
        <w:rPr>
          <w:rFonts w:hint="eastAsia" w:ascii="宋体" w:hAnsi="宋体" w:cs="宋体"/>
          <w:bCs/>
          <w:szCs w:val="21"/>
          <w:highlight w:val="none"/>
        </w:rPr>
        <w:t>。</w:t>
      </w:r>
      <w:bookmarkEnd w:id="621"/>
      <w:bookmarkEnd w:id="622"/>
      <w:bookmarkEnd w:id="623"/>
      <w:bookmarkEnd w:id="624"/>
      <w:bookmarkEnd w:id="625"/>
      <w:bookmarkEnd w:id="626"/>
      <w:bookmarkEnd w:id="627"/>
    </w:p>
    <w:bookmarkEnd w:id="628"/>
    <w:p w14:paraId="76B22B3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因承包人原因造成工期延误，逾</w:t>
      </w:r>
      <w:bookmarkStart w:id="629" w:name="_Toc318581171"/>
      <w:bookmarkStart w:id="630" w:name="_Toc312678014"/>
      <w:r>
        <w:rPr>
          <w:rFonts w:hint="eastAsia" w:ascii="宋体" w:hAnsi="宋体" w:cs="宋体"/>
          <w:bCs/>
          <w:szCs w:val="21"/>
          <w:highlight w:val="none"/>
        </w:rPr>
        <w:t>期竣工违约金的上限：</w:t>
      </w:r>
      <w:r>
        <w:rPr>
          <w:rFonts w:hint="eastAsia" w:ascii="宋体" w:hAnsi="宋体" w:cs="宋体"/>
          <w:szCs w:val="21"/>
          <w:highlight w:val="none"/>
          <w:u w:val="single"/>
        </w:rPr>
        <w:t>无</w:t>
      </w:r>
      <w:r>
        <w:rPr>
          <w:rFonts w:hint="eastAsia" w:ascii="宋体" w:hAnsi="宋体" w:cs="宋体"/>
          <w:bCs/>
          <w:szCs w:val="21"/>
          <w:highlight w:val="none"/>
        </w:rPr>
        <w:t>。</w:t>
      </w:r>
    </w:p>
    <w:bookmarkEnd w:id="629"/>
    <w:bookmarkEnd w:id="630"/>
    <w:p w14:paraId="777C61E7">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w:t>
      </w:r>
      <w:bookmarkStart w:id="631" w:name="_Toc297123519"/>
      <w:bookmarkStart w:id="632" w:name="_Toc304295549"/>
      <w:bookmarkStart w:id="633" w:name="_Toc312678015"/>
      <w:bookmarkStart w:id="634" w:name="_Toc297216178"/>
      <w:bookmarkStart w:id="635" w:name="_Toc300934971"/>
      <w:bookmarkStart w:id="636" w:name="_Toc303539128"/>
      <w:r>
        <w:rPr>
          <w:rFonts w:hint="eastAsia" w:ascii="宋体" w:hAnsi="宋体" w:cs="宋体"/>
          <w:bCs/>
          <w:szCs w:val="21"/>
          <w:highlight w:val="none"/>
        </w:rPr>
        <w:t>.6 不</w:t>
      </w:r>
      <w:bookmarkEnd w:id="631"/>
      <w:bookmarkEnd w:id="632"/>
      <w:bookmarkEnd w:id="633"/>
      <w:bookmarkEnd w:id="634"/>
      <w:bookmarkEnd w:id="635"/>
      <w:bookmarkEnd w:id="636"/>
      <w:r>
        <w:rPr>
          <w:rFonts w:hint="eastAsia" w:ascii="宋体" w:hAnsi="宋体" w:cs="宋体"/>
          <w:bCs/>
          <w:szCs w:val="21"/>
          <w:highlight w:val="none"/>
        </w:rPr>
        <w:t>利物质条件</w:t>
      </w:r>
    </w:p>
    <w:p w14:paraId="51A11F95">
      <w:pPr>
        <w:spacing w:line="360" w:lineRule="auto"/>
        <w:ind w:firstLine="420" w:firstLineChars="200"/>
        <w:jc w:val="left"/>
        <w:rPr>
          <w:rFonts w:ascii="宋体" w:hAnsi="宋体" w:cs="宋体"/>
          <w:bCs/>
          <w:szCs w:val="21"/>
          <w:highlight w:val="none"/>
        </w:rPr>
      </w:pPr>
      <w:bookmarkStart w:id="637" w:name="_Toc304295550"/>
      <w:bookmarkStart w:id="638" w:name="_Toc300934972"/>
      <w:bookmarkStart w:id="639" w:name="_Toc318581172"/>
      <w:bookmarkStart w:id="640" w:name="_Toc297216179"/>
      <w:bookmarkStart w:id="641" w:name="_Toc297123520"/>
      <w:bookmarkStart w:id="642" w:name="_Toc312678016"/>
      <w:bookmarkStart w:id="643" w:name="_Toc303539129"/>
      <w:r>
        <w:rPr>
          <w:rFonts w:hint="eastAsia" w:ascii="宋体" w:hAnsi="宋体" w:cs="宋体"/>
          <w:bCs/>
          <w:szCs w:val="21"/>
          <w:highlight w:val="none"/>
        </w:rPr>
        <w:t>不利物质条件的其他情形和有关约定：</w:t>
      </w:r>
      <w:r>
        <w:rPr>
          <w:rFonts w:hint="eastAsia" w:ascii="宋体" w:hAnsi="宋体" w:cs="宋体"/>
          <w:bCs/>
          <w:szCs w:val="21"/>
          <w:highlight w:val="none"/>
          <w:u w:val="single"/>
        </w:rPr>
        <w:t xml:space="preserve">     /     </w:t>
      </w:r>
      <w:r>
        <w:rPr>
          <w:rFonts w:hint="eastAsia" w:ascii="宋体" w:hAnsi="宋体" w:cs="宋体"/>
          <w:bCs/>
          <w:szCs w:val="21"/>
          <w:highlight w:val="none"/>
        </w:rPr>
        <w:t>。</w:t>
      </w:r>
    </w:p>
    <w:bookmarkEnd w:id="637"/>
    <w:bookmarkEnd w:id="638"/>
    <w:bookmarkEnd w:id="639"/>
    <w:bookmarkEnd w:id="640"/>
    <w:bookmarkEnd w:id="641"/>
    <w:bookmarkEnd w:id="642"/>
    <w:bookmarkEnd w:id="643"/>
    <w:p w14:paraId="1BBA9B38">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7</w:t>
      </w:r>
      <w:bookmarkStart w:id="644" w:name="_Toc312678017"/>
      <w:bookmarkStart w:id="645" w:name="_Toc297216180"/>
      <w:bookmarkStart w:id="646" w:name="_Toc304295551"/>
      <w:bookmarkStart w:id="647" w:name="_Toc303539130"/>
      <w:bookmarkStart w:id="648" w:name="_Toc297123521"/>
      <w:bookmarkStart w:id="649" w:name="_Toc300934973"/>
      <w:r>
        <w:rPr>
          <w:rFonts w:hint="eastAsia" w:ascii="宋体" w:hAnsi="宋体" w:cs="宋体"/>
          <w:bCs/>
          <w:szCs w:val="21"/>
          <w:highlight w:val="none"/>
        </w:rPr>
        <w:t>.7异常恶劣的气候条件</w:t>
      </w:r>
    </w:p>
    <w:bookmarkEnd w:id="644"/>
    <w:bookmarkEnd w:id="645"/>
    <w:bookmarkEnd w:id="646"/>
    <w:bookmarkEnd w:id="647"/>
    <w:bookmarkEnd w:id="648"/>
    <w:bookmarkEnd w:id="649"/>
    <w:p w14:paraId="7CF982A8">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发包人和承包人同意以下情形视为异常恶劣的气候条件：</w:t>
      </w:r>
      <w:r>
        <w:rPr>
          <w:rFonts w:hint="eastAsia" w:ascii="宋体" w:hAnsi="宋体" w:cs="宋体"/>
          <w:bCs/>
          <w:szCs w:val="21"/>
          <w:highlight w:val="none"/>
          <w:u w:val="single"/>
        </w:rPr>
        <w:t>10年一遇强度的降水；八级以上大风；连续10日以上40摄氏度以上的高温</w:t>
      </w:r>
      <w:r>
        <w:rPr>
          <w:rFonts w:hint="eastAsia" w:ascii="宋体" w:hAnsi="宋体" w:cs="宋体"/>
          <w:bCs/>
          <w:szCs w:val="21"/>
          <w:highlight w:val="none"/>
        </w:rPr>
        <w:t>。</w:t>
      </w:r>
    </w:p>
    <w:p w14:paraId="46EC3214">
      <w:pPr>
        <w:pStyle w:val="6"/>
        <w:spacing w:before="120" w:after="120"/>
        <w:rPr>
          <w:rFonts w:ascii="宋体" w:hAnsi="宋体" w:cs="宋体"/>
          <w:bCs/>
          <w:color w:val="auto"/>
          <w:kern w:val="0"/>
          <w:sz w:val="24"/>
          <w:szCs w:val="24"/>
          <w:highlight w:val="none"/>
          <w:u w:val="none"/>
        </w:rPr>
      </w:pPr>
      <w:bookmarkStart w:id="650" w:name="_Toc351203640"/>
      <w:bookmarkStart w:id="651" w:name="_Toc25476_WPSOffice_Level3"/>
      <w:r>
        <w:rPr>
          <w:rFonts w:hint="eastAsia" w:ascii="宋体" w:hAnsi="宋体" w:cs="宋体"/>
          <w:bCs/>
          <w:color w:val="auto"/>
          <w:kern w:val="0"/>
          <w:sz w:val="24"/>
          <w:szCs w:val="24"/>
          <w:highlight w:val="none"/>
          <w:u w:val="none"/>
        </w:rPr>
        <w:t>8. 材料与设备</w:t>
      </w:r>
      <w:bookmarkEnd w:id="650"/>
      <w:bookmarkEnd w:id="651"/>
    </w:p>
    <w:bookmarkEnd w:id="583"/>
    <w:bookmarkEnd w:id="584"/>
    <w:bookmarkEnd w:id="585"/>
    <w:bookmarkEnd w:id="586"/>
    <w:bookmarkEnd w:id="587"/>
    <w:bookmarkEnd w:id="588"/>
    <w:bookmarkEnd w:id="589"/>
    <w:bookmarkEnd w:id="590"/>
    <w:bookmarkEnd w:id="591"/>
    <w:bookmarkEnd w:id="592"/>
    <w:p w14:paraId="41A9F18A">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w:t>
      </w:r>
      <w:bookmarkStart w:id="652" w:name="_Toc303539136"/>
      <w:bookmarkStart w:id="653" w:name="_Toc297120467"/>
      <w:bookmarkStart w:id="654" w:name="_Toc297216186"/>
      <w:bookmarkStart w:id="655" w:name="_Toc292559877"/>
      <w:bookmarkStart w:id="656" w:name="_Toc292559372"/>
      <w:bookmarkStart w:id="657" w:name="_Toc296346668"/>
      <w:bookmarkStart w:id="658" w:name="_Toc296503167"/>
      <w:bookmarkStart w:id="659" w:name="_Toc304295556"/>
      <w:bookmarkStart w:id="660" w:name="_Toc296890995"/>
      <w:bookmarkStart w:id="661" w:name="_Toc312677493"/>
      <w:bookmarkStart w:id="662" w:name="_Toc296944506"/>
      <w:bookmarkStart w:id="663" w:name="_Toc300934979"/>
      <w:bookmarkStart w:id="664" w:name="_Toc297123527"/>
      <w:bookmarkStart w:id="665" w:name="_Toc297048353"/>
      <w:bookmarkStart w:id="666" w:name="_Toc296347166"/>
      <w:bookmarkStart w:id="667" w:name="_Toc312678019"/>
      <w:bookmarkStart w:id="668" w:name="_Toc296891207"/>
      <w:bookmarkStart w:id="669" w:name="_Toc280868654"/>
      <w:bookmarkStart w:id="670" w:name="_Toc280868655"/>
      <w:bookmarkStart w:id="671" w:name="_Toc280868656"/>
      <w:bookmarkStart w:id="672" w:name="_Toc267251424"/>
      <w:r>
        <w:rPr>
          <w:rFonts w:hint="eastAsia" w:ascii="宋体" w:hAnsi="宋体" w:cs="宋体"/>
          <w:bCs/>
          <w:szCs w:val="21"/>
          <w:highlight w:val="none"/>
        </w:rPr>
        <w:t>.4材料与工程设备的保管与使用</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14:paraId="3E19E06D">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w:t>
      </w:r>
      <w:bookmarkStart w:id="673" w:name="_Toc292559373"/>
      <w:bookmarkStart w:id="674" w:name="_Toc292559878"/>
      <w:bookmarkStart w:id="675" w:name="_Toc297120468"/>
      <w:bookmarkStart w:id="676" w:name="_Toc297216187"/>
      <w:bookmarkStart w:id="677" w:name="_Toc304295557"/>
      <w:bookmarkStart w:id="678" w:name="_Toc296891208"/>
      <w:bookmarkStart w:id="679" w:name="_Toc303539137"/>
      <w:bookmarkStart w:id="680" w:name="_Toc300934980"/>
      <w:bookmarkStart w:id="681" w:name="_Toc312677494"/>
      <w:bookmarkStart w:id="682" w:name="_Toc318581173"/>
      <w:bookmarkStart w:id="683" w:name="_Toc297048354"/>
      <w:bookmarkStart w:id="684" w:name="_Toc296944507"/>
      <w:bookmarkStart w:id="685" w:name="_Toc296347167"/>
      <w:bookmarkStart w:id="686" w:name="_Toc296503168"/>
      <w:bookmarkStart w:id="687" w:name="_Toc312678020"/>
      <w:bookmarkStart w:id="688" w:name="_Toc296346669"/>
      <w:bookmarkStart w:id="689" w:name="_Toc296890996"/>
      <w:bookmarkStart w:id="690" w:name="_Toc297123528"/>
      <w:r>
        <w:rPr>
          <w:rFonts w:hint="eastAsia" w:ascii="宋体" w:hAnsi="宋体" w:cs="宋体"/>
          <w:bCs/>
          <w:szCs w:val="21"/>
          <w:highlight w:val="none"/>
        </w:rPr>
        <w:t>.4.1发包人供应的材料设备的保管费用的承担：</w:t>
      </w:r>
      <w:r>
        <w:rPr>
          <w:rFonts w:hint="eastAsia" w:ascii="宋体" w:hAnsi="宋体" w:cs="宋体"/>
          <w:bCs/>
          <w:szCs w:val="21"/>
          <w:highlight w:val="none"/>
          <w:u w:val="single"/>
        </w:rPr>
        <w:t>由承包人承担</w:t>
      </w:r>
      <w:r>
        <w:rPr>
          <w:rFonts w:hint="eastAsia" w:ascii="宋体" w:hAnsi="宋体" w:cs="宋体"/>
          <w:bCs/>
          <w:szCs w:val="21"/>
          <w:highlight w:val="none"/>
        </w:rPr>
        <w:t>。</w:t>
      </w:r>
      <w:bookmarkEnd w:id="673"/>
      <w:bookmarkEnd w:id="674"/>
    </w:p>
    <w:p w14:paraId="7579B56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8.6 样品</w:t>
      </w:r>
    </w:p>
    <w:p w14:paraId="6B5D329F">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8.6.1样品的报送与封存</w:t>
      </w:r>
    </w:p>
    <w:p w14:paraId="79B7511F">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kern w:val="0"/>
          <w:szCs w:val="21"/>
          <w:highlight w:val="none"/>
        </w:rPr>
        <w:t>需要承包人报送样品的材料或工程设备，样品的种类、名称、规格、数量要求：</w:t>
      </w:r>
      <w:r>
        <w:rPr>
          <w:rFonts w:hint="eastAsia" w:ascii="宋体" w:hAnsi="宋体" w:cs="宋体"/>
          <w:szCs w:val="21"/>
          <w:highlight w:val="none"/>
          <w:u w:val="single"/>
        </w:rPr>
        <w:t>按管理部门及发包人要求确定</w:t>
      </w:r>
      <w:r>
        <w:rPr>
          <w:rFonts w:hint="eastAsia" w:ascii="宋体" w:hAnsi="宋体" w:cs="宋体"/>
          <w:bCs/>
          <w:szCs w:val="21"/>
          <w:highlight w:val="none"/>
        </w:rPr>
        <w:t>。</w:t>
      </w:r>
    </w:p>
    <w:p w14:paraId="4AC43038">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8.8 施工设备和临时设施</w:t>
      </w:r>
    </w:p>
    <w:p w14:paraId="5E1A3F27">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8.8.1 承包人提供的施工设备和临时设施:</w:t>
      </w:r>
      <w:r>
        <w:rPr>
          <w:rFonts w:hint="eastAsia" w:ascii="宋体" w:hAnsi="宋体" w:cs="宋体"/>
          <w:bCs/>
          <w:szCs w:val="21"/>
          <w:highlight w:val="none"/>
          <w:u w:val="single"/>
        </w:rPr>
        <w:t>所有与本项目施工有关的施工设备和临时设施</w:t>
      </w:r>
      <w:r>
        <w:rPr>
          <w:rFonts w:hint="eastAsia" w:ascii="宋体" w:hAnsi="宋体" w:cs="宋体"/>
          <w:bCs/>
          <w:szCs w:val="21"/>
          <w:highlight w:val="none"/>
        </w:rPr>
        <w:t>。</w:t>
      </w:r>
    </w:p>
    <w:p w14:paraId="600390F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关于修建临时设施费用承担的约定：</w:t>
      </w:r>
      <w:r>
        <w:rPr>
          <w:rFonts w:hint="eastAsia" w:ascii="宋体" w:hAnsi="宋体" w:cs="宋体"/>
          <w:bCs/>
          <w:szCs w:val="21"/>
          <w:highlight w:val="none"/>
          <w:u w:val="single"/>
        </w:rPr>
        <w:t>由承包人自行承担，项目措施费中已经包含。</w:t>
      </w:r>
    </w:p>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14:paraId="18EEC095">
      <w:pPr>
        <w:pStyle w:val="6"/>
        <w:spacing w:before="120" w:after="120"/>
        <w:rPr>
          <w:rFonts w:ascii="宋体" w:hAnsi="宋体" w:cs="宋体"/>
          <w:bCs/>
          <w:color w:val="auto"/>
          <w:kern w:val="0"/>
          <w:sz w:val="24"/>
          <w:szCs w:val="24"/>
          <w:highlight w:val="none"/>
          <w:u w:val="none"/>
        </w:rPr>
      </w:pPr>
      <w:bookmarkStart w:id="691" w:name="_Toc15220_WPSOffice_Level3"/>
      <w:bookmarkStart w:id="692" w:name="_Toc351203641"/>
      <w:r>
        <w:rPr>
          <w:rFonts w:hint="eastAsia" w:ascii="宋体" w:hAnsi="宋体" w:cs="宋体"/>
          <w:bCs/>
          <w:color w:val="auto"/>
          <w:kern w:val="0"/>
          <w:sz w:val="24"/>
          <w:szCs w:val="24"/>
          <w:highlight w:val="none"/>
          <w:u w:val="none"/>
        </w:rPr>
        <w:t>9</w:t>
      </w:r>
      <w:bookmarkEnd w:id="670"/>
      <w:bookmarkEnd w:id="671"/>
      <w:bookmarkEnd w:id="672"/>
      <w:bookmarkStart w:id="693" w:name="_Toc297216192"/>
      <w:bookmarkStart w:id="694" w:name="_Toc300934982"/>
      <w:bookmarkStart w:id="695" w:name="_Toc303539139"/>
      <w:bookmarkStart w:id="696" w:name="_Toc297123533"/>
      <w:bookmarkStart w:id="697" w:name="_Toc312677495"/>
      <w:bookmarkStart w:id="698" w:name="_Toc312678021"/>
      <w:bookmarkStart w:id="699" w:name="_Toc304295559"/>
      <w:bookmarkStart w:id="700" w:name="_Toc267251428"/>
      <w:bookmarkStart w:id="701" w:name="_Toc296891001"/>
      <w:bookmarkStart w:id="702" w:name="_Toc292559378"/>
      <w:bookmarkStart w:id="703" w:name="_Toc292559883"/>
      <w:bookmarkStart w:id="704" w:name="_Toc296891213"/>
      <w:bookmarkStart w:id="705" w:name="_Toc267251427"/>
      <w:bookmarkStart w:id="706" w:name="_Toc296346674"/>
      <w:bookmarkStart w:id="707" w:name="_Toc296347172"/>
      <w:bookmarkStart w:id="708" w:name="_Toc297048359"/>
      <w:bookmarkStart w:id="709" w:name="_Toc297120473"/>
      <w:bookmarkStart w:id="710" w:name="_Toc296944512"/>
      <w:bookmarkStart w:id="711" w:name="_Toc296503173"/>
      <w:r>
        <w:rPr>
          <w:rFonts w:hint="eastAsia" w:ascii="宋体" w:hAnsi="宋体" w:cs="宋体"/>
          <w:bCs/>
          <w:color w:val="auto"/>
          <w:kern w:val="0"/>
          <w:sz w:val="24"/>
          <w:szCs w:val="24"/>
          <w:highlight w:val="none"/>
          <w:u w:val="none"/>
        </w:rPr>
        <w:t>. 试验与检验</w:t>
      </w:r>
      <w:bookmarkEnd w:id="691"/>
      <w:bookmarkEnd w:id="692"/>
    </w:p>
    <w:bookmarkEnd w:id="693"/>
    <w:bookmarkEnd w:id="694"/>
    <w:bookmarkEnd w:id="695"/>
    <w:bookmarkEnd w:id="696"/>
    <w:bookmarkEnd w:id="697"/>
    <w:bookmarkEnd w:id="698"/>
    <w:bookmarkEnd w:id="699"/>
    <w:p w14:paraId="503183EA">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9</w:t>
      </w:r>
      <w:bookmarkStart w:id="712" w:name="_Toc304295560"/>
      <w:bookmarkStart w:id="713" w:name="_Toc300934983"/>
      <w:bookmarkStart w:id="714" w:name="_Toc312677496"/>
      <w:bookmarkStart w:id="715" w:name="_Toc312678022"/>
      <w:bookmarkStart w:id="716" w:name="_Toc297123534"/>
      <w:bookmarkStart w:id="717" w:name="_Toc297216193"/>
      <w:bookmarkStart w:id="718" w:name="_Toc303539140"/>
      <w:r>
        <w:rPr>
          <w:rFonts w:hint="eastAsia" w:ascii="宋体" w:hAnsi="宋体" w:cs="宋体"/>
          <w:bCs/>
          <w:szCs w:val="21"/>
          <w:highlight w:val="none"/>
        </w:rPr>
        <w:t>.1试验设备与试验人员</w:t>
      </w:r>
    </w:p>
    <w:bookmarkEnd w:id="712"/>
    <w:bookmarkEnd w:id="713"/>
    <w:bookmarkEnd w:id="714"/>
    <w:bookmarkEnd w:id="715"/>
    <w:bookmarkEnd w:id="716"/>
    <w:bookmarkEnd w:id="717"/>
    <w:bookmarkEnd w:id="718"/>
    <w:p w14:paraId="026B4103">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9</w:t>
      </w:r>
      <w:bookmarkStart w:id="719" w:name="_Toc304295561"/>
      <w:bookmarkStart w:id="720" w:name="_Toc312678023"/>
      <w:bookmarkStart w:id="721" w:name="_Toc297216194"/>
      <w:bookmarkStart w:id="722" w:name="_Toc303539141"/>
      <w:bookmarkStart w:id="723" w:name="_Toc312677497"/>
      <w:bookmarkStart w:id="724" w:name="_Toc297123535"/>
      <w:bookmarkStart w:id="725" w:name="_Toc300934984"/>
      <w:bookmarkStart w:id="726" w:name="_Toc318581174"/>
      <w:r>
        <w:rPr>
          <w:rFonts w:hint="eastAsia" w:ascii="宋体" w:hAnsi="宋体" w:cs="宋体"/>
          <w:bCs/>
          <w:szCs w:val="21"/>
          <w:highlight w:val="none"/>
        </w:rPr>
        <w:t>.1.2 试验设备</w:t>
      </w:r>
    </w:p>
    <w:p w14:paraId="40F79DB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施工现场需要配置的试验场所：</w:t>
      </w:r>
      <w:bookmarkEnd w:id="719"/>
      <w:bookmarkEnd w:id="720"/>
      <w:bookmarkEnd w:id="721"/>
      <w:bookmarkEnd w:id="722"/>
      <w:bookmarkEnd w:id="723"/>
      <w:bookmarkEnd w:id="724"/>
      <w:bookmarkEnd w:id="725"/>
      <w:bookmarkStart w:id="727" w:name="_Toc297216195"/>
      <w:bookmarkStart w:id="728" w:name="_Toc300934985"/>
      <w:bookmarkStart w:id="729" w:name="_Toc312677498"/>
      <w:bookmarkStart w:id="730" w:name="_Toc303539142"/>
      <w:bookmarkStart w:id="731" w:name="_Toc297123536"/>
      <w:bookmarkStart w:id="732" w:name="_Toc312678024"/>
      <w:bookmarkStart w:id="733" w:name="_Toc304295562"/>
      <w:r>
        <w:rPr>
          <w:rFonts w:hint="eastAsia" w:ascii="宋体" w:hAnsi="宋体" w:cs="宋体"/>
          <w:szCs w:val="21"/>
          <w:highlight w:val="none"/>
          <w:u w:val="single"/>
        </w:rPr>
        <w:t>由承包人自行考虑配置</w:t>
      </w:r>
      <w:r>
        <w:rPr>
          <w:rFonts w:hint="eastAsia" w:ascii="宋体" w:hAnsi="宋体" w:cs="宋体"/>
          <w:bCs/>
          <w:szCs w:val="21"/>
          <w:highlight w:val="none"/>
        </w:rPr>
        <w:t xml:space="preserve">。 </w:t>
      </w:r>
    </w:p>
    <w:p w14:paraId="6FD13E55">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施工现场需要配备的试验设备：</w:t>
      </w:r>
      <w:r>
        <w:rPr>
          <w:rFonts w:hint="eastAsia" w:ascii="宋体" w:hAnsi="宋体" w:cs="宋体"/>
          <w:szCs w:val="21"/>
          <w:highlight w:val="none"/>
          <w:u w:val="single"/>
        </w:rPr>
        <w:t>由承包人自行考虑配备</w:t>
      </w:r>
      <w:r>
        <w:rPr>
          <w:rFonts w:hint="eastAsia" w:ascii="宋体" w:hAnsi="宋体" w:cs="宋体"/>
          <w:bCs/>
          <w:szCs w:val="21"/>
          <w:highlight w:val="none"/>
        </w:rPr>
        <w:t>。</w:t>
      </w:r>
    </w:p>
    <w:p w14:paraId="4DE5B25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施工现场需要具备的其他试验条件：</w:t>
      </w:r>
      <w:r>
        <w:rPr>
          <w:rFonts w:hint="eastAsia" w:ascii="宋体" w:hAnsi="宋体" w:cs="宋体"/>
          <w:szCs w:val="21"/>
          <w:highlight w:val="none"/>
          <w:u w:val="single"/>
        </w:rPr>
        <w:t>由承包人自行考虑配备</w:t>
      </w:r>
      <w:r>
        <w:rPr>
          <w:rFonts w:hint="eastAsia" w:ascii="宋体" w:hAnsi="宋体" w:cs="宋体"/>
          <w:bCs/>
          <w:szCs w:val="21"/>
          <w:highlight w:val="none"/>
        </w:rPr>
        <w:t>。</w:t>
      </w:r>
    </w:p>
    <w:p w14:paraId="1D3D56E5">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 xml:space="preserve">9.4 现场工艺试验 </w:t>
      </w:r>
    </w:p>
    <w:p w14:paraId="427349B7">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现场工艺试验的有关约定：</w:t>
      </w:r>
      <w:r>
        <w:rPr>
          <w:rFonts w:hint="eastAsia" w:ascii="宋体" w:hAnsi="宋体" w:cs="宋体"/>
          <w:szCs w:val="21"/>
          <w:highlight w:val="none"/>
          <w:u w:val="single"/>
        </w:rPr>
        <w:t xml:space="preserve">  /  </w:t>
      </w:r>
      <w:r>
        <w:rPr>
          <w:rFonts w:hint="eastAsia" w:ascii="宋体" w:hAnsi="宋体" w:cs="宋体"/>
          <w:bCs/>
          <w:szCs w:val="21"/>
          <w:highlight w:val="none"/>
        </w:rPr>
        <w:t>。</w:t>
      </w:r>
    </w:p>
    <w:bookmarkEnd w:id="726"/>
    <w:bookmarkEnd w:id="727"/>
    <w:bookmarkEnd w:id="728"/>
    <w:bookmarkEnd w:id="729"/>
    <w:bookmarkEnd w:id="730"/>
    <w:bookmarkEnd w:id="731"/>
    <w:bookmarkEnd w:id="732"/>
    <w:bookmarkEnd w:id="733"/>
    <w:p w14:paraId="5B47009C">
      <w:pPr>
        <w:pStyle w:val="6"/>
        <w:spacing w:before="120" w:after="120"/>
        <w:rPr>
          <w:rFonts w:ascii="宋体" w:hAnsi="宋体" w:cs="宋体"/>
          <w:bCs/>
          <w:color w:val="auto"/>
          <w:kern w:val="0"/>
          <w:sz w:val="24"/>
          <w:szCs w:val="24"/>
          <w:highlight w:val="none"/>
          <w:u w:val="none"/>
        </w:rPr>
      </w:pPr>
      <w:bookmarkStart w:id="734" w:name="_Toc6919_WPSOffice_Level3"/>
      <w:bookmarkStart w:id="735" w:name="_Toc351203642"/>
      <w:r>
        <w:rPr>
          <w:rFonts w:hint="eastAsia" w:ascii="宋体" w:hAnsi="宋体" w:cs="宋体"/>
          <w:bCs/>
          <w:color w:val="auto"/>
          <w:kern w:val="0"/>
          <w:sz w:val="24"/>
          <w:szCs w:val="24"/>
          <w:highlight w:val="none"/>
          <w:u w:val="none"/>
        </w:rPr>
        <w:t>1</w:t>
      </w:r>
      <w:bookmarkEnd w:id="700"/>
      <w:bookmarkEnd w:id="701"/>
      <w:bookmarkEnd w:id="702"/>
      <w:bookmarkEnd w:id="703"/>
      <w:bookmarkEnd w:id="704"/>
      <w:bookmarkEnd w:id="705"/>
      <w:bookmarkEnd w:id="706"/>
      <w:bookmarkEnd w:id="707"/>
      <w:bookmarkEnd w:id="708"/>
      <w:bookmarkEnd w:id="709"/>
      <w:bookmarkEnd w:id="710"/>
      <w:bookmarkEnd w:id="711"/>
      <w:bookmarkStart w:id="736" w:name="_Toc304295566"/>
      <w:bookmarkStart w:id="737" w:name="_Toc296891021"/>
      <w:bookmarkStart w:id="738" w:name="_Toc297048379"/>
      <w:bookmarkStart w:id="739" w:name="_Toc303539146"/>
      <w:bookmarkStart w:id="740" w:name="_Toc296944532"/>
      <w:bookmarkStart w:id="741" w:name="_Toc297216199"/>
      <w:bookmarkStart w:id="742" w:name="_Toc296891233"/>
      <w:bookmarkStart w:id="743" w:name="_Toc300934989"/>
      <w:bookmarkStart w:id="744" w:name="_Toc292559903"/>
      <w:bookmarkStart w:id="745" w:name="_Toc292559398"/>
      <w:bookmarkStart w:id="746" w:name="_Toc297123540"/>
      <w:bookmarkStart w:id="747" w:name="_Toc297120493"/>
      <w:bookmarkStart w:id="748" w:name="_Toc296503193"/>
      <w:bookmarkStart w:id="749" w:name="_Toc296346694"/>
      <w:bookmarkStart w:id="750" w:name="_Toc296347192"/>
      <w:bookmarkStart w:id="751" w:name="_Toc312678025"/>
      <w:bookmarkStart w:id="752" w:name="_Toc312677499"/>
      <w:bookmarkStart w:id="753" w:name="_Toc267251441"/>
      <w:bookmarkStart w:id="754" w:name="_Toc267251437"/>
      <w:bookmarkStart w:id="755" w:name="_Toc267251440"/>
      <w:bookmarkStart w:id="756" w:name="_Toc267251435"/>
      <w:bookmarkStart w:id="757" w:name="_Toc267251439"/>
      <w:bookmarkStart w:id="758" w:name="_Toc267251433"/>
      <w:bookmarkStart w:id="759" w:name="_Toc267251442"/>
      <w:r>
        <w:rPr>
          <w:rFonts w:hint="eastAsia" w:ascii="宋体" w:hAnsi="宋体" w:cs="宋体"/>
          <w:bCs/>
          <w:color w:val="auto"/>
          <w:kern w:val="0"/>
          <w:sz w:val="24"/>
          <w:szCs w:val="24"/>
          <w:highlight w:val="none"/>
          <w:u w:val="none"/>
        </w:rPr>
        <w:t>0. 变更</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bookmarkEnd w:id="751"/>
    <w:bookmarkEnd w:id="752"/>
    <w:p w14:paraId="064FCDE9">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w:t>
      </w:r>
      <w:bookmarkStart w:id="760" w:name="_Toc296944533"/>
      <w:bookmarkStart w:id="761" w:name="_Toc303539147"/>
      <w:bookmarkStart w:id="762" w:name="_Toc312678026"/>
      <w:bookmarkStart w:id="763" w:name="_Toc292559399"/>
      <w:bookmarkStart w:id="764" w:name="_Toc300934990"/>
      <w:bookmarkStart w:id="765" w:name="_Toc296891234"/>
      <w:bookmarkStart w:id="766" w:name="_Toc296347193"/>
      <w:bookmarkStart w:id="767" w:name="_Toc292559904"/>
      <w:bookmarkStart w:id="768" w:name="_Toc312677500"/>
      <w:bookmarkStart w:id="769" w:name="_Toc297216200"/>
      <w:bookmarkStart w:id="770" w:name="_Toc304295567"/>
      <w:bookmarkStart w:id="771" w:name="_Toc296891022"/>
      <w:bookmarkStart w:id="772" w:name="_Toc297123541"/>
      <w:bookmarkStart w:id="773" w:name="_Toc296503194"/>
      <w:bookmarkStart w:id="774" w:name="_Toc297120494"/>
      <w:bookmarkStart w:id="775" w:name="_Toc297048380"/>
      <w:bookmarkStart w:id="776" w:name="_Toc296346695"/>
      <w:r>
        <w:rPr>
          <w:rFonts w:hint="eastAsia" w:ascii="宋体" w:hAnsi="宋体" w:cs="宋体"/>
          <w:bCs/>
          <w:szCs w:val="21"/>
          <w:highlight w:val="none"/>
        </w:rPr>
        <w:t>0.1变更的范围</w:t>
      </w:r>
    </w:p>
    <w:p w14:paraId="1C2AD00D">
      <w:pPr>
        <w:spacing w:line="360" w:lineRule="auto"/>
        <w:ind w:firstLine="420" w:firstLineChars="200"/>
        <w:jc w:val="left"/>
        <w:rPr>
          <w:rFonts w:ascii="宋体" w:hAnsi="宋体" w:cs="宋体"/>
          <w:szCs w:val="21"/>
          <w:highlight w:val="none"/>
          <w:u w:val="single"/>
        </w:rPr>
      </w:pPr>
      <w:r>
        <w:rPr>
          <w:rFonts w:hint="eastAsia" w:ascii="宋体" w:hAnsi="宋体" w:cs="宋体"/>
          <w:bCs/>
          <w:szCs w:val="21"/>
          <w:highlight w:val="none"/>
        </w:rPr>
        <w:t>关于变更的范围的约定：</w:t>
      </w:r>
      <w:r>
        <w:rPr>
          <w:rFonts w:hint="eastAsia" w:ascii="宋体" w:hAnsi="宋体" w:cs="宋体"/>
          <w:szCs w:val="21"/>
          <w:highlight w:val="none"/>
          <w:u w:val="single"/>
        </w:rPr>
        <w:t>承包人在施工中提出的合理化建议涉及到对设计图纸或施工组织设计的更改及对材料、设备的换用，须经监理工程师审核后，报发包人批准后以设计变更单的形式通知承包人实施，否则不作为工程设计变更对待。任何变更的提出都应当依据合同或国家有关规范和标准提出。任何变更都必须取得发包人和监理的确认。</w:t>
      </w:r>
    </w:p>
    <w:p w14:paraId="2C6F8AF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10.4 变更估价</w:t>
      </w:r>
    </w:p>
    <w:p w14:paraId="674D516D">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10.4.1 变更估价原则</w:t>
      </w:r>
    </w:p>
    <w:p w14:paraId="6778FC14">
      <w:pPr>
        <w:spacing w:line="360" w:lineRule="auto"/>
        <w:ind w:firstLine="420" w:firstLineChars="200"/>
        <w:jc w:val="left"/>
        <w:rPr>
          <w:rFonts w:ascii="宋体" w:hAnsi="宋体" w:cs="宋体"/>
          <w:b/>
          <w:szCs w:val="21"/>
          <w:highlight w:val="none"/>
        </w:rPr>
      </w:pPr>
      <w:r>
        <w:rPr>
          <w:rFonts w:hint="eastAsia" w:ascii="宋体" w:hAnsi="宋体" w:cs="宋体"/>
          <w:szCs w:val="21"/>
          <w:highlight w:val="none"/>
        </w:rPr>
        <w:t>关于变更估价的约定:</w:t>
      </w:r>
      <w:r>
        <w:rPr>
          <w:rFonts w:hint="eastAsia" w:ascii="宋体" w:hAnsi="宋体" w:cs="宋体"/>
          <w:szCs w:val="21"/>
          <w:highlight w:val="none"/>
          <w:u w:val="single"/>
        </w:rPr>
        <w:t>在本工程施工过程中，若发生变更估价，双方约定执行</w:t>
      </w:r>
      <w:r>
        <w:rPr>
          <w:rFonts w:hint="eastAsia" w:ascii="宋体" w:hAnsi="宋体" w:cs="宋体"/>
          <w:b/>
          <w:szCs w:val="21"/>
          <w:highlight w:val="none"/>
        </w:rPr>
        <w:t>。</w:t>
      </w:r>
    </w:p>
    <w:p w14:paraId="78FA50F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Start w:id="777" w:name="_Toc292559402"/>
      <w:bookmarkStart w:id="778" w:name="_Toc292559907"/>
      <w:bookmarkStart w:id="779" w:name="_Toc296503197"/>
      <w:bookmarkStart w:id="780" w:name="_Toc303539150"/>
      <w:bookmarkStart w:id="781" w:name="_Toc300934993"/>
      <w:bookmarkStart w:id="782" w:name="_Toc296346698"/>
      <w:bookmarkStart w:id="783" w:name="_Toc297216203"/>
      <w:bookmarkStart w:id="784" w:name="_Toc296347196"/>
      <w:bookmarkStart w:id="785" w:name="_Toc296944536"/>
      <w:bookmarkStart w:id="786" w:name="_Toc297120497"/>
      <w:bookmarkStart w:id="787" w:name="_Toc296891237"/>
      <w:bookmarkStart w:id="788" w:name="_Toc297048383"/>
      <w:bookmarkStart w:id="789" w:name="_Toc297123544"/>
      <w:bookmarkStart w:id="790" w:name="_Toc296891025"/>
      <w:bookmarkStart w:id="791" w:name="_Toc312677503"/>
      <w:bookmarkStart w:id="792" w:name="_Toc304295570"/>
      <w:bookmarkStart w:id="793" w:name="_Toc312678029"/>
      <w:r>
        <w:rPr>
          <w:rFonts w:hint="eastAsia" w:ascii="宋体" w:hAnsi="宋体" w:cs="宋体"/>
          <w:bCs/>
          <w:szCs w:val="21"/>
          <w:highlight w:val="none"/>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6503203"/>
      <w:bookmarkStart w:id="795" w:name="_Toc292559408"/>
      <w:bookmarkStart w:id="796" w:name="_Toc297216204"/>
      <w:bookmarkStart w:id="797" w:name="_Toc292559913"/>
      <w:bookmarkStart w:id="798" w:name="_Toc296891031"/>
      <w:bookmarkStart w:id="799" w:name="_Toc296347202"/>
      <w:bookmarkStart w:id="800" w:name="_Toc297123545"/>
      <w:bookmarkStart w:id="801" w:name="_Toc303539151"/>
      <w:bookmarkStart w:id="802" w:name="_Toc296944542"/>
      <w:bookmarkStart w:id="803" w:name="_Toc297120503"/>
      <w:bookmarkStart w:id="804" w:name="_Toc297048389"/>
      <w:bookmarkStart w:id="805" w:name="_Toc296891243"/>
      <w:bookmarkStart w:id="806" w:name="_Toc300934994"/>
      <w:bookmarkStart w:id="807" w:name="_Toc296346704"/>
      <w:r>
        <w:rPr>
          <w:rFonts w:hint="eastAsia" w:ascii="宋体" w:hAnsi="宋体" w:cs="宋体"/>
          <w:bCs/>
          <w:szCs w:val="21"/>
          <w:highlight w:val="none"/>
        </w:rPr>
        <w:t>包人的合理化建议</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09B22D52">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监理人审查承包人合理化建议的期限：</w:t>
      </w:r>
      <w:r>
        <w:rPr>
          <w:rFonts w:hint="eastAsia" w:ascii="宋体" w:hAnsi="宋体" w:cs="宋体"/>
          <w:szCs w:val="21"/>
          <w:highlight w:val="none"/>
          <w:u w:val="single"/>
        </w:rPr>
        <w:t>3日内</w:t>
      </w:r>
      <w:r>
        <w:rPr>
          <w:rFonts w:hint="eastAsia" w:ascii="宋体" w:hAnsi="宋体" w:cs="宋体"/>
          <w:bCs/>
          <w:szCs w:val="21"/>
          <w:highlight w:val="none"/>
        </w:rPr>
        <w:t>。</w:t>
      </w:r>
    </w:p>
    <w:p w14:paraId="6823F73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发包人审批承包人合理化建议的期限：</w:t>
      </w:r>
      <w:r>
        <w:rPr>
          <w:rFonts w:hint="eastAsia" w:ascii="宋体" w:hAnsi="宋体" w:cs="宋体"/>
          <w:szCs w:val="21"/>
          <w:highlight w:val="none"/>
          <w:u w:val="single"/>
        </w:rPr>
        <w:t>5日内</w:t>
      </w:r>
      <w:r>
        <w:rPr>
          <w:rFonts w:hint="eastAsia" w:ascii="宋体" w:hAnsi="宋体" w:cs="宋体"/>
          <w:bCs/>
          <w:szCs w:val="21"/>
          <w:highlight w:val="none"/>
        </w:rPr>
        <w:t>。</w:t>
      </w:r>
    </w:p>
    <w:p w14:paraId="3AF75EF7">
      <w:pPr>
        <w:pStyle w:val="6"/>
        <w:spacing w:before="120" w:after="120"/>
        <w:rPr>
          <w:rFonts w:ascii="宋体" w:hAnsi="宋体" w:cs="宋体"/>
          <w:bCs/>
          <w:color w:val="auto"/>
          <w:kern w:val="0"/>
          <w:sz w:val="24"/>
          <w:szCs w:val="24"/>
          <w:highlight w:val="none"/>
          <w:u w:val="none"/>
        </w:rPr>
      </w:pPr>
      <w:bookmarkStart w:id="808" w:name="_Toc11990_WPSOffice_Level3"/>
      <w:bookmarkStart w:id="809" w:name="_Toc351203643"/>
      <w:r>
        <w:rPr>
          <w:rFonts w:hint="eastAsia" w:ascii="宋体" w:hAnsi="宋体" w:cs="宋体"/>
          <w:bCs/>
          <w:color w:val="auto"/>
          <w:kern w:val="0"/>
          <w:sz w:val="24"/>
          <w:szCs w:val="24"/>
          <w:highlight w:val="none"/>
          <w:u w:val="none"/>
        </w:rPr>
        <w:t>11. 价格调整</w:t>
      </w:r>
      <w:bookmarkEnd w:id="808"/>
      <w:bookmarkEnd w:id="809"/>
    </w:p>
    <w:p w14:paraId="181AA2C3">
      <w:pPr>
        <w:spacing w:line="360" w:lineRule="auto"/>
        <w:ind w:firstLine="420" w:firstLineChars="200"/>
        <w:jc w:val="left"/>
        <w:rPr>
          <w:rFonts w:ascii="宋体" w:hAnsi="宋体" w:cs="宋体"/>
          <w:bCs/>
          <w:kern w:val="0"/>
          <w:szCs w:val="21"/>
          <w:highlight w:val="none"/>
        </w:rPr>
      </w:pPr>
      <w:bookmarkStart w:id="810" w:name="_Toc297123550"/>
      <w:bookmarkStart w:id="811" w:name="_Toc304295577"/>
      <w:bookmarkStart w:id="812" w:name="_Toc296347200"/>
      <w:bookmarkStart w:id="813" w:name="_Toc300935000"/>
      <w:bookmarkStart w:id="814" w:name="_Toc296503201"/>
      <w:bookmarkStart w:id="815" w:name="_Toc303539157"/>
      <w:bookmarkStart w:id="816" w:name="_Toc296346702"/>
      <w:bookmarkStart w:id="817" w:name="_Toc312678039"/>
      <w:bookmarkStart w:id="818" w:name="_Toc297216209"/>
      <w:bookmarkStart w:id="819" w:name="_Toc296891241"/>
      <w:bookmarkStart w:id="820" w:name="_Toc297120501"/>
      <w:bookmarkStart w:id="821" w:name="_Toc296944540"/>
      <w:bookmarkStart w:id="822" w:name="_Toc296891029"/>
      <w:bookmarkStart w:id="823" w:name="_Toc292559911"/>
      <w:bookmarkStart w:id="824" w:name="_Toc297048387"/>
      <w:bookmarkStart w:id="825" w:name="_Toc292559406"/>
      <w:r>
        <w:rPr>
          <w:rFonts w:hint="eastAsia" w:ascii="宋体" w:hAnsi="宋体" w:cs="宋体"/>
          <w:bCs/>
          <w:kern w:val="0"/>
          <w:szCs w:val="21"/>
          <w:highlight w:val="none"/>
        </w:rPr>
        <w:t>11.1 市场价格波动引起的调整</w:t>
      </w: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3045CC8">
      <w:pPr>
        <w:spacing w:line="360" w:lineRule="auto"/>
        <w:ind w:firstLine="420" w:firstLineChars="200"/>
        <w:jc w:val="left"/>
        <w:rPr>
          <w:rFonts w:ascii="宋体" w:hAnsi="宋体" w:cs="宋体"/>
          <w:bCs/>
          <w:szCs w:val="21"/>
          <w:highlight w:val="none"/>
        </w:rPr>
      </w:pPr>
      <w:r>
        <w:rPr>
          <w:rFonts w:hint="eastAsia" w:ascii="宋体" w:hAnsi="宋体" w:cs="宋体"/>
          <w:bCs/>
          <w:kern w:val="0"/>
          <w:szCs w:val="21"/>
          <w:highlight w:val="none"/>
        </w:rPr>
        <w:t>市场价格波动是否调整合同价格的约定：</w:t>
      </w:r>
      <w:r>
        <w:rPr>
          <w:rFonts w:hint="eastAsia" w:ascii="宋体" w:hAnsi="宋体" w:cs="宋体"/>
          <w:bCs/>
          <w:szCs w:val="21"/>
          <w:highlight w:val="none"/>
          <w:u w:val="single"/>
        </w:rPr>
        <w:t>不适用</w:t>
      </w:r>
      <w:r>
        <w:rPr>
          <w:rFonts w:hint="eastAsia" w:ascii="宋体" w:hAnsi="宋体" w:cs="宋体"/>
          <w:bCs/>
          <w:szCs w:val="21"/>
          <w:highlight w:val="none"/>
        </w:rPr>
        <w:t>；</w:t>
      </w:r>
    </w:p>
    <w:p w14:paraId="4946F278">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第1种方式：采用价格指数进行价格调整。</w:t>
      </w:r>
    </w:p>
    <w:p w14:paraId="01503943">
      <w:pPr>
        <w:spacing w:line="360" w:lineRule="auto"/>
        <w:ind w:firstLine="420" w:firstLineChars="200"/>
        <w:jc w:val="left"/>
        <w:rPr>
          <w:rFonts w:ascii="宋体" w:hAnsi="宋体" w:cs="宋体"/>
          <w:bCs/>
          <w:szCs w:val="21"/>
          <w:highlight w:val="none"/>
          <w:u w:val="single"/>
        </w:rPr>
      </w:pPr>
      <w:r>
        <w:rPr>
          <w:rFonts w:hint="eastAsia" w:ascii="宋体" w:hAnsi="宋体" w:cs="宋体"/>
          <w:bCs/>
          <w:kern w:val="0"/>
          <w:szCs w:val="21"/>
          <w:highlight w:val="none"/>
        </w:rPr>
        <w:t>关于各可</w:t>
      </w:r>
      <w:r>
        <w:rPr>
          <w:rFonts w:hint="eastAsia" w:ascii="宋体" w:hAnsi="宋体" w:cs="宋体"/>
          <w:bCs/>
          <w:szCs w:val="21"/>
          <w:highlight w:val="none"/>
        </w:rPr>
        <w:t>调因子、定值和变值权重，以及基本价格指数及其来源的约定：</w:t>
      </w:r>
      <w:r>
        <w:rPr>
          <w:rFonts w:hint="eastAsia" w:ascii="宋体" w:hAnsi="宋体" w:cs="宋体"/>
          <w:bCs/>
          <w:szCs w:val="21"/>
          <w:highlight w:val="none"/>
          <w:u w:val="single"/>
        </w:rPr>
        <w:t>不适用</w:t>
      </w:r>
      <w:r>
        <w:rPr>
          <w:rFonts w:hint="eastAsia" w:ascii="宋体" w:hAnsi="宋体" w:cs="宋体"/>
          <w:bCs/>
          <w:szCs w:val="21"/>
          <w:highlight w:val="none"/>
        </w:rPr>
        <w:t xml:space="preserve">；  </w:t>
      </w:r>
    </w:p>
    <w:p w14:paraId="05D5F09C">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第2种方式：采用造价信息进行价格调整。</w:t>
      </w:r>
    </w:p>
    <w:p w14:paraId="76964B9D">
      <w:pPr>
        <w:spacing w:line="360" w:lineRule="auto"/>
        <w:ind w:firstLine="420" w:firstLineChars="200"/>
        <w:jc w:val="left"/>
        <w:rPr>
          <w:rFonts w:ascii="宋体" w:hAnsi="宋体" w:cs="宋体"/>
          <w:bCs/>
          <w:szCs w:val="21"/>
          <w:highlight w:val="none"/>
        </w:rPr>
      </w:pPr>
      <w:r>
        <w:rPr>
          <w:rFonts w:hint="eastAsia" w:ascii="宋体" w:hAnsi="宋体" w:cs="宋体"/>
          <w:bCs/>
          <w:kern w:val="0"/>
          <w:szCs w:val="21"/>
          <w:highlight w:val="none"/>
        </w:rPr>
        <w:t>（2）</w:t>
      </w:r>
      <w:r>
        <w:rPr>
          <w:rFonts w:hint="eastAsia" w:ascii="宋体" w:hAnsi="宋体" w:cs="宋体"/>
          <w:bCs/>
          <w:szCs w:val="21"/>
          <w:highlight w:val="none"/>
        </w:rPr>
        <w:t>关于基准价格的约定：</w:t>
      </w:r>
      <w:r>
        <w:rPr>
          <w:rFonts w:hint="eastAsia" w:ascii="宋体" w:hAnsi="宋体" w:cs="宋体"/>
          <w:bCs/>
          <w:szCs w:val="21"/>
          <w:highlight w:val="none"/>
          <w:u w:val="single"/>
        </w:rPr>
        <w:t>不适用</w:t>
      </w:r>
      <w:r>
        <w:rPr>
          <w:rFonts w:hint="eastAsia" w:ascii="宋体" w:hAnsi="宋体" w:cs="宋体"/>
          <w:bCs/>
          <w:szCs w:val="21"/>
          <w:highlight w:val="none"/>
        </w:rPr>
        <w:t>。</w:t>
      </w:r>
    </w:p>
    <w:bookmarkEnd w:id="753"/>
    <w:bookmarkEnd w:id="754"/>
    <w:bookmarkEnd w:id="755"/>
    <w:bookmarkEnd w:id="756"/>
    <w:bookmarkEnd w:id="757"/>
    <w:bookmarkEnd w:id="758"/>
    <w:p w14:paraId="0FA82A6B">
      <w:pPr>
        <w:spacing w:line="360" w:lineRule="auto"/>
        <w:ind w:firstLine="420" w:firstLineChars="200"/>
        <w:jc w:val="left"/>
        <w:rPr>
          <w:rFonts w:ascii="宋体" w:hAnsi="宋体" w:cs="宋体"/>
          <w:bCs/>
          <w:sz w:val="24"/>
          <w:szCs w:val="24"/>
          <w:highlight w:val="none"/>
        </w:rPr>
      </w:pPr>
      <w:bookmarkStart w:id="826" w:name="_Toc292559915"/>
      <w:bookmarkStart w:id="827" w:name="_Toc296891245"/>
      <w:bookmarkStart w:id="828" w:name="_Toc296503205"/>
      <w:bookmarkStart w:id="829" w:name="_Toc292559410"/>
      <w:bookmarkStart w:id="830" w:name="_Toc296347204"/>
      <w:bookmarkStart w:id="831" w:name="_Toc297120505"/>
      <w:bookmarkStart w:id="832" w:name="_Toc296891033"/>
      <w:bookmarkStart w:id="833" w:name="_Toc297048391"/>
      <w:bookmarkStart w:id="834" w:name="_Toc296346706"/>
      <w:bookmarkStart w:id="835" w:name="_Toc296944544"/>
      <w:bookmarkStart w:id="836" w:name="_Toc25023_WPSOffice_Level3"/>
      <w:bookmarkStart w:id="837" w:name="_Toc351203644"/>
      <w:bookmarkStart w:id="838" w:name="_Toc300935002"/>
      <w:bookmarkStart w:id="839" w:name="_Toc297216211"/>
      <w:bookmarkStart w:id="840" w:name="_Toc304295579"/>
      <w:bookmarkStart w:id="841" w:name="_Toc297123552"/>
      <w:bookmarkStart w:id="842" w:name="_Toc303539159"/>
      <w:bookmarkStart w:id="843" w:name="_Toc312678040"/>
      <w:r>
        <w:rPr>
          <w:rFonts w:hint="eastAsia" w:ascii="宋体" w:hAnsi="宋体" w:cs="宋体"/>
          <w:bCs/>
          <w:szCs w:val="21"/>
          <w:highlight w:val="none"/>
        </w:rPr>
        <w:t>双方约定合同价款的其他调整因素：</w:t>
      </w:r>
      <w:r>
        <w:rPr>
          <w:rFonts w:hint="eastAsia" w:ascii="宋体" w:hAnsi="宋体" w:cs="宋体"/>
          <w:bCs/>
          <w:szCs w:val="21"/>
          <w:highlight w:val="none"/>
          <w:u w:val="single"/>
        </w:rPr>
        <w:t>无。</w:t>
      </w:r>
    </w:p>
    <w:p w14:paraId="2256055A">
      <w:pPr>
        <w:pStyle w:val="6"/>
        <w:spacing w:before="120" w:after="120"/>
        <w:rPr>
          <w:rFonts w:ascii="宋体" w:hAnsi="宋体" w:cs="宋体"/>
          <w:bCs/>
          <w:color w:val="auto"/>
          <w:kern w:val="0"/>
          <w:sz w:val="24"/>
          <w:szCs w:val="24"/>
          <w:highlight w:val="none"/>
          <w:u w:val="none"/>
        </w:rPr>
      </w:pPr>
      <w:r>
        <w:rPr>
          <w:rFonts w:hint="eastAsia" w:ascii="宋体" w:hAnsi="宋体" w:cs="宋体"/>
          <w:bCs/>
          <w:color w:val="auto"/>
          <w:kern w:val="0"/>
          <w:sz w:val="24"/>
          <w:szCs w:val="24"/>
          <w:highlight w:val="none"/>
          <w:u w:val="none"/>
        </w:rPr>
        <w:t xml:space="preserve">12. </w:t>
      </w:r>
      <w:bookmarkEnd w:id="826"/>
      <w:bookmarkEnd w:id="827"/>
      <w:bookmarkEnd w:id="828"/>
      <w:bookmarkEnd w:id="829"/>
      <w:bookmarkEnd w:id="830"/>
      <w:bookmarkEnd w:id="831"/>
      <w:bookmarkEnd w:id="832"/>
      <w:bookmarkEnd w:id="833"/>
      <w:bookmarkEnd w:id="834"/>
      <w:bookmarkEnd w:id="835"/>
      <w:r>
        <w:rPr>
          <w:rFonts w:hint="eastAsia" w:ascii="宋体" w:hAnsi="宋体" w:cs="宋体"/>
          <w:bCs/>
          <w:color w:val="auto"/>
          <w:kern w:val="0"/>
          <w:sz w:val="24"/>
          <w:szCs w:val="24"/>
          <w:highlight w:val="none"/>
          <w:u w:val="none"/>
        </w:rPr>
        <w:t>合同价格、计量与支付</w:t>
      </w:r>
      <w:bookmarkEnd w:id="836"/>
      <w:bookmarkEnd w:id="837"/>
    </w:p>
    <w:bookmarkEnd w:id="838"/>
    <w:bookmarkEnd w:id="839"/>
    <w:bookmarkEnd w:id="840"/>
    <w:bookmarkEnd w:id="841"/>
    <w:bookmarkEnd w:id="842"/>
    <w:bookmarkEnd w:id="843"/>
    <w:p w14:paraId="2D5DFE97">
      <w:pPr>
        <w:spacing w:line="360" w:lineRule="auto"/>
        <w:ind w:firstLine="420" w:firstLineChars="200"/>
        <w:jc w:val="left"/>
        <w:rPr>
          <w:rFonts w:ascii="宋体" w:hAnsi="宋体" w:cs="宋体"/>
          <w:bCs/>
          <w:kern w:val="0"/>
          <w:szCs w:val="21"/>
          <w:highlight w:val="none"/>
        </w:rPr>
      </w:pPr>
      <w:bookmarkStart w:id="844" w:name="_Toc292559411"/>
      <w:bookmarkStart w:id="845" w:name="_Toc267251461"/>
      <w:bookmarkStart w:id="846" w:name="_Toc292559916"/>
      <w:bookmarkStart w:id="847" w:name="_Toc297048392"/>
      <w:bookmarkStart w:id="848" w:name="_Toc296347205"/>
      <w:bookmarkStart w:id="849" w:name="_Toc296891034"/>
      <w:bookmarkStart w:id="850" w:name="_Toc296503206"/>
      <w:bookmarkStart w:id="851" w:name="_Toc296346707"/>
      <w:bookmarkStart w:id="852" w:name="_Toc297120506"/>
      <w:bookmarkStart w:id="853" w:name="_Toc296944545"/>
      <w:bookmarkStart w:id="854" w:name="_Toc296891246"/>
      <w:bookmarkStart w:id="855" w:name="_Toc304295580"/>
      <w:bookmarkStart w:id="856" w:name="_Toc297123553"/>
      <w:bookmarkStart w:id="857" w:name="_Toc300935003"/>
      <w:bookmarkStart w:id="858" w:name="_Toc303539160"/>
      <w:bookmarkStart w:id="859" w:name="_Toc297216212"/>
      <w:bookmarkStart w:id="860" w:name="_Toc312678041"/>
      <w:r>
        <w:rPr>
          <w:rFonts w:hint="eastAsia" w:ascii="宋体" w:hAnsi="宋体" w:cs="宋体"/>
          <w:bCs/>
          <w:kern w:val="0"/>
          <w:szCs w:val="21"/>
          <w:highlight w:val="none"/>
        </w:rPr>
        <w:t>12.1 合</w:t>
      </w:r>
      <w:bookmarkEnd w:id="844"/>
      <w:bookmarkEnd w:id="845"/>
      <w:bookmarkEnd w:id="846"/>
      <w:r>
        <w:rPr>
          <w:rFonts w:hint="eastAsia" w:ascii="宋体" w:hAnsi="宋体" w:cs="宋体"/>
          <w:bCs/>
          <w:kern w:val="0"/>
          <w:szCs w:val="21"/>
          <w:highlight w:val="none"/>
        </w:rPr>
        <w:t>同价</w:t>
      </w:r>
      <w:bookmarkEnd w:id="847"/>
      <w:bookmarkEnd w:id="848"/>
      <w:bookmarkEnd w:id="849"/>
      <w:bookmarkEnd w:id="850"/>
      <w:bookmarkEnd w:id="851"/>
      <w:bookmarkEnd w:id="852"/>
      <w:bookmarkEnd w:id="853"/>
      <w:bookmarkEnd w:id="854"/>
      <w:r>
        <w:rPr>
          <w:rFonts w:hint="eastAsia" w:ascii="宋体" w:hAnsi="宋体" w:cs="宋体"/>
          <w:bCs/>
          <w:kern w:val="0"/>
          <w:szCs w:val="21"/>
          <w:highlight w:val="none"/>
        </w:rPr>
        <w:t>格形式</w:t>
      </w:r>
    </w:p>
    <w:bookmarkEnd w:id="855"/>
    <w:bookmarkEnd w:id="856"/>
    <w:bookmarkEnd w:id="857"/>
    <w:bookmarkEnd w:id="858"/>
    <w:bookmarkEnd w:id="859"/>
    <w:bookmarkEnd w:id="860"/>
    <w:p w14:paraId="3E35D03F">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1、固定综合单价合同。</w:t>
      </w:r>
    </w:p>
    <w:p w14:paraId="6EC26FA6">
      <w:pPr>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本工程合同价格形式适用：</w:t>
      </w:r>
      <w:r>
        <w:rPr>
          <w:rFonts w:hint="eastAsia" w:ascii="宋体" w:hAnsi="宋体" w:cs="宋体"/>
          <w:b/>
          <w:szCs w:val="21"/>
          <w:highlight w:val="none"/>
          <w:u w:val="single"/>
        </w:rPr>
        <w:t>固定综合单价合同</w:t>
      </w:r>
      <w:r>
        <w:rPr>
          <w:rFonts w:hint="eastAsia" w:ascii="宋体" w:hAnsi="宋体" w:cs="宋体"/>
          <w:b/>
          <w:szCs w:val="21"/>
          <w:highlight w:val="none"/>
        </w:rPr>
        <w:t>；</w:t>
      </w:r>
    </w:p>
    <w:p w14:paraId="6B38956B">
      <w:pPr>
        <w:adjustRightInd w:val="0"/>
        <w:snapToGrid w:val="0"/>
        <w:spacing w:line="360" w:lineRule="auto"/>
        <w:ind w:firstLine="422" w:firstLineChars="200"/>
        <w:jc w:val="left"/>
        <w:rPr>
          <w:rFonts w:ascii="宋体" w:hAnsi="宋体" w:cs="宋体"/>
          <w:b/>
          <w:szCs w:val="21"/>
          <w:highlight w:val="none"/>
          <w:u w:val="single"/>
        </w:rPr>
      </w:pPr>
      <w:r>
        <w:rPr>
          <w:rFonts w:hint="eastAsia" w:ascii="宋体" w:hAnsi="宋体" w:cs="宋体"/>
          <w:b/>
          <w:kern w:val="0"/>
          <w:szCs w:val="21"/>
          <w:highlight w:val="none"/>
        </w:rPr>
        <w:t>综合单价包含的风</w:t>
      </w:r>
      <w:r>
        <w:rPr>
          <w:rFonts w:hint="eastAsia" w:ascii="宋体" w:hAnsi="宋体" w:cs="宋体"/>
          <w:b/>
          <w:szCs w:val="21"/>
          <w:highlight w:val="none"/>
        </w:rPr>
        <w:t>险范围：</w:t>
      </w:r>
      <w:r>
        <w:rPr>
          <w:rFonts w:hint="eastAsia" w:ascii="宋体" w:hAnsi="宋体" w:cs="宋体"/>
          <w:b/>
          <w:szCs w:val="21"/>
          <w:highlight w:val="none"/>
          <w:u w:val="single"/>
        </w:rPr>
        <w:t>综合单价中包括的风险范围：人工费、材料费、机械费的社会价格浮动，专用条款第17条规定以外发生的自然灾害、雨季施工的防雨措施费、停水、停电及停窝工在连续48小时以内的费用、金融汇率变化、银行存贷款利率调整、承包人在投标前及合同明示或暗示的所有风险、责任和义务等。</w:t>
      </w:r>
    </w:p>
    <w:p w14:paraId="1E870317">
      <w:pPr>
        <w:spacing w:line="360" w:lineRule="auto"/>
        <w:ind w:left="2" w:firstLine="420" w:firstLineChars="199"/>
        <w:rPr>
          <w:rFonts w:ascii="宋体" w:hAnsi="宋体" w:cs="宋体"/>
          <w:b/>
          <w:szCs w:val="21"/>
          <w:highlight w:val="none"/>
        </w:rPr>
      </w:pPr>
      <w:r>
        <w:rPr>
          <w:rFonts w:hint="eastAsia" w:ascii="宋体" w:hAnsi="宋体" w:cs="宋体"/>
          <w:b/>
          <w:szCs w:val="21"/>
          <w:highlight w:val="none"/>
        </w:rPr>
        <w:t>风险费用的计算方法：</w:t>
      </w:r>
      <w:r>
        <w:rPr>
          <w:rFonts w:hint="eastAsia" w:ascii="宋体" w:hAnsi="宋体" w:cs="宋体"/>
          <w:b/>
          <w:szCs w:val="21"/>
          <w:highlight w:val="none"/>
          <w:u w:val="single"/>
        </w:rPr>
        <w:t>风险费用已包含在合同价中，合同中确定的各项单价在工程实施期间不因价格变化而调整，即单价高低变化的风险由承包人承担，另有约定的除外</w:t>
      </w:r>
      <w:r>
        <w:rPr>
          <w:rFonts w:hint="eastAsia" w:ascii="宋体" w:hAnsi="宋体" w:cs="宋体"/>
          <w:b/>
          <w:szCs w:val="21"/>
          <w:highlight w:val="none"/>
        </w:rPr>
        <w:t>。</w:t>
      </w:r>
    </w:p>
    <w:p w14:paraId="65459CC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2、固定总价合同。</w:t>
      </w:r>
    </w:p>
    <w:p w14:paraId="65B1A752">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总价包含的风险范围：</w:t>
      </w:r>
      <w:r>
        <w:rPr>
          <w:rFonts w:hint="eastAsia" w:ascii="宋体" w:hAnsi="宋体" w:cs="宋体"/>
          <w:szCs w:val="21"/>
          <w:highlight w:val="none"/>
          <w:u w:val="single"/>
        </w:rPr>
        <w:t>/</w:t>
      </w:r>
      <w:r>
        <w:rPr>
          <w:rFonts w:hint="eastAsia" w:ascii="宋体" w:hAnsi="宋体" w:cs="宋体"/>
          <w:bCs/>
          <w:szCs w:val="21"/>
          <w:highlight w:val="none"/>
        </w:rPr>
        <w:t>。</w:t>
      </w:r>
    </w:p>
    <w:p w14:paraId="3B6B10F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风险费用的计算方法：</w:t>
      </w:r>
      <w:r>
        <w:rPr>
          <w:rFonts w:hint="eastAsia" w:ascii="宋体" w:hAnsi="宋体" w:cs="宋体"/>
          <w:szCs w:val="21"/>
          <w:highlight w:val="none"/>
          <w:u w:val="single"/>
        </w:rPr>
        <w:t>/</w:t>
      </w:r>
      <w:r>
        <w:rPr>
          <w:rFonts w:hint="eastAsia" w:ascii="宋体" w:hAnsi="宋体" w:cs="宋体"/>
          <w:bCs/>
          <w:szCs w:val="21"/>
          <w:highlight w:val="none"/>
        </w:rPr>
        <w:t>。</w:t>
      </w:r>
    </w:p>
    <w:p w14:paraId="2F62CEC6">
      <w:pPr>
        <w:spacing w:line="360" w:lineRule="auto"/>
        <w:ind w:firstLine="420"/>
        <w:jc w:val="left"/>
        <w:rPr>
          <w:rFonts w:ascii="宋体" w:hAnsi="宋体" w:cs="宋体"/>
          <w:sz w:val="24"/>
          <w:szCs w:val="24"/>
          <w:highlight w:val="none"/>
        </w:rPr>
      </w:pPr>
      <w:r>
        <w:rPr>
          <w:rStyle w:val="307"/>
          <w:rFonts w:hint="default" w:cs="宋体"/>
          <w:color w:val="auto"/>
          <w:highlight w:val="none"/>
        </w:rPr>
        <w:t>3、 风险范围以外合同价格的调整方法：</w:t>
      </w:r>
    </w:p>
    <w:p w14:paraId="1B508E07">
      <w:pPr>
        <w:spacing w:line="360" w:lineRule="auto"/>
        <w:ind w:left="2" w:firstLine="420" w:firstLineChars="199"/>
        <w:rPr>
          <w:rFonts w:ascii="宋体" w:hAnsi="宋体" w:cs="宋体"/>
          <w:b/>
          <w:szCs w:val="21"/>
          <w:highlight w:val="none"/>
          <w:u w:val="single"/>
        </w:rPr>
      </w:pPr>
      <w:r>
        <w:rPr>
          <w:rFonts w:ascii="宋体" w:hAnsi="宋体" w:cs="宋体"/>
          <w:b/>
          <w:szCs w:val="21"/>
          <w:highlight w:val="none"/>
          <w:u w:val="single"/>
        </w:rPr>
        <w:t>1) 工程施工期间有政府新公布的调控文件时按文件规定政策执行；</w:t>
      </w:r>
    </w:p>
    <w:p w14:paraId="619E08E0">
      <w:pPr>
        <w:spacing w:line="360" w:lineRule="auto"/>
        <w:ind w:left="2" w:firstLine="420" w:firstLineChars="199"/>
        <w:rPr>
          <w:rFonts w:ascii="宋体" w:hAnsi="宋体" w:cs="宋体"/>
          <w:b/>
          <w:szCs w:val="21"/>
          <w:highlight w:val="none"/>
          <w:u w:val="single"/>
        </w:rPr>
      </w:pPr>
      <w:r>
        <w:rPr>
          <w:rFonts w:ascii="宋体" w:hAnsi="宋体" w:cs="宋体"/>
          <w:b/>
          <w:szCs w:val="21"/>
          <w:highlight w:val="none"/>
          <w:u w:val="single"/>
        </w:rPr>
        <w:t>2) 发包人提供的工程量清单中承包人漏报的项目（含报价为0的项目）视为已包含在其他清单项目报价中，结算时不予调整；</w:t>
      </w:r>
    </w:p>
    <w:p w14:paraId="274C1D53">
      <w:pPr>
        <w:spacing w:line="360" w:lineRule="auto"/>
        <w:ind w:left="2" w:firstLine="420" w:firstLineChars="199"/>
        <w:rPr>
          <w:rFonts w:ascii="宋体" w:hAnsi="宋体" w:cs="宋体"/>
          <w:b/>
          <w:szCs w:val="21"/>
          <w:highlight w:val="none"/>
          <w:u w:val="single"/>
        </w:rPr>
      </w:pPr>
      <w:r>
        <w:rPr>
          <w:rFonts w:ascii="宋体" w:hAnsi="宋体" w:cs="宋体"/>
          <w:b/>
          <w:szCs w:val="21"/>
          <w:highlight w:val="none"/>
          <w:u w:val="single"/>
        </w:rPr>
        <w:t>3) 若发包人提供的工程量清单存在漏项，根据实际施工内容及施工当期材料市场价，按陕西省相关工程量清单计价规则及配套消耗量定额文件重新编制该清单项综合单价计入结算；</w:t>
      </w:r>
    </w:p>
    <w:p w14:paraId="1AB52139">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4、其他价格方式：</w:t>
      </w:r>
      <w:r>
        <w:rPr>
          <w:rFonts w:hint="eastAsia" w:ascii="宋体" w:hAnsi="宋体" w:cs="宋体"/>
          <w:szCs w:val="21"/>
          <w:highlight w:val="none"/>
          <w:u w:val="single"/>
        </w:rPr>
        <w:t>/</w:t>
      </w:r>
      <w:r>
        <w:rPr>
          <w:rFonts w:hint="eastAsia" w:ascii="宋体" w:hAnsi="宋体" w:cs="宋体"/>
          <w:bCs/>
          <w:szCs w:val="21"/>
          <w:highlight w:val="none"/>
        </w:rPr>
        <w:t>。</w:t>
      </w:r>
    </w:p>
    <w:p w14:paraId="4F0B9301">
      <w:pPr>
        <w:spacing w:line="360" w:lineRule="auto"/>
        <w:ind w:firstLine="420" w:firstLineChars="200"/>
        <w:jc w:val="left"/>
        <w:rPr>
          <w:rFonts w:ascii="宋体" w:hAnsi="宋体" w:cs="宋体"/>
          <w:bCs/>
          <w:szCs w:val="21"/>
          <w:highlight w:val="none"/>
        </w:rPr>
      </w:pPr>
      <w:bookmarkStart w:id="861" w:name="_Toc296891247"/>
      <w:bookmarkStart w:id="862" w:name="_Toc296891035"/>
      <w:bookmarkStart w:id="863" w:name="_Toc296503207"/>
      <w:bookmarkStart w:id="864" w:name="_Toc297120507"/>
      <w:bookmarkStart w:id="865" w:name="_Toc296944546"/>
      <w:bookmarkStart w:id="866" w:name="_Toc312678042"/>
      <w:bookmarkStart w:id="867" w:name="_Toc304295581"/>
      <w:bookmarkStart w:id="868" w:name="_Toc292559917"/>
      <w:bookmarkStart w:id="869" w:name="_Toc303539161"/>
      <w:bookmarkStart w:id="870" w:name="_Toc296346708"/>
      <w:bookmarkStart w:id="871" w:name="_Toc296347206"/>
      <w:bookmarkStart w:id="872" w:name="_Toc297216213"/>
      <w:bookmarkStart w:id="873" w:name="_Toc297048393"/>
      <w:bookmarkStart w:id="874" w:name="_Toc297123554"/>
      <w:bookmarkStart w:id="875" w:name="_Toc292559412"/>
      <w:bookmarkStart w:id="876" w:name="_Toc300935004"/>
      <w:r>
        <w:rPr>
          <w:rFonts w:hint="eastAsia" w:ascii="宋体" w:hAnsi="宋体" w:cs="宋体"/>
          <w:bCs/>
          <w:szCs w:val="21"/>
          <w:highlight w:val="none"/>
        </w:rPr>
        <w:t>12.2 预付款</w:t>
      </w:r>
    </w:p>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14:paraId="4AEEFA97">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12.2.1 预付款的支付</w:t>
      </w:r>
    </w:p>
    <w:p w14:paraId="527E80D3">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预付款支付比例：</w:t>
      </w:r>
      <w:r>
        <w:rPr>
          <w:rFonts w:hint="eastAsia" w:ascii="宋体" w:hAnsi="宋体" w:cs="宋体"/>
          <w:bCs/>
          <w:highlight w:val="none"/>
          <w:u w:val="single"/>
        </w:rPr>
        <w:t>无</w:t>
      </w:r>
      <w:r>
        <w:rPr>
          <w:rStyle w:val="307"/>
          <w:rFonts w:hint="default" w:cs="宋体"/>
          <w:bCs/>
          <w:color w:val="auto"/>
          <w:sz w:val="21"/>
          <w:szCs w:val="21"/>
          <w:highlight w:val="none"/>
        </w:rPr>
        <w:t>。</w:t>
      </w:r>
    </w:p>
    <w:p w14:paraId="29A37FC7">
      <w:pPr>
        <w:spacing w:line="360" w:lineRule="auto"/>
        <w:ind w:firstLine="420" w:firstLineChars="200"/>
        <w:jc w:val="left"/>
        <w:rPr>
          <w:rFonts w:ascii="宋体" w:hAnsi="宋体" w:cs="宋体"/>
          <w:bCs/>
          <w:highlight w:val="none"/>
        </w:rPr>
      </w:pPr>
      <w:r>
        <w:rPr>
          <w:rFonts w:hint="eastAsia" w:ascii="宋体" w:hAnsi="宋体" w:cs="宋体"/>
          <w:bCs/>
          <w:szCs w:val="21"/>
          <w:highlight w:val="none"/>
        </w:rPr>
        <w:t>12.2.2 预付款担保：</w:t>
      </w:r>
      <w:r>
        <w:rPr>
          <w:rFonts w:hint="eastAsia" w:ascii="宋体" w:hAnsi="宋体" w:cs="宋体"/>
          <w:bCs/>
          <w:highlight w:val="none"/>
          <w:u w:val="single"/>
        </w:rPr>
        <w:t>无</w:t>
      </w:r>
      <w:r>
        <w:rPr>
          <w:rStyle w:val="307"/>
          <w:rFonts w:hint="default" w:cs="宋体"/>
          <w:bCs/>
          <w:color w:val="auto"/>
          <w:sz w:val="21"/>
          <w:szCs w:val="21"/>
          <w:highlight w:val="none"/>
        </w:rPr>
        <w:t>。</w:t>
      </w:r>
    </w:p>
    <w:p w14:paraId="4544E0CC">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12.3.1 计量原则</w:t>
      </w:r>
    </w:p>
    <w:p w14:paraId="3D6341F9">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工程量计算规则：</w:t>
      </w:r>
      <w:r>
        <w:rPr>
          <w:rFonts w:hint="eastAsia" w:ascii="宋体" w:hAnsi="宋体" w:cs="宋体"/>
          <w:szCs w:val="21"/>
          <w:highlight w:val="none"/>
          <w:u w:val="single"/>
        </w:rPr>
        <w:t>执行通用条款</w:t>
      </w:r>
      <w:r>
        <w:rPr>
          <w:rFonts w:hint="eastAsia" w:ascii="宋体" w:hAnsi="宋体" w:cs="宋体"/>
          <w:bCs/>
          <w:szCs w:val="21"/>
          <w:highlight w:val="none"/>
        </w:rPr>
        <w:t>。</w:t>
      </w:r>
    </w:p>
    <w:p w14:paraId="4557A34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12.3.2 计量周期</w:t>
      </w:r>
    </w:p>
    <w:p w14:paraId="349DC7CE">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关于计量周期的约定：</w:t>
      </w:r>
      <w:r>
        <w:rPr>
          <w:rFonts w:hint="eastAsia" w:ascii="宋体" w:hAnsi="宋体" w:cs="宋体"/>
          <w:szCs w:val="21"/>
          <w:highlight w:val="none"/>
          <w:u w:val="single"/>
        </w:rPr>
        <w:t>按月计量</w:t>
      </w:r>
      <w:r>
        <w:rPr>
          <w:rFonts w:hint="eastAsia" w:ascii="宋体" w:hAnsi="宋体" w:cs="宋体"/>
          <w:bCs/>
          <w:szCs w:val="21"/>
          <w:highlight w:val="none"/>
        </w:rPr>
        <w:t>。</w:t>
      </w:r>
    </w:p>
    <w:p w14:paraId="388EF3C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12.3.3 单价合同的计量</w:t>
      </w:r>
    </w:p>
    <w:p w14:paraId="5FB05B47">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关于单价合同计量的约定：</w:t>
      </w:r>
      <w:r>
        <w:rPr>
          <w:rFonts w:hint="eastAsia" w:ascii="宋体" w:hAnsi="宋体" w:cs="宋体"/>
          <w:szCs w:val="21"/>
          <w:highlight w:val="none"/>
          <w:u w:val="single"/>
        </w:rPr>
        <w:t>执行通用条款</w:t>
      </w:r>
      <w:r>
        <w:rPr>
          <w:rFonts w:hint="eastAsia" w:ascii="宋体" w:hAnsi="宋体" w:cs="宋体"/>
          <w:bCs/>
          <w:szCs w:val="21"/>
          <w:highlight w:val="none"/>
        </w:rPr>
        <w:t>。</w:t>
      </w:r>
    </w:p>
    <w:p w14:paraId="13BC23C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12.3.4 总价合同的计量</w:t>
      </w:r>
    </w:p>
    <w:p w14:paraId="410F9069">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关于总价合同计量的约定：</w:t>
      </w:r>
      <w:r>
        <w:rPr>
          <w:rFonts w:hint="eastAsia" w:ascii="宋体" w:hAnsi="宋体" w:cs="宋体"/>
          <w:szCs w:val="21"/>
          <w:highlight w:val="none"/>
          <w:u w:val="single"/>
        </w:rPr>
        <w:t>/</w:t>
      </w:r>
      <w:r>
        <w:rPr>
          <w:rFonts w:hint="eastAsia" w:ascii="宋体" w:hAnsi="宋体" w:cs="宋体"/>
          <w:bCs/>
          <w:szCs w:val="21"/>
          <w:highlight w:val="none"/>
        </w:rPr>
        <w:t>。</w:t>
      </w:r>
    </w:p>
    <w:p w14:paraId="6E0AA988">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12.3.5总价合同采用支付分解表计量支付的，是否适用第</w:t>
      </w:r>
      <w:r>
        <w:rPr>
          <w:rFonts w:hint="eastAsia" w:ascii="宋体" w:hAnsi="宋体" w:cs="宋体"/>
          <w:bCs/>
          <w:kern w:val="0"/>
          <w:szCs w:val="21"/>
          <w:highlight w:val="none"/>
        </w:rPr>
        <w:t xml:space="preserve">12.3.4 </w:t>
      </w:r>
      <w:r>
        <w:rPr>
          <w:rFonts w:hint="eastAsia" w:ascii="宋体" w:hAnsi="宋体" w:cs="宋体"/>
          <w:bCs/>
          <w:szCs w:val="21"/>
          <w:highlight w:val="none"/>
        </w:rPr>
        <w:t>项</w:t>
      </w:r>
      <w:r>
        <w:rPr>
          <w:rFonts w:hint="eastAsia" w:ascii="宋体" w:hAnsi="宋体" w:cs="宋体"/>
          <w:bCs/>
          <w:kern w:val="0"/>
          <w:szCs w:val="21"/>
          <w:highlight w:val="none"/>
        </w:rPr>
        <w:t>〔总价合同的计量〕</w:t>
      </w:r>
      <w:r>
        <w:rPr>
          <w:rFonts w:hint="eastAsia" w:ascii="宋体" w:hAnsi="宋体" w:cs="宋体"/>
          <w:bCs/>
          <w:szCs w:val="21"/>
          <w:highlight w:val="none"/>
        </w:rPr>
        <w:t>约定进行计量：</w:t>
      </w:r>
      <w:r>
        <w:rPr>
          <w:rFonts w:hint="eastAsia" w:ascii="宋体" w:hAnsi="宋体" w:cs="宋体"/>
          <w:szCs w:val="21"/>
          <w:highlight w:val="none"/>
          <w:u w:val="single"/>
        </w:rPr>
        <w:t>/</w:t>
      </w:r>
      <w:r>
        <w:rPr>
          <w:rFonts w:hint="eastAsia" w:ascii="宋体" w:hAnsi="宋体" w:cs="宋体"/>
          <w:bCs/>
          <w:szCs w:val="21"/>
          <w:highlight w:val="none"/>
        </w:rPr>
        <w:t>。</w:t>
      </w:r>
    </w:p>
    <w:p w14:paraId="24A7925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12.3.6 其他价格形式合同的计量</w:t>
      </w:r>
    </w:p>
    <w:p w14:paraId="504E204C">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其他价格形式的计量方式和程序：</w:t>
      </w:r>
      <w:r>
        <w:rPr>
          <w:rFonts w:hint="eastAsia" w:ascii="宋体" w:hAnsi="宋体" w:cs="宋体"/>
          <w:szCs w:val="21"/>
          <w:highlight w:val="none"/>
          <w:u w:val="single"/>
        </w:rPr>
        <w:t>双方约定</w:t>
      </w:r>
      <w:r>
        <w:rPr>
          <w:rFonts w:hint="eastAsia" w:ascii="宋体" w:hAnsi="宋体" w:cs="宋体"/>
          <w:bCs/>
          <w:szCs w:val="21"/>
          <w:highlight w:val="none"/>
        </w:rPr>
        <w:t>。</w:t>
      </w:r>
    </w:p>
    <w:p w14:paraId="6F79D0C0">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12.4 工程进度款支付</w:t>
      </w:r>
    </w:p>
    <w:p w14:paraId="1E31A319">
      <w:pPr>
        <w:spacing w:line="360" w:lineRule="auto"/>
        <w:ind w:firstLine="422" w:firstLineChars="200"/>
        <w:jc w:val="left"/>
        <w:rPr>
          <w:rFonts w:hint="eastAsia" w:ascii="宋体" w:hAnsi="宋体" w:cs="宋体"/>
          <w:b/>
          <w:szCs w:val="21"/>
          <w:highlight w:val="none"/>
        </w:rPr>
      </w:pPr>
      <w:bookmarkStart w:id="877" w:name="_Toc297120511"/>
      <w:bookmarkStart w:id="878" w:name="_Toc296347210"/>
      <w:bookmarkStart w:id="879" w:name="_Toc296944550"/>
      <w:bookmarkStart w:id="880" w:name="_Toc292559416"/>
      <w:bookmarkStart w:id="881" w:name="_Toc297123556"/>
      <w:bookmarkStart w:id="882" w:name="_Toc300935006"/>
      <w:bookmarkStart w:id="883" w:name="_Toc292559921"/>
      <w:bookmarkStart w:id="884" w:name="_Toc303539163"/>
      <w:bookmarkStart w:id="885" w:name="_Toc297216215"/>
      <w:bookmarkStart w:id="886" w:name="_Toc296891039"/>
      <w:bookmarkStart w:id="887" w:name="_Toc296346712"/>
      <w:bookmarkStart w:id="888" w:name="_Toc296503211"/>
      <w:bookmarkStart w:id="889" w:name="_Toc296891251"/>
      <w:bookmarkStart w:id="890" w:name="_Toc297048397"/>
      <w:r>
        <w:rPr>
          <w:rFonts w:hint="eastAsia" w:ascii="宋体" w:hAnsi="宋体" w:cs="宋体"/>
          <w:b/>
          <w:szCs w:val="21"/>
          <w:highlight w:val="none"/>
        </w:rPr>
        <w:t>12.4.1 付款周期</w:t>
      </w:r>
    </w:p>
    <w:bookmarkEnd w:id="759"/>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14:paraId="2BF2FA20">
      <w:pPr>
        <w:adjustRightInd w:val="0"/>
        <w:snapToGrid w:val="0"/>
        <w:spacing w:line="360" w:lineRule="auto"/>
        <w:ind w:firstLine="420" w:firstLineChars="200"/>
        <w:rPr>
          <w:rFonts w:hint="eastAsia" w:ascii="宋体" w:hAnsi="宋体" w:eastAsia="宋体" w:cs="宋体"/>
          <w:kern w:val="0"/>
          <w:szCs w:val="21"/>
          <w:highlight w:val="none"/>
          <w:u w:val="single"/>
          <w:lang w:val="en-US" w:eastAsia="zh-CN"/>
        </w:rPr>
      </w:pPr>
      <w:bookmarkStart w:id="891" w:name="_Toc351203645"/>
      <w:bookmarkStart w:id="892" w:name="_Toc11316_WPSOffice_Level3"/>
      <w:bookmarkStart w:id="893" w:name="_Toc304295593"/>
      <w:bookmarkStart w:id="894" w:name="_Toc312678053"/>
      <w:bookmarkStart w:id="895" w:name="_Toc303539172"/>
      <w:bookmarkStart w:id="896" w:name="_Toc296891259"/>
      <w:bookmarkStart w:id="897" w:name="_Toc300935015"/>
      <w:bookmarkStart w:id="898" w:name="_Toc297048405"/>
      <w:bookmarkStart w:id="899" w:name="_Toc297216223"/>
      <w:bookmarkStart w:id="900" w:name="_Toc292559424"/>
      <w:bookmarkStart w:id="901" w:name="_Toc297123564"/>
      <w:bookmarkStart w:id="902" w:name="_Toc292559929"/>
      <w:bookmarkStart w:id="903" w:name="_Toc296944558"/>
      <w:bookmarkStart w:id="904" w:name="_Toc296503219"/>
      <w:bookmarkStart w:id="905" w:name="_Toc296346720"/>
      <w:bookmarkStart w:id="906" w:name="_Toc297120519"/>
      <w:bookmarkStart w:id="907" w:name="_Toc296347218"/>
      <w:bookmarkStart w:id="908" w:name="_Toc296891047"/>
      <w:r>
        <w:rPr>
          <w:rFonts w:hint="eastAsia" w:ascii="宋体" w:hAnsi="宋体" w:eastAsia="宋体" w:cs="宋体"/>
          <w:kern w:val="0"/>
          <w:szCs w:val="21"/>
          <w:highlight w:val="none"/>
          <w:u w:val="none"/>
          <w:lang w:val="en-US" w:eastAsia="zh-CN"/>
        </w:rPr>
        <w:t>1、</w:t>
      </w:r>
      <w:r>
        <w:rPr>
          <w:rFonts w:hint="eastAsia" w:ascii="宋体" w:hAnsi="宋体" w:eastAsia="宋体" w:cs="宋体"/>
          <w:kern w:val="0"/>
          <w:szCs w:val="21"/>
          <w:highlight w:val="none"/>
          <w:u w:val="single"/>
          <w:lang w:val="en-US" w:eastAsia="zh-CN"/>
        </w:rPr>
        <w:t xml:space="preserve">合同签订之日起，达到付款条件起7日内，支付合同总金额的 </w:t>
      </w:r>
      <w:r>
        <w:rPr>
          <w:rFonts w:hint="eastAsia" w:ascii="宋体" w:hAnsi="宋体" w:cs="宋体"/>
          <w:kern w:val="0"/>
          <w:szCs w:val="21"/>
          <w:highlight w:val="none"/>
          <w:u w:val="single"/>
          <w:lang w:val="en-US" w:eastAsia="zh-CN"/>
        </w:rPr>
        <w:t>3</w:t>
      </w:r>
      <w:r>
        <w:rPr>
          <w:rFonts w:hint="eastAsia" w:ascii="宋体" w:hAnsi="宋体" w:eastAsia="宋体" w:cs="宋体"/>
          <w:kern w:val="0"/>
          <w:szCs w:val="21"/>
          <w:highlight w:val="none"/>
          <w:u w:val="single"/>
          <w:lang w:val="en-US" w:eastAsia="zh-CN"/>
        </w:rPr>
        <w:t>0.00%；</w:t>
      </w:r>
    </w:p>
    <w:p w14:paraId="307232CC">
      <w:pPr>
        <w:adjustRightInd w:val="0"/>
        <w:snapToGrid w:val="0"/>
        <w:spacing w:line="360" w:lineRule="auto"/>
        <w:ind w:firstLine="420" w:firstLineChars="200"/>
        <w:rPr>
          <w:rFonts w:hint="default" w:ascii="宋体" w:hAnsi="宋体" w:eastAsia="宋体" w:cs="宋体"/>
          <w:kern w:val="0"/>
          <w:szCs w:val="21"/>
          <w:highlight w:val="none"/>
          <w:u w:val="none"/>
          <w:lang w:val="en-US" w:eastAsia="zh-CN"/>
        </w:rPr>
      </w:pPr>
      <w:r>
        <w:rPr>
          <w:rFonts w:hint="eastAsia" w:ascii="宋体" w:hAnsi="宋体" w:eastAsia="宋体" w:cs="宋体"/>
          <w:kern w:val="0"/>
          <w:szCs w:val="21"/>
          <w:highlight w:val="none"/>
          <w:u w:val="none"/>
          <w:lang w:val="en-US" w:eastAsia="zh-CN"/>
        </w:rPr>
        <w:t>2、</w:t>
      </w:r>
      <w:r>
        <w:rPr>
          <w:rFonts w:hint="eastAsia" w:ascii="宋体" w:hAnsi="宋体" w:cs="宋体"/>
          <w:kern w:val="0"/>
          <w:szCs w:val="21"/>
          <w:highlight w:val="none"/>
          <w:u w:val="single"/>
          <w:lang w:val="en-US" w:eastAsia="zh-CN"/>
        </w:rPr>
        <w:t>装饰装修基础工程完工及信息化设备到场，</w:t>
      </w:r>
      <w:r>
        <w:rPr>
          <w:rFonts w:hint="eastAsia" w:ascii="宋体" w:hAnsi="宋体" w:eastAsia="宋体" w:cs="宋体"/>
          <w:kern w:val="0"/>
          <w:szCs w:val="21"/>
          <w:highlight w:val="none"/>
          <w:u w:val="single"/>
          <w:lang w:val="en-US" w:eastAsia="zh-CN"/>
        </w:rPr>
        <w:t xml:space="preserve">达到付款条件起7日内，支付合同总金额的 </w:t>
      </w:r>
      <w:r>
        <w:rPr>
          <w:rFonts w:hint="eastAsia" w:ascii="宋体" w:hAnsi="宋体" w:cs="宋体"/>
          <w:kern w:val="0"/>
          <w:szCs w:val="21"/>
          <w:highlight w:val="none"/>
          <w:u w:val="single"/>
          <w:lang w:val="en-US" w:eastAsia="zh-CN"/>
        </w:rPr>
        <w:t>4</w:t>
      </w:r>
      <w:r>
        <w:rPr>
          <w:rFonts w:hint="eastAsia" w:ascii="宋体" w:hAnsi="宋体" w:eastAsia="宋体" w:cs="宋体"/>
          <w:kern w:val="0"/>
          <w:szCs w:val="21"/>
          <w:highlight w:val="none"/>
          <w:u w:val="single"/>
          <w:lang w:val="en-US" w:eastAsia="zh-CN"/>
        </w:rPr>
        <w:t>0.00%</w:t>
      </w:r>
      <w:r>
        <w:rPr>
          <w:rFonts w:hint="eastAsia" w:ascii="宋体" w:hAnsi="宋体" w:cs="宋体"/>
          <w:kern w:val="0"/>
          <w:szCs w:val="21"/>
          <w:highlight w:val="none"/>
          <w:u w:val="single"/>
          <w:lang w:val="en-US" w:eastAsia="zh-CN"/>
        </w:rPr>
        <w:t>；</w:t>
      </w:r>
    </w:p>
    <w:p w14:paraId="4FD76FA1">
      <w:pPr>
        <w:adjustRightInd w:val="0"/>
        <w:snapToGrid w:val="0"/>
        <w:spacing w:line="360" w:lineRule="auto"/>
        <w:ind w:firstLine="420" w:firstLineChars="200"/>
        <w:rPr>
          <w:rFonts w:hint="eastAsia" w:ascii="宋体" w:hAnsi="宋体" w:eastAsia="宋体" w:cs="宋体"/>
          <w:kern w:val="0"/>
          <w:szCs w:val="21"/>
          <w:highlight w:val="none"/>
          <w:u w:val="single"/>
          <w:lang w:val="en-US" w:eastAsia="zh-CN"/>
        </w:rPr>
      </w:pPr>
      <w:r>
        <w:rPr>
          <w:rFonts w:hint="eastAsia" w:ascii="宋体" w:hAnsi="宋体" w:cs="宋体"/>
          <w:kern w:val="0"/>
          <w:szCs w:val="21"/>
          <w:highlight w:val="none"/>
          <w:u w:val="none"/>
          <w:lang w:val="en-US" w:eastAsia="zh-CN"/>
        </w:rPr>
        <w:t>3、</w:t>
      </w:r>
      <w:r>
        <w:rPr>
          <w:rFonts w:hint="eastAsia" w:ascii="宋体" w:hAnsi="宋体" w:eastAsia="宋体" w:cs="宋体"/>
          <w:kern w:val="0"/>
          <w:szCs w:val="21"/>
          <w:highlight w:val="none"/>
          <w:u w:val="single"/>
          <w:lang w:val="en-US" w:eastAsia="zh-CN"/>
        </w:rPr>
        <w:t xml:space="preserve">项目结束并经现场验收合格后，达到付款条件起7日内，支付合同总金额的 </w:t>
      </w:r>
      <w:r>
        <w:rPr>
          <w:rFonts w:hint="eastAsia" w:ascii="宋体" w:hAnsi="宋体" w:cs="宋体"/>
          <w:kern w:val="0"/>
          <w:szCs w:val="21"/>
          <w:highlight w:val="none"/>
          <w:u w:val="single"/>
          <w:lang w:val="en-US" w:eastAsia="zh-CN"/>
        </w:rPr>
        <w:t>20</w:t>
      </w:r>
      <w:r>
        <w:rPr>
          <w:rFonts w:hint="eastAsia" w:ascii="宋体" w:hAnsi="宋体" w:eastAsia="宋体" w:cs="宋体"/>
          <w:kern w:val="0"/>
          <w:szCs w:val="21"/>
          <w:highlight w:val="none"/>
          <w:u w:val="single"/>
          <w:lang w:val="en-US" w:eastAsia="zh-CN"/>
        </w:rPr>
        <w:t>.00%；</w:t>
      </w:r>
    </w:p>
    <w:p w14:paraId="4793A4FD">
      <w:pPr>
        <w:adjustRightInd w:val="0"/>
        <w:snapToGrid w:val="0"/>
        <w:spacing w:line="360" w:lineRule="auto"/>
        <w:ind w:firstLine="420" w:firstLineChars="200"/>
        <w:rPr>
          <w:rFonts w:hint="eastAsia" w:ascii="宋体" w:hAnsi="宋体" w:eastAsia="宋体" w:cs="宋体"/>
          <w:kern w:val="0"/>
          <w:szCs w:val="21"/>
          <w:highlight w:val="none"/>
          <w:u w:val="single"/>
          <w:lang w:val="en-US" w:eastAsia="zh-CN"/>
        </w:rPr>
      </w:pPr>
      <w:r>
        <w:rPr>
          <w:rFonts w:hint="eastAsia" w:ascii="宋体" w:hAnsi="宋体" w:cs="宋体"/>
          <w:kern w:val="0"/>
          <w:szCs w:val="21"/>
          <w:highlight w:val="none"/>
          <w:u w:val="none"/>
          <w:lang w:val="en-US" w:eastAsia="zh-CN"/>
        </w:rPr>
        <w:t>4</w:t>
      </w:r>
      <w:r>
        <w:rPr>
          <w:rFonts w:hint="eastAsia" w:ascii="宋体" w:hAnsi="宋体" w:eastAsia="宋体" w:cs="宋体"/>
          <w:kern w:val="0"/>
          <w:szCs w:val="21"/>
          <w:highlight w:val="none"/>
          <w:u w:val="none"/>
          <w:lang w:val="en-US" w:eastAsia="zh-CN"/>
        </w:rPr>
        <w:t>、</w:t>
      </w:r>
      <w:r>
        <w:rPr>
          <w:rFonts w:hint="eastAsia" w:ascii="宋体" w:hAnsi="宋体" w:eastAsia="宋体" w:cs="宋体"/>
          <w:kern w:val="0"/>
          <w:szCs w:val="21"/>
          <w:highlight w:val="none"/>
          <w:u w:val="single"/>
          <w:lang w:val="en-US" w:eastAsia="zh-CN"/>
        </w:rPr>
        <w:t>结算资料报齐且经审定后，达到付款条件起7日内，支付结算总金额的7.00%；</w:t>
      </w:r>
    </w:p>
    <w:p w14:paraId="4DFD2936">
      <w:pPr>
        <w:adjustRightInd w:val="0"/>
        <w:snapToGrid w:val="0"/>
        <w:spacing w:line="360" w:lineRule="auto"/>
        <w:ind w:firstLine="420" w:firstLineChars="200"/>
        <w:rPr>
          <w:rFonts w:hint="eastAsia" w:ascii="宋体" w:hAnsi="宋体" w:eastAsia="宋体" w:cs="宋体"/>
          <w:kern w:val="0"/>
          <w:szCs w:val="21"/>
          <w:highlight w:val="none"/>
          <w:u w:val="single"/>
          <w:lang w:val="en-US" w:eastAsia="zh-CN"/>
        </w:rPr>
      </w:pPr>
      <w:r>
        <w:rPr>
          <w:rFonts w:hint="eastAsia" w:ascii="宋体" w:hAnsi="宋体" w:cs="宋体"/>
          <w:kern w:val="0"/>
          <w:szCs w:val="21"/>
          <w:highlight w:val="none"/>
          <w:u w:val="none"/>
          <w:lang w:val="en-US" w:eastAsia="zh-CN"/>
        </w:rPr>
        <w:t>5</w:t>
      </w:r>
      <w:r>
        <w:rPr>
          <w:rFonts w:hint="eastAsia" w:ascii="宋体" w:hAnsi="宋体" w:eastAsia="宋体" w:cs="宋体"/>
          <w:kern w:val="0"/>
          <w:szCs w:val="21"/>
          <w:highlight w:val="none"/>
          <w:u w:val="none"/>
          <w:lang w:val="en-US" w:eastAsia="zh-CN"/>
        </w:rPr>
        <w:t>、</w:t>
      </w:r>
      <w:r>
        <w:rPr>
          <w:rFonts w:hint="eastAsia" w:ascii="宋体" w:hAnsi="宋体" w:eastAsia="宋体" w:cs="宋体"/>
          <w:kern w:val="0"/>
          <w:szCs w:val="21"/>
          <w:highlight w:val="none"/>
          <w:u w:val="single"/>
          <w:lang w:val="en-US" w:eastAsia="zh-CN"/>
        </w:rPr>
        <w:t>质保期为1年。承包方在保修期满1年后7个工作日办理完质保金退还申请，发包人一次性无息退还结算总金额的3%质保金；</w:t>
      </w:r>
    </w:p>
    <w:p w14:paraId="7BBFE4C6">
      <w:pPr>
        <w:adjustRightInd w:val="0"/>
        <w:snapToGrid w:val="0"/>
        <w:spacing w:line="360" w:lineRule="auto"/>
        <w:ind w:firstLine="420" w:firstLineChars="200"/>
        <w:rPr>
          <w:rFonts w:hint="default" w:ascii="宋体" w:hAnsi="宋体" w:eastAsia="宋体" w:cs="宋体"/>
          <w:kern w:val="0"/>
          <w:szCs w:val="21"/>
          <w:highlight w:val="none"/>
          <w:u w:val="single"/>
          <w:lang w:val="en-US" w:eastAsia="zh-CN"/>
        </w:rPr>
      </w:pPr>
      <w:r>
        <w:rPr>
          <w:rFonts w:hint="eastAsia" w:ascii="宋体" w:hAnsi="宋体" w:cs="宋体"/>
          <w:kern w:val="0"/>
          <w:szCs w:val="21"/>
          <w:highlight w:val="none"/>
          <w:u w:val="none"/>
          <w:lang w:val="en-US" w:eastAsia="zh-CN"/>
        </w:rPr>
        <w:t>6</w:t>
      </w:r>
      <w:r>
        <w:rPr>
          <w:rFonts w:hint="eastAsia" w:ascii="宋体" w:hAnsi="宋体" w:eastAsia="宋体" w:cs="宋体"/>
          <w:kern w:val="0"/>
          <w:szCs w:val="21"/>
          <w:highlight w:val="none"/>
          <w:u w:val="none"/>
          <w:lang w:val="en-US" w:eastAsia="zh-CN"/>
        </w:rPr>
        <w:t>、</w:t>
      </w:r>
      <w:r>
        <w:rPr>
          <w:rFonts w:hint="eastAsia" w:ascii="宋体" w:hAnsi="宋体" w:eastAsia="宋体" w:cs="宋体"/>
          <w:kern w:val="0"/>
          <w:szCs w:val="21"/>
          <w:highlight w:val="none"/>
          <w:u w:val="single"/>
          <w:lang w:val="en-US" w:eastAsia="zh-CN"/>
        </w:rPr>
        <w:t>每次支付前，承包人需向发包人提供全额的增值税普通发票。</w:t>
      </w:r>
    </w:p>
    <w:p w14:paraId="3233B456">
      <w:pPr>
        <w:pStyle w:val="6"/>
        <w:spacing w:before="120" w:after="120"/>
        <w:rPr>
          <w:rFonts w:ascii="宋体" w:hAnsi="宋体" w:cs="宋体"/>
          <w:bCs/>
          <w:color w:val="auto"/>
          <w:kern w:val="0"/>
          <w:sz w:val="24"/>
          <w:szCs w:val="24"/>
          <w:highlight w:val="none"/>
          <w:u w:val="none"/>
        </w:rPr>
      </w:pPr>
      <w:r>
        <w:rPr>
          <w:rFonts w:hint="eastAsia" w:ascii="宋体" w:hAnsi="宋体" w:cs="宋体"/>
          <w:bCs/>
          <w:color w:val="auto"/>
          <w:kern w:val="0"/>
          <w:sz w:val="24"/>
          <w:szCs w:val="24"/>
          <w:highlight w:val="none"/>
          <w:u w:val="none"/>
        </w:rPr>
        <w:t>13. 验收和工程试车</w:t>
      </w:r>
      <w:bookmarkEnd w:id="891"/>
      <w:bookmarkEnd w:id="892"/>
    </w:p>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14:paraId="79D8DC63">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13.1 分部分项工程验收</w:t>
      </w:r>
    </w:p>
    <w:p w14:paraId="1E488B1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13.1.2监理人不能按时进行验收时，应提前</w:t>
      </w:r>
      <w:r>
        <w:rPr>
          <w:rFonts w:hint="eastAsia" w:ascii="宋体" w:hAnsi="宋体" w:cs="宋体"/>
          <w:bCs/>
          <w:szCs w:val="21"/>
          <w:highlight w:val="none"/>
          <w:u w:val="single"/>
        </w:rPr>
        <w:t>24</w:t>
      </w:r>
      <w:r>
        <w:rPr>
          <w:rFonts w:hint="eastAsia" w:ascii="宋体" w:hAnsi="宋体" w:cs="宋体"/>
          <w:bCs/>
          <w:szCs w:val="21"/>
          <w:highlight w:val="none"/>
        </w:rPr>
        <w:t>小时提交书面延期要求。</w:t>
      </w:r>
    </w:p>
    <w:p w14:paraId="51B65D4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关于延期最长不得超过：</w:t>
      </w:r>
      <w:r>
        <w:rPr>
          <w:rFonts w:hint="eastAsia" w:ascii="宋体" w:hAnsi="宋体" w:cs="宋体"/>
          <w:bCs/>
          <w:szCs w:val="21"/>
          <w:highlight w:val="none"/>
          <w:u w:val="single"/>
        </w:rPr>
        <w:t>24</w:t>
      </w:r>
      <w:r>
        <w:rPr>
          <w:rFonts w:hint="eastAsia" w:ascii="宋体" w:hAnsi="宋体" w:cs="宋体"/>
          <w:bCs/>
          <w:szCs w:val="21"/>
          <w:highlight w:val="none"/>
        </w:rPr>
        <w:t>小时。</w:t>
      </w:r>
    </w:p>
    <w:p w14:paraId="333E5EF4">
      <w:pPr>
        <w:spacing w:line="360" w:lineRule="auto"/>
        <w:ind w:firstLine="420" w:firstLineChars="200"/>
        <w:jc w:val="left"/>
        <w:rPr>
          <w:rFonts w:ascii="宋体" w:hAnsi="宋体" w:cs="宋体"/>
          <w:bCs/>
          <w:szCs w:val="21"/>
          <w:highlight w:val="none"/>
        </w:rPr>
      </w:pPr>
      <w:bookmarkStart w:id="909" w:name="_Toc292559428"/>
      <w:bookmarkStart w:id="910" w:name="_Toc297123565"/>
      <w:bookmarkStart w:id="911" w:name="_Toc296346724"/>
      <w:bookmarkStart w:id="912" w:name="_Toc296944562"/>
      <w:bookmarkStart w:id="913" w:name="_Toc296891263"/>
      <w:bookmarkStart w:id="914" w:name="_Toc297216224"/>
      <w:bookmarkStart w:id="915" w:name="_Toc304295596"/>
      <w:bookmarkStart w:id="916" w:name="_Toc303539173"/>
      <w:bookmarkStart w:id="917" w:name="_Toc292559933"/>
      <w:bookmarkStart w:id="918" w:name="_Toc297120523"/>
      <w:bookmarkStart w:id="919" w:name="_Toc296347222"/>
      <w:bookmarkStart w:id="920" w:name="_Toc297048409"/>
      <w:bookmarkStart w:id="921" w:name="_Toc312678056"/>
      <w:bookmarkStart w:id="922" w:name="_Toc296503223"/>
      <w:bookmarkStart w:id="923" w:name="_Toc296891051"/>
      <w:bookmarkStart w:id="924" w:name="_Toc300935016"/>
      <w:bookmarkStart w:id="925" w:name="_Toc267251472"/>
      <w:bookmarkStart w:id="926" w:name="_Toc267251474"/>
      <w:bookmarkStart w:id="927" w:name="_Toc267251476"/>
      <w:bookmarkStart w:id="928" w:name="_Toc267251473"/>
      <w:bookmarkStart w:id="929" w:name="_Toc267251475"/>
      <w:bookmarkStart w:id="930" w:name="_Toc267251470"/>
      <w:bookmarkStart w:id="931" w:name="_Toc267251471"/>
      <w:r>
        <w:rPr>
          <w:rFonts w:hint="eastAsia" w:ascii="宋体" w:hAnsi="宋体" w:cs="宋体"/>
          <w:bCs/>
          <w:szCs w:val="21"/>
          <w:highlight w:val="none"/>
        </w:rPr>
        <w:t>13.2 竣工验收</w:t>
      </w:r>
    </w:p>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14:paraId="4A3F3579">
      <w:pPr>
        <w:spacing w:line="360" w:lineRule="auto"/>
        <w:ind w:firstLine="420" w:firstLineChars="200"/>
        <w:jc w:val="left"/>
        <w:rPr>
          <w:rFonts w:ascii="宋体" w:hAnsi="宋体" w:cs="宋体"/>
          <w:bCs/>
          <w:szCs w:val="21"/>
          <w:highlight w:val="none"/>
        </w:rPr>
      </w:pPr>
      <w:bookmarkStart w:id="932" w:name="_Toc280868704"/>
      <w:bookmarkStart w:id="933" w:name="_Toc280868705"/>
      <w:bookmarkStart w:id="934" w:name="_Toc280868706"/>
      <w:bookmarkStart w:id="935" w:name="_Toc280868707"/>
      <w:bookmarkStart w:id="936" w:name="_Toc280868708"/>
      <w:bookmarkStart w:id="937" w:name="_Toc280868709"/>
      <w:r>
        <w:rPr>
          <w:rFonts w:hint="eastAsia" w:ascii="宋体" w:hAnsi="宋体" w:cs="宋体"/>
          <w:bCs/>
          <w:szCs w:val="21"/>
          <w:highlight w:val="none"/>
        </w:rPr>
        <w:t>13.2.2竣工验收程序</w:t>
      </w:r>
    </w:p>
    <w:bookmarkEnd w:id="932"/>
    <w:p w14:paraId="2B71047A">
      <w:pPr>
        <w:spacing w:line="360" w:lineRule="auto"/>
        <w:ind w:firstLine="420" w:firstLineChars="200"/>
        <w:jc w:val="left"/>
        <w:rPr>
          <w:rFonts w:ascii="宋体" w:hAnsi="宋体" w:cs="宋体"/>
          <w:szCs w:val="21"/>
          <w:highlight w:val="none"/>
          <w:u w:val="single"/>
        </w:rPr>
      </w:pPr>
      <w:r>
        <w:rPr>
          <w:rFonts w:hint="eastAsia" w:ascii="宋体" w:hAnsi="宋体" w:cs="宋体"/>
          <w:bCs/>
          <w:kern w:val="0"/>
          <w:szCs w:val="21"/>
          <w:highlight w:val="none"/>
        </w:rPr>
        <w:t>关于竣工验收程序的约定：</w:t>
      </w:r>
      <w:r>
        <w:rPr>
          <w:rFonts w:hint="eastAsia" w:ascii="宋体" w:hAnsi="宋体" w:cs="宋体"/>
          <w:szCs w:val="21"/>
          <w:highlight w:val="none"/>
          <w:u w:val="single"/>
        </w:rPr>
        <w:t>承包人按国家、陕西省相关规定进行工程竣工验收。所产生试车费用均由承包人承担。</w:t>
      </w:r>
    </w:p>
    <w:p w14:paraId="208AEF76">
      <w:pPr>
        <w:spacing w:line="360" w:lineRule="auto"/>
        <w:ind w:firstLine="420" w:firstLineChars="200"/>
        <w:jc w:val="left"/>
        <w:rPr>
          <w:rFonts w:ascii="宋体" w:hAnsi="宋体" w:cs="宋体"/>
          <w:bCs/>
          <w:szCs w:val="21"/>
          <w:highlight w:val="none"/>
        </w:rPr>
      </w:pPr>
      <w:r>
        <w:rPr>
          <w:rFonts w:hint="eastAsia" w:ascii="宋体" w:hAnsi="宋体" w:cs="宋体"/>
          <w:bCs/>
          <w:kern w:val="0"/>
          <w:szCs w:val="21"/>
          <w:highlight w:val="none"/>
        </w:rPr>
        <w:t>发包人不按照本项约定组织竣工验收、颁发工程接收证书的违约金的计算方法：</w:t>
      </w:r>
      <w:r>
        <w:rPr>
          <w:rFonts w:hint="eastAsia" w:ascii="宋体" w:hAnsi="宋体" w:cs="宋体"/>
          <w:szCs w:val="21"/>
          <w:highlight w:val="none"/>
          <w:u w:val="single"/>
        </w:rPr>
        <w:t>双方另行协商</w:t>
      </w:r>
      <w:r>
        <w:rPr>
          <w:rFonts w:hint="eastAsia" w:ascii="宋体" w:hAnsi="宋体" w:cs="宋体"/>
          <w:bCs/>
          <w:szCs w:val="21"/>
          <w:highlight w:val="none"/>
        </w:rPr>
        <w:t>。</w:t>
      </w:r>
    </w:p>
    <w:bookmarkEnd w:id="933"/>
    <w:p w14:paraId="26DCF245">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13.2.5移交、接收全部与部分工程</w:t>
      </w:r>
    </w:p>
    <w:bookmarkEnd w:id="934"/>
    <w:p w14:paraId="0F6BBD41">
      <w:pPr>
        <w:spacing w:line="360" w:lineRule="auto"/>
        <w:ind w:firstLine="420" w:firstLineChars="200"/>
        <w:jc w:val="left"/>
        <w:rPr>
          <w:rFonts w:ascii="宋体" w:hAnsi="宋体" w:cs="宋体"/>
          <w:bCs/>
          <w:kern w:val="0"/>
          <w:sz w:val="24"/>
          <w:szCs w:val="24"/>
          <w:highlight w:val="none"/>
        </w:rPr>
      </w:pPr>
      <w:r>
        <w:rPr>
          <w:rFonts w:hint="eastAsia" w:ascii="宋体" w:hAnsi="宋体" w:cs="宋体"/>
          <w:bCs/>
          <w:kern w:val="0"/>
          <w:szCs w:val="21"/>
          <w:highlight w:val="none"/>
        </w:rPr>
        <w:t>承包人向发包人移交工程的期限：</w:t>
      </w:r>
      <w:r>
        <w:rPr>
          <w:rFonts w:hint="eastAsia" w:ascii="宋体" w:hAnsi="宋体" w:cs="宋体"/>
          <w:szCs w:val="21"/>
          <w:highlight w:val="none"/>
          <w:u w:val="single"/>
        </w:rPr>
        <w:t>按照发包人要求执行。</w:t>
      </w:r>
    </w:p>
    <w:p w14:paraId="23C114B8">
      <w:pPr>
        <w:spacing w:line="360" w:lineRule="auto"/>
        <w:ind w:firstLine="420" w:firstLineChars="200"/>
        <w:jc w:val="left"/>
        <w:rPr>
          <w:rFonts w:ascii="宋体" w:hAnsi="宋体" w:cs="宋体"/>
          <w:bCs/>
          <w:sz w:val="24"/>
          <w:szCs w:val="24"/>
          <w:highlight w:val="none"/>
          <w:u w:val="single"/>
        </w:rPr>
      </w:pPr>
      <w:r>
        <w:rPr>
          <w:rFonts w:hint="eastAsia" w:ascii="宋体" w:hAnsi="宋体" w:cs="宋体"/>
          <w:bCs/>
          <w:kern w:val="0"/>
          <w:szCs w:val="21"/>
          <w:highlight w:val="none"/>
        </w:rPr>
        <w:t>发包人未按本合同约定接收全部或部分工程的，违约金的计算方法为：</w:t>
      </w:r>
      <w:r>
        <w:rPr>
          <w:rFonts w:hint="eastAsia" w:ascii="宋体" w:hAnsi="宋体" w:cs="宋体"/>
          <w:szCs w:val="21"/>
          <w:highlight w:val="none"/>
          <w:u w:val="single"/>
        </w:rPr>
        <w:t>双方另行协商。</w:t>
      </w:r>
    </w:p>
    <w:bookmarkEnd w:id="935"/>
    <w:p w14:paraId="4CDAE546">
      <w:pPr>
        <w:spacing w:line="360" w:lineRule="auto"/>
        <w:ind w:firstLine="420" w:firstLineChars="200"/>
        <w:jc w:val="left"/>
        <w:rPr>
          <w:rFonts w:ascii="宋体" w:hAnsi="宋体" w:cs="宋体"/>
          <w:bCs/>
          <w:kern w:val="0"/>
          <w:sz w:val="24"/>
          <w:szCs w:val="24"/>
          <w:highlight w:val="none"/>
        </w:rPr>
      </w:pPr>
      <w:r>
        <w:rPr>
          <w:rFonts w:hint="eastAsia" w:ascii="宋体" w:hAnsi="宋体" w:cs="宋体"/>
          <w:bCs/>
          <w:kern w:val="0"/>
          <w:szCs w:val="21"/>
          <w:highlight w:val="none"/>
        </w:rPr>
        <w:t>承包人未按时移交工程的，违约金的计算方法为：</w:t>
      </w:r>
      <w:r>
        <w:rPr>
          <w:rFonts w:hint="eastAsia" w:ascii="宋体" w:hAnsi="宋体" w:cs="宋体"/>
          <w:szCs w:val="21"/>
          <w:highlight w:val="none"/>
          <w:u w:val="single"/>
        </w:rPr>
        <w:t>由承包人向发包人按合同总造价的2%支付违约金。</w:t>
      </w:r>
      <w:bookmarkEnd w:id="936"/>
    </w:p>
    <w:p w14:paraId="3DA25DED">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13.6 竣工退场</w:t>
      </w:r>
    </w:p>
    <w:p w14:paraId="4473B3B7">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13.6.1 竣工退场</w:t>
      </w:r>
    </w:p>
    <w:p w14:paraId="1C9FABCF">
      <w:pPr>
        <w:spacing w:line="360" w:lineRule="auto"/>
        <w:ind w:firstLine="420" w:firstLineChars="200"/>
        <w:jc w:val="left"/>
        <w:rPr>
          <w:rFonts w:ascii="宋体" w:hAnsi="宋体" w:cs="宋体"/>
          <w:szCs w:val="21"/>
          <w:highlight w:val="none"/>
          <w:u w:val="single"/>
        </w:rPr>
      </w:pPr>
      <w:r>
        <w:rPr>
          <w:rFonts w:hint="eastAsia" w:ascii="宋体" w:hAnsi="宋体" w:cs="宋体"/>
          <w:bCs/>
          <w:szCs w:val="21"/>
          <w:highlight w:val="none"/>
        </w:rPr>
        <w:t>承包人完成竣工退场的期限：</w:t>
      </w:r>
      <w:r>
        <w:rPr>
          <w:rFonts w:hint="eastAsia" w:ascii="宋体" w:hAnsi="宋体" w:cs="宋体"/>
          <w:szCs w:val="21"/>
          <w:highlight w:val="none"/>
          <w:u w:val="single"/>
        </w:rPr>
        <w:t>按照发包人要求执行。</w:t>
      </w:r>
    </w:p>
    <w:p w14:paraId="526728AA">
      <w:pPr>
        <w:pStyle w:val="6"/>
        <w:spacing w:before="120" w:after="120"/>
        <w:rPr>
          <w:rFonts w:ascii="宋体" w:hAnsi="宋体" w:cs="宋体"/>
          <w:bCs/>
          <w:color w:val="auto"/>
          <w:kern w:val="0"/>
          <w:sz w:val="24"/>
          <w:szCs w:val="24"/>
          <w:highlight w:val="none"/>
          <w:u w:val="none"/>
        </w:rPr>
      </w:pPr>
      <w:bookmarkStart w:id="938" w:name="_Toc22712_WPSOffice_Level3"/>
      <w:bookmarkStart w:id="939" w:name="_Toc351203646"/>
      <w:r>
        <w:rPr>
          <w:rFonts w:hint="eastAsia" w:ascii="宋体" w:hAnsi="宋体" w:cs="宋体"/>
          <w:bCs/>
          <w:color w:val="auto"/>
          <w:kern w:val="0"/>
          <w:sz w:val="24"/>
          <w:szCs w:val="24"/>
          <w:highlight w:val="none"/>
          <w:u w:val="none"/>
        </w:rPr>
        <w:t>14. 竣工结算</w:t>
      </w:r>
      <w:bookmarkEnd w:id="938"/>
      <w:bookmarkEnd w:id="939"/>
    </w:p>
    <w:p w14:paraId="4DE143CA">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14.1 竣工结算申请</w:t>
      </w:r>
    </w:p>
    <w:p w14:paraId="47112529">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承包人提交竣工结算申请单的期限：</w:t>
      </w:r>
      <w:r>
        <w:rPr>
          <w:rFonts w:hint="eastAsia" w:ascii="宋体" w:hAnsi="宋体" w:cs="宋体"/>
          <w:szCs w:val="21"/>
          <w:highlight w:val="none"/>
          <w:u w:val="single"/>
        </w:rPr>
        <w:t>按合同付款约定执行</w:t>
      </w:r>
      <w:r>
        <w:rPr>
          <w:rFonts w:hint="eastAsia" w:ascii="宋体" w:hAnsi="宋体" w:cs="宋体"/>
          <w:bCs/>
          <w:szCs w:val="21"/>
          <w:highlight w:val="none"/>
        </w:rPr>
        <w:t>。</w:t>
      </w:r>
    </w:p>
    <w:p w14:paraId="158A367A">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竣工结算申请单应包括的内容：</w:t>
      </w:r>
      <w:r>
        <w:rPr>
          <w:rFonts w:hint="eastAsia" w:ascii="宋体" w:hAnsi="宋体" w:cs="宋体"/>
          <w:szCs w:val="21"/>
          <w:highlight w:val="none"/>
          <w:u w:val="single"/>
        </w:rPr>
        <w:t>按合同付款约定执行</w:t>
      </w:r>
      <w:r>
        <w:rPr>
          <w:rFonts w:hint="eastAsia" w:ascii="宋体" w:hAnsi="宋体" w:cs="宋体"/>
          <w:bCs/>
          <w:szCs w:val="21"/>
          <w:highlight w:val="none"/>
        </w:rPr>
        <w:t>。</w:t>
      </w:r>
    </w:p>
    <w:p w14:paraId="1DF9036B">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14.2 竣工结算审核</w:t>
      </w:r>
    </w:p>
    <w:p w14:paraId="477602D0">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发包人审批竣工付款申请单的期限：</w:t>
      </w:r>
    </w:p>
    <w:p w14:paraId="3E6EE586">
      <w:pPr>
        <w:spacing w:line="360" w:lineRule="auto"/>
        <w:ind w:firstLine="420" w:firstLineChars="200"/>
        <w:jc w:val="left"/>
        <w:rPr>
          <w:rFonts w:ascii="宋体" w:hAnsi="宋体" w:cs="宋体"/>
          <w:szCs w:val="21"/>
          <w:highlight w:val="none"/>
          <w:u w:val="single"/>
        </w:rPr>
      </w:pPr>
      <w:r>
        <w:rPr>
          <w:rFonts w:hint="eastAsia" w:ascii="宋体" w:hAnsi="宋体" w:cs="宋体"/>
          <w:szCs w:val="21"/>
          <w:highlight w:val="none"/>
          <w:u w:val="single"/>
        </w:rPr>
        <w:t>结算审查期限：工程竣工经验收合格后，承包人应在15日内将完整的结算资料（含单项工程竣工图、设计变更单、施工现场签证单、材料设备认质认价单等）报送监理单位；监理单位应在10日内对所送结算资料的完整性、正确性进行审核，并对造价进行初审后报送发包人；发包人在收到结算资料后60日内委托审计机构审定盖章或提出审核意见。竣工结算经发包方委托审计机构审计无误且竣工验收合格后，支付除质量保证金外的工程款。</w:t>
      </w:r>
    </w:p>
    <w:p w14:paraId="6F330E72">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14.4 最终结清</w:t>
      </w:r>
    </w:p>
    <w:p w14:paraId="03741DA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14.4.1 最终结清申请单</w:t>
      </w:r>
    </w:p>
    <w:p w14:paraId="2771B31C">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承包人提交最终结清申请单的份数：</w:t>
      </w:r>
      <w:r>
        <w:rPr>
          <w:rFonts w:hint="eastAsia" w:ascii="宋体" w:hAnsi="宋体" w:cs="宋体"/>
          <w:bCs/>
          <w:szCs w:val="21"/>
          <w:highlight w:val="none"/>
          <w:u w:val="single"/>
        </w:rPr>
        <w:t>陆份</w:t>
      </w:r>
      <w:r>
        <w:rPr>
          <w:rFonts w:hint="eastAsia" w:ascii="宋体" w:hAnsi="宋体" w:cs="宋体"/>
          <w:bCs/>
          <w:szCs w:val="21"/>
          <w:highlight w:val="none"/>
        </w:rPr>
        <w:t>。</w:t>
      </w:r>
    </w:p>
    <w:p w14:paraId="7ADB89BA">
      <w:pPr>
        <w:spacing w:line="360" w:lineRule="auto"/>
        <w:ind w:firstLine="420" w:firstLineChars="200"/>
        <w:jc w:val="left"/>
        <w:rPr>
          <w:rFonts w:ascii="宋体" w:hAnsi="宋体" w:cs="宋体"/>
          <w:bCs/>
          <w:szCs w:val="21"/>
          <w:highlight w:val="none"/>
        </w:rPr>
      </w:pPr>
      <w:r>
        <w:rPr>
          <w:rFonts w:hint="eastAsia" w:ascii="宋体" w:hAnsi="宋体" w:cs="宋体"/>
          <w:bCs/>
          <w:kern w:val="0"/>
          <w:szCs w:val="21"/>
          <w:highlight w:val="none"/>
        </w:rPr>
        <w:t>承包人提交最终结算申请单的期限：</w:t>
      </w:r>
      <w:r>
        <w:rPr>
          <w:rFonts w:hint="eastAsia" w:ascii="宋体" w:hAnsi="宋体" w:cs="宋体"/>
          <w:bCs/>
          <w:szCs w:val="21"/>
          <w:highlight w:val="none"/>
          <w:u w:val="single"/>
        </w:rPr>
        <w:t xml:space="preserve">执行通用条款 </w:t>
      </w:r>
      <w:r>
        <w:rPr>
          <w:rFonts w:hint="eastAsia" w:ascii="宋体" w:hAnsi="宋体" w:cs="宋体"/>
          <w:bCs/>
          <w:szCs w:val="21"/>
          <w:highlight w:val="none"/>
        </w:rPr>
        <w:t xml:space="preserve">。 </w:t>
      </w:r>
    </w:p>
    <w:p w14:paraId="53720A1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14.4.2 最终结清证书和支付</w:t>
      </w:r>
    </w:p>
    <w:p w14:paraId="77193A0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（1）发包人完成最终结清申请单的审批并颁发最终结清证书的期限：</w:t>
      </w:r>
      <w:r>
        <w:rPr>
          <w:rFonts w:hint="eastAsia" w:ascii="宋体" w:hAnsi="宋体" w:cs="宋体"/>
          <w:szCs w:val="21"/>
          <w:highlight w:val="none"/>
          <w:u w:val="single"/>
        </w:rPr>
        <w:t>执行通用条款</w:t>
      </w:r>
      <w:r>
        <w:rPr>
          <w:rFonts w:hint="eastAsia" w:ascii="宋体" w:hAnsi="宋体" w:cs="宋体"/>
          <w:bCs/>
          <w:szCs w:val="21"/>
          <w:highlight w:val="none"/>
        </w:rPr>
        <w:t>。</w:t>
      </w:r>
    </w:p>
    <w:p w14:paraId="08BB25A5">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（2）发包人完成支付的期限：</w:t>
      </w:r>
      <w:r>
        <w:rPr>
          <w:rFonts w:hint="eastAsia" w:ascii="宋体" w:hAnsi="宋体" w:cs="宋体"/>
          <w:szCs w:val="21"/>
          <w:highlight w:val="none"/>
          <w:u w:val="single"/>
        </w:rPr>
        <w:t>执行通用条款</w:t>
      </w:r>
      <w:r>
        <w:rPr>
          <w:rFonts w:hint="eastAsia" w:ascii="宋体" w:hAnsi="宋体" w:cs="宋体"/>
          <w:bCs/>
          <w:szCs w:val="21"/>
          <w:highlight w:val="none"/>
        </w:rPr>
        <w:t>。</w:t>
      </w:r>
    </w:p>
    <w:bookmarkEnd w:id="925"/>
    <w:bookmarkEnd w:id="926"/>
    <w:bookmarkEnd w:id="927"/>
    <w:bookmarkEnd w:id="928"/>
    <w:bookmarkEnd w:id="929"/>
    <w:bookmarkEnd w:id="930"/>
    <w:bookmarkEnd w:id="931"/>
    <w:bookmarkEnd w:id="937"/>
    <w:p w14:paraId="73628699">
      <w:pPr>
        <w:pStyle w:val="6"/>
        <w:spacing w:before="120" w:after="120"/>
        <w:rPr>
          <w:rFonts w:ascii="宋体" w:hAnsi="宋体" w:cs="宋体"/>
          <w:bCs/>
          <w:color w:val="auto"/>
          <w:kern w:val="0"/>
          <w:sz w:val="24"/>
          <w:szCs w:val="24"/>
          <w:highlight w:val="none"/>
          <w:u w:val="none"/>
        </w:rPr>
      </w:pPr>
      <w:bookmarkStart w:id="940" w:name="_Toc20272_WPSOffice_Level3"/>
      <w:bookmarkStart w:id="941" w:name="_Toc351203647"/>
      <w:bookmarkStart w:id="942" w:name="_Toc267251483"/>
      <w:bookmarkStart w:id="943" w:name="_Toc267251482"/>
      <w:bookmarkStart w:id="944" w:name="_Toc267251484"/>
      <w:bookmarkStart w:id="945" w:name="_Toc267251485"/>
      <w:bookmarkStart w:id="946" w:name="_Toc267251486"/>
      <w:bookmarkStart w:id="947" w:name="_Toc267251489"/>
      <w:bookmarkStart w:id="948" w:name="_Toc267251490"/>
      <w:bookmarkStart w:id="949" w:name="_Toc267251488"/>
      <w:bookmarkStart w:id="950" w:name="_Toc267251498"/>
      <w:bookmarkStart w:id="951" w:name="_Toc267251494"/>
      <w:bookmarkStart w:id="952" w:name="_Toc267251491"/>
      <w:bookmarkStart w:id="953" w:name="_Toc267251501"/>
      <w:bookmarkStart w:id="954" w:name="_Toc267251502"/>
      <w:bookmarkStart w:id="955" w:name="_Toc267251495"/>
      <w:bookmarkStart w:id="956" w:name="_Toc267251499"/>
      <w:bookmarkStart w:id="957" w:name="_Toc267251496"/>
      <w:bookmarkStart w:id="958" w:name="_Toc267251497"/>
      <w:bookmarkStart w:id="959" w:name="_Toc267251503"/>
      <w:bookmarkStart w:id="960" w:name="_Toc267251493"/>
      <w:bookmarkStart w:id="961" w:name="_Toc267251492"/>
      <w:bookmarkStart w:id="962" w:name="_Toc267251504"/>
      <w:bookmarkStart w:id="963" w:name="_Toc267251506"/>
      <w:bookmarkStart w:id="964" w:name="_Toc267251507"/>
      <w:bookmarkStart w:id="965" w:name="_Toc267251508"/>
      <w:bookmarkStart w:id="966" w:name="_Toc267251509"/>
      <w:bookmarkStart w:id="967" w:name="_Toc267251514"/>
      <w:bookmarkStart w:id="968" w:name="_Toc267251515"/>
      <w:bookmarkStart w:id="969" w:name="_Toc267251510"/>
      <w:bookmarkStart w:id="970" w:name="_Toc267251511"/>
      <w:bookmarkStart w:id="971" w:name="_Toc267251513"/>
      <w:r>
        <w:rPr>
          <w:rFonts w:hint="eastAsia" w:ascii="宋体" w:hAnsi="宋体" w:cs="宋体"/>
          <w:bCs/>
          <w:color w:val="auto"/>
          <w:kern w:val="0"/>
          <w:sz w:val="24"/>
          <w:szCs w:val="24"/>
          <w:highlight w:val="none"/>
          <w:u w:val="none"/>
        </w:rPr>
        <w:t>15. 缺陷责任期与保修</w:t>
      </w:r>
      <w:bookmarkEnd w:id="940"/>
      <w:bookmarkEnd w:id="941"/>
    </w:p>
    <w:p w14:paraId="258C1234">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15.2缺陷责任期</w:t>
      </w:r>
      <w:bookmarkEnd w:id="942"/>
    </w:p>
    <w:p w14:paraId="7781D71A">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缺陷责任期的具体期限：</w:t>
      </w:r>
      <w:r>
        <w:rPr>
          <w:rFonts w:hint="eastAsia" w:ascii="宋体" w:hAnsi="宋体" w:cs="宋体"/>
          <w:bCs/>
          <w:szCs w:val="21"/>
          <w:highlight w:val="none"/>
          <w:u w:val="thick"/>
        </w:rPr>
        <w:t>执行通用条款。</w:t>
      </w:r>
    </w:p>
    <w:p w14:paraId="3AB7AC9E">
      <w:pPr>
        <w:spacing w:line="360" w:lineRule="auto"/>
        <w:ind w:firstLine="420" w:firstLineChars="200"/>
        <w:jc w:val="left"/>
        <w:rPr>
          <w:rFonts w:ascii="宋体" w:hAnsi="宋体" w:cs="宋体"/>
          <w:szCs w:val="21"/>
          <w:highlight w:val="none"/>
          <w:u w:val="single"/>
        </w:rPr>
      </w:pPr>
      <w:r>
        <w:rPr>
          <w:rFonts w:hint="eastAsia" w:ascii="宋体" w:hAnsi="宋体" w:cs="宋体"/>
          <w:bCs/>
          <w:szCs w:val="21"/>
          <w:highlight w:val="none"/>
        </w:rPr>
        <w:t>15.3 质量保证金：</w:t>
      </w:r>
      <w:bookmarkStart w:id="972" w:name="_Toc11416"/>
      <w:bookmarkStart w:id="973" w:name="_Toc2965"/>
      <w:bookmarkStart w:id="974" w:name="_Toc12499"/>
      <w:bookmarkStart w:id="975" w:name="_Toc266"/>
      <w:bookmarkStart w:id="976" w:name="_Toc22988"/>
      <w:bookmarkStart w:id="977" w:name="_Toc26194"/>
      <w:bookmarkStart w:id="978" w:name="_Toc3592"/>
      <w:r>
        <w:rPr>
          <w:rFonts w:hint="eastAsia" w:ascii="宋体" w:hAnsi="宋体" w:cs="宋体"/>
          <w:szCs w:val="21"/>
          <w:highlight w:val="none"/>
          <w:u w:val="single"/>
        </w:rPr>
        <w:t xml:space="preserve">   /   。</w:t>
      </w:r>
    </w:p>
    <w:p w14:paraId="4C315CE6">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15.3.1 承包人提供质量保证金的方式</w:t>
      </w:r>
      <w:bookmarkEnd w:id="972"/>
      <w:bookmarkEnd w:id="973"/>
      <w:bookmarkEnd w:id="974"/>
      <w:bookmarkEnd w:id="975"/>
      <w:bookmarkEnd w:id="976"/>
      <w:bookmarkEnd w:id="977"/>
      <w:bookmarkEnd w:id="978"/>
    </w:p>
    <w:p w14:paraId="37E330A4">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质量保证金采用以下第</w:t>
      </w:r>
      <w:r>
        <w:rPr>
          <w:rFonts w:hint="eastAsia" w:ascii="宋体" w:hAnsi="宋体" w:cs="宋体"/>
          <w:bCs/>
          <w:szCs w:val="21"/>
          <w:highlight w:val="none"/>
          <w:u w:val="single"/>
        </w:rPr>
        <w:t xml:space="preserve">  （3）   </w:t>
      </w:r>
      <w:r>
        <w:rPr>
          <w:rFonts w:hint="eastAsia" w:ascii="宋体" w:hAnsi="宋体" w:cs="宋体"/>
          <w:bCs/>
          <w:szCs w:val="21"/>
          <w:highlight w:val="none"/>
        </w:rPr>
        <w:t>种方式：</w:t>
      </w:r>
    </w:p>
    <w:p w14:paraId="4897FE09">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（1）质量保证金保函，保证金额为：</w:t>
      </w:r>
      <w:r>
        <w:rPr>
          <w:rFonts w:hint="eastAsia" w:ascii="宋体" w:hAnsi="宋体" w:cs="宋体"/>
          <w:bCs/>
          <w:kern w:val="0"/>
          <w:szCs w:val="21"/>
          <w:highlight w:val="none"/>
          <w:u w:val="single"/>
        </w:rPr>
        <w:t xml:space="preserve">     /    </w:t>
      </w:r>
      <w:r>
        <w:rPr>
          <w:rFonts w:hint="eastAsia" w:ascii="宋体" w:hAnsi="宋体" w:cs="宋体"/>
          <w:bCs/>
          <w:kern w:val="0"/>
          <w:szCs w:val="21"/>
          <w:highlight w:val="none"/>
        </w:rPr>
        <w:t xml:space="preserve">； </w:t>
      </w:r>
    </w:p>
    <w:p w14:paraId="2850DC39">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（2）</w:t>
      </w:r>
      <w:r>
        <w:rPr>
          <w:rFonts w:hint="eastAsia" w:ascii="宋体" w:hAnsi="宋体" w:cs="宋体"/>
          <w:szCs w:val="21"/>
          <w:highlight w:val="none"/>
          <w:u w:val="single"/>
        </w:rPr>
        <w:t>工程审计结算金额的3</w:t>
      </w:r>
      <w:r>
        <w:rPr>
          <w:rFonts w:hint="eastAsia" w:ascii="宋体" w:hAnsi="宋体" w:cs="宋体"/>
          <w:bCs/>
          <w:kern w:val="0"/>
          <w:szCs w:val="21"/>
          <w:highlight w:val="none"/>
          <w:u w:val="single"/>
        </w:rPr>
        <w:t>%的工程款计取</w:t>
      </w:r>
      <w:r>
        <w:rPr>
          <w:rFonts w:hint="eastAsia" w:ascii="宋体" w:hAnsi="宋体" w:cs="宋体"/>
          <w:bCs/>
          <w:kern w:val="0"/>
          <w:szCs w:val="21"/>
          <w:highlight w:val="none"/>
        </w:rPr>
        <w:t>；</w:t>
      </w:r>
    </w:p>
    <w:p w14:paraId="6354D970">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（3）其他方式:</w:t>
      </w:r>
      <w:r>
        <w:rPr>
          <w:rFonts w:hint="eastAsia" w:ascii="宋体" w:hAnsi="宋体" w:cs="宋体"/>
          <w:bCs/>
          <w:kern w:val="0"/>
          <w:szCs w:val="21"/>
          <w:highlight w:val="none"/>
          <w:u w:val="single"/>
        </w:rPr>
        <w:t xml:space="preserve">        /        </w:t>
      </w:r>
      <w:r>
        <w:rPr>
          <w:rFonts w:hint="eastAsia" w:ascii="宋体" w:hAnsi="宋体" w:cs="宋体"/>
          <w:bCs/>
          <w:kern w:val="0"/>
          <w:szCs w:val="21"/>
          <w:highlight w:val="none"/>
        </w:rPr>
        <w:t>。</w:t>
      </w:r>
    </w:p>
    <w:p w14:paraId="46F9BC0A">
      <w:pPr>
        <w:spacing w:line="360" w:lineRule="auto"/>
        <w:ind w:firstLine="420" w:firstLineChars="200"/>
        <w:jc w:val="left"/>
        <w:outlineLvl w:val="0"/>
        <w:rPr>
          <w:rFonts w:ascii="宋体" w:hAnsi="宋体" w:cs="宋体"/>
          <w:bCs/>
          <w:szCs w:val="21"/>
          <w:highlight w:val="none"/>
        </w:rPr>
      </w:pPr>
      <w:bookmarkStart w:id="979" w:name="_Toc9425"/>
      <w:bookmarkStart w:id="980" w:name="_Toc19612"/>
      <w:bookmarkStart w:id="981" w:name="_Toc9725"/>
      <w:bookmarkStart w:id="982" w:name="_Toc1666"/>
      <w:bookmarkStart w:id="983" w:name="_Toc31088"/>
      <w:bookmarkStart w:id="984" w:name="_Toc5295"/>
      <w:bookmarkStart w:id="985" w:name="_Toc18460"/>
      <w:bookmarkStart w:id="986" w:name="_Toc22509"/>
      <w:bookmarkStart w:id="987" w:name="_Toc29307"/>
      <w:bookmarkStart w:id="988" w:name="_Toc29340"/>
      <w:bookmarkStart w:id="989" w:name="_Toc26688"/>
      <w:r>
        <w:rPr>
          <w:rFonts w:hint="eastAsia" w:ascii="宋体" w:hAnsi="宋体" w:cs="宋体"/>
          <w:bCs/>
          <w:szCs w:val="21"/>
          <w:highlight w:val="none"/>
        </w:rPr>
        <w:t>15.3.2 质量保证金的扣留</w:t>
      </w:r>
      <w:bookmarkEnd w:id="979"/>
      <w:bookmarkEnd w:id="980"/>
      <w:bookmarkEnd w:id="981"/>
      <w:bookmarkEnd w:id="982"/>
      <w:bookmarkEnd w:id="983"/>
      <w:bookmarkEnd w:id="984"/>
      <w:bookmarkEnd w:id="985"/>
      <w:bookmarkEnd w:id="986"/>
      <w:bookmarkEnd w:id="987"/>
      <w:bookmarkEnd w:id="988"/>
      <w:bookmarkEnd w:id="989"/>
      <w:r>
        <w:rPr>
          <w:rFonts w:hint="eastAsia" w:ascii="宋体" w:hAnsi="宋体" w:cs="宋体"/>
          <w:bCs/>
          <w:szCs w:val="21"/>
          <w:highlight w:val="none"/>
        </w:rPr>
        <w:t xml:space="preserve"> </w:t>
      </w:r>
    </w:p>
    <w:p w14:paraId="494C7C3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质量保证金的扣留采取以下第</w:t>
      </w:r>
      <w:r>
        <w:rPr>
          <w:rFonts w:hint="eastAsia" w:ascii="宋体" w:hAnsi="宋体" w:cs="宋体"/>
          <w:bCs/>
          <w:szCs w:val="21"/>
          <w:highlight w:val="none"/>
          <w:u w:val="single"/>
        </w:rPr>
        <w:t xml:space="preserve"> （3） </w:t>
      </w:r>
      <w:r>
        <w:rPr>
          <w:rFonts w:hint="eastAsia" w:ascii="宋体" w:hAnsi="宋体" w:cs="宋体"/>
          <w:bCs/>
          <w:szCs w:val="21"/>
          <w:highlight w:val="none"/>
        </w:rPr>
        <w:t>种方式：</w:t>
      </w:r>
    </w:p>
    <w:p w14:paraId="512E111D">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（1）在支付工程进度款时逐次扣留，在此情形下，质量保证金的计算基数不包括预付款的支付、扣回以及价格调整的金额；</w:t>
      </w:r>
    </w:p>
    <w:p w14:paraId="1B845694">
      <w:pPr>
        <w:autoSpaceDE w:val="0"/>
        <w:autoSpaceDN w:val="0"/>
        <w:adjustRightInd w:val="0"/>
        <w:spacing w:line="360" w:lineRule="auto"/>
        <w:ind w:firstLine="420" w:firstLineChars="200"/>
        <w:jc w:val="left"/>
        <w:outlineLvl w:val="0"/>
        <w:rPr>
          <w:rFonts w:ascii="宋体" w:hAnsi="宋体" w:cs="宋体"/>
          <w:bCs/>
          <w:kern w:val="0"/>
          <w:szCs w:val="21"/>
          <w:highlight w:val="none"/>
        </w:rPr>
      </w:pPr>
      <w:bookmarkStart w:id="990" w:name="_Toc9850"/>
      <w:bookmarkStart w:id="991" w:name="_Toc24373"/>
      <w:bookmarkStart w:id="992" w:name="_Toc1932"/>
      <w:bookmarkStart w:id="993" w:name="_Toc3839"/>
      <w:bookmarkStart w:id="994" w:name="_Toc11805"/>
      <w:bookmarkStart w:id="995" w:name="_Toc22744"/>
      <w:bookmarkStart w:id="996" w:name="_Toc18121"/>
      <w:bookmarkStart w:id="997" w:name="_Toc250"/>
      <w:bookmarkStart w:id="998" w:name="_Toc23865"/>
      <w:bookmarkStart w:id="999" w:name="_Toc6536"/>
      <w:bookmarkStart w:id="1000" w:name="_Toc31929"/>
      <w:r>
        <w:rPr>
          <w:rFonts w:hint="eastAsia" w:ascii="宋体" w:hAnsi="宋体" w:cs="宋体"/>
          <w:bCs/>
          <w:kern w:val="0"/>
          <w:szCs w:val="21"/>
          <w:highlight w:val="none"/>
        </w:rPr>
        <w:t>（2）工程竣工结算时一次性扣留质量保证金；</w:t>
      </w:r>
      <w:bookmarkEnd w:id="990"/>
      <w:bookmarkEnd w:id="991"/>
      <w:bookmarkEnd w:id="992"/>
      <w:bookmarkEnd w:id="993"/>
      <w:bookmarkEnd w:id="994"/>
      <w:bookmarkEnd w:id="995"/>
      <w:bookmarkEnd w:id="996"/>
      <w:bookmarkEnd w:id="997"/>
      <w:bookmarkEnd w:id="998"/>
      <w:bookmarkEnd w:id="999"/>
      <w:bookmarkEnd w:id="1000"/>
    </w:p>
    <w:p w14:paraId="1EA65E88">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（3）其他扣留方式:</w:t>
      </w:r>
      <w:r>
        <w:rPr>
          <w:rFonts w:hint="eastAsia" w:ascii="宋体" w:hAnsi="宋体" w:cs="宋体"/>
          <w:b/>
          <w:szCs w:val="21"/>
          <w:highlight w:val="none"/>
          <w:u w:val="single"/>
        </w:rPr>
        <w:t xml:space="preserve">   </w:t>
      </w:r>
      <w:r>
        <w:rPr>
          <w:rFonts w:hint="eastAsia" w:ascii="宋体" w:hAnsi="宋体" w:cs="宋体"/>
          <w:bCs/>
          <w:szCs w:val="21"/>
          <w:highlight w:val="none"/>
          <w:u w:val="single"/>
        </w:rPr>
        <w:t xml:space="preserve">无  </w:t>
      </w:r>
      <w:r>
        <w:rPr>
          <w:rFonts w:hint="eastAsia" w:ascii="宋体" w:hAnsi="宋体" w:cs="宋体"/>
          <w:b/>
          <w:szCs w:val="21"/>
          <w:highlight w:val="none"/>
          <w:u w:val="single"/>
        </w:rPr>
        <w:t xml:space="preserve">  </w:t>
      </w:r>
      <w:r>
        <w:rPr>
          <w:rFonts w:hint="eastAsia" w:ascii="宋体" w:hAnsi="宋体" w:cs="宋体"/>
          <w:bCs/>
          <w:kern w:val="0"/>
          <w:szCs w:val="21"/>
          <w:highlight w:val="none"/>
        </w:rPr>
        <w:t>。</w:t>
      </w:r>
    </w:p>
    <w:p w14:paraId="136B69C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关于质量保证金的补充约定：</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w:t>
      </w:r>
    </w:p>
    <w:bookmarkEnd w:id="943"/>
    <w:bookmarkEnd w:id="944"/>
    <w:p w14:paraId="14FE5BB5">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15.4保修</w:t>
      </w:r>
    </w:p>
    <w:bookmarkEnd w:id="945"/>
    <w:p w14:paraId="7117EDCD">
      <w:pPr>
        <w:spacing w:line="360" w:lineRule="auto"/>
        <w:ind w:firstLine="409" w:firstLineChars="195"/>
        <w:jc w:val="left"/>
        <w:rPr>
          <w:rFonts w:ascii="宋体" w:hAnsi="宋体" w:cs="宋体"/>
          <w:bCs/>
          <w:szCs w:val="21"/>
          <w:highlight w:val="none"/>
        </w:rPr>
      </w:pPr>
      <w:r>
        <w:rPr>
          <w:rFonts w:hint="eastAsia" w:ascii="宋体" w:hAnsi="宋体" w:cs="宋体"/>
          <w:bCs/>
          <w:szCs w:val="21"/>
          <w:highlight w:val="none"/>
        </w:rPr>
        <w:t>15.4.1 保修责任</w:t>
      </w:r>
    </w:p>
    <w:p w14:paraId="7788904B">
      <w:pPr>
        <w:spacing w:line="360" w:lineRule="auto"/>
        <w:ind w:firstLine="420" w:firstLineChars="200"/>
        <w:jc w:val="left"/>
        <w:rPr>
          <w:rFonts w:ascii="宋体" w:hAnsi="宋体" w:cs="宋体"/>
          <w:bCs/>
          <w:kern w:val="0"/>
          <w:szCs w:val="21"/>
          <w:highlight w:val="none"/>
        </w:rPr>
      </w:pPr>
      <w:r>
        <w:rPr>
          <w:rFonts w:hint="eastAsia" w:ascii="宋体" w:hAnsi="宋体" w:cs="宋体"/>
          <w:bCs/>
          <w:szCs w:val="21"/>
          <w:highlight w:val="none"/>
        </w:rPr>
        <w:t>工程保修期为：</w:t>
      </w:r>
      <w:r>
        <w:rPr>
          <w:rFonts w:hint="eastAsia" w:ascii="宋体" w:hAnsi="宋体" w:cs="宋体"/>
          <w:szCs w:val="21"/>
          <w:highlight w:val="none"/>
          <w:u w:val="single"/>
        </w:rPr>
        <w:t>自工程竣工验收合格之日进入免费保修期，免费保修内容为由承包人负责的本工程全部质量问题</w:t>
      </w:r>
      <w:r>
        <w:rPr>
          <w:rFonts w:hint="eastAsia" w:ascii="宋体" w:hAnsi="宋体" w:cs="宋体"/>
          <w:bCs/>
          <w:kern w:val="0"/>
          <w:szCs w:val="21"/>
          <w:highlight w:val="none"/>
        </w:rPr>
        <w:t>。</w:t>
      </w:r>
    </w:p>
    <w:p w14:paraId="0B8240B8">
      <w:pPr>
        <w:spacing w:line="360" w:lineRule="auto"/>
        <w:ind w:firstLine="409" w:firstLineChars="195"/>
        <w:jc w:val="left"/>
        <w:rPr>
          <w:rFonts w:ascii="宋体" w:hAnsi="宋体" w:cs="宋体"/>
          <w:bCs/>
          <w:szCs w:val="21"/>
          <w:highlight w:val="none"/>
        </w:rPr>
      </w:pPr>
      <w:r>
        <w:rPr>
          <w:rFonts w:hint="eastAsia" w:ascii="宋体" w:hAnsi="宋体" w:cs="宋体"/>
          <w:bCs/>
          <w:szCs w:val="21"/>
          <w:highlight w:val="none"/>
        </w:rPr>
        <w:t>15.4.3 修复通知</w:t>
      </w:r>
    </w:p>
    <w:p w14:paraId="773FA940">
      <w:pPr>
        <w:spacing w:line="360" w:lineRule="auto"/>
        <w:ind w:firstLine="409" w:firstLineChars="195"/>
        <w:jc w:val="left"/>
        <w:rPr>
          <w:rFonts w:ascii="宋体" w:hAnsi="宋体" w:cs="宋体"/>
          <w:bCs/>
          <w:szCs w:val="21"/>
          <w:highlight w:val="none"/>
        </w:rPr>
      </w:pPr>
      <w:r>
        <w:rPr>
          <w:rFonts w:hint="eastAsia" w:ascii="宋体" w:hAnsi="宋体" w:cs="宋体"/>
          <w:bCs/>
          <w:szCs w:val="21"/>
          <w:highlight w:val="none"/>
        </w:rPr>
        <w:t>承包人收到保修通知并到达工程现场的合理时间：响应时间为正常工作日二小时内答复，十二小时内到现场处理。节假日及法定休息日六小时内答复，二十四小时内到现场处理。</w:t>
      </w:r>
    </w:p>
    <w:bookmarkEnd w:id="946"/>
    <w:bookmarkEnd w:id="947"/>
    <w:bookmarkEnd w:id="948"/>
    <w:bookmarkEnd w:id="949"/>
    <w:p w14:paraId="4B25F7AE">
      <w:pPr>
        <w:pStyle w:val="6"/>
        <w:spacing w:before="120" w:after="120"/>
        <w:rPr>
          <w:rFonts w:ascii="宋体" w:hAnsi="宋体" w:cs="宋体"/>
          <w:bCs/>
          <w:color w:val="auto"/>
          <w:kern w:val="0"/>
          <w:sz w:val="24"/>
          <w:szCs w:val="24"/>
          <w:highlight w:val="none"/>
          <w:u w:val="none"/>
        </w:rPr>
      </w:pPr>
      <w:bookmarkStart w:id="1001" w:name="_Toc351203648"/>
      <w:bookmarkStart w:id="1002" w:name="_Toc22702_WPSOffice_Level3"/>
      <w:bookmarkStart w:id="1003" w:name="_Toc280868717"/>
      <w:bookmarkStart w:id="1004" w:name="_Toc280868718"/>
      <w:r>
        <w:rPr>
          <w:rFonts w:hint="eastAsia" w:ascii="宋体" w:hAnsi="宋体" w:cs="宋体"/>
          <w:bCs/>
          <w:color w:val="auto"/>
          <w:kern w:val="0"/>
          <w:sz w:val="24"/>
          <w:szCs w:val="24"/>
          <w:highlight w:val="none"/>
          <w:u w:val="none"/>
        </w:rPr>
        <w:t>16. 违约</w:t>
      </w:r>
      <w:bookmarkEnd w:id="1001"/>
      <w:bookmarkEnd w:id="1002"/>
    </w:p>
    <w:p w14:paraId="694A691D">
      <w:pPr>
        <w:spacing w:line="360" w:lineRule="auto"/>
        <w:ind w:firstLine="409" w:firstLineChars="195"/>
        <w:jc w:val="left"/>
        <w:rPr>
          <w:rFonts w:ascii="宋体" w:hAnsi="宋体" w:cs="宋体"/>
          <w:bCs/>
          <w:szCs w:val="21"/>
          <w:highlight w:val="none"/>
        </w:rPr>
      </w:pPr>
      <w:r>
        <w:rPr>
          <w:rFonts w:hint="eastAsia" w:ascii="宋体" w:hAnsi="宋体" w:cs="宋体"/>
          <w:bCs/>
          <w:szCs w:val="21"/>
          <w:highlight w:val="none"/>
        </w:rPr>
        <w:t>16.1 发包人违约</w:t>
      </w:r>
    </w:p>
    <w:p w14:paraId="0D03941E">
      <w:pPr>
        <w:spacing w:line="360" w:lineRule="auto"/>
        <w:ind w:firstLine="409" w:firstLineChars="195"/>
        <w:jc w:val="left"/>
        <w:rPr>
          <w:rFonts w:ascii="宋体" w:hAnsi="宋体" w:cs="宋体"/>
          <w:bCs/>
          <w:szCs w:val="21"/>
          <w:highlight w:val="none"/>
        </w:rPr>
      </w:pPr>
      <w:r>
        <w:rPr>
          <w:rFonts w:hint="eastAsia" w:ascii="宋体" w:hAnsi="宋体" w:cs="宋体"/>
          <w:bCs/>
          <w:szCs w:val="21"/>
          <w:highlight w:val="none"/>
        </w:rPr>
        <w:t>16.1.1发包人违约的情形</w:t>
      </w:r>
    </w:p>
    <w:p w14:paraId="1DA68E59">
      <w:pPr>
        <w:spacing w:line="360" w:lineRule="auto"/>
        <w:ind w:firstLine="409" w:firstLineChars="195"/>
        <w:jc w:val="left"/>
        <w:rPr>
          <w:rFonts w:ascii="宋体" w:hAnsi="宋体" w:cs="宋体"/>
          <w:bCs/>
          <w:kern w:val="0"/>
          <w:szCs w:val="21"/>
          <w:highlight w:val="none"/>
        </w:rPr>
      </w:pPr>
      <w:r>
        <w:rPr>
          <w:rFonts w:hint="eastAsia" w:ascii="宋体" w:hAnsi="宋体" w:cs="宋体"/>
          <w:bCs/>
          <w:szCs w:val="21"/>
          <w:highlight w:val="none"/>
        </w:rPr>
        <w:t>发包人违约的其</w:t>
      </w:r>
      <w:r>
        <w:rPr>
          <w:rFonts w:hint="eastAsia" w:ascii="宋体" w:hAnsi="宋体" w:cs="宋体"/>
          <w:bCs/>
          <w:kern w:val="0"/>
          <w:szCs w:val="21"/>
          <w:highlight w:val="none"/>
        </w:rPr>
        <w:t>他情形：</w:t>
      </w:r>
      <w:r>
        <w:rPr>
          <w:rFonts w:hint="eastAsia" w:ascii="宋体" w:hAnsi="宋体" w:cs="宋体"/>
          <w:szCs w:val="21"/>
          <w:highlight w:val="none"/>
          <w:u w:val="single"/>
        </w:rPr>
        <w:t>双方约定</w:t>
      </w:r>
      <w:r>
        <w:rPr>
          <w:rFonts w:hint="eastAsia" w:ascii="宋体" w:hAnsi="宋体" w:cs="宋体"/>
          <w:bCs/>
          <w:kern w:val="0"/>
          <w:szCs w:val="21"/>
          <w:highlight w:val="none"/>
        </w:rPr>
        <w:t>。</w:t>
      </w:r>
    </w:p>
    <w:p w14:paraId="3B8AABF8">
      <w:pPr>
        <w:spacing w:line="360" w:lineRule="auto"/>
        <w:ind w:left="1050" w:hanging="1050" w:hangingChars="500"/>
        <w:jc w:val="left"/>
        <w:rPr>
          <w:rFonts w:ascii="宋体" w:hAnsi="宋体" w:cs="宋体"/>
          <w:bCs/>
          <w:kern w:val="0"/>
          <w:szCs w:val="21"/>
          <w:highlight w:val="none"/>
        </w:rPr>
      </w:pPr>
      <w:r>
        <w:rPr>
          <w:rFonts w:hint="eastAsia" w:ascii="宋体" w:hAnsi="宋体" w:cs="宋体"/>
          <w:bCs/>
          <w:kern w:val="0"/>
          <w:szCs w:val="21"/>
          <w:highlight w:val="none"/>
        </w:rPr>
        <w:t xml:space="preserve">    16.1.2 发包人违约的责任</w:t>
      </w:r>
    </w:p>
    <w:p w14:paraId="5735F9D4">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发包人违约责任的承担方式和计算方法：</w:t>
      </w:r>
    </w:p>
    <w:p w14:paraId="50F1225B">
      <w:pPr>
        <w:spacing w:line="360" w:lineRule="auto"/>
        <w:ind w:firstLine="420" w:firstLineChars="200"/>
        <w:jc w:val="left"/>
        <w:rPr>
          <w:rFonts w:ascii="宋体" w:hAnsi="宋体" w:cs="宋体"/>
          <w:bCs/>
          <w:kern w:val="0"/>
          <w:szCs w:val="21"/>
          <w:highlight w:val="none"/>
          <w:u w:val="single"/>
        </w:rPr>
      </w:pPr>
      <w:r>
        <w:rPr>
          <w:rFonts w:hint="eastAsia" w:ascii="宋体" w:hAnsi="宋体" w:cs="宋体"/>
          <w:bCs/>
          <w:kern w:val="0"/>
          <w:szCs w:val="21"/>
          <w:highlight w:val="none"/>
        </w:rPr>
        <w:t>（1）因发包人原因未能在计划开工日期前7天内下达开工通知的违约责任：</w:t>
      </w:r>
      <w:r>
        <w:rPr>
          <w:rFonts w:hint="eastAsia" w:ascii="宋体" w:hAnsi="宋体" w:cs="宋体"/>
          <w:szCs w:val="21"/>
          <w:highlight w:val="none"/>
          <w:u w:val="single"/>
        </w:rPr>
        <w:t>顺延工期</w:t>
      </w:r>
      <w:r>
        <w:rPr>
          <w:rFonts w:hint="eastAsia" w:ascii="宋体" w:hAnsi="宋体" w:cs="宋体"/>
          <w:bCs/>
          <w:kern w:val="0"/>
          <w:szCs w:val="21"/>
          <w:highlight w:val="none"/>
        </w:rPr>
        <w:t>。</w:t>
      </w:r>
    </w:p>
    <w:p w14:paraId="1A2981BA">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（2）因发包人原因未能按合同约定支付合同价款的违约责任：</w:t>
      </w:r>
      <w:r>
        <w:rPr>
          <w:rFonts w:hint="eastAsia" w:ascii="宋体" w:hAnsi="宋体" w:cs="宋体"/>
          <w:szCs w:val="21"/>
          <w:highlight w:val="none"/>
          <w:u w:val="single"/>
        </w:rPr>
        <w:t>双方约定</w:t>
      </w:r>
      <w:r>
        <w:rPr>
          <w:rFonts w:hint="eastAsia" w:ascii="宋体" w:hAnsi="宋体" w:cs="宋体"/>
          <w:bCs/>
          <w:kern w:val="0"/>
          <w:szCs w:val="21"/>
          <w:highlight w:val="none"/>
        </w:rPr>
        <w:t>。</w:t>
      </w:r>
    </w:p>
    <w:p w14:paraId="08F5835F">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（3）发包人违反第10.1款〔变更的范围〕第（2）项约定，自行实施被取消的工作或转由他人实施的违约责任：</w:t>
      </w:r>
      <w:r>
        <w:rPr>
          <w:rFonts w:hint="eastAsia" w:ascii="宋体" w:hAnsi="宋体" w:cs="宋体"/>
          <w:szCs w:val="21"/>
          <w:highlight w:val="none"/>
          <w:u w:val="single"/>
        </w:rPr>
        <w:t>双方约定</w:t>
      </w:r>
      <w:r>
        <w:rPr>
          <w:rFonts w:hint="eastAsia" w:ascii="宋体" w:hAnsi="宋体" w:cs="宋体"/>
          <w:bCs/>
          <w:kern w:val="0"/>
          <w:szCs w:val="21"/>
          <w:highlight w:val="none"/>
        </w:rPr>
        <w:t>。</w:t>
      </w:r>
    </w:p>
    <w:p w14:paraId="4683926C">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szCs w:val="21"/>
          <w:highlight w:val="none"/>
          <w:u w:val="single"/>
        </w:rPr>
        <w:t>双方约定</w:t>
      </w:r>
      <w:r>
        <w:rPr>
          <w:rFonts w:hint="eastAsia" w:ascii="宋体" w:hAnsi="宋体" w:cs="宋体"/>
          <w:bCs/>
          <w:kern w:val="0"/>
          <w:szCs w:val="21"/>
          <w:highlight w:val="none"/>
        </w:rPr>
        <w:t>。</w:t>
      </w:r>
    </w:p>
    <w:p w14:paraId="12A8D27F">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（5）因发包人违反合同约定造成暂停施工的违约责任：</w:t>
      </w:r>
      <w:r>
        <w:rPr>
          <w:rFonts w:hint="eastAsia" w:ascii="宋体" w:hAnsi="宋体" w:cs="宋体"/>
          <w:szCs w:val="21"/>
          <w:highlight w:val="none"/>
          <w:u w:val="single"/>
        </w:rPr>
        <w:t>顺延工期</w:t>
      </w:r>
      <w:r>
        <w:rPr>
          <w:rFonts w:hint="eastAsia" w:ascii="宋体" w:hAnsi="宋体" w:cs="宋体"/>
          <w:bCs/>
          <w:kern w:val="0"/>
          <w:szCs w:val="21"/>
          <w:highlight w:val="none"/>
        </w:rPr>
        <w:t>。</w:t>
      </w:r>
    </w:p>
    <w:p w14:paraId="439DF937">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（6）发包人无正当理由没有在约定期限内发出复工指示，导致承包人无法复工的违约责任：</w:t>
      </w:r>
      <w:r>
        <w:rPr>
          <w:rFonts w:hint="eastAsia" w:ascii="宋体" w:hAnsi="宋体" w:cs="宋体"/>
          <w:szCs w:val="21"/>
          <w:highlight w:val="none"/>
          <w:u w:val="single"/>
        </w:rPr>
        <w:t>双方约定</w:t>
      </w:r>
      <w:r>
        <w:rPr>
          <w:rFonts w:hint="eastAsia" w:ascii="宋体" w:hAnsi="宋体" w:cs="宋体"/>
          <w:bCs/>
          <w:kern w:val="0"/>
          <w:szCs w:val="21"/>
          <w:highlight w:val="none"/>
        </w:rPr>
        <w:t>。</w:t>
      </w:r>
    </w:p>
    <w:p w14:paraId="1D5176D4">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（7）其他：</w:t>
      </w:r>
      <w:r>
        <w:rPr>
          <w:rFonts w:hint="eastAsia" w:ascii="宋体" w:hAnsi="宋体" w:cs="宋体"/>
          <w:bCs/>
          <w:kern w:val="0"/>
          <w:szCs w:val="21"/>
          <w:highlight w:val="none"/>
          <w:u w:val="single"/>
        </w:rPr>
        <w:t xml:space="preserve">  /  </w:t>
      </w:r>
      <w:r>
        <w:rPr>
          <w:rFonts w:hint="eastAsia" w:ascii="宋体" w:hAnsi="宋体" w:cs="宋体"/>
          <w:bCs/>
          <w:kern w:val="0"/>
          <w:szCs w:val="21"/>
          <w:highlight w:val="none"/>
        </w:rPr>
        <w:t>。</w:t>
      </w:r>
    </w:p>
    <w:p w14:paraId="1C593E2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16.1.3 因发包人违约解除合同</w:t>
      </w:r>
    </w:p>
    <w:p w14:paraId="55A33BE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承包人按16.1.1项〔发包人违约的情形〕约定暂停施工满</w:t>
      </w:r>
      <w:r>
        <w:rPr>
          <w:rFonts w:hint="eastAsia" w:ascii="宋体" w:hAnsi="宋体" w:cs="宋体"/>
          <w:szCs w:val="21"/>
          <w:highlight w:val="none"/>
          <w:u w:val="single"/>
        </w:rPr>
        <w:t xml:space="preserve"> 60 </w:t>
      </w:r>
      <w:r>
        <w:rPr>
          <w:rFonts w:hint="eastAsia" w:ascii="宋体" w:hAnsi="宋体" w:cs="宋体"/>
          <w:bCs/>
          <w:szCs w:val="21"/>
          <w:highlight w:val="none"/>
        </w:rPr>
        <w:t>天后发包人仍不纠正其违约行为并致使合同目的不能实现的，承包人有权解除合同。</w:t>
      </w:r>
    </w:p>
    <w:p w14:paraId="1F17B7BB">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16.2 承包人违约</w:t>
      </w:r>
    </w:p>
    <w:p w14:paraId="10B0C681">
      <w:pPr>
        <w:spacing w:line="360" w:lineRule="auto"/>
        <w:ind w:firstLine="420" w:firstLineChars="200"/>
        <w:jc w:val="left"/>
        <w:rPr>
          <w:rFonts w:ascii="宋体" w:hAnsi="宋体" w:cs="宋体"/>
          <w:bCs/>
          <w:kern w:val="0"/>
          <w:szCs w:val="21"/>
          <w:highlight w:val="none"/>
        </w:rPr>
      </w:pPr>
      <w:r>
        <w:rPr>
          <w:rFonts w:hint="eastAsia" w:ascii="宋体" w:hAnsi="宋体" w:cs="宋体"/>
          <w:bCs/>
          <w:szCs w:val="21"/>
          <w:highlight w:val="none"/>
        </w:rPr>
        <w:t xml:space="preserve">16.2.1 </w:t>
      </w:r>
      <w:r>
        <w:rPr>
          <w:rFonts w:hint="eastAsia" w:ascii="宋体" w:hAnsi="宋体" w:cs="宋体"/>
          <w:bCs/>
          <w:kern w:val="0"/>
          <w:szCs w:val="21"/>
          <w:highlight w:val="none"/>
        </w:rPr>
        <w:t>承包人违约的情形</w:t>
      </w:r>
    </w:p>
    <w:p w14:paraId="575EB9F8">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承包人违约的其他情形：</w:t>
      </w:r>
      <w:r>
        <w:rPr>
          <w:rFonts w:hint="eastAsia" w:ascii="宋体" w:hAnsi="宋体" w:cs="宋体"/>
          <w:bCs/>
          <w:kern w:val="0"/>
          <w:szCs w:val="21"/>
          <w:highlight w:val="none"/>
          <w:u w:val="single"/>
        </w:rPr>
        <w:t xml:space="preserve">   /   </w:t>
      </w:r>
      <w:r>
        <w:rPr>
          <w:rFonts w:hint="eastAsia" w:ascii="宋体" w:hAnsi="宋体" w:cs="宋体"/>
          <w:bCs/>
          <w:kern w:val="0"/>
          <w:szCs w:val="21"/>
          <w:highlight w:val="none"/>
        </w:rPr>
        <w:t>。</w:t>
      </w:r>
    </w:p>
    <w:p w14:paraId="78CFFD19">
      <w:pPr>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16.2.2承包人违约的责任</w:t>
      </w:r>
    </w:p>
    <w:p w14:paraId="5E727367">
      <w:pPr>
        <w:spacing w:line="360" w:lineRule="auto"/>
        <w:ind w:left="1109" w:leftChars="228" w:hanging="630" w:hangingChars="300"/>
        <w:jc w:val="left"/>
        <w:rPr>
          <w:rFonts w:ascii="宋体" w:hAnsi="宋体" w:cs="宋体"/>
          <w:bCs/>
          <w:kern w:val="0"/>
          <w:szCs w:val="21"/>
          <w:highlight w:val="none"/>
          <w:u w:val="single"/>
        </w:rPr>
      </w:pPr>
      <w:r>
        <w:rPr>
          <w:rFonts w:hint="eastAsia" w:ascii="宋体" w:hAnsi="宋体" w:cs="宋体"/>
          <w:bCs/>
          <w:kern w:val="0"/>
          <w:szCs w:val="21"/>
          <w:highlight w:val="none"/>
        </w:rPr>
        <w:t>承包人违约责任的承担方式和计算方法：</w:t>
      </w:r>
      <w:r>
        <w:rPr>
          <w:rFonts w:hint="eastAsia" w:ascii="宋体" w:hAnsi="宋体" w:cs="宋体"/>
          <w:szCs w:val="21"/>
          <w:highlight w:val="none"/>
          <w:u w:val="single"/>
        </w:rPr>
        <w:t>承包人工期每推迟一天除按2000元/天进行处理</w:t>
      </w:r>
      <w:r>
        <w:rPr>
          <w:rFonts w:hint="eastAsia" w:ascii="宋体" w:hAnsi="宋体" w:cs="宋体"/>
          <w:bCs/>
          <w:kern w:val="0"/>
          <w:szCs w:val="21"/>
          <w:highlight w:val="none"/>
        </w:rPr>
        <w:t>。</w:t>
      </w:r>
      <w:r>
        <w:rPr>
          <w:rFonts w:hint="eastAsia" w:ascii="宋体" w:hAnsi="宋体" w:cs="宋体"/>
          <w:bCs/>
          <w:szCs w:val="21"/>
          <w:highlight w:val="none"/>
        </w:rPr>
        <w:t xml:space="preserve">    </w:t>
      </w:r>
    </w:p>
    <w:p w14:paraId="49B63403">
      <w:pPr>
        <w:spacing w:line="360" w:lineRule="auto"/>
        <w:ind w:firstLine="420" w:firstLineChars="200"/>
        <w:jc w:val="left"/>
        <w:rPr>
          <w:rFonts w:ascii="宋体" w:hAnsi="宋体" w:cs="宋体"/>
          <w:szCs w:val="21"/>
          <w:highlight w:val="none"/>
        </w:rPr>
      </w:pPr>
      <w:bookmarkStart w:id="1005" w:name="_Toc4788_WPSOffice_Level3"/>
      <w:bookmarkStart w:id="1006" w:name="_Toc351203649"/>
      <w:r>
        <w:rPr>
          <w:rFonts w:hint="eastAsia" w:ascii="宋体" w:hAnsi="宋体" w:cs="宋体"/>
          <w:szCs w:val="21"/>
          <w:highlight w:val="none"/>
        </w:rPr>
        <w:t>16.2.3 因承包人违约解除合同</w:t>
      </w:r>
    </w:p>
    <w:p w14:paraId="0ED97C4D">
      <w:pPr>
        <w:spacing w:line="360" w:lineRule="auto"/>
        <w:ind w:firstLine="420" w:firstLineChars="200"/>
        <w:jc w:val="left"/>
        <w:rPr>
          <w:rFonts w:ascii="宋体" w:hAnsi="宋体" w:cs="宋体"/>
          <w:bCs/>
          <w:kern w:val="0"/>
          <w:szCs w:val="21"/>
          <w:highlight w:val="none"/>
          <w:u w:val="single"/>
        </w:rPr>
      </w:pPr>
      <w:r>
        <w:rPr>
          <w:rFonts w:hint="eastAsia" w:ascii="宋体" w:hAnsi="宋体" w:cs="宋体"/>
          <w:szCs w:val="21"/>
          <w:highlight w:val="none"/>
        </w:rPr>
        <w:t>关于承包人违</w:t>
      </w:r>
      <w:r>
        <w:rPr>
          <w:rFonts w:hint="eastAsia" w:ascii="宋体" w:hAnsi="宋体" w:cs="宋体"/>
          <w:bCs/>
          <w:kern w:val="0"/>
          <w:szCs w:val="21"/>
          <w:highlight w:val="none"/>
        </w:rPr>
        <w:t>约解除合同的特别约定：</w:t>
      </w:r>
      <w:r>
        <w:rPr>
          <w:rFonts w:hint="eastAsia" w:ascii="宋体" w:hAnsi="宋体" w:cs="宋体"/>
          <w:bCs/>
          <w:kern w:val="0"/>
          <w:szCs w:val="21"/>
          <w:highlight w:val="none"/>
          <w:u w:val="single"/>
        </w:rPr>
        <w:t>①工程质量不达标、不合格的；②重大安全责任事故③其他根本违约行为。</w:t>
      </w:r>
    </w:p>
    <w:p w14:paraId="628A6CB2">
      <w:pPr>
        <w:spacing w:line="360" w:lineRule="auto"/>
        <w:ind w:firstLine="420" w:firstLineChars="200"/>
        <w:jc w:val="left"/>
        <w:rPr>
          <w:rFonts w:ascii="宋体" w:hAnsi="宋体" w:cs="宋体"/>
          <w:bCs/>
          <w:kern w:val="0"/>
          <w:szCs w:val="21"/>
          <w:highlight w:val="none"/>
        </w:rPr>
      </w:pPr>
      <w:r>
        <w:rPr>
          <w:rFonts w:hint="eastAsia" w:ascii="宋体" w:hAnsi="宋体" w:cs="宋体"/>
          <w:szCs w:val="21"/>
          <w:highlight w:val="none"/>
        </w:rPr>
        <w:t>发包人继续使用承包人在施工现场的材料、设备、临时工程、承包人文件和由承包人或以其名义</w:t>
      </w:r>
      <w:r>
        <w:rPr>
          <w:rFonts w:hint="eastAsia" w:ascii="宋体" w:hAnsi="宋体" w:cs="宋体"/>
          <w:bCs/>
          <w:kern w:val="0"/>
          <w:szCs w:val="21"/>
          <w:highlight w:val="none"/>
        </w:rPr>
        <w:t>编制的其他文件的费用承担方式：</w:t>
      </w:r>
      <w:r>
        <w:rPr>
          <w:rFonts w:hint="eastAsia" w:ascii="宋体" w:hAnsi="宋体" w:cs="宋体"/>
          <w:szCs w:val="21"/>
          <w:highlight w:val="none"/>
          <w:u w:val="single"/>
        </w:rPr>
        <w:t xml:space="preserve">  /  </w:t>
      </w:r>
      <w:r>
        <w:rPr>
          <w:rFonts w:hint="eastAsia" w:ascii="宋体" w:hAnsi="宋体" w:cs="宋体"/>
          <w:bCs/>
          <w:kern w:val="0"/>
          <w:szCs w:val="21"/>
          <w:highlight w:val="none"/>
        </w:rPr>
        <w:t>。</w:t>
      </w:r>
    </w:p>
    <w:p w14:paraId="3A66157B">
      <w:pPr>
        <w:pStyle w:val="6"/>
        <w:spacing w:before="120" w:after="120"/>
        <w:rPr>
          <w:rFonts w:ascii="宋体" w:hAnsi="宋体" w:cs="宋体"/>
          <w:bCs/>
          <w:color w:val="auto"/>
          <w:kern w:val="0"/>
          <w:sz w:val="24"/>
          <w:szCs w:val="24"/>
          <w:highlight w:val="none"/>
          <w:u w:val="none"/>
        </w:rPr>
      </w:pPr>
      <w:r>
        <w:rPr>
          <w:rFonts w:hint="eastAsia" w:ascii="宋体" w:hAnsi="宋体" w:cs="宋体"/>
          <w:bCs/>
          <w:color w:val="auto"/>
          <w:kern w:val="0"/>
          <w:sz w:val="24"/>
          <w:szCs w:val="24"/>
          <w:highlight w:val="none"/>
          <w:u w:val="none"/>
        </w:rPr>
        <w:t>17. 不可抗力</w:t>
      </w:r>
      <w:bookmarkEnd w:id="1005"/>
      <w:bookmarkEnd w:id="1006"/>
      <w:r>
        <w:rPr>
          <w:rFonts w:hint="eastAsia" w:ascii="宋体" w:hAnsi="宋体" w:cs="宋体"/>
          <w:bCs/>
          <w:color w:val="auto"/>
          <w:kern w:val="0"/>
          <w:sz w:val="24"/>
          <w:szCs w:val="24"/>
          <w:highlight w:val="none"/>
          <w:u w:val="none"/>
        </w:rPr>
        <w:t xml:space="preserve"> </w:t>
      </w:r>
      <w:bookmarkEnd w:id="1003"/>
    </w:p>
    <w:p w14:paraId="64B819AA">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17.1 不可抗力的确认</w:t>
      </w:r>
    </w:p>
    <w:p w14:paraId="133275D5">
      <w:pPr>
        <w:spacing w:line="360" w:lineRule="auto"/>
        <w:ind w:firstLine="420" w:firstLineChars="200"/>
        <w:jc w:val="left"/>
        <w:rPr>
          <w:sz w:val="24"/>
          <w:szCs w:val="24"/>
          <w:highlight w:val="none"/>
        </w:rPr>
      </w:pPr>
      <w:r>
        <w:rPr>
          <w:rFonts w:hint="eastAsia" w:ascii="宋体" w:hAnsi="宋体" w:cs="宋体"/>
          <w:szCs w:val="21"/>
          <w:highlight w:val="none"/>
        </w:rPr>
        <w:t>除通用合同条款约定的不可抗</w:t>
      </w:r>
      <w:r>
        <w:rPr>
          <w:rFonts w:hint="eastAsia" w:ascii="宋体" w:hAnsi="宋体" w:cs="宋体"/>
          <w:bCs/>
          <w:szCs w:val="21"/>
          <w:highlight w:val="none"/>
        </w:rPr>
        <w:t>力事件之外，视为不可抗力的其他情形：</w:t>
      </w:r>
      <w:r>
        <w:rPr>
          <w:rFonts w:hint="eastAsia" w:ascii="宋体" w:hAnsi="宋体" w:cs="宋体"/>
          <w:szCs w:val="21"/>
          <w:highlight w:val="none"/>
          <w:u w:val="single"/>
        </w:rPr>
        <w:t>正常年份的风、雨、雪、雾天气不属于不可抗力；一个有经验的承包商应当能够估计到的自然气候、环境（制约）变化的影响原则上也不做为不可抗力事件对待；高考、中考、运动会以及政府部门发出的有碍于施工的临时性指令均不做为不可抗力事件对待。由于发生30年以上一遇的降雨引起的洪水灾害、雪灾造成对工程的影响，经国家有关部门鉴定后可按不可抗力对待；发生破坏性地震的属于不可抗力事件</w:t>
      </w:r>
      <w:r>
        <w:rPr>
          <w:rFonts w:hint="eastAsia" w:ascii="宋体" w:hAnsi="宋体" w:cs="宋体"/>
          <w:bCs/>
          <w:kern w:val="0"/>
          <w:szCs w:val="21"/>
          <w:highlight w:val="none"/>
        </w:rPr>
        <w:t>。</w:t>
      </w:r>
    </w:p>
    <w:p w14:paraId="7AC6F432">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17.4 因不可抗力解除合同</w:t>
      </w:r>
    </w:p>
    <w:p w14:paraId="2C586919">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受不可抗力一方应及时在</w:t>
      </w:r>
      <w:r>
        <w:rPr>
          <w:rFonts w:hint="eastAsia" w:ascii="宋体" w:hAnsi="宋体" w:cs="宋体"/>
          <w:bCs/>
          <w:szCs w:val="21"/>
          <w:highlight w:val="none"/>
          <w:u w:val="single"/>
        </w:rPr>
        <w:t>5</w:t>
      </w:r>
      <w:r>
        <w:rPr>
          <w:rFonts w:hint="eastAsia" w:ascii="宋体" w:hAnsi="宋体" w:cs="宋体"/>
          <w:bCs/>
          <w:szCs w:val="21"/>
          <w:highlight w:val="none"/>
        </w:rPr>
        <w:t>个工作日内通知另一方，经双方确认后合同解除。合同解除后，发包人应在商定或确定发包人应支付款项后</w:t>
      </w:r>
      <w:r>
        <w:rPr>
          <w:rFonts w:hint="eastAsia" w:ascii="宋体" w:hAnsi="宋体" w:cs="宋体"/>
          <w:bCs/>
          <w:szCs w:val="21"/>
          <w:highlight w:val="none"/>
          <w:u w:val="single"/>
        </w:rPr>
        <w:t>30</w:t>
      </w:r>
      <w:r>
        <w:rPr>
          <w:rFonts w:hint="eastAsia" w:ascii="宋体" w:hAnsi="宋体" w:cs="宋体"/>
          <w:bCs/>
          <w:szCs w:val="21"/>
          <w:highlight w:val="none"/>
        </w:rPr>
        <w:t>天内完成款项的支付。</w:t>
      </w:r>
    </w:p>
    <w:bookmarkEnd w:id="950"/>
    <w:bookmarkEnd w:id="951"/>
    <w:bookmarkEnd w:id="952"/>
    <w:bookmarkEnd w:id="953"/>
    <w:bookmarkEnd w:id="954"/>
    <w:bookmarkEnd w:id="955"/>
    <w:bookmarkEnd w:id="956"/>
    <w:bookmarkEnd w:id="957"/>
    <w:bookmarkEnd w:id="958"/>
    <w:bookmarkEnd w:id="959"/>
    <w:bookmarkEnd w:id="960"/>
    <w:bookmarkEnd w:id="961"/>
    <w:bookmarkEnd w:id="1004"/>
    <w:p w14:paraId="6562E5F1">
      <w:pPr>
        <w:pStyle w:val="6"/>
        <w:spacing w:before="120" w:after="120"/>
        <w:rPr>
          <w:rFonts w:ascii="宋体" w:hAnsi="宋体" w:cs="宋体"/>
          <w:bCs/>
          <w:color w:val="auto"/>
          <w:kern w:val="0"/>
          <w:sz w:val="24"/>
          <w:szCs w:val="24"/>
          <w:highlight w:val="none"/>
          <w:u w:val="none"/>
        </w:rPr>
      </w:pPr>
      <w:bookmarkStart w:id="1007" w:name="_Toc351203651"/>
      <w:r>
        <w:rPr>
          <w:rFonts w:hint="eastAsia" w:ascii="宋体" w:hAnsi="宋体" w:cs="宋体"/>
          <w:bCs/>
          <w:color w:val="auto"/>
          <w:kern w:val="0"/>
          <w:sz w:val="24"/>
          <w:szCs w:val="24"/>
          <w:highlight w:val="none"/>
          <w:u w:val="none"/>
        </w:rPr>
        <w:t>20. 争议解决</w:t>
      </w:r>
      <w:bookmarkEnd w:id="1007"/>
    </w:p>
    <w:bookmarkEnd w:id="962"/>
    <w:bookmarkEnd w:id="963"/>
    <w:bookmarkEnd w:id="964"/>
    <w:p w14:paraId="5CC43CAA">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20.4仲裁或诉讼</w:t>
      </w:r>
      <w:bookmarkEnd w:id="965"/>
    </w:p>
    <w:p w14:paraId="3D6C0D5C">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因合同及合同有关事项发生的争议，协商解决，协商不成时，按下列第</w:t>
      </w:r>
      <w:r>
        <w:rPr>
          <w:rFonts w:hint="eastAsia" w:ascii="宋体" w:hAnsi="宋体" w:cs="宋体"/>
          <w:bCs/>
          <w:szCs w:val="21"/>
          <w:highlight w:val="none"/>
          <w:u w:val="single"/>
        </w:rPr>
        <w:t xml:space="preserve"> 2 </w:t>
      </w:r>
      <w:r>
        <w:rPr>
          <w:rFonts w:hint="eastAsia" w:ascii="宋体" w:hAnsi="宋体" w:cs="宋体"/>
          <w:bCs/>
          <w:szCs w:val="21"/>
          <w:highlight w:val="none"/>
        </w:rPr>
        <w:t>种方式解决：</w:t>
      </w:r>
    </w:p>
    <w:p w14:paraId="629E93D5">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（1）向</w:t>
      </w:r>
      <w:r>
        <w:rPr>
          <w:rFonts w:hint="eastAsia" w:ascii="宋体" w:hAnsi="宋体" w:cs="宋体"/>
          <w:bCs/>
          <w:szCs w:val="21"/>
          <w:highlight w:val="none"/>
          <w:u w:val="single"/>
        </w:rPr>
        <w:t xml:space="preserve">                   </w:t>
      </w:r>
      <w:r>
        <w:rPr>
          <w:rFonts w:hint="eastAsia" w:ascii="宋体" w:hAnsi="宋体" w:cs="宋体"/>
          <w:bCs/>
          <w:szCs w:val="21"/>
          <w:highlight w:val="none"/>
        </w:rPr>
        <w:t>仲裁委员会申请仲裁；</w:t>
      </w:r>
    </w:p>
    <w:p w14:paraId="7A61D024">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（2）向</w:t>
      </w:r>
      <w:r>
        <w:rPr>
          <w:rFonts w:hint="eastAsia" w:ascii="宋体" w:hAnsi="宋体" w:cs="宋体"/>
          <w:bCs/>
          <w:szCs w:val="21"/>
          <w:highlight w:val="none"/>
          <w:u w:val="single"/>
        </w:rPr>
        <w:t xml:space="preserve">    </w:t>
      </w:r>
      <w:r>
        <w:rPr>
          <w:rFonts w:hint="eastAsia" w:ascii="宋体" w:hAnsi="宋体" w:cs="宋体"/>
          <w:szCs w:val="21"/>
          <w:highlight w:val="none"/>
          <w:u w:val="single"/>
        </w:rPr>
        <w:t xml:space="preserve">工程所在地  </w:t>
      </w:r>
      <w:r>
        <w:rPr>
          <w:rFonts w:hint="eastAsia" w:ascii="宋体" w:hAnsi="宋体" w:cs="宋体"/>
          <w:bCs/>
          <w:szCs w:val="21"/>
          <w:highlight w:val="none"/>
          <w:u w:val="single"/>
        </w:rPr>
        <w:t xml:space="preserve">   </w:t>
      </w:r>
      <w:r>
        <w:rPr>
          <w:rFonts w:hint="eastAsia" w:ascii="宋体" w:hAnsi="宋体" w:cs="宋体"/>
          <w:bCs/>
          <w:szCs w:val="21"/>
          <w:highlight w:val="none"/>
        </w:rPr>
        <w:t>人民法院起诉。</w:t>
      </w:r>
      <w:bookmarkEnd w:id="966"/>
      <w:bookmarkEnd w:id="967"/>
      <w:bookmarkEnd w:id="968"/>
      <w:bookmarkEnd w:id="969"/>
      <w:bookmarkEnd w:id="970"/>
      <w:bookmarkEnd w:id="971"/>
    </w:p>
    <w:p w14:paraId="19B76CCB">
      <w:pPr>
        <w:snapToGrid w:val="0"/>
        <w:spacing w:line="360" w:lineRule="auto"/>
        <w:ind w:firstLine="3213" w:firstLineChars="1000"/>
        <w:jc w:val="left"/>
        <w:rPr>
          <w:rStyle w:val="43"/>
          <w:rFonts w:ascii="宋体" w:hAnsi="宋体"/>
          <w:b/>
          <w:sz w:val="32"/>
          <w:szCs w:val="32"/>
          <w:highlight w:val="none"/>
        </w:rPr>
      </w:pPr>
    </w:p>
    <w:p w14:paraId="770FF054">
      <w:pPr>
        <w:pStyle w:val="11"/>
        <w:ind w:left="-395" w:right="-773" w:firstLine="643"/>
        <w:rPr>
          <w:rStyle w:val="43"/>
          <w:rFonts w:ascii="宋体" w:hAnsi="宋体"/>
          <w:b/>
          <w:sz w:val="32"/>
          <w:szCs w:val="32"/>
          <w:highlight w:val="none"/>
        </w:rPr>
      </w:pPr>
    </w:p>
    <w:p w14:paraId="4E32757A">
      <w:pPr>
        <w:pStyle w:val="11"/>
        <w:ind w:left="-395" w:right="-773" w:firstLine="643"/>
        <w:rPr>
          <w:rStyle w:val="43"/>
          <w:rFonts w:ascii="宋体" w:hAnsi="宋体"/>
          <w:b/>
          <w:sz w:val="32"/>
          <w:szCs w:val="32"/>
          <w:highlight w:val="none"/>
        </w:rPr>
      </w:pPr>
    </w:p>
    <w:p w14:paraId="4548CDAF">
      <w:pPr>
        <w:pStyle w:val="11"/>
        <w:ind w:left="-395" w:right="-773" w:firstLine="643"/>
        <w:rPr>
          <w:rStyle w:val="43"/>
          <w:rFonts w:ascii="宋体" w:hAnsi="宋体"/>
          <w:b/>
          <w:sz w:val="32"/>
          <w:szCs w:val="32"/>
          <w:highlight w:val="none"/>
        </w:rPr>
      </w:pPr>
    </w:p>
    <w:p w14:paraId="38FDFE29">
      <w:pPr>
        <w:pStyle w:val="11"/>
        <w:ind w:left="-395" w:right="-773" w:firstLine="643"/>
        <w:rPr>
          <w:rStyle w:val="43"/>
          <w:rFonts w:ascii="宋体" w:hAnsi="宋体"/>
          <w:b/>
          <w:sz w:val="32"/>
          <w:szCs w:val="32"/>
          <w:highlight w:val="none"/>
        </w:rPr>
      </w:pPr>
    </w:p>
    <w:p w14:paraId="28EFF902">
      <w:pPr>
        <w:pStyle w:val="11"/>
        <w:ind w:left="-395" w:right="-773" w:firstLine="643"/>
        <w:rPr>
          <w:rStyle w:val="43"/>
          <w:rFonts w:ascii="宋体" w:hAnsi="宋体"/>
          <w:b/>
          <w:sz w:val="32"/>
          <w:szCs w:val="32"/>
          <w:highlight w:val="none"/>
        </w:rPr>
      </w:pPr>
    </w:p>
    <w:p w14:paraId="53B647CF">
      <w:pPr>
        <w:pStyle w:val="3"/>
        <w:jc w:val="center"/>
        <w:rPr>
          <w:rFonts w:ascii="宋体" w:hAnsi="宋体"/>
          <w:sz w:val="32"/>
          <w:szCs w:val="32"/>
          <w:highlight w:val="none"/>
        </w:rPr>
      </w:pPr>
      <w:bookmarkStart w:id="1008" w:name="_Toc23969"/>
      <w:r>
        <w:rPr>
          <w:rStyle w:val="43"/>
          <w:rFonts w:hint="eastAsia" w:ascii="宋体" w:hAnsi="宋体" w:cs="Times New Roman"/>
          <w:b/>
          <w:kern w:val="2"/>
          <w:sz w:val="32"/>
          <w:szCs w:val="32"/>
          <w:highlight w:val="none"/>
        </w:rPr>
        <w:t>第六章</w:t>
      </w:r>
      <w:r>
        <w:rPr>
          <w:rStyle w:val="43"/>
          <w:rFonts w:hint="eastAsia" w:ascii="宋体" w:hAnsi="宋体"/>
          <w:b/>
          <w:kern w:val="2"/>
          <w:sz w:val="32"/>
          <w:szCs w:val="32"/>
          <w:highlight w:val="none"/>
        </w:rPr>
        <w:t xml:space="preserve">  </w:t>
      </w:r>
      <w:r>
        <w:rPr>
          <w:rStyle w:val="43"/>
          <w:rFonts w:hint="eastAsia" w:ascii="宋体" w:hAnsi="宋体" w:cs="Times New Roman"/>
          <w:b/>
          <w:kern w:val="2"/>
          <w:sz w:val="32"/>
          <w:szCs w:val="32"/>
          <w:highlight w:val="none"/>
        </w:rPr>
        <w:t xml:space="preserve"> 技术标准及要求</w:t>
      </w:r>
      <w:bookmarkEnd w:id="1008"/>
    </w:p>
    <w:p w14:paraId="1A768CE1">
      <w:pPr>
        <w:pStyle w:val="10"/>
        <w:widowControl w:val="0"/>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一、本招标工程项目的材料、设备、施工须达到所涉及到的现行中华人民共和国以及省、自治区、直辖市或行业的工程建设标准、规范的要求。</w:t>
      </w:r>
    </w:p>
    <w:p w14:paraId="7C5BD067">
      <w:pPr>
        <w:pStyle w:val="10"/>
        <w:widowControl w:val="0"/>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二、该项工程项目的材料、设备、施工除必须达到上述第一条标准外，还应满足设计要求和业主在招标文件中的有关要求。</w:t>
      </w:r>
    </w:p>
    <w:p w14:paraId="66765C48">
      <w:pPr>
        <w:spacing w:line="360" w:lineRule="auto"/>
        <w:ind w:firstLine="480"/>
        <w:rPr>
          <w:rFonts w:ascii="宋体" w:hAnsi="宋体" w:cs="宋体"/>
          <w:bCs/>
          <w:szCs w:val="21"/>
          <w:highlight w:val="none"/>
        </w:rPr>
      </w:pPr>
      <w:r>
        <w:rPr>
          <w:rFonts w:hint="eastAsia" w:ascii="宋体" w:hAnsi="宋体" w:cs="宋体"/>
          <w:bCs/>
          <w:szCs w:val="21"/>
          <w:highlight w:val="none"/>
        </w:rPr>
        <w:t>三、该工程项目的材料、设备、施工如无上述第一、二条的标准，在材料、设备的定货采购和施工安装时，应出具生产厂家或施工安装企业在技术监督部门已备案企业标准，并经监理和业主批准后方可实施。</w:t>
      </w:r>
    </w:p>
    <w:p w14:paraId="0091FE12">
      <w:pPr>
        <w:spacing w:line="360" w:lineRule="auto"/>
        <w:ind w:firstLine="480"/>
        <w:rPr>
          <w:rFonts w:ascii="宋体" w:hAnsi="宋体" w:cs="宋体"/>
          <w:bCs/>
          <w:szCs w:val="21"/>
          <w:highlight w:val="none"/>
        </w:rPr>
      </w:pPr>
      <w:r>
        <w:rPr>
          <w:rFonts w:hint="eastAsia" w:ascii="宋体" w:hAnsi="宋体" w:cs="宋体"/>
          <w:bCs/>
          <w:szCs w:val="21"/>
          <w:highlight w:val="none"/>
        </w:rPr>
        <w:t>四、工程质量要求与验收依据</w:t>
      </w:r>
    </w:p>
    <w:p w14:paraId="73533ECE">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A、质量要求：工程质量标准必须符合现行国家有关工程施工质量验收规范和标准的要求。有关工程质量的特殊标准或要求由合同当事人在专用合同条款中约定。</w:t>
      </w:r>
    </w:p>
    <w:p w14:paraId="603B8CEA">
      <w:pPr>
        <w:spacing w:line="360" w:lineRule="auto"/>
        <w:ind w:firstLine="480"/>
        <w:rPr>
          <w:rFonts w:ascii="宋体" w:hAnsi="宋体" w:cs="宋体"/>
          <w:bCs/>
          <w:szCs w:val="21"/>
          <w:highlight w:val="none"/>
        </w:rPr>
      </w:pPr>
      <w:r>
        <w:rPr>
          <w:rFonts w:hint="eastAsia" w:ascii="宋体" w:hAnsi="宋体" w:cs="宋体"/>
          <w:bCs/>
          <w:szCs w:val="21"/>
          <w:highlight w:val="none"/>
        </w:rPr>
        <w:t>B、验收方法：验收应按建筑工程适用的规范或标准及其它相关的规范和标准执行。</w:t>
      </w:r>
    </w:p>
    <w:p w14:paraId="273181FB">
      <w:pPr>
        <w:pStyle w:val="9"/>
        <w:kinsoku w:val="0"/>
        <w:spacing w:line="360" w:lineRule="auto"/>
        <w:ind w:left="0" w:firstLine="420" w:firstLineChars="200"/>
        <w:rPr>
          <w:rFonts w:ascii="宋体" w:hAnsi="宋体" w:cs="宋体"/>
          <w:bCs/>
          <w:sz w:val="21"/>
          <w:szCs w:val="21"/>
          <w:highlight w:val="none"/>
        </w:rPr>
      </w:pPr>
      <w:bookmarkStart w:id="1009" w:name="_Toc167540971"/>
      <w:r>
        <w:rPr>
          <w:rFonts w:hint="eastAsia" w:ascii="宋体" w:hAnsi="宋体" w:cs="宋体"/>
          <w:bCs/>
          <w:sz w:val="21"/>
          <w:szCs w:val="21"/>
          <w:highlight w:val="none"/>
        </w:rPr>
        <w:t>五、</w:t>
      </w:r>
      <w:bookmarkStart w:id="1010" w:name="_Toc93893650"/>
      <w:r>
        <w:rPr>
          <w:rFonts w:hint="eastAsia" w:ascii="宋体" w:hAnsi="宋体" w:cs="宋体"/>
          <w:bCs/>
          <w:sz w:val="21"/>
          <w:szCs w:val="21"/>
          <w:highlight w:val="none"/>
        </w:rPr>
        <w:t>技术规范</w:t>
      </w:r>
      <w:bookmarkEnd w:id="1009"/>
      <w:bookmarkEnd w:id="1010"/>
    </w:p>
    <w:p w14:paraId="64C17E94">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本工程应严格按照现行施工验收规范进行施工。</w:t>
      </w:r>
    </w:p>
    <w:p w14:paraId="4AD989AE">
      <w:pPr>
        <w:snapToGrid w:val="0"/>
        <w:spacing w:line="360" w:lineRule="auto"/>
        <w:ind w:firstLine="2100" w:firstLineChars="1000"/>
        <w:jc w:val="left"/>
        <w:rPr>
          <w:rFonts w:ascii="宋体" w:hAnsi="宋体" w:cs="宋体"/>
          <w:bCs/>
          <w:szCs w:val="21"/>
          <w:highlight w:val="none"/>
        </w:rPr>
      </w:pPr>
    </w:p>
    <w:p w14:paraId="1BAB1025">
      <w:pPr>
        <w:snapToGrid w:val="0"/>
        <w:spacing w:line="360" w:lineRule="auto"/>
        <w:ind w:firstLine="3213" w:firstLineChars="1000"/>
        <w:jc w:val="left"/>
        <w:rPr>
          <w:rStyle w:val="43"/>
          <w:rFonts w:ascii="宋体" w:hAnsi="宋体"/>
          <w:b/>
          <w:sz w:val="32"/>
          <w:szCs w:val="32"/>
          <w:highlight w:val="none"/>
        </w:rPr>
      </w:pPr>
    </w:p>
    <w:p w14:paraId="1AA92941">
      <w:pPr>
        <w:snapToGrid w:val="0"/>
        <w:spacing w:line="360" w:lineRule="auto"/>
        <w:ind w:firstLine="3213" w:firstLineChars="1000"/>
        <w:jc w:val="left"/>
        <w:rPr>
          <w:rStyle w:val="43"/>
          <w:rFonts w:ascii="宋体" w:hAnsi="宋体"/>
          <w:b/>
          <w:sz w:val="32"/>
          <w:szCs w:val="32"/>
          <w:highlight w:val="none"/>
        </w:rPr>
      </w:pPr>
    </w:p>
    <w:p w14:paraId="3B504EAF">
      <w:pPr>
        <w:snapToGrid w:val="0"/>
        <w:spacing w:line="360" w:lineRule="auto"/>
        <w:ind w:firstLine="3213" w:firstLineChars="1000"/>
        <w:jc w:val="left"/>
        <w:rPr>
          <w:rStyle w:val="43"/>
          <w:rFonts w:ascii="宋体" w:hAnsi="宋体"/>
          <w:b/>
          <w:sz w:val="32"/>
          <w:szCs w:val="32"/>
          <w:highlight w:val="none"/>
        </w:rPr>
      </w:pPr>
    </w:p>
    <w:p w14:paraId="0728D055">
      <w:pPr>
        <w:snapToGrid w:val="0"/>
        <w:spacing w:line="360" w:lineRule="auto"/>
        <w:ind w:firstLine="3213" w:firstLineChars="1000"/>
        <w:jc w:val="left"/>
        <w:rPr>
          <w:rStyle w:val="43"/>
          <w:rFonts w:ascii="宋体" w:hAnsi="宋体"/>
          <w:b/>
          <w:sz w:val="32"/>
          <w:szCs w:val="32"/>
          <w:highlight w:val="none"/>
        </w:rPr>
      </w:pPr>
    </w:p>
    <w:p w14:paraId="31F5478F">
      <w:pPr>
        <w:snapToGrid w:val="0"/>
        <w:spacing w:line="360" w:lineRule="auto"/>
        <w:ind w:firstLine="3213" w:firstLineChars="1000"/>
        <w:jc w:val="left"/>
        <w:rPr>
          <w:rStyle w:val="43"/>
          <w:rFonts w:ascii="宋体" w:hAnsi="宋体"/>
          <w:b/>
          <w:sz w:val="32"/>
          <w:szCs w:val="32"/>
          <w:highlight w:val="none"/>
        </w:rPr>
      </w:pPr>
    </w:p>
    <w:p w14:paraId="0D815A5E">
      <w:pPr>
        <w:pStyle w:val="11"/>
        <w:ind w:left="-395" w:right="-773" w:firstLine="643"/>
        <w:rPr>
          <w:rStyle w:val="43"/>
          <w:rFonts w:ascii="宋体" w:hAnsi="宋体"/>
          <w:b/>
          <w:sz w:val="32"/>
          <w:szCs w:val="32"/>
          <w:highlight w:val="none"/>
        </w:rPr>
      </w:pPr>
    </w:p>
    <w:p w14:paraId="1379B304">
      <w:pPr>
        <w:pStyle w:val="11"/>
        <w:ind w:left="-395" w:right="-773" w:firstLine="643"/>
        <w:rPr>
          <w:rStyle w:val="43"/>
          <w:rFonts w:ascii="宋体" w:hAnsi="宋体"/>
          <w:b/>
          <w:sz w:val="32"/>
          <w:szCs w:val="32"/>
          <w:highlight w:val="none"/>
        </w:rPr>
      </w:pPr>
    </w:p>
    <w:p w14:paraId="29A664EF">
      <w:pPr>
        <w:pStyle w:val="11"/>
        <w:ind w:left="-395" w:right="-773" w:firstLine="643"/>
        <w:rPr>
          <w:rStyle w:val="43"/>
          <w:rFonts w:ascii="宋体" w:hAnsi="宋体"/>
          <w:b/>
          <w:sz w:val="32"/>
          <w:szCs w:val="32"/>
          <w:highlight w:val="none"/>
        </w:rPr>
      </w:pPr>
    </w:p>
    <w:p w14:paraId="59E475B1">
      <w:pPr>
        <w:pStyle w:val="11"/>
        <w:ind w:left="-395" w:right="-773" w:firstLine="643"/>
        <w:rPr>
          <w:rStyle w:val="43"/>
          <w:rFonts w:ascii="宋体" w:hAnsi="宋体"/>
          <w:b/>
          <w:sz w:val="32"/>
          <w:szCs w:val="32"/>
          <w:highlight w:val="none"/>
        </w:rPr>
      </w:pPr>
    </w:p>
    <w:p w14:paraId="07F6E210">
      <w:pPr>
        <w:pStyle w:val="11"/>
        <w:ind w:left="-395" w:right="-773" w:firstLine="643"/>
        <w:rPr>
          <w:rStyle w:val="43"/>
          <w:rFonts w:ascii="宋体" w:hAnsi="宋体"/>
          <w:b/>
          <w:sz w:val="32"/>
          <w:szCs w:val="32"/>
          <w:highlight w:val="none"/>
        </w:rPr>
      </w:pPr>
    </w:p>
    <w:p w14:paraId="715FFEE0">
      <w:pPr>
        <w:pStyle w:val="11"/>
        <w:ind w:left="-395" w:right="-773" w:firstLine="643"/>
        <w:rPr>
          <w:rStyle w:val="43"/>
          <w:rFonts w:ascii="宋体" w:hAnsi="宋体"/>
          <w:b/>
          <w:sz w:val="32"/>
          <w:szCs w:val="32"/>
          <w:highlight w:val="none"/>
        </w:rPr>
      </w:pPr>
    </w:p>
    <w:p w14:paraId="6BAE5DDA">
      <w:pPr>
        <w:pStyle w:val="11"/>
        <w:ind w:left="-395" w:right="-773" w:firstLine="643"/>
        <w:rPr>
          <w:rStyle w:val="43"/>
          <w:rFonts w:ascii="宋体" w:hAnsi="宋体"/>
          <w:b/>
          <w:sz w:val="32"/>
          <w:szCs w:val="32"/>
          <w:highlight w:val="none"/>
        </w:rPr>
      </w:pPr>
    </w:p>
    <w:p w14:paraId="2737ADC6">
      <w:pPr>
        <w:pStyle w:val="11"/>
        <w:ind w:left="-395" w:right="-773" w:firstLine="643"/>
        <w:rPr>
          <w:rStyle w:val="43"/>
          <w:rFonts w:ascii="宋体" w:hAnsi="宋体"/>
          <w:b/>
          <w:sz w:val="32"/>
          <w:szCs w:val="32"/>
          <w:highlight w:val="none"/>
        </w:rPr>
      </w:pPr>
    </w:p>
    <w:p w14:paraId="07B1B394">
      <w:pPr>
        <w:snapToGrid w:val="0"/>
        <w:spacing w:line="360" w:lineRule="auto"/>
        <w:ind w:firstLine="3213" w:firstLineChars="1000"/>
        <w:jc w:val="left"/>
        <w:rPr>
          <w:rStyle w:val="43"/>
          <w:rFonts w:ascii="宋体" w:hAnsi="宋体"/>
          <w:b/>
          <w:sz w:val="32"/>
          <w:szCs w:val="32"/>
          <w:highlight w:val="none"/>
        </w:rPr>
      </w:pPr>
    </w:p>
    <w:p w14:paraId="0B943348">
      <w:pPr>
        <w:snapToGrid w:val="0"/>
        <w:spacing w:line="360" w:lineRule="auto"/>
        <w:ind w:firstLine="3213" w:firstLineChars="1000"/>
        <w:jc w:val="left"/>
        <w:rPr>
          <w:rStyle w:val="43"/>
          <w:rFonts w:ascii="宋体" w:hAnsi="宋体"/>
          <w:b/>
          <w:sz w:val="32"/>
          <w:szCs w:val="32"/>
          <w:highlight w:val="none"/>
        </w:rPr>
      </w:pPr>
    </w:p>
    <w:p w14:paraId="72CED0FF">
      <w:pPr>
        <w:snapToGrid w:val="0"/>
        <w:spacing w:line="360" w:lineRule="auto"/>
        <w:ind w:firstLine="3213" w:firstLineChars="1000"/>
        <w:jc w:val="left"/>
        <w:outlineLvl w:val="0"/>
        <w:rPr>
          <w:rStyle w:val="43"/>
          <w:rFonts w:ascii="宋体" w:hAnsi="宋体" w:cs="Times New Roman"/>
          <w:b/>
          <w:sz w:val="32"/>
          <w:szCs w:val="32"/>
          <w:highlight w:val="none"/>
        </w:rPr>
      </w:pPr>
      <w:bookmarkStart w:id="1011" w:name="_Toc12930"/>
      <w:r>
        <w:rPr>
          <w:rStyle w:val="43"/>
          <w:rFonts w:hint="eastAsia" w:ascii="宋体" w:hAnsi="宋体" w:cs="Times New Roman"/>
          <w:b/>
          <w:sz w:val="32"/>
          <w:szCs w:val="32"/>
          <w:highlight w:val="none"/>
        </w:rPr>
        <w:t>第七章  投标文件格式</w:t>
      </w:r>
      <w:bookmarkEnd w:id="1011"/>
    </w:p>
    <w:p w14:paraId="398998DC">
      <w:pPr>
        <w:snapToGrid w:val="0"/>
        <w:spacing w:line="360" w:lineRule="auto"/>
        <w:jc w:val="right"/>
        <w:rPr>
          <w:rStyle w:val="43"/>
          <w:rFonts w:ascii="宋体" w:hAnsi="宋体"/>
          <w:b/>
          <w:sz w:val="24"/>
          <w:szCs w:val="24"/>
          <w:highlight w:val="none"/>
        </w:rPr>
      </w:pPr>
      <w:r>
        <w:rPr>
          <w:rStyle w:val="43"/>
          <w:rFonts w:ascii="宋体" w:hAnsi="宋体"/>
          <w:b/>
          <w:sz w:val="24"/>
          <w:szCs w:val="24"/>
          <w:highlight w:val="none"/>
        </w:rPr>
        <w:t xml:space="preserve">      </w:t>
      </w:r>
    </w:p>
    <w:p w14:paraId="6335A720">
      <w:pPr>
        <w:snapToGrid w:val="0"/>
        <w:spacing w:line="360" w:lineRule="auto"/>
        <w:rPr>
          <w:rStyle w:val="43"/>
          <w:color w:val="FF0000"/>
          <w:sz w:val="28"/>
          <w:highlight w:val="none"/>
          <w:u w:val="single" w:color="FF0000"/>
        </w:rPr>
      </w:pPr>
      <w:r>
        <w:rPr>
          <w:rStyle w:val="43"/>
          <w:rFonts w:ascii="宋体" w:hAnsi="宋体"/>
          <w:b/>
          <w:sz w:val="28"/>
          <w:highlight w:val="none"/>
        </w:rPr>
        <w:t>采购项目编号：</w:t>
      </w:r>
      <w:r>
        <w:rPr>
          <w:rStyle w:val="43"/>
          <w:rFonts w:hint="eastAsia" w:ascii="宋体" w:hAnsi="宋体"/>
          <w:b/>
          <w:sz w:val="28"/>
          <w:highlight w:val="none"/>
          <w:lang w:eastAsia="zh-CN"/>
        </w:rPr>
        <w:t>LZBD2025-196</w:t>
      </w:r>
      <w:r>
        <w:rPr>
          <w:rStyle w:val="43"/>
          <w:rFonts w:ascii="宋体" w:hAnsi="宋体"/>
          <w:b/>
          <w:sz w:val="28"/>
          <w:highlight w:val="none"/>
        </w:rPr>
        <w:tab/>
      </w:r>
    </w:p>
    <w:p w14:paraId="63E2C59A">
      <w:pPr>
        <w:pStyle w:val="61"/>
        <w:snapToGrid w:val="0"/>
        <w:rPr>
          <w:rStyle w:val="43"/>
          <w:rFonts w:ascii="宋体" w:hAnsi="宋体"/>
          <w:b/>
          <w:highlight w:val="none"/>
        </w:rPr>
      </w:pPr>
    </w:p>
    <w:p w14:paraId="0B36FFE8">
      <w:pPr>
        <w:pStyle w:val="61"/>
        <w:snapToGrid w:val="0"/>
        <w:rPr>
          <w:rStyle w:val="43"/>
          <w:rFonts w:ascii="宋体" w:hAnsi="宋体"/>
          <w:b/>
          <w:highlight w:val="none"/>
        </w:rPr>
      </w:pPr>
    </w:p>
    <w:p w14:paraId="62A3BCFE">
      <w:pPr>
        <w:snapToGrid w:val="0"/>
        <w:spacing w:line="360" w:lineRule="auto"/>
        <w:rPr>
          <w:rStyle w:val="43"/>
          <w:rFonts w:ascii="宋体" w:hAnsi="宋体" w:cs="Times New Roman"/>
          <w:bCs/>
          <w:sz w:val="52"/>
          <w:szCs w:val="52"/>
          <w:highlight w:val="none"/>
        </w:rPr>
      </w:pPr>
    </w:p>
    <w:p w14:paraId="13623956">
      <w:pPr>
        <w:pStyle w:val="259"/>
        <w:jc w:val="center"/>
        <w:outlineLvl w:val="0"/>
        <w:rPr>
          <w:rStyle w:val="43"/>
          <w:rFonts w:ascii="宋体" w:hAnsi="宋体" w:cs="Times New Roman"/>
          <w:b/>
          <w:sz w:val="52"/>
          <w:szCs w:val="52"/>
          <w:highlight w:val="none"/>
        </w:rPr>
      </w:pPr>
      <w:r>
        <w:rPr>
          <w:rStyle w:val="43"/>
          <w:rFonts w:hint="eastAsia" w:ascii="宋体" w:hAnsi="宋体" w:cs="Times New Roman"/>
          <w:b/>
          <w:sz w:val="52"/>
          <w:szCs w:val="52"/>
          <w:highlight w:val="none"/>
        </w:rPr>
        <w:t>西安市公安局高新分局执法办案</w:t>
      </w:r>
    </w:p>
    <w:p w14:paraId="55E7341A">
      <w:pPr>
        <w:pStyle w:val="259"/>
        <w:jc w:val="center"/>
        <w:outlineLvl w:val="0"/>
        <w:rPr>
          <w:rStyle w:val="43"/>
          <w:rFonts w:ascii="宋体" w:hAnsi="宋体" w:cs="Times New Roman"/>
          <w:b/>
          <w:sz w:val="52"/>
          <w:szCs w:val="52"/>
          <w:highlight w:val="none"/>
        </w:rPr>
      </w:pPr>
      <w:r>
        <w:rPr>
          <w:rStyle w:val="43"/>
          <w:rFonts w:hint="eastAsia" w:ascii="宋体" w:hAnsi="宋体" w:cs="Times New Roman"/>
          <w:b/>
          <w:sz w:val="52"/>
          <w:szCs w:val="52"/>
          <w:highlight w:val="none"/>
        </w:rPr>
        <w:t>管理中心升级改造项目</w:t>
      </w:r>
    </w:p>
    <w:p w14:paraId="6F0DF33C">
      <w:pPr>
        <w:pStyle w:val="259"/>
        <w:jc w:val="center"/>
        <w:rPr>
          <w:rStyle w:val="43"/>
          <w:rFonts w:ascii="宋体" w:hAnsi="宋体" w:cs="Times New Roman"/>
          <w:b/>
          <w:sz w:val="36"/>
          <w:szCs w:val="36"/>
          <w:highlight w:val="none"/>
        </w:rPr>
      </w:pPr>
    </w:p>
    <w:p w14:paraId="11D97B8D">
      <w:pPr>
        <w:snapToGrid w:val="0"/>
        <w:rPr>
          <w:rStyle w:val="43"/>
          <w:rFonts w:ascii="宋体" w:hAnsi="宋体"/>
          <w:b/>
          <w:sz w:val="63"/>
          <w:szCs w:val="63"/>
          <w:highlight w:val="none"/>
        </w:rPr>
      </w:pPr>
    </w:p>
    <w:p w14:paraId="69D5BA0F">
      <w:pPr>
        <w:snapToGrid w:val="0"/>
        <w:ind w:firstLine="211"/>
        <w:jc w:val="center"/>
        <w:rPr>
          <w:rStyle w:val="43"/>
          <w:rFonts w:ascii="宋体" w:hAnsi="宋体"/>
          <w:b/>
          <w:sz w:val="63"/>
          <w:szCs w:val="63"/>
          <w:highlight w:val="none"/>
        </w:rPr>
      </w:pPr>
      <w:r>
        <w:rPr>
          <w:rStyle w:val="43"/>
          <w:rFonts w:ascii="宋体" w:hAnsi="宋体"/>
          <w:b/>
          <w:sz w:val="63"/>
          <w:szCs w:val="63"/>
          <w:highlight w:val="none"/>
        </w:rPr>
        <w:t>投 标 文 件</w:t>
      </w:r>
    </w:p>
    <w:p w14:paraId="2E23F8A6">
      <w:pPr>
        <w:snapToGrid w:val="0"/>
        <w:ind w:firstLine="211"/>
        <w:jc w:val="center"/>
        <w:rPr>
          <w:rStyle w:val="43"/>
          <w:rFonts w:ascii="宋体" w:hAnsi="宋体" w:cs="Times New Roman"/>
          <w:b/>
          <w:bCs/>
          <w:sz w:val="32"/>
          <w:szCs w:val="32"/>
          <w:highlight w:val="none"/>
        </w:rPr>
      </w:pPr>
    </w:p>
    <w:p w14:paraId="234E64DC">
      <w:pPr>
        <w:pStyle w:val="6"/>
        <w:rPr>
          <w:highlight w:val="none"/>
        </w:rPr>
      </w:pPr>
    </w:p>
    <w:p w14:paraId="17FFC1D7">
      <w:pPr>
        <w:pStyle w:val="37"/>
        <w:snapToGrid w:val="0"/>
        <w:rPr>
          <w:rStyle w:val="43"/>
          <w:rFonts w:ascii="宋体" w:hAnsi="宋体"/>
          <w:sz w:val="24"/>
          <w:highlight w:val="none"/>
          <w:u w:color="FF0000"/>
        </w:rPr>
      </w:pPr>
    </w:p>
    <w:p w14:paraId="2935ACF8">
      <w:pPr>
        <w:snapToGrid w:val="0"/>
        <w:rPr>
          <w:rStyle w:val="43"/>
          <w:highlight w:val="none"/>
        </w:rPr>
      </w:pPr>
    </w:p>
    <w:p w14:paraId="0CCB3AB0">
      <w:pPr>
        <w:snapToGrid w:val="0"/>
        <w:rPr>
          <w:rStyle w:val="43"/>
          <w:rFonts w:ascii="宋体" w:hAnsi="宋体"/>
          <w:sz w:val="24"/>
          <w:highlight w:val="none"/>
        </w:rPr>
      </w:pPr>
    </w:p>
    <w:p w14:paraId="67FD3BF7">
      <w:pPr>
        <w:snapToGrid w:val="0"/>
        <w:rPr>
          <w:rStyle w:val="43"/>
          <w:rFonts w:ascii="宋体" w:hAnsi="宋体"/>
          <w:sz w:val="24"/>
          <w:highlight w:val="none"/>
        </w:rPr>
      </w:pPr>
    </w:p>
    <w:p w14:paraId="2B821DE2">
      <w:pPr>
        <w:snapToGrid w:val="0"/>
        <w:spacing w:line="720" w:lineRule="auto"/>
        <w:ind w:firstLine="1084" w:firstLineChars="450"/>
        <w:rPr>
          <w:rStyle w:val="43"/>
          <w:rFonts w:ascii="宋体" w:hAnsi="宋体"/>
          <w:b/>
          <w:sz w:val="24"/>
          <w:szCs w:val="24"/>
          <w:highlight w:val="none"/>
        </w:rPr>
      </w:pPr>
    </w:p>
    <w:p w14:paraId="15D874A4">
      <w:pPr>
        <w:snapToGrid w:val="0"/>
        <w:spacing w:line="720" w:lineRule="auto"/>
        <w:ind w:firstLine="1084" w:firstLineChars="450"/>
        <w:rPr>
          <w:rStyle w:val="43"/>
          <w:rFonts w:ascii="宋体" w:hAnsi="宋体"/>
          <w:b/>
          <w:sz w:val="24"/>
          <w:szCs w:val="24"/>
          <w:highlight w:val="none"/>
          <w:u w:val="single"/>
        </w:rPr>
      </w:pPr>
      <w:r>
        <w:rPr>
          <w:rStyle w:val="43"/>
          <w:rFonts w:ascii="宋体" w:hAnsi="宋体"/>
          <w:b/>
          <w:sz w:val="24"/>
          <w:szCs w:val="24"/>
          <w:highlight w:val="none"/>
        </w:rPr>
        <w:t>投标人：</w:t>
      </w:r>
      <w:r>
        <w:rPr>
          <w:rStyle w:val="43"/>
          <w:rFonts w:ascii="宋体" w:hAnsi="宋体"/>
          <w:b/>
          <w:sz w:val="24"/>
          <w:szCs w:val="24"/>
          <w:highlight w:val="none"/>
          <w:u w:val="single" w:color="000000"/>
        </w:rPr>
        <w:t xml:space="preserve">                                     </w:t>
      </w:r>
      <w:r>
        <w:rPr>
          <w:rStyle w:val="43"/>
          <w:rFonts w:ascii="宋体" w:hAnsi="宋体"/>
          <w:b/>
          <w:sz w:val="24"/>
          <w:szCs w:val="24"/>
          <w:highlight w:val="none"/>
        </w:rPr>
        <w:t>（盖单位公章）</w:t>
      </w:r>
    </w:p>
    <w:p w14:paraId="79795050">
      <w:pPr>
        <w:snapToGrid w:val="0"/>
        <w:spacing w:line="720" w:lineRule="auto"/>
        <w:ind w:firstLine="1084" w:firstLineChars="450"/>
        <w:rPr>
          <w:rStyle w:val="43"/>
          <w:rFonts w:ascii="宋体" w:hAnsi="宋体"/>
          <w:b/>
          <w:sz w:val="24"/>
          <w:szCs w:val="24"/>
          <w:highlight w:val="none"/>
          <w:u w:val="single"/>
        </w:rPr>
      </w:pPr>
      <w:r>
        <w:rPr>
          <w:rStyle w:val="43"/>
          <w:rFonts w:ascii="宋体" w:hAnsi="宋体"/>
          <w:b/>
          <w:sz w:val="24"/>
          <w:szCs w:val="24"/>
          <w:highlight w:val="none"/>
        </w:rPr>
        <w:t>法定代表人（单位负责人）或其委托代理人：</w:t>
      </w:r>
      <w:r>
        <w:rPr>
          <w:rStyle w:val="43"/>
          <w:rFonts w:ascii="宋体" w:hAnsi="宋体"/>
          <w:b/>
          <w:sz w:val="24"/>
          <w:szCs w:val="24"/>
          <w:highlight w:val="none"/>
          <w:u w:val="single" w:color="000000"/>
        </w:rPr>
        <w:t xml:space="preserve">      </w:t>
      </w:r>
      <w:r>
        <w:rPr>
          <w:rStyle w:val="43"/>
          <w:rFonts w:ascii="宋体" w:hAnsi="宋体"/>
          <w:b/>
          <w:sz w:val="24"/>
          <w:szCs w:val="24"/>
          <w:highlight w:val="none"/>
        </w:rPr>
        <w:t>（签字或盖章）</w:t>
      </w:r>
    </w:p>
    <w:p w14:paraId="49F180E0">
      <w:pPr>
        <w:snapToGrid w:val="0"/>
        <w:spacing w:line="720" w:lineRule="auto"/>
        <w:ind w:firstLine="3494" w:firstLineChars="1450"/>
        <w:rPr>
          <w:rStyle w:val="43"/>
          <w:rFonts w:ascii="宋体" w:hAnsi="宋体"/>
          <w:b/>
          <w:sz w:val="24"/>
          <w:szCs w:val="24"/>
          <w:highlight w:val="none"/>
        </w:rPr>
      </w:pPr>
      <w:r>
        <w:rPr>
          <w:rStyle w:val="43"/>
          <w:rFonts w:ascii="宋体" w:hAnsi="宋体"/>
          <w:b/>
          <w:sz w:val="24"/>
          <w:szCs w:val="24"/>
          <w:highlight w:val="none"/>
        </w:rPr>
        <w:t xml:space="preserve">    年   月   日</w:t>
      </w:r>
    </w:p>
    <w:p w14:paraId="0D00ABF9">
      <w:pPr>
        <w:pStyle w:val="9"/>
        <w:rPr>
          <w:rStyle w:val="43"/>
          <w:rFonts w:ascii="宋体" w:hAnsi="宋体"/>
          <w:b/>
          <w:sz w:val="24"/>
          <w:szCs w:val="24"/>
          <w:highlight w:val="none"/>
        </w:rPr>
      </w:pPr>
    </w:p>
    <w:p w14:paraId="0E085335">
      <w:pPr>
        <w:rPr>
          <w:rStyle w:val="43"/>
          <w:rFonts w:ascii="宋体" w:hAnsi="宋体"/>
          <w:b/>
          <w:sz w:val="24"/>
          <w:szCs w:val="24"/>
          <w:highlight w:val="none"/>
        </w:rPr>
      </w:pPr>
    </w:p>
    <w:p w14:paraId="796FE30A">
      <w:pPr>
        <w:pStyle w:val="9"/>
        <w:rPr>
          <w:highlight w:val="none"/>
        </w:rPr>
      </w:pPr>
    </w:p>
    <w:p w14:paraId="0EDA0087">
      <w:pPr>
        <w:snapToGrid w:val="0"/>
        <w:spacing w:line="360" w:lineRule="auto"/>
        <w:rPr>
          <w:rStyle w:val="43"/>
          <w:rFonts w:ascii="宋体" w:hAnsi="宋体"/>
          <w:b/>
          <w:sz w:val="32"/>
          <w:szCs w:val="32"/>
          <w:highlight w:val="none"/>
          <w:lang w:val="zh-CN"/>
        </w:rPr>
      </w:pPr>
    </w:p>
    <w:p w14:paraId="22FA50B3">
      <w:pPr>
        <w:snapToGrid w:val="0"/>
        <w:spacing w:line="360" w:lineRule="auto"/>
        <w:ind w:firstLine="643" w:firstLineChars="200"/>
        <w:jc w:val="center"/>
        <w:rPr>
          <w:rStyle w:val="43"/>
          <w:rFonts w:ascii="宋体" w:hAnsi="宋体"/>
          <w:b/>
          <w:sz w:val="32"/>
          <w:szCs w:val="32"/>
          <w:highlight w:val="none"/>
          <w:lang w:val="zh-CN"/>
        </w:rPr>
      </w:pPr>
      <w:r>
        <w:rPr>
          <w:rStyle w:val="43"/>
          <w:rFonts w:ascii="宋体" w:hAnsi="宋体"/>
          <w:b/>
          <w:sz w:val="32"/>
          <w:szCs w:val="32"/>
          <w:highlight w:val="none"/>
          <w:lang w:val="zh-CN"/>
        </w:rPr>
        <w:t>目</w:t>
      </w:r>
      <w:r>
        <w:rPr>
          <w:rStyle w:val="43"/>
          <w:rFonts w:ascii="宋体" w:hAnsi="宋体"/>
          <w:b/>
          <w:sz w:val="32"/>
          <w:szCs w:val="32"/>
          <w:highlight w:val="none"/>
        </w:rPr>
        <w:t xml:space="preserve">       </w:t>
      </w:r>
      <w:r>
        <w:rPr>
          <w:rStyle w:val="43"/>
          <w:rFonts w:ascii="宋体" w:hAnsi="宋体"/>
          <w:b/>
          <w:sz w:val="32"/>
          <w:szCs w:val="32"/>
          <w:highlight w:val="none"/>
          <w:lang w:val="zh-CN"/>
        </w:rPr>
        <w:t>录</w:t>
      </w:r>
    </w:p>
    <w:p w14:paraId="357F6163">
      <w:pPr>
        <w:snapToGrid w:val="0"/>
        <w:spacing w:line="360" w:lineRule="auto"/>
        <w:ind w:firstLine="420" w:firstLineChars="200"/>
        <w:rPr>
          <w:rStyle w:val="43"/>
          <w:rFonts w:ascii="宋体" w:hAnsi="宋体"/>
          <w:szCs w:val="21"/>
          <w:highlight w:val="none"/>
          <w:lang w:val="zh-CN"/>
        </w:rPr>
      </w:pPr>
    </w:p>
    <w:p w14:paraId="5E138BC0">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一、</w:t>
      </w:r>
      <w:r>
        <w:rPr>
          <w:rStyle w:val="43"/>
          <w:rFonts w:hint="eastAsia" w:ascii="宋体" w:hAnsi="宋体"/>
          <w:szCs w:val="21"/>
          <w:highlight w:val="none"/>
          <w:lang w:val="zh-CN"/>
        </w:rPr>
        <w:t>投标函</w:t>
      </w:r>
      <w:r>
        <w:rPr>
          <w:rStyle w:val="43"/>
          <w:rFonts w:ascii="宋体" w:hAnsi="宋体"/>
          <w:szCs w:val="21"/>
          <w:highlight w:val="none"/>
          <w:lang w:val="zh-CN"/>
        </w:rPr>
        <w:t>............................................................页码</w:t>
      </w:r>
    </w:p>
    <w:p w14:paraId="08B4A08B">
      <w:pPr>
        <w:snapToGrid w:val="0"/>
        <w:spacing w:line="360" w:lineRule="auto"/>
        <w:ind w:firstLine="840" w:firstLineChars="400"/>
        <w:rPr>
          <w:rStyle w:val="43"/>
          <w:rFonts w:ascii="宋体" w:hAnsi="宋体"/>
          <w:szCs w:val="21"/>
          <w:highlight w:val="none"/>
          <w:lang w:val="zh-CN"/>
        </w:rPr>
      </w:pPr>
      <w:r>
        <w:rPr>
          <w:rStyle w:val="43"/>
          <w:rFonts w:ascii="宋体" w:hAnsi="宋体"/>
          <w:szCs w:val="21"/>
          <w:highlight w:val="none"/>
          <w:lang w:val="zh-CN"/>
        </w:rPr>
        <w:t>开标一览表.........................................................页码</w:t>
      </w:r>
    </w:p>
    <w:p w14:paraId="78D94497">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二、</w:t>
      </w:r>
      <w:r>
        <w:rPr>
          <w:rStyle w:val="43"/>
          <w:rFonts w:hint="eastAsia" w:ascii="宋体" w:hAnsi="宋体"/>
          <w:szCs w:val="21"/>
          <w:highlight w:val="none"/>
          <w:lang w:val="zh-CN"/>
        </w:rPr>
        <w:t>已标价工程量清单</w:t>
      </w:r>
      <w:r>
        <w:rPr>
          <w:rStyle w:val="43"/>
          <w:rFonts w:ascii="宋体" w:hAnsi="宋体"/>
          <w:szCs w:val="21"/>
          <w:highlight w:val="none"/>
          <w:lang w:val="zh-CN"/>
        </w:rPr>
        <w:t>....................................................</w:t>
      </w:r>
    </w:p>
    <w:p w14:paraId="32CC11AA">
      <w:pPr>
        <w:snapToGrid w:val="0"/>
        <w:spacing w:line="360" w:lineRule="auto"/>
        <w:ind w:firstLine="420" w:firstLineChars="200"/>
        <w:rPr>
          <w:rStyle w:val="43"/>
          <w:rFonts w:ascii="宋体" w:hAnsi="宋体"/>
          <w:szCs w:val="21"/>
          <w:highlight w:val="none"/>
          <w:lang w:val="zh-CN"/>
        </w:rPr>
      </w:pPr>
      <w:r>
        <w:rPr>
          <w:rStyle w:val="43"/>
          <w:rFonts w:hint="eastAsia" w:ascii="宋体" w:hAnsi="宋体"/>
          <w:szCs w:val="21"/>
          <w:highlight w:val="none"/>
          <w:lang w:val="zh-CN"/>
        </w:rPr>
        <w:t>三、</w:t>
      </w:r>
      <w:r>
        <w:rPr>
          <w:rStyle w:val="43"/>
          <w:rFonts w:ascii="宋体" w:hAnsi="宋体"/>
          <w:szCs w:val="21"/>
          <w:highlight w:val="none"/>
          <w:lang w:val="zh-CN"/>
        </w:rPr>
        <w:t>法定代表人（单位负责人/自然人）身份证明...............................</w:t>
      </w:r>
    </w:p>
    <w:p w14:paraId="3390B4F5">
      <w:pPr>
        <w:snapToGrid w:val="0"/>
        <w:spacing w:line="360" w:lineRule="auto"/>
        <w:ind w:firstLine="420" w:firstLineChars="200"/>
        <w:rPr>
          <w:rStyle w:val="43"/>
          <w:rFonts w:ascii="宋体" w:hAnsi="宋体"/>
          <w:szCs w:val="21"/>
          <w:highlight w:val="none"/>
          <w:lang w:val="zh-CN"/>
        </w:rPr>
      </w:pPr>
      <w:r>
        <w:rPr>
          <w:rStyle w:val="43"/>
          <w:rFonts w:hint="eastAsia" w:ascii="宋体" w:hAnsi="宋体"/>
          <w:szCs w:val="21"/>
          <w:highlight w:val="none"/>
          <w:lang w:val="zh-CN"/>
        </w:rPr>
        <w:t>四</w:t>
      </w:r>
      <w:r>
        <w:rPr>
          <w:rStyle w:val="43"/>
          <w:rFonts w:ascii="宋体" w:hAnsi="宋体"/>
          <w:szCs w:val="21"/>
          <w:highlight w:val="none"/>
          <w:lang w:val="zh-CN"/>
        </w:rPr>
        <w:t>、授权委托书............................................................</w:t>
      </w:r>
    </w:p>
    <w:p w14:paraId="7EA8BB5D">
      <w:pPr>
        <w:snapToGrid w:val="0"/>
        <w:spacing w:line="360" w:lineRule="auto"/>
        <w:ind w:firstLine="420" w:firstLineChars="200"/>
        <w:rPr>
          <w:rStyle w:val="43"/>
          <w:rFonts w:ascii="宋体" w:hAnsi="宋体"/>
          <w:szCs w:val="21"/>
          <w:highlight w:val="none"/>
          <w:lang w:val="zh-CN"/>
        </w:rPr>
      </w:pPr>
      <w:r>
        <w:rPr>
          <w:rStyle w:val="43"/>
          <w:rFonts w:hint="eastAsia" w:ascii="宋体" w:hAnsi="宋体"/>
          <w:szCs w:val="21"/>
          <w:highlight w:val="none"/>
          <w:lang w:val="zh-CN"/>
        </w:rPr>
        <w:t>五</w:t>
      </w:r>
      <w:r>
        <w:rPr>
          <w:rStyle w:val="43"/>
          <w:rFonts w:ascii="宋体" w:hAnsi="宋体"/>
          <w:szCs w:val="21"/>
          <w:highlight w:val="none"/>
          <w:lang w:val="zh-CN"/>
        </w:rPr>
        <w:t>、资格</w:t>
      </w:r>
      <w:r>
        <w:rPr>
          <w:rStyle w:val="43"/>
          <w:rFonts w:hint="eastAsia" w:ascii="宋体" w:hAnsi="宋体"/>
          <w:szCs w:val="21"/>
          <w:highlight w:val="none"/>
          <w:lang w:val="zh-CN"/>
        </w:rPr>
        <w:t>证明文件</w:t>
      </w:r>
      <w:r>
        <w:rPr>
          <w:rStyle w:val="43"/>
          <w:rFonts w:ascii="宋体" w:hAnsi="宋体"/>
          <w:szCs w:val="21"/>
          <w:highlight w:val="none"/>
          <w:lang w:val="zh-CN"/>
        </w:rPr>
        <w:t>..........................................................</w:t>
      </w:r>
    </w:p>
    <w:p w14:paraId="4E734C27">
      <w:pPr>
        <w:snapToGrid w:val="0"/>
        <w:spacing w:line="360" w:lineRule="auto"/>
        <w:ind w:firstLine="420" w:firstLineChars="200"/>
        <w:rPr>
          <w:rStyle w:val="43"/>
          <w:rFonts w:ascii="宋体" w:hAnsi="宋体"/>
          <w:szCs w:val="21"/>
          <w:highlight w:val="none"/>
          <w:lang w:val="zh-CN"/>
        </w:rPr>
      </w:pPr>
      <w:r>
        <w:rPr>
          <w:rStyle w:val="43"/>
          <w:rFonts w:hint="eastAsia" w:ascii="宋体" w:hAnsi="宋体"/>
          <w:szCs w:val="21"/>
          <w:highlight w:val="none"/>
          <w:lang w:val="zh-CN"/>
        </w:rPr>
        <w:t>六</w:t>
      </w:r>
      <w:r>
        <w:rPr>
          <w:rStyle w:val="43"/>
          <w:rFonts w:ascii="宋体" w:hAnsi="宋体"/>
          <w:szCs w:val="21"/>
          <w:highlight w:val="none"/>
          <w:lang w:val="zh-CN"/>
        </w:rPr>
        <w:t>、技术响应.............................................................</w:t>
      </w:r>
    </w:p>
    <w:p w14:paraId="7A4A4153">
      <w:pPr>
        <w:snapToGrid w:val="0"/>
        <w:spacing w:line="360" w:lineRule="auto"/>
        <w:ind w:firstLine="420" w:firstLineChars="200"/>
        <w:rPr>
          <w:rStyle w:val="43"/>
          <w:rFonts w:ascii="宋体" w:hAnsi="宋体"/>
          <w:szCs w:val="21"/>
          <w:highlight w:val="none"/>
          <w:lang w:val="zh-CN"/>
        </w:rPr>
      </w:pPr>
      <w:r>
        <w:rPr>
          <w:rStyle w:val="43"/>
          <w:rFonts w:hint="eastAsia" w:ascii="宋体" w:hAnsi="宋体"/>
          <w:szCs w:val="21"/>
          <w:highlight w:val="none"/>
          <w:lang w:val="zh-CN"/>
        </w:rPr>
        <w:t>七、</w:t>
      </w:r>
      <w:r>
        <w:rPr>
          <w:rStyle w:val="43"/>
          <w:rFonts w:ascii="宋体" w:hAnsi="宋体"/>
          <w:szCs w:val="21"/>
          <w:highlight w:val="none"/>
          <w:lang w:val="zh-CN"/>
        </w:rPr>
        <w:t>商务响应.............................................................</w:t>
      </w:r>
    </w:p>
    <w:p w14:paraId="6D64B4A3">
      <w:pPr>
        <w:snapToGrid w:val="0"/>
        <w:spacing w:line="360" w:lineRule="auto"/>
        <w:ind w:firstLine="420" w:firstLineChars="200"/>
        <w:rPr>
          <w:rStyle w:val="43"/>
          <w:rFonts w:ascii="宋体" w:hAnsi="宋体"/>
          <w:szCs w:val="21"/>
          <w:highlight w:val="none"/>
          <w:lang w:val="zh-CN"/>
        </w:rPr>
      </w:pPr>
      <w:r>
        <w:rPr>
          <w:rStyle w:val="43"/>
          <w:rFonts w:hint="eastAsia" w:ascii="宋体" w:hAnsi="宋体"/>
          <w:szCs w:val="21"/>
          <w:highlight w:val="none"/>
          <w:lang w:val="zh-CN"/>
        </w:rPr>
        <w:t>八</w:t>
      </w:r>
      <w:r>
        <w:rPr>
          <w:rStyle w:val="43"/>
          <w:rFonts w:ascii="宋体" w:hAnsi="宋体"/>
          <w:szCs w:val="21"/>
          <w:highlight w:val="none"/>
          <w:lang w:val="zh-CN"/>
        </w:rPr>
        <w:t>、承诺书及声明..........................................................</w:t>
      </w:r>
    </w:p>
    <w:p w14:paraId="1A550898">
      <w:pPr>
        <w:snapToGrid w:val="0"/>
        <w:spacing w:line="360" w:lineRule="auto"/>
        <w:ind w:firstLine="420" w:firstLineChars="200"/>
        <w:rPr>
          <w:rStyle w:val="43"/>
          <w:rFonts w:ascii="宋体" w:hAnsi="宋体"/>
          <w:szCs w:val="21"/>
          <w:highlight w:val="none"/>
          <w:lang w:val="zh-CN"/>
        </w:rPr>
      </w:pPr>
      <w:r>
        <w:rPr>
          <w:rStyle w:val="43"/>
          <w:rFonts w:hint="eastAsia" w:ascii="宋体" w:hAnsi="宋体"/>
          <w:szCs w:val="21"/>
          <w:highlight w:val="none"/>
          <w:lang w:val="zh-CN"/>
        </w:rPr>
        <w:t>九</w:t>
      </w:r>
      <w:r>
        <w:rPr>
          <w:rStyle w:val="43"/>
          <w:rFonts w:ascii="宋体" w:hAnsi="宋体"/>
          <w:szCs w:val="21"/>
          <w:highlight w:val="none"/>
          <w:lang w:val="zh-CN"/>
        </w:rPr>
        <w:t>、其他资料..............................................................</w:t>
      </w:r>
    </w:p>
    <w:p w14:paraId="5DB7ABE6">
      <w:pPr>
        <w:snapToGrid w:val="0"/>
        <w:spacing w:line="360" w:lineRule="auto"/>
        <w:ind w:firstLine="420" w:firstLineChars="200"/>
        <w:rPr>
          <w:rStyle w:val="43"/>
          <w:rFonts w:ascii="宋体" w:hAnsi="宋体"/>
          <w:szCs w:val="21"/>
          <w:highlight w:val="none"/>
          <w:lang w:val="zh-CN"/>
        </w:rPr>
      </w:pPr>
    </w:p>
    <w:p w14:paraId="6DA189C7">
      <w:pPr>
        <w:snapToGrid w:val="0"/>
        <w:spacing w:line="360" w:lineRule="auto"/>
        <w:ind w:firstLine="420" w:firstLineChars="200"/>
        <w:rPr>
          <w:rStyle w:val="43"/>
          <w:rFonts w:ascii="宋体" w:hAnsi="宋体"/>
          <w:szCs w:val="21"/>
          <w:highlight w:val="none"/>
          <w:lang w:val="zh-CN"/>
        </w:rPr>
      </w:pPr>
    </w:p>
    <w:p w14:paraId="70F17094">
      <w:pPr>
        <w:snapToGrid w:val="0"/>
        <w:spacing w:line="360" w:lineRule="auto"/>
        <w:ind w:firstLine="420" w:firstLineChars="200"/>
        <w:rPr>
          <w:rStyle w:val="43"/>
          <w:rFonts w:ascii="宋体" w:hAnsi="宋体"/>
          <w:szCs w:val="21"/>
          <w:highlight w:val="none"/>
          <w:lang w:val="zh-CN"/>
        </w:rPr>
      </w:pPr>
    </w:p>
    <w:p w14:paraId="151E091D">
      <w:pPr>
        <w:ind w:firstLine="211"/>
        <w:jc w:val="center"/>
        <w:rPr>
          <w:rFonts w:ascii="宋体" w:hAnsi="宋体" w:cs="宋体"/>
          <w:b/>
          <w:sz w:val="32"/>
          <w:szCs w:val="32"/>
          <w:highlight w:val="none"/>
        </w:rPr>
      </w:pPr>
      <w:r>
        <w:rPr>
          <w:rStyle w:val="43"/>
          <w:rFonts w:ascii="宋体" w:hAnsi="宋体"/>
          <w:szCs w:val="21"/>
          <w:highlight w:val="none"/>
          <w:lang w:val="zh-CN"/>
        </w:rPr>
        <w:br w:type="page"/>
      </w:r>
      <w:r>
        <w:rPr>
          <w:rStyle w:val="43"/>
          <w:rFonts w:ascii="宋体" w:hAnsi="宋体"/>
          <w:b/>
          <w:sz w:val="32"/>
          <w:szCs w:val="32"/>
          <w:highlight w:val="none"/>
        </w:rPr>
        <w:t>一、</w:t>
      </w:r>
      <w:r>
        <w:rPr>
          <w:rFonts w:hint="eastAsia" w:ascii="宋体" w:hAnsi="宋体" w:cs="宋体"/>
          <w:b/>
          <w:sz w:val="32"/>
          <w:szCs w:val="32"/>
          <w:highlight w:val="none"/>
        </w:rPr>
        <w:t>投标函</w:t>
      </w:r>
    </w:p>
    <w:p w14:paraId="0FB93F7B">
      <w:pPr>
        <w:ind w:firstLine="211"/>
        <w:jc w:val="center"/>
        <w:rPr>
          <w:rFonts w:ascii="宋体" w:hAnsi="宋体" w:cs="宋体"/>
          <w:b/>
          <w:sz w:val="24"/>
          <w:szCs w:val="24"/>
          <w:highlight w:val="none"/>
        </w:rPr>
      </w:pPr>
    </w:p>
    <w:p w14:paraId="383D34D9">
      <w:pPr>
        <w:spacing w:line="360" w:lineRule="auto"/>
        <w:rPr>
          <w:rFonts w:ascii="宋体" w:hAnsi="宋体" w:cs="宋体"/>
          <w:b/>
          <w:szCs w:val="21"/>
          <w:highlight w:val="none"/>
        </w:rPr>
      </w:pPr>
      <w:r>
        <w:rPr>
          <w:rFonts w:hint="eastAsia" w:ascii="宋体" w:hAnsi="宋体" w:cs="宋体"/>
          <w:b/>
          <w:szCs w:val="21"/>
          <w:highlight w:val="none"/>
          <w:u w:val="single"/>
        </w:rPr>
        <w:t xml:space="preserve">                       （招标人名称）</w:t>
      </w:r>
      <w:r>
        <w:rPr>
          <w:rFonts w:hint="eastAsia" w:ascii="宋体" w:hAnsi="宋体" w:cs="宋体"/>
          <w:b/>
          <w:szCs w:val="21"/>
          <w:highlight w:val="none"/>
        </w:rPr>
        <w:t>：</w:t>
      </w:r>
    </w:p>
    <w:p w14:paraId="1B030690">
      <w:pPr>
        <w:spacing w:line="360" w:lineRule="auto"/>
        <w:ind w:firstLine="420" w:firstLineChars="200"/>
        <w:rPr>
          <w:rFonts w:ascii="宋体" w:hAnsi="宋体" w:cs="宋体"/>
          <w:szCs w:val="21"/>
          <w:highlight w:val="none"/>
        </w:rPr>
      </w:pPr>
      <w:r>
        <w:rPr>
          <w:rFonts w:hint="eastAsia" w:ascii="宋体" w:hAnsi="宋体" w:cs="宋体"/>
          <w:szCs w:val="21"/>
          <w:highlight w:val="none"/>
        </w:rPr>
        <w:t>我单位收到贵公司</w:t>
      </w:r>
      <w:r>
        <w:rPr>
          <w:rFonts w:hint="eastAsia" w:ascii="宋体" w:hAnsi="宋体" w:cs="宋体"/>
          <w:szCs w:val="21"/>
          <w:highlight w:val="none"/>
          <w:u w:val="single"/>
        </w:rPr>
        <w:t xml:space="preserve">  （项目名称、包号）（招标编号：   ）   </w:t>
      </w:r>
      <w:r>
        <w:rPr>
          <w:rFonts w:hint="eastAsia" w:ascii="宋体" w:hAnsi="宋体" w:cs="宋体"/>
          <w:szCs w:val="21"/>
          <w:highlight w:val="none"/>
        </w:rPr>
        <w:t>招标文件，我们决定参加该项目的投标活动，并参与投标会议。为此，我方郑重声明以下诸点，并负法律责任。</w:t>
      </w:r>
    </w:p>
    <w:p w14:paraId="29BA806D">
      <w:pPr>
        <w:numPr>
          <w:ilvl w:val="0"/>
          <w:numId w:val="3"/>
        </w:numPr>
        <w:spacing w:line="360" w:lineRule="auto"/>
        <w:rPr>
          <w:rFonts w:ascii="宋体" w:hAnsi="宋体" w:cs="宋体"/>
          <w:szCs w:val="21"/>
          <w:highlight w:val="none"/>
        </w:rPr>
      </w:pPr>
      <w:r>
        <w:rPr>
          <w:rFonts w:hint="eastAsia" w:ascii="宋体" w:hAnsi="宋体" w:cs="宋体"/>
          <w:szCs w:val="21"/>
          <w:highlight w:val="none"/>
        </w:rPr>
        <w:t xml:space="preserve">严格执行招标文件中的一切要求。      </w:t>
      </w:r>
    </w:p>
    <w:p w14:paraId="59865513">
      <w:pPr>
        <w:numPr>
          <w:ilvl w:val="0"/>
          <w:numId w:val="3"/>
        </w:numPr>
        <w:spacing w:line="360" w:lineRule="auto"/>
        <w:rPr>
          <w:rFonts w:ascii="宋体" w:hAnsi="宋体" w:cs="宋体"/>
          <w:szCs w:val="21"/>
          <w:highlight w:val="none"/>
        </w:rPr>
      </w:pPr>
      <w:r>
        <w:rPr>
          <w:rFonts w:hint="eastAsia" w:ascii="宋体" w:hAnsi="宋体" w:cs="宋体"/>
          <w:szCs w:val="21"/>
          <w:highlight w:val="none"/>
        </w:rPr>
        <w:t>如果我们投标文件被接受，我们将履行招标文件中规定的每一项要求，按期、按质、按量完成任务。</w:t>
      </w:r>
    </w:p>
    <w:p w14:paraId="289D7393">
      <w:pPr>
        <w:numPr>
          <w:ilvl w:val="0"/>
          <w:numId w:val="3"/>
        </w:numPr>
        <w:spacing w:line="360" w:lineRule="auto"/>
        <w:rPr>
          <w:rFonts w:ascii="宋体" w:hAnsi="宋体" w:cs="宋体"/>
          <w:szCs w:val="21"/>
          <w:highlight w:val="none"/>
        </w:rPr>
      </w:pPr>
      <w:r>
        <w:rPr>
          <w:rFonts w:hint="eastAsia" w:ascii="宋体" w:hAnsi="宋体" w:cs="宋体"/>
          <w:szCs w:val="21"/>
          <w:highlight w:val="none"/>
        </w:rPr>
        <w:t>我们理解，最低报价不是中标的唯一条件，你们有选择供应商的权力。</w:t>
      </w:r>
    </w:p>
    <w:p w14:paraId="0FABCED3">
      <w:pPr>
        <w:numPr>
          <w:ilvl w:val="0"/>
          <w:numId w:val="3"/>
        </w:numPr>
        <w:spacing w:line="360" w:lineRule="auto"/>
        <w:rPr>
          <w:rFonts w:ascii="宋体" w:hAnsi="宋体" w:cs="宋体"/>
          <w:szCs w:val="21"/>
          <w:highlight w:val="none"/>
        </w:rPr>
      </w:pPr>
      <w:r>
        <w:rPr>
          <w:rFonts w:hint="eastAsia" w:ascii="宋体" w:hAnsi="宋体" w:cs="宋体"/>
          <w:color w:val="000000"/>
          <w:szCs w:val="21"/>
          <w:highlight w:val="none"/>
          <w:lang w:val="zh-CN"/>
        </w:rPr>
        <w:t>投标有效期为投标截止之日起</w:t>
      </w:r>
      <w:r>
        <w:rPr>
          <w:rFonts w:hint="eastAsia" w:ascii="宋体" w:hAnsi="宋体" w:cs="宋体"/>
          <w:color w:val="000000"/>
          <w:szCs w:val="21"/>
          <w:highlight w:val="none"/>
          <w:u w:val="thick"/>
          <w:lang w:val="zh-CN"/>
        </w:rPr>
        <w:t>90</w:t>
      </w:r>
      <w:r>
        <w:rPr>
          <w:rFonts w:hint="eastAsia" w:ascii="宋体" w:hAnsi="宋体" w:cs="宋体"/>
          <w:color w:val="000000"/>
          <w:szCs w:val="21"/>
          <w:highlight w:val="none"/>
          <w:lang w:val="zh-CN"/>
        </w:rPr>
        <w:t>日历天，我方承诺在招标文件规定的投标有效期内不撤销投标文件。</w:t>
      </w:r>
    </w:p>
    <w:p w14:paraId="7AA0986F">
      <w:pPr>
        <w:spacing w:line="360" w:lineRule="auto"/>
        <w:rPr>
          <w:rFonts w:ascii="宋体" w:hAnsi="宋体" w:cs="宋体"/>
          <w:szCs w:val="21"/>
          <w:highlight w:val="none"/>
        </w:rPr>
      </w:pPr>
      <w:r>
        <w:rPr>
          <w:rFonts w:hint="eastAsia" w:ascii="宋体" w:hAnsi="宋体" w:cs="宋体"/>
          <w:szCs w:val="21"/>
          <w:highlight w:val="none"/>
        </w:rPr>
        <w:t>5、我们愿按《中华人民共和国民法典》履行自己的全部责任。</w:t>
      </w:r>
    </w:p>
    <w:p w14:paraId="76919A98">
      <w:pPr>
        <w:spacing w:line="360" w:lineRule="auto"/>
        <w:rPr>
          <w:rFonts w:ascii="宋体" w:hAnsi="宋体" w:cs="宋体"/>
          <w:szCs w:val="21"/>
          <w:highlight w:val="none"/>
        </w:rPr>
      </w:pPr>
      <w:r>
        <w:rPr>
          <w:rFonts w:hint="eastAsia" w:ascii="宋体" w:hAnsi="宋体" w:cs="宋体"/>
          <w:szCs w:val="21"/>
          <w:highlight w:val="none"/>
        </w:rPr>
        <w:t>6、我们同意按招标文件规定，遵守贵公司有关规定和收费标准。</w:t>
      </w:r>
    </w:p>
    <w:p w14:paraId="44E4800B">
      <w:pPr>
        <w:snapToGrid w:val="0"/>
        <w:spacing w:line="360" w:lineRule="auto"/>
        <w:rPr>
          <w:rStyle w:val="43"/>
          <w:rFonts w:ascii="宋体" w:hAnsi="宋体"/>
          <w:szCs w:val="21"/>
          <w:highlight w:val="none"/>
          <w:lang w:val="zh-CN"/>
        </w:rPr>
      </w:pPr>
      <w:r>
        <w:rPr>
          <w:rFonts w:hint="eastAsia" w:ascii="宋体" w:hAnsi="宋体" w:cs="宋体"/>
          <w:szCs w:val="21"/>
          <w:highlight w:val="none"/>
        </w:rPr>
        <w:t>7、</w:t>
      </w:r>
      <w:r>
        <w:rPr>
          <w:rStyle w:val="43"/>
          <w:rFonts w:ascii="宋体" w:hAnsi="宋体"/>
          <w:szCs w:val="21"/>
          <w:highlight w:val="none"/>
          <w:lang w:val="zh-CN"/>
        </w:rPr>
        <w:t>如我方中标，我方承诺：</w:t>
      </w:r>
    </w:p>
    <w:p w14:paraId="64DC5353">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（1）收到中标通知书后，在规定的期限内与</w:t>
      </w:r>
      <w:r>
        <w:rPr>
          <w:rStyle w:val="43"/>
          <w:rFonts w:hint="eastAsia" w:ascii="宋体" w:hAnsi="宋体"/>
          <w:szCs w:val="21"/>
          <w:highlight w:val="none"/>
          <w:lang w:val="zh-CN"/>
        </w:rPr>
        <w:t>招标人</w:t>
      </w:r>
      <w:r>
        <w:rPr>
          <w:rStyle w:val="43"/>
          <w:rFonts w:ascii="宋体" w:hAnsi="宋体"/>
          <w:szCs w:val="21"/>
          <w:highlight w:val="none"/>
          <w:lang w:val="zh-CN"/>
        </w:rPr>
        <w:t>签订合同；</w:t>
      </w:r>
    </w:p>
    <w:p w14:paraId="4BFB5035">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（2）在签订合同时不向</w:t>
      </w:r>
      <w:r>
        <w:rPr>
          <w:rStyle w:val="43"/>
          <w:rFonts w:hint="eastAsia" w:ascii="宋体" w:hAnsi="宋体"/>
          <w:szCs w:val="21"/>
          <w:highlight w:val="none"/>
          <w:lang w:val="zh-CN"/>
        </w:rPr>
        <w:t>招标人</w:t>
      </w:r>
      <w:r>
        <w:rPr>
          <w:rStyle w:val="43"/>
          <w:rFonts w:ascii="宋体" w:hAnsi="宋体"/>
          <w:szCs w:val="21"/>
          <w:highlight w:val="none"/>
          <w:lang w:val="zh-CN"/>
        </w:rPr>
        <w:t>提出附加条件；</w:t>
      </w:r>
    </w:p>
    <w:p w14:paraId="3B8501A0">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（3）按照招标文件要求提交履约保证金；</w:t>
      </w:r>
    </w:p>
    <w:p w14:paraId="0285E49F">
      <w:pPr>
        <w:snapToGrid w:val="0"/>
        <w:spacing w:line="360" w:lineRule="auto"/>
        <w:ind w:firstLine="420" w:firstLineChars="200"/>
        <w:rPr>
          <w:rFonts w:ascii="宋体" w:hAnsi="宋体" w:cs="宋体"/>
          <w:szCs w:val="21"/>
          <w:highlight w:val="none"/>
        </w:rPr>
      </w:pPr>
      <w:r>
        <w:rPr>
          <w:rStyle w:val="43"/>
          <w:rFonts w:ascii="宋体" w:hAnsi="宋体"/>
          <w:szCs w:val="21"/>
          <w:highlight w:val="none"/>
          <w:lang w:val="zh-CN"/>
        </w:rPr>
        <w:t>（4）在合同约定的期限内完成合同规定的全部义务。</w:t>
      </w:r>
    </w:p>
    <w:p w14:paraId="41F10C49">
      <w:pPr>
        <w:spacing w:line="360" w:lineRule="auto"/>
        <w:rPr>
          <w:rStyle w:val="43"/>
          <w:rFonts w:ascii="宋体" w:hAnsi="宋体"/>
          <w:szCs w:val="21"/>
          <w:highlight w:val="none"/>
          <w:lang w:val="zh-CN"/>
        </w:rPr>
      </w:pPr>
      <w:r>
        <w:rPr>
          <w:rFonts w:hint="eastAsia" w:ascii="宋体" w:hAnsi="宋体" w:cs="宋体"/>
          <w:szCs w:val="21"/>
          <w:highlight w:val="none"/>
        </w:rPr>
        <w:t>8、</w:t>
      </w:r>
      <w:r>
        <w:rPr>
          <w:rStyle w:val="43"/>
          <w:rFonts w:ascii="宋体" w:hAnsi="宋体"/>
          <w:szCs w:val="21"/>
          <w:highlight w:val="none"/>
          <w:lang w:val="zh-CN"/>
        </w:rPr>
        <w:t>我方在此声明</w:t>
      </w:r>
      <w:r>
        <w:rPr>
          <w:rStyle w:val="43"/>
          <w:rFonts w:hint="eastAsia" w:ascii="宋体" w:hAnsi="宋体"/>
          <w:szCs w:val="21"/>
          <w:highlight w:val="none"/>
          <w:lang w:val="zh-CN"/>
        </w:rPr>
        <w:t>，</w:t>
      </w:r>
      <w:r>
        <w:rPr>
          <w:rStyle w:val="43"/>
          <w:rFonts w:ascii="宋体" w:hAnsi="宋体"/>
          <w:szCs w:val="21"/>
          <w:highlight w:val="none"/>
          <w:lang w:val="zh-CN"/>
        </w:rPr>
        <w:t>所递交的投标文件及有关资料内容完整、真实和准确，且不存在第二章“投标人须知”第 2.3.3 项规定的任何一种情形。</w:t>
      </w:r>
    </w:p>
    <w:p w14:paraId="5179256D">
      <w:pPr>
        <w:spacing w:line="360" w:lineRule="auto"/>
        <w:rPr>
          <w:rFonts w:ascii="宋体" w:hAnsi="宋体" w:cs="宋体"/>
          <w:szCs w:val="21"/>
          <w:highlight w:val="none"/>
        </w:rPr>
      </w:pPr>
      <w:r>
        <w:rPr>
          <w:rStyle w:val="43"/>
          <w:rFonts w:hint="eastAsia" w:ascii="宋体" w:hAnsi="宋体"/>
          <w:szCs w:val="21"/>
          <w:highlight w:val="none"/>
        </w:rPr>
        <w:t>9、</w:t>
      </w:r>
      <w:r>
        <w:rPr>
          <w:rFonts w:hint="eastAsia" w:ascii="宋体" w:hAnsi="宋体" w:cs="宋体"/>
          <w:szCs w:val="21"/>
          <w:highlight w:val="none"/>
        </w:rPr>
        <w:t>所有关于本投标文件的函电，请按下列地址联系。</w:t>
      </w:r>
    </w:p>
    <w:p w14:paraId="7D0B0C58">
      <w:pPr>
        <w:spacing w:line="360" w:lineRule="auto"/>
        <w:ind w:firstLine="211"/>
        <w:rPr>
          <w:rFonts w:ascii="宋体" w:hAnsi="宋体" w:cs="宋体"/>
          <w:szCs w:val="21"/>
          <w:highlight w:val="none"/>
        </w:rPr>
      </w:pPr>
      <w:r>
        <w:rPr>
          <w:rFonts w:hint="eastAsia" w:ascii="宋体" w:hAnsi="宋体" w:cs="宋体"/>
          <w:szCs w:val="21"/>
          <w:highlight w:val="none"/>
        </w:rPr>
        <w:t xml:space="preserve">                                          </w:t>
      </w:r>
    </w:p>
    <w:p w14:paraId="1756652A">
      <w:pPr>
        <w:spacing w:line="360" w:lineRule="auto"/>
        <w:ind w:firstLine="211"/>
        <w:rPr>
          <w:rFonts w:ascii="宋体" w:hAnsi="宋体" w:cs="宋体"/>
          <w:szCs w:val="21"/>
          <w:highlight w:val="none"/>
        </w:rPr>
      </w:pPr>
      <w:r>
        <w:rPr>
          <w:rFonts w:hint="eastAsia" w:ascii="宋体" w:hAnsi="宋体" w:cs="宋体"/>
          <w:szCs w:val="21"/>
          <w:highlight w:val="none"/>
        </w:rPr>
        <w:t>投标单位全称：</w:t>
      </w:r>
      <w:r>
        <w:rPr>
          <w:rFonts w:hint="eastAsia" w:ascii="宋体" w:hAnsi="宋体" w:cs="宋体"/>
          <w:szCs w:val="21"/>
          <w:highlight w:val="none"/>
          <w:u w:val="single"/>
        </w:rPr>
        <w:t xml:space="preserve">                     </w:t>
      </w:r>
      <w:r>
        <w:rPr>
          <w:rFonts w:hint="eastAsia" w:ascii="宋体" w:hAnsi="宋体" w:cs="宋体"/>
          <w:szCs w:val="21"/>
          <w:highlight w:val="none"/>
        </w:rPr>
        <w:t>（盖章）</w:t>
      </w:r>
    </w:p>
    <w:p w14:paraId="5EB07525">
      <w:pPr>
        <w:spacing w:line="360" w:lineRule="auto"/>
        <w:ind w:firstLine="211"/>
        <w:rPr>
          <w:rFonts w:ascii="宋体" w:hAnsi="宋体" w:cs="宋体"/>
          <w:szCs w:val="21"/>
          <w:highlight w:val="none"/>
        </w:rPr>
      </w:pPr>
      <w:r>
        <w:rPr>
          <w:rFonts w:hint="eastAsia" w:ascii="宋体" w:hAnsi="宋体" w:cs="宋体"/>
          <w:szCs w:val="21"/>
          <w:highlight w:val="none"/>
        </w:rPr>
        <w:t>法定代表人或被授权人：</w:t>
      </w:r>
      <w:r>
        <w:rPr>
          <w:rFonts w:hint="eastAsia" w:ascii="宋体" w:hAnsi="宋体" w:cs="宋体"/>
          <w:szCs w:val="21"/>
          <w:highlight w:val="none"/>
          <w:u w:val="single"/>
        </w:rPr>
        <w:t xml:space="preserve">             （签字或盖章）</w:t>
      </w:r>
    </w:p>
    <w:p w14:paraId="75863336">
      <w:pPr>
        <w:spacing w:line="360" w:lineRule="auto"/>
        <w:ind w:firstLine="211"/>
        <w:rPr>
          <w:rFonts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 xml:space="preserve">                              </w:t>
      </w:r>
    </w:p>
    <w:p w14:paraId="4FDC149C">
      <w:pPr>
        <w:spacing w:line="360" w:lineRule="auto"/>
        <w:ind w:firstLine="211"/>
        <w:rPr>
          <w:rFonts w:ascii="宋体" w:hAnsi="宋体" w:cs="宋体"/>
          <w:szCs w:val="21"/>
          <w:highlight w:val="none"/>
          <w:u w:val="single"/>
        </w:rPr>
      </w:pPr>
      <w:r>
        <w:rPr>
          <w:rFonts w:hint="eastAsia" w:ascii="宋体" w:hAnsi="宋体" w:cs="宋体"/>
          <w:szCs w:val="21"/>
          <w:highlight w:val="none"/>
        </w:rPr>
        <w:t>开 户 行：</w:t>
      </w:r>
      <w:r>
        <w:rPr>
          <w:rFonts w:hint="eastAsia" w:ascii="宋体" w:hAnsi="宋体" w:cs="宋体"/>
          <w:szCs w:val="21"/>
          <w:highlight w:val="none"/>
          <w:u w:val="single"/>
        </w:rPr>
        <w:t xml:space="preserve">                              </w:t>
      </w:r>
    </w:p>
    <w:p w14:paraId="1926884E">
      <w:pPr>
        <w:spacing w:line="360" w:lineRule="auto"/>
        <w:ind w:firstLine="211"/>
        <w:rPr>
          <w:rFonts w:ascii="宋体" w:hAnsi="宋体" w:cs="宋体"/>
          <w:szCs w:val="21"/>
          <w:highlight w:val="none"/>
        </w:rPr>
      </w:pPr>
      <w:r>
        <w:rPr>
          <w:rFonts w:hint="eastAsia" w:ascii="宋体" w:hAnsi="宋体" w:cs="宋体"/>
          <w:szCs w:val="21"/>
          <w:highlight w:val="none"/>
        </w:rPr>
        <w:t>帐    号：</w:t>
      </w:r>
      <w:r>
        <w:rPr>
          <w:rFonts w:hint="eastAsia" w:ascii="宋体" w:hAnsi="宋体" w:cs="宋体"/>
          <w:szCs w:val="21"/>
          <w:highlight w:val="none"/>
          <w:u w:val="single"/>
        </w:rPr>
        <w:t xml:space="preserve">                              </w:t>
      </w:r>
    </w:p>
    <w:p w14:paraId="07270268">
      <w:pPr>
        <w:spacing w:line="360" w:lineRule="auto"/>
        <w:ind w:firstLine="211"/>
        <w:rPr>
          <w:rFonts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p>
    <w:p w14:paraId="659217F9">
      <w:pPr>
        <w:spacing w:line="360" w:lineRule="auto"/>
        <w:ind w:firstLine="211"/>
        <w:rPr>
          <w:rFonts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p>
    <w:p w14:paraId="3E9795BA">
      <w:pPr>
        <w:spacing w:line="360" w:lineRule="auto"/>
        <w:ind w:firstLine="211"/>
        <w:rPr>
          <w:rFonts w:ascii="宋体" w:hAnsi="宋体" w:cs="宋体"/>
          <w:sz w:val="24"/>
          <w:szCs w:val="24"/>
          <w:highlight w:val="none"/>
          <w:u w:val="single"/>
        </w:rPr>
      </w:pPr>
      <w:r>
        <w:rPr>
          <w:rFonts w:hint="eastAsia" w:ascii="宋体" w:hAnsi="宋体" w:cs="宋体"/>
          <w:szCs w:val="21"/>
          <w:highlight w:val="none"/>
        </w:rPr>
        <w:t>邮    编：</w:t>
      </w:r>
      <w:r>
        <w:rPr>
          <w:rFonts w:hint="eastAsia" w:ascii="宋体" w:hAnsi="宋体" w:cs="宋体"/>
          <w:szCs w:val="21"/>
          <w:highlight w:val="none"/>
          <w:u w:val="single"/>
        </w:rPr>
        <w:t xml:space="preserve">     </w:t>
      </w:r>
      <w:r>
        <w:rPr>
          <w:rFonts w:hint="eastAsia" w:ascii="宋体" w:hAnsi="宋体" w:cs="宋体"/>
          <w:sz w:val="24"/>
          <w:szCs w:val="24"/>
          <w:highlight w:val="none"/>
          <w:u w:val="single"/>
        </w:rPr>
        <w:t xml:space="preserve">                         </w:t>
      </w:r>
    </w:p>
    <w:p w14:paraId="0C9166ED">
      <w:pPr>
        <w:spacing w:line="360" w:lineRule="auto"/>
        <w:ind w:firstLine="211"/>
        <w:rPr>
          <w:rFonts w:ascii="宋体" w:hAnsi="宋体" w:cs="宋体"/>
          <w:sz w:val="24"/>
          <w:szCs w:val="24"/>
          <w:highlight w:val="none"/>
        </w:rPr>
      </w:pPr>
    </w:p>
    <w:p w14:paraId="6DC2CA98">
      <w:pPr>
        <w:spacing w:line="360" w:lineRule="auto"/>
        <w:ind w:firstLine="211"/>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53477DE">
      <w:pPr>
        <w:pStyle w:val="6"/>
        <w:rPr>
          <w:rFonts w:ascii="宋体" w:hAnsi="宋体" w:cs="宋体"/>
          <w:sz w:val="24"/>
          <w:szCs w:val="24"/>
          <w:highlight w:val="none"/>
        </w:rPr>
      </w:pPr>
    </w:p>
    <w:p w14:paraId="41BE16E8">
      <w:pPr>
        <w:rPr>
          <w:rFonts w:ascii="宋体" w:hAnsi="宋体" w:cs="宋体"/>
          <w:sz w:val="24"/>
          <w:szCs w:val="24"/>
          <w:highlight w:val="none"/>
        </w:rPr>
      </w:pPr>
    </w:p>
    <w:p w14:paraId="66EEA816">
      <w:pPr>
        <w:snapToGrid w:val="0"/>
        <w:spacing w:line="360" w:lineRule="auto"/>
        <w:ind w:firstLine="643" w:firstLineChars="200"/>
        <w:jc w:val="center"/>
        <w:rPr>
          <w:rStyle w:val="43"/>
          <w:rFonts w:ascii="宋体" w:hAnsi="宋体"/>
          <w:b/>
          <w:sz w:val="32"/>
          <w:szCs w:val="32"/>
          <w:highlight w:val="none"/>
        </w:rPr>
      </w:pPr>
      <w:r>
        <w:rPr>
          <w:rStyle w:val="43"/>
          <w:rFonts w:ascii="宋体" w:hAnsi="宋体"/>
          <w:b/>
          <w:sz w:val="32"/>
          <w:szCs w:val="32"/>
          <w:highlight w:val="none"/>
        </w:rPr>
        <w:t>开标一览表</w:t>
      </w:r>
    </w:p>
    <w:p w14:paraId="2BCFEF69">
      <w:pPr>
        <w:snapToGrid w:val="0"/>
        <w:spacing w:line="360" w:lineRule="auto"/>
        <w:ind w:firstLine="643" w:firstLineChars="200"/>
        <w:jc w:val="center"/>
        <w:rPr>
          <w:rStyle w:val="43"/>
          <w:rFonts w:ascii="宋体" w:hAnsi="宋体"/>
          <w:b/>
          <w:sz w:val="32"/>
          <w:szCs w:val="32"/>
          <w:highlight w:val="none"/>
          <w:lang w:val="zh-CN"/>
        </w:rPr>
      </w:pPr>
    </w:p>
    <w:p w14:paraId="358B2A9A">
      <w:pPr>
        <w:spacing w:line="360" w:lineRule="auto"/>
        <w:rPr>
          <w:rStyle w:val="43"/>
          <w:rFonts w:ascii="宋体" w:hAnsi="宋体" w:cs="Times New Roman"/>
          <w:b/>
          <w:bCs/>
          <w:szCs w:val="21"/>
          <w:highlight w:val="none"/>
          <w:u w:val="single"/>
          <w:lang w:val="zh-CN"/>
        </w:rPr>
      </w:pPr>
      <w:r>
        <w:rPr>
          <w:rFonts w:hint="eastAsia" w:ascii="宋体" w:hAnsi="宋体" w:cs="宋体"/>
          <w:b/>
          <w:szCs w:val="21"/>
          <w:highlight w:val="none"/>
          <w:u w:val="single"/>
        </w:rPr>
        <w:t xml:space="preserve">                       （招标人名称）</w:t>
      </w:r>
      <w:r>
        <w:rPr>
          <w:rFonts w:hint="eastAsia" w:ascii="宋体" w:hAnsi="宋体" w:cs="宋体"/>
          <w:b/>
          <w:szCs w:val="21"/>
          <w:highlight w:val="none"/>
        </w:rPr>
        <w:t>：</w:t>
      </w:r>
    </w:p>
    <w:p w14:paraId="26A9D065">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我方已仔细研究了招标文件的全部内容，决定参加本项目投标。为此，我方郑重声明以下诸点，并负法律责任。</w:t>
      </w:r>
    </w:p>
    <w:tbl>
      <w:tblPr>
        <w:tblStyle w:val="25"/>
        <w:tblW w:w="8599"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1"/>
        <w:gridCol w:w="6288"/>
      </w:tblGrid>
      <w:tr w14:paraId="3552A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311" w:type="dxa"/>
            <w:tcBorders>
              <w:top w:val="single" w:color="000000" w:sz="4" w:space="0"/>
              <w:left w:val="single" w:color="000000" w:sz="4" w:space="0"/>
              <w:bottom w:val="single" w:color="000000" w:sz="4" w:space="0"/>
              <w:right w:val="single" w:color="000000" w:sz="4" w:space="0"/>
            </w:tcBorders>
            <w:vAlign w:val="center"/>
          </w:tcPr>
          <w:p w14:paraId="573E59FD">
            <w:pPr>
              <w:snapToGrid w:val="0"/>
              <w:ind w:firstLine="420" w:firstLineChars="200"/>
              <w:rPr>
                <w:rStyle w:val="43"/>
                <w:rFonts w:cs="Times New Roman"/>
                <w:bCs/>
                <w:color w:val="000000"/>
                <w:szCs w:val="21"/>
                <w:highlight w:val="none"/>
              </w:rPr>
            </w:pPr>
            <w:r>
              <w:rPr>
                <w:rStyle w:val="43"/>
                <w:rFonts w:cs="Times New Roman"/>
                <w:bCs/>
                <w:color w:val="000000"/>
                <w:szCs w:val="21"/>
                <w:highlight w:val="none"/>
              </w:rPr>
              <w:t>投标</w:t>
            </w:r>
            <w:r>
              <w:rPr>
                <w:rStyle w:val="43"/>
                <w:rFonts w:hint="eastAsia" w:cs="Times New Roman"/>
                <w:bCs/>
                <w:color w:val="000000"/>
                <w:szCs w:val="21"/>
                <w:highlight w:val="none"/>
              </w:rPr>
              <w:t>总</w:t>
            </w:r>
            <w:r>
              <w:rPr>
                <w:rStyle w:val="43"/>
                <w:rFonts w:cs="Times New Roman"/>
                <w:bCs/>
                <w:color w:val="000000"/>
                <w:szCs w:val="21"/>
                <w:highlight w:val="none"/>
              </w:rPr>
              <w:t>价（元）</w:t>
            </w:r>
          </w:p>
        </w:tc>
        <w:tc>
          <w:tcPr>
            <w:tcW w:w="6288" w:type="dxa"/>
            <w:tcBorders>
              <w:top w:val="single" w:color="000000" w:sz="4" w:space="0"/>
              <w:left w:val="single" w:color="000000" w:sz="4" w:space="0"/>
              <w:bottom w:val="single" w:color="000000" w:sz="4" w:space="0"/>
              <w:right w:val="single" w:color="000000" w:sz="4" w:space="0"/>
            </w:tcBorders>
            <w:vAlign w:val="center"/>
          </w:tcPr>
          <w:p w14:paraId="32569491">
            <w:pPr>
              <w:pStyle w:val="12"/>
              <w:spacing w:line="240" w:lineRule="auto"/>
              <w:jc w:val="left"/>
              <w:rPr>
                <w:rFonts w:hAnsi="宋体"/>
                <w:b/>
                <w:szCs w:val="21"/>
                <w:highlight w:val="none"/>
                <w:u w:val="single"/>
              </w:rPr>
            </w:pPr>
            <w:r>
              <w:rPr>
                <w:rFonts w:hint="eastAsia" w:hAnsi="宋体"/>
                <w:b/>
                <w:szCs w:val="21"/>
                <w:highlight w:val="none"/>
              </w:rPr>
              <w:t>大写：</w:t>
            </w:r>
            <w:r>
              <w:rPr>
                <w:rFonts w:hint="eastAsia" w:hAnsi="宋体"/>
                <w:b/>
                <w:szCs w:val="21"/>
                <w:highlight w:val="none"/>
                <w:u w:val="single"/>
              </w:rPr>
              <w:t xml:space="preserve">                      </w:t>
            </w:r>
          </w:p>
          <w:p w14:paraId="0CCCA2E0">
            <w:pPr>
              <w:snapToGrid w:val="0"/>
              <w:jc w:val="left"/>
              <w:rPr>
                <w:rStyle w:val="43"/>
                <w:b/>
                <w:color w:val="000000"/>
                <w:szCs w:val="21"/>
                <w:highlight w:val="none"/>
              </w:rPr>
            </w:pPr>
            <w:r>
              <w:rPr>
                <w:rFonts w:hint="eastAsia" w:hAnsi="宋体"/>
                <w:b/>
                <w:szCs w:val="21"/>
                <w:highlight w:val="none"/>
              </w:rPr>
              <w:t>¥：</w:t>
            </w:r>
            <w:r>
              <w:rPr>
                <w:rFonts w:hint="eastAsia" w:hAnsi="宋体"/>
                <w:b/>
                <w:szCs w:val="21"/>
                <w:highlight w:val="none"/>
                <w:u w:val="single"/>
              </w:rPr>
              <w:t xml:space="preserve">                         </w:t>
            </w:r>
          </w:p>
        </w:tc>
      </w:tr>
      <w:tr w14:paraId="3EB64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311" w:type="dxa"/>
            <w:tcBorders>
              <w:top w:val="single" w:color="000000" w:sz="4" w:space="0"/>
              <w:left w:val="single" w:color="000000" w:sz="4" w:space="0"/>
              <w:bottom w:val="single" w:color="000000" w:sz="4" w:space="0"/>
              <w:right w:val="single" w:color="000000" w:sz="4" w:space="0"/>
            </w:tcBorders>
            <w:vAlign w:val="center"/>
          </w:tcPr>
          <w:p w14:paraId="015D0EFD">
            <w:pPr>
              <w:snapToGrid w:val="0"/>
              <w:ind w:firstLine="420" w:firstLineChars="200"/>
              <w:rPr>
                <w:rStyle w:val="43"/>
                <w:rFonts w:cs="Times New Roman"/>
                <w:bCs/>
                <w:color w:val="000000"/>
                <w:szCs w:val="21"/>
                <w:highlight w:val="none"/>
              </w:rPr>
            </w:pPr>
            <w:r>
              <w:rPr>
                <w:rStyle w:val="43"/>
                <w:rFonts w:hint="eastAsia" w:cs="Times New Roman"/>
                <w:bCs/>
                <w:color w:val="000000"/>
                <w:szCs w:val="21"/>
                <w:highlight w:val="none"/>
              </w:rPr>
              <w:t>拟派项目经理</w:t>
            </w:r>
          </w:p>
        </w:tc>
        <w:tc>
          <w:tcPr>
            <w:tcW w:w="6288" w:type="dxa"/>
            <w:tcBorders>
              <w:top w:val="single" w:color="000000" w:sz="4" w:space="0"/>
              <w:left w:val="single" w:color="000000" w:sz="4" w:space="0"/>
              <w:bottom w:val="single" w:color="000000" w:sz="4" w:space="0"/>
              <w:right w:val="single" w:color="000000" w:sz="4" w:space="0"/>
            </w:tcBorders>
            <w:vAlign w:val="center"/>
          </w:tcPr>
          <w:p w14:paraId="602B3EF0">
            <w:pPr>
              <w:snapToGrid w:val="0"/>
              <w:jc w:val="center"/>
              <w:rPr>
                <w:rStyle w:val="43"/>
                <w:b/>
                <w:color w:val="000000"/>
                <w:szCs w:val="21"/>
                <w:highlight w:val="none"/>
              </w:rPr>
            </w:pPr>
          </w:p>
        </w:tc>
      </w:tr>
      <w:tr w14:paraId="12F2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311" w:type="dxa"/>
            <w:tcBorders>
              <w:top w:val="single" w:color="000000" w:sz="4" w:space="0"/>
              <w:left w:val="single" w:color="000000" w:sz="4" w:space="0"/>
              <w:bottom w:val="single" w:color="000000" w:sz="4" w:space="0"/>
              <w:right w:val="single" w:color="000000" w:sz="4" w:space="0"/>
            </w:tcBorders>
            <w:vAlign w:val="center"/>
          </w:tcPr>
          <w:p w14:paraId="00B5D84F">
            <w:pPr>
              <w:snapToGrid w:val="0"/>
              <w:ind w:firstLine="630" w:firstLineChars="300"/>
              <w:rPr>
                <w:rStyle w:val="43"/>
                <w:rFonts w:cs="Times New Roman"/>
                <w:bCs/>
                <w:color w:val="000000"/>
                <w:szCs w:val="21"/>
                <w:highlight w:val="none"/>
              </w:rPr>
            </w:pPr>
            <w:r>
              <w:rPr>
                <w:rStyle w:val="43"/>
                <w:rFonts w:hint="eastAsia" w:cs="Times New Roman"/>
                <w:bCs/>
                <w:color w:val="000000"/>
                <w:szCs w:val="21"/>
                <w:highlight w:val="none"/>
              </w:rPr>
              <w:t>计划工期</w:t>
            </w:r>
          </w:p>
        </w:tc>
        <w:tc>
          <w:tcPr>
            <w:tcW w:w="6288" w:type="dxa"/>
            <w:tcBorders>
              <w:top w:val="single" w:color="000000" w:sz="4" w:space="0"/>
              <w:left w:val="single" w:color="000000" w:sz="4" w:space="0"/>
              <w:bottom w:val="single" w:color="000000" w:sz="4" w:space="0"/>
              <w:right w:val="single" w:color="000000" w:sz="4" w:space="0"/>
            </w:tcBorders>
            <w:vAlign w:val="center"/>
          </w:tcPr>
          <w:p w14:paraId="60467C50">
            <w:pPr>
              <w:snapToGrid w:val="0"/>
              <w:jc w:val="center"/>
              <w:rPr>
                <w:rStyle w:val="43"/>
                <w:b/>
                <w:color w:val="000000"/>
                <w:szCs w:val="21"/>
                <w:highlight w:val="none"/>
              </w:rPr>
            </w:pPr>
          </w:p>
        </w:tc>
      </w:tr>
      <w:tr w14:paraId="3F3B7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311" w:type="dxa"/>
            <w:tcBorders>
              <w:top w:val="single" w:color="000000" w:sz="4" w:space="0"/>
              <w:left w:val="single" w:color="000000" w:sz="4" w:space="0"/>
              <w:bottom w:val="single" w:color="000000" w:sz="4" w:space="0"/>
              <w:right w:val="single" w:color="000000" w:sz="4" w:space="0"/>
            </w:tcBorders>
            <w:vAlign w:val="center"/>
          </w:tcPr>
          <w:p w14:paraId="414F0D58">
            <w:pPr>
              <w:snapToGrid w:val="0"/>
              <w:ind w:firstLine="630" w:firstLineChars="300"/>
              <w:rPr>
                <w:rStyle w:val="43"/>
                <w:rFonts w:cs="Times New Roman"/>
                <w:bCs/>
                <w:color w:val="000000"/>
                <w:szCs w:val="21"/>
                <w:highlight w:val="none"/>
              </w:rPr>
            </w:pPr>
            <w:r>
              <w:rPr>
                <w:rStyle w:val="43"/>
                <w:rFonts w:hint="eastAsia" w:cs="Times New Roman"/>
                <w:bCs/>
                <w:color w:val="000000"/>
                <w:szCs w:val="21"/>
                <w:highlight w:val="none"/>
              </w:rPr>
              <w:t>质量等级</w:t>
            </w:r>
          </w:p>
        </w:tc>
        <w:tc>
          <w:tcPr>
            <w:tcW w:w="6288" w:type="dxa"/>
            <w:tcBorders>
              <w:top w:val="single" w:color="000000" w:sz="4" w:space="0"/>
              <w:left w:val="single" w:color="000000" w:sz="4" w:space="0"/>
              <w:bottom w:val="single" w:color="000000" w:sz="4" w:space="0"/>
              <w:right w:val="single" w:color="000000" w:sz="4" w:space="0"/>
            </w:tcBorders>
            <w:vAlign w:val="center"/>
          </w:tcPr>
          <w:p w14:paraId="095520A5">
            <w:pPr>
              <w:snapToGrid w:val="0"/>
              <w:jc w:val="center"/>
              <w:rPr>
                <w:rStyle w:val="43"/>
                <w:b/>
                <w:color w:val="000000"/>
                <w:szCs w:val="21"/>
                <w:highlight w:val="none"/>
              </w:rPr>
            </w:pPr>
          </w:p>
        </w:tc>
      </w:tr>
      <w:tr w14:paraId="352F3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2311" w:type="dxa"/>
            <w:tcBorders>
              <w:top w:val="single" w:color="000000" w:sz="4" w:space="0"/>
              <w:left w:val="single" w:color="000000" w:sz="4" w:space="0"/>
              <w:bottom w:val="single" w:color="000000" w:sz="4" w:space="0"/>
              <w:right w:val="single" w:color="000000" w:sz="4" w:space="0"/>
            </w:tcBorders>
            <w:vAlign w:val="center"/>
          </w:tcPr>
          <w:p w14:paraId="5C554C34">
            <w:pPr>
              <w:snapToGrid w:val="0"/>
              <w:ind w:firstLine="420" w:firstLineChars="200"/>
              <w:rPr>
                <w:rStyle w:val="43"/>
                <w:rFonts w:cs="Times New Roman"/>
                <w:bCs/>
                <w:color w:val="000000"/>
                <w:szCs w:val="21"/>
                <w:highlight w:val="none"/>
              </w:rPr>
            </w:pPr>
            <w:r>
              <w:rPr>
                <w:rStyle w:val="43"/>
                <w:rFonts w:cs="Times New Roman"/>
                <w:bCs/>
                <w:color w:val="000000"/>
                <w:szCs w:val="21"/>
                <w:highlight w:val="none"/>
              </w:rPr>
              <w:t>其他说明事项</w:t>
            </w:r>
          </w:p>
          <w:p w14:paraId="35E87F77">
            <w:pPr>
              <w:snapToGrid w:val="0"/>
              <w:ind w:firstLine="630" w:firstLineChars="300"/>
              <w:rPr>
                <w:rStyle w:val="43"/>
                <w:rFonts w:cs="Times New Roman"/>
                <w:bCs/>
                <w:color w:val="000000"/>
                <w:szCs w:val="21"/>
                <w:highlight w:val="none"/>
              </w:rPr>
            </w:pPr>
            <w:r>
              <w:rPr>
                <w:rStyle w:val="43"/>
                <w:rFonts w:cs="Times New Roman"/>
                <w:bCs/>
                <w:color w:val="000000"/>
                <w:szCs w:val="21"/>
                <w:highlight w:val="none"/>
              </w:rPr>
              <w:t>（如有）</w:t>
            </w:r>
          </w:p>
        </w:tc>
        <w:tc>
          <w:tcPr>
            <w:tcW w:w="6288" w:type="dxa"/>
            <w:tcBorders>
              <w:top w:val="single" w:color="000000" w:sz="4" w:space="0"/>
              <w:left w:val="single" w:color="000000" w:sz="4" w:space="0"/>
              <w:bottom w:val="single" w:color="000000" w:sz="4" w:space="0"/>
              <w:right w:val="single" w:color="000000" w:sz="4" w:space="0"/>
            </w:tcBorders>
            <w:vAlign w:val="center"/>
          </w:tcPr>
          <w:p w14:paraId="4ECAFC91">
            <w:pPr>
              <w:snapToGrid w:val="0"/>
              <w:spacing w:line="360" w:lineRule="auto"/>
              <w:jc w:val="center"/>
              <w:rPr>
                <w:rStyle w:val="43"/>
                <w:rFonts w:cs="Times New Roman"/>
                <w:bCs/>
                <w:color w:val="000000"/>
                <w:szCs w:val="21"/>
                <w:highlight w:val="none"/>
              </w:rPr>
            </w:pPr>
          </w:p>
        </w:tc>
      </w:tr>
    </w:tbl>
    <w:p w14:paraId="7AE14292">
      <w:pPr>
        <w:rPr>
          <w:highlight w:val="none"/>
          <w:lang w:val="zh-CN"/>
        </w:rPr>
      </w:pPr>
    </w:p>
    <w:p w14:paraId="12255AEF">
      <w:pPr>
        <w:snapToGrid w:val="0"/>
        <w:spacing w:line="360" w:lineRule="auto"/>
        <w:ind w:firstLine="420" w:firstLineChars="200"/>
        <w:jc w:val="right"/>
        <w:rPr>
          <w:rStyle w:val="43"/>
          <w:rFonts w:ascii="宋体" w:hAnsi="宋体"/>
          <w:szCs w:val="21"/>
          <w:highlight w:val="none"/>
        </w:rPr>
      </w:pPr>
      <w:r>
        <w:rPr>
          <w:rStyle w:val="43"/>
          <w:rFonts w:hint="eastAsia" w:ascii="宋体" w:hAnsi="宋体"/>
          <w:szCs w:val="21"/>
          <w:highlight w:val="none"/>
        </w:rPr>
        <w:t xml:space="preserve"> </w:t>
      </w:r>
    </w:p>
    <w:p w14:paraId="78B1AA81">
      <w:pPr>
        <w:snapToGrid w:val="0"/>
        <w:spacing w:line="360" w:lineRule="auto"/>
        <w:ind w:firstLine="420" w:firstLineChars="200"/>
        <w:jc w:val="right"/>
        <w:rPr>
          <w:rStyle w:val="43"/>
          <w:rFonts w:ascii="宋体" w:hAnsi="宋体"/>
          <w:szCs w:val="21"/>
          <w:highlight w:val="none"/>
        </w:rPr>
      </w:pPr>
    </w:p>
    <w:p w14:paraId="52A9BD71">
      <w:pPr>
        <w:snapToGrid w:val="0"/>
        <w:spacing w:line="360" w:lineRule="auto"/>
        <w:ind w:firstLine="420" w:firstLineChars="200"/>
        <w:jc w:val="right"/>
        <w:rPr>
          <w:rStyle w:val="43"/>
          <w:rFonts w:ascii="宋体" w:hAnsi="宋体"/>
          <w:szCs w:val="21"/>
          <w:highlight w:val="none"/>
        </w:rPr>
      </w:pPr>
    </w:p>
    <w:p w14:paraId="3E7B6C51">
      <w:pPr>
        <w:snapToGrid w:val="0"/>
        <w:spacing w:line="360" w:lineRule="auto"/>
        <w:ind w:firstLine="420" w:firstLineChars="200"/>
        <w:jc w:val="right"/>
        <w:rPr>
          <w:rStyle w:val="43"/>
          <w:rFonts w:ascii="宋体" w:hAnsi="宋体"/>
          <w:szCs w:val="21"/>
          <w:highlight w:val="none"/>
          <w:lang w:val="zh-CN"/>
        </w:rPr>
      </w:pPr>
      <w:r>
        <w:rPr>
          <w:rStyle w:val="43"/>
          <w:rFonts w:hint="eastAsia" w:ascii="宋体" w:hAnsi="宋体"/>
          <w:szCs w:val="21"/>
          <w:highlight w:val="none"/>
        </w:rPr>
        <w:t xml:space="preserve">  </w:t>
      </w:r>
      <w:r>
        <w:rPr>
          <w:rStyle w:val="43"/>
          <w:rFonts w:ascii="宋体" w:hAnsi="宋体"/>
          <w:szCs w:val="21"/>
          <w:highlight w:val="none"/>
          <w:lang w:val="zh-CN"/>
        </w:rPr>
        <w:t>投标人：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（盖单位公章）</w:t>
      </w:r>
    </w:p>
    <w:p w14:paraId="30203550">
      <w:pPr>
        <w:snapToGrid w:val="0"/>
        <w:spacing w:line="360" w:lineRule="auto"/>
        <w:ind w:firstLine="420" w:firstLineChars="200"/>
        <w:jc w:val="right"/>
        <w:rPr>
          <w:rStyle w:val="43"/>
          <w:rFonts w:ascii="宋体" w:hAnsi="宋体"/>
          <w:szCs w:val="21"/>
          <w:highlight w:val="none"/>
          <w:u w:val="single"/>
          <w:lang w:val="zh-CN"/>
        </w:rPr>
      </w:pPr>
      <w:r>
        <w:rPr>
          <w:rStyle w:val="43"/>
          <w:rFonts w:hint="eastAsia" w:ascii="宋体" w:hAnsi="宋体"/>
          <w:szCs w:val="21"/>
          <w:highlight w:val="none"/>
        </w:rPr>
        <w:t xml:space="preserve">    </w:t>
      </w:r>
      <w:r>
        <w:rPr>
          <w:rStyle w:val="43"/>
          <w:rFonts w:ascii="宋体" w:hAnsi="宋体"/>
          <w:szCs w:val="21"/>
          <w:highlight w:val="none"/>
          <w:lang w:val="zh-CN"/>
        </w:rPr>
        <w:t>法定代表人（单位负责人）或其委托代理人</w:t>
      </w:r>
      <w:r>
        <w:rPr>
          <w:rStyle w:val="43"/>
          <w:rFonts w:ascii="宋体" w:hAnsi="宋体"/>
          <w:szCs w:val="21"/>
          <w:highlight w:val="none"/>
          <w:u w:val="single" w:color="000000"/>
          <w:lang w:val="zh-CN"/>
        </w:rPr>
        <w:t>：      （签字或盖章）</w:t>
      </w:r>
    </w:p>
    <w:p w14:paraId="56A1DD47">
      <w:pPr>
        <w:snapToGrid w:val="0"/>
        <w:spacing w:line="360" w:lineRule="auto"/>
        <w:ind w:firstLine="420" w:firstLineChars="200"/>
        <w:jc w:val="left"/>
        <w:rPr>
          <w:rStyle w:val="43"/>
          <w:rFonts w:ascii="宋体" w:hAnsi="宋体"/>
          <w:szCs w:val="21"/>
          <w:highlight w:val="none"/>
          <w:u w:val="single"/>
        </w:rPr>
      </w:pPr>
      <w:r>
        <w:rPr>
          <w:rStyle w:val="43"/>
          <w:rFonts w:ascii="宋体" w:hAnsi="宋体"/>
          <w:szCs w:val="21"/>
          <w:highlight w:val="none"/>
        </w:rPr>
        <w:t xml:space="preserve">                           </w:t>
      </w:r>
      <w:r>
        <w:rPr>
          <w:rStyle w:val="43"/>
          <w:rFonts w:hint="eastAsia" w:ascii="宋体" w:hAnsi="宋体"/>
          <w:szCs w:val="21"/>
          <w:highlight w:val="none"/>
        </w:rPr>
        <w:t xml:space="preserve">   </w:t>
      </w:r>
      <w:r>
        <w:rPr>
          <w:rStyle w:val="43"/>
          <w:rFonts w:ascii="宋体" w:hAnsi="宋体"/>
          <w:szCs w:val="21"/>
          <w:highlight w:val="none"/>
        </w:rPr>
        <w:t>联</w:t>
      </w:r>
      <w:r>
        <w:rPr>
          <w:rStyle w:val="43"/>
          <w:rFonts w:hint="eastAsia" w:ascii="宋体" w:hAnsi="宋体"/>
          <w:szCs w:val="21"/>
          <w:highlight w:val="none"/>
        </w:rPr>
        <w:t xml:space="preserve"> </w:t>
      </w:r>
      <w:r>
        <w:rPr>
          <w:rStyle w:val="43"/>
          <w:rFonts w:ascii="宋体" w:hAnsi="宋体"/>
          <w:szCs w:val="21"/>
          <w:highlight w:val="none"/>
        </w:rPr>
        <w:t>系</w:t>
      </w:r>
      <w:r>
        <w:rPr>
          <w:rStyle w:val="43"/>
          <w:rFonts w:hint="eastAsia" w:ascii="宋体" w:hAnsi="宋体"/>
          <w:szCs w:val="21"/>
          <w:highlight w:val="none"/>
        </w:rPr>
        <w:t xml:space="preserve"> </w:t>
      </w:r>
      <w:r>
        <w:rPr>
          <w:rStyle w:val="43"/>
          <w:rFonts w:ascii="宋体" w:hAnsi="宋体"/>
          <w:szCs w:val="21"/>
          <w:highlight w:val="none"/>
        </w:rPr>
        <w:t>人：</w:t>
      </w:r>
      <w:r>
        <w:rPr>
          <w:rStyle w:val="43"/>
          <w:rFonts w:hint="eastAsia" w:ascii="宋体" w:hAnsi="宋体"/>
          <w:szCs w:val="21"/>
          <w:highlight w:val="none"/>
          <w:u w:val="single"/>
        </w:rPr>
        <w:t xml:space="preserve">        </w:t>
      </w:r>
      <w:r>
        <w:rPr>
          <w:rStyle w:val="43"/>
          <w:rFonts w:ascii="宋体" w:hAnsi="宋体"/>
          <w:szCs w:val="21"/>
          <w:highlight w:val="none"/>
          <w:u w:val="single"/>
        </w:rPr>
        <w:t xml:space="preserve">  </w:t>
      </w:r>
      <w:r>
        <w:rPr>
          <w:rStyle w:val="43"/>
          <w:rFonts w:ascii="宋体" w:hAnsi="宋体"/>
          <w:szCs w:val="21"/>
          <w:highlight w:val="none"/>
          <w:u w:val="single" w:color="000000"/>
        </w:rPr>
        <w:t xml:space="preserve">                                      </w:t>
      </w:r>
    </w:p>
    <w:p w14:paraId="5F1A629F">
      <w:pPr>
        <w:snapToGrid w:val="0"/>
        <w:spacing w:line="360" w:lineRule="auto"/>
        <w:ind w:firstLine="3570" w:firstLineChars="1700"/>
        <w:jc w:val="left"/>
        <w:rPr>
          <w:rStyle w:val="43"/>
          <w:rFonts w:ascii="宋体" w:hAnsi="宋体"/>
          <w:szCs w:val="21"/>
          <w:highlight w:val="none"/>
          <w:u w:val="single"/>
        </w:rPr>
      </w:pPr>
      <w:r>
        <w:rPr>
          <w:rStyle w:val="43"/>
          <w:rFonts w:ascii="宋体" w:hAnsi="宋体"/>
          <w:szCs w:val="21"/>
          <w:highlight w:val="none"/>
        </w:rPr>
        <w:t>联系方式：</w:t>
      </w:r>
      <w:r>
        <w:rPr>
          <w:rStyle w:val="43"/>
          <w:rFonts w:hint="eastAsia" w:ascii="宋体" w:hAnsi="宋体"/>
          <w:szCs w:val="21"/>
          <w:highlight w:val="none"/>
        </w:rPr>
        <w:t xml:space="preserve">  </w:t>
      </w:r>
      <w:r>
        <w:rPr>
          <w:rStyle w:val="43"/>
          <w:rFonts w:hint="eastAsia" w:ascii="宋体" w:hAnsi="宋体"/>
          <w:szCs w:val="21"/>
          <w:highlight w:val="none"/>
          <w:u w:val="single" w:color="000000"/>
        </w:rPr>
        <w:t xml:space="preserve">   </w:t>
      </w:r>
      <w:r>
        <w:rPr>
          <w:rStyle w:val="43"/>
          <w:rFonts w:ascii="宋体" w:hAnsi="宋体"/>
          <w:szCs w:val="21"/>
          <w:highlight w:val="none"/>
          <w:u w:val="single" w:color="000000"/>
        </w:rPr>
        <w:t xml:space="preserve">                                      </w:t>
      </w:r>
    </w:p>
    <w:p w14:paraId="64967A52">
      <w:pPr>
        <w:snapToGrid w:val="0"/>
        <w:spacing w:line="360" w:lineRule="auto"/>
        <w:ind w:firstLine="3570" w:firstLineChars="1700"/>
        <w:jc w:val="left"/>
        <w:rPr>
          <w:rStyle w:val="43"/>
          <w:rFonts w:ascii="宋体" w:hAnsi="宋体"/>
          <w:szCs w:val="21"/>
          <w:highlight w:val="none"/>
          <w:u w:val="single"/>
        </w:rPr>
      </w:pPr>
      <w:r>
        <w:rPr>
          <w:rStyle w:val="43"/>
          <w:rFonts w:ascii="宋体" w:hAnsi="宋体"/>
          <w:szCs w:val="21"/>
          <w:highlight w:val="none"/>
        </w:rPr>
        <w:t xml:space="preserve">单位地址：                      </w:t>
      </w:r>
      <w:r>
        <w:rPr>
          <w:rStyle w:val="43"/>
          <w:rFonts w:ascii="宋体" w:hAnsi="宋体"/>
          <w:szCs w:val="21"/>
          <w:highlight w:val="none"/>
          <w:u w:val="single" w:color="000000"/>
        </w:rPr>
        <w:t xml:space="preserve">                </w:t>
      </w:r>
    </w:p>
    <w:p w14:paraId="2B1B4FF6">
      <w:pPr>
        <w:snapToGrid w:val="0"/>
        <w:rPr>
          <w:rStyle w:val="43"/>
          <w:rFonts w:ascii="宋体" w:hAnsi="宋体"/>
          <w:szCs w:val="21"/>
          <w:highlight w:val="none"/>
        </w:rPr>
      </w:pPr>
      <w:r>
        <w:rPr>
          <w:rStyle w:val="43"/>
          <w:rFonts w:ascii="宋体" w:hAnsi="宋体"/>
          <w:szCs w:val="21"/>
          <w:highlight w:val="none"/>
        </w:rPr>
        <w:t xml:space="preserve">                            </w:t>
      </w:r>
    </w:p>
    <w:p w14:paraId="2923ECAE">
      <w:pPr>
        <w:ind w:firstLine="3570" w:firstLineChars="1700"/>
        <w:rPr>
          <w:highlight w:val="none"/>
        </w:rPr>
      </w:pPr>
      <w:r>
        <w:rPr>
          <w:rStyle w:val="43"/>
          <w:rFonts w:ascii="宋体" w:hAnsi="宋体"/>
          <w:szCs w:val="21"/>
          <w:highlight w:val="none"/>
          <w:lang w:val="zh-CN"/>
        </w:rPr>
        <w:t>年    月    日</w:t>
      </w:r>
      <w:r>
        <w:rPr>
          <w:rStyle w:val="43"/>
          <w:rFonts w:ascii="宋体" w:hAnsi="宋体"/>
          <w:szCs w:val="21"/>
          <w:highlight w:val="none"/>
          <w:lang w:val="zh-CN"/>
        </w:rPr>
        <w:br w:type="page"/>
      </w:r>
    </w:p>
    <w:p w14:paraId="7168562B">
      <w:pPr>
        <w:snapToGrid w:val="0"/>
        <w:spacing w:line="360" w:lineRule="auto"/>
        <w:jc w:val="center"/>
        <w:rPr>
          <w:rStyle w:val="43"/>
          <w:rFonts w:ascii="宋体" w:hAnsi="宋体" w:cs="Times New Roman"/>
          <w:b/>
          <w:sz w:val="32"/>
          <w:szCs w:val="32"/>
          <w:highlight w:val="none"/>
        </w:rPr>
      </w:pPr>
      <w:r>
        <w:rPr>
          <w:rStyle w:val="43"/>
          <w:rFonts w:hint="eastAsia" w:ascii="宋体" w:hAnsi="宋体" w:cs="Times New Roman"/>
          <w:b/>
          <w:sz w:val="32"/>
          <w:szCs w:val="32"/>
          <w:highlight w:val="none"/>
        </w:rPr>
        <w:t>二、已标价工程量清单</w:t>
      </w:r>
    </w:p>
    <w:p w14:paraId="785E1805">
      <w:pPr>
        <w:jc w:val="center"/>
        <w:rPr>
          <w:highlight w:val="none"/>
        </w:rPr>
      </w:pPr>
    </w:p>
    <w:p w14:paraId="49D261D8">
      <w:pPr>
        <w:jc w:val="center"/>
        <w:rPr>
          <w:highlight w:val="none"/>
        </w:rPr>
      </w:pPr>
      <w:r>
        <w:rPr>
          <w:rFonts w:hint="eastAsia"/>
          <w:highlight w:val="none"/>
        </w:rPr>
        <w:t>按照清单中格式要求</w:t>
      </w:r>
      <w:r>
        <w:rPr>
          <w:rFonts w:hint="eastAsia"/>
          <w:highlight w:val="none"/>
          <w:lang w:val="en-US" w:eastAsia="zh-CN"/>
        </w:rPr>
        <w:t>自行</w:t>
      </w:r>
      <w:r>
        <w:rPr>
          <w:rFonts w:hint="eastAsia"/>
          <w:highlight w:val="none"/>
        </w:rPr>
        <w:t>编制</w:t>
      </w:r>
    </w:p>
    <w:p w14:paraId="0E4F36F9">
      <w:pPr>
        <w:snapToGrid w:val="0"/>
        <w:rPr>
          <w:rStyle w:val="43"/>
          <w:rFonts w:ascii="宋体" w:hAnsi="宋体"/>
          <w:szCs w:val="21"/>
          <w:highlight w:val="none"/>
          <w:lang w:val="zh-CN"/>
        </w:rPr>
      </w:pPr>
    </w:p>
    <w:p w14:paraId="2EC45BBF">
      <w:pPr>
        <w:snapToGrid w:val="0"/>
        <w:spacing w:line="360" w:lineRule="auto"/>
        <w:jc w:val="center"/>
        <w:rPr>
          <w:rStyle w:val="43"/>
          <w:rFonts w:ascii="宋体" w:hAnsi="宋体"/>
          <w:szCs w:val="21"/>
          <w:highlight w:val="none"/>
          <w:lang w:val="zh-CN"/>
        </w:rPr>
      </w:pPr>
    </w:p>
    <w:p w14:paraId="1A35AD14">
      <w:pPr>
        <w:pStyle w:val="6"/>
        <w:rPr>
          <w:rStyle w:val="43"/>
          <w:rFonts w:ascii="宋体" w:hAnsi="宋体"/>
          <w:sz w:val="21"/>
          <w:szCs w:val="21"/>
          <w:highlight w:val="none"/>
          <w:lang w:val="zh-CN"/>
        </w:rPr>
      </w:pPr>
    </w:p>
    <w:p w14:paraId="5E3C7D7E">
      <w:pPr>
        <w:rPr>
          <w:rStyle w:val="43"/>
          <w:rFonts w:ascii="宋体" w:hAnsi="宋体"/>
          <w:szCs w:val="21"/>
          <w:highlight w:val="none"/>
          <w:lang w:val="zh-CN"/>
        </w:rPr>
      </w:pPr>
    </w:p>
    <w:p w14:paraId="569A0CF1">
      <w:pPr>
        <w:pStyle w:val="6"/>
        <w:rPr>
          <w:rStyle w:val="43"/>
          <w:rFonts w:ascii="宋体" w:hAnsi="宋体"/>
          <w:sz w:val="21"/>
          <w:szCs w:val="21"/>
          <w:highlight w:val="none"/>
          <w:lang w:val="zh-CN"/>
        </w:rPr>
      </w:pPr>
    </w:p>
    <w:p w14:paraId="759A1590">
      <w:pPr>
        <w:rPr>
          <w:rStyle w:val="43"/>
          <w:rFonts w:ascii="宋体" w:hAnsi="宋体"/>
          <w:szCs w:val="21"/>
          <w:highlight w:val="none"/>
          <w:lang w:val="zh-CN"/>
        </w:rPr>
      </w:pPr>
    </w:p>
    <w:p w14:paraId="16C34E2C">
      <w:pPr>
        <w:pStyle w:val="6"/>
        <w:rPr>
          <w:rStyle w:val="43"/>
          <w:rFonts w:ascii="宋体" w:hAnsi="宋体"/>
          <w:sz w:val="21"/>
          <w:szCs w:val="21"/>
          <w:highlight w:val="none"/>
          <w:lang w:val="zh-CN"/>
        </w:rPr>
      </w:pPr>
    </w:p>
    <w:p w14:paraId="6D283D5B">
      <w:pPr>
        <w:rPr>
          <w:rStyle w:val="43"/>
          <w:rFonts w:ascii="宋体" w:hAnsi="宋体"/>
          <w:szCs w:val="21"/>
          <w:highlight w:val="none"/>
          <w:lang w:val="zh-CN"/>
        </w:rPr>
      </w:pPr>
    </w:p>
    <w:p w14:paraId="0BD40BED">
      <w:pPr>
        <w:pStyle w:val="6"/>
        <w:rPr>
          <w:rStyle w:val="43"/>
          <w:rFonts w:ascii="宋体" w:hAnsi="宋体"/>
          <w:sz w:val="21"/>
          <w:szCs w:val="21"/>
          <w:highlight w:val="none"/>
          <w:lang w:val="zh-CN"/>
        </w:rPr>
      </w:pPr>
    </w:p>
    <w:p w14:paraId="54E1120A">
      <w:pPr>
        <w:rPr>
          <w:rStyle w:val="43"/>
          <w:rFonts w:ascii="宋体" w:hAnsi="宋体"/>
          <w:szCs w:val="21"/>
          <w:highlight w:val="none"/>
          <w:lang w:val="zh-CN"/>
        </w:rPr>
      </w:pPr>
    </w:p>
    <w:p w14:paraId="7A9D7D14">
      <w:pPr>
        <w:pStyle w:val="6"/>
        <w:rPr>
          <w:rStyle w:val="43"/>
          <w:rFonts w:ascii="宋体" w:hAnsi="宋体"/>
          <w:sz w:val="21"/>
          <w:szCs w:val="21"/>
          <w:highlight w:val="none"/>
          <w:lang w:val="zh-CN"/>
        </w:rPr>
      </w:pPr>
    </w:p>
    <w:p w14:paraId="44B0AEEF">
      <w:pPr>
        <w:rPr>
          <w:rStyle w:val="43"/>
          <w:rFonts w:ascii="宋体" w:hAnsi="宋体"/>
          <w:szCs w:val="21"/>
          <w:highlight w:val="none"/>
          <w:lang w:val="zh-CN"/>
        </w:rPr>
      </w:pPr>
    </w:p>
    <w:p w14:paraId="738C0D28">
      <w:pPr>
        <w:pStyle w:val="6"/>
        <w:rPr>
          <w:rStyle w:val="43"/>
          <w:rFonts w:ascii="宋体" w:hAnsi="宋体"/>
          <w:sz w:val="21"/>
          <w:szCs w:val="21"/>
          <w:highlight w:val="none"/>
          <w:lang w:val="zh-CN"/>
        </w:rPr>
      </w:pPr>
    </w:p>
    <w:p w14:paraId="4613EBC2">
      <w:pPr>
        <w:rPr>
          <w:rStyle w:val="43"/>
          <w:rFonts w:ascii="宋体" w:hAnsi="宋体"/>
          <w:szCs w:val="21"/>
          <w:highlight w:val="none"/>
          <w:lang w:val="zh-CN"/>
        </w:rPr>
      </w:pPr>
    </w:p>
    <w:p w14:paraId="6A0DCF5F">
      <w:pPr>
        <w:pStyle w:val="6"/>
        <w:rPr>
          <w:rStyle w:val="43"/>
          <w:rFonts w:ascii="宋体" w:hAnsi="宋体"/>
          <w:sz w:val="21"/>
          <w:szCs w:val="21"/>
          <w:highlight w:val="none"/>
          <w:lang w:val="zh-CN"/>
        </w:rPr>
      </w:pPr>
    </w:p>
    <w:p w14:paraId="357019A6">
      <w:pPr>
        <w:rPr>
          <w:rStyle w:val="43"/>
          <w:rFonts w:ascii="宋体" w:hAnsi="宋体"/>
          <w:szCs w:val="21"/>
          <w:highlight w:val="none"/>
          <w:lang w:val="zh-CN"/>
        </w:rPr>
      </w:pPr>
    </w:p>
    <w:p w14:paraId="0E5BA544">
      <w:pPr>
        <w:pStyle w:val="11"/>
        <w:ind w:left="-395" w:right="-773" w:firstLine="420"/>
        <w:rPr>
          <w:rStyle w:val="43"/>
          <w:rFonts w:ascii="宋体" w:hAnsi="宋体"/>
          <w:sz w:val="21"/>
          <w:szCs w:val="21"/>
          <w:highlight w:val="none"/>
          <w:lang w:val="zh-CN"/>
        </w:rPr>
      </w:pPr>
    </w:p>
    <w:p w14:paraId="1BCD7657">
      <w:pPr>
        <w:pStyle w:val="11"/>
        <w:ind w:left="-395" w:right="-773" w:firstLine="420"/>
        <w:rPr>
          <w:rStyle w:val="43"/>
          <w:rFonts w:ascii="宋体" w:hAnsi="宋体"/>
          <w:sz w:val="21"/>
          <w:szCs w:val="21"/>
          <w:highlight w:val="none"/>
          <w:lang w:val="zh-CN"/>
        </w:rPr>
      </w:pPr>
    </w:p>
    <w:p w14:paraId="7A578387">
      <w:pPr>
        <w:pStyle w:val="11"/>
        <w:ind w:left="-395" w:right="-773" w:firstLine="420"/>
        <w:rPr>
          <w:rStyle w:val="43"/>
          <w:rFonts w:ascii="宋体" w:hAnsi="宋体"/>
          <w:sz w:val="21"/>
          <w:szCs w:val="21"/>
          <w:highlight w:val="none"/>
          <w:lang w:val="zh-CN"/>
        </w:rPr>
      </w:pPr>
    </w:p>
    <w:p w14:paraId="7383BA76">
      <w:pPr>
        <w:pStyle w:val="11"/>
        <w:ind w:left="-395" w:right="-773" w:firstLine="420"/>
        <w:rPr>
          <w:rStyle w:val="43"/>
          <w:rFonts w:ascii="宋体" w:hAnsi="宋体"/>
          <w:sz w:val="21"/>
          <w:szCs w:val="21"/>
          <w:highlight w:val="none"/>
          <w:lang w:val="zh-CN"/>
        </w:rPr>
      </w:pPr>
    </w:p>
    <w:p w14:paraId="67A29D81">
      <w:pPr>
        <w:pStyle w:val="11"/>
        <w:ind w:left="-395" w:right="-773" w:firstLine="420"/>
        <w:rPr>
          <w:rStyle w:val="43"/>
          <w:rFonts w:ascii="宋体" w:hAnsi="宋体"/>
          <w:sz w:val="21"/>
          <w:szCs w:val="21"/>
          <w:highlight w:val="none"/>
          <w:lang w:val="zh-CN"/>
        </w:rPr>
      </w:pPr>
    </w:p>
    <w:p w14:paraId="3C4C1874">
      <w:pPr>
        <w:pStyle w:val="11"/>
        <w:ind w:left="-395" w:right="-773" w:firstLine="420"/>
        <w:rPr>
          <w:rStyle w:val="43"/>
          <w:rFonts w:ascii="宋体" w:hAnsi="宋体"/>
          <w:sz w:val="21"/>
          <w:szCs w:val="21"/>
          <w:highlight w:val="none"/>
          <w:lang w:val="zh-CN"/>
        </w:rPr>
      </w:pPr>
    </w:p>
    <w:p w14:paraId="5294F261">
      <w:pPr>
        <w:pStyle w:val="11"/>
        <w:ind w:left="-395" w:right="-773" w:firstLine="420"/>
        <w:rPr>
          <w:rStyle w:val="43"/>
          <w:rFonts w:ascii="宋体" w:hAnsi="宋体"/>
          <w:sz w:val="21"/>
          <w:szCs w:val="21"/>
          <w:highlight w:val="none"/>
          <w:lang w:val="zh-CN"/>
        </w:rPr>
      </w:pPr>
    </w:p>
    <w:p w14:paraId="723E4091">
      <w:pPr>
        <w:pStyle w:val="11"/>
        <w:ind w:left="-395" w:right="-773" w:firstLine="420"/>
        <w:rPr>
          <w:rStyle w:val="43"/>
          <w:rFonts w:ascii="宋体" w:hAnsi="宋体"/>
          <w:sz w:val="21"/>
          <w:szCs w:val="21"/>
          <w:highlight w:val="none"/>
          <w:lang w:val="zh-CN"/>
        </w:rPr>
      </w:pPr>
    </w:p>
    <w:p w14:paraId="387E57A4">
      <w:pPr>
        <w:pStyle w:val="11"/>
        <w:ind w:left="-395" w:right="-773" w:firstLine="420"/>
        <w:rPr>
          <w:rStyle w:val="43"/>
          <w:rFonts w:ascii="宋体" w:hAnsi="宋体"/>
          <w:sz w:val="21"/>
          <w:szCs w:val="21"/>
          <w:highlight w:val="none"/>
          <w:lang w:val="zh-CN"/>
        </w:rPr>
      </w:pPr>
    </w:p>
    <w:p w14:paraId="5A443A0A">
      <w:pPr>
        <w:pStyle w:val="11"/>
        <w:ind w:left="-395" w:right="-773" w:firstLine="420"/>
        <w:rPr>
          <w:rStyle w:val="43"/>
          <w:rFonts w:ascii="宋体" w:hAnsi="宋体"/>
          <w:sz w:val="21"/>
          <w:szCs w:val="21"/>
          <w:highlight w:val="none"/>
          <w:lang w:val="zh-CN"/>
        </w:rPr>
      </w:pPr>
    </w:p>
    <w:p w14:paraId="14D6FDBA">
      <w:pPr>
        <w:pStyle w:val="11"/>
        <w:ind w:left="-395" w:right="-773" w:firstLine="420"/>
        <w:rPr>
          <w:rStyle w:val="43"/>
          <w:rFonts w:ascii="宋体" w:hAnsi="宋体"/>
          <w:sz w:val="21"/>
          <w:szCs w:val="21"/>
          <w:highlight w:val="none"/>
          <w:lang w:val="zh-CN"/>
        </w:rPr>
      </w:pPr>
    </w:p>
    <w:p w14:paraId="7BCA6ECE">
      <w:pPr>
        <w:pStyle w:val="11"/>
        <w:ind w:left="-395" w:right="-773" w:firstLine="420"/>
        <w:rPr>
          <w:rStyle w:val="43"/>
          <w:rFonts w:ascii="宋体" w:hAnsi="宋体"/>
          <w:sz w:val="21"/>
          <w:szCs w:val="21"/>
          <w:highlight w:val="none"/>
          <w:lang w:val="zh-CN"/>
        </w:rPr>
      </w:pPr>
    </w:p>
    <w:p w14:paraId="34A52C8E">
      <w:pPr>
        <w:rPr>
          <w:rStyle w:val="43"/>
          <w:rFonts w:ascii="宋体" w:hAnsi="宋体"/>
          <w:szCs w:val="21"/>
          <w:highlight w:val="none"/>
          <w:lang w:val="zh-CN"/>
        </w:rPr>
      </w:pPr>
    </w:p>
    <w:p w14:paraId="76E1B444">
      <w:pPr>
        <w:pStyle w:val="6"/>
        <w:rPr>
          <w:rStyle w:val="43"/>
          <w:rFonts w:ascii="宋体" w:hAnsi="宋体"/>
          <w:sz w:val="21"/>
          <w:szCs w:val="21"/>
          <w:highlight w:val="none"/>
          <w:lang w:val="zh-CN"/>
        </w:rPr>
      </w:pPr>
    </w:p>
    <w:p w14:paraId="3F535212">
      <w:pPr>
        <w:rPr>
          <w:rStyle w:val="43"/>
          <w:rFonts w:ascii="宋体" w:hAnsi="宋体"/>
          <w:szCs w:val="21"/>
          <w:highlight w:val="none"/>
          <w:lang w:val="zh-CN"/>
        </w:rPr>
      </w:pPr>
    </w:p>
    <w:p w14:paraId="3782F951">
      <w:pPr>
        <w:pStyle w:val="11"/>
        <w:ind w:left="-395" w:right="-773" w:firstLine="420"/>
        <w:rPr>
          <w:rStyle w:val="43"/>
          <w:rFonts w:ascii="宋体" w:hAnsi="宋体"/>
          <w:sz w:val="21"/>
          <w:szCs w:val="21"/>
          <w:highlight w:val="none"/>
          <w:lang w:val="zh-CN"/>
        </w:rPr>
      </w:pPr>
    </w:p>
    <w:p w14:paraId="339DB363">
      <w:pPr>
        <w:pStyle w:val="11"/>
        <w:ind w:left="-395" w:right="-773" w:firstLine="420"/>
        <w:rPr>
          <w:rStyle w:val="43"/>
          <w:rFonts w:ascii="宋体" w:hAnsi="宋体"/>
          <w:sz w:val="21"/>
          <w:szCs w:val="21"/>
          <w:highlight w:val="none"/>
          <w:lang w:val="zh-CN"/>
        </w:rPr>
      </w:pPr>
    </w:p>
    <w:p w14:paraId="4D591EAD">
      <w:pPr>
        <w:pStyle w:val="11"/>
        <w:ind w:left="-395" w:right="-773" w:firstLine="420"/>
        <w:rPr>
          <w:rStyle w:val="43"/>
          <w:rFonts w:ascii="宋体" w:hAnsi="宋体"/>
          <w:sz w:val="21"/>
          <w:szCs w:val="21"/>
          <w:highlight w:val="none"/>
          <w:lang w:val="zh-CN"/>
        </w:rPr>
      </w:pPr>
    </w:p>
    <w:p w14:paraId="7FD2CFFA">
      <w:pPr>
        <w:pStyle w:val="11"/>
        <w:ind w:left="-395" w:right="-773" w:firstLine="420"/>
        <w:rPr>
          <w:rStyle w:val="43"/>
          <w:rFonts w:ascii="宋体" w:hAnsi="宋体"/>
          <w:sz w:val="21"/>
          <w:szCs w:val="21"/>
          <w:highlight w:val="none"/>
          <w:lang w:val="zh-CN"/>
        </w:rPr>
      </w:pPr>
    </w:p>
    <w:p w14:paraId="4B05A9EB">
      <w:pPr>
        <w:pStyle w:val="11"/>
        <w:ind w:left="-395" w:right="-773" w:firstLine="420"/>
        <w:rPr>
          <w:rStyle w:val="43"/>
          <w:rFonts w:ascii="宋体" w:hAnsi="宋体"/>
          <w:sz w:val="21"/>
          <w:szCs w:val="21"/>
          <w:highlight w:val="none"/>
          <w:lang w:val="zh-CN"/>
        </w:rPr>
      </w:pPr>
    </w:p>
    <w:p w14:paraId="03953B34">
      <w:pPr>
        <w:pStyle w:val="11"/>
        <w:ind w:left="-395" w:right="-773" w:firstLine="420"/>
        <w:rPr>
          <w:rStyle w:val="43"/>
          <w:rFonts w:ascii="宋体" w:hAnsi="宋体"/>
          <w:sz w:val="21"/>
          <w:szCs w:val="21"/>
          <w:highlight w:val="none"/>
          <w:lang w:val="zh-CN"/>
        </w:rPr>
      </w:pPr>
    </w:p>
    <w:p w14:paraId="32DB8842">
      <w:pPr>
        <w:pStyle w:val="11"/>
        <w:ind w:left="-395" w:right="-773" w:firstLine="420"/>
        <w:rPr>
          <w:rStyle w:val="43"/>
          <w:rFonts w:ascii="宋体" w:hAnsi="宋体"/>
          <w:sz w:val="21"/>
          <w:szCs w:val="21"/>
          <w:highlight w:val="none"/>
          <w:lang w:val="zh-CN"/>
        </w:rPr>
      </w:pPr>
    </w:p>
    <w:p w14:paraId="59830CA1">
      <w:pPr>
        <w:pStyle w:val="11"/>
        <w:ind w:left="-395" w:right="-773" w:firstLine="420"/>
        <w:rPr>
          <w:rStyle w:val="43"/>
          <w:rFonts w:ascii="宋体" w:hAnsi="宋体"/>
          <w:sz w:val="21"/>
          <w:szCs w:val="21"/>
          <w:highlight w:val="none"/>
          <w:lang w:val="zh-CN"/>
        </w:rPr>
      </w:pPr>
    </w:p>
    <w:p w14:paraId="08B8AB7B">
      <w:pPr>
        <w:pStyle w:val="11"/>
        <w:ind w:left="-395" w:right="-773" w:firstLine="420"/>
        <w:rPr>
          <w:rStyle w:val="43"/>
          <w:rFonts w:ascii="宋体" w:hAnsi="宋体"/>
          <w:sz w:val="21"/>
          <w:szCs w:val="21"/>
          <w:highlight w:val="none"/>
          <w:lang w:val="zh-CN"/>
        </w:rPr>
      </w:pPr>
    </w:p>
    <w:p w14:paraId="05D711EA">
      <w:pPr>
        <w:rPr>
          <w:highlight w:val="none"/>
          <w:lang w:val="zh-CN"/>
        </w:rPr>
      </w:pPr>
    </w:p>
    <w:p w14:paraId="3C2DA740">
      <w:pPr>
        <w:rPr>
          <w:rStyle w:val="43"/>
          <w:rFonts w:ascii="宋体" w:hAnsi="宋体"/>
          <w:szCs w:val="21"/>
          <w:highlight w:val="none"/>
          <w:lang w:val="zh-CN"/>
        </w:rPr>
      </w:pPr>
    </w:p>
    <w:p w14:paraId="34A858BB">
      <w:pPr>
        <w:pStyle w:val="11"/>
        <w:ind w:left="-395" w:right="-773" w:firstLine="420"/>
        <w:rPr>
          <w:rStyle w:val="43"/>
          <w:rFonts w:ascii="宋体" w:hAnsi="宋体"/>
          <w:sz w:val="21"/>
          <w:szCs w:val="21"/>
          <w:highlight w:val="none"/>
          <w:lang w:val="zh-CN"/>
        </w:rPr>
      </w:pPr>
    </w:p>
    <w:p w14:paraId="337B70E6">
      <w:pPr>
        <w:pStyle w:val="11"/>
        <w:ind w:left="-395" w:right="-773" w:firstLine="420"/>
        <w:rPr>
          <w:rStyle w:val="43"/>
          <w:rFonts w:ascii="宋体" w:hAnsi="宋体"/>
          <w:sz w:val="21"/>
          <w:szCs w:val="21"/>
          <w:highlight w:val="none"/>
          <w:lang w:val="zh-CN"/>
        </w:rPr>
      </w:pPr>
    </w:p>
    <w:p w14:paraId="038BD6C5">
      <w:pPr>
        <w:pStyle w:val="6"/>
        <w:rPr>
          <w:rStyle w:val="43"/>
          <w:rFonts w:ascii="宋体" w:hAnsi="宋体"/>
          <w:sz w:val="21"/>
          <w:szCs w:val="21"/>
          <w:highlight w:val="none"/>
          <w:lang w:val="zh-CN"/>
        </w:rPr>
      </w:pPr>
    </w:p>
    <w:p w14:paraId="52C08966">
      <w:pPr>
        <w:rPr>
          <w:rStyle w:val="43"/>
          <w:rFonts w:ascii="宋体" w:hAnsi="宋体"/>
          <w:szCs w:val="21"/>
          <w:highlight w:val="none"/>
          <w:lang w:val="zh-CN"/>
        </w:rPr>
      </w:pPr>
    </w:p>
    <w:p w14:paraId="57B90401">
      <w:pPr>
        <w:pStyle w:val="6"/>
        <w:rPr>
          <w:highlight w:val="none"/>
          <w:lang w:val="zh-CN"/>
        </w:rPr>
      </w:pPr>
    </w:p>
    <w:p w14:paraId="37E925EE">
      <w:pPr>
        <w:snapToGrid w:val="0"/>
        <w:spacing w:line="360" w:lineRule="auto"/>
        <w:jc w:val="center"/>
        <w:rPr>
          <w:rStyle w:val="43"/>
          <w:rFonts w:ascii="宋体" w:hAnsi="宋体"/>
          <w:b/>
          <w:sz w:val="32"/>
          <w:szCs w:val="32"/>
          <w:highlight w:val="none"/>
        </w:rPr>
      </w:pPr>
      <w:r>
        <w:rPr>
          <w:rStyle w:val="43"/>
          <w:rFonts w:hint="eastAsia" w:ascii="宋体" w:hAnsi="宋体"/>
          <w:b/>
          <w:sz w:val="32"/>
          <w:szCs w:val="32"/>
          <w:highlight w:val="none"/>
        </w:rPr>
        <w:t>三</w:t>
      </w:r>
      <w:r>
        <w:rPr>
          <w:rStyle w:val="43"/>
          <w:rFonts w:ascii="宋体" w:hAnsi="宋体"/>
          <w:b/>
          <w:sz w:val="32"/>
          <w:szCs w:val="32"/>
          <w:highlight w:val="none"/>
        </w:rPr>
        <w:t>、法定代表人（单位负责人/自然人）身份证明</w:t>
      </w:r>
    </w:p>
    <w:p w14:paraId="72D4E030">
      <w:pPr>
        <w:snapToGrid w:val="0"/>
        <w:spacing w:line="360" w:lineRule="auto"/>
        <w:jc w:val="right"/>
        <w:rPr>
          <w:rStyle w:val="43"/>
          <w:rFonts w:ascii="宋体" w:hAnsi="宋体"/>
          <w:szCs w:val="21"/>
          <w:highlight w:val="none"/>
          <w:lang w:val="zh-CN"/>
        </w:rPr>
      </w:pPr>
    </w:p>
    <w:p w14:paraId="4CA83C2A">
      <w:pPr>
        <w:snapToGrid w:val="0"/>
        <w:spacing w:line="360" w:lineRule="auto"/>
        <w:ind w:right="105"/>
        <w:jc w:val="left"/>
        <w:rPr>
          <w:rStyle w:val="43"/>
          <w:rFonts w:ascii="宋体" w:hAnsi="宋体"/>
          <w:szCs w:val="21"/>
          <w:highlight w:val="none"/>
          <w:lang w:val="zh-CN"/>
        </w:rPr>
      </w:pPr>
      <w:r>
        <w:rPr>
          <w:rStyle w:val="43"/>
          <w:rFonts w:ascii="宋体" w:hAnsi="宋体"/>
          <w:szCs w:val="21"/>
          <w:highlight w:val="none"/>
          <w:lang w:val="zh-CN"/>
        </w:rPr>
        <w:t>投标人名称：</w:t>
      </w:r>
      <w:r>
        <w:rPr>
          <w:rStyle w:val="43"/>
          <w:rFonts w:ascii="宋体" w:hAnsi="宋体"/>
          <w:szCs w:val="21"/>
          <w:highlight w:val="none"/>
          <w:u w:val="single" w:color="000000"/>
          <w:lang w:val="zh-CN"/>
        </w:rPr>
        <w:t xml:space="preserve">                                    </w:t>
      </w:r>
    </w:p>
    <w:p w14:paraId="32688770">
      <w:pPr>
        <w:snapToGrid w:val="0"/>
        <w:spacing w:line="360" w:lineRule="auto"/>
        <w:ind w:right="105"/>
        <w:jc w:val="left"/>
        <w:rPr>
          <w:rStyle w:val="43"/>
          <w:rFonts w:ascii="宋体" w:hAnsi="宋体"/>
          <w:szCs w:val="21"/>
          <w:highlight w:val="none"/>
          <w:lang w:val="zh-CN"/>
        </w:rPr>
      </w:pPr>
      <w:r>
        <w:rPr>
          <w:rStyle w:val="43"/>
          <w:rFonts w:ascii="宋体" w:hAnsi="宋体"/>
          <w:szCs w:val="21"/>
          <w:highlight w:val="none"/>
          <w:lang w:val="zh-CN"/>
        </w:rPr>
        <w:t>姓名：</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性别：</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年龄：</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职务：</w:t>
      </w:r>
      <w:r>
        <w:rPr>
          <w:rStyle w:val="43"/>
          <w:rFonts w:ascii="宋体" w:hAnsi="宋体"/>
          <w:szCs w:val="21"/>
          <w:highlight w:val="none"/>
          <w:u w:val="single" w:color="000000"/>
          <w:lang w:val="zh-CN"/>
        </w:rPr>
        <w:t xml:space="preserve">      </w:t>
      </w:r>
    </w:p>
    <w:p w14:paraId="7F3A3E23">
      <w:pPr>
        <w:snapToGrid w:val="0"/>
        <w:spacing w:line="360" w:lineRule="auto"/>
        <w:ind w:right="105"/>
        <w:jc w:val="left"/>
        <w:rPr>
          <w:rStyle w:val="43"/>
          <w:rFonts w:ascii="宋体" w:hAnsi="宋体"/>
          <w:szCs w:val="21"/>
          <w:highlight w:val="none"/>
          <w:lang w:val="zh-CN"/>
        </w:rPr>
      </w:pPr>
      <w:r>
        <w:rPr>
          <w:rStyle w:val="43"/>
          <w:rFonts w:ascii="宋体" w:hAnsi="宋体"/>
          <w:szCs w:val="21"/>
          <w:highlight w:val="none"/>
          <w:lang w:val="zh-CN"/>
        </w:rPr>
        <w:t>系</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（投标人名称）的法定代表人（单位负责人）。</w:t>
      </w:r>
    </w:p>
    <w:p w14:paraId="22209D23">
      <w:pPr>
        <w:snapToGrid w:val="0"/>
        <w:spacing w:line="360" w:lineRule="auto"/>
        <w:ind w:right="105" w:firstLine="420" w:firstLineChars="200"/>
        <w:jc w:val="left"/>
        <w:rPr>
          <w:rStyle w:val="43"/>
          <w:rFonts w:ascii="宋体" w:hAnsi="宋体"/>
          <w:szCs w:val="21"/>
          <w:highlight w:val="none"/>
          <w:lang w:val="zh-CN"/>
        </w:rPr>
      </w:pPr>
      <w:r>
        <w:rPr>
          <w:rStyle w:val="43"/>
          <w:rFonts w:ascii="宋体" w:hAnsi="宋体"/>
          <w:szCs w:val="21"/>
          <w:highlight w:val="none"/>
          <w:lang w:val="zh-CN"/>
        </w:rPr>
        <w:t>特此证明。</w:t>
      </w:r>
    </w:p>
    <w:p w14:paraId="241B1DD6">
      <w:pPr>
        <w:snapToGrid w:val="0"/>
        <w:spacing w:line="360" w:lineRule="auto"/>
        <w:ind w:right="105"/>
        <w:jc w:val="left"/>
        <w:rPr>
          <w:rStyle w:val="43"/>
          <w:rFonts w:ascii="宋体" w:hAnsi="宋体"/>
          <w:szCs w:val="21"/>
          <w:highlight w:val="none"/>
          <w:lang w:val="zh-CN"/>
        </w:rPr>
      </w:pPr>
    </w:p>
    <w:p w14:paraId="7748E58F">
      <w:pPr>
        <w:snapToGrid w:val="0"/>
        <w:spacing w:line="360" w:lineRule="auto"/>
        <w:ind w:right="105"/>
        <w:jc w:val="left"/>
        <w:rPr>
          <w:rStyle w:val="43"/>
          <w:rFonts w:ascii="宋体" w:hAnsi="宋体"/>
          <w:szCs w:val="21"/>
          <w:highlight w:val="none"/>
          <w:lang w:val="zh-CN"/>
        </w:rPr>
      </w:pPr>
      <w:r>
        <w:rPr>
          <w:rStyle w:val="43"/>
          <w:rFonts w:ascii="宋体" w:hAnsi="宋体"/>
          <w:szCs w:val="21"/>
          <w:highlight w:val="none"/>
          <w:lang w:val="zh-CN"/>
        </w:rPr>
        <w:t>附：法定代表人（单位负责人）身份证扫描件。</w:t>
      </w:r>
    </w:p>
    <w:p w14:paraId="062B884F">
      <w:pPr>
        <w:snapToGrid w:val="0"/>
        <w:spacing w:line="360" w:lineRule="auto"/>
        <w:ind w:right="105"/>
        <w:jc w:val="left"/>
        <w:rPr>
          <w:rStyle w:val="43"/>
          <w:rFonts w:ascii="宋体" w:hAnsi="宋体"/>
          <w:szCs w:val="21"/>
          <w:highlight w:val="none"/>
          <w:lang w:val="zh-CN"/>
        </w:rPr>
      </w:pPr>
    </w:p>
    <w:p w14:paraId="04CE2DEA">
      <w:pPr>
        <w:snapToGrid w:val="0"/>
        <w:spacing w:line="360" w:lineRule="auto"/>
        <w:ind w:right="105"/>
        <w:jc w:val="left"/>
        <w:rPr>
          <w:rStyle w:val="43"/>
          <w:rFonts w:ascii="宋体" w:hAnsi="宋体"/>
          <w:szCs w:val="21"/>
          <w:highlight w:val="none"/>
          <w:lang w:val="zh-CN"/>
        </w:rPr>
      </w:pPr>
      <w:r>
        <w:rPr>
          <w:rStyle w:val="43"/>
          <w:rFonts w:ascii="宋体" w:hAnsi="宋体"/>
          <w:szCs w:val="21"/>
          <w:highlight w:val="none"/>
          <w:lang w:val="zh-CN"/>
        </w:rPr>
        <w:t>注：自然人投标的此处只附身份证扫描件。</w:t>
      </w:r>
    </w:p>
    <w:p w14:paraId="2D554A15">
      <w:pPr>
        <w:snapToGrid w:val="0"/>
        <w:spacing w:line="360" w:lineRule="auto"/>
        <w:ind w:right="105"/>
        <w:jc w:val="left"/>
        <w:rPr>
          <w:rStyle w:val="43"/>
          <w:rFonts w:ascii="宋体" w:hAnsi="宋体"/>
          <w:szCs w:val="21"/>
          <w:highlight w:val="none"/>
          <w:lang w:val="zh-CN"/>
        </w:rPr>
      </w:pPr>
    </w:p>
    <w:p w14:paraId="55DF6D0B">
      <w:pPr>
        <w:snapToGrid w:val="0"/>
        <w:spacing w:line="360" w:lineRule="auto"/>
        <w:ind w:right="105"/>
        <w:jc w:val="left"/>
        <w:rPr>
          <w:rStyle w:val="43"/>
          <w:rFonts w:ascii="宋体" w:hAnsi="宋体"/>
          <w:szCs w:val="21"/>
          <w:highlight w:val="none"/>
          <w:lang w:val="zh-CN"/>
        </w:rPr>
      </w:pPr>
    </w:p>
    <w:p w14:paraId="3B29570C">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投标人：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（盖单位公章）</w:t>
      </w:r>
    </w:p>
    <w:p w14:paraId="01E08BC1">
      <w:pPr>
        <w:snapToGrid w:val="0"/>
        <w:spacing w:line="360" w:lineRule="auto"/>
        <w:jc w:val="right"/>
        <w:rPr>
          <w:rStyle w:val="43"/>
          <w:rFonts w:ascii="宋体" w:hAnsi="宋体"/>
          <w:szCs w:val="21"/>
          <w:highlight w:val="none"/>
          <w:lang w:val="zh-CN"/>
        </w:rPr>
      </w:pPr>
      <w:r>
        <w:rPr>
          <w:rStyle w:val="43"/>
          <w:rFonts w:ascii="宋体" w:hAnsi="宋体"/>
          <w:szCs w:val="21"/>
          <w:highlight w:val="none"/>
          <w:lang w:val="zh-CN"/>
        </w:rPr>
        <w:t>年    月    日</w:t>
      </w:r>
    </w:p>
    <w:p w14:paraId="7A93D8A4">
      <w:pPr>
        <w:snapToGrid w:val="0"/>
        <w:spacing w:line="360" w:lineRule="auto"/>
        <w:jc w:val="left"/>
        <w:rPr>
          <w:rStyle w:val="43"/>
          <w:rFonts w:ascii="宋体" w:hAnsi="宋体"/>
          <w:szCs w:val="21"/>
          <w:highlight w:val="none"/>
          <w:lang w:val="zh-CN"/>
        </w:rPr>
      </w:pPr>
    </w:p>
    <w:p w14:paraId="7C413374">
      <w:pPr>
        <w:snapToGrid w:val="0"/>
        <w:spacing w:line="360" w:lineRule="auto"/>
        <w:ind w:firstLine="420" w:firstLineChars="200"/>
        <w:jc w:val="center"/>
        <w:rPr>
          <w:rStyle w:val="43"/>
          <w:rFonts w:ascii="宋体" w:hAnsi="宋体"/>
          <w:szCs w:val="21"/>
          <w:highlight w:val="none"/>
          <w:lang w:val="zh-CN"/>
        </w:rPr>
      </w:pPr>
      <w:r>
        <w:rPr>
          <w:rStyle w:val="43"/>
          <w:rFonts w:ascii="宋体" w:hAnsi="宋体"/>
          <w:szCs w:val="21"/>
          <w:highlight w:val="none"/>
          <w:lang w:val="zh-CN"/>
        </w:rPr>
        <w:br w:type="page"/>
      </w:r>
    </w:p>
    <w:p w14:paraId="3BB3C9FE">
      <w:pPr>
        <w:snapToGrid w:val="0"/>
        <w:spacing w:line="360" w:lineRule="auto"/>
        <w:jc w:val="center"/>
        <w:rPr>
          <w:rStyle w:val="43"/>
          <w:rFonts w:ascii="宋体" w:hAnsi="宋体"/>
          <w:b/>
          <w:sz w:val="32"/>
          <w:szCs w:val="32"/>
          <w:highlight w:val="none"/>
        </w:rPr>
      </w:pPr>
      <w:r>
        <w:rPr>
          <w:rStyle w:val="43"/>
          <w:rFonts w:hint="eastAsia" w:ascii="宋体" w:hAnsi="宋体"/>
          <w:b/>
          <w:sz w:val="32"/>
          <w:szCs w:val="32"/>
          <w:highlight w:val="none"/>
        </w:rPr>
        <w:t>四、</w:t>
      </w:r>
      <w:r>
        <w:rPr>
          <w:rStyle w:val="43"/>
          <w:rFonts w:ascii="宋体" w:hAnsi="宋体"/>
          <w:b/>
          <w:sz w:val="32"/>
          <w:szCs w:val="32"/>
          <w:highlight w:val="none"/>
        </w:rPr>
        <w:t>授权委托书</w:t>
      </w:r>
    </w:p>
    <w:p w14:paraId="4FC05786">
      <w:pPr>
        <w:pStyle w:val="6"/>
        <w:rPr>
          <w:highlight w:val="none"/>
          <w:lang w:val="zh-CN"/>
        </w:rPr>
      </w:pPr>
    </w:p>
    <w:p w14:paraId="4820E215">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本人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（姓名）系</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（投标人名称）的法定代表人（单位负责人），现委托</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（姓名）为我方代理人。代理人根据授权，以我方名义签署、澄清确认、递交、撤回、修改</w:t>
      </w:r>
      <w:r>
        <w:rPr>
          <w:rStyle w:val="43"/>
          <w:rFonts w:ascii="宋体" w:hAnsi="宋体"/>
          <w:szCs w:val="21"/>
          <w:highlight w:val="none"/>
          <w:u w:val="single" w:color="000000"/>
        </w:rPr>
        <w:t xml:space="preserve">   </w:t>
      </w:r>
      <w:r>
        <w:rPr>
          <w:rStyle w:val="43"/>
          <w:rFonts w:hint="eastAsia" w:ascii="宋体" w:hAnsi="宋体"/>
          <w:szCs w:val="21"/>
          <w:highlight w:val="none"/>
          <w:u w:val="single" w:color="000000"/>
        </w:rPr>
        <w:t xml:space="preserve">   </w:t>
      </w:r>
      <w:r>
        <w:rPr>
          <w:rStyle w:val="43"/>
          <w:rFonts w:ascii="宋体" w:hAnsi="宋体"/>
          <w:szCs w:val="21"/>
          <w:highlight w:val="none"/>
          <w:u w:val="single" w:color="000000"/>
        </w:rPr>
        <w:t xml:space="preserve"> </w:t>
      </w:r>
      <w:r>
        <w:rPr>
          <w:rStyle w:val="43"/>
          <w:rFonts w:ascii="宋体" w:hAnsi="宋体"/>
          <w:szCs w:val="21"/>
          <w:highlight w:val="none"/>
        </w:rPr>
        <w:t>（项目名称）</w:t>
      </w:r>
      <w:r>
        <w:rPr>
          <w:rStyle w:val="43"/>
          <w:rFonts w:ascii="宋体" w:hAnsi="宋体"/>
          <w:szCs w:val="21"/>
          <w:highlight w:val="none"/>
          <w:lang w:val="zh-CN"/>
        </w:rPr>
        <w:t>投标文件、签订合同和处理有关事宜，其法律后果由我方承担。</w:t>
      </w:r>
    </w:p>
    <w:p w14:paraId="51560E84">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委托期限：同投标有效期。</w:t>
      </w:r>
    </w:p>
    <w:p w14:paraId="52714360">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代理人无转委托权。</w:t>
      </w:r>
    </w:p>
    <w:p w14:paraId="1C67296A">
      <w:pPr>
        <w:snapToGrid w:val="0"/>
        <w:spacing w:line="360" w:lineRule="auto"/>
        <w:jc w:val="left"/>
        <w:rPr>
          <w:rStyle w:val="43"/>
          <w:rFonts w:ascii="宋体" w:hAnsi="宋体"/>
          <w:szCs w:val="21"/>
          <w:highlight w:val="none"/>
          <w:lang w:val="zh-CN"/>
        </w:rPr>
      </w:pPr>
    </w:p>
    <w:p w14:paraId="0254DD31">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附：法定代表人（单位负责人）身份证扫描件及委托代理人身份证扫描件</w:t>
      </w:r>
    </w:p>
    <w:p w14:paraId="651CA5A0">
      <w:pPr>
        <w:snapToGrid w:val="0"/>
        <w:spacing w:line="360" w:lineRule="auto"/>
        <w:jc w:val="left"/>
        <w:rPr>
          <w:rStyle w:val="43"/>
          <w:rFonts w:ascii="宋体" w:hAnsi="宋体"/>
          <w:szCs w:val="21"/>
          <w:highlight w:val="none"/>
          <w:lang w:val="zh-CN"/>
        </w:rPr>
      </w:pPr>
    </w:p>
    <w:p w14:paraId="244E30EC">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注：法定代表人（单位负责人/自然人）本人直接投标的不填写本部分内容。</w:t>
      </w:r>
    </w:p>
    <w:p w14:paraId="77410BAE">
      <w:pPr>
        <w:snapToGrid w:val="0"/>
        <w:spacing w:line="360" w:lineRule="auto"/>
        <w:jc w:val="left"/>
        <w:rPr>
          <w:rStyle w:val="43"/>
          <w:rFonts w:ascii="宋体" w:hAnsi="宋体"/>
          <w:szCs w:val="21"/>
          <w:highlight w:val="none"/>
          <w:lang w:val="zh-CN"/>
        </w:rPr>
      </w:pPr>
    </w:p>
    <w:p w14:paraId="7278A3CE">
      <w:pPr>
        <w:snapToGrid w:val="0"/>
        <w:spacing w:line="360" w:lineRule="auto"/>
        <w:jc w:val="left"/>
        <w:rPr>
          <w:rStyle w:val="43"/>
          <w:rFonts w:ascii="宋体" w:hAnsi="宋体"/>
          <w:szCs w:val="21"/>
          <w:highlight w:val="none"/>
          <w:lang w:val="zh-CN"/>
        </w:rPr>
      </w:pPr>
    </w:p>
    <w:p w14:paraId="4969DBD0">
      <w:pPr>
        <w:snapToGrid w:val="0"/>
        <w:spacing w:line="360" w:lineRule="auto"/>
        <w:ind w:firstLine="420" w:firstLineChars="200"/>
        <w:jc w:val="right"/>
        <w:rPr>
          <w:rStyle w:val="43"/>
          <w:rFonts w:ascii="宋体" w:hAnsi="宋体"/>
          <w:szCs w:val="21"/>
          <w:highlight w:val="none"/>
          <w:lang w:val="zh-CN"/>
        </w:rPr>
      </w:pPr>
      <w:r>
        <w:rPr>
          <w:rStyle w:val="43"/>
          <w:rFonts w:hint="eastAsia" w:ascii="宋体" w:hAnsi="宋体"/>
          <w:szCs w:val="21"/>
          <w:highlight w:val="none"/>
        </w:rPr>
        <w:t xml:space="preserve"> </w:t>
      </w:r>
      <w:r>
        <w:rPr>
          <w:rStyle w:val="43"/>
          <w:rFonts w:ascii="宋体" w:hAnsi="宋体"/>
          <w:szCs w:val="21"/>
          <w:highlight w:val="none"/>
          <w:lang w:val="zh-CN"/>
        </w:rPr>
        <w:t>投标人：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（盖单位公章）</w:t>
      </w:r>
    </w:p>
    <w:p w14:paraId="252CB1AA">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法定代表人（单位负责人）：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（签字或盖章）</w:t>
      </w:r>
    </w:p>
    <w:p w14:paraId="5CD7DE83">
      <w:pPr>
        <w:snapToGrid w:val="0"/>
        <w:spacing w:line="360" w:lineRule="auto"/>
        <w:ind w:firstLine="420" w:firstLineChars="200"/>
        <w:jc w:val="center"/>
        <w:rPr>
          <w:rStyle w:val="43"/>
          <w:rFonts w:ascii="宋体" w:hAnsi="宋体"/>
          <w:szCs w:val="21"/>
          <w:highlight w:val="none"/>
          <w:u w:val="single"/>
          <w:lang w:val="zh-CN"/>
        </w:rPr>
      </w:pPr>
      <w:r>
        <w:rPr>
          <w:rStyle w:val="43"/>
          <w:rFonts w:hint="eastAsia" w:ascii="宋体" w:hAnsi="宋体"/>
          <w:szCs w:val="21"/>
          <w:highlight w:val="none"/>
        </w:rPr>
        <w:t xml:space="preserve">      </w:t>
      </w:r>
      <w:r>
        <w:rPr>
          <w:rStyle w:val="43"/>
          <w:rFonts w:ascii="宋体" w:hAnsi="宋体"/>
          <w:szCs w:val="21"/>
          <w:highlight w:val="none"/>
          <w:lang w:val="zh-CN"/>
        </w:rPr>
        <w:t>身份证号码：</w:t>
      </w:r>
      <w:r>
        <w:rPr>
          <w:rStyle w:val="43"/>
          <w:rFonts w:ascii="宋体" w:hAnsi="宋体"/>
          <w:szCs w:val="21"/>
          <w:highlight w:val="none"/>
          <w:u w:val="single" w:color="000000"/>
          <w:lang w:val="zh-CN"/>
        </w:rPr>
        <w:t xml:space="preserve">                          </w:t>
      </w:r>
      <w:r>
        <w:rPr>
          <w:rStyle w:val="43"/>
          <w:rFonts w:hint="eastAsia" w:ascii="宋体" w:hAnsi="宋体"/>
          <w:szCs w:val="21"/>
          <w:highlight w:val="none"/>
          <w:u w:val="single"/>
        </w:rPr>
        <w:t xml:space="preserve"> </w:t>
      </w:r>
      <w:r>
        <w:rPr>
          <w:rStyle w:val="43"/>
          <w:rFonts w:ascii="宋体" w:hAnsi="宋体"/>
          <w:szCs w:val="21"/>
          <w:highlight w:val="none"/>
          <w:u w:val="single"/>
          <w:lang w:val="zh-CN"/>
        </w:rPr>
        <w:t xml:space="preserve">    </w:t>
      </w:r>
      <w:r>
        <w:rPr>
          <w:rStyle w:val="43"/>
          <w:rFonts w:ascii="宋体" w:hAnsi="宋体"/>
          <w:szCs w:val="21"/>
          <w:highlight w:val="none"/>
          <w:u w:val="single" w:color="000000"/>
          <w:lang w:val="zh-CN"/>
        </w:rPr>
        <w:t xml:space="preserve">                                      </w:t>
      </w:r>
    </w:p>
    <w:p w14:paraId="5BCA12C1">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委托代理人：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（签字或盖章）</w:t>
      </w:r>
    </w:p>
    <w:p w14:paraId="6175E45E">
      <w:pPr>
        <w:snapToGrid w:val="0"/>
        <w:spacing w:line="360" w:lineRule="auto"/>
        <w:ind w:firstLine="420" w:firstLineChars="200"/>
        <w:jc w:val="center"/>
        <w:rPr>
          <w:rStyle w:val="43"/>
          <w:rFonts w:ascii="宋体" w:hAnsi="宋体"/>
          <w:szCs w:val="21"/>
          <w:highlight w:val="none"/>
          <w:u w:val="single"/>
          <w:lang w:val="zh-CN"/>
        </w:rPr>
      </w:pPr>
      <w:r>
        <w:rPr>
          <w:rStyle w:val="43"/>
          <w:rFonts w:hint="eastAsia" w:ascii="宋体" w:hAnsi="宋体"/>
          <w:szCs w:val="21"/>
          <w:highlight w:val="none"/>
        </w:rPr>
        <w:t xml:space="preserve">     </w:t>
      </w:r>
      <w:r>
        <w:rPr>
          <w:rStyle w:val="43"/>
          <w:rFonts w:ascii="宋体" w:hAnsi="宋体"/>
          <w:szCs w:val="21"/>
          <w:highlight w:val="none"/>
          <w:lang w:val="zh-CN"/>
        </w:rPr>
        <w:t>身份证号码：</w:t>
      </w:r>
      <w:r>
        <w:rPr>
          <w:rStyle w:val="43"/>
          <w:rFonts w:ascii="宋体" w:hAnsi="宋体"/>
          <w:szCs w:val="21"/>
          <w:highlight w:val="none"/>
          <w:u w:val="single" w:color="000000"/>
          <w:lang w:val="zh-CN"/>
        </w:rPr>
        <w:t xml:space="preserve">                                    </w:t>
      </w:r>
    </w:p>
    <w:p w14:paraId="69760D9E">
      <w:pPr>
        <w:snapToGrid w:val="0"/>
        <w:spacing w:line="360" w:lineRule="auto"/>
        <w:ind w:firstLine="5250" w:firstLineChars="2500"/>
        <w:jc w:val="right"/>
        <w:rPr>
          <w:rStyle w:val="43"/>
          <w:rFonts w:ascii="宋体" w:hAnsi="宋体"/>
          <w:szCs w:val="21"/>
          <w:highlight w:val="none"/>
          <w:lang w:val="zh-CN"/>
        </w:rPr>
      </w:pPr>
      <w:r>
        <w:rPr>
          <w:rStyle w:val="43"/>
          <w:rFonts w:ascii="宋体" w:hAnsi="宋体"/>
          <w:szCs w:val="21"/>
          <w:highlight w:val="none"/>
          <w:lang w:val="zh-CN"/>
        </w:rPr>
        <w:t>年    月    日</w:t>
      </w:r>
    </w:p>
    <w:p w14:paraId="03D568FB">
      <w:pPr>
        <w:snapToGrid w:val="0"/>
        <w:spacing w:line="360" w:lineRule="auto"/>
        <w:jc w:val="left"/>
        <w:rPr>
          <w:rStyle w:val="43"/>
          <w:rFonts w:ascii="宋体" w:hAnsi="宋体"/>
          <w:szCs w:val="21"/>
          <w:highlight w:val="none"/>
          <w:lang w:val="zh-CN"/>
        </w:rPr>
      </w:pPr>
    </w:p>
    <w:p w14:paraId="1FDB36BF">
      <w:pPr>
        <w:snapToGrid w:val="0"/>
        <w:spacing w:line="360" w:lineRule="auto"/>
        <w:rPr>
          <w:rStyle w:val="43"/>
          <w:rFonts w:ascii="宋体" w:hAnsi="宋体"/>
          <w:szCs w:val="21"/>
          <w:highlight w:val="none"/>
          <w:lang w:val="zh-CN"/>
        </w:rPr>
      </w:pPr>
    </w:p>
    <w:p w14:paraId="3D2FBF89">
      <w:pPr>
        <w:snapToGrid w:val="0"/>
        <w:spacing w:line="360" w:lineRule="auto"/>
        <w:ind w:firstLine="420" w:firstLineChars="200"/>
        <w:jc w:val="left"/>
        <w:rPr>
          <w:rStyle w:val="43"/>
          <w:rFonts w:ascii="宋体" w:hAnsi="宋体"/>
          <w:szCs w:val="21"/>
          <w:highlight w:val="none"/>
          <w:lang w:val="zh-CN"/>
        </w:rPr>
      </w:pPr>
    </w:p>
    <w:p w14:paraId="008B63E4">
      <w:pPr>
        <w:snapToGrid w:val="0"/>
        <w:spacing w:line="360" w:lineRule="auto"/>
        <w:ind w:firstLine="420" w:firstLineChars="200"/>
        <w:jc w:val="left"/>
        <w:rPr>
          <w:rStyle w:val="43"/>
          <w:rFonts w:ascii="宋体" w:hAnsi="宋体"/>
          <w:szCs w:val="21"/>
          <w:highlight w:val="none"/>
          <w:lang w:val="zh-CN"/>
        </w:rPr>
      </w:pPr>
    </w:p>
    <w:p w14:paraId="0C1FAB7C">
      <w:pPr>
        <w:snapToGrid w:val="0"/>
        <w:spacing w:line="360" w:lineRule="auto"/>
        <w:jc w:val="left"/>
        <w:rPr>
          <w:rStyle w:val="43"/>
          <w:rFonts w:ascii="宋体" w:hAnsi="宋体"/>
          <w:szCs w:val="21"/>
          <w:highlight w:val="none"/>
          <w:lang w:val="zh-CN"/>
        </w:rPr>
      </w:pPr>
    </w:p>
    <w:p w14:paraId="21B2CDD1">
      <w:pPr>
        <w:snapToGrid w:val="0"/>
        <w:spacing w:line="360" w:lineRule="auto"/>
        <w:jc w:val="left"/>
        <w:rPr>
          <w:rStyle w:val="43"/>
          <w:rFonts w:ascii="宋体" w:hAnsi="宋体"/>
          <w:szCs w:val="21"/>
          <w:highlight w:val="none"/>
          <w:lang w:val="zh-CN"/>
        </w:rPr>
      </w:pPr>
    </w:p>
    <w:p w14:paraId="5496D741">
      <w:pPr>
        <w:snapToGrid w:val="0"/>
        <w:spacing w:line="360" w:lineRule="auto"/>
        <w:rPr>
          <w:rStyle w:val="43"/>
          <w:rFonts w:ascii="宋体" w:hAnsi="宋体"/>
          <w:szCs w:val="21"/>
          <w:highlight w:val="none"/>
          <w:lang w:val="zh-CN"/>
        </w:rPr>
      </w:pPr>
      <w:r>
        <w:rPr>
          <w:rStyle w:val="43"/>
          <w:rFonts w:ascii="宋体" w:hAnsi="宋体"/>
          <w:szCs w:val="21"/>
          <w:highlight w:val="none"/>
          <w:lang w:val="zh-CN"/>
        </w:rPr>
        <w:br w:type="page"/>
      </w:r>
    </w:p>
    <w:p w14:paraId="422FA2D0">
      <w:pPr>
        <w:snapToGrid w:val="0"/>
        <w:spacing w:line="360" w:lineRule="auto"/>
        <w:ind w:firstLine="643" w:firstLineChars="200"/>
        <w:jc w:val="center"/>
        <w:rPr>
          <w:rStyle w:val="43"/>
          <w:rFonts w:ascii="宋体" w:hAnsi="宋体"/>
          <w:b/>
          <w:sz w:val="32"/>
          <w:szCs w:val="32"/>
          <w:highlight w:val="none"/>
        </w:rPr>
      </w:pPr>
      <w:r>
        <w:rPr>
          <w:rStyle w:val="43"/>
          <w:rFonts w:hint="eastAsia" w:ascii="宋体" w:hAnsi="宋体"/>
          <w:b/>
          <w:sz w:val="32"/>
          <w:szCs w:val="32"/>
          <w:highlight w:val="none"/>
        </w:rPr>
        <w:t>五</w:t>
      </w:r>
      <w:r>
        <w:rPr>
          <w:rStyle w:val="43"/>
          <w:rFonts w:ascii="宋体" w:hAnsi="宋体"/>
          <w:b/>
          <w:sz w:val="32"/>
          <w:szCs w:val="32"/>
          <w:highlight w:val="none"/>
        </w:rPr>
        <w:t>、资格</w:t>
      </w:r>
      <w:r>
        <w:rPr>
          <w:rStyle w:val="43"/>
          <w:rFonts w:hint="eastAsia" w:ascii="宋体" w:hAnsi="宋体"/>
          <w:b/>
          <w:sz w:val="32"/>
          <w:szCs w:val="32"/>
          <w:highlight w:val="none"/>
        </w:rPr>
        <w:t>证明文件</w:t>
      </w:r>
    </w:p>
    <w:p w14:paraId="6EB31C71">
      <w:pPr>
        <w:snapToGrid w:val="0"/>
        <w:spacing w:line="360" w:lineRule="auto"/>
        <w:jc w:val="left"/>
        <w:rPr>
          <w:rStyle w:val="43"/>
          <w:rFonts w:ascii="宋体" w:hAnsi="宋体"/>
          <w:szCs w:val="21"/>
          <w:highlight w:val="none"/>
          <w:lang w:val="zh-CN"/>
        </w:rPr>
      </w:pPr>
    </w:p>
    <w:p w14:paraId="71D92104">
      <w:pPr>
        <w:snapToGrid w:val="0"/>
        <w:spacing w:line="48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在此处提供资格审查资料的扫描件：</w:t>
      </w:r>
    </w:p>
    <w:p w14:paraId="7802C0CC">
      <w:pPr>
        <w:snapToGrid w:val="0"/>
        <w:spacing w:line="360" w:lineRule="auto"/>
        <w:ind w:firstLine="422" w:firstLineChars="200"/>
        <w:rPr>
          <w:rStyle w:val="43"/>
          <w:rFonts w:ascii="宋体" w:hAnsi="宋体"/>
          <w:b/>
          <w:szCs w:val="21"/>
          <w:highlight w:val="none"/>
          <w:lang w:val="zh-CN"/>
        </w:rPr>
      </w:pPr>
      <w:r>
        <w:rPr>
          <w:rStyle w:val="43"/>
          <w:rFonts w:ascii="宋体" w:hAnsi="宋体"/>
          <w:b/>
          <w:szCs w:val="21"/>
          <w:highlight w:val="none"/>
          <w:lang w:val="zh-CN"/>
        </w:rPr>
        <w:t>（</w:t>
      </w:r>
      <w:r>
        <w:rPr>
          <w:rStyle w:val="43"/>
          <w:rFonts w:ascii="宋体" w:hAnsi="宋体"/>
          <w:b/>
          <w:szCs w:val="21"/>
          <w:highlight w:val="none"/>
        </w:rPr>
        <w:t>1</w:t>
      </w:r>
      <w:r>
        <w:rPr>
          <w:rStyle w:val="43"/>
          <w:rFonts w:ascii="宋体" w:hAnsi="宋体"/>
          <w:b/>
          <w:szCs w:val="21"/>
          <w:highlight w:val="none"/>
          <w:lang w:val="zh-CN"/>
        </w:rPr>
        <w:t>）投标人为合法注册的法人、其他组织或自然人（加盖公章）</w:t>
      </w:r>
    </w:p>
    <w:p w14:paraId="5A589AB2">
      <w:pPr>
        <w:adjustRightInd w:val="0"/>
        <w:snapToGrid w:val="0"/>
        <w:spacing w:line="360" w:lineRule="auto"/>
        <w:ind w:firstLine="422" w:firstLineChars="200"/>
        <w:rPr>
          <w:rFonts w:cs="宋体" w:asciiTheme="minorEastAsia" w:hAnsiTheme="minorEastAsia" w:eastAsiaTheme="minorEastAsia"/>
          <w:szCs w:val="21"/>
          <w:highlight w:val="none"/>
        </w:rPr>
      </w:pPr>
      <w:r>
        <w:rPr>
          <w:rStyle w:val="43"/>
          <w:rFonts w:ascii="宋体" w:hAnsi="宋体"/>
          <w:b/>
          <w:szCs w:val="21"/>
          <w:highlight w:val="none"/>
          <w:lang w:val="zh-CN"/>
        </w:rPr>
        <w:t>（</w:t>
      </w:r>
      <w:r>
        <w:rPr>
          <w:rStyle w:val="43"/>
          <w:rFonts w:ascii="宋体" w:hAnsi="宋体"/>
          <w:b/>
          <w:szCs w:val="21"/>
          <w:highlight w:val="none"/>
        </w:rPr>
        <w:t>2</w:t>
      </w:r>
      <w:r>
        <w:rPr>
          <w:rStyle w:val="43"/>
          <w:rFonts w:ascii="宋体" w:hAnsi="宋体"/>
          <w:b/>
          <w:szCs w:val="21"/>
          <w:highlight w:val="none"/>
          <w:lang w:val="zh-CN"/>
        </w:rPr>
        <w:t>）</w:t>
      </w:r>
      <w:r>
        <w:rPr>
          <w:b/>
          <w:bCs/>
          <w:highlight w:val="none"/>
        </w:rPr>
        <w:t>具备</w:t>
      </w:r>
      <w:r>
        <w:rPr>
          <w:rFonts w:hint="eastAsia"/>
          <w:b/>
          <w:bCs/>
          <w:highlight w:val="none"/>
          <w:lang w:val="en-US" w:eastAsia="zh-CN"/>
        </w:rPr>
        <w:t>电子与智能化工程专业承包二级</w:t>
      </w:r>
      <w:r>
        <w:rPr>
          <w:b/>
          <w:bCs/>
          <w:highlight w:val="none"/>
        </w:rPr>
        <w:t>（含</w:t>
      </w:r>
      <w:r>
        <w:rPr>
          <w:rFonts w:hint="eastAsia"/>
          <w:b/>
          <w:bCs/>
          <w:highlight w:val="none"/>
        </w:rPr>
        <w:t>二</w:t>
      </w:r>
      <w:r>
        <w:rPr>
          <w:b/>
          <w:bCs/>
          <w:highlight w:val="none"/>
        </w:rPr>
        <w:t>级）以上资质</w:t>
      </w:r>
      <w:r>
        <w:rPr>
          <w:rFonts w:hint="eastAsia"/>
          <w:b/>
          <w:bCs/>
          <w:highlight w:val="none"/>
          <w:lang w:val="en-US" w:eastAsia="zh-CN"/>
        </w:rPr>
        <w:t>及</w:t>
      </w:r>
      <w:r>
        <w:rPr>
          <w:rFonts w:hint="eastAsia"/>
          <w:b/>
          <w:bCs/>
          <w:highlight w:val="none"/>
        </w:rPr>
        <w:t>建筑装修装饰工程专业承包二级</w:t>
      </w:r>
      <w:r>
        <w:rPr>
          <w:b/>
          <w:bCs/>
          <w:highlight w:val="none"/>
        </w:rPr>
        <w:t>（含</w:t>
      </w:r>
      <w:r>
        <w:rPr>
          <w:rFonts w:hint="eastAsia"/>
          <w:b/>
          <w:bCs/>
          <w:highlight w:val="none"/>
        </w:rPr>
        <w:t>二</w:t>
      </w:r>
      <w:r>
        <w:rPr>
          <w:b/>
          <w:bCs/>
          <w:highlight w:val="none"/>
        </w:rPr>
        <w:t>级）以上资质</w:t>
      </w:r>
      <w:r>
        <w:rPr>
          <w:rFonts w:hint="eastAsia" w:cs="宋体" w:asciiTheme="minorEastAsia" w:hAnsiTheme="minorEastAsia" w:eastAsiaTheme="minorEastAsia"/>
          <w:b/>
          <w:bCs/>
          <w:szCs w:val="21"/>
          <w:highlight w:val="none"/>
        </w:rPr>
        <w:t>，并具有合格有效的安全生产许可证；</w:t>
      </w:r>
    </w:p>
    <w:p w14:paraId="69E3109B">
      <w:pPr>
        <w:snapToGrid w:val="0"/>
        <w:spacing w:line="360" w:lineRule="auto"/>
        <w:ind w:firstLine="422" w:firstLineChars="200"/>
        <w:rPr>
          <w:rStyle w:val="43"/>
          <w:rFonts w:ascii="宋体" w:hAnsi="宋体" w:eastAsiaTheme="minorEastAsia"/>
          <w:b/>
          <w:szCs w:val="21"/>
          <w:highlight w:val="none"/>
          <w:lang w:val="zh-CN"/>
        </w:rPr>
      </w:pPr>
      <w:r>
        <w:rPr>
          <w:rStyle w:val="43"/>
          <w:rFonts w:hint="eastAsia" w:ascii="宋体" w:hAnsi="宋体"/>
          <w:b/>
          <w:szCs w:val="21"/>
          <w:highlight w:val="none"/>
          <w:lang w:val="zh-CN"/>
        </w:rPr>
        <w:t>（</w:t>
      </w:r>
      <w:r>
        <w:rPr>
          <w:rStyle w:val="43"/>
          <w:rFonts w:hint="eastAsia" w:ascii="宋体" w:hAnsi="宋体"/>
          <w:b/>
          <w:szCs w:val="21"/>
          <w:highlight w:val="none"/>
        </w:rPr>
        <w:t>3</w:t>
      </w:r>
      <w:r>
        <w:rPr>
          <w:rStyle w:val="43"/>
          <w:rFonts w:hint="eastAsia" w:ascii="宋体" w:hAnsi="宋体"/>
          <w:b/>
          <w:szCs w:val="21"/>
          <w:highlight w:val="none"/>
          <w:lang w:val="zh-CN"/>
        </w:rPr>
        <w:t>）</w:t>
      </w:r>
      <w:r>
        <w:rPr>
          <w:rFonts w:hint="eastAsia" w:cs="宋体" w:asciiTheme="minorEastAsia" w:hAnsiTheme="minorEastAsia" w:eastAsiaTheme="minorEastAsia"/>
          <w:b/>
          <w:bCs/>
          <w:szCs w:val="21"/>
          <w:highlight w:val="none"/>
        </w:rPr>
        <w:t>拟派项目经理须具备建筑工程专业二级及以上建造师资格</w:t>
      </w:r>
      <w:r>
        <w:rPr>
          <w:rFonts w:hint="eastAsia" w:cs="宋体" w:asciiTheme="minorEastAsia" w:hAnsiTheme="minorEastAsia" w:eastAsiaTheme="minorEastAsia"/>
          <w:b/>
          <w:bCs/>
          <w:szCs w:val="21"/>
          <w:highlight w:val="none"/>
          <w:lang w:eastAsia="zh-CN"/>
        </w:rPr>
        <w:t>，</w:t>
      </w:r>
      <w:r>
        <w:rPr>
          <w:rFonts w:hint="eastAsia" w:cs="宋体" w:asciiTheme="minorEastAsia" w:hAnsiTheme="minorEastAsia" w:eastAsiaTheme="minorEastAsia"/>
          <w:b/>
          <w:bCs/>
          <w:szCs w:val="21"/>
          <w:highlight w:val="none"/>
        </w:rPr>
        <w:t>并具备有效的安全生产考核合格证书，提供项目经理无在建工程承诺书，在本单位注册且未担任其他在建工程项目的项目经理</w:t>
      </w:r>
      <w:r>
        <w:rPr>
          <w:rFonts w:hint="eastAsia" w:cs="宋体" w:asciiTheme="minorEastAsia" w:hAnsiTheme="minorEastAsia" w:eastAsiaTheme="minorEastAsia"/>
          <w:b/>
          <w:bCs/>
          <w:szCs w:val="21"/>
          <w:highlight w:val="none"/>
          <w:lang w:eastAsia="zh-CN"/>
        </w:rPr>
        <w:t>，</w:t>
      </w:r>
      <w:r>
        <w:rPr>
          <w:rFonts w:hint="eastAsia" w:cs="宋体" w:asciiTheme="minorEastAsia" w:hAnsiTheme="minorEastAsia" w:eastAsiaTheme="minorEastAsia"/>
          <w:b/>
          <w:bCs/>
          <w:szCs w:val="21"/>
          <w:highlight w:val="none"/>
        </w:rPr>
        <w:t>提供项目经理</w:t>
      </w:r>
      <w:r>
        <w:rPr>
          <w:rFonts w:hint="eastAsia" w:cs="宋体" w:asciiTheme="minorEastAsia" w:hAnsiTheme="minorEastAsia" w:eastAsiaTheme="minorEastAsia"/>
          <w:b/>
          <w:bCs/>
          <w:szCs w:val="21"/>
          <w:highlight w:val="none"/>
          <w:lang w:val="en-US" w:eastAsia="zh-CN"/>
        </w:rPr>
        <w:t>无在建</w:t>
      </w:r>
      <w:r>
        <w:rPr>
          <w:rFonts w:hint="eastAsia" w:cs="宋体" w:asciiTheme="minorEastAsia" w:hAnsiTheme="minorEastAsia" w:eastAsiaTheme="minorEastAsia"/>
          <w:b/>
          <w:bCs/>
          <w:szCs w:val="21"/>
          <w:highlight w:val="none"/>
        </w:rPr>
        <w:t>承诺书</w:t>
      </w:r>
      <w:r>
        <w:rPr>
          <w:rFonts w:hint="eastAsia" w:cs="宋体" w:asciiTheme="minorEastAsia" w:hAnsiTheme="minorEastAsia" w:eastAsiaTheme="minorEastAsia"/>
          <w:b/>
          <w:bCs/>
          <w:szCs w:val="21"/>
          <w:highlight w:val="none"/>
          <w:lang w:eastAsia="zh-CN"/>
        </w:rPr>
        <w:t>。</w:t>
      </w:r>
    </w:p>
    <w:p w14:paraId="547F2E76">
      <w:pPr>
        <w:snapToGrid w:val="0"/>
        <w:spacing w:line="360" w:lineRule="auto"/>
        <w:ind w:firstLine="422" w:firstLineChars="200"/>
        <w:rPr>
          <w:rStyle w:val="43"/>
          <w:rFonts w:ascii="宋体" w:hAnsi="宋体"/>
          <w:b/>
          <w:szCs w:val="21"/>
          <w:highlight w:val="none"/>
          <w:lang w:val="zh-CN"/>
        </w:rPr>
      </w:pPr>
      <w:r>
        <w:rPr>
          <w:rStyle w:val="43"/>
          <w:rFonts w:hint="eastAsia" w:ascii="宋体" w:hAnsi="宋体"/>
          <w:b/>
          <w:szCs w:val="21"/>
          <w:highlight w:val="none"/>
          <w:lang w:val="zh-CN"/>
        </w:rPr>
        <w:t>（</w:t>
      </w:r>
      <w:r>
        <w:rPr>
          <w:rStyle w:val="43"/>
          <w:rFonts w:hint="eastAsia" w:ascii="宋体" w:hAnsi="宋体"/>
          <w:b/>
          <w:szCs w:val="21"/>
          <w:highlight w:val="none"/>
        </w:rPr>
        <w:t>4</w:t>
      </w:r>
      <w:r>
        <w:rPr>
          <w:rStyle w:val="43"/>
          <w:rFonts w:hint="eastAsia" w:ascii="宋体" w:hAnsi="宋体"/>
          <w:b/>
          <w:szCs w:val="21"/>
          <w:highlight w:val="none"/>
          <w:lang w:val="zh-CN"/>
        </w:rPr>
        <w:t>）提供投标截止时间前六个月内任意一个月依法纳税和缴纳社保的证明，依法不需要缴纳社保及依法免税的投标人则需提供相应的合法证明材料</w:t>
      </w:r>
      <w:r>
        <w:rPr>
          <w:rStyle w:val="43"/>
          <w:rFonts w:ascii="宋体" w:hAnsi="宋体"/>
          <w:b/>
          <w:szCs w:val="21"/>
          <w:highlight w:val="none"/>
          <w:lang w:val="zh-CN"/>
        </w:rPr>
        <w:t>。（加盖公章）</w:t>
      </w:r>
      <w:r>
        <w:rPr>
          <w:rStyle w:val="43"/>
          <w:rFonts w:hint="eastAsia" w:ascii="宋体" w:hAnsi="宋体"/>
          <w:b/>
          <w:szCs w:val="21"/>
          <w:highlight w:val="none"/>
          <w:lang w:val="zh-CN"/>
        </w:rPr>
        <w:t>或提供《基本资格条件承诺函》</w:t>
      </w:r>
    </w:p>
    <w:p w14:paraId="193BEF50">
      <w:pPr>
        <w:snapToGrid w:val="0"/>
        <w:spacing w:line="360" w:lineRule="auto"/>
        <w:ind w:firstLine="422" w:firstLineChars="200"/>
        <w:rPr>
          <w:rStyle w:val="43"/>
          <w:rFonts w:ascii="宋体" w:hAnsi="宋体"/>
          <w:b/>
          <w:szCs w:val="21"/>
          <w:highlight w:val="none"/>
          <w:lang w:val="zh-CN"/>
        </w:rPr>
      </w:pPr>
      <w:r>
        <w:rPr>
          <w:rStyle w:val="43"/>
          <w:rFonts w:ascii="宋体" w:hAnsi="宋体"/>
          <w:b/>
          <w:szCs w:val="21"/>
          <w:highlight w:val="none"/>
          <w:lang w:val="zh-CN"/>
        </w:rPr>
        <w:t>（</w:t>
      </w:r>
      <w:r>
        <w:rPr>
          <w:rStyle w:val="43"/>
          <w:rFonts w:hint="eastAsia" w:ascii="宋体" w:hAnsi="宋体"/>
          <w:b/>
          <w:szCs w:val="21"/>
          <w:highlight w:val="none"/>
        </w:rPr>
        <w:t>5</w:t>
      </w:r>
      <w:r>
        <w:rPr>
          <w:rStyle w:val="43"/>
          <w:rFonts w:ascii="宋体" w:hAnsi="宋体"/>
          <w:b/>
          <w:szCs w:val="21"/>
          <w:highlight w:val="none"/>
          <w:lang w:val="zh-CN"/>
        </w:rPr>
        <w:t>）投标人在参加政府采购活动前3年内在经营活动中没有重大违法记录的书面声明。（加盖公章）</w:t>
      </w:r>
      <w:r>
        <w:rPr>
          <w:rStyle w:val="43"/>
          <w:rFonts w:hint="eastAsia" w:ascii="宋体" w:hAnsi="宋体"/>
          <w:b/>
          <w:szCs w:val="21"/>
          <w:highlight w:val="none"/>
          <w:lang w:val="zh-CN"/>
        </w:rPr>
        <w:t>或提供《基本资格条件承诺函》</w:t>
      </w:r>
    </w:p>
    <w:p w14:paraId="6FD8F3D4">
      <w:pPr>
        <w:snapToGrid w:val="0"/>
        <w:spacing w:line="360" w:lineRule="auto"/>
        <w:ind w:firstLine="422" w:firstLineChars="200"/>
        <w:rPr>
          <w:rStyle w:val="43"/>
          <w:rFonts w:ascii="宋体" w:hAnsi="宋体"/>
          <w:b/>
          <w:szCs w:val="21"/>
          <w:highlight w:val="none"/>
          <w:lang w:val="zh-CN"/>
        </w:rPr>
      </w:pPr>
      <w:r>
        <w:rPr>
          <w:rStyle w:val="43"/>
          <w:rFonts w:ascii="宋体" w:hAnsi="宋体"/>
          <w:b/>
          <w:szCs w:val="21"/>
          <w:highlight w:val="none"/>
          <w:lang w:val="zh-CN"/>
        </w:rPr>
        <w:t>（</w:t>
      </w:r>
      <w:r>
        <w:rPr>
          <w:rStyle w:val="43"/>
          <w:rFonts w:hint="eastAsia" w:ascii="宋体" w:hAnsi="宋体"/>
          <w:b/>
          <w:szCs w:val="21"/>
          <w:highlight w:val="none"/>
        </w:rPr>
        <w:t>6</w:t>
      </w:r>
      <w:r>
        <w:rPr>
          <w:rStyle w:val="43"/>
          <w:rFonts w:ascii="宋体" w:hAnsi="宋体"/>
          <w:b/>
          <w:szCs w:val="21"/>
          <w:highlight w:val="none"/>
          <w:lang w:val="zh-CN"/>
        </w:rPr>
        <w:t>）投标人具有履行合同所必须的设备和专业技术能力（提供承诺函）。（加盖公章）</w:t>
      </w:r>
      <w:r>
        <w:rPr>
          <w:rStyle w:val="43"/>
          <w:rFonts w:hint="eastAsia" w:ascii="宋体" w:hAnsi="宋体"/>
          <w:b/>
          <w:szCs w:val="21"/>
          <w:highlight w:val="none"/>
          <w:lang w:val="zh-CN"/>
        </w:rPr>
        <w:t>或提供《基本资格条件承诺函》</w:t>
      </w:r>
    </w:p>
    <w:p w14:paraId="5EC56A05">
      <w:pPr>
        <w:snapToGrid w:val="0"/>
        <w:spacing w:line="360" w:lineRule="auto"/>
        <w:ind w:firstLine="422" w:firstLineChars="200"/>
        <w:rPr>
          <w:rStyle w:val="43"/>
          <w:rFonts w:ascii="宋体" w:hAnsi="宋体"/>
          <w:szCs w:val="21"/>
          <w:highlight w:val="none"/>
          <w:lang w:val="zh-CN"/>
        </w:rPr>
      </w:pPr>
      <w:r>
        <w:rPr>
          <w:rStyle w:val="43"/>
          <w:rFonts w:ascii="宋体" w:hAnsi="宋体"/>
          <w:b/>
          <w:szCs w:val="21"/>
          <w:highlight w:val="none"/>
          <w:lang w:val="zh-CN"/>
        </w:rPr>
        <w:t>（</w:t>
      </w:r>
      <w:r>
        <w:rPr>
          <w:rStyle w:val="43"/>
          <w:rFonts w:hint="eastAsia" w:ascii="宋体" w:hAnsi="宋体"/>
          <w:b/>
          <w:szCs w:val="21"/>
          <w:highlight w:val="none"/>
        </w:rPr>
        <w:t>7</w:t>
      </w:r>
      <w:r>
        <w:rPr>
          <w:rStyle w:val="43"/>
          <w:rFonts w:ascii="宋体" w:hAnsi="宋体"/>
          <w:b/>
          <w:szCs w:val="21"/>
          <w:highlight w:val="none"/>
          <w:lang w:val="zh-CN"/>
        </w:rPr>
        <w:t>）</w:t>
      </w:r>
      <w:r>
        <w:rPr>
          <w:rStyle w:val="43"/>
          <w:rFonts w:hint="eastAsia" w:ascii="宋体" w:hAnsi="宋体"/>
          <w:b/>
          <w:szCs w:val="21"/>
          <w:highlight w:val="none"/>
          <w:lang w:val="zh-CN"/>
        </w:rPr>
        <w:t>提供投标人2023年度经审计的财务报告；或投标截止时间前三个月内其基本开户银行出具的资信证明及账户开户许可证明文件；或财政部门认可的政府采购专业担保机构开具的投标担保函</w:t>
      </w:r>
      <w:r>
        <w:rPr>
          <w:rStyle w:val="43"/>
          <w:rFonts w:ascii="宋体" w:hAnsi="宋体"/>
          <w:b/>
          <w:szCs w:val="21"/>
          <w:highlight w:val="none"/>
          <w:lang w:val="zh-CN"/>
        </w:rPr>
        <w:t>。（加盖公章）</w:t>
      </w:r>
      <w:r>
        <w:rPr>
          <w:rStyle w:val="43"/>
          <w:rFonts w:hint="eastAsia" w:ascii="宋体" w:hAnsi="宋体"/>
          <w:b/>
          <w:szCs w:val="21"/>
          <w:highlight w:val="none"/>
          <w:lang w:val="zh-CN"/>
        </w:rPr>
        <w:t>或提供《基本资格条件承诺函》</w:t>
      </w:r>
    </w:p>
    <w:p w14:paraId="11CFA39F">
      <w:pPr>
        <w:snapToGrid w:val="0"/>
        <w:spacing w:line="360" w:lineRule="auto"/>
        <w:ind w:firstLine="422" w:firstLineChars="200"/>
        <w:jc w:val="left"/>
        <w:rPr>
          <w:rStyle w:val="43"/>
          <w:rFonts w:ascii="宋体" w:hAnsi="宋体"/>
          <w:b/>
          <w:szCs w:val="21"/>
          <w:highlight w:val="none"/>
          <w:lang w:val="zh-CN"/>
        </w:rPr>
      </w:pPr>
      <w:r>
        <w:rPr>
          <w:rStyle w:val="43"/>
          <w:rFonts w:hint="eastAsia" w:ascii="宋体" w:hAnsi="宋体"/>
          <w:b/>
          <w:szCs w:val="21"/>
          <w:highlight w:val="none"/>
          <w:lang w:val="zh-CN"/>
        </w:rPr>
        <w:t>（</w:t>
      </w:r>
      <w:r>
        <w:rPr>
          <w:rStyle w:val="43"/>
          <w:rFonts w:hint="eastAsia" w:ascii="宋体" w:hAnsi="宋体"/>
          <w:b/>
          <w:szCs w:val="21"/>
          <w:highlight w:val="none"/>
        </w:rPr>
        <w:t>8</w:t>
      </w:r>
      <w:r>
        <w:rPr>
          <w:rStyle w:val="43"/>
          <w:rFonts w:hint="eastAsia" w:ascii="宋体" w:hAnsi="宋体"/>
          <w:b/>
          <w:szCs w:val="21"/>
          <w:highlight w:val="none"/>
          <w:lang w:val="zh-CN"/>
        </w:rPr>
        <w:t>）本采购包专门面向</w:t>
      </w:r>
      <w:r>
        <w:rPr>
          <w:rStyle w:val="43"/>
          <w:rFonts w:hint="eastAsia" w:ascii="宋体" w:hAnsi="宋体"/>
          <w:b/>
          <w:szCs w:val="21"/>
          <w:highlight w:val="none"/>
        </w:rPr>
        <w:t>中小</w:t>
      </w:r>
      <w:r>
        <w:rPr>
          <w:rStyle w:val="43"/>
          <w:rFonts w:hint="eastAsia" w:ascii="宋体" w:hAnsi="宋体"/>
          <w:b/>
          <w:szCs w:val="21"/>
          <w:highlight w:val="none"/>
          <w:lang w:val="zh-CN"/>
        </w:rPr>
        <w:t>企业采购：提供《中小企业声明函》（监狱企业的证明文件或《残疾人福利性单位声明函》）（残疾人福利性单位、监狱企业视同小型、微型企业）</w:t>
      </w:r>
    </w:p>
    <w:p w14:paraId="78939335">
      <w:pPr>
        <w:spacing w:line="360" w:lineRule="auto"/>
        <w:ind w:firstLine="422" w:firstLineChars="200"/>
        <w:rPr>
          <w:b/>
          <w:bCs/>
          <w:color w:val="000000"/>
          <w:szCs w:val="21"/>
          <w:highlight w:val="none"/>
        </w:rPr>
      </w:pPr>
      <w:r>
        <w:rPr>
          <w:rFonts w:hint="eastAsia"/>
          <w:b/>
          <w:bCs/>
          <w:color w:val="000000"/>
          <w:szCs w:val="21"/>
          <w:highlight w:val="none"/>
        </w:rPr>
        <w:t>注：1、以上资格证明资料中：第4-7项，投标人可提供《基本资格条件承诺函》即可。若不提供《基本资格条件承诺函》，则需提供4-7项相应的证明材料。</w:t>
      </w:r>
    </w:p>
    <w:p w14:paraId="59CF6977">
      <w:pPr>
        <w:spacing w:line="360" w:lineRule="auto"/>
        <w:ind w:firstLine="422" w:firstLineChars="200"/>
        <w:rPr>
          <w:b/>
          <w:bCs/>
          <w:color w:val="000000"/>
          <w:szCs w:val="21"/>
          <w:highlight w:val="none"/>
        </w:rPr>
      </w:pPr>
      <w:r>
        <w:rPr>
          <w:rFonts w:hint="eastAsia"/>
          <w:b/>
          <w:bCs/>
          <w:color w:val="000000"/>
          <w:szCs w:val="21"/>
          <w:highlight w:val="none"/>
        </w:rPr>
        <w:t>2、《基本资格条件承诺函》详见附件格式内容。投标人应对其资格信用承诺内容的真实性、合法性、有效性负责。如作出虚假承诺，视同“提供虚假材料谋取中标(成交)”的违法行为。</w:t>
      </w:r>
    </w:p>
    <w:p w14:paraId="7FDD65FE">
      <w:pPr>
        <w:snapToGrid w:val="0"/>
        <w:spacing w:line="360" w:lineRule="auto"/>
        <w:ind w:firstLine="420" w:firstLineChars="200"/>
        <w:jc w:val="center"/>
        <w:rPr>
          <w:rStyle w:val="43"/>
          <w:rFonts w:ascii="宋体" w:hAnsi="宋体"/>
          <w:szCs w:val="21"/>
          <w:highlight w:val="none"/>
          <w:lang w:val="zh-CN"/>
        </w:rPr>
      </w:pPr>
    </w:p>
    <w:p w14:paraId="7B913C08">
      <w:pPr>
        <w:snapToGrid w:val="0"/>
        <w:spacing w:line="360" w:lineRule="auto"/>
        <w:ind w:firstLine="420" w:firstLineChars="200"/>
        <w:jc w:val="center"/>
        <w:rPr>
          <w:rStyle w:val="43"/>
          <w:rFonts w:ascii="宋体" w:hAnsi="宋体"/>
          <w:szCs w:val="21"/>
          <w:highlight w:val="none"/>
          <w:lang w:val="zh-CN"/>
        </w:rPr>
      </w:pPr>
    </w:p>
    <w:p w14:paraId="42E1183F">
      <w:pPr>
        <w:snapToGrid w:val="0"/>
        <w:spacing w:line="360" w:lineRule="auto"/>
        <w:ind w:firstLine="420" w:firstLineChars="200"/>
        <w:jc w:val="center"/>
        <w:rPr>
          <w:rStyle w:val="43"/>
          <w:rFonts w:ascii="宋体" w:hAnsi="宋体"/>
          <w:szCs w:val="21"/>
          <w:highlight w:val="none"/>
          <w:lang w:val="zh-CN"/>
        </w:rPr>
      </w:pPr>
    </w:p>
    <w:p w14:paraId="1FFF9C5C">
      <w:pPr>
        <w:pStyle w:val="11"/>
        <w:ind w:left="-395" w:right="-773" w:firstLine="420"/>
        <w:rPr>
          <w:rStyle w:val="43"/>
          <w:rFonts w:ascii="宋体" w:hAnsi="宋体"/>
          <w:sz w:val="21"/>
          <w:szCs w:val="21"/>
          <w:highlight w:val="none"/>
          <w:lang w:val="zh-CN"/>
        </w:rPr>
      </w:pPr>
    </w:p>
    <w:p w14:paraId="4021D8D3">
      <w:pPr>
        <w:pStyle w:val="11"/>
        <w:ind w:left="-395" w:right="-773" w:firstLine="420"/>
        <w:rPr>
          <w:rStyle w:val="43"/>
          <w:rFonts w:ascii="宋体" w:hAnsi="宋体"/>
          <w:sz w:val="21"/>
          <w:szCs w:val="21"/>
          <w:highlight w:val="none"/>
          <w:lang w:val="zh-CN"/>
        </w:rPr>
      </w:pPr>
    </w:p>
    <w:p w14:paraId="122246C3">
      <w:pPr>
        <w:pStyle w:val="11"/>
        <w:ind w:left="-395" w:right="-773" w:firstLine="420"/>
        <w:rPr>
          <w:rStyle w:val="43"/>
          <w:rFonts w:ascii="宋体" w:hAnsi="宋体"/>
          <w:sz w:val="21"/>
          <w:szCs w:val="21"/>
          <w:highlight w:val="none"/>
          <w:lang w:val="zh-CN"/>
        </w:rPr>
      </w:pPr>
    </w:p>
    <w:p w14:paraId="5CEC005F">
      <w:pPr>
        <w:pStyle w:val="11"/>
        <w:ind w:left="-395" w:right="-773" w:firstLine="420"/>
        <w:rPr>
          <w:rStyle w:val="43"/>
          <w:rFonts w:ascii="宋体" w:hAnsi="宋体"/>
          <w:sz w:val="21"/>
          <w:szCs w:val="21"/>
          <w:highlight w:val="none"/>
          <w:lang w:val="zh-CN"/>
        </w:rPr>
      </w:pPr>
    </w:p>
    <w:p w14:paraId="33C1A303">
      <w:pPr>
        <w:pStyle w:val="11"/>
        <w:ind w:left="-395" w:right="-773" w:firstLine="420"/>
        <w:rPr>
          <w:rStyle w:val="43"/>
          <w:rFonts w:ascii="宋体" w:hAnsi="宋体"/>
          <w:sz w:val="21"/>
          <w:szCs w:val="21"/>
          <w:highlight w:val="none"/>
          <w:lang w:val="zh-CN"/>
        </w:rPr>
      </w:pPr>
    </w:p>
    <w:p w14:paraId="5704DE7B">
      <w:pPr>
        <w:pStyle w:val="11"/>
        <w:ind w:left="-395" w:right="-773" w:firstLine="420"/>
        <w:rPr>
          <w:rStyle w:val="43"/>
          <w:rFonts w:ascii="宋体" w:hAnsi="宋体"/>
          <w:sz w:val="21"/>
          <w:szCs w:val="21"/>
          <w:highlight w:val="none"/>
          <w:lang w:val="zh-CN"/>
        </w:rPr>
      </w:pPr>
    </w:p>
    <w:p w14:paraId="738DB7FC">
      <w:pPr>
        <w:pStyle w:val="11"/>
        <w:ind w:left="-395" w:right="-773" w:firstLine="420"/>
        <w:rPr>
          <w:rStyle w:val="43"/>
          <w:rFonts w:ascii="宋体" w:hAnsi="宋体"/>
          <w:sz w:val="21"/>
          <w:szCs w:val="21"/>
          <w:highlight w:val="none"/>
          <w:lang w:val="zh-CN"/>
        </w:rPr>
      </w:pPr>
    </w:p>
    <w:p w14:paraId="0A68D049">
      <w:pPr>
        <w:snapToGrid w:val="0"/>
        <w:spacing w:line="360" w:lineRule="auto"/>
        <w:ind w:firstLine="643" w:firstLineChars="200"/>
        <w:jc w:val="center"/>
        <w:rPr>
          <w:rStyle w:val="43"/>
          <w:rFonts w:ascii="宋体" w:hAnsi="宋体"/>
          <w:b/>
          <w:sz w:val="32"/>
          <w:szCs w:val="32"/>
          <w:highlight w:val="none"/>
        </w:rPr>
      </w:pPr>
      <w:r>
        <w:rPr>
          <w:rStyle w:val="43"/>
          <w:rFonts w:hint="eastAsia" w:ascii="宋体" w:hAnsi="宋体"/>
          <w:b/>
          <w:sz w:val="32"/>
          <w:szCs w:val="32"/>
          <w:highlight w:val="none"/>
        </w:rPr>
        <w:t>六</w:t>
      </w:r>
      <w:r>
        <w:rPr>
          <w:rStyle w:val="43"/>
          <w:rFonts w:ascii="宋体" w:hAnsi="宋体"/>
          <w:b/>
          <w:sz w:val="32"/>
          <w:szCs w:val="32"/>
          <w:highlight w:val="none"/>
        </w:rPr>
        <w:t>、技术响应</w:t>
      </w:r>
    </w:p>
    <w:p w14:paraId="2B3DE0AC">
      <w:pPr>
        <w:snapToGrid w:val="0"/>
        <w:spacing w:line="360" w:lineRule="auto"/>
        <w:ind w:firstLine="420" w:firstLineChars="200"/>
        <w:jc w:val="left"/>
        <w:rPr>
          <w:rStyle w:val="43"/>
          <w:rFonts w:ascii="宋体" w:hAnsi="宋体"/>
          <w:szCs w:val="21"/>
          <w:highlight w:val="none"/>
          <w:lang w:val="zh-CN"/>
        </w:rPr>
      </w:pPr>
    </w:p>
    <w:p w14:paraId="07BF3B36">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 xml:space="preserve">投标人根据招标文件“第三章 评标办法”、“第四章 </w:t>
      </w:r>
      <w:r>
        <w:rPr>
          <w:rStyle w:val="43"/>
          <w:rFonts w:hint="eastAsia" w:ascii="宋体" w:hAnsi="宋体"/>
          <w:szCs w:val="21"/>
          <w:highlight w:val="none"/>
          <w:lang w:val="zh-CN"/>
        </w:rPr>
        <w:t>招标内容和要求</w:t>
      </w:r>
      <w:r>
        <w:rPr>
          <w:rStyle w:val="43"/>
          <w:rFonts w:ascii="宋体" w:hAnsi="宋体"/>
          <w:szCs w:val="21"/>
          <w:highlight w:val="none"/>
          <w:lang w:val="zh-CN"/>
        </w:rPr>
        <w:t>”内容做出响应，内容包含不限于以下：</w:t>
      </w:r>
    </w:p>
    <w:p w14:paraId="5160717D">
      <w:pPr>
        <w:pStyle w:val="69"/>
        <w:snapToGrid w:val="0"/>
        <w:spacing w:line="360" w:lineRule="auto"/>
        <w:rPr>
          <w:rStyle w:val="43"/>
          <w:rFonts w:ascii="宋体" w:hAnsi="宋体" w:cs="宋体"/>
          <w:b/>
          <w:bCs/>
          <w:szCs w:val="21"/>
          <w:highlight w:val="none"/>
        </w:rPr>
      </w:pPr>
      <w:r>
        <w:rPr>
          <w:rStyle w:val="43"/>
          <w:rFonts w:hint="eastAsia" w:ascii="宋体" w:hAnsi="宋体" w:cs="宋体"/>
          <w:b/>
          <w:bCs/>
          <w:szCs w:val="21"/>
          <w:highlight w:val="none"/>
        </w:rPr>
        <w:t>1、企业基本情况表</w:t>
      </w:r>
    </w:p>
    <w:p w14:paraId="3C842900">
      <w:pPr>
        <w:pStyle w:val="69"/>
        <w:snapToGrid w:val="0"/>
        <w:spacing w:line="360" w:lineRule="auto"/>
        <w:rPr>
          <w:rStyle w:val="43"/>
          <w:rFonts w:ascii="宋体" w:hAnsi="宋体" w:cs="宋体"/>
          <w:b/>
          <w:bCs/>
          <w:szCs w:val="21"/>
          <w:highlight w:val="none"/>
        </w:rPr>
      </w:pPr>
      <w:r>
        <w:rPr>
          <w:rStyle w:val="43"/>
          <w:rFonts w:hint="eastAsia" w:ascii="宋体" w:hAnsi="宋体" w:cs="宋体"/>
          <w:b/>
          <w:bCs/>
          <w:szCs w:val="21"/>
          <w:highlight w:val="none"/>
        </w:rPr>
        <w:t>2、</w:t>
      </w:r>
      <w:r>
        <w:rPr>
          <w:rStyle w:val="43"/>
          <w:rFonts w:ascii="宋体" w:hAnsi="宋体" w:cs="宋体"/>
          <w:b/>
          <w:bCs/>
          <w:szCs w:val="21"/>
          <w:highlight w:val="none"/>
        </w:rPr>
        <w:t>技术部分：</w:t>
      </w:r>
    </w:p>
    <w:p w14:paraId="5FE3CA27">
      <w:pPr>
        <w:pStyle w:val="69"/>
        <w:snapToGrid w:val="0"/>
        <w:spacing w:line="360" w:lineRule="auto"/>
        <w:rPr>
          <w:rStyle w:val="43"/>
          <w:rFonts w:ascii="宋体" w:hAnsi="宋体" w:cs="Times New Roman"/>
          <w:sz w:val="18"/>
          <w:szCs w:val="18"/>
          <w:highlight w:val="none"/>
        </w:rPr>
      </w:pPr>
      <w:r>
        <w:rPr>
          <w:rStyle w:val="43"/>
          <w:rFonts w:hint="eastAsia" w:ascii="宋体" w:hAnsi="宋体" w:cs="Times New Roman"/>
          <w:sz w:val="18"/>
          <w:szCs w:val="18"/>
          <w:highlight w:val="none"/>
          <w:lang w:val="en-US" w:eastAsia="zh-CN"/>
        </w:rPr>
        <w:t>2.1</w:t>
      </w:r>
      <w:r>
        <w:rPr>
          <w:rStyle w:val="43"/>
          <w:rFonts w:ascii="宋体" w:hAnsi="宋体" w:cs="Times New Roman"/>
          <w:sz w:val="18"/>
          <w:szCs w:val="18"/>
          <w:highlight w:val="none"/>
        </w:rPr>
        <w:t>确保工程质量的技术组织措施</w:t>
      </w:r>
    </w:p>
    <w:p w14:paraId="450D8F6E">
      <w:pPr>
        <w:pStyle w:val="69"/>
        <w:snapToGrid w:val="0"/>
        <w:spacing w:line="360" w:lineRule="auto"/>
        <w:rPr>
          <w:rStyle w:val="43"/>
          <w:rFonts w:hAnsi="宋体" w:cs="Times New Roman"/>
          <w:kern w:val="2"/>
          <w:sz w:val="18"/>
          <w:szCs w:val="18"/>
          <w:highlight w:val="none"/>
        </w:rPr>
      </w:pPr>
      <w:r>
        <w:rPr>
          <w:rStyle w:val="43"/>
          <w:rFonts w:hint="eastAsia" w:ascii="宋体" w:hAnsi="宋体" w:cs="Times New Roman"/>
          <w:sz w:val="18"/>
          <w:szCs w:val="18"/>
          <w:highlight w:val="none"/>
          <w:lang w:val="en-US" w:eastAsia="zh-CN"/>
        </w:rPr>
        <w:t>2.2</w:t>
      </w:r>
      <w:r>
        <w:rPr>
          <w:rStyle w:val="43"/>
          <w:rFonts w:hAnsi="宋体" w:cs="Times New Roman"/>
          <w:kern w:val="2"/>
          <w:sz w:val="18"/>
          <w:szCs w:val="18"/>
          <w:highlight w:val="none"/>
        </w:rPr>
        <w:t>确保安全生产的技术组织措施</w:t>
      </w:r>
    </w:p>
    <w:p w14:paraId="151AB986">
      <w:pPr>
        <w:pStyle w:val="69"/>
        <w:snapToGrid w:val="0"/>
        <w:spacing w:line="360" w:lineRule="auto"/>
        <w:rPr>
          <w:rStyle w:val="43"/>
          <w:rFonts w:hint="eastAsia" w:hAnsi="宋体" w:cs="Times New Roman"/>
          <w:kern w:val="2"/>
          <w:sz w:val="18"/>
          <w:szCs w:val="18"/>
          <w:highlight w:val="none"/>
        </w:rPr>
      </w:pPr>
      <w:r>
        <w:rPr>
          <w:rStyle w:val="43"/>
          <w:rFonts w:hint="eastAsia" w:hAnsi="宋体" w:cs="Times New Roman"/>
          <w:kern w:val="2"/>
          <w:sz w:val="18"/>
          <w:szCs w:val="18"/>
          <w:highlight w:val="none"/>
          <w:lang w:val="en-US" w:eastAsia="zh-CN"/>
        </w:rPr>
        <w:t>2.3</w:t>
      </w:r>
      <w:r>
        <w:rPr>
          <w:rStyle w:val="43"/>
          <w:rFonts w:hint="eastAsia" w:hAnsi="宋体" w:cs="Times New Roman"/>
          <w:kern w:val="2"/>
          <w:sz w:val="18"/>
          <w:szCs w:val="18"/>
          <w:highlight w:val="none"/>
        </w:rPr>
        <w:t>确保文明施工的技术组织措施及环境保护措施</w:t>
      </w:r>
    </w:p>
    <w:p w14:paraId="32511DC8">
      <w:pPr>
        <w:pStyle w:val="69"/>
        <w:snapToGrid w:val="0"/>
        <w:spacing w:line="360" w:lineRule="auto"/>
        <w:rPr>
          <w:rStyle w:val="43"/>
          <w:rFonts w:ascii="宋体" w:hAnsi="宋体" w:cs="Times New Roman"/>
          <w:sz w:val="18"/>
          <w:szCs w:val="18"/>
          <w:highlight w:val="none"/>
        </w:rPr>
      </w:pPr>
      <w:r>
        <w:rPr>
          <w:rStyle w:val="43"/>
          <w:rFonts w:hint="eastAsia" w:ascii="宋体" w:hAnsi="宋体" w:cs="Times New Roman"/>
          <w:sz w:val="18"/>
          <w:szCs w:val="18"/>
          <w:highlight w:val="none"/>
          <w:lang w:val="en-US" w:eastAsia="zh-CN"/>
        </w:rPr>
        <w:t>2.4</w:t>
      </w:r>
      <w:r>
        <w:rPr>
          <w:rStyle w:val="43"/>
          <w:rFonts w:ascii="宋体" w:hAnsi="宋体" w:cs="Times New Roman"/>
          <w:sz w:val="18"/>
          <w:szCs w:val="18"/>
          <w:highlight w:val="none"/>
        </w:rPr>
        <w:t>确保工期的技术组织措施</w:t>
      </w:r>
    </w:p>
    <w:p w14:paraId="50B03AC7">
      <w:pPr>
        <w:pStyle w:val="69"/>
        <w:snapToGrid w:val="0"/>
        <w:spacing w:line="360" w:lineRule="auto"/>
        <w:rPr>
          <w:rStyle w:val="43"/>
          <w:rFonts w:ascii="宋体" w:hAnsi="宋体" w:cs="Times New Roman"/>
          <w:sz w:val="18"/>
          <w:szCs w:val="18"/>
          <w:highlight w:val="none"/>
        </w:rPr>
      </w:pPr>
      <w:r>
        <w:rPr>
          <w:rStyle w:val="43"/>
          <w:rFonts w:hint="eastAsia" w:ascii="宋体" w:hAnsi="宋体" w:cs="Times New Roman"/>
          <w:sz w:val="18"/>
          <w:szCs w:val="18"/>
          <w:highlight w:val="none"/>
          <w:lang w:val="en-US" w:eastAsia="zh-CN"/>
        </w:rPr>
        <w:t>2.5</w:t>
      </w:r>
      <w:r>
        <w:rPr>
          <w:rStyle w:val="43"/>
          <w:rFonts w:ascii="宋体" w:hAnsi="宋体" w:cs="Times New Roman"/>
          <w:sz w:val="18"/>
          <w:szCs w:val="18"/>
          <w:highlight w:val="none"/>
        </w:rPr>
        <w:t>项目组织机构及项目经理部组成人员</w:t>
      </w:r>
    </w:p>
    <w:p w14:paraId="3FC47401">
      <w:pPr>
        <w:pStyle w:val="69"/>
        <w:snapToGrid w:val="0"/>
        <w:spacing w:line="360" w:lineRule="auto"/>
        <w:rPr>
          <w:rStyle w:val="43"/>
          <w:rFonts w:hint="eastAsia" w:ascii="宋体" w:hAnsi="宋体" w:cs="Times New Roman"/>
          <w:sz w:val="18"/>
          <w:szCs w:val="18"/>
          <w:highlight w:val="none"/>
        </w:rPr>
      </w:pPr>
      <w:r>
        <w:rPr>
          <w:rStyle w:val="43"/>
          <w:rFonts w:hint="eastAsia" w:ascii="宋体" w:hAnsi="宋体" w:cs="Times New Roman"/>
          <w:sz w:val="18"/>
          <w:szCs w:val="18"/>
          <w:highlight w:val="none"/>
          <w:lang w:val="en-US" w:eastAsia="zh-CN"/>
        </w:rPr>
        <w:t>2.6</w:t>
      </w:r>
      <w:r>
        <w:rPr>
          <w:rStyle w:val="43"/>
          <w:rFonts w:hint="eastAsia" w:ascii="宋体" w:hAnsi="宋体" w:cs="Times New Roman"/>
          <w:sz w:val="18"/>
          <w:szCs w:val="18"/>
          <w:highlight w:val="none"/>
        </w:rPr>
        <w:t>突发事件应急预案</w:t>
      </w:r>
    </w:p>
    <w:p w14:paraId="447BB506">
      <w:pPr>
        <w:pStyle w:val="69"/>
        <w:snapToGrid w:val="0"/>
        <w:spacing w:line="360" w:lineRule="auto"/>
        <w:rPr>
          <w:rStyle w:val="43"/>
          <w:rFonts w:hint="eastAsia" w:ascii="宋体" w:hAnsi="宋体" w:eastAsia="宋体" w:cs="Times New Roman"/>
          <w:sz w:val="18"/>
          <w:szCs w:val="18"/>
          <w:highlight w:val="none"/>
          <w:lang w:eastAsia="zh-CN"/>
        </w:rPr>
      </w:pPr>
      <w:r>
        <w:rPr>
          <w:rStyle w:val="43"/>
          <w:rFonts w:hint="eastAsia" w:ascii="宋体" w:hAnsi="宋体" w:cs="Times New Roman"/>
          <w:sz w:val="18"/>
          <w:szCs w:val="18"/>
          <w:highlight w:val="none"/>
          <w:lang w:val="en-US" w:eastAsia="zh-CN"/>
        </w:rPr>
        <w:t>2.7技术方案</w:t>
      </w:r>
    </w:p>
    <w:p w14:paraId="524766DF">
      <w:pPr>
        <w:pStyle w:val="69"/>
        <w:snapToGrid w:val="0"/>
        <w:spacing w:line="360" w:lineRule="auto"/>
        <w:rPr>
          <w:rStyle w:val="43"/>
          <w:rFonts w:hint="eastAsia" w:ascii="宋体" w:hAnsi="宋体" w:cs="Times New Roman"/>
          <w:sz w:val="18"/>
          <w:szCs w:val="18"/>
          <w:highlight w:val="none"/>
        </w:rPr>
      </w:pPr>
      <w:r>
        <w:rPr>
          <w:rStyle w:val="43"/>
          <w:rFonts w:hint="eastAsia" w:ascii="宋体" w:hAnsi="宋体" w:cs="Times New Roman"/>
          <w:sz w:val="18"/>
          <w:szCs w:val="18"/>
          <w:highlight w:val="none"/>
          <w:lang w:val="en-US" w:eastAsia="zh-CN"/>
        </w:rPr>
        <w:t>2.8实施</w:t>
      </w:r>
      <w:r>
        <w:rPr>
          <w:rStyle w:val="43"/>
          <w:rFonts w:hint="eastAsia" w:ascii="宋体" w:hAnsi="宋体" w:cs="Times New Roman"/>
          <w:sz w:val="18"/>
          <w:szCs w:val="18"/>
          <w:highlight w:val="none"/>
        </w:rPr>
        <w:t>方案</w:t>
      </w:r>
    </w:p>
    <w:p w14:paraId="25E6FB26">
      <w:pPr>
        <w:pStyle w:val="69"/>
        <w:snapToGrid w:val="0"/>
        <w:spacing w:line="360" w:lineRule="auto"/>
        <w:rPr>
          <w:rStyle w:val="43"/>
          <w:rFonts w:hint="eastAsia" w:ascii="宋体" w:hAnsi="宋体" w:cs="Times New Roman"/>
          <w:sz w:val="18"/>
          <w:szCs w:val="18"/>
          <w:highlight w:val="none"/>
        </w:rPr>
      </w:pPr>
      <w:r>
        <w:rPr>
          <w:rStyle w:val="43"/>
          <w:rFonts w:hint="eastAsia" w:ascii="宋体" w:hAnsi="宋体" w:cs="Times New Roman"/>
          <w:sz w:val="18"/>
          <w:szCs w:val="18"/>
          <w:highlight w:val="none"/>
          <w:lang w:val="en-US" w:eastAsia="zh-CN"/>
        </w:rPr>
        <w:t>2.9</w:t>
      </w:r>
      <w:r>
        <w:rPr>
          <w:rStyle w:val="43"/>
          <w:rFonts w:hint="eastAsia" w:ascii="宋体" w:hAnsi="宋体" w:cs="Times New Roman"/>
          <w:sz w:val="18"/>
          <w:szCs w:val="18"/>
          <w:highlight w:val="none"/>
        </w:rPr>
        <w:t>产品可靠性</w:t>
      </w:r>
    </w:p>
    <w:p w14:paraId="6F5A10D3">
      <w:pPr>
        <w:pStyle w:val="69"/>
        <w:snapToGrid w:val="0"/>
        <w:spacing w:line="360" w:lineRule="auto"/>
        <w:rPr>
          <w:rStyle w:val="43"/>
          <w:rFonts w:hint="eastAsia" w:ascii="宋体" w:hAnsi="宋体" w:cs="Times New Roman"/>
          <w:sz w:val="18"/>
          <w:szCs w:val="18"/>
          <w:highlight w:val="none"/>
          <w:lang w:val="en-US" w:eastAsia="zh-CN"/>
        </w:rPr>
      </w:pPr>
      <w:r>
        <w:rPr>
          <w:rStyle w:val="43"/>
          <w:rFonts w:hint="eastAsia" w:ascii="宋体" w:hAnsi="宋体" w:cs="Times New Roman"/>
          <w:sz w:val="18"/>
          <w:szCs w:val="18"/>
          <w:highlight w:val="none"/>
          <w:lang w:val="en-US" w:eastAsia="zh-CN"/>
        </w:rPr>
        <w:t>2.10技术指标</w:t>
      </w:r>
    </w:p>
    <w:p w14:paraId="0F90851C">
      <w:pPr>
        <w:pStyle w:val="37"/>
        <w:snapToGrid w:val="0"/>
        <w:rPr>
          <w:rStyle w:val="43"/>
          <w:rFonts w:cs="Times New Roman"/>
          <w:b/>
          <w:bCs/>
          <w:color w:val="000000"/>
          <w:sz w:val="21"/>
          <w:szCs w:val="22"/>
          <w:highlight w:val="none"/>
          <w:u w:color="FF0000"/>
        </w:rPr>
      </w:pPr>
    </w:p>
    <w:p w14:paraId="3D0C6450">
      <w:pPr>
        <w:rPr>
          <w:rStyle w:val="43"/>
          <w:rFonts w:cs="Times New Roman"/>
          <w:b/>
          <w:bCs/>
          <w:color w:val="000000"/>
          <w:szCs w:val="22"/>
          <w:highlight w:val="none"/>
          <w:u w:val="single" w:color="FF0000"/>
        </w:rPr>
      </w:pPr>
    </w:p>
    <w:p w14:paraId="059ECD20">
      <w:pPr>
        <w:pStyle w:val="24"/>
        <w:rPr>
          <w:highlight w:val="none"/>
        </w:rPr>
      </w:pPr>
    </w:p>
    <w:p w14:paraId="746E9BA9">
      <w:pPr>
        <w:snapToGrid w:val="0"/>
        <w:rPr>
          <w:rStyle w:val="43"/>
          <w:rFonts w:cs="Times New Roman"/>
          <w:b/>
          <w:bCs/>
          <w:szCs w:val="22"/>
          <w:highlight w:val="none"/>
        </w:rPr>
      </w:pPr>
    </w:p>
    <w:p w14:paraId="4D59DD44">
      <w:pPr>
        <w:pStyle w:val="37"/>
        <w:snapToGrid w:val="0"/>
        <w:rPr>
          <w:rStyle w:val="43"/>
          <w:rFonts w:cs="Times New Roman"/>
          <w:b/>
          <w:bCs/>
          <w:color w:val="000000"/>
          <w:sz w:val="21"/>
          <w:szCs w:val="22"/>
          <w:highlight w:val="none"/>
          <w:u w:color="FF0000"/>
        </w:rPr>
      </w:pPr>
    </w:p>
    <w:p w14:paraId="5C33F4D7">
      <w:pPr>
        <w:snapToGrid w:val="0"/>
        <w:rPr>
          <w:rStyle w:val="43"/>
          <w:rFonts w:cs="Times New Roman"/>
          <w:b/>
          <w:bCs/>
          <w:szCs w:val="22"/>
          <w:highlight w:val="none"/>
        </w:rPr>
      </w:pPr>
    </w:p>
    <w:p w14:paraId="43635C8A">
      <w:pPr>
        <w:pStyle w:val="37"/>
        <w:snapToGrid w:val="0"/>
        <w:rPr>
          <w:rStyle w:val="43"/>
          <w:rFonts w:cs="Times New Roman"/>
          <w:b/>
          <w:bCs/>
          <w:color w:val="000000"/>
          <w:sz w:val="21"/>
          <w:szCs w:val="22"/>
          <w:highlight w:val="none"/>
          <w:u w:color="FF0000"/>
        </w:rPr>
      </w:pPr>
    </w:p>
    <w:p w14:paraId="3F886B70">
      <w:pPr>
        <w:snapToGrid w:val="0"/>
        <w:rPr>
          <w:rStyle w:val="43"/>
          <w:rFonts w:cs="Times New Roman"/>
          <w:b/>
          <w:bCs/>
          <w:szCs w:val="22"/>
          <w:highlight w:val="none"/>
        </w:rPr>
      </w:pPr>
    </w:p>
    <w:p w14:paraId="7B666C8D">
      <w:pPr>
        <w:pStyle w:val="33"/>
        <w:rPr>
          <w:rStyle w:val="43"/>
          <w:rFonts w:cs="Times New Roman"/>
          <w:b/>
          <w:bCs/>
          <w:kern w:val="2"/>
          <w:sz w:val="21"/>
          <w:szCs w:val="22"/>
          <w:highlight w:val="none"/>
        </w:rPr>
      </w:pPr>
    </w:p>
    <w:p w14:paraId="1CEEE3F0">
      <w:pPr>
        <w:pStyle w:val="33"/>
        <w:rPr>
          <w:rStyle w:val="43"/>
          <w:rFonts w:cs="Times New Roman"/>
          <w:b/>
          <w:bCs/>
          <w:kern w:val="2"/>
          <w:sz w:val="21"/>
          <w:szCs w:val="22"/>
          <w:highlight w:val="none"/>
        </w:rPr>
      </w:pPr>
    </w:p>
    <w:p w14:paraId="73465B95">
      <w:pPr>
        <w:pStyle w:val="33"/>
        <w:rPr>
          <w:rStyle w:val="43"/>
          <w:rFonts w:cs="Times New Roman"/>
          <w:b/>
          <w:bCs/>
          <w:kern w:val="2"/>
          <w:sz w:val="21"/>
          <w:szCs w:val="22"/>
          <w:highlight w:val="none"/>
        </w:rPr>
      </w:pPr>
    </w:p>
    <w:p w14:paraId="05CE52B1">
      <w:pPr>
        <w:jc w:val="left"/>
        <w:textAlignment w:val="auto"/>
        <w:rPr>
          <w:rStyle w:val="43"/>
          <w:rFonts w:ascii="宋体" w:cs="Times New Roman"/>
          <w:b/>
          <w:bCs/>
          <w:szCs w:val="22"/>
          <w:highlight w:val="none"/>
        </w:rPr>
      </w:pPr>
      <w:r>
        <w:rPr>
          <w:rStyle w:val="43"/>
          <w:rFonts w:cs="Times New Roman"/>
          <w:b/>
          <w:bCs/>
          <w:szCs w:val="22"/>
          <w:highlight w:val="none"/>
        </w:rPr>
        <w:br w:type="page"/>
      </w:r>
    </w:p>
    <w:p w14:paraId="36BF3F84">
      <w:pPr>
        <w:pStyle w:val="33"/>
        <w:rPr>
          <w:rStyle w:val="43"/>
          <w:rFonts w:cs="Times New Roman"/>
          <w:b/>
          <w:bCs/>
          <w:kern w:val="2"/>
          <w:sz w:val="21"/>
          <w:szCs w:val="22"/>
          <w:highlight w:val="none"/>
        </w:rPr>
      </w:pPr>
    </w:p>
    <w:p w14:paraId="5ABEFE82">
      <w:pPr>
        <w:spacing w:line="360" w:lineRule="auto"/>
        <w:jc w:val="center"/>
        <w:rPr>
          <w:rStyle w:val="43"/>
          <w:rFonts w:ascii="宋体" w:hAnsi="宋体" w:cs="宋体"/>
          <w:b/>
          <w:bCs/>
          <w:szCs w:val="21"/>
          <w:highlight w:val="none"/>
        </w:rPr>
      </w:pPr>
      <w:r>
        <w:rPr>
          <w:rStyle w:val="43"/>
          <w:rFonts w:hint="eastAsia" w:ascii="宋体" w:hAnsi="宋体" w:cs="宋体"/>
          <w:b/>
          <w:bCs/>
          <w:szCs w:val="21"/>
          <w:highlight w:val="none"/>
        </w:rPr>
        <w:t>企业基本情况表</w:t>
      </w:r>
    </w:p>
    <w:tbl>
      <w:tblPr>
        <w:tblStyle w:val="25"/>
        <w:tblW w:w="87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93"/>
        <w:gridCol w:w="1115"/>
        <w:gridCol w:w="806"/>
        <w:gridCol w:w="1278"/>
        <w:gridCol w:w="195"/>
        <w:gridCol w:w="1246"/>
        <w:gridCol w:w="260"/>
        <w:gridCol w:w="709"/>
        <w:gridCol w:w="1179"/>
      </w:tblGrid>
      <w:tr w14:paraId="35442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993" w:type="dxa"/>
            <w:tcMar>
              <w:top w:w="0" w:type="dxa"/>
              <w:left w:w="108" w:type="dxa"/>
              <w:bottom w:w="0" w:type="dxa"/>
              <w:right w:w="108" w:type="dxa"/>
            </w:tcMar>
            <w:vAlign w:val="center"/>
          </w:tcPr>
          <w:p w14:paraId="43FA8CEE">
            <w:pPr>
              <w:adjustRightInd w:val="0"/>
              <w:snapToGrid w:val="0"/>
              <w:jc w:val="center"/>
              <w:rPr>
                <w:rFonts w:ascii="宋体" w:hAnsi="宋体" w:cs="宋体"/>
                <w:szCs w:val="24"/>
                <w:highlight w:val="none"/>
              </w:rPr>
            </w:pPr>
            <w:r>
              <w:rPr>
                <w:rFonts w:hint="eastAsia" w:ascii="宋体" w:hAnsi="宋体" w:cs="宋体"/>
                <w:szCs w:val="24"/>
                <w:highlight w:val="none"/>
              </w:rPr>
              <w:t>投标人名称</w:t>
            </w:r>
          </w:p>
        </w:tc>
        <w:tc>
          <w:tcPr>
            <w:tcW w:w="6788" w:type="dxa"/>
            <w:gridSpan w:val="8"/>
            <w:tcMar>
              <w:top w:w="0" w:type="dxa"/>
              <w:left w:w="108" w:type="dxa"/>
              <w:bottom w:w="0" w:type="dxa"/>
              <w:right w:w="108" w:type="dxa"/>
            </w:tcMar>
            <w:vAlign w:val="center"/>
          </w:tcPr>
          <w:p w14:paraId="28F0D1CB">
            <w:pPr>
              <w:adjustRightInd w:val="0"/>
              <w:snapToGrid w:val="0"/>
              <w:jc w:val="center"/>
              <w:rPr>
                <w:rFonts w:ascii="宋体" w:hAnsi="宋体" w:cs="宋体"/>
                <w:szCs w:val="24"/>
                <w:highlight w:val="none"/>
              </w:rPr>
            </w:pPr>
          </w:p>
        </w:tc>
      </w:tr>
      <w:tr w14:paraId="7BE9E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993" w:type="dxa"/>
            <w:tcMar>
              <w:top w:w="0" w:type="dxa"/>
              <w:left w:w="108" w:type="dxa"/>
              <w:bottom w:w="0" w:type="dxa"/>
              <w:right w:w="108" w:type="dxa"/>
            </w:tcMar>
            <w:vAlign w:val="center"/>
          </w:tcPr>
          <w:p w14:paraId="0D53607B">
            <w:pPr>
              <w:adjustRightInd w:val="0"/>
              <w:snapToGrid w:val="0"/>
              <w:jc w:val="center"/>
              <w:rPr>
                <w:rFonts w:ascii="宋体" w:hAnsi="宋体" w:cs="宋体"/>
                <w:szCs w:val="24"/>
                <w:highlight w:val="none"/>
              </w:rPr>
            </w:pPr>
            <w:r>
              <w:rPr>
                <w:rFonts w:hint="eastAsia" w:ascii="宋体" w:hAnsi="宋体" w:cs="宋体"/>
                <w:szCs w:val="24"/>
                <w:highlight w:val="none"/>
              </w:rPr>
              <w:t>注册地址</w:t>
            </w:r>
          </w:p>
        </w:tc>
        <w:tc>
          <w:tcPr>
            <w:tcW w:w="3394" w:type="dxa"/>
            <w:gridSpan w:val="4"/>
            <w:tcMar>
              <w:top w:w="0" w:type="dxa"/>
              <w:left w:w="108" w:type="dxa"/>
              <w:bottom w:w="0" w:type="dxa"/>
              <w:right w:w="108" w:type="dxa"/>
            </w:tcMar>
            <w:vAlign w:val="center"/>
          </w:tcPr>
          <w:p w14:paraId="66B5C739">
            <w:pPr>
              <w:adjustRightInd w:val="0"/>
              <w:snapToGrid w:val="0"/>
              <w:jc w:val="center"/>
              <w:rPr>
                <w:rFonts w:ascii="宋体" w:hAnsi="宋体" w:cs="宋体"/>
                <w:szCs w:val="24"/>
                <w:highlight w:val="none"/>
              </w:rPr>
            </w:pPr>
          </w:p>
        </w:tc>
        <w:tc>
          <w:tcPr>
            <w:tcW w:w="1246" w:type="dxa"/>
            <w:tcMar>
              <w:top w:w="0" w:type="dxa"/>
              <w:left w:w="108" w:type="dxa"/>
              <w:bottom w:w="0" w:type="dxa"/>
              <w:right w:w="108" w:type="dxa"/>
            </w:tcMar>
            <w:vAlign w:val="center"/>
          </w:tcPr>
          <w:p w14:paraId="73067A6A">
            <w:pPr>
              <w:adjustRightInd w:val="0"/>
              <w:snapToGrid w:val="0"/>
              <w:jc w:val="center"/>
              <w:rPr>
                <w:rFonts w:ascii="宋体" w:hAnsi="宋体" w:cs="宋体"/>
                <w:szCs w:val="24"/>
                <w:highlight w:val="none"/>
              </w:rPr>
            </w:pPr>
            <w:r>
              <w:rPr>
                <w:rFonts w:hint="eastAsia" w:ascii="宋体" w:hAnsi="宋体" w:cs="宋体"/>
                <w:szCs w:val="24"/>
                <w:highlight w:val="none"/>
              </w:rPr>
              <w:t>邮政编码</w:t>
            </w:r>
          </w:p>
        </w:tc>
        <w:tc>
          <w:tcPr>
            <w:tcW w:w="2148" w:type="dxa"/>
            <w:gridSpan w:val="3"/>
            <w:tcMar>
              <w:top w:w="0" w:type="dxa"/>
              <w:left w:w="108" w:type="dxa"/>
              <w:bottom w:w="0" w:type="dxa"/>
              <w:right w:w="108" w:type="dxa"/>
            </w:tcMar>
            <w:vAlign w:val="center"/>
          </w:tcPr>
          <w:p w14:paraId="413DE181">
            <w:pPr>
              <w:adjustRightInd w:val="0"/>
              <w:snapToGrid w:val="0"/>
              <w:jc w:val="center"/>
              <w:rPr>
                <w:rFonts w:ascii="宋体" w:hAnsi="宋体" w:cs="宋体"/>
                <w:szCs w:val="24"/>
                <w:highlight w:val="none"/>
              </w:rPr>
            </w:pPr>
          </w:p>
        </w:tc>
      </w:tr>
      <w:tr w14:paraId="2E883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vMerge w:val="restart"/>
            <w:tcMar>
              <w:top w:w="0" w:type="dxa"/>
              <w:left w:w="108" w:type="dxa"/>
              <w:bottom w:w="0" w:type="dxa"/>
              <w:right w:w="108" w:type="dxa"/>
            </w:tcMar>
            <w:vAlign w:val="center"/>
          </w:tcPr>
          <w:p w14:paraId="728E4E64">
            <w:pPr>
              <w:adjustRightInd w:val="0"/>
              <w:snapToGrid w:val="0"/>
              <w:jc w:val="center"/>
              <w:rPr>
                <w:rFonts w:ascii="宋体" w:hAnsi="宋体" w:cs="宋体"/>
                <w:szCs w:val="24"/>
                <w:highlight w:val="none"/>
              </w:rPr>
            </w:pPr>
            <w:r>
              <w:rPr>
                <w:rFonts w:hint="eastAsia" w:ascii="宋体" w:hAnsi="宋体" w:cs="宋体"/>
                <w:szCs w:val="24"/>
                <w:highlight w:val="none"/>
              </w:rPr>
              <w:t>联系方式</w:t>
            </w:r>
          </w:p>
        </w:tc>
        <w:tc>
          <w:tcPr>
            <w:tcW w:w="1115" w:type="dxa"/>
            <w:tcMar>
              <w:top w:w="0" w:type="dxa"/>
              <w:left w:w="108" w:type="dxa"/>
              <w:bottom w:w="0" w:type="dxa"/>
              <w:right w:w="108" w:type="dxa"/>
            </w:tcMar>
            <w:vAlign w:val="center"/>
          </w:tcPr>
          <w:p w14:paraId="1DEC0A1C">
            <w:pPr>
              <w:adjustRightInd w:val="0"/>
              <w:snapToGrid w:val="0"/>
              <w:jc w:val="center"/>
              <w:rPr>
                <w:rFonts w:ascii="宋体" w:hAnsi="宋体" w:cs="宋体"/>
                <w:szCs w:val="24"/>
                <w:highlight w:val="none"/>
              </w:rPr>
            </w:pPr>
            <w:r>
              <w:rPr>
                <w:rFonts w:hint="eastAsia" w:ascii="宋体" w:hAnsi="宋体" w:cs="宋体"/>
                <w:szCs w:val="24"/>
                <w:highlight w:val="none"/>
              </w:rPr>
              <w:t>联系人</w:t>
            </w:r>
          </w:p>
        </w:tc>
        <w:tc>
          <w:tcPr>
            <w:tcW w:w="2279" w:type="dxa"/>
            <w:gridSpan w:val="3"/>
            <w:tcMar>
              <w:top w:w="0" w:type="dxa"/>
              <w:left w:w="108" w:type="dxa"/>
              <w:bottom w:w="0" w:type="dxa"/>
              <w:right w:w="108" w:type="dxa"/>
            </w:tcMar>
            <w:vAlign w:val="center"/>
          </w:tcPr>
          <w:p w14:paraId="2F81413E">
            <w:pPr>
              <w:adjustRightInd w:val="0"/>
              <w:snapToGrid w:val="0"/>
              <w:jc w:val="center"/>
              <w:rPr>
                <w:rFonts w:ascii="宋体" w:hAnsi="宋体" w:cs="宋体"/>
                <w:szCs w:val="24"/>
                <w:highlight w:val="none"/>
              </w:rPr>
            </w:pPr>
          </w:p>
        </w:tc>
        <w:tc>
          <w:tcPr>
            <w:tcW w:w="1246" w:type="dxa"/>
            <w:tcMar>
              <w:top w:w="0" w:type="dxa"/>
              <w:left w:w="108" w:type="dxa"/>
              <w:bottom w:w="0" w:type="dxa"/>
              <w:right w:w="108" w:type="dxa"/>
            </w:tcMar>
            <w:vAlign w:val="center"/>
          </w:tcPr>
          <w:p w14:paraId="30DF1521">
            <w:pPr>
              <w:adjustRightInd w:val="0"/>
              <w:snapToGrid w:val="0"/>
              <w:jc w:val="center"/>
              <w:rPr>
                <w:rFonts w:ascii="宋体" w:hAnsi="宋体" w:cs="宋体"/>
                <w:szCs w:val="24"/>
                <w:highlight w:val="none"/>
              </w:rPr>
            </w:pPr>
            <w:r>
              <w:rPr>
                <w:rFonts w:hint="eastAsia" w:ascii="宋体" w:hAnsi="宋体" w:cs="宋体"/>
                <w:szCs w:val="24"/>
                <w:highlight w:val="none"/>
              </w:rPr>
              <w:t>电  话</w:t>
            </w:r>
          </w:p>
        </w:tc>
        <w:tc>
          <w:tcPr>
            <w:tcW w:w="2148" w:type="dxa"/>
            <w:gridSpan w:val="3"/>
            <w:tcMar>
              <w:top w:w="0" w:type="dxa"/>
              <w:left w:w="108" w:type="dxa"/>
              <w:bottom w:w="0" w:type="dxa"/>
              <w:right w:w="108" w:type="dxa"/>
            </w:tcMar>
            <w:vAlign w:val="center"/>
          </w:tcPr>
          <w:p w14:paraId="13680F96">
            <w:pPr>
              <w:adjustRightInd w:val="0"/>
              <w:snapToGrid w:val="0"/>
              <w:jc w:val="center"/>
              <w:rPr>
                <w:rFonts w:ascii="宋体" w:hAnsi="宋体" w:cs="宋体"/>
                <w:szCs w:val="24"/>
                <w:highlight w:val="none"/>
              </w:rPr>
            </w:pPr>
          </w:p>
        </w:tc>
      </w:tr>
      <w:tr w14:paraId="4F22F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vMerge w:val="continue"/>
            <w:vAlign w:val="center"/>
          </w:tcPr>
          <w:p w14:paraId="6EECFC88">
            <w:pPr>
              <w:adjustRightInd w:val="0"/>
              <w:snapToGrid w:val="0"/>
              <w:jc w:val="center"/>
              <w:rPr>
                <w:rFonts w:ascii="宋体" w:hAnsi="宋体" w:cs="宋体"/>
                <w:szCs w:val="24"/>
                <w:highlight w:val="none"/>
              </w:rPr>
            </w:pPr>
          </w:p>
        </w:tc>
        <w:tc>
          <w:tcPr>
            <w:tcW w:w="1115" w:type="dxa"/>
            <w:tcMar>
              <w:top w:w="0" w:type="dxa"/>
              <w:left w:w="108" w:type="dxa"/>
              <w:bottom w:w="0" w:type="dxa"/>
              <w:right w:w="108" w:type="dxa"/>
            </w:tcMar>
            <w:vAlign w:val="center"/>
          </w:tcPr>
          <w:p w14:paraId="30754071">
            <w:pPr>
              <w:adjustRightInd w:val="0"/>
              <w:snapToGrid w:val="0"/>
              <w:jc w:val="center"/>
              <w:rPr>
                <w:rFonts w:ascii="宋体" w:hAnsi="宋体" w:cs="宋体"/>
                <w:szCs w:val="24"/>
                <w:highlight w:val="none"/>
              </w:rPr>
            </w:pPr>
            <w:r>
              <w:rPr>
                <w:rFonts w:hint="eastAsia" w:ascii="宋体" w:hAnsi="宋体" w:cs="宋体"/>
                <w:szCs w:val="24"/>
                <w:highlight w:val="none"/>
              </w:rPr>
              <w:t>传 真</w:t>
            </w:r>
          </w:p>
        </w:tc>
        <w:tc>
          <w:tcPr>
            <w:tcW w:w="2279" w:type="dxa"/>
            <w:gridSpan w:val="3"/>
            <w:tcMar>
              <w:top w:w="0" w:type="dxa"/>
              <w:left w:w="108" w:type="dxa"/>
              <w:bottom w:w="0" w:type="dxa"/>
              <w:right w:w="108" w:type="dxa"/>
            </w:tcMar>
            <w:vAlign w:val="center"/>
          </w:tcPr>
          <w:p w14:paraId="4114ED9B">
            <w:pPr>
              <w:adjustRightInd w:val="0"/>
              <w:snapToGrid w:val="0"/>
              <w:jc w:val="center"/>
              <w:rPr>
                <w:rFonts w:ascii="宋体" w:hAnsi="宋体" w:cs="宋体"/>
                <w:szCs w:val="24"/>
                <w:highlight w:val="none"/>
              </w:rPr>
            </w:pPr>
          </w:p>
        </w:tc>
        <w:tc>
          <w:tcPr>
            <w:tcW w:w="1246" w:type="dxa"/>
            <w:tcMar>
              <w:top w:w="0" w:type="dxa"/>
              <w:left w:w="108" w:type="dxa"/>
              <w:bottom w:w="0" w:type="dxa"/>
              <w:right w:w="108" w:type="dxa"/>
            </w:tcMar>
            <w:vAlign w:val="center"/>
          </w:tcPr>
          <w:p w14:paraId="6945E3B8">
            <w:pPr>
              <w:adjustRightInd w:val="0"/>
              <w:snapToGrid w:val="0"/>
              <w:jc w:val="center"/>
              <w:rPr>
                <w:rFonts w:ascii="宋体" w:hAnsi="宋体" w:cs="宋体"/>
                <w:szCs w:val="24"/>
                <w:highlight w:val="none"/>
              </w:rPr>
            </w:pPr>
            <w:r>
              <w:rPr>
                <w:rFonts w:hint="eastAsia" w:ascii="宋体" w:hAnsi="宋体" w:cs="宋体"/>
                <w:szCs w:val="24"/>
                <w:highlight w:val="none"/>
              </w:rPr>
              <w:t>网  址</w:t>
            </w:r>
          </w:p>
        </w:tc>
        <w:tc>
          <w:tcPr>
            <w:tcW w:w="2148" w:type="dxa"/>
            <w:gridSpan w:val="3"/>
            <w:tcMar>
              <w:top w:w="0" w:type="dxa"/>
              <w:left w:w="108" w:type="dxa"/>
              <w:bottom w:w="0" w:type="dxa"/>
              <w:right w:w="108" w:type="dxa"/>
            </w:tcMar>
            <w:vAlign w:val="center"/>
          </w:tcPr>
          <w:p w14:paraId="4C8EA108">
            <w:pPr>
              <w:adjustRightInd w:val="0"/>
              <w:snapToGrid w:val="0"/>
              <w:jc w:val="center"/>
              <w:rPr>
                <w:rFonts w:ascii="宋体" w:hAnsi="宋体" w:cs="宋体"/>
                <w:szCs w:val="24"/>
                <w:highlight w:val="none"/>
              </w:rPr>
            </w:pPr>
          </w:p>
        </w:tc>
      </w:tr>
      <w:tr w14:paraId="450FC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993" w:type="dxa"/>
            <w:tcMar>
              <w:top w:w="0" w:type="dxa"/>
              <w:left w:w="108" w:type="dxa"/>
              <w:bottom w:w="0" w:type="dxa"/>
              <w:right w:w="108" w:type="dxa"/>
            </w:tcMar>
            <w:vAlign w:val="center"/>
          </w:tcPr>
          <w:p w14:paraId="00F10AF5">
            <w:pPr>
              <w:adjustRightInd w:val="0"/>
              <w:snapToGrid w:val="0"/>
              <w:jc w:val="center"/>
              <w:rPr>
                <w:rFonts w:ascii="宋体" w:hAnsi="宋体" w:cs="宋体"/>
                <w:szCs w:val="24"/>
                <w:highlight w:val="none"/>
              </w:rPr>
            </w:pPr>
            <w:r>
              <w:rPr>
                <w:rFonts w:hint="eastAsia" w:ascii="宋体" w:hAnsi="宋体" w:cs="宋体"/>
                <w:szCs w:val="24"/>
                <w:highlight w:val="none"/>
              </w:rPr>
              <w:t>组织机构</w:t>
            </w:r>
          </w:p>
        </w:tc>
        <w:tc>
          <w:tcPr>
            <w:tcW w:w="6788" w:type="dxa"/>
            <w:gridSpan w:val="8"/>
            <w:tcMar>
              <w:top w:w="0" w:type="dxa"/>
              <w:left w:w="108" w:type="dxa"/>
              <w:bottom w:w="0" w:type="dxa"/>
              <w:right w:w="108" w:type="dxa"/>
            </w:tcMar>
            <w:vAlign w:val="center"/>
          </w:tcPr>
          <w:p w14:paraId="48F81970">
            <w:pPr>
              <w:adjustRightInd w:val="0"/>
              <w:snapToGrid w:val="0"/>
              <w:jc w:val="center"/>
              <w:rPr>
                <w:rFonts w:ascii="宋体" w:hAnsi="宋体" w:cs="宋体"/>
                <w:szCs w:val="24"/>
                <w:highlight w:val="none"/>
              </w:rPr>
            </w:pPr>
          </w:p>
        </w:tc>
      </w:tr>
      <w:tr w14:paraId="68F18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7D2E0DD4">
            <w:pPr>
              <w:adjustRightInd w:val="0"/>
              <w:snapToGrid w:val="0"/>
              <w:jc w:val="center"/>
              <w:rPr>
                <w:rFonts w:ascii="宋体" w:hAnsi="宋体" w:cs="宋体"/>
                <w:szCs w:val="24"/>
                <w:highlight w:val="none"/>
              </w:rPr>
            </w:pPr>
            <w:r>
              <w:rPr>
                <w:rFonts w:hint="eastAsia" w:ascii="宋体" w:hAnsi="宋体" w:cs="宋体"/>
                <w:szCs w:val="24"/>
                <w:highlight w:val="none"/>
              </w:rPr>
              <w:t>法定代表人</w:t>
            </w:r>
          </w:p>
        </w:tc>
        <w:tc>
          <w:tcPr>
            <w:tcW w:w="1115" w:type="dxa"/>
            <w:tcMar>
              <w:top w:w="0" w:type="dxa"/>
              <w:left w:w="108" w:type="dxa"/>
              <w:bottom w:w="0" w:type="dxa"/>
              <w:right w:w="108" w:type="dxa"/>
            </w:tcMar>
            <w:vAlign w:val="center"/>
          </w:tcPr>
          <w:p w14:paraId="3ED7E54C">
            <w:pPr>
              <w:adjustRightInd w:val="0"/>
              <w:snapToGrid w:val="0"/>
              <w:jc w:val="center"/>
              <w:rPr>
                <w:rFonts w:ascii="宋体" w:hAnsi="宋体" w:cs="宋体"/>
                <w:szCs w:val="24"/>
                <w:highlight w:val="none"/>
              </w:rPr>
            </w:pPr>
            <w:r>
              <w:rPr>
                <w:rFonts w:hint="eastAsia" w:ascii="宋体" w:hAnsi="宋体" w:cs="宋体"/>
                <w:szCs w:val="24"/>
                <w:highlight w:val="none"/>
              </w:rPr>
              <w:t>姓名</w:t>
            </w:r>
          </w:p>
        </w:tc>
        <w:tc>
          <w:tcPr>
            <w:tcW w:w="806" w:type="dxa"/>
            <w:tcMar>
              <w:top w:w="0" w:type="dxa"/>
              <w:left w:w="108" w:type="dxa"/>
              <w:bottom w:w="0" w:type="dxa"/>
              <w:right w:w="108" w:type="dxa"/>
            </w:tcMar>
            <w:vAlign w:val="center"/>
          </w:tcPr>
          <w:p w14:paraId="2D30DB5D">
            <w:pPr>
              <w:adjustRightInd w:val="0"/>
              <w:snapToGrid w:val="0"/>
              <w:jc w:val="center"/>
              <w:rPr>
                <w:rFonts w:ascii="宋体" w:hAnsi="宋体" w:cs="宋体"/>
                <w:szCs w:val="24"/>
                <w:highlight w:val="none"/>
              </w:rPr>
            </w:pPr>
          </w:p>
        </w:tc>
        <w:tc>
          <w:tcPr>
            <w:tcW w:w="1278" w:type="dxa"/>
            <w:tcMar>
              <w:top w:w="0" w:type="dxa"/>
              <w:left w:w="108" w:type="dxa"/>
              <w:bottom w:w="0" w:type="dxa"/>
              <w:right w:w="108" w:type="dxa"/>
            </w:tcMar>
            <w:vAlign w:val="center"/>
          </w:tcPr>
          <w:p w14:paraId="4224D7FF">
            <w:pPr>
              <w:adjustRightInd w:val="0"/>
              <w:snapToGrid w:val="0"/>
              <w:jc w:val="center"/>
              <w:rPr>
                <w:rFonts w:ascii="宋体" w:hAnsi="宋体" w:cs="宋体"/>
                <w:szCs w:val="24"/>
                <w:highlight w:val="none"/>
              </w:rPr>
            </w:pPr>
            <w:r>
              <w:rPr>
                <w:rFonts w:hint="eastAsia" w:ascii="宋体" w:hAnsi="宋体" w:cs="宋体"/>
                <w:szCs w:val="24"/>
                <w:highlight w:val="none"/>
              </w:rPr>
              <w:t>技术职称</w:t>
            </w:r>
          </w:p>
        </w:tc>
        <w:tc>
          <w:tcPr>
            <w:tcW w:w="1701" w:type="dxa"/>
            <w:gridSpan w:val="3"/>
            <w:tcMar>
              <w:top w:w="0" w:type="dxa"/>
              <w:left w:w="108" w:type="dxa"/>
              <w:bottom w:w="0" w:type="dxa"/>
              <w:right w:w="108" w:type="dxa"/>
            </w:tcMar>
            <w:vAlign w:val="center"/>
          </w:tcPr>
          <w:p w14:paraId="1C3A5D97">
            <w:pPr>
              <w:adjustRightInd w:val="0"/>
              <w:snapToGrid w:val="0"/>
              <w:jc w:val="center"/>
              <w:rPr>
                <w:rFonts w:ascii="宋体" w:hAnsi="宋体" w:cs="宋体"/>
                <w:szCs w:val="24"/>
                <w:highlight w:val="none"/>
              </w:rPr>
            </w:pPr>
          </w:p>
        </w:tc>
        <w:tc>
          <w:tcPr>
            <w:tcW w:w="709" w:type="dxa"/>
            <w:tcMar>
              <w:top w:w="0" w:type="dxa"/>
              <w:left w:w="108" w:type="dxa"/>
              <w:bottom w:w="0" w:type="dxa"/>
              <w:right w:w="108" w:type="dxa"/>
            </w:tcMar>
            <w:vAlign w:val="center"/>
          </w:tcPr>
          <w:p w14:paraId="139BFD2D">
            <w:pPr>
              <w:adjustRightInd w:val="0"/>
              <w:snapToGrid w:val="0"/>
              <w:jc w:val="center"/>
              <w:rPr>
                <w:rFonts w:ascii="宋体" w:hAnsi="宋体" w:cs="宋体"/>
                <w:szCs w:val="24"/>
                <w:highlight w:val="none"/>
              </w:rPr>
            </w:pPr>
            <w:r>
              <w:rPr>
                <w:rFonts w:hint="eastAsia" w:ascii="宋体" w:hAnsi="宋体" w:cs="宋体"/>
                <w:szCs w:val="24"/>
                <w:highlight w:val="none"/>
              </w:rPr>
              <w:t>电话</w:t>
            </w:r>
          </w:p>
        </w:tc>
        <w:tc>
          <w:tcPr>
            <w:tcW w:w="1179" w:type="dxa"/>
            <w:tcMar>
              <w:top w:w="0" w:type="dxa"/>
              <w:left w:w="108" w:type="dxa"/>
              <w:bottom w:w="0" w:type="dxa"/>
              <w:right w:w="108" w:type="dxa"/>
            </w:tcMar>
            <w:vAlign w:val="center"/>
          </w:tcPr>
          <w:p w14:paraId="3D416B73">
            <w:pPr>
              <w:adjustRightInd w:val="0"/>
              <w:snapToGrid w:val="0"/>
              <w:jc w:val="center"/>
              <w:rPr>
                <w:rFonts w:ascii="宋体" w:hAnsi="宋体" w:cs="宋体"/>
                <w:szCs w:val="24"/>
                <w:highlight w:val="none"/>
              </w:rPr>
            </w:pPr>
          </w:p>
        </w:tc>
      </w:tr>
      <w:tr w14:paraId="10D9D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41A2D63F">
            <w:pPr>
              <w:adjustRightInd w:val="0"/>
              <w:snapToGrid w:val="0"/>
              <w:jc w:val="center"/>
              <w:rPr>
                <w:rFonts w:ascii="宋体" w:hAnsi="宋体" w:cs="宋体"/>
                <w:szCs w:val="24"/>
                <w:highlight w:val="none"/>
              </w:rPr>
            </w:pPr>
            <w:r>
              <w:rPr>
                <w:rFonts w:hint="eastAsia" w:ascii="宋体" w:hAnsi="宋体" w:cs="宋体"/>
                <w:szCs w:val="24"/>
                <w:highlight w:val="none"/>
              </w:rPr>
              <w:t>技术负责人</w:t>
            </w:r>
          </w:p>
        </w:tc>
        <w:tc>
          <w:tcPr>
            <w:tcW w:w="1115" w:type="dxa"/>
            <w:tcMar>
              <w:top w:w="0" w:type="dxa"/>
              <w:left w:w="108" w:type="dxa"/>
              <w:bottom w:w="0" w:type="dxa"/>
              <w:right w:w="108" w:type="dxa"/>
            </w:tcMar>
            <w:vAlign w:val="center"/>
          </w:tcPr>
          <w:p w14:paraId="477B4EE9">
            <w:pPr>
              <w:adjustRightInd w:val="0"/>
              <w:snapToGrid w:val="0"/>
              <w:jc w:val="center"/>
              <w:rPr>
                <w:rFonts w:ascii="宋体" w:hAnsi="宋体" w:cs="宋体"/>
                <w:szCs w:val="24"/>
                <w:highlight w:val="none"/>
              </w:rPr>
            </w:pPr>
            <w:r>
              <w:rPr>
                <w:rFonts w:hint="eastAsia" w:ascii="宋体" w:hAnsi="宋体" w:cs="宋体"/>
                <w:szCs w:val="24"/>
                <w:highlight w:val="none"/>
              </w:rPr>
              <w:t>姓名</w:t>
            </w:r>
          </w:p>
        </w:tc>
        <w:tc>
          <w:tcPr>
            <w:tcW w:w="806" w:type="dxa"/>
            <w:tcMar>
              <w:top w:w="0" w:type="dxa"/>
              <w:left w:w="108" w:type="dxa"/>
              <w:bottom w:w="0" w:type="dxa"/>
              <w:right w:w="108" w:type="dxa"/>
            </w:tcMar>
            <w:vAlign w:val="center"/>
          </w:tcPr>
          <w:p w14:paraId="144BF763">
            <w:pPr>
              <w:adjustRightInd w:val="0"/>
              <w:snapToGrid w:val="0"/>
              <w:jc w:val="center"/>
              <w:rPr>
                <w:rFonts w:ascii="宋体" w:hAnsi="宋体" w:cs="宋体"/>
                <w:szCs w:val="24"/>
                <w:highlight w:val="none"/>
              </w:rPr>
            </w:pPr>
          </w:p>
        </w:tc>
        <w:tc>
          <w:tcPr>
            <w:tcW w:w="1278" w:type="dxa"/>
            <w:tcMar>
              <w:top w:w="0" w:type="dxa"/>
              <w:left w:w="108" w:type="dxa"/>
              <w:bottom w:w="0" w:type="dxa"/>
              <w:right w:w="108" w:type="dxa"/>
            </w:tcMar>
            <w:vAlign w:val="center"/>
          </w:tcPr>
          <w:p w14:paraId="2360434E">
            <w:pPr>
              <w:adjustRightInd w:val="0"/>
              <w:snapToGrid w:val="0"/>
              <w:jc w:val="center"/>
              <w:rPr>
                <w:rFonts w:ascii="宋体" w:hAnsi="宋体" w:cs="宋体"/>
                <w:szCs w:val="24"/>
                <w:highlight w:val="none"/>
              </w:rPr>
            </w:pPr>
            <w:r>
              <w:rPr>
                <w:rFonts w:hint="eastAsia" w:ascii="宋体" w:hAnsi="宋体" w:cs="宋体"/>
                <w:szCs w:val="24"/>
                <w:highlight w:val="none"/>
              </w:rPr>
              <w:t>技术职称</w:t>
            </w:r>
          </w:p>
        </w:tc>
        <w:tc>
          <w:tcPr>
            <w:tcW w:w="1701" w:type="dxa"/>
            <w:gridSpan w:val="3"/>
            <w:tcMar>
              <w:top w:w="0" w:type="dxa"/>
              <w:left w:w="108" w:type="dxa"/>
              <w:bottom w:w="0" w:type="dxa"/>
              <w:right w:w="108" w:type="dxa"/>
            </w:tcMar>
            <w:vAlign w:val="center"/>
          </w:tcPr>
          <w:p w14:paraId="3212FE14">
            <w:pPr>
              <w:adjustRightInd w:val="0"/>
              <w:snapToGrid w:val="0"/>
              <w:jc w:val="center"/>
              <w:rPr>
                <w:rFonts w:ascii="宋体" w:hAnsi="宋体" w:cs="宋体"/>
                <w:szCs w:val="24"/>
                <w:highlight w:val="none"/>
              </w:rPr>
            </w:pPr>
          </w:p>
        </w:tc>
        <w:tc>
          <w:tcPr>
            <w:tcW w:w="709" w:type="dxa"/>
            <w:tcMar>
              <w:top w:w="0" w:type="dxa"/>
              <w:left w:w="108" w:type="dxa"/>
              <w:bottom w:w="0" w:type="dxa"/>
              <w:right w:w="108" w:type="dxa"/>
            </w:tcMar>
            <w:vAlign w:val="center"/>
          </w:tcPr>
          <w:p w14:paraId="10AE64F7">
            <w:pPr>
              <w:adjustRightInd w:val="0"/>
              <w:snapToGrid w:val="0"/>
              <w:jc w:val="center"/>
              <w:rPr>
                <w:rFonts w:ascii="宋体" w:hAnsi="宋体" w:cs="宋体"/>
                <w:szCs w:val="24"/>
                <w:highlight w:val="none"/>
              </w:rPr>
            </w:pPr>
            <w:r>
              <w:rPr>
                <w:rFonts w:hint="eastAsia" w:ascii="宋体" w:hAnsi="宋体" w:cs="宋体"/>
                <w:szCs w:val="24"/>
                <w:highlight w:val="none"/>
              </w:rPr>
              <w:t>电话</w:t>
            </w:r>
          </w:p>
        </w:tc>
        <w:tc>
          <w:tcPr>
            <w:tcW w:w="1179" w:type="dxa"/>
            <w:tcMar>
              <w:top w:w="0" w:type="dxa"/>
              <w:left w:w="108" w:type="dxa"/>
              <w:bottom w:w="0" w:type="dxa"/>
              <w:right w:w="108" w:type="dxa"/>
            </w:tcMar>
            <w:vAlign w:val="center"/>
          </w:tcPr>
          <w:p w14:paraId="4A114EAF">
            <w:pPr>
              <w:adjustRightInd w:val="0"/>
              <w:snapToGrid w:val="0"/>
              <w:jc w:val="center"/>
              <w:rPr>
                <w:rFonts w:ascii="宋体" w:hAnsi="宋体" w:cs="宋体"/>
                <w:szCs w:val="24"/>
                <w:highlight w:val="none"/>
              </w:rPr>
            </w:pPr>
          </w:p>
        </w:tc>
      </w:tr>
      <w:tr w14:paraId="4FC0C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245F6B36">
            <w:pPr>
              <w:adjustRightInd w:val="0"/>
              <w:snapToGrid w:val="0"/>
              <w:jc w:val="center"/>
              <w:rPr>
                <w:rFonts w:ascii="宋体" w:hAnsi="宋体" w:cs="宋体"/>
                <w:szCs w:val="24"/>
                <w:highlight w:val="none"/>
              </w:rPr>
            </w:pPr>
            <w:r>
              <w:rPr>
                <w:rFonts w:hint="eastAsia" w:ascii="宋体" w:hAnsi="宋体" w:cs="宋体"/>
                <w:szCs w:val="24"/>
                <w:highlight w:val="none"/>
              </w:rPr>
              <w:t>成立时间</w:t>
            </w:r>
          </w:p>
        </w:tc>
        <w:tc>
          <w:tcPr>
            <w:tcW w:w="1921" w:type="dxa"/>
            <w:gridSpan w:val="2"/>
            <w:tcMar>
              <w:top w:w="0" w:type="dxa"/>
              <w:left w:w="108" w:type="dxa"/>
              <w:bottom w:w="0" w:type="dxa"/>
              <w:right w:w="108" w:type="dxa"/>
            </w:tcMar>
            <w:vAlign w:val="center"/>
          </w:tcPr>
          <w:p w14:paraId="1E2D4FEA">
            <w:pPr>
              <w:adjustRightInd w:val="0"/>
              <w:snapToGrid w:val="0"/>
              <w:jc w:val="center"/>
              <w:rPr>
                <w:rFonts w:ascii="宋体" w:hAnsi="宋体" w:cs="宋体"/>
                <w:szCs w:val="24"/>
                <w:highlight w:val="none"/>
              </w:rPr>
            </w:pPr>
          </w:p>
        </w:tc>
        <w:tc>
          <w:tcPr>
            <w:tcW w:w="4867" w:type="dxa"/>
            <w:gridSpan w:val="6"/>
            <w:tcMar>
              <w:top w:w="0" w:type="dxa"/>
              <w:left w:w="108" w:type="dxa"/>
              <w:bottom w:w="0" w:type="dxa"/>
              <w:right w:w="108" w:type="dxa"/>
            </w:tcMar>
            <w:vAlign w:val="center"/>
          </w:tcPr>
          <w:p w14:paraId="3BE9EC10">
            <w:pPr>
              <w:adjustRightInd w:val="0"/>
              <w:snapToGrid w:val="0"/>
              <w:jc w:val="center"/>
              <w:rPr>
                <w:rFonts w:ascii="宋体" w:hAnsi="宋体" w:cs="宋体"/>
                <w:szCs w:val="24"/>
                <w:highlight w:val="none"/>
              </w:rPr>
            </w:pPr>
            <w:r>
              <w:rPr>
                <w:rFonts w:hint="eastAsia" w:ascii="宋体" w:hAnsi="宋体" w:cs="宋体"/>
                <w:szCs w:val="24"/>
                <w:highlight w:val="none"/>
              </w:rPr>
              <w:t>员工总人数：</w:t>
            </w:r>
          </w:p>
        </w:tc>
      </w:tr>
      <w:tr w14:paraId="1C226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46A582A0">
            <w:pPr>
              <w:adjustRightInd w:val="0"/>
              <w:snapToGrid w:val="0"/>
              <w:jc w:val="center"/>
              <w:rPr>
                <w:rFonts w:ascii="宋体" w:hAnsi="宋体" w:cs="宋体"/>
                <w:szCs w:val="24"/>
                <w:highlight w:val="none"/>
              </w:rPr>
            </w:pPr>
            <w:r>
              <w:rPr>
                <w:rFonts w:hint="eastAsia" w:ascii="宋体" w:hAnsi="宋体" w:cs="宋体"/>
                <w:szCs w:val="24"/>
                <w:highlight w:val="none"/>
              </w:rPr>
              <w:t>统一社会信用代码</w:t>
            </w:r>
          </w:p>
        </w:tc>
        <w:tc>
          <w:tcPr>
            <w:tcW w:w="1921" w:type="dxa"/>
            <w:gridSpan w:val="2"/>
            <w:tcMar>
              <w:top w:w="0" w:type="dxa"/>
              <w:left w:w="108" w:type="dxa"/>
              <w:bottom w:w="0" w:type="dxa"/>
              <w:right w:w="108" w:type="dxa"/>
            </w:tcMar>
            <w:vAlign w:val="center"/>
          </w:tcPr>
          <w:p w14:paraId="2A032574">
            <w:pPr>
              <w:adjustRightInd w:val="0"/>
              <w:snapToGrid w:val="0"/>
              <w:jc w:val="center"/>
              <w:rPr>
                <w:rFonts w:ascii="宋体" w:hAnsi="宋体" w:cs="宋体"/>
                <w:szCs w:val="24"/>
                <w:highlight w:val="none"/>
              </w:rPr>
            </w:pPr>
          </w:p>
        </w:tc>
        <w:tc>
          <w:tcPr>
            <w:tcW w:w="4867" w:type="dxa"/>
            <w:gridSpan w:val="6"/>
            <w:tcMar>
              <w:top w:w="0" w:type="dxa"/>
              <w:left w:w="108" w:type="dxa"/>
              <w:bottom w:w="0" w:type="dxa"/>
              <w:right w:w="108" w:type="dxa"/>
            </w:tcMar>
            <w:vAlign w:val="center"/>
          </w:tcPr>
          <w:p w14:paraId="1DED6B77">
            <w:pPr>
              <w:adjustRightInd w:val="0"/>
              <w:snapToGrid w:val="0"/>
              <w:jc w:val="center"/>
              <w:rPr>
                <w:rFonts w:ascii="宋体" w:hAnsi="宋体" w:cs="宋体"/>
                <w:szCs w:val="24"/>
                <w:highlight w:val="none"/>
              </w:rPr>
            </w:pPr>
          </w:p>
        </w:tc>
      </w:tr>
      <w:tr w14:paraId="11278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5DDA3F47">
            <w:pPr>
              <w:adjustRightInd w:val="0"/>
              <w:snapToGrid w:val="0"/>
              <w:jc w:val="center"/>
              <w:rPr>
                <w:rFonts w:ascii="宋体" w:hAnsi="宋体" w:cs="宋体"/>
                <w:szCs w:val="24"/>
                <w:highlight w:val="none"/>
              </w:rPr>
            </w:pPr>
            <w:r>
              <w:rPr>
                <w:rFonts w:hint="eastAsia" w:ascii="宋体" w:hAnsi="宋体" w:cs="宋体"/>
                <w:szCs w:val="24"/>
                <w:highlight w:val="none"/>
              </w:rPr>
              <w:t>企业资质等级</w:t>
            </w:r>
          </w:p>
        </w:tc>
        <w:tc>
          <w:tcPr>
            <w:tcW w:w="1921" w:type="dxa"/>
            <w:gridSpan w:val="2"/>
            <w:tcMar>
              <w:top w:w="0" w:type="dxa"/>
              <w:left w:w="108" w:type="dxa"/>
              <w:bottom w:w="0" w:type="dxa"/>
              <w:right w:w="108" w:type="dxa"/>
            </w:tcMar>
            <w:vAlign w:val="center"/>
          </w:tcPr>
          <w:p w14:paraId="1958F4C4">
            <w:pPr>
              <w:adjustRightInd w:val="0"/>
              <w:snapToGrid w:val="0"/>
              <w:jc w:val="center"/>
              <w:rPr>
                <w:rFonts w:ascii="宋体" w:hAnsi="宋体" w:cs="宋体"/>
                <w:szCs w:val="24"/>
                <w:highlight w:val="none"/>
              </w:rPr>
            </w:pPr>
          </w:p>
        </w:tc>
        <w:tc>
          <w:tcPr>
            <w:tcW w:w="4867" w:type="dxa"/>
            <w:gridSpan w:val="6"/>
            <w:tcMar>
              <w:top w:w="0" w:type="dxa"/>
              <w:left w:w="108" w:type="dxa"/>
              <w:bottom w:w="0" w:type="dxa"/>
              <w:right w:w="108" w:type="dxa"/>
            </w:tcMar>
            <w:vAlign w:val="center"/>
          </w:tcPr>
          <w:p w14:paraId="45FD4BC2">
            <w:pPr>
              <w:adjustRightInd w:val="0"/>
              <w:snapToGrid w:val="0"/>
              <w:jc w:val="center"/>
              <w:rPr>
                <w:rFonts w:ascii="宋体" w:hAnsi="宋体" w:cs="宋体"/>
                <w:szCs w:val="24"/>
                <w:highlight w:val="none"/>
              </w:rPr>
            </w:pPr>
          </w:p>
        </w:tc>
      </w:tr>
      <w:tr w14:paraId="4F68D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1A94D4E8">
            <w:pPr>
              <w:adjustRightInd w:val="0"/>
              <w:snapToGrid w:val="0"/>
              <w:jc w:val="center"/>
              <w:rPr>
                <w:rFonts w:ascii="宋体" w:hAnsi="宋体" w:cs="宋体"/>
                <w:szCs w:val="24"/>
                <w:highlight w:val="none"/>
              </w:rPr>
            </w:pPr>
            <w:r>
              <w:rPr>
                <w:rFonts w:hint="eastAsia" w:ascii="宋体" w:hAnsi="宋体" w:cs="宋体"/>
                <w:szCs w:val="24"/>
                <w:highlight w:val="none"/>
              </w:rPr>
              <w:t>注册资金</w:t>
            </w:r>
          </w:p>
        </w:tc>
        <w:tc>
          <w:tcPr>
            <w:tcW w:w="1921" w:type="dxa"/>
            <w:gridSpan w:val="2"/>
            <w:tcMar>
              <w:top w:w="0" w:type="dxa"/>
              <w:left w:w="108" w:type="dxa"/>
              <w:bottom w:w="0" w:type="dxa"/>
              <w:right w:w="108" w:type="dxa"/>
            </w:tcMar>
            <w:vAlign w:val="center"/>
          </w:tcPr>
          <w:p w14:paraId="649C4F8B">
            <w:pPr>
              <w:adjustRightInd w:val="0"/>
              <w:snapToGrid w:val="0"/>
              <w:jc w:val="center"/>
              <w:rPr>
                <w:rFonts w:ascii="宋体" w:hAnsi="宋体" w:cs="宋体"/>
                <w:szCs w:val="24"/>
                <w:highlight w:val="none"/>
              </w:rPr>
            </w:pPr>
          </w:p>
        </w:tc>
        <w:tc>
          <w:tcPr>
            <w:tcW w:w="4867" w:type="dxa"/>
            <w:gridSpan w:val="6"/>
            <w:tcMar>
              <w:top w:w="0" w:type="dxa"/>
              <w:left w:w="108" w:type="dxa"/>
              <w:bottom w:w="0" w:type="dxa"/>
              <w:right w:w="108" w:type="dxa"/>
            </w:tcMar>
            <w:vAlign w:val="center"/>
          </w:tcPr>
          <w:p w14:paraId="4FE10778">
            <w:pPr>
              <w:adjustRightInd w:val="0"/>
              <w:snapToGrid w:val="0"/>
              <w:jc w:val="center"/>
              <w:rPr>
                <w:rFonts w:ascii="宋体" w:hAnsi="宋体" w:cs="宋体"/>
                <w:szCs w:val="24"/>
                <w:highlight w:val="none"/>
              </w:rPr>
            </w:pPr>
          </w:p>
        </w:tc>
      </w:tr>
      <w:tr w14:paraId="5F1CD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5F02BF47">
            <w:pPr>
              <w:adjustRightInd w:val="0"/>
              <w:snapToGrid w:val="0"/>
              <w:jc w:val="center"/>
              <w:rPr>
                <w:rFonts w:ascii="宋体" w:hAnsi="宋体" w:cs="宋体"/>
                <w:szCs w:val="24"/>
                <w:highlight w:val="none"/>
              </w:rPr>
            </w:pPr>
            <w:r>
              <w:rPr>
                <w:rFonts w:hint="eastAsia" w:ascii="宋体" w:hAnsi="宋体" w:cs="宋体"/>
                <w:szCs w:val="24"/>
                <w:highlight w:val="none"/>
              </w:rPr>
              <w:t>开户银行</w:t>
            </w:r>
          </w:p>
        </w:tc>
        <w:tc>
          <w:tcPr>
            <w:tcW w:w="1921" w:type="dxa"/>
            <w:gridSpan w:val="2"/>
            <w:tcMar>
              <w:top w:w="0" w:type="dxa"/>
              <w:left w:w="108" w:type="dxa"/>
              <w:bottom w:w="0" w:type="dxa"/>
              <w:right w:w="108" w:type="dxa"/>
            </w:tcMar>
            <w:vAlign w:val="center"/>
          </w:tcPr>
          <w:p w14:paraId="0A2793E4">
            <w:pPr>
              <w:adjustRightInd w:val="0"/>
              <w:snapToGrid w:val="0"/>
              <w:jc w:val="center"/>
              <w:rPr>
                <w:rFonts w:ascii="宋体" w:hAnsi="宋体" w:cs="宋体"/>
                <w:szCs w:val="24"/>
                <w:highlight w:val="none"/>
              </w:rPr>
            </w:pPr>
          </w:p>
        </w:tc>
        <w:tc>
          <w:tcPr>
            <w:tcW w:w="4867" w:type="dxa"/>
            <w:gridSpan w:val="6"/>
            <w:tcMar>
              <w:top w:w="0" w:type="dxa"/>
              <w:left w:w="108" w:type="dxa"/>
              <w:bottom w:w="0" w:type="dxa"/>
              <w:right w:w="108" w:type="dxa"/>
            </w:tcMar>
            <w:vAlign w:val="center"/>
          </w:tcPr>
          <w:p w14:paraId="7524E145">
            <w:pPr>
              <w:adjustRightInd w:val="0"/>
              <w:snapToGrid w:val="0"/>
              <w:jc w:val="center"/>
              <w:rPr>
                <w:rFonts w:ascii="宋体" w:hAnsi="宋体" w:cs="宋体"/>
                <w:szCs w:val="24"/>
                <w:highlight w:val="none"/>
              </w:rPr>
            </w:pPr>
          </w:p>
        </w:tc>
      </w:tr>
      <w:tr w14:paraId="3B25A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7BACB907">
            <w:pPr>
              <w:adjustRightInd w:val="0"/>
              <w:snapToGrid w:val="0"/>
              <w:jc w:val="center"/>
              <w:rPr>
                <w:rFonts w:ascii="宋体" w:hAnsi="宋体" w:cs="宋体"/>
                <w:szCs w:val="24"/>
                <w:highlight w:val="none"/>
              </w:rPr>
            </w:pPr>
            <w:r>
              <w:rPr>
                <w:rFonts w:hint="eastAsia" w:ascii="宋体" w:hAnsi="宋体" w:cs="宋体"/>
                <w:szCs w:val="24"/>
                <w:highlight w:val="none"/>
              </w:rPr>
              <w:t>账号</w:t>
            </w:r>
          </w:p>
        </w:tc>
        <w:tc>
          <w:tcPr>
            <w:tcW w:w="1921" w:type="dxa"/>
            <w:gridSpan w:val="2"/>
            <w:tcMar>
              <w:top w:w="0" w:type="dxa"/>
              <w:left w:w="108" w:type="dxa"/>
              <w:bottom w:w="0" w:type="dxa"/>
              <w:right w:w="108" w:type="dxa"/>
            </w:tcMar>
            <w:vAlign w:val="center"/>
          </w:tcPr>
          <w:p w14:paraId="1ADF2876">
            <w:pPr>
              <w:adjustRightInd w:val="0"/>
              <w:snapToGrid w:val="0"/>
              <w:jc w:val="center"/>
              <w:rPr>
                <w:rFonts w:ascii="宋体" w:hAnsi="宋体" w:cs="宋体"/>
                <w:szCs w:val="24"/>
                <w:highlight w:val="none"/>
              </w:rPr>
            </w:pPr>
          </w:p>
        </w:tc>
        <w:tc>
          <w:tcPr>
            <w:tcW w:w="4867" w:type="dxa"/>
            <w:gridSpan w:val="6"/>
            <w:tcMar>
              <w:top w:w="0" w:type="dxa"/>
              <w:left w:w="108" w:type="dxa"/>
              <w:bottom w:w="0" w:type="dxa"/>
              <w:right w:w="108" w:type="dxa"/>
            </w:tcMar>
            <w:vAlign w:val="center"/>
          </w:tcPr>
          <w:p w14:paraId="2E3B5497">
            <w:pPr>
              <w:adjustRightInd w:val="0"/>
              <w:snapToGrid w:val="0"/>
              <w:jc w:val="center"/>
              <w:rPr>
                <w:rFonts w:ascii="宋体" w:hAnsi="宋体" w:cs="宋体"/>
                <w:szCs w:val="24"/>
                <w:highlight w:val="none"/>
              </w:rPr>
            </w:pPr>
          </w:p>
        </w:tc>
      </w:tr>
      <w:tr w14:paraId="2F53D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93" w:type="dxa"/>
            <w:tcMar>
              <w:top w:w="0" w:type="dxa"/>
              <w:left w:w="108" w:type="dxa"/>
              <w:bottom w:w="0" w:type="dxa"/>
              <w:right w:w="108" w:type="dxa"/>
            </w:tcMar>
            <w:vAlign w:val="center"/>
          </w:tcPr>
          <w:p w14:paraId="1DD58256">
            <w:pPr>
              <w:adjustRightInd w:val="0"/>
              <w:snapToGrid w:val="0"/>
              <w:jc w:val="center"/>
              <w:rPr>
                <w:rFonts w:ascii="宋体" w:hAnsi="宋体" w:cs="宋体"/>
                <w:szCs w:val="24"/>
                <w:highlight w:val="none"/>
              </w:rPr>
            </w:pPr>
            <w:r>
              <w:rPr>
                <w:rFonts w:hint="eastAsia" w:ascii="宋体" w:hAnsi="宋体" w:cs="宋体"/>
                <w:szCs w:val="24"/>
                <w:highlight w:val="none"/>
              </w:rPr>
              <w:t>经营范围</w:t>
            </w:r>
          </w:p>
        </w:tc>
        <w:tc>
          <w:tcPr>
            <w:tcW w:w="1921" w:type="dxa"/>
            <w:gridSpan w:val="2"/>
            <w:tcMar>
              <w:top w:w="0" w:type="dxa"/>
              <w:left w:w="108" w:type="dxa"/>
              <w:bottom w:w="0" w:type="dxa"/>
              <w:right w:w="108" w:type="dxa"/>
            </w:tcMar>
            <w:vAlign w:val="center"/>
          </w:tcPr>
          <w:p w14:paraId="7A586F72">
            <w:pPr>
              <w:adjustRightInd w:val="0"/>
              <w:snapToGrid w:val="0"/>
              <w:jc w:val="center"/>
              <w:rPr>
                <w:rFonts w:ascii="宋体" w:hAnsi="宋体" w:cs="宋体"/>
                <w:szCs w:val="24"/>
                <w:highlight w:val="none"/>
              </w:rPr>
            </w:pPr>
          </w:p>
        </w:tc>
        <w:tc>
          <w:tcPr>
            <w:tcW w:w="4867" w:type="dxa"/>
            <w:gridSpan w:val="6"/>
            <w:tcMar>
              <w:top w:w="0" w:type="dxa"/>
              <w:left w:w="108" w:type="dxa"/>
              <w:bottom w:w="0" w:type="dxa"/>
              <w:right w:w="108" w:type="dxa"/>
            </w:tcMar>
            <w:vAlign w:val="center"/>
          </w:tcPr>
          <w:p w14:paraId="1B9F155C">
            <w:pPr>
              <w:adjustRightInd w:val="0"/>
              <w:snapToGrid w:val="0"/>
              <w:jc w:val="center"/>
              <w:rPr>
                <w:rFonts w:ascii="宋体" w:hAnsi="宋体" w:cs="宋体"/>
                <w:szCs w:val="24"/>
                <w:highlight w:val="none"/>
              </w:rPr>
            </w:pPr>
          </w:p>
        </w:tc>
      </w:tr>
    </w:tbl>
    <w:p w14:paraId="09A7C271">
      <w:pPr>
        <w:pStyle w:val="33"/>
        <w:rPr>
          <w:rStyle w:val="43"/>
          <w:rFonts w:cs="Times New Roman"/>
          <w:b/>
          <w:bCs/>
          <w:kern w:val="2"/>
          <w:sz w:val="21"/>
          <w:szCs w:val="22"/>
          <w:highlight w:val="none"/>
        </w:rPr>
      </w:pPr>
    </w:p>
    <w:p w14:paraId="7A6AE364">
      <w:pPr>
        <w:pStyle w:val="33"/>
        <w:rPr>
          <w:rStyle w:val="43"/>
          <w:rFonts w:cs="Times New Roman"/>
          <w:b/>
          <w:bCs/>
          <w:kern w:val="2"/>
          <w:sz w:val="21"/>
          <w:szCs w:val="22"/>
          <w:highlight w:val="none"/>
        </w:rPr>
      </w:pPr>
    </w:p>
    <w:p w14:paraId="37E89C7F">
      <w:pPr>
        <w:pStyle w:val="33"/>
        <w:rPr>
          <w:rStyle w:val="43"/>
          <w:rFonts w:cs="Times New Roman"/>
          <w:b/>
          <w:bCs/>
          <w:kern w:val="2"/>
          <w:sz w:val="21"/>
          <w:szCs w:val="22"/>
          <w:highlight w:val="none"/>
        </w:rPr>
      </w:pPr>
    </w:p>
    <w:p w14:paraId="76695BE4">
      <w:pPr>
        <w:pStyle w:val="33"/>
        <w:rPr>
          <w:rStyle w:val="43"/>
          <w:rFonts w:cs="Times New Roman"/>
          <w:b/>
          <w:bCs/>
          <w:kern w:val="2"/>
          <w:sz w:val="21"/>
          <w:szCs w:val="22"/>
          <w:highlight w:val="none"/>
        </w:rPr>
      </w:pPr>
    </w:p>
    <w:p w14:paraId="409C494C">
      <w:pPr>
        <w:pStyle w:val="33"/>
        <w:rPr>
          <w:rStyle w:val="43"/>
          <w:rFonts w:cs="Times New Roman"/>
          <w:b/>
          <w:bCs/>
          <w:kern w:val="2"/>
          <w:sz w:val="21"/>
          <w:szCs w:val="22"/>
          <w:highlight w:val="none"/>
        </w:rPr>
      </w:pPr>
    </w:p>
    <w:p w14:paraId="53D6EF75">
      <w:pPr>
        <w:pStyle w:val="33"/>
        <w:rPr>
          <w:rStyle w:val="43"/>
          <w:rFonts w:cs="Times New Roman"/>
          <w:b/>
          <w:bCs/>
          <w:kern w:val="2"/>
          <w:sz w:val="21"/>
          <w:szCs w:val="22"/>
          <w:highlight w:val="none"/>
        </w:rPr>
      </w:pPr>
    </w:p>
    <w:p w14:paraId="11264D6D">
      <w:pPr>
        <w:pStyle w:val="33"/>
        <w:rPr>
          <w:rStyle w:val="43"/>
          <w:rFonts w:cs="Times New Roman"/>
          <w:b/>
          <w:bCs/>
          <w:kern w:val="2"/>
          <w:sz w:val="21"/>
          <w:szCs w:val="22"/>
          <w:highlight w:val="none"/>
        </w:rPr>
      </w:pPr>
    </w:p>
    <w:p w14:paraId="53577B75">
      <w:pPr>
        <w:pStyle w:val="33"/>
        <w:rPr>
          <w:rStyle w:val="43"/>
          <w:rFonts w:cs="Times New Roman"/>
          <w:b/>
          <w:bCs/>
          <w:kern w:val="2"/>
          <w:sz w:val="21"/>
          <w:szCs w:val="22"/>
          <w:highlight w:val="none"/>
        </w:rPr>
      </w:pPr>
    </w:p>
    <w:p w14:paraId="6E5661E9">
      <w:pPr>
        <w:pStyle w:val="33"/>
        <w:rPr>
          <w:rStyle w:val="43"/>
          <w:rFonts w:cs="Times New Roman"/>
          <w:b/>
          <w:bCs/>
          <w:kern w:val="2"/>
          <w:sz w:val="21"/>
          <w:szCs w:val="22"/>
          <w:highlight w:val="none"/>
        </w:rPr>
      </w:pPr>
    </w:p>
    <w:p w14:paraId="05258540">
      <w:pPr>
        <w:pStyle w:val="33"/>
        <w:rPr>
          <w:rStyle w:val="43"/>
          <w:rFonts w:cs="Times New Roman"/>
          <w:b/>
          <w:bCs/>
          <w:kern w:val="2"/>
          <w:sz w:val="21"/>
          <w:szCs w:val="22"/>
          <w:highlight w:val="none"/>
        </w:rPr>
      </w:pPr>
    </w:p>
    <w:p w14:paraId="5530E21F">
      <w:pPr>
        <w:pStyle w:val="33"/>
        <w:rPr>
          <w:rStyle w:val="43"/>
          <w:rFonts w:cs="Times New Roman"/>
          <w:b/>
          <w:bCs/>
          <w:kern w:val="2"/>
          <w:sz w:val="21"/>
          <w:szCs w:val="22"/>
          <w:highlight w:val="none"/>
        </w:rPr>
      </w:pPr>
    </w:p>
    <w:p w14:paraId="6799D2F0">
      <w:pPr>
        <w:pStyle w:val="37"/>
        <w:snapToGrid w:val="0"/>
        <w:jc w:val="center"/>
        <w:rPr>
          <w:rStyle w:val="43"/>
          <w:rFonts w:ascii="宋体" w:hAnsi="宋体"/>
          <w:b/>
          <w:color w:val="000000"/>
          <w:sz w:val="32"/>
          <w:szCs w:val="32"/>
          <w:highlight w:val="none"/>
          <w:u w:val="none"/>
        </w:rPr>
      </w:pPr>
      <w:r>
        <w:rPr>
          <w:rStyle w:val="43"/>
          <w:rFonts w:hint="eastAsia" w:ascii="宋体" w:hAnsi="宋体"/>
          <w:b/>
          <w:color w:val="000000"/>
          <w:sz w:val="32"/>
          <w:szCs w:val="32"/>
          <w:highlight w:val="none"/>
          <w:u w:val="none"/>
        </w:rPr>
        <w:t>七-1</w:t>
      </w:r>
      <w:r>
        <w:rPr>
          <w:rStyle w:val="43"/>
          <w:rFonts w:ascii="宋体" w:hAnsi="宋体"/>
          <w:b/>
          <w:color w:val="000000"/>
          <w:sz w:val="32"/>
          <w:szCs w:val="32"/>
          <w:highlight w:val="none"/>
          <w:u w:val="none"/>
        </w:rPr>
        <w:t>、商务响应</w:t>
      </w:r>
    </w:p>
    <w:p w14:paraId="133D33BF">
      <w:pPr>
        <w:pStyle w:val="37"/>
        <w:snapToGrid w:val="0"/>
        <w:spacing w:line="360" w:lineRule="auto"/>
        <w:ind w:firstLine="420"/>
        <w:rPr>
          <w:rStyle w:val="43"/>
          <w:rFonts w:cs="Times New Roman"/>
          <w:b/>
          <w:bCs/>
          <w:color w:val="000000"/>
          <w:sz w:val="21"/>
          <w:szCs w:val="22"/>
          <w:highlight w:val="none"/>
          <w:u w:color="FF0000"/>
        </w:rPr>
      </w:pPr>
    </w:p>
    <w:p w14:paraId="6EC5776D">
      <w:pPr>
        <w:pStyle w:val="69"/>
        <w:snapToGrid w:val="0"/>
        <w:spacing w:line="360" w:lineRule="auto"/>
        <w:ind w:left="0" w:leftChars="0" w:firstLine="630" w:firstLineChars="300"/>
        <w:rPr>
          <w:rStyle w:val="43"/>
          <w:rFonts w:ascii="宋体" w:hAnsi="宋体"/>
          <w:szCs w:val="21"/>
          <w:highlight w:val="none"/>
        </w:rPr>
      </w:pPr>
      <w:r>
        <w:rPr>
          <w:rStyle w:val="43"/>
          <w:rFonts w:ascii="宋体" w:hAnsi="宋体"/>
          <w:szCs w:val="21"/>
          <w:highlight w:val="none"/>
        </w:rPr>
        <w:t>投标人根据“第五章 拟签订的合同文本”内容作出响应。</w:t>
      </w:r>
    </w:p>
    <w:tbl>
      <w:tblPr>
        <w:tblStyle w:val="25"/>
        <w:tblW w:w="844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51"/>
        <w:gridCol w:w="1429"/>
        <w:gridCol w:w="1600"/>
        <w:gridCol w:w="2180"/>
        <w:gridCol w:w="1559"/>
        <w:gridCol w:w="1123"/>
      </w:tblGrid>
      <w:tr w14:paraId="7A3251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551" w:type="dxa"/>
            <w:tcBorders>
              <w:top w:val="single" w:color="000000" w:sz="12" w:space="0"/>
              <w:left w:val="single" w:color="000000" w:sz="12" w:space="0"/>
              <w:bottom w:val="single" w:color="000000" w:sz="4" w:space="0"/>
              <w:right w:val="single" w:color="000000" w:sz="4" w:space="0"/>
            </w:tcBorders>
            <w:vAlign w:val="center"/>
          </w:tcPr>
          <w:p w14:paraId="4068293E">
            <w:pPr>
              <w:snapToGrid w:val="0"/>
              <w:ind w:right="23"/>
              <w:jc w:val="center"/>
              <w:rPr>
                <w:rStyle w:val="43"/>
                <w:rFonts w:ascii="宋体" w:hAnsi="宋体" w:cs="Times New Roman"/>
                <w:b/>
                <w:bCs/>
                <w:szCs w:val="21"/>
                <w:highlight w:val="none"/>
              </w:rPr>
            </w:pPr>
            <w:r>
              <w:rPr>
                <w:rStyle w:val="43"/>
                <w:rFonts w:ascii="宋体" w:hAnsi="宋体" w:cs="Times New Roman"/>
                <w:b/>
                <w:bCs/>
                <w:szCs w:val="21"/>
                <w:highlight w:val="none"/>
              </w:rPr>
              <w:t>序号</w:t>
            </w:r>
          </w:p>
        </w:tc>
        <w:tc>
          <w:tcPr>
            <w:tcW w:w="1429" w:type="dxa"/>
            <w:tcBorders>
              <w:top w:val="single" w:color="000000" w:sz="12" w:space="0"/>
              <w:left w:val="single" w:color="000000" w:sz="4" w:space="0"/>
              <w:bottom w:val="single" w:color="000000" w:sz="4" w:space="0"/>
              <w:right w:val="single" w:color="000000" w:sz="4" w:space="0"/>
            </w:tcBorders>
            <w:vAlign w:val="center"/>
          </w:tcPr>
          <w:p w14:paraId="4775FB32">
            <w:pPr>
              <w:snapToGrid w:val="0"/>
              <w:ind w:right="23"/>
              <w:jc w:val="center"/>
              <w:rPr>
                <w:rStyle w:val="43"/>
                <w:rFonts w:ascii="宋体" w:hAnsi="宋体" w:cs="Times New Roman"/>
                <w:b/>
                <w:bCs/>
                <w:szCs w:val="21"/>
                <w:highlight w:val="none"/>
              </w:rPr>
            </w:pPr>
            <w:r>
              <w:rPr>
                <w:rStyle w:val="43"/>
                <w:rFonts w:ascii="宋体" w:hAnsi="宋体" w:cs="Times New Roman"/>
                <w:b/>
                <w:bCs/>
                <w:szCs w:val="21"/>
                <w:highlight w:val="none"/>
              </w:rPr>
              <w:t>文件条目号</w:t>
            </w:r>
          </w:p>
        </w:tc>
        <w:tc>
          <w:tcPr>
            <w:tcW w:w="1600" w:type="dxa"/>
            <w:tcBorders>
              <w:top w:val="single" w:color="000000" w:sz="12" w:space="0"/>
              <w:left w:val="single" w:color="000000" w:sz="4" w:space="0"/>
              <w:bottom w:val="single" w:color="000000" w:sz="4" w:space="0"/>
              <w:right w:val="single" w:color="000000" w:sz="4" w:space="0"/>
            </w:tcBorders>
            <w:vAlign w:val="center"/>
          </w:tcPr>
          <w:p w14:paraId="4E8E063F">
            <w:pPr>
              <w:snapToGrid w:val="0"/>
              <w:ind w:right="23"/>
              <w:jc w:val="center"/>
              <w:rPr>
                <w:rStyle w:val="43"/>
                <w:rFonts w:ascii="宋体" w:hAnsi="宋体" w:cs="Times New Roman"/>
                <w:b/>
                <w:bCs/>
                <w:szCs w:val="21"/>
                <w:highlight w:val="none"/>
              </w:rPr>
            </w:pPr>
            <w:r>
              <w:rPr>
                <w:rStyle w:val="43"/>
                <w:rFonts w:ascii="宋体" w:hAnsi="宋体" w:cs="Times New Roman"/>
                <w:b/>
                <w:bCs/>
                <w:szCs w:val="21"/>
                <w:highlight w:val="none"/>
              </w:rPr>
              <w:t>招标要求</w:t>
            </w:r>
          </w:p>
        </w:tc>
        <w:tc>
          <w:tcPr>
            <w:tcW w:w="2180" w:type="dxa"/>
            <w:tcBorders>
              <w:top w:val="single" w:color="000000" w:sz="12" w:space="0"/>
              <w:left w:val="single" w:color="000000" w:sz="4" w:space="0"/>
              <w:bottom w:val="single" w:color="000000" w:sz="4" w:space="0"/>
              <w:right w:val="single" w:color="000000" w:sz="4" w:space="0"/>
            </w:tcBorders>
            <w:vAlign w:val="center"/>
          </w:tcPr>
          <w:p w14:paraId="478E8FEE">
            <w:pPr>
              <w:snapToGrid w:val="0"/>
              <w:ind w:right="23"/>
              <w:jc w:val="center"/>
              <w:rPr>
                <w:rStyle w:val="43"/>
                <w:rFonts w:ascii="宋体" w:hAnsi="宋体" w:cs="Times New Roman"/>
                <w:b/>
                <w:bCs/>
                <w:szCs w:val="21"/>
                <w:highlight w:val="none"/>
              </w:rPr>
            </w:pPr>
            <w:r>
              <w:rPr>
                <w:rStyle w:val="43"/>
                <w:rFonts w:ascii="宋体" w:hAnsi="宋体" w:cs="Times New Roman"/>
                <w:b/>
                <w:bCs/>
                <w:szCs w:val="21"/>
                <w:highlight w:val="none"/>
              </w:rPr>
              <w:t>响投标响应</w:t>
            </w:r>
          </w:p>
        </w:tc>
        <w:tc>
          <w:tcPr>
            <w:tcW w:w="1559" w:type="dxa"/>
            <w:tcBorders>
              <w:top w:val="single" w:color="000000" w:sz="12" w:space="0"/>
              <w:left w:val="single" w:color="000000" w:sz="4" w:space="0"/>
              <w:bottom w:val="single" w:color="000000" w:sz="4" w:space="0"/>
              <w:right w:val="single" w:color="000000" w:sz="4" w:space="0"/>
            </w:tcBorders>
            <w:vAlign w:val="center"/>
          </w:tcPr>
          <w:p w14:paraId="0251403F">
            <w:pPr>
              <w:snapToGrid w:val="0"/>
              <w:ind w:right="23"/>
              <w:jc w:val="center"/>
              <w:rPr>
                <w:rStyle w:val="43"/>
                <w:rFonts w:ascii="宋体" w:hAnsi="宋体" w:cs="Times New Roman"/>
                <w:b/>
                <w:bCs/>
                <w:szCs w:val="21"/>
                <w:highlight w:val="none"/>
              </w:rPr>
            </w:pPr>
            <w:r>
              <w:rPr>
                <w:rStyle w:val="43"/>
                <w:rFonts w:ascii="宋体" w:hAnsi="宋体" w:cs="Times New Roman"/>
                <w:b/>
                <w:bCs/>
                <w:szCs w:val="21"/>
                <w:highlight w:val="none"/>
              </w:rPr>
              <w:t>响应/不响应</w:t>
            </w:r>
          </w:p>
        </w:tc>
        <w:tc>
          <w:tcPr>
            <w:tcW w:w="1123" w:type="dxa"/>
            <w:tcBorders>
              <w:top w:val="single" w:color="000000" w:sz="12" w:space="0"/>
              <w:left w:val="single" w:color="000000" w:sz="4" w:space="0"/>
              <w:bottom w:val="single" w:color="000000" w:sz="4" w:space="0"/>
              <w:right w:val="single" w:color="000000" w:sz="12" w:space="0"/>
            </w:tcBorders>
            <w:vAlign w:val="center"/>
          </w:tcPr>
          <w:p w14:paraId="51C393FB">
            <w:pPr>
              <w:snapToGrid w:val="0"/>
              <w:ind w:right="23"/>
              <w:jc w:val="center"/>
              <w:rPr>
                <w:rStyle w:val="43"/>
                <w:rFonts w:ascii="宋体" w:hAnsi="宋体" w:cs="Times New Roman"/>
                <w:b/>
                <w:bCs/>
                <w:szCs w:val="21"/>
                <w:highlight w:val="none"/>
              </w:rPr>
            </w:pPr>
            <w:r>
              <w:rPr>
                <w:rStyle w:val="43"/>
                <w:rFonts w:ascii="宋体" w:hAnsi="宋体" w:cs="Times New Roman"/>
                <w:b/>
                <w:bCs/>
                <w:szCs w:val="21"/>
                <w:highlight w:val="none"/>
              </w:rPr>
              <w:t>备注</w:t>
            </w:r>
          </w:p>
        </w:tc>
      </w:tr>
      <w:tr w14:paraId="11A591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355B14D0">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389D7A89">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056925A1">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629B6175">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675BBCEF">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3153FCDA">
            <w:pPr>
              <w:snapToGrid w:val="0"/>
              <w:spacing w:line="360" w:lineRule="auto"/>
              <w:ind w:right="24"/>
              <w:rPr>
                <w:rStyle w:val="43"/>
                <w:rFonts w:ascii="黑体" w:hAnsi="华文中宋" w:eastAsia="黑体" w:cs="Times New Roman"/>
                <w:bCs/>
                <w:sz w:val="24"/>
                <w:highlight w:val="none"/>
              </w:rPr>
            </w:pPr>
          </w:p>
        </w:tc>
      </w:tr>
      <w:tr w14:paraId="5E9E29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2933F8E4">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678401B4">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347815A4">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46E3C620">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05690721">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085C82AC">
            <w:pPr>
              <w:snapToGrid w:val="0"/>
              <w:spacing w:line="360" w:lineRule="auto"/>
              <w:ind w:right="24"/>
              <w:rPr>
                <w:rStyle w:val="43"/>
                <w:rFonts w:ascii="黑体" w:hAnsi="华文中宋" w:eastAsia="黑体" w:cs="Times New Roman"/>
                <w:bCs/>
                <w:sz w:val="24"/>
                <w:highlight w:val="none"/>
              </w:rPr>
            </w:pPr>
          </w:p>
        </w:tc>
      </w:tr>
      <w:tr w14:paraId="6E9D4A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2B8820D0">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6BE25D64">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5071589F">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176C5A19">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60BDEB85">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6E10A44E">
            <w:pPr>
              <w:snapToGrid w:val="0"/>
              <w:spacing w:line="360" w:lineRule="auto"/>
              <w:ind w:right="24"/>
              <w:rPr>
                <w:rStyle w:val="43"/>
                <w:rFonts w:ascii="黑体" w:hAnsi="华文中宋" w:eastAsia="黑体" w:cs="Times New Roman"/>
                <w:bCs/>
                <w:sz w:val="24"/>
                <w:highlight w:val="none"/>
              </w:rPr>
            </w:pPr>
          </w:p>
        </w:tc>
      </w:tr>
      <w:tr w14:paraId="6728D8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7CEC261B">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5C8B04F2">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71FC6F0E">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36258A91">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5A82FE1D">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3831DA75">
            <w:pPr>
              <w:snapToGrid w:val="0"/>
              <w:spacing w:line="360" w:lineRule="auto"/>
              <w:ind w:right="24"/>
              <w:rPr>
                <w:rStyle w:val="43"/>
                <w:rFonts w:ascii="黑体" w:hAnsi="华文中宋" w:eastAsia="黑体" w:cs="Times New Roman"/>
                <w:bCs/>
                <w:sz w:val="24"/>
                <w:highlight w:val="none"/>
              </w:rPr>
            </w:pPr>
          </w:p>
        </w:tc>
      </w:tr>
      <w:tr w14:paraId="11696F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4D13100C">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51A12704">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049EB1B7">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30B62E3F">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24EA3F60">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35F95F24">
            <w:pPr>
              <w:snapToGrid w:val="0"/>
              <w:spacing w:line="360" w:lineRule="auto"/>
              <w:ind w:right="24"/>
              <w:rPr>
                <w:rStyle w:val="43"/>
                <w:rFonts w:ascii="黑体" w:hAnsi="华文中宋" w:eastAsia="黑体" w:cs="Times New Roman"/>
                <w:bCs/>
                <w:sz w:val="24"/>
                <w:highlight w:val="none"/>
              </w:rPr>
            </w:pPr>
          </w:p>
        </w:tc>
      </w:tr>
      <w:tr w14:paraId="22DD77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14BF9F7E">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03F8AAB1">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13D1505E">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08C174CB">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7076887E">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313F0BB2">
            <w:pPr>
              <w:snapToGrid w:val="0"/>
              <w:spacing w:line="360" w:lineRule="auto"/>
              <w:ind w:right="24"/>
              <w:rPr>
                <w:rStyle w:val="43"/>
                <w:rFonts w:ascii="黑体" w:hAnsi="华文中宋" w:eastAsia="黑体" w:cs="Times New Roman"/>
                <w:bCs/>
                <w:sz w:val="24"/>
                <w:highlight w:val="none"/>
              </w:rPr>
            </w:pPr>
          </w:p>
        </w:tc>
      </w:tr>
      <w:tr w14:paraId="31E7E2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68105E0F">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3EA0F115">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6E2E52B5">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2ABF313F">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54D90A66">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19CB971F">
            <w:pPr>
              <w:snapToGrid w:val="0"/>
              <w:spacing w:line="360" w:lineRule="auto"/>
              <w:ind w:right="24"/>
              <w:rPr>
                <w:rStyle w:val="43"/>
                <w:rFonts w:ascii="黑体" w:hAnsi="华文中宋" w:eastAsia="黑体" w:cs="Times New Roman"/>
                <w:bCs/>
                <w:sz w:val="24"/>
                <w:highlight w:val="none"/>
              </w:rPr>
            </w:pPr>
          </w:p>
        </w:tc>
      </w:tr>
      <w:tr w14:paraId="53246E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1C31BF3C">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420A395A">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03CD5D08">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3AECC76B">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3074828D">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368DC670">
            <w:pPr>
              <w:snapToGrid w:val="0"/>
              <w:spacing w:line="360" w:lineRule="auto"/>
              <w:ind w:right="24"/>
              <w:rPr>
                <w:rStyle w:val="43"/>
                <w:rFonts w:ascii="黑体" w:hAnsi="华文中宋" w:eastAsia="黑体" w:cs="Times New Roman"/>
                <w:bCs/>
                <w:sz w:val="24"/>
                <w:highlight w:val="none"/>
              </w:rPr>
            </w:pPr>
          </w:p>
        </w:tc>
      </w:tr>
      <w:tr w14:paraId="2FC337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1799E31C">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756A72F2">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29761049">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073B93F6">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77E40213">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6DCCBD40">
            <w:pPr>
              <w:snapToGrid w:val="0"/>
              <w:spacing w:line="360" w:lineRule="auto"/>
              <w:ind w:right="24"/>
              <w:rPr>
                <w:rStyle w:val="43"/>
                <w:rFonts w:ascii="黑体" w:hAnsi="华文中宋" w:eastAsia="黑体" w:cs="Times New Roman"/>
                <w:bCs/>
                <w:sz w:val="24"/>
                <w:highlight w:val="none"/>
              </w:rPr>
            </w:pPr>
          </w:p>
        </w:tc>
      </w:tr>
      <w:tr w14:paraId="1F532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28E51DFA">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0AF30C99">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543CC79F">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1CE4BDEB">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379B3137">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27DA95BA">
            <w:pPr>
              <w:snapToGrid w:val="0"/>
              <w:spacing w:line="360" w:lineRule="auto"/>
              <w:ind w:right="24"/>
              <w:rPr>
                <w:rStyle w:val="43"/>
                <w:rFonts w:ascii="黑体" w:hAnsi="华文中宋" w:eastAsia="黑体" w:cs="Times New Roman"/>
                <w:bCs/>
                <w:sz w:val="24"/>
                <w:highlight w:val="none"/>
              </w:rPr>
            </w:pPr>
          </w:p>
        </w:tc>
      </w:tr>
      <w:tr w14:paraId="367140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7B5676A7">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792A2D54">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01CCB97F">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5D2F3259">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454F524B">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46B9EAFA">
            <w:pPr>
              <w:snapToGrid w:val="0"/>
              <w:spacing w:line="360" w:lineRule="auto"/>
              <w:ind w:right="24"/>
              <w:rPr>
                <w:rStyle w:val="43"/>
                <w:rFonts w:ascii="黑体" w:hAnsi="华文中宋" w:eastAsia="黑体" w:cs="Times New Roman"/>
                <w:bCs/>
                <w:sz w:val="24"/>
                <w:highlight w:val="none"/>
              </w:rPr>
            </w:pPr>
          </w:p>
        </w:tc>
      </w:tr>
      <w:tr w14:paraId="53F6D5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26496757">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5E763E56">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5226A7E9">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4CF00A2B">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45D022DD">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4A577834">
            <w:pPr>
              <w:snapToGrid w:val="0"/>
              <w:spacing w:line="360" w:lineRule="auto"/>
              <w:ind w:right="24"/>
              <w:rPr>
                <w:rStyle w:val="43"/>
                <w:rFonts w:ascii="黑体" w:hAnsi="华文中宋" w:eastAsia="黑体" w:cs="Times New Roman"/>
                <w:bCs/>
                <w:sz w:val="24"/>
                <w:highlight w:val="none"/>
              </w:rPr>
            </w:pPr>
          </w:p>
        </w:tc>
      </w:tr>
      <w:tr w14:paraId="202C1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14:paraId="2DE696EB">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14:paraId="4A2FC498">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14:paraId="0023302E">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14:paraId="2DD0F0FA">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670AD214">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14:paraId="6F268ACA">
            <w:pPr>
              <w:snapToGrid w:val="0"/>
              <w:spacing w:line="360" w:lineRule="auto"/>
              <w:ind w:right="24"/>
              <w:rPr>
                <w:rStyle w:val="43"/>
                <w:rFonts w:ascii="黑体" w:hAnsi="华文中宋" w:eastAsia="黑体" w:cs="Times New Roman"/>
                <w:bCs/>
                <w:sz w:val="24"/>
                <w:highlight w:val="none"/>
              </w:rPr>
            </w:pPr>
          </w:p>
        </w:tc>
      </w:tr>
      <w:tr w14:paraId="4FA9B0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12" w:space="0"/>
              <w:right w:val="single" w:color="000000" w:sz="4" w:space="0"/>
            </w:tcBorders>
          </w:tcPr>
          <w:p w14:paraId="1ECD083E">
            <w:pPr>
              <w:snapToGrid w:val="0"/>
              <w:spacing w:line="360" w:lineRule="auto"/>
              <w:ind w:right="24"/>
              <w:rPr>
                <w:rStyle w:val="43"/>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12" w:space="0"/>
              <w:right w:val="single" w:color="000000" w:sz="4" w:space="0"/>
            </w:tcBorders>
          </w:tcPr>
          <w:p w14:paraId="0D654177">
            <w:pPr>
              <w:snapToGrid w:val="0"/>
              <w:spacing w:line="360" w:lineRule="auto"/>
              <w:ind w:right="24"/>
              <w:rPr>
                <w:rStyle w:val="43"/>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12" w:space="0"/>
              <w:right w:val="single" w:color="000000" w:sz="4" w:space="0"/>
            </w:tcBorders>
          </w:tcPr>
          <w:p w14:paraId="615B6E2F">
            <w:pPr>
              <w:snapToGrid w:val="0"/>
              <w:spacing w:line="360" w:lineRule="auto"/>
              <w:ind w:right="24"/>
              <w:rPr>
                <w:rStyle w:val="43"/>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12" w:space="0"/>
              <w:right w:val="single" w:color="000000" w:sz="4" w:space="0"/>
            </w:tcBorders>
          </w:tcPr>
          <w:p w14:paraId="331F9C87">
            <w:pPr>
              <w:snapToGrid w:val="0"/>
              <w:spacing w:line="360" w:lineRule="auto"/>
              <w:ind w:right="24"/>
              <w:rPr>
                <w:rStyle w:val="43"/>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12" w:space="0"/>
              <w:right w:val="single" w:color="000000" w:sz="4" w:space="0"/>
            </w:tcBorders>
          </w:tcPr>
          <w:p w14:paraId="7C488C7C">
            <w:pPr>
              <w:snapToGrid w:val="0"/>
              <w:spacing w:line="360" w:lineRule="auto"/>
              <w:ind w:right="24"/>
              <w:rPr>
                <w:rStyle w:val="43"/>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12" w:space="0"/>
              <w:right w:val="single" w:color="000000" w:sz="12" w:space="0"/>
            </w:tcBorders>
          </w:tcPr>
          <w:p w14:paraId="0B7F34A3">
            <w:pPr>
              <w:snapToGrid w:val="0"/>
              <w:spacing w:line="360" w:lineRule="auto"/>
              <w:ind w:right="24"/>
              <w:rPr>
                <w:rStyle w:val="43"/>
                <w:rFonts w:ascii="黑体" w:hAnsi="华文中宋" w:eastAsia="黑体" w:cs="Times New Roman"/>
                <w:bCs/>
                <w:sz w:val="24"/>
                <w:highlight w:val="none"/>
              </w:rPr>
            </w:pPr>
          </w:p>
        </w:tc>
      </w:tr>
    </w:tbl>
    <w:p w14:paraId="2A71EF54">
      <w:pPr>
        <w:snapToGrid w:val="0"/>
        <w:rPr>
          <w:rStyle w:val="43"/>
          <w:highlight w:val="none"/>
        </w:rPr>
      </w:pPr>
    </w:p>
    <w:p w14:paraId="3A4977E3">
      <w:pPr>
        <w:snapToGrid w:val="0"/>
        <w:spacing w:before="120" w:line="400" w:lineRule="exact"/>
        <w:ind w:left="735" w:leftChars="250" w:hanging="210"/>
        <w:rPr>
          <w:rStyle w:val="43"/>
          <w:rFonts w:ascii="宋体" w:hAnsi="宋体"/>
          <w:szCs w:val="21"/>
          <w:highlight w:val="none"/>
        </w:rPr>
      </w:pPr>
      <w:r>
        <w:rPr>
          <w:rStyle w:val="43"/>
          <w:rFonts w:ascii="宋体" w:hAnsi="宋体"/>
          <w:szCs w:val="21"/>
          <w:highlight w:val="none"/>
        </w:rPr>
        <w:t>说明：</w:t>
      </w:r>
    </w:p>
    <w:p w14:paraId="68DC0EDC">
      <w:pPr>
        <w:snapToGrid w:val="0"/>
        <w:spacing w:line="400" w:lineRule="exact"/>
        <w:ind w:left="351" w:leftChars="167" w:firstLine="380" w:firstLineChars="181"/>
        <w:rPr>
          <w:rStyle w:val="43"/>
          <w:rFonts w:ascii="宋体" w:hAnsi="宋体" w:cs="宋体"/>
          <w:b/>
          <w:bCs/>
          <w:szCs w:val="21"/>
          <w:highlight w:val="none"/>
        </w:rPr>
      </w:pPr>
      <w:r>
        <w:rPr>
          <w:rStyle w:val="43"/>
          <w:rFonts w:ascii="宋体" w:hAnsi="宋体"/>
          <w:szCs w:val="21"/>
          <w:highlight w:val="none"/>
        </w:rPr>
        <w:t>1.本表只填写投标文件中与招标文件有偏离的内容，投标文件中商务响应与招标文件要求完全一致的，填写全部响应即可。</w:t>
      </w:r>
      <w:r>
        <w:rPr>
          <w:rStyle w:val="43"/>
          <w:rFonts w:ascii="宋体" w:hAnsi="宋体" w:cs="宋体"/>
          <w:b/>
          <w:bCs/>
          <w:szCs w:val="21"/>
          <w:highlight w:val="none"/>
        </w:rPr>
        <w:t>如不提供此表，则视为投标人满足招标文件所有的商务条款要求。</w:t>
      </w:r>
    </w:p>
    <w:p w14:paraId="14A47E9B">
      <w:pPr>
        <w:snapToGrid w:val="0"/>
        <w:spacing w:line="400" w:lineRule="exact"/>
        <w:ind w:left="141" w:leftChars="67" w:firstLine="630" w:firstLineChars="300"/>
        <w:rPr>
          <w:rStyle w:val="43"/>
          <w:rFonts w:ascii="宋体" w:hAnsi="宋体"/>
          <w:szCs w:val="21"/>
          <w:highlight w:val="none"/>
        </w:rPr>
      </w:pPr>
      <w:r>
        <w:rPr>
          <w:rStyle w:val="43"/>
          <w:rFonts w:ascii="宋体" w:hAnsi="宋体"/>
          <w:szCs w:val="21"/>
          <w:highlight w:val="none"/>
        </w:rPr>
        <w:t xml:space="preserve">2.投标人必须据实填写，不得虚假响应，否则，将取消其投标或中标资格。 </w:t>
      </w:r>
    </w:p>
    <w:p w14:paraId="3269134B">
      <w:pPr>
        <w:snapToGrid w:val="0"/>
        <w:spacing w:line="400" w:lineRule="exact"/>
        <w:ind w:firstLine="560" w:firstLineChars="200"/>
        <w:jc w:val="left"/>
        <w:rPr>
          <w:rStyle w:val="43"/>
          <w:rFonts w:ascii="仿宋_GB2312" w:hAnsi="宋体" w:eastAsia="仿宋_GB2312" w:cs="Times New Roman"/>
          <w:bCs/>
          <w:sz w:val="28"/>
          <w:szCs w:val="28"/>
          <w:highlight w:val="none"/>
        </w:rPr>
      </w:pPr>
    </w:p>
    <w:p w14:paraId="47462439">
      <w:pPr>
        <w:jc w:val="left"/>
        <w:textAlignment w:val="auto"/>
        <w:rPr>
          <w:sz w:val="32"/>
          <w:highlight w:val="none"/>
        </w:rPr>
      </w:pPr>
      <w:r>
        <w:rPr>
          <w:highlight w:val="none"/>
        </w:rPr>
        <w:br w:type="page"/>
      </w:r>
    </w:p>
    <w:p w14:paraId="6CCE6655">
      <w:pPr>
        <w:pStyle w:val="37"/>
        <w:snapToGrid w:val="0"/>
        <w:jc w:val="center"/>
        <w:rPr>
          <w:rStyle w:val="43"/>
          <w:rFonts w:ascii="宋体" w:hAnsi="宋体"/>
          <w:b/>
          <w:color w:val="000000"/>
          <w:sz w:val="32"/>
          <w:szCs w:val="32"/>
          <w:highlight w:val="none"/>
          <w:u w:val="none"/>
        </w:rPr>
      </w:pPr>
      <w:r>
        <w:rPr>
          <w:rStyle w:val="43"/>
          <w:rFonts w:hint="eastAsia" w:ascii="宋体" w:hAnsi="宋体"/>
          <w:b/>
          <w:color w:val="000000"/>
          <w:sz w:val="32"/>
          <w:szCs w:val="32"/>
          <w:highlight w:val="none"/>
          <w:u w:val="none"/>
        </w:rPr>
        <w:t>七-2</w:t>
      </w:r>
      <w:r>
        <w:rPr>
          <w:rStyle w:val="43"/>
          <w:rFonts w:ascii="宋体" w:hAnsi="宋体"/>
          <w:b/>
          <w:color w:val="000000"/>
          <w:sz w:val="32"/>
          <w:szCs w:val="32"/>
          <w:highlight w:val="none"/>
          <w:u w:val="none"/>
        </w:rPr>
        <w:t>、商务响应</w:t>
      </w:r>
    </w:p>
    <w:p w14:paraId="452922C5">
      <w:pPr>
        <w:pStyle w:val="24"/>
        <w:rPr>
          <w:highlight w:val="none"/>
        </w:rPr>
      </w:pPr>
    </w:p>
    <w:p w14:paraId="1316C263">
      <w:pPr>
        <w:pStyle w:val="24"/>
        <w:rPr>
          <w:highlight w:val="none"/>
        </w:rPr>
      </w:pPr>
      <w:r>
        <w:rPr>
          <w:rFonts w:hint="eastAsia"/>
          <w:highlight w:val="none"/>
        </w:rPr>
        <w:t>1、</w:t>
      </w:r>
      <w:r>
        <w:rPr>
          <w:highlight w:val="none"/>
        </w:rPr>
        <w:t>合理化建议</w:t>
      </w:r>
    </w:p>
    <w:p w14:paraId="0EE018E4">
      <w:pPr>
        <w:pStyle w:val="24"/>
        <w:rPr>
          <w:highlight w:val="none"/>
        </w:rPr>
      </w:pPr>
      <w:r>
        <w:rPr>
          <w:rFonts w:hint="eastAsia"/>
          <w:highlight w:val="none"/>
        </w:rPr>
        <w:t>2、保修承诺</w:t>
      </w:r>
    </w:p>
    <w:p w14:paraId="7FCE0EDB">
      <w:pPr>
        <w:pStyle w:val="24"/>
        <w:rPr>
          <w:highlight w:val="none"/>
        </w:rPr>
      </w:pPr>
      <w:r>
        <w:rPr>
          <w:rFonts w:hint="eastAsia"/>
          <w:highlight w:val="none"/>
        </w:rPr>
        <w:t>3、业绩</w:t>
      </w:r>
    </w:p>
    <w:p w14:paraId="2CEEC92A">
      <w:pPr>
        <w:pStyle w:val="24"/>
        <w:rPr>
          <w:highlight w:val="none"/>
        </w:rPr>
      </w:pPr>
    </w:p>
    <w:p w14:paraId="15531810">
      <w:pPr>
        <w:pStyle w:val="24"/>
        <w:rPr>
          <w:highlight w:val="none"/>
        </w:rPr>
      </w:pPr>
    </w:p>
    <w:p w14:paraId="666BA693">
      <w:pPr>
        <w:pStyle w:val="24"/>
        <w:rPr>
          <w:highlight w:val="none"/>
        </w:rPr>
      </w:pPr>
      <w:r>
        <w:rPr>
          <w:rFonts w:hint="eastAsia"/>
          <w:highlight w:val="none"/>
        </w:rPr>
        <w:t>备注：格式自拟</w:t>
      </w:r>
    </w:p>
    <w:p w14:paraId="328E72AB">
      <w:pPr>
        <w:snapToGrid w:val="0"/>
        <w:rPr>
          <w:rStyle w:val="43"/>
          <w:highlight w:val="none"/>
          <w:lang w:val="zh-CN"/>
        </w:rPr>
      </w:pPr>
    </w:p>
    <w:p w14:paraId="4D98F67E">
      <w:pPr>
        <w:jc w:val="left"/>
        <w:textAlignment w:val="auto"/>
        <w:rPr>
          <w:highlight w:val="none"/>
          <w:lang w:val="zh-CN"/>
        </w:rPr>
      </w:pPr>
      <w:r>
        <w:rPr>
          <w:highlight w:val="none"/>
          <w:lang w:val="zh-CN"/>
        </w:rPr>
        <w:br w:type="page"/>
      </w:r>
    </w:p>
    <w:p w14:paraId="42BF6C27">
      <w:pPr>
        <w:rPr>
          <w:highlight w:val="none"/>
          <w:lang w:val="zh-CN"/>
        </w:rPr>
      </w:pPr>
    </w:p>
    <w:p w14:paraId="66CE3108">
      <w:pPr>
        <w:snapToGrid w:val="0"/>
        <w:spacing w:line="360" w:lineRule="auto"/>
        <w:jc w:val="center"/>
        <w:rPr>
          <w:rStyle w:val="43"/>
          <w:rFonts w:ascii="宋体" w:hAnsi="宋体"/>
          <w:b/>
          <w:sz w:val="32"/>
          <w:szCs w:val="32"/>
          <w:highlight w:val="none"/>
        </w:rPr>
      </w:pPr>
      <w:r>
        <w:rPr>
          <w:rStyle w:val="43"/>
          <w:rFonts w:hint="eastAsia" w:ascii="宋体" w:hAnsi="宋体"/>
          <w:b/>
          <w:sz w:val="32"/>
          <w:szCs w:val="32"/>
          <w:highlight w:val="none"/>
        </w:rPr>
        <w:t>八</w:t>
      </w:r>
      <w:r>
        <w:rPr>
          <w:rStyle w:val="43"/>
          <w:rFonts w:ascii="宋体" w:hAnsi="宋体"/>
          <w:b/>
          <w:sz w:val="32"/>
          <w:szCs w:val="32"/>
          <w:highlight w:val="none"/>
        </w:rPr>
        <w:t>、承诺书及声明</w:t>
      </w:r>
    </w:p>
    <w:p w14:paraId="49746514">
      <w:pPr>
        <w:snapToGrid w:val="0"/>
        <w:spacing w:line="360" w:lineRule="auto"/>
        <w:jc w:val="center"/>
        <w:rPr>
          <w:rStyle w:val="43"/>
          <w:rFonts w:ascii="宋体" w:hAnsi="宋体"/>
          <w:szCs w:val="21"/>
          <w:highlight w:val="none"/>
          <w:lang w:val="zh-CN"/>
        </w:rPr>
      </w:pPr>
    </w:p>
    <w:p w14:paraId="2F108BAD">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1.政府采购投标人拒绝政府采购领域商业贿赂承诺书（附件一）</w:t>
      </w:r>
    </w:p>
    <w:p w14:paraId="6215E711">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2.投标人投标资格承诺书（附件二）</w:t>
      </w:r>
    </w:p>
    <w:p w14:paraId="32BD7CA5">
      <w:pPr>
        <w:snapToGrid w:val="0"/>
        <w:spacing w:line="360" w:lineRule="auto"/>
        <w:jc w:val="left"/>
        <w:rPr>
          <w:rStyle w:val="43"/>
          <w:rFonts w:ascii="宋体" w:hAnsi="宋体"/>
          <w:szCs w:val="21"/>
          <w:highlight w:val="none"/>
        </w:rPr>
      </w:pPr>
      <w:r>
        <w:rPr>
          <w:rStyle w:val="43"/>
          <w:rFonts w:ascii="宋体" w:hAnsi="宋体"/>
          <w:szCs w:val="21"/>
          <w:highlight w:val="none"/>
          <w:lang w:val="zh-CN"/>
        </w:rPr>
        <w:t>3.</w:t>
      </w:r>
      <w:r>
        <w:rPr>
          <w:rStyle w:val="43"/>
          <w:rFonts w:ascii="宋体" w:hAnsi="宋体"/>
          <w:szCs w:val="21"/>
          <w:highlight w:val="none"/>
        </w:rPr>
        <w:t>信用承诺</w:t>
      </w:r>
      <w:r>
        <w:rPr>
          <w:rStyle w:val="43"/>
          <w:rFonts w:ascii="宋体" w:hAnsi="宋体"/>
          <w:szCs w:val="21"/>
          <w:highlight w:val="none"/>
          <w:lang w:val="zh-CN"/>
        </w:rPr>
        <w:t>（附件三）</w:t>
      </w:r>
    </w:p>
    <w:p w14:paraId="44A07DD5">
      <w:pPr>
        <w:snapToGrid w:val="0"/>
        <w:spacing w:line="360" w:lineRule="auto"/>
        <w:jc w:val="left"/>
        <w:rPr>
          <w:rStyle w:val="43"/>
          <w:rFonts w:ascii="宋体" w:hAnsi="宋体"/>
          <w:szCs w:val="21"/>
          <w:highlight w:val="none"/>
          <w:lang w:val="zh-CN"/>
        </w:rPr>
      </w:pPr>
    </w:p>
    <w:p w14:paraId="03EC098B">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br w:type="page"/>
      </w:r>
    </w:p>
    <w:p w14:paraId="40C656BA">
      <w:pPr>
        <w:snapToGrid w:val="0"/>
        <w:spacing w:line="360" w:lineRule="auto"/>
        <w:jc w:val="left"/>
        <w:rPr>
          <w:rStyle w:val="43"/>
          <w:rFonts w:ascii="宋体" w:hAnsi="宋体"/>
          <w:b/>
          <w:szCs w:val="21"/>
          <w:highlight w:val="none"/>
          <w:lang w:val="zh-CN"/>
        </w:rPr>
      </w:pPr>
      <w:r>
        <w:rPr>
          <w:rStyle w:val="43"/>
          <w:rFonts w:ascii="宋体" w:hAnsi="宋体"/>
          <w:b/>
          <w:szCs w:val="21"/>
          <w:highlight w:val="none"/>
          <w:lang w:val="zh-CN"/>
        </w:rPr>
        <w:t>附件一</w:t>
      </w:r>
    </w:p>
    <w:p w14:paraId="1843FE4A">
      <w:pPr>
        <w:snapToGrid w:val="0"/>
        <w:spacing w:line="360" w:lineRule="auto"/>
        <w:jc w:val="center"/>
        <w:rPr>
          <w:rStyle w:val="43"/>
          <w:rFonts w:ascii="宋体" w:hAnsi="宋体"/>
          <w:b/>
          <w:sz w:val="28"/>
          <w:szCs w:val="28"/>
          <w:highlight w:val="none"/>
          <w:lang w:val="zh-CN"/>
        </w:rPr>
      </w:pPr>
      <w:r>
        <w:rPr>
          <w:rStyle w:val="43"/>
          <w:rFonts w:ascii="宋体" w:hAnsi="宋体"/>
          <w:b/>
          <w:sz w:val="28"/>
          <w:szCs w:val="28"/>
          <w:highlight w:val="none"/>
          <w:lang w:val="zh-CN"/>
        </w:rPr>
        <w:t>政府采购投标人拒绝政府采购领域商业贿赂承诺书</w:t>
      </w:r>
    </w:p>
    <w:p w14:paraId="4F5B34A5">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为响应党中央、国务院关于治理采购领域商业贿赂行为的号召，我公司再次承诺：</w:t>
      </w:r>
    </w:p>
    <w:p w14:paraId="648F42B3">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1.在参与采购活动中遵纪守法、诚信经营、公平竞标。</w:t>
      </w:r>
    </w:p>
    <w:p w14:paraId="0A40A1D2">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2.不向</w:t>
      </w:r>
      <w:r>
        <w:rPr>
          <w:rStyle w:val="43"/>
          <w:rFonts w:hint="eastAsia" w:ascii="宋体" w:hAnsi="宋体"/>
          <w:szCs w:val="21"/>
          <w:highlight w:val="none"/>
          <w:lang w:val="zh-CN"/>
        </w:rPr>
        <w:t>招标人</w:t>
      </w:r>
      <w:r>
        <w:rPr>
          <w:rStyle w:val="43"/>
          <w:rFonts w:ascii="宋体" w:hAnsi="宋体"/>
          <w:szCs w:val="21"/>
          <w:highlight w:val="none"/>
          <w:lang w:val="zh-CN"/>
        </w:rPr>
        <w:t>、</w:t>
      </w:r>
      <w:r>
        <w:rPr>
          <w:rStyle w:val="43"/>
          <w:rFonts w:hint="eastAsia" w:ascii="宋体" w:hAnsi="宋体"/>
          <w:szCs w:val="21"/>
          <w:highlight w:val="none"/>
          <w:lang w:val="zh-CN"/>
        </w:rPr>
        <w:t>招标代理机构</w:t>
      </w:r>
      <w:r>
        <w:rPr>
          <w:rStyle w:val="43"/>
          <w:rFonts w:ascii="宋体" w:hAnsi="宋体"/>
          <w:szCs w:val="21"/>
          <w:highlight w:val="none"/>
          <w:lang w:val="zh-CN"/>
        </w:rPr>
        <w:t>和采购评审专家进行任何形式的商业贿赂以谋取交易机会。</w:t>
      </w:r>
    </w:p>
    <w:p w14:paraId="5BBD8E3C">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3.不向</w:t>
      </w:r>
      <w:r>
        <w:rPr>
          <w:rStyle w:val="43"/>
          <w:rFonts w:hint="eastAsia" w:ascii="宋体" w:hAnsi="宋体"/>
          <w:szCs w:val="21"/>
          <w:highlight w:val="none"/>
          <w:lang w:val="zh-CN"/>
        </w:rPr>
        <w:t>招标代理机构</w:t>
      </w:r>
      <w:r>
        <w:rPr>
          <w:rStyle w:val="43"/>
          <w:rFonts w:ascii="宋体" w:hAnsi="宋体"/>
          <w:szCs w:val="21"/>
          <w:highlight w:val="none"/>
          <w:lang w:val="zh-CN"/>
        </w:rPr>
        <w:t>和</w:t>
      </w:r>
      <w:r>
        <w:rPr>
          <w:rStyle w:val="43"/>
          <w:rFonts w:hint="eastAsia" w:ascii="宋体" w:hAnsi="宋体"/>
          <w:szCs w:val="21"/>
          <w:highlight w:val="none"/>
          <w:lang w:val="zh-CN"/>
        </w:rPr>
        <w:t>招标人</w:t>
      </w:r>
      <w:r>
        <w:rPr>
          <w:rStyle w:val="43"/>
          <w:rFonts w:ascii="宋体" w:hAnsi="宋体"/>
          <w:szCs w:val="21"/>
          <w:highlight w:val="none"/>
          <w:lang w:val="zh-CN"/>
        </w:rPr>
        <w:t>提供虚假资质文件或采用虚假应标方式参与采购市场竞争并谋取中标、成交。</w:t>
      </w:r>
    </w:p>
    <w:p w14:paraId="7B01A3EB">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4.不采取“围标、陪标”等商业欺诈手段获取采购订单。</w:t>
      </w:r>
    </w:p>
    <w:p w14:paraId="7EE435AC">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5.不采取不正当手段诋毁、排挤其他投标人。</w:t>
      </w:r>
    </w:p>
    <w:p w14:paraId="5C044CEC">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6.不在提供商品和服务时“偷梁换柱、以次充好”损害</w:t>
      </w:r>
      <w:r>
        <w:rPr>
          <w:rStyle w:val="43"/>
          <w:rFonts w:hint="eastAsia" w:ascii="宋体" w:hAnsi="宋体"/>
          <w:szCs w:val="21"/>
          <w:highlight w:val="none"/>
          <w:lang w:val="zh-CN"/>
        </w:rPr>
        <w:t>招标人</w:t>
      </w:r>
      <w:r>
        <w:rPr>
          <w:rStyle w:val="43"/>
          <w:rFonts w:ascii="宋体" w:hAnsi="宋体"/>
          <w:szCs w:val="21"/>
          <w:highlight w:val="none"/>
          <w:lang w:val="zh-CN"/>
        </w:rPr>
        <w:t>的合法权益。</w:t>
      </w:r>
    </w:p>
    <w:p w14:paraId="3B03C3BA">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7.不与</w:t>
      </w:r>
      <w:r>
        <w:rPr>
          <w:rStyle w:val="43"/>
          <w:rFonts w:hint="eastAsia" w:ascii="宋体" w:hAnsi="宋体"/>
          <w:szCs w:val="21"/>
          <w:highlight w:val="none"/>
          <w:lang w:val="zh-CN"/>
        </w:rPr>
        <w:t>招标人</w:t>
      </w:r>
      <w:r>
        <w:rPr>
          <w:rStyle w:val="43"/>
          <w:rFonts w:ascii="宋体" w:hAnsi="宋体"/>
          <w:szCs w:val="21"/>
          <w:highlight w:val="none"/>
          <w:lang w:val="zh-CN"/>
        </w:rPr>
        <w:t>、</w:t>
      </w:r>
      <w:r>
        <w:rPr>
          <w:rStyle w:val="43"/>
          <w:rFonts w:hint="eastAsia" w:ascii="宋体" w:hAnsi="宋体"/>
          <w:szCs w:val="21"/>
          <w:highlight w:val="none"/>
          <w:lang w:val="zh-CN"/>
        </w:rPr>
        <w:t>招标代理机构</w:t>
      </w:r>
      <w:r>
        <w:rPr>
          <w:rStyle w:val="43"/>
          <w:rFonts w:ascii="宋体" w:hAnsi="宋体"/>
          <w:szCs w:val="21"/>
          <w:highlight w:val="none"/>
          <w:lang w:val="zh-CN"/>
        </w:rPr>
        <w:t>、采购评审专家或其他投标人恶意串通，进行质疑和投诉，维护采购市场秩序。</w:t>
      </w:r>
    </w:p>
    <w:p w14:paraId="13930520">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8.尊重和接受采购监督管理部门的监督和</w:t>
      </w:r>
      <w:r>
        <w:rPr>
          <w:rStyle w:val="43"/>
          <w:rFonts w:hint="eastAsia" w:ascii="宋体" w:hAnsi="宋体"/>
          <w:szCs w:val="21"/>
          <w:highlight w:val="none"/>
          <w:lang w:val="zh-CN"/>
        </w:rPr>
        <w:t>招标代理机构</w:t>
      </w:r>
      <w:r>
        <w:rPr>
          <w:rStyle w:val="43"/>
          <w:rFonts w:ascii="宋体" w:hAnsi="宋体"/>
          <w:szCs w:val="21"/>
          <w:highlight w:val="none"/>
          <w:lang w:val="zh-CN"/>
        </w:rPr>
        <w:t>招标采购要求，承担因违约行为给</w:t>
      </w:r>
      <w:r>
        <w:rPr>
          <w:rStyle w:val="43"/>
          <w:rFonts w:hint="eastAsia" w:ascii="宋体" w:hAnsi="宋体"/>
          <w:szCs w:val="21"/>
          <w:highlight w:val="none"/>
          <w:lang w:val="zh-CN"/>
        </w:rPr>
        <w:t>招标人</w:t>
      </w:r>
      <w:r>
        <w:rPr>
          <w:rStyle w:val="43"/>
          <w:rFonts w:ascii="宋体" w:hAnsi="宋体"/>
          <w:szCs w:val="21"/>
          <w:highlight w:val="none"/>
          <w:lang w:val="zh-CN"/>
        </w:rPr>
        <w:t>造成的损失。</w:t>
      </w:r>
    </w:p>
    <w:p w14:paraId="7DD535B2">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9.不发生其他有悖于政府采购公开、公平、公正和诚信原则的行为。</w:t>
      </w:r>
    </w:p>
    <w:p w14:paraId="39726BD4">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 xml:space="preserve">投标人：（盖单位公章）              </w:t>
      </w:r>
    </w:p>
    <w:p w14:paraId="3F4F8420">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地址：</w:t>
      </w:r>
    </w:p>
    <w:p w14:paraId="559A4954">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邮编：</w:t>
      </w:r>
    </w:p>
    <w:p w14:paraId="0B790481">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 xml:space="preserve">电话：       </w:t>
      </w:r>
    </w:p>
    <w:p w14:paraId="0F9D3CC8">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 xml:space="preserve">                      年    月    日</w:t>
      </w:r>
    </w:p>
    <w:p w14:paraId="4BED1E5D">
      <w:pPr>
        <w:snapToGrid w:val="0"/>
        <w:spacing w:line="360" w:lineRule="auto"/>
        <w:ind w:firstLine="420" w:firstLineChars="200"/>
        <w:jc w:val="left"/>
        <w:rPr>
          <w:rStyle w:val="43"/>
          <w:rFonts w:ascii="宋体" w:hAnsi="宋体"/>
          <w:szCs w:val="21"/>
          <w:highlight w:val="none"/>
          <w:lang w:val="zh-CN"/>
        </w:rPr>
      </w:pPr>
    </w:p>
    <w:p w14:paraId="0B5D68EF">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br w:type="page"/>
      </w:r>
    </w:p>
    <w:p w14:paraId="4A8F8427">
      <w:pPr>
        <w:snapToGrid w:val="0"/>
        <w:spacing w:line="360" w:lineRule="auto"/>
        <w:jc w:val="left"/>
        <w:rPr>
          <w:rStyle w:val="43"/>
          <w:rFonts w:ascii="宋体" w:hAnsi="宋体"/>
          <w:szCs w:val="21"/>
          <w:highlight w:val="none"/>
          <w:lang w:val="zh-CN"/>
        </w:rPr>
      </w:pPr>
      <w:r>
        <w:rPr>
          <w:rStyle w:val="43"/>
          <w:rFonts w:ascii="宋体" w:hAnsi="宋体"/>
          <w:b/>
          <w:szCs w:val="21"/>
          <w:highlight w:val="none"/>
          <w:lang w:val="zh-CN"/>
        </w:rPr>
        <w:t>附件二</w:t>
      </w:r>
    </w:p>
    <w:p w14:paraId="5398AADE">
      <w:pPr>
        <w:snapToGrid w:val="0"/>
        <w:spacing w:line="360" w:lineRule="auto"/>
        <w:jc w:val="center"/>
        <w:rPr>
          <w:rStyle w:val="43"/>
          <w:rFonts w:ascii="宋体" w:hAnsi="宋体"/>
          <w:b/>
          <w:sz w:val="28"/>
          <w:szCs w:val="28"/>
          <w:highlight w:val="none"/>
          <w:lang w:val="zh-CN"/>
        </w:rPr>
      </w:pPr>
      <w:r>
        <w:rPr>
          <w:rStyle w:val="43"/>
          <w:rFonts w:ascii="宋体" w:hAnsi="宋体"/>
          <w:b/>
          <w:sz w:val="28"/>
          <w:szCs w:val="28"/>
          <w:highlight w:val="none"/>
          <w:lang w:val="zh-CN"/>
        </w:rPr>
        <w:t>投标人投标资格承诺书</w:t>
      </w:r>
    </w:p>
    <w:p w14:paraId="7676D2A2">
      <w:pPr>
        <w:snapToGrid w:val="0"/>
        <w:spacing w:line="360" w:lineRule="auto"/>
        <w:ind w:firstLine="420" w:firstLineChars="200"/>
        <w:jc w:val="left"/>
        <w:rPr>
          <w:rStyle w:val="43"/>
          <w:rFonts w:ascii="宋体" w:hAnsi="宋体"/>
          <w:szCs w:val="21"/>
          <w:highlight w:val="none"/>
          <w:lang w:val="zh-CN"/>
        </w:rPr>
      </w:pPr>
    </w:p>
    <w:p w14:paraId="5405FC98">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我方承诺，不存在相关法律法规规定的禁止投标的情形。我单位的股权关系、与其他单位的管理关系和其他与本项目有关的利害关系等，作如下说明和承诺：</w:t>
      </w:r>
    </w:p>
    <w:p w14:paraId="40B2D16F">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1.我方在本项目投标中，不存在与其他投标人单位负责人为同一人或者存在直接控股、管理关系。</w:t>
      </w:r>
    </w:p>
    <w:p w14:paraId="55F38063">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1.1 股权关系说明</w:t>
      </w:r>
    </w:p>
    <w:p w14:paraId="118439F6">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1.1.1 我单位法定代表人（单位负责人）姓名：</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w:t>
      </w:r>
    </w:p>
    <w:p w14:paraId="24C5468E">
      <w:pPr>
        <w:snapToGrid w:val="0"/>
        <w:spacing w:line="360" w:lineRule="auto"/>
        <w:ind w:firstLine="420" w:firstLineChars="200"/>
        <w:jc w:val="left"/>
        <w:rPr>
          <w:rStyle w:val="43"/>
          <w:rFonts w:ascii="宋体" w:hAnsi="宋体"/>
          <w:szCs w:val="21"/>
          <w:highlight w:val="none"/>
          <w:u w:val="single"/>
          <w:lang w:val="zh-CN"/>
        </w:rPr>
      </w:pPr>
      <w:r>
        <w:rPr>
          <w:rStyle w:val="43"/>
          <w:rFonts w:ascii="宋体" w:hAnsi="宋体"/>
          <w:szCs w:val="21"/>
          <w:highlight w:val="none"/>
          <w:lang w:val="zh-CN"/>
        </w:rPr>
        <w:t>1.1.2 我单位控股的单位有</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w:t>
      </w:r>
    </w:p>
    <w:p w14:paraId="513D8C6B">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1.1.3 我单位被</w:t>
      </w:r>
      <w:r>
        <w:rPr>
          <w:rStyle w:val="43"/>
          <w:rFonts w:ascii="宋体" w:hAnsi="宋体"/>
          <w:szCs w:val="21"/>
          <w:highlight w:val="none"/>
          <w:u w:val="single" w:color="000000"/>
          <w:lang w:val="zh-CN"/>
        </w:rPr>
        <w:t xml:space="preserve">                  （单位或自然人）                     </w:t>
      </w:r>
      <w:r>
        <w:rPr>
          <w:rStyle w:val="43"/>
          <w:rFonts w:ascii="宋体" w:hAnsi="宋体"/>
          <w:szCs w:val="21"/>
          <w:highlight w:val="none"/>
          <w:lang w:val="zh-CN"/>
        </w:rPr>
        <w:t>控股。</w:t>
      </w:r>
    </w:p>
    <w:p w14:paraId="1CAFD1F5">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1.2.管理关系说明</w:t>
      </w:r>
    </w:p>
    <w:p w14:paraId="557BDED8">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1.2.1 我单位管理的下属单位有</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w:t>
      </w:r>
    </w:p>
    <w:p w14:paraId="27FCA2AF">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1.2.2 我单位的上级管理单位有</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w:t>
      </w:r>
    </w:p>
    <w:p w14:paraId="2608FAC1">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2.我方与</w:t>
      </w:r>
      <w:r>
        <w:rPr>
          <w:rStyle w:val="43"/>
          <w:rFonts w:hint="eastAsia" w:ascii="宋体" w:hAnsi="宋体"/>
          <w:szCs w:val="21"/>
          <w:highlight w:val="none"/>
          <w:lang w:val="zh-CN"/>
        </w:rPr>
        <w:t>招标人</w:t>
      </w:r>
      <w:r>
        <w:rPr>
          <w:rStyle w:val="43"/>
          <w:rFonts w:ascii="宋体" w:hAnsi="宋体"/>
          <w:szCs w:val="21"/>
          <w:highlight w:val="none"/>
          <w:lang w:val="zh-CN"/>
        </w:rPr>
        <w:t>不存在利害关系及其他可能影响招标公正性的情形。</w:t>
      </w:r>
    </w:p>
    <w:p w14:paraId="161D25DE">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3.我方没有为采购项目提供整体设计、规范编制或者项目管理、监理、检测等服务；</w:t>
      </w:r>
    </w:p>
    <w:p w14:paraId="3C04A6DA">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4.其他与本项目有关的利害关系说明：</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w:t>
      </w:r>
    </w:p>
    <w:p w14:paraId="0B0C2D4B">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我方承诺以上说明真实有效，无虚假内容或隐瞒。</w:t>
      </w:r>
    </w:p>
    <w:p w14:paraId="4D1689C2">
      <w:pPr>
        <w:snapToGrid w:val="0"/>
        <w:spacing w:line="360" w:lineRule="auto"/>
        <w:ind w:firstLine="420" w:firstLineChars="200"/>
        <w:rPr>
          <w:rStyle w:val="43"/>
          <w:rFonts w:ascii="宋体" w:hAnsi="宋体"/>
          <w:szCs w:val="21"/>
          <w:highlight w:val="none"/>
        </w:rPr>
      </w:pPr>
    </w:p>
    <w:p w14:paraId="16F1E678">
      <w:pPr>
        <w:pStyle w:val="6"/>
        <w:rPr>
          <w:rStyle w:val="43"/>
          <w:rFonts w:ascii="宋体" w:hAnsi="宋体"/>
          <w:sz w:val="21"/>
          <w:szCs w:val="21"/>
          <w:highlight w:val="none"/>
        </w:rPr>
      </w:pPr>
    </w:p>
    <w:p w14:paraId="592D7148">
      <w:pPr>
        <w:rPr>
          <w:highlight w:val="none"/>
        </w:rPr>
      </w:pPr>
    </w:p>
    <w:p w14:paraId="5F9515C4">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投标人：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（盖单位公章）</w:t>
      </w:r>
    </w:p>
    <w:p w14:paraId="2624663B">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法定代表人（单位负责人）或其委托代理人：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（签字或盖章）</w:t>
      </w:r>
    </w:p>
    <w:p w14:paraId="2019EE24">
      <w:pPr>
        <w:snapToGrid w:val="0"/>
        <w:spacing w:line="360" w:lineRule="auto"/>
        <w:ind w:firstLine="5250" w:firstLineChars="2500"/>
        <w:jc w:val="right"/>
        <w:rPr>
          <w:rStyle w:val="43"/>
          <w:rFonts w:ascii="宋体" w:hAnsi="宋体"/>
          <w:szCs w:val="21"/>
          <w:highlight w:val="none"/>
          <w:lang w:val="zh-CN"/>
        </w:rPr>
      </w:pPr>
      <w:r>
        <w:rPr>
          <w:rStyle w:val="43"/>
          <w:rFonts w:ascii="宋体" w:hAnsi="宋体"/>
          <w:szCs w:val="21"/>
          <w:highlight w:val="none"/>
          <w:lang w:val="zh-CN"/>
        </w:rPr>
        <w:t>年    月    日</w:t>
      </w:r>
    </w:p>
    <w:p w14:paraId="7E36C386">
      <w:pPr>
        <w:snapToGrid w:val="0"/>
        <w:spacing w:line="360" w:lineRule="auto"/>
        <w:rPr>
          <w:rStyle w:val="43"/>
          <w:rFonts w:ascii="宋体" w:hAnsi="宋体"/>
          <w:szCs w:val="21"/>
          <w:highlight w:val="none"/>
          <w:lang w:val="zh-CN"/>
        </w:rPr>
      </w:pPr>
      <w:r>
        <w:rPr>
          <w:rStyle w:val="43"/>
          <w:rFonts w:ascii="宋体" w:hAnsi="宋体"/>
          <w:szCs w:val="21"/>
          <w:highlight w:val="none"/>
          <w:lang w:val="zh-CN"/>
        </w:rPr>
        <w:br w:type="page"/>
      </w:r>
    </w:p>
    <w:p w14:paraId="60DBE63B">
      <w:pPr>
        <w:snapToGrid w:val="0"/>
        <w:spacing w:line="360" w:lineRule="auto"/>
        <w:rPr>
          <w:rStyle w:val="43"/>
          <w:rFonts w:ascii="宋体" w:hAnsi="宋体"/>
          <w:b/>
          <w:sz w:val="28"/>
          <w:szCs w:val="28"/>
          <w:highlight w:val="none"/>
        </w:rPr>
      </w:pPr>
      <w:r>
        <w:rPr>
          <w:rStyle w:val="43"/>
          <w:rFonts w:ascii="宋体" w:hAnsi="宋体"/>
          <w:b/>
          <w:szCs w:val="21"/>
          <w:highlight w:val="none"/>
          <w:lang w:val="zh-CN"/>
        </w:rPr>
        <w:t>附件</w:t>
      </w:r>
      <w:r>
        <w:rPr>
          <w:rStyle w:val="43"/>
          <w:rFonts w:ascii="宋体" w:hAnsi="宋体"/>
          <w:b/>
          <w:szCs w:val="21"/>
          <w:highlight w:val="none"/>
        </w:rPr>
        <w:t>三</w:t>
      </w:r>
    </w:p>
    <w:p w14:paraId="7E0B613B">
      <w:pPr>
        <w:snapToGrid w:val="0"/>
        <w:spacing w:line="360" w:lineRule="auto"/>
        <w:jc w:val="center"/>
        <w:rPr>
          <w:rStyle w:val="43"/>
          <w:rFonts w:ascii="宋体" w:hAnsi="宋体"/>
          <w:b/>
          <w:sz w:val="28"/>
          <w:szCs w:val="28"/>
          <w:highlight w:val="none"/>
          <w:lang w:val="zh-CN"/>
        </w:rPr>
      </w:pPr>
      <w:r>
        <w:rPr>
          <w:rStyle w:val="43"/>
          <w:rFonts w:ascii="宋体" w:hAnsi="宋体"/>
          <w:b/>
          <w:sz w:val="28"/>
          <w:szCs w:val="28"/>
          <w:highlight w:val="none"/>
          <w:lang w:val="zh-CN"/>
        </w:rPr>
        <w:t>投标人书面声明函</w:t>
      </w:r>
    </w:p>
    <w:p w14:paraId="5AFDB03B">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龙寰项目管理</w:t>
      </w:r>
      <w:r>
        <w:rPr>
          <w:rStyle w:val="43"/>
          <w:rFonts w:hint="eastAsia" w:ascii="宋体" w:hAnsi="宋体"/>
          <w:szCs w:val="21"/>
          <w:highlight w:val="none"/>
          <w:lang w:val="zh-CN"/>
        </w:rPr>
        <w:t>咨询</w:t>
      </w:r>
      <w:r>
        <w:rPr>
          <w:rStyle w:val="43"/>
          <w:rFonts w:ascii="宋体" w:hAnsi="宋体"/>
          <w:szCs w:val="21"/>
          <w:highlight w:val="none"/>
          <w:lang w:val="zh-CN"/>
        </w:rPr>
        <w:t>有限公司：</w:t>
      </w:r>
    </w:p>
    <w:p w14:paraId="39D74936">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我方作为项目名称（项目编号：____）的投标投标人，在此郑重声明：</w:t>
      </w:r>
    </w:p>
    <w:p w14:paraId="05E7B8A0">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1、在参加本次政府采购活动前3年内的经营活动中</w:t>
      </w:r>
      <w:r>
        <w:rPr>
          <w:rStyle w:val="43"/>
          <w:rFonts w:ascii="宋体" w:hAnsi="宋体" w:cs="Times New Roman"/>
          <w:b/>
          <w:bCs/>
          <w:szCs w:val="21"/>
          <w:highlight w:val="none"/>
          <w:u w:val="single" w:color="000000"/>
        </w:rPr>
        <w:t xml:space="preserve"> </w:t>
      </w:r>
      <w:r>
        <w:rPr>
          <w:rStyle w:val="43"/>
          <w:rFonts w:ascii="宋体" w:hAnsi="宋体" w:cs="Times New Roman"/>
          <w:b/>
          <w:bCs/>
          <w:szCs w:val="21"/>
          <w:highlight w:val="none"/>
          <w:u w:val="single" w:color="000000"/>
          <w:lang w:val="zh-CN"/>
        </w:rPr>
        <w:t>没有</w:t>
      </w:r>
      <w:r>
        <w:rPr>
          <w:rStyle w:val="43"/>
          <w:rFonts w:ascii="宋体" w:hAnsi="宋体" w:cs="Times New Roman"/>
          <w:b/>
          <w:bCs/>
          <w:szCs w:val="21"/>
          <w:highlight w:val="none"/>
          <w:u w:val="single" w:color="000000"/>
        </w:rPr>
        <w:t xml:space="preserve"> </w:t>
      </w:r>
      <w:r>
        <w:rPr>
          <w:rStyle w:val="43"/>
          <w:rFonts w:ascii="宋体" w:hAnsi="宋体"/>
          <w:szCs w:val="21"/>
          <w:highlight w:val="none"/>
          <w:lang w:val="zh-CN"/>
        </w:rPr>
        <w:t>（填“没有”或“有”）重大违法记录。投标人在参加政府采购活动前3年内因违法经营被禁止在一定期限内参加政府采购活动，期限届满的，可以参加政府采购活动，但应提供期限届满的证明材料。</w:t>
      </w:r>
    </w:p>
    <w:p w14:paraId="765D9FEF">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2、我方______（填“未被列入”或“被列入”）失信被执行人名单。</w:t>
      </w:r>
    </w:p>
    <w:p w14:paraId="19F00B7E">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3、我方______（填“未被列入”或“被列入”）重大税收违法失信主体。</w:t>
      </w:r>
    </w:p>
    <w:p w14:paraId="472AE9F5">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4、我方______（填“未被列入”或“被列入”）政府采购严重违法失信行为记录名单。</w:t>
      </w:r>
    </w:p>
    <w:p w14:paraId="0532F837">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如有不实，我方将无条件地退出本项目的采购活动，并遵照《政府采购法》有关“提供虚假材料的规定”接受处罚。</w:t>
      </w:r>
    </w:p>
    <w:p w14:paraId="5125ECAE">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特此声明。</w:t>
      </w:r>
    </w:p>
    <w:p w14:paraId="15CA6CFD">
      <w:pPr>
        <w:snapToGrid w:val="0"/>
        <w:spacing w:line="360" w:lineRule="auto"/>
        <w:ind w:firstLine="480" w:firstLineChars="200"/>
        <w:jc w:val="left"/>
        <w:rPr>
          <w:rStyle w:val="43"/>
          <w:rFonts w:ascii="宋体" w:hAnsi="宋体"/>
          <w:sz w:val="24"/>
          <w:szCs w:val="24"/>
          <w:highlight w:val="none"/>
          <w:lang w:val="zh-CN"/>
        </w:rPr>
      </w:pPr>
    </w:p>
    <w:p w14:paraId="3F8E5D70">
      <w:pPr>
        <w:pStyle w:val="37"/>
        <w:snapToGrid w:val="0"/>
        <w:rPr>
          <w:rStyle w:val="43"/>
          <w:highlight w:val="none"/>
          <w:u w:color="FF0000"/>
          <w:lang w:val="zh-CN"/>
        </w:rPr>
      </w:pPr>
    </w:p>
    <w:p w14:paraId="107180C3">
      <w:pPr>
        <w:snapToGrid w:val="0"/>
        <w:spacing w:line="360" w:lineRule="auto"/>
        <w:ind w:firstLine="480" w:firstLineChars="200"/>
        <w:jc w:val="left"/>
        <w:rPr>
          <w:rStyle w:val="43"/>
          <w:rFonts w:ascii="宋体" w:hAnsi="宋体"/>
          <w:sz w:val="24"/>
          <w:szCs w:val="24"/>
          <w:highlight w:val="none"/>
          <w:lang w:val="zh-CN"/>
        </w:rPr>
      </w:pPr>
    </w:p>
    <w:p w14:paraId="27427C34">
      <w:pPr>
        <w:snapToGrid w:val="0"/>
        <w:spacing w:line="360" w:lineRule="auto"/>
        <w:ind w:firstLine="480" w:firstLineChars="200"/>
        <w:jc w:val="left"/>
        <w:rPr>
          <w:rStyle w:val="43"/>
          <w:rFonts w:ascii="宋体" w:hAnsi="宋体"/>
          <w:sz w:val="24"/>
          <w:szCs w:val="24"/>
          <w:highlight w:val="none"/>
          <w:lang w:val="zh-CN"/>
        </w:rPr>
      </w:pPr>
    </w:p>
    <w:p w14:paraId="469DB7FA">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投标人：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（盖单位公章）</w:t>
      </w:r>
    </w:p>
    <w:p w14:paraId="3FD7DB3C">
      <w:pPr>
        <w:snapToGrid w:val="0"/>
        <w:spacing w:line="360" w:lineRule="auto"/>
        <w:ind w:firstLine="420" w:firstLineChars="200"/>
        <w:jc w:val="right"/>
        <w:rPr>
          <w:rStyle w:val="43"/>
          <w:rFonts w:ascii="宋体" w:hAnsi="宋体"/>
          <w:szCs w:val="21"/>
          <w:highlight w:val="none"/>
          <w:lang w:val="zh-CN"/>
        </w:rPr>
      </w:pPr>
      <w:r>
        <w:rPr>
          <w:rStyle w:val="43"/>
          <w:rFonts w:ascii="宋体" w:hAnsi="宋体"/>
          <w:szCs w:val="21"/>
          <w:highlight w:val="none"/>
          <w:lang w:val="zh-CN"/>
        </w:rPr>
        <w:t>法定代表人（单位负责人）或其委托代理人：</w:t>
      </w:r>
      <w:r>
        <w:rPr>
          <w:rStyle w:val="43"/>
          <w:rFonts w:ascii="宋体" w:hAnsi="宋体"/>
          <w:szCs w:val="21"/>
          <w:highlight w:val="none"/>
          <w:u w:val="single" w:color="000000"/>
          <w:lang w:val="zh-CN"/>
        </w:rPr>
        <w:t xml:space="preserve">        </w:t>
      </w:r>
      <w:r>
        <w:rPr>
          <w:rStyle w:val="43"/>
          <w:rFonts w:ascii="宋体" w:hAnsi="宋体"/>
          <w:szCs w:val="21"/>
          <w:highlight w:val="none"/>
          <w:lang w:val="zh-CN"/>
        </w:rPr>
        <w:t>（签字或盖章）</w:t>
      </w:r>
    </w:p>
    <w:p w14:paraId="51868572">
      <w:pPr>
        <w:snapToGrid w:val="0"/>
        <w:spacing w:line="360" w:lineRule="auto"/>
        <w:ind w:firstLine="5460" w:firstLineChars="2600"/>
        <w:rPr>
          <w:rStyle w:val="43"/>
          <w:highlight w:val="none"/>
        </w:rPr>
      </w:pPr>
      <w:r>
        <w:rPr>
          <w:rStyle w:val="43"/>
          <w:rFonts w:ascii="宋体" w:hAnsi="宋体"/>
          <w:szCs w:val="21"/>
          <w:highlight w:val="none"/>
          <w:lang w:val="zh-CN"/>
        </w:rPr>
        <w:t>年    月    日</w:t>
      </w:r>
    </w:p>
    <w:p w14:paraId="45F03CAB">
      <w:pPr>
        <w:snapToGrid w:val="0"/>
        <w:spacing w:line="360" w:lineRule="auto"/>
        <w:jc w:val="left"/>
        <w:rPr>
          <w:rStyle w:val="43"/>
          <w:rFonts w:ascii="宋体" w:hAnsi="宋体"/>
          <w:b/>
          <w:szCs w:val="21"/>
          <w:highlight w:val="none"/>
          <w:lang w:val="zh-CN"/>
        </w:rPr>
      </w:pPr>
    </w:p>
    <w:p w14:paraId="2A2B305E">
      <w:pPr>
        <w:snapToGrid w:val="0"/>
        <w:spacing w:line="360" w:lineRule="auto"/>
        <w:jc w:val="left"/>
        <w:rPr>
          <w:rStyle w:val="43"/>
          <w:rFonts w:ascii="宋体" w:hAnsi="宋体"/>
          <w:b/>
          <w:szCs w:val="21"/>
          <w:highlight w:val="none"/>
          <w:lang w:val="zh-CN"/>
        </w:rPr>
      </w:pPr>
    </w:p>
    <w:p w14:paraId="5A8E923C">
      <w:pPr>
        <w:snapToGrid w:val="0"/>
        <w:spacing w:line="360" w:lineRule="auto"/>
        <w:jc w:val="left"/>
        <w:rPr>
          <w:rStyle w:val="43"/>
          <w:rFonts w:ascii="宋体" w:hAnsi="宋体"/>
          <w:b/>
          <w:szCs w:val="21"/>
          <w:highlight w:val="none"/>
          <w:lang w:val="zh-CN"/>
        </w:rPr>
      </w:pPr>
    </w:p>
    <w:p w14:paraId="45032698">
      <w:pPr>
        <w:snapToGrid w:val="0"/>
        <w:spacing w:line="360" w:lineRule="auto"/>
        <w:jc w:val="left"/>
        <w:rPr>
          <w:rStyle w:val="43"/>
          <w:rFonts w:ascii="宋体" w:hAnsi="宋体"/>
          <w:b/>
          <w:szCs w:val="21"/>
          <w:highlight w:val="none"/>
          <w:lang w:val="zh-CN"/>
        </w:rPr>
      </w:pPr>
    </w:p>
    <w:p w14:paraId="795D9F44">
      <w:pPr>
        <w:snapToGrid w:val="0"/>
        <w:spacing w:line="360" w:lineRule="auto"/>
        <w:jc w:val="left"/>
        <w:rPr>
          <w:rStyle w:val="43"/>
          <w:rFonts w:ascii="宋体" w:hAnsi="宋体"/>
          <w:b/>
          <w:szCs w:val="21"/>
          <w:highlight w:val="none"/>
          <w:lang w:val="zh-CN"/>
        </w:rPr>
      </w:pPr>
    </w:p>
    <w:p w14:paraId="422BF8D4">
      <w:pPr>
        <w:snapToGrid w:val="0"/>
        <w:spacing w:line="360" w:lineRule="auto"/>
        <w:jc w:val="left"/>
        <w:rPr>
          <w:rStyle w:val="43"/>
          <w:rFonts w:ascii="宋体" w:hAnsi="宋体"/>
          <w:b/>
          <w:szCs w:val="21"/>
          <w:highlight w:val="none"/>
          <w:lang w:val="zh-CN"/>
        </w:rPr>
      </w:pPr>
    </w:p>
    <w:p w14:paraId="2F08D49C">
      <w:pPr>
        <w:rPr>
          <w:rStyle w:val="43"/>
          <w:rFonts w:ascii="宋体" w:hAnsi="宋体"/>
          <w:b/>
          <w:szCs w:val="21"/>
          <w:highlight w:val="none"/>
          <w:lang w:val="zh-CN"/>
        </w:rPr>
      </w:pPr>
      <w:r>
        <w:rPr>
          <w:rStyle w:val="43"/>
          <w:rFonts w:ascii="宋体" w:hAnsi="宋体"/>
          <w:b/>
          <w:szCs w:val="21"/>
          <w:highlight w:val="none"/>
          <w:lang w:val="zh-CN"/>
        </w:rPr>
        <w:br w:type="page"/>
      </w:r>
    </w:p>
    <w:p w14:paraId="3A96934A">
      <w:pPr>
        <w:snapToGrid w:val="0"/>
        <w:spacing w:line="360" w:lineRule="auto"/>
        <w:rPr>
          <w:rStyle w:val="43"/>
          <w:rFonts w:ascii="宋体" w:hAnsi="宋体"/>
          <w:b/>
          <w:sz w:val="28"/>
          <w:szCs w:val="28"/>
          <w:highlight w:val="none"/>
        </w:rPr>
      </w:pPr>
      <w:r>
        <w:rPr>
          <w:rStyle w:val="43"/>
          <w:rFonts w:ascii="宋体" w:hAnsi="宋体"/>
          <w:b/>
          <w:szCs w:val="21"/>
          <w:highlight w:val="none"/>
          <w:lang w:val="zh-CN"/>
        </w:rPr>
        <w:t>附件</w:t>
      </w:r>
      <w:r>
        <w:rPr>
          <w:rStyle w:val="43"/>
          <w:rFonts w:hint="eastAsia" w:ascii="宋体" w:hAnsi="宋体"/>
          <w:b/>
          <w:szCs w:val="21"/>
          <w:highlight w:val="none"/>
        </w:rPr>
        <w:t>四</w:t>
      </w:r>
    </w:p>
    <w:p w14:paraId="4FE99065">
      <w:pPr>
        <w:snapToGrid w:val="0"/>
        <w:spacing w:line="360" w:lineRule="auto"/>
        <w:jc w:val="left"/>
        <w:rPr>
          <w:rStyle w:val="43"/>
          <w:rFonts w:ascii="宋体" w:hAnsi="宋体"/>
          <w:b/>
          <w:szCs w:val="21"/>
          <w:highlight w:val="none"/>
          <w:lang w:val="zh-CN"/>
        </w:rPr>
      </w:pPr>
    </w:p>
    <w:p w14:paraId="7957B374">
      <w:pPr>
        <w:snapToGrid w:val="0"/>
        <w:spacing w:line="360" w:lineRule="auto"/>
        <w:jc w:val="center"/>
        <w:rPr>
          <w:rStyle w:val="43"/>
          <w:rFonts w:ascii="宋体" w:hAnsi="宋体" w:cs="Times New Roman"/>
          <w:b/>
          <w:sz w:val="28"/>
          <w:szCs w:val="28"/>
          <w:highlight w:val="none"/>
          <w:lang w:val="zh-CN"/>
        </w:rPr>
      </w:pPr>
      <w:r>
        <w:rPr>
          <w:rStyle w:val="43"/>
          <w:rFonts w:ascii="宋体" w:hAnsi="宋体" w:cs="Times New Roman"/>
          <w:b/>
          <w:sz w:val="28"/>
          <w:szCs w:val="28"/>
          <w:highlight w:val="none"/>
          <w:lang w:val="zh-CN"/>
        </w:rPr>
        <w:t>基本资格条件承诺函(参考模版)</w:t>
      </w:r>
    </w:p>
    <w:p w14:paraId="74C7064F">
      <w:pPr>
        <w:spacing w:line="296" w:lineRule="auto"/>
        <w:rPr>
          <w:rFonts w:ascii="Arial"/>
          <w:highlight w:val="none"/>
        </w:rPr>
      </w:pPr>
    </w:p>
    <w:p w14:paraId="1EDB74A5">
      <w:pPr>
        <w:spacing w:line="296" w:lineRule="auto"/>
        <w:rPr>
          <w:rFonts w:ascii="Arial"/>
          <w:highlight w:val="none"/>
        </w:rPr>
      </w:pPr>
    </w:p>
    <w:p w14:paraId="4D434A11">
      <w:pPr>
        <w:pStyle w:val="9"/>
        <w:spacing w:before="101" w:line="360" w:lineRule="auto"/>
        <w:ind w:left="153"/>
        <w:jc w:val="left"/>
        <w:rPr>
          <w:rFonts w:ascii="宋体" w:hAnsi="宋体" w:cs="宋体"/>
          <w:sz w:val="21"/>
          <w:szCs w:val="21"/>
          <w:highlight w:val="none"/>
        </w:rPr>
      </w:pPr>
      <w:r>
        <w:rPr>
          <w:rFonts w:hint="eastAsia" w:ascii="宋体" w:hAnsi="宋体" w:cs="宋体"/>
          <w:spacing w:val="9"/>
          <w:position w:val="3"/>
          <w:sz w:val="21"/>
          <w:szCs w:val="21"/>
          <w:highlight w:val="none"/>
        </w:rPr>
        <w:t xml:space="preserve">致 </w:t>
      </w:r>
      <w:r>
        <w:rPr>
          <w:rFonts w:hint="eastAsia" w:ascii="宋体" w:hAnsi="宋体" w:cs="宋体"/>
          <w:position w:val="3"/>
          <w:sz w:val="21"/>
          <w:szCs w:val="21"/>
          <w:highlight w:val="none"/>
          <w:u w:val="single"/>
        </w:rPr>
        <w:t xml:space="preserve">               </w:t>
      </w:r>
      <w:r>
        <w:rPr>
          <w:rFonts w:hint="eastAsia" w:ascii="宋体" w:hAnsi="宋体" w:cs="宋体"/>
          <w:spacing w:val="-21"/>
          <w:position w:val="3"/>
          <w:sz w:val="21"/>
          <w:szCs w:val="21"/>
          <w:highlight w:val="none"/>
        </w:rPr>
        <w:t xml:space="preserve"> </w:t>
      </w:r>
      <w:r>
        <w:rPr>
          <w:rFonts w:hint="eastAsia" w:ascii="宋体" w:hAnsi="宋体" w:cs="宋体"/>
          <w:spacing w:val="9"/>
          <w:sz w:val="21"/>
          <w:szCs w:val="21"/>
          <w:highlight w:val="none"/>
        </w:rPr>
        <w:t>(采购代理机构名称):</w:t>
      </w:r>
    </w:p>
    <w:p w14:paraId="693EB669">
      <w:pPr>
        <w:pStyle w:val="9"/>
        <w:tabs>
          <w:tab w:val="left" w:pos="3252"/>
        </w:tabs>
        <w:spacing w:before="128" w:line="360" w:lineRule="auto"/>
        <w:ind w:left="613"/>
        <w:jc w:val="left"/>
        <w:rPr>
          <w:rFonts w:ascii="宋体" w:hAnsi="宋体" w:cs="宋体"/>
          <w:sz w:val="21"/>
          <w:szCs w:val="21"/>
          <w:highlight w:val="none"/>
        </w:rPr>
      </w:pPr>
      <w:r>
        <w:rPr>
          <w:rFonts w:hint="eastAsia" w:ascii="宋体" w:hAnsi="宋体" w:cs="宋体"/>
          <w:sz w:val="21"/>
          <w:szCs w:val="21"/>
          <w:highlight w:val="none"/>
          <w:u w:val="single"/>
        </w:rPr>
        <w:tab/>
      </w:r>
      <w:r>
        <w:rPr>
          <w:rFonts w:hint="eastAsia" w:ascii="宋体" w:hAnsi="宋体" w:cs="宋体"/>
          <w:spacing w:val="-17"/>
          <w:sz w:val="21"/>
          <w:szCs w:val="21"/>
          <w:highlight w:val="none"/>
        </w:rPr>
        <w:t xml:space="preserve"> </w:t>
      </w:r>
      <w:r>
        <w:rPr>
          <w:rFonts w:hint="eastAsia" w:ascii="宋体" w:hAnsi="宋体" w:cs="宋体"/>
          <w:spacing w:val="3"/>
          <w:sz w:val="21"/>
          <w:szCs w:val="21"/>
          <w:highlight w:val="none"/>
        </w:rPr>
        <w:t>(投标人名称)郑重承诺：</w:t>
      </w:r>
    </w:p>
    <w:p w14:paraId="57977C89">
      <w:pPr>
        <w:pStyle w:val="9"/>
        <w:spacing w:before="142" w:line="360" w:lineRule="auto"/>
        <w:ind w:right="392" w:firstLine="396" w:firstLineChars="200"/>
        <w:jc w:val="left"/>
        <w:rPr>
          <w:rFonts w:ascii="宋体" w:hAnsi="宋体" w:cs="宋体"/>
          <w:sz w:val="21"/>
          <w:szCs w:val="21"/>
          <w:highlight w:val="none"/>
        </w:rPr>
      </w:pPr>
      <w:r>
        <w:rPr>
          <w:rFonts w:hint="eastAsia" w:ascii="宋体" w:hAnsi="宋体" w:cs="宋体"/>
          <w:spacing w:val="-6"/>
          <w:sz w:val="21"/>
          <w:szCs w:val="21"/>
          <w:highlight w:val="none"/>
        </w:rPr>
        <w:t>1.我方具有良好的商业信誉和健全的财务会计制度，具</w:t>
      </w:r>
      <w:r>
        <w:rPr>
          <w:rFonts w:hint="eastAsia" w:ascii="宋体" w:hAnsi="宋体" w:cs="宋体"/>
          <w:spacing w:val="-5"/>
          <w:sz w:val="21"/>
          <w:szCs w:val="21"/>
          <w:highlight w:val="none"/>
        </w:rPr>
        <w:t>有履行合同所必需的设备和专业技术能力，具有依法缴纳税</w:t>
      </w:r>
      <w:r>
        <w:rPr>
          <w:rFonts w:hint="eastAsia" w:ascii="宋体" w:hAnsi="宋体" w:cs="宋体"/>
          <w:spacing w:val="-6"/>
          <w:sz w:val="21"/>
          <w:szCs w:val="21"/>
          <w:highlight w:val="none"/>
        </w:rPr>
        <w:t>收和社会保障金的良好记录，参加本项目采购活动前三年内</w:t>
      </w:r>
      <w:r>
        <w:rPr>
          <w:rFonts w:hint="eastAsia" w:ascii="宋体" w:hAnsi="宋体" w:cs="宋体"/>
          <w:spacing w:val="-10"/>
          <w:sz w:val="21"/>
          <w:szCs w:val="21"/>
          <w:highlight w:val="none"/>
        </w:rPr>
        <w:t>无重大违法活动记录。</w:t>
      </w:r>
    </w:p>
    <w:p w14:paraId="31CA21DE">
      <w:pPr>
        <w:pStyle w:val="9"/>
        <w:spacing w:before="69" w:line="360" w:lineRule="auto"/>
        <w:ind w:right="200" w:firstLine="412" w:firstLineChars="200"/>
        <w:jc w:val="left"/>
        <w:rPr>
          <w:rFonts w:ascii="宋体" w:hAnsi="宋体" w:cs="宋体"/>
          <w:sz w:val="21"/>
          <w:szCs w:val="21"/>
          <w:highlight w:val="none"/>
        </w:rPr>
      </w:pPr>
      <w:r>
        <w:rPr>
          <w:rFonts w:hint="eastAsia" w:ascii="宋体" w:hAnsi="宋体" w:cs="宋体"/>
          <w:spacing w:val="-2"/>
          <w:sz w:val="21"/>
          <w:szCs w:val="21"/>
          <w:highlight w:val="none"/>
        </w:rPr>
        <w:t>2.我方未列入在“信用中国”网站（www.creditchina.gov.cn）中列入失信被执行人和重大税收违法失信主体，也未列入中国政府采购网（www.ccgp.gov.cn）政府采购严重违法失信行为记录名单中被财政部门禁止参加政府采购活动的供应商</w:t>
      </w:r>
      <w:r>
        <w:rPr>
          <w:rFonts w:hint="eastAsia" w:ascii="宋体" w:hAnsi="宋体" w:cs="宋体"/>
          <w:spacing w:val="-6"/>
          <w:sz w:val="21"/>
          <w:szCs w:val="21"/>
          <w:highlight w:val="none"/>
        </w:rPr>
        <w:t>。</w:t>
      </w:r>
    </w:p>
    <w:p w14:paraId="7D70371A">
      <w:pPr>
        <w:pStyle w:val="9"/>
        <w:spacing w:before="47" w:line="360" w:lineRule="auto"/>
        <w:ind w:right="278" w:firstLine="452" w:firstLineChars="200"/>
        <w:jc w:val="left"/>
        <w:rPr>
          <w:rFonts w:ascii="宋体" w:hAnsi="宋体" w:cs="宋体"/>
          <w:sz w:val="21"/>
          <w:szCs w:val="21"/>
          <w:highlight w:val="none"/>
        </w:rPr>
      </w:pPr>
      <w:r>
        <w:rPr>
          <w:rFonts w:hint="eastAsia" w:ascii="宋体" w:hAnsi="宋体" w:cs="宋体"/>
          <w:spacing w:val="8"/>
          <w:sz w:val="21"/>
          <w:szCs w:val="21"/>
          <w:highlight w:val="none"/>
        </w:rPr>
        <w:t>3.我方在采购项目评审(评标)环节结束后，随时接受</w:t>
      </w:r>
      <w:r>
        <w:rPr>
          <w:rFonts w:hint="eastAsia" w:ascii="宋体" w:hAnsi="宋体" w:cs="宋体"/>
          <w:spacing w:val="-12"/>
          <w:sz w:val="21"/>
          <w:szCs w:val="21"/>
          <w:highlight w:val="none"/>
        </w:rPr>
        <w:t>采购人、采购代理机构的检查验证，配合提供相关证明</w:t>
      </w:r>
      <w:r>
        <w:rPr>
          <w:rFonts w:hint="eastAsia" w:ascii="宋体" w:hAnsi="宋体" w:cs="宋体"/>
          <w:spacing w:val="-13"/>
          <w:sz w:val="21"/>
          <w:szCs w:val="21"/>
          <w:highlight w:val="none"/>
        </w:rPr>
        <w:t>材料，</w:t>
      </w:r>
      <w:r>
        <w:rPr>
          <w:rFonts w:hint="eastAsia" w:ascii="宋体" w:hAnsi="宋体" w:cs="宋体"/>
          <w:sz w:val="21"/>
          <w:szCs w:val="21"/>
          <w:highlight w:val="none"/>
        </w:rPr>
        <w:t xml:space="preserve"> </w:t>
      </w:r>
      <w:r>
        <w:rPr>
          <w:rFonts w:hint="eastAsia" w:ascii="宋体" w:hAnsi="宋体" w:cs="宋体"/>
          <w:spacing w:val="-6"/>
          <w:sz w:val="21"/>
          <w:szCs w:val="21"/>
          <w:highlight w:val="none"/>
        </w:rPr>
        <w:t>证明符合《中华人民共和国政府采购法》规定的投标人基本</w:t>
      </w:r>
      <w:r>
        <w:rPr>
          <w:rFonts w:hint="eastAsia" w:ascii="宋体" w:hAnsi="宋体" w:cs="宋体"/>
          <w:spacing w:val="-13"/>
          <w:sz w:val="21"/>
          <w:szCs w:val="21"/>
          <w:highlight w:val="none"/>
        </w:rPr>
        <w:t>资格条件。</w:t>
      </w:r>
    </w:p>
    <w:p w14:paraId="3D214473">
      <w:pPr>
        <w:pStyle w:val="9"/>
        <w:spacing w:before="58" w:line="360" w:lineRule="auto"/>
        <w:ind w:right="3158" w:firstLine="588" w:firstLineChars="300"/>
        <w:jc w:val="left"/>
        <w:rPr>
          <w:rFonts w:ascii="宋体" w:hAnsi="宋体" w:cs="宋体"/>
          <w:spacing w:val="-7"/>
          <w:sz w:val="21"/>
          <w:szCs w:val="21"/>
          <w:highlight w:val="none"/>
        </w:rPr>
      </w:pPr>
      <w:r>
        <w:rPr>
          <w:rFonts w:hint="eastAsia" w:ascii="宋体" w:hAnsi="宋体" w:cs="宋体"/>
          <w:spacing w:val="-7"/>
          <w:sz w:val="21"/>
          <w:szCs w:val="21"/>
          <w:highlight w:val="none"/>
        </w:rPr>
        <w:t>我方对以上承诺负全部法律责任。</w:t>
      </w:r>
    </w:p>
    <w:p w14:paraId="675CCF1D">
      <w:pPr>
        <w:pStyle w:val="9"/>
        <w:spacing w:before="58" w:line="360" w:lineRule="auto"/>
        <w:ind w:right="3158" w:firstLine="630" w:firstLineChars="300"/>
        <w:jc w:val="left"/>
        <w:rPr>
          <w:rFonts w:ascii="宋体" w:hAnsi="宋体" w:cs="宋体"/>
          <w:sz w:val="21"/>
          <w:szCs w:val="21"/>
          <w:highlight w:val="none"/>
        </w:rPr>
      </w:pPr>
      <w:r>
        <w:rPr>
          <w:rFonts w:hint="eastAsia" w:ascii="宋体" w:hAnsi="宋体" w:cs="宋体"/>
          <w:sz w:val="21"/>
          <w:szCs w:val="21"/>
          <w:highlight w:val="none"/>
        </w:rPr>
        <w:t xml:space="preserve"> </w:t>
      </w:r>
      <w:r>
        <w:rPr>
          <w:rFonts w:hint="eastAsia" w:ascii="宋体" w:hAnsi="宋体" w:cs="宋体"/>
          <w:spacing w:val="-10"/>
          <w:sz w:val="21"/>
          <w:szCs w:val="21"/>
          <w:highlight w:val="none"/>
        </w:rPr>
        <w:t>特此承诺。</w:t>
      </w:r>
    </w:p>
    <w:p w14:paraId="7274E84B">
      <w:pPr>
        <w:spacing w:line="480" w:lineRule="auto"/>
        <w:rPr>
          <w:rFonts w:ascii="宋体" w:hAnsi="宋体" w:cs="宋体"/>
          <w:szCs w:val="21"/>
          <w:highlight w:val="none"/>
        </w:rPr>
      </w:pPr>
    </w:p>
    <w:p w14:paraId="58CFEF9F">
      <w:pPr>
        <w:pStyle w:val="9"/>
        <w:spacing w:before="102" w:line="480" w:lineRule="auto"/>
        <w:ind w:left="6053" w:right="365" w:hanging="10"/>
        <w:rPr>
          <w:rFonts w:ascii="宋体" w:hAnsi="宋体" w:cs="宋体"/>
          <w:sz w:val="21"/>
          <w:szCs w:val="21"/>
          <w:highlight w:val="none"/>
        </w:rPr>
      </w:pPr>
      <w:r>
        <w:rPr>
          <w:rFonts w:hint="eastAsia" w:ascii="宋体" w:hAnsi="宋体" w:cs="宋体"/>
          <w:spacing w:val="4"/>
          <w:sz w:val="21"/>
          <w:szCs w:val="21"/>
          <w:highlight w:val="none"/>
        </w:rPr>
        <w:t>(投标人公章)</w:t>
      </w:r>
      <w:r>
        <w:rPr>
          <w:rFonts w:hint="eastAsia" w:ascii="宋体" w:hAnsi="宋体" w:cs="宋体"/>
          <w:sz w:val="21"/>
          <w:szCs w:val="21"/>
          <w:highlight w:val="none"/>
        </w:rPr>
        <w:t xml:space="preserve">  </w:t>
      </w:r>
    </w:p>
    <w:p w14:paraId="7D7E7DF9">
      <w:pPr>
        <w:pStyle w:val="9"/>
        <w:spacing w:before="102" w:line="480" w:lineRule="auto"/>
        <w:ind w:left="6053" w:right="365" w:hanging="10"/>
        <w:rPr>
          <w:rFonts w:ascii="宋体" w:hAnsi="宋体" w:cs="宋体"/>
          <w:sz w:val="21"/>
          <w:szCs w:val="21"/>
          <w:highlight w:val="none"/>
        </w:rPr>
      </w:pPr>
      <w:r>
        <w:rPr>
          <w:rFonts w:hint="eastAsia" w:ascii="宋体" w:hAnsi="宋体" w:cs="宋体"/>
          <w:spacing w:val="-42"/>
          <w:sz w:val="21"/>
          <w:szCs w:val="21"/>
          <w:highlight w:val="none"/>
        </w:rPr>
        <w:t>年</w:t>
      </w:r>
      <w:r>
        <w:rPr>
          <w:rFonts w:hint="eastAsia" w:ascii="宋体" w:hAnsi="宋体" w:cs="宋体"/>
          <w:spacing w:val="4"/>
          <w:sz w:val="21"/>
          <w:szCs w:val="21"/>
          <w:highlight w:val="none"/>
        </w:rPr>
        <w:t xml:space="preserve">     </w:t>
      </w:r>
      <w:r>
        <w:rPr>
          <w:rFonts w:hint="eastAsia" w:ascii="宋体" w:hAnsi="宋体" w:cs="宋体"/>
          <w:spacing w:val="-42"/>
          <w:sz w:val="21"/>
          <w:szCs w:val="21"/>
          <w:highlight w:val="none"/>
        </w:rPr>
        <w:t>月</w:t>
      </w:r>
      <w:r>
        <w:rPr>
          <w:rFonts w:hint="eastAsia" w:ascii="宋体" w:hAnsi="宋体" w:cs="宋体"/>
          <w:spacing w:val="16"/>
          <w:sz w:val="21"/>
          <w:szCs w:val="21"/>
          <w:highlight w:val="none"/>
        </w:rPr>
        <w:t xml:space="preserve">     </w:t>
      </w:r>
      <w:r>
        <w:rPr>
          <w:rFonts w:hint="eastAsia" w:ascii="宋体" w:hAnsi="宋体" w:cs="宋体"/>
          <w:spacing w:val="-42"/>
          <w:sz w:val="21"/>
          <w:szCs w:val="21"/>
          <w:highlight w:val="none"/>
        </w:rPr>
        <w:t>日</w:t>
      </w:r>
    </w:p>
    <w:p w14:paraId="18FD229D">
      <w:pPr>
        <w:snapToGrid w:val="0"/>
        <w:spacing w:line="360" w:lineRule="auto"/>
        <w:jc w:val="left"/>
        <w:rPr>
          <w:rStyle w:val="43"/>
          <w:rFonts w:ascii="宋体" w:hAnsi="宋体"/>
          <w:b/>
          <w:szCs w:val="21"/>
          <w:highlight w:val="none"/>
          <w:lang w:val="zh-CN"/>
        </w:rPr>
      </w:pPr>
    </w:p>
    <w:p w14:paraId="658F7E3D">
      <w:pPr>
        <w:snapToGrid w:val="0"/>
        <w:spacing w:line="360" w:lineRule="auto"/>
        <w:ind w:firstLine="420" w:firstLineChars="200"/>
        <w:jc w:val="center"/>
        <w:rPr>
          <w:rStyle w:val="43"/>
          <w:rFonts w:ascii="宋体" w:hAnsi="宋体"/>
          <w:szCs w:val="21"/>
          <w:highlight w:val="none"/>
          <w:lang w:val="zh-CN"/>
        </w:rPr>
      </w:pPr>
      <w:r>
        <w:rPr>
          <w:rStyle w:val="43"/>
          <w:rFonts w:ascii="宋体" w:hAnsi="宋体"/>
          <w:szCs w:val="21"/>
          <w:highlight w:val="none"/>
          <w:lang w:val="zh-CN"/>
        </w:rPr>
        <w:br w:type="page"/>
      </w:r>
    </w:p>
    <w:p w14:paraId="18390268">
      <w:pPr>
        <w:snapToGrid w:val="0"/>
        <w:spacing w:line="360" w:lineRule="auto"/>
        <w:ind w:firstLine="643" w:firstLineChars="200"/>
        <w:jc w:val="center"/>
        <w:rPr>
          <w:rStyle w:val="43"/>
          <w:rFonts w:ascii="宋体" w:hAnsi="宋体"/>
          <w:b/>
          <w:sz w:val="32"/>
          <w:szCs w:val="32"/>
          <w:highlight w:val="none"/>
        </w:rPr>
      </w:pPr>
      <w:r>
        <w:rPr>
          <w:rStyle w:val="43"/>
          <w:rFonts w:hint="eastAsia" w:ascii="宋体" w:hAnsi="宋体"/>
          <w:b/>
          <w:sz w:val="32"/>
          <w:szCs w:val="32"/>
          <w:highlight w:val="none"/>
        </w:rPr>
        <w:t>九</w:t>
      </w:r>
      <w:r>
        <w:rPr>
          <w:rStyle w:val="43"/>
          <w:rFonts w:ascii="宋体" w:hAnsi="宋体"/>
          <w:b/>
          <w:sz w:val="32"/>
          <w:szCs w:val="32"/>
          <w:highlight w:val="none"/>
        </w:rPr>
        <w:t>、其他资料</w:t>
      </w:r>
    </w:p>
    <w:p w14:paraId="232F235C">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符合政府采购相关政策的投标人可按有关规定提供以下证明材料，否则可不填写本部分内容。</w:t>
      </w:r>
    </w:p>
    <w:p w14:paraId="7C26759E">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1.中小企业声明函（附件一）；</w:t>
      </w:r>
    </w:p>
    <w:p w14:paraId="1C117252">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2.残疾人福利性单位声明函（附件二）；</w:t>
      </w:r>
    </w:p>
    <w:p w14:paraId="6C125A6F">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3.监狱企业证明文件；</w:t>
      </w:r>
    </w:p>
    <w:p w14:paraId="50D8C50D">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4.节能产品和环境标志产品证明材料；</w:t>
      </w:r>
    </w:p>
    <w:p w14:paraId="056609AB">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t>5.其他资料。</w:t>
      </w:r>
    </w:p>
    <w:p w14:paraId="30B33665">
      <w:pPr>
        <w:snapToGrid w:val="0"/>
        <w:spacing w:line="360" w:lineRule="auto"/>
        <w:jc w:val="left"/>
        <w:rPr>
          <w:rStyle w:val="43"/>
          <w:rFonts w:ascii="宋体" w:hAnsi="宋体"/>
          <w:szCs w:val="21"/>
          <w:highlight w:val="none"/>
          <w:lang w:val="zh-CN"/>
        </w:rPr>
      </w:pPr>
    </w:p>
    <w:p w14:paraId="156ACC62">
      <w:pPr>
        <w:snapToGrid w:val="0"/>
        <w:spacing w:line="360" w:lineRule="auto"/>
        <w:jc w:val="left"/>
        <w:rPr>
          <w:rStyle w:val="43"/>
          <w:rFonts w:ascii="宋体" w:hAnsi="宋体"/>
          <w:szCs w:val="21"/>
          <w:highlight w:val="none"/>
          <w:lang w:val="zh-CN"/>
        </w:rPr>
      </w:pPr>
    </w:p>
    <w:p w14:paraId="27190C08">
      <w:pPr>
        <w:snapToGrid w:val="0"/>
        <w:spacing w:line="360" w:lineRule="auto"/>
        <w:jc w:val="left"/>
        <w:rPr>
          <w:rStyle w:val="43"/>
          <w:rFonts w:ascii="宋体" w:hAnsi="宋体"/>
          <w:szCs w:val="21"/>
          <w:highlight w:val="none"/>
          <w:lang w:val="zh-CN"/>
        </w:rPr>
      </w:pPr>
    </w:p>
    <w:p w14:paraId="38CBF203">
      <w:pPr>
        <w:snapToGrid w:val="0"/>
        <w:spacing w:line="360" w:lineRule="auto"/>
        <w:jc w:val="left"/>
        <w:rPr>
          <w:rStyle w:val="43"/>
          <w:rFonts w:ascii="宋体" w:hAnsi="宋体"/>
          <w:szCs w:val="21"/>
          <w:highlight w:val="none"/>
          <w:lang w:val="zh-CN"/>
        </w:rPr>
      </w:pPr>
    </w:p>
    <w:p w14:paraId="2F1AC2B8">
      <w:pPr>
        <w:snapToGrid w:val="0"/>
        <w:spacing w:line="360" w:lineRule="auto"/>
        <w:jc w:val="left"/>
        <w:rPr>
          <w:rStyle w:val="43"/>
          <w:rFonts w:ascii="宋体" w:hAnsi="宋体"/>
          <w:szCs w:val="21"/>
          <w:highlight w:val="none"/>
          <w:lang w:val="zh-CN"/>
        </w:rPr>
      </w:pPr>
    </w:p>
    <w:p w14:paraId="47E47BF6">
      <w:pPr>
        <w:snapToGrid w:val="0"/>
        <w:spacing w:line="360" w:lineRule="auto"/>
        <w:jc w:val="left"/>
        <w:rPr>
          <w:rStyle w:val="43"/>
          <w:rFonts w:ascii="宋体" w:hAnsi="宋体"/>
          <w:szCs w:val="21"/>
          <w:highlight w:val="none"/>
          <w:lang w:val="zh-CN"/>
        </w:rPr>
      </w:pPr>
    </w:p>
    <w:p w14:paraId="7022EB62">
      <w:pPr>
        <w:snapToGrid w:val="0"/>
        <w:spacing w:line="360" w:lineRule="auto"/>
        <w:jc w:val="left"/>
        <w:rPr>
          <w:rStyle w:val="43"/>
          <w:rFonts w:ascii="宋体" w:hAnsi="宋体"/>
          <w:szCs w:val="21"/>
          <w:highlight w:val="none"/>
          <w:lang w:val="zh-CN"/>
        </w:rPr>
      </w:pPr>
    </w:p>
    <w:p w14:paraId="3C6FAF72">
      <w:pPr>
        <w:snapToGrid w:val="0"/>
        <w:spacing w:line="360" w:lineRule="auto"/>
        <w:jc w:val="left"/>
        <w:rPr>
          <w:rStyle w:val="43"/>
          <w:rFonts w:ascii="宋体" w:hAnsi="宋体"/>
          <w:szCs w:val="21"/>
          <w:highlight w:val="none"/>
          <w:lang w:val="zh-CN"/>
        </w:rPr>
      </w:pPr>
    </w:p>
    <w:p w14:paraId="243AA50C">
      <w:pPr>
        <w:snapToGrid w:val="0"/>
        <w:spacing w:line="360" w:lineRule="auto"/>
        <w:jc w:val="left"/>
        <w:rPr>
          <w:rStyle w:val="43"/>
          <w:rFonts w:ascii="宋体" w:hAnsi="宋体"/>
          <w:szCs w:val="21"/>
          <w:highlight w:val="none"/>
          <w:lang w:val="zh-CN"/>
        </w:rPr>
      </w:pPr>
    </w:p>
    <w:p w14:paraId="4E19288F">
      <w:pPr>
        <w:snapToGrid w:val="0"/>
        <w:spacing w:line="360" w:lineRule="auto"/>
        <w:ind w:firstLine="422" w:firstLineChars="200"/>
        <w:jc w:val="left"/>
        <w:rPr>
          <w:rStyle w:val="43"/>
          <w:rFonts w:ascii="宋体" w:hAnsi="宋体"/>
          <w:szCs w:val="21"/>
          <w:highlight w:val="none"/>
          <w:lang w:val="zh-CN"/>
        </w:rPr>
      </w:pPr>
      <w:r>
        <w:rPr>
          <w:rStyle w:val="43"/>
          <w:rFonts w:ascii="宋体" w:hAnsi="宋体"/>
          <w:b/>
          <w:szCs w:val="21"/>
          <w:highlight w:val="none"/>
          <w:lang w:val="zh-CN"/>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43"/>
          <w:rFonts w:ascii="宋体" w:hAnsi="宋体"/>
          <w:szCs w:val="21"/>
          <w:highlight w:val="none"/>
          <w:lang w:val="zh-CN"/>
        </w:rPr>
        <w:t>。</w:t>
      </w:r>
    </w:p>
    <w:p w14:paraId="67B372E3">
      <w:pPr>
        <w:snapToGrid w:val="0"/>
        <w:spacing w:line="360" w:lineRule="auto"/>
        <w:jc w:val="left"/>
        <w:rPr>
          <w:rStyle w:val="43"/>
          <w:rFonts w:ascii="宋体" w:hAnsi="宋体"/>
          <w:szCs w:val="21"/>
          <w:highlight w:val="none"/>
          <w:lang w:val="zh-CN"/>
        </w:rPr>
      </w:pPr>
      <w:r>
        <w:rPr>
          <w:rStyle w:val="43"/>
          <w:rFonts w:ascii="宋体" w:hAnsi="宋体"/>
          <w:szCs w:val="21"/>
          <w:highlight w:val="none"/>
          <w:lang w:val="zh-CN"/>
        </w:rPr>
        <w:br w:type="page"/>
      </w:r>
    </w:p>
    <w:p w14:paraId="14D0CC21">
      <w:pPr>
        <w:snapToGrid w:val="0"/>
        <w:spacing w:line="360" w:lineRule="auto"/>
        <w:jc w:val="left"/>
        <w:rPr>
          <w:rStyle w:val="43"/>
          <w:rFonts w:ascii="宋体" w:hAnsi="宋体"/>
          <w:b/>
          <w:szCs w:val="21"/>
          <w:highlight w:val="none"/>
          <w:lang w:val="zh-CN"/>
        </w:rPr>
      </w:pPr>
      <w:r>
        <w:rPr>
          <w:rStyle w:val="43"/>
          <w:rFonts w:ascii="宋体" w:hAnsi="宋体"/>
          <w:b/>
          <w:szCs w:val="21"/>
          <w:highlight w:val="none"/>
          <w:lang w:val="zh-CN"/>
        </w:rPr>
        <w:t>附件一</w:t>
      </w:r>
    </w:p>
    <w:p w14:paraId="564175A3">
      <w:pPr>
        <w:snapToGrid w:val="0"/>
        <w:spacing w:line="360" w:lineRule="auto"/>
        <w:jc w:val="center"/>
        <w:rPr>
          <w:rStyle w:val="43"/>
          <w:rFonts w:ascii="宋体" w:hAnsi="宋体"/>
          <w:b/>
          <w:sz w:val="28"/>
          <w:szCs w:val="28"/>
          <w:highlight w:val="none"/>
          <w:lang w:val="zh-CN"/>
        </w:rPr>
      </w:pPr>
    </w:p>
    <w:p w14:paraId="785958A9">
      <w:pPr>
        <w:snapToGrid w:val="0"/>
        <w:spacing w:line="360" w:lineRule="auto"/>
        <w:jc w:val="center"/>
        <w:rPr>
          <w:rStyle w:val="43"/>
          <w:highlight w:val="none"/>
        </w:rPr>
      </w:pPr>
      <w:r>
        <w:rPr>
          <w:rStyle w:val="43"/>
          <w:rFonts w:ascii="宋体" w:hAnsi="宋体"/>
          <w:b/>
          <w:sz w:val="28"/>
          <w:szCs w:val="28"/>
          <w:highlight w:val="none"/>
          <w:lang w:val="zh-CN"/>
        </w:rPr>
        <w:t>中小企业声明函</w:t>
      </w:r>
    </w:p>
    <w:p w14:paraId="18274B2A">
      <w:pPr>
        <w:snapToGrid w:val="0"/>
        <w:spacing w:line="360" w:lineRule="auto"/>
        <w:ind w:firstLine="420" w:firstLineChars="200"/>
        <w:jc w:val="left"/>
        <w:rPr>
          <w:rStyle w:val="43"/>
          <w:rFonts w:ascii="宋体" w:hAnsi="宋体"/>
          <w:szCs w:val="21"/>
          <w:highlight w:val="none"/>
          <w:lang w:val="zh-CN"/>
        </w:rPr>
      </w:pPr>
    </w:p>
    <w:p w14:paraId="3C47824D">
      <w:pPr>
        <w:spacing w:line="360" w:lineRule="auto"/>
        <w:ind w:firstLine="415" w:firstLineChars="198"/>
        <w:rPr>
          <w:rFonts w:ascii="宋体" w:hAnsi="宋体" w:cs="宋体"/>
          <w:szCs w:val="21"/>
          <w:highlight w:val="none"/>
        </w:rPr>
      </w:pPr>
      <w:r>
        <w:rPr>
          <w:rStyle w:val="43"/>
          <w:rFonts w:hint="eastAsia" w:ascii="宋体" w:hAnsi="宋体" w:cs="Times New Roman"/>
          <w:szCs w:val="21"/>
          <w:highlight w:val="none"/>
          <w:lang w:val="zh-CN"/>
        </w:rPr>
        <w:t>本公司(联合体)郑重声明，根据《政府采购促进中小企业发展管理办法》(财库〔2020〕46号)的规定，本公司 (联合体)参加</w:t>
      </w:r>
      <w:r>
        <w:rPr>
          <w:rStyle w:val="43"/>
          <w:rFonts w:hint="eastAsia" w:ascii="宋体" w:hAnsi="宋体" w:cs="Times New Roman"/>
          <w:szCs w:val="21"/>
          <w:highlight w:val="none"/>
        </w:rPr>
        <w:t xml:space="preserve"> </w:t>
      </w:r>
      <w:r>
        <w:rPr>
          <w:rStyle w:val="43"/>
          <w:rFonts w:hint="eastAsia" w:ascii="宋体" w:hAnsi="宋体" w:cs="Times New Roman"/>
          <w:b/>
          <w:bCs/>
          <w:szCs w:val="21"/>
          <w:highlight w:val="none"/>
          <w:u w:val="thick"/>
        </w:rPr>
        <w:t>西安市公安局高新分局</w:t>
      </w:r>
      <w:r>
        <w:rPr>
          <w:rStyle w:val="43"/>
          <w:rFonts w:ascii="宋体" w:hAnsi="宋体"/>
          <w:b/>
          <w:bCs/>
          <w:szCs w:val="21"/>
          <w:highlight w:val="none"/>
          <w:u w:val="thick"/>
          <w:lang w:val="zh-CN"/>
        </w:rPr>
        <w:t xml:space="preserve"> </w:t>
      </w:r>
      <w:r>
        <w:rPr>
          <w:rStyle w:val="43"/>
          <w:rFonts w:ascii="宋体" w:hAnsi="宋体"/>
          <w:szCs w:val="21"/>
          <w:highlight w:val="none"/>
          <w:lang w:val="zh-CN"/>
        </w:rPr>
        <w:t>的</w:t>
      </w:r>
      <w:r>
        <w:rPr>
          <w:rStyle w:val="43"/>
          <w:rFonts w:ascii="宋体" w:hAnsi="宋体"/>
          <w:szCs w:val="21"/>
          <w:highlight w:val="none"/>
        </w:rPr>
        <w:t xml:space="preserve"> </w:t>
      </w:r>
      <w:r>
        <w:rPr>
          <w:rStyle w:val="43"/>
          <w:rFonts w:ascii="宋体" w:hAnsi="宋体" w:cs="Times New Roman"/>
          <w:szCs w:val="21"/>
          <w:highlight w:val="none"/>
          <w:u w:val="thick"/>
        </w:rPr>
        <w:t xml:space="preserve"> </w:t>
      </w:r>
      <w:r>
        <w:rPr>
          <w:rStyle w:val="43"/>
          <w:rFonts w:hint="eastAsia" w:ascii="宋体" w:hAnsi="宋体" w:cs="Times New Roman"/>
          <w:b/>
          <w:bCs/>
          <w:szCs w:val="21"/>
          <w:highlight w:val="none"/>
          <w:u w:val="thick"/>
        </w:rPr>
        <w:t>西安市公安局高新分局执法办案管理中心升级改造项目</w:t>
      </w:r>
      <w:r>
        <w:rPr>
          <w:rStyle w:val="43"/>
          <w:rFonts w:hint="eastAsia" w:ascii="宋体" w:hAnsi="宋体" w:cs="Times New Roman"/>
          <w:b/>
          <w:bCs/>
          <w:szCs w:val="21"/>
          <w:highlight w:val="none"/>
          <w:u w:val="single" w:color="000000"/>
        </w:rPr>
        <w:t xml:space="preserve"> </w:t>
      </w:r>
      <w:r>
        <w:rPr>
          <w:rStyle w:val="43"/>
          <w:rFonts w:hint="eastAsia" w:ascii="宋体" w:hAnsi="宋体" w:cs="Times New Roman"/>
          <w:szCs w:val="21"/>
          <w:highlight w:val="none"/>
        </w:rPr>
        <w:t>采购活动</w:t>
      </w:r>
      <w:r>
        <w:rPr>
          <w:rStyle w:val="43"/>
          <w:rFonts w:ascii="宋体" w:hAnsi="宋体"/>
          <w:szCs w:val="21"/>
          <w:highlight w:val="none"/>
          <w:lang w:val="zh-CN"/>
        </w:rPr>
        <w:t>，</w:t>
      </w:r>
      <w:r>
        <w:rPr>
          <w:rFonts w:ascii="宋体" w:hAnsi="宋体"/>
          <w:szCs w:val="21"/>
          <w:highlight w:val="none"/>
        </w:rPr>
        <w:t>工程的施工单位全部为符合政策要求的中小企业</w:t>
      </w:r>
      <w:r>
        <w:rPr>
          <w:rFonts w:hint="eastAsia" w:ascii="宋体" w:hAnsi="宋体" w:cs="宋体"/>
          <w:szCs w:val="21"/>
          <w:highlight w:val="none"/>
        </w:rPr>
        <w:t>。相关企业(含联合 体中的中小企业、签订分包意向协议的中小企业)的具体情况如下:</w:t>
      </w:r>
    </w:p>
    <w:p w14:paraId="0BCE4CB0">
      <w:pPr>
        <w:spacing w:line="360" w:lineRule="auto"/>
        <w:ind w:firstLine="205" w:firstLineChars="98"/>
        <w:rPr>
          <w:rFonts w:ascii="宋体" w:hAnsi="宋体" w:cs="宋体"/>
          <w:b/>
          <w:bCs/>
          <w:szCs w:val="21"/>
          <w:highlight w:val="none"/>
        </w:rPr>
      </w:pPr>
      <w:r>
        <w:rPr>
          <w:rFonts w:hint="eastAsia" w:ascii="宋体" w:hAnsi="宋体" w:cs="宋体"/>
          <w:szCs w:val="21"/>
          <w:highlight w:val="none"/>
        </w:rPr>
        <w:t xml:space="preserve">1. </w:t>
      </w:r>
      <w:r>
        <w:rPr>
          <w:rStyle w:val="43"/>
          <w:rFonts w:hint="eastAsia" w:ascii="宋体" w:hAnsi="宋体" w:cs="Times New Roman"/>
          <w:b/>
          <w:bCs/>
          <w:szCs w:val="21"/>
          <w:highlight w:val="none"/>
          <w:u w:val="thick"/>
        </w:rPr>
        <w:t>西安市公安局高新分局执法办案管理中心升级改造项目</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b/>
          <w:bCs/>
          <w:szCs w:val="21"/>
          <w:highlight w:val="none"/>
          <w:u w:val="single"/>
        </w:rPr>
        <w:t xml:space="preserve">建筑业 </w:t>
      </w:r>
      <w:r>
        <w:rPr>
          <w:rFonts w:hint="eastAsia" w:ascii="宋体" w:hAnsi="宋体" w:cs="宋体"/>
          <w:b/>
          <w:bCs/>
          <w:szCs w:val="21"/>
          <w:highlight w:val="none"/>
        </w:rPr>
        <w:t>;</w:t>
      </w:r>
      <w:r>
        <w:rPr>
          <w:rFonts w:hint="eastAsia" w:ascii="宋体" w:hAnsi="宋体" w:cs="宋体"/>
          <w:szCs w:val="21"/>
          <w:highlight w:val="none"/>
        </w:rPr>
        <w:t xml:space="preserve"> 承建(承接)企业为</w:t>
      </w:r>
      <w:r>
        <w:rPr>
          <w:rFonts w:hint="eastAsia" w:ascii="宋体" w:hAnsi="宋体" w:cs="宋体"/>
          <w:szCs w:val="21"/>
          <w:highlight w:val="none"/>
          <w:u w:val="single"/>
        </w:rPr>
        <w:t xml:space="preserve"> </w:t>
      </w:r>
      <w:r>
        <w:rPr>
          <w:rFonts w:hint="eastAsia" w:ascii="宋体" w:hAnsi="宋体" w:cs="宋体"/>
          <w:b/>
          <w:bCs/>
          <w:szCs w:val="21"/>
          <w:highlight w:val="none"/>
          <w:u w:val="single"/>
        </w:rPr>
        <w:t xml:space="preserve">(企业名称) </w:t>
      </w:r>
      <w:r>
        <w:rPr>
          <w:rFonts w:hint="eastAsia" w:ascii="宋体" w:hAnsi="宋体" w:cs="宋体"/>
          <w:szCs w:val="21"/>
          <w:highlight w:val="none"/>
        </w:rPr>
        <w:t>，从业人员</w:t>
      </w:r>
      <w:r>
        <w:rPr>
          <w:rFonts w:hint="eastAsia" w:ascii="宋体" w:hAnsi="宋体" w:cs="宋体"/>
          <w:szCs w:val="21"/>
          <w:highlight w:val="none"/>
          <w:u w:val="single"/>
        </w:rPr>
        <w:t>   </w:t>
      </w:r>
      <w:r>
        <w:rPr>
          <w:rFonts w:hint="eastAsia" w:ascii="宋体" w:hAnsi="宋体" w:cs="宋体"/>
          <w:szCs w:val="21"/>
          <w:highlight w:val="none"/>
        </w:rPr>
        <w:t>人，营业收入为</w:t>
      </w:r>
      <w:r>
        <w:rPr>
          <w:rFonts w:hint="eastAsia" w:ascii="宋体" w:hAnsi="宋体" w:cs="宋体"/>
          <w:szCs w:val="21"/>
          <w:highlight w:val="none"/>
          <w:u w:val="single"/>
        </w:rPr>
        <w:t>   </w:t>
      </w:r>
      <w:r>
        <w:rPr>
          <w:rFonts w:hint="eastAsia" w:ascii="宋体" w:hAnsi="宋体" w:cs="宋体"/>
          <w:szCs w:val="21"/>
          <w:highlight w:val="none"/>
        </w:rPr>
        <w:t>万元，资产总额为</w:t>
      </w:r>
      <w:r>
        <w:rPr>
          <w:rFonts w:hint="eastAsia" w:ascii="宋体" w:hAnsi="宋体" w:cs="宋体"/>
          <w:szCs w:val="21"/>
          <w:highlight w:val="none"/>
          <w:u w:val="single"/>
        </w:rPr>
        <w:t>   </w:t>
      </w:r>
      <w:r>
        <w:rPr>
          <w:rFonts w:hint="eastAsia" w:ascii="宋体" w:hAnsi="宋体" w:cs="宋体"/>
          <w:szCs w:val="21"/>
          <w:highlight w:val="none"/>
        </w:rPr>
        <w:t>万元，属于(中型企业</w:t>
      </w:r>
      <w:r>
        <w:rPr>
          <w:rFonts w:hint="eastAsia" w:ascii="宋体" w:hAnsi="宋体" w:cs="宋体"/>
          <w:b/>
          <w:bCs/>
          <w:szCs w:val="21"/>
          <w:highlight w:val="none"/>
        </w:rPr>
        <w:t>/</w:t>
      </w:r>
      <w:r>
        <w:rPr>
          <w:rFonts w:hint="eastAsia" w:ascii="宋体" w:hAnsi="宋体" w:cs="宋体"/>
          <w:szCs w:val="21"/>
          <w:highlight w:val="none"/>
        </w:rPr>
        <w:t>小型企业</w:t>
      </w:r>
      <w:r>
        <w:rPr>
          <w:rFonts w:hint="eastAsia" w:ascii="宋体" w:hAnsi="宋体" w:cs="宋体"/>
          <w:b/>
          <w:bCs/>
          <w:szCs w:val="21"/>
          <w:highlight w:val="none"/>
        </w:rPr>
        <w:t>/</w:t>
      </w:r>
      <w:r>
        <w:rPr>
          <w:rFonts w:hint="eastAsia" w:ascii="宋体" w:hAnsi="宋体" w:cs="宋体"/>
          <w:szCs w:val="21"/>
          <w:highlight w:val="none"/>
        </w:rPr>
        <w:t>微型企业)</w:t>
      </w:r>
      <w:r>
        <w:rPr>
          <w:rFonts w:hint="eastAsia" w:ascii="宋体" w:hAnsi="宋体" w:cs="宋体"/>
          <w:b/>
          <w:bCs/>
          <w:szCs w:val="21"/>
          <w:highlight w:val="none"/>
        </w:rPr>
        <w:t>;</w:t>
      </w:r>
    </w:p>
    <w:p w14:paraId="70782C7A">
      <w:pPr>
        <w:spacing w:line="360" w:lineRule="auto"/>
        <w:ind w:firstLine="205" w:firstLineChars="98"/>
        <w:rPr>
          <w:rFonts w:ascii="宋体" w:hAnsi="宋体" w:cs="宋体"/>
          <w:szCs w:val="21"/>
          <w:highlight w:val="none"/>
        </w:rPr>
      </w:pPr>
      <w:r>
        <w:rPr>
          <w:rFonts w:hint="eastAsia" w:ascii="宋体" w:hAnsi="宋体" w:cs="宋体"/>
          <w:szCs w:val="21"/>
          <w:highlight w:val="none"/>
        </w:rPr>
        <w:t xml:space="preserve">2. </w:t>
      </w:r>
      <w:r>
        <w:rPr>
          <w:rFonts w:hint="eastAsia" w:ascii="宋体" w:hAnsi="宋体" w:cs="宋体"/>
          <w:b/>
          <w:bCs/>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b/>
          <w:bCs/>
          <w:szCs w:val="21"/>
          <w:highlight w:val="none"/>
          <w:u w:val="single"/>
        </w:rPr>
        <w:t xml:space="preserve">(采购文件中明确的所属行业) </w:t>
      </w:r>
      <w:r>
        <w:rPr>
          <w:rFonts w:hint="eastAsia" w:ascii="宋体" w:hAnsi="宋体" w:cs="宋体"/>
          <w:szCs w:val="21"/>
          <w:highlight w:val="none"/>
        </w:rPr>
        <w:t>； 承建(承接)企业为</w:t>
      </w:r>
      <w:r>
        <w:rPr>
          <w:rFonts w:hint="eastAsia" w:ascii="宋体" w:hAnsi="宋体" w:cs="宋体"/>
          <w:szCs w:val="21"/>
          <w:highlight w:val="none"/>
          <w:u w:val="single"/>
        </w:rPr>
        <w:t xml:space="preserve"> </w:t>
      </w:r>
      <w:r>
        <w:rPr>
          <w:rFonts w:hint="eastAsia" w:ascii="宋体" w:hAnsi="宋体" w:cs="宋体"/>
          <w:b/>
          <w:bCs/>
          <w:szCs w:val="21"/>
          <w:highlight w:val="none"/>
          <w:u w:val="single"/>
        </w:rPr>
        <w:t xml:space="preserve">(企业名称) </w:t>
      </w:r>
      <w:r>
        <w:rPr>
          <w:rFonts w:hint="eastAsia" w:ascii="宋体" w:hAnsi="宋体" w:cs="宋体"/>
          <w:szCs w:val="21"/>
          <w:highlight w:val="none"/>
        </w:rPr>
        <w:t>，从业人员</w:t>
      </w:r>
      <w:r>
        <w:rPr>
          <w:rFonts w:hint="eastAsia" w:ascii="宋体" w:hAnsi="宋体" w:cs="宋体"/>
          <w:szCs w:val="21"/>
          <w:highlight w:val="none"/>
          <w:u w:val="single"/>
        </w:rPr>
        <w:t>   </w:t>
      </w:r>
      <w:r>
        <w:rPr>
          <w:rFonts w:hint="eastAsia" w:ascii="宋体" w:hAnsi="宋体" w:cs="宋体"/>
          <w:szCs w:val="21"/>
          <w:highlight w:val="none"/>
        </w:rPr>
        <w:t>人，营业收入为</w:t>
      </w:r>
      <w:r>
        <w:rPr>
          <w:rFonts w:hint="eastAsia" w:ascii="宋体" w:hAnsi="宋体" w:cs="宋体"/>
          <w:szCs w:val="21"/>
          <w:highlight w:val="none"/>
          <w:u w:val="single"/>
        </w:rPr>
        <w:t>   </w:t>
      </w:r>
      <w:r>
        <w:rPr>
          <w:rFonts w:hint="eastAsia" w:ascii="宋体" w:hAnsi="宋体" w:cs="宋体"/>
          <w:szCs w:val="21"/>
          <w:highlight w:val="none"/>
        </w:rPr>
        <w:t>万元，资产总额为</w:t>
      </w:r>
      <w:r>
        <w:rPr>
          <w:rFonts w:hint="eastAsia" w:ascii="宋体" w:hAnsi="宋体" w:cs="宋体"/>
          <w:szCs w:val="21"/>
          <w:highlight w:val="none"/>
          <w:u w:val="single"/>
        </w:rPr>
        <w:t>   </w:t>
      </w:r>
      <w:r>
        <w:rPr>
          <w:rFonts w:hint="eastAsia" w:ascii="宋体" w:hAnsi="宋体" w:cs="宋体"/>
          <w:szCs w:val="21"/>
          <w:highlight w:val="none"/>
        </w:rPr>
        <w:t>万元，属于(中型企业</w:t>
      </w:r>
      <w:r>
        <w:rPr>
          <w:rFonts w:hint="eastAsia" w:ascii="宋体" w:hAnsi="宋体" w:cs="宋体"/>
          <w:b/>
          <w:bCs/>
          <w:szCs w:val="21"/>
          <w:highlight w:val="none"/>
        </w:rPr>
        <w:t>/</w:t>
      </w:r>
      <w:r>
        <w:rPr>
          <w:rFonts w:hint="eastAsia" w:ascii="宋体" w:hAnsi="宋体" w:cs="宋体"/>
          <w:szCs w:val="21"/>
          <w:highlight w:val="none"/>
        </w:rPr>
        <w:t>小型企业</w:t>
      </w:r>
      <w:r>
        <w:rPr>
          <w:rFonts w:hint="eastAsia" w:ascii="宋体" w:hAnsi="宋体" w:cs="宋体"/>
          <w:b/>
          <w:bCs/>
          <w:szCs w:val="21"/>
          <w:highlight w:val="none"/>
        </w:rPr>
        <w:t>/</w:t>
      </w:r>
      <w:r>
        <w:rPr>
          <w:rFonts w:hint="eastAsia" w:ascii="宋体" w:hAnsi="宋体" w:cs="宋体"/>
          <w:szCs w:val="21"/>
          <w:highlight w:val="none"/>
        </w:rPr>
        <w:t>微型企业)</w:t>
      </w:r>
      <w:r>
        <w:rPr>
          <w:rFonts w:hint="eastAsia" w:ascii="宋体" w:hAnsi="宋体" w:cs="宋体"/>
          <w:b/>
          <w:bCs/>
          <w:szCs w:val="21"/>
          <w:highlight w:val="none"/>
        </w:rPr>
        <w:t>;</w:t>
      </w:r>
    </w:p>
    <w:p w14:paraId="08FDC2D1">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以上企业，不属于大企业的分支机构，不存在控股股东为大企业的情形，也不存在与大企业的负责人为同一人的情形。</w:t>
      </w:r>
    </w:p>
    <w:p w14:paraId="5E971DBC">
      <w:pPr>
        <w:snapToGrid w:val="0"/>
        <w:spacing w:line="360" w:lineRule="auto"/>
        <w:ind w:firstLine="420" w:firstLineChars="200"/>
        <w:jc w:val="left"/>
        <w:rPr>
          <w:rStyle w:val="43"/>
          <w:rFonts w:ascii="宋体" w:hAnsi="宋体"/>
          <w:szCs w:val="21"/>
          <w:highlight w:val="none"/>
          <w:lang w:val="zh-CN"/>
        </w:rPr>
      </w:pPr>
      <w:r>
        <w:rPr>
          <w:rStyle w:val="43"/>
          <w:rFonts w:ascii="宋体" w:hAnsi="宋体"/>
          <w:szCs w:val="21"/>
          <w:highlight w:val="none"/>
          <w:lang w:val="zh-CN"/>
        </w:rPr>
        <w:t>本企业对上述声明内容的真实性负责。如有虚假，将依法承担相应责任。</w:t>
      </w:r>
    </w:p>
    <w:p w14:paraId="50926FF0">
      <w:pPr>
        <w:snapToGrid w:val="0"/>
        <w:spacing w:line="360" w:lineRule="auto"/>
        <w:ind w:firstLine="420" w:firstLineChars="200"/>
        <w:jc w:val="left"/>
        <w:rPr>
          <w:rStyle w:val="43"/>
          <w:rFonts w:ascii="宋体" w:hAnsi="宋体"/>
          <w:szCs w:val="21"/>
          <w:highlight w:val="none"/>
          <w:lang w:val="zh-CN"/>
        </w:rPr>
      </w:pPr>
    </w:p>
    <w:p w14:paraId="5B489251">
      <w:pPr>
        <w:snapToGrid w:val="0"/>
        <w:spacing w:line="360" w:lineRule="auto"/>
        <w:ind w:firstLine="420" w:firstLineChars="200"/>
        <w:jc w:val="left"/>
        <w:rPr>
          <w:rStyle w:val="43"/>
          <w:rFonts w:ascii="宋体" w:hAnsi="宋体"/>
          <w:szCs w:val="21"/>
          <w:highlight w:val="none"/>
          <w:lang w:val="zh-CN"/>
        </w:rPr>
      </w:pPr>
    </w:p>
    <w:p w14:paraId="3D2E9860">
      <w:pPr>
        <w:snapToGrid w:val="0"/>
        <w:spacing w:line="360" w:lineRule="auto"/>
        <w:ind w:firstLine="4725" w:firstLineChars="2250"/>
        <w:jc w:val="left"/>
        <w:rPr>
          <w:rStyle w:val="43"/>
          <w:rFonts w:ascii="宋体" w:hAnsi="宋体"/>
          <w:szCs w:val="21"/>
          <w:highlight w:val="none"/>
          <w:lang w:val="zh-CN"/>
        </w:rPr>
      </w:pPr>
      <w:r>
        <w:rPr>
          <w:rStyle w:val="43"/>
          <w:rFonts w:ascii="宋体" w:hAnsi="宋体"/>
          <w:szCs w:val="21"/>
          <w:highlight w:val="none"/>
          <w:lang w:val="zh-CN"/>
        </w:rPr>
        <w:t>企业名称（盖章）：</w:t>
      </w:r>
    </w:p>
    <w:p w14:paraId="3EC6D183">
      <w:pPr>
        <w:snapToGrid w:val="0"/>
        <w:spacing w:line="360" w:lineRule="auto"/>
        <w:ind w:firstLine="4725" w:firstLineChars="2250"/>
        <w:jc w:val="left"/>
        <w:rPr>
          <w:rStyle w:val="43"/>
          <w:rFonts w:ascii="宋体" w:hAnsi="宋体"/>
          <w:szCs w:val="21"/>
          <w:highlight w:val="none"/>
          <w:lang w:val="zh-CN"/>
        </w:rPr>
      </w:pPr>
      <w:r>
        <w:rPr>
          <w:rStyle w:val="43"/>
          <w:rFonts w:ascii="宋体" w:hAnsi="宋体"/>
          <w:szCs w:val="21"/>
          <w:highlight w:val="none"/>
          <w:lang w:val="zh-CN"/>
        </w:rPr>
        <w:t xml:space="preserve"> </w:t>
      </w:r>
    </w:p>
    <w:p w14:paraId="14E49E02">
      <w:pPr>
        <w:snapToGrid w:val="0"/>
        <w:spacing w:line="360" w:lineRule="auto"/>
        <w:ind w:firstLine="4725" w:firstLineChars="2250"/>
        <w:jc w:val="left"/>
        <w:rPr>
          <w:rStyle w:val="43"/>
          <w:rFonts w:ascii="宋体" w:hAnsi="宋体"/>
          <w:szCs w:val="21"/>
          <w:highlight w:val="none"/>
          <w:lang w:val="zh-CN"/>
        </w:rPr>
      </w:pPr>
      <w:r>
        <w:rPr>
          <w:rStyle w:val="43"/>
          <w:rFonts w:ascii="宋体" w:hAnsi="宋体"/>
          <w:szCs w:val="21"/>
          <w:highlight w:val="none"/>
          <w:lang w:val="zh-CN"/>
        </w:rPr>
        <w:t xml:space="preserve">日  期：                </w:t>
      </w:r>
    </w:p>
    <w:p w14:paraId="064DE95E">
      <w:pPr>
        <w:pStyle w:val="37"/>
        <w:snapToGrid w:val="0"/>
        <w:rPr>
          <w:rStyle w:val="43"/>
          <w:highlight w:val="none"/>
          <w:u w:color="FF0000"/>
          <w:lang w:val="zh-CN"/>
        </w:rPr>
      </w:pPr>
    </w:p>
    <w:p w14:paraId="0975888B">
      <w:pPr>
        <w:pStyle w:val="37"/>
        <w:snapToGrid w:val="0"/>
        <w:rPr>
          <w:rStyle w:val="43"/>
          <w:highlight w:val="none"/>
          <w:u w:color="FF0000"/>
          <w:lang w:val="zh-CN"/>
        </w:rPr>
      </w:pPr>
    </w:p>
    <w:p w14:paraId="3E8529CA">
      <w:pPr>
        <w:snapToGrid w:val="0"/>
        <w:spacing w:line="360" w:lineRule="auto"/>
        <w:ind w:firstLine="205" w:firstLineChars="98"/>
        <w:rPr>
          <w:rStyle w:val="43"/>
          <w:rFonts w:ascii="宋体" w:hAnsi="宋体"/>
          <w:szCs w:val="21"/>
          <w:highlight w:val="none"/>
        </w:rPr>
      </w:pPr>
      <w:r>
        <w:rPr>
          <w:rStyle w:val="43"/>
          <w:rFonts w:ascii="宋体" w:hAnsi="宋体"/>
          <w:szCs w:val="21"/>
          <w:highlight w:val="none"/>
        </w:rPr>
        <w:t>1、从业人员、营业收入、资产总额填报上一年度数据，无上一年度数据的新成立企业可不填报。</w:t>
      </w:r>
    </w:p>
    <w:p w14:paraId="039804A8">
      <w:pPr>
        <w:snapToGrid w:val="0"/>
        <w:spacing w:line="360" w:lineRule="auto"/>
        <w:ind w:firstLine="205" w:firstLineChars="98"/>
        <w:rPr>
          <w:rStyle w:val="43"/>
          <w:rFonts w:ascii="宋体" w:hAnsi="宋体"/>
          <w:szCs w:val="21"/>
          <w:highlight w:val="none"/>
        </w:rPr>
      </w:pPr>
      <w:r>
        <w:rPr>
          <w:rStyle w:val="43"/>
          <w:rFonts w:ascii="宋体" w:hAnsi="宋体"/>
          <w:szCs w:val="21"/>
          <w:highlight w:val="none"/>
        </w:rPr>
        <w:t>2、本公司对上述声明的真实性负责，若有虚假，将依法承担相应责任。</w:t>
      </w:r>
    </w:p>
    <w:p w14:paraId="0C4A0E73">
      <w:pPr>
        <w:pStyle w:val="259"/>
        <w:jc w:val="center"/>
        <w:rPr>
          <w:rStyle w:val="43"/>
          <w:rFonts w:ascii="宋体" w:hAnsi="宋体" w:cs="Times New Roman"/>
          <w:sz w:val="21"/>
          <w:szCs w:val="21"/>
          <w:highlight w:val="none"/>
        </w:rPr>
      </w:pPr>
      <w:r>
        <w:rPr>
          <w:rStyle w:val="43"/>
          <w:rFonts w:ascii="宋体" w:hAnsi="宋体"/>
          <w:sz w:val="21"/>
          <w:szCs w:val="21"/>
          <w:highlight w:val="none"/>
          <w:lang w:val="zh-CN"/>
        </w:rPr>
        <w:br w:type="page"/>
      </w:r>
    </w:p>
    <w:p w14:paraId="606044FF">
      <w:pPr>
        <w:snapToGrid w:val="0"/>
        <w:spacing w:line="360" w:lineRule="auto"/>
        <w:rPr>
          <w:rStyle w:val="43"/>
          <w:rFonts w:ascii="宋体" w:hAnsi="宋体"/>
          <w:b/>
          <w:szCs w:val="21"/>
          <w:highlight w:val="none"/>
          <w:lang w:val="zh-CN"/>
        </w:rPr>
      </w:pPr>
      <w:r>
        <w:rPr>
          <w:rStyle w:val="43"/>
          <w:rFonts w:ascii="宋体" w:hAnsi="宋体"/>
          <w:b/>
          <w:szCs w:val="21"/>
          <w:highlight w:val="none"/>
          <w:lang w:val="zh-CN"/>
        </w:rPr>
        <w:t>附件二</w:t>
      </w:r>
    </w:p>
    <w:p w14:paraId="120AE10E">
      <w:pPr>
        <w:snapToGrid w:val="0"/>
        <w:spacing w:line="360" w:lineRule="auto"/>
        <w:jc w:val="center"/>
        <w:rPr>
          <w:rStyle w:val="43"/>
          <w:rFonts w:ascii="宋体" w:hAnsi="宋体"/>
          <w:szCs w:val="21"/>
          <w:highlight w:val="none"/>
          <w:lang w:val="zh-CN"/>
        </w:rPr>
      </w:pPr>
    </w:p>
    <w:p w14:paraId="275A540D">
      <w:pPr>
        <w:snapToGrid w:val="0"/>
        <w:spacing w:line="360" w:lineRule="auto"/>
        <w:jc w:val="center"/>
        <w:rPr>
          <w:rStyle w:val="43"/>
          <w:rFonts w:ascii="宋体" w:hAnsi="宋体"/>
          <w:b/>
          <w:sz w:val="28"/>
          <w:szCs w:val="28"/>
          <w:highlight w:val="none"/>
          <w:lang w:val="zh-CN"/>
        </w:rPr>
      </w:pPr>
      <w:r>
        <w:rPr>
          <w:rStyle w:val="43"/>
          <w:rFonts w:ascii="宋体" w:hAnsi="宋体"/>
          <w:b/>
          <w:sz w:val="28"/>
          <w:szCs w:val="28"/>
          <w:highlight w:val="none"/>
          <w:lang w:val="zh-CN"/>
        </w:rPr>
        <w:t>残疾人福利性单位声明函</w:t>
      </w:r>
    </w:p>
    <w:p w14:paraId="09C94A05">
      <w:pPr>
        <w:snapToGrid w:val="0"/>
        <w:spacing w:line="360" w:lineRule="auto"/>
        <w:rPr>
          <w:rStyle w:val="43"/>
          <w:rFonts w:ascii="宋体" w:hAnsi="宋体"/>
          <w:szCs w:val="21"/>
          <w:highlight w:val="none"/>
          <w:lang w:val="zh-CN"/>
        </w:rPr>
      </w:pPr>
    </w:p>
    <w:p w14:paraId="063891BD">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ECC0CC">
      <w:pPr>
        <w:snapToGrid w:val="0"/>
        <w:spacing w:line="360" w:lineRule="auto"/>
        <w:ind w:firstLine="420" w:firstLineChars="200"/>
        <w:rPr>
          <w:rStyle w:val="43"/>
          <w:rFonts w:ascii="宋体" w:hAnsi="宋体"/>
          <w:szCs w:val="21"/>
          <w:highlight w:val="none"/>
          <w:lang w:val="zh-CN"/>
        </w:rPr>
      </w:pPr>
      <w:r>
        <w:rPr>
          <w:rStyle w:val="43"/>
          <w:rFonts w:ascii="宋体" w:hAnsi="宋体"/>
          <w:szCs w:val="21"/>
          <w:highlight w:val="none"/>
          <w:lang w:val="zh-CN"/>
        </w:rPr>
        <w:t>本单位对上述声明的真实性负责。如有虚假，将依法承担相应责任。</w:t>
      </w:r>
    </w:p>
    <w:p w14:paraId="1EC81521">
      <w:pPr>
        <w:snapToGrid w:val="0"/>
        <w:spacing w:line="360" w:lineRule="auto"/>
        <w:ind w:firstLine="420" w:firstLineChars="200"/>
        <w:rPr>
          <w:rStyle w:val="43"/>
          <w:rFonts w:ascii="宋体" w:hAnsi="宋体"/>
          <w:szCs w:val="21"/>
          <w:highlight w:val="none"/>
          <w:lang w:val="zh-CN"/>
        </w:rPr>
      </w:pPr>
    </w:p>
    <w:p w14:paraId="5BC1FC70">
      <w:pPr>
        <w:snapToGrid w:val="0"/>
        <w:spacing w:line="360" w:lineRule="auto"/>
        <w:ind w:firstLine="420" w:firstLineChars="200"/>
        <w:rPr>
          <w:rStyle w:val="43"/>
          <w:rFonts w:ascii="宋体" w:hAnsi="宋体"/>
          <w:szCs w:val="21"/>
          <w:highlight w:val="none"/>
          <w:lang w:val="zh-CN"/>
        </w:rPr>
      </w:pPr>
    </w:p>
    <w:p w14:paraId="348AEE58">
      <w:pPr>
        <w:tabs>
          <w:tab w:val="left" w:pos="4860"/>
        </w:tabs>
        <w:snapToGrid w:val="0"/>
        <w:spacing w:line="360" w:lineRule="auto"/>
        <w:ind w:right="1560" w:firstLine="4725" w:firstLineChars="2250"/>
        <w:rPr>
          <w:rStyle w:val="43"/>
          <w:rFonts w:ascii="宋体" w:hAnsi="宋体"/>
          <w:szCs w:val="21"/>
          <w:highlight w:val="none"/>
          <w:lang w:val="zh-CN"/>
        </w:rPr>
      </w:pPr>
      <w:r>
        <w:rPr>
          <w:rStyle w:val="43"/>
          <w:rFonts w:ascii="宋体" w:hAnsi="宋体"/>
          <w:szCs w:val="21"/>
          <w:highlight w:val="none"/>
          <w:lang w:val="zh-CN"/>
        </w:rPr>
        <w:t>单位名称（盖章）：</w:t>
      </w:r>
    </w:p>
    <w:p w14:paraId="04767553">
      <w:pPr>
        <w:tabs>
          <w:tab w:val="left" w:pos="4860"/>
        </w:tabs>
        <w:snapToGrid w:val="0"/>
        <w:spacing w:line="360" w:lineRule="auto"/>
        <w:ind w:right="1560" w:firstLine="4725" w:firstLineChars="2250"/>
        <w:rPr>
          <w:rStyle w:val="43"/>
          <w:rFonts w:ascii="宋体" w:hAnsi="宋体"/>
          <w:szCs w:val="21"/>
          <w:highlight w:val="none"/>
          <w:lang w:val="zh-CN"/>
        </w:rPr>
      </w:pPr>
      <w:r>
        <w:rPr>
          <w:rStyle w:val="43"/>
          <w:rFonts w:ascii="宋体" w:hAnsi="宋体"/>
          <w:szCs w:val="21"/>
          <w:highlight w:val="none"/>
          <w:lang w:val="zh-CN"/>
        </w:rPr>
        <w:t>日  期：</w:t>
      </w:r>
    </w:p>
    <w:p w14:paraId="4B8918DA">
      <w:pPr>
        <w:snapToGrid w:val="0"/>
        <w:spacing w:line="360" w:lineRule="auto"/>
        <w:jc w:val="left"/>
        <w:rPr>
          <w:rStyle w:val="43"/>
          <w:rFonts w:ascii="宋体" w:hAnsi="宋体"/>
          <w:szCs w:val="21"/>
          <w:highlight w:val="none"/>
          <w:lang w:val="zh-CN"/>
        </w:rPr>
      </w:pPr>
    </w:p>
    <w:p w14:paraId="3C572032">
      <w:pPr>
        <w:pStyle w:val="37"/>
        <w:snapToGrid w:val="0"/>
        <w:rPr>
          <w:rStyle w:val="43"/>
          <w:rFonts w:ascii="宋体" w:hAnsi="宋体"/>
          <w:szCs w:val="21"/>
          <w:highlight w:val="none"/>
          <w:u w:color="FF0000"/>
          <w:lang w:val="zh-CN"/>
        </w:rPr>
      </w:pPr>
    </w:p>
    <w:p w14:paraId="23BC6948">
      <w:pPr>
        <w:snapToGrid w:val="0"/>
        <w:rPr>
          <w:rStyle w:val="43"/>
          <w:rFonts w:ascii="宋体" w:hAnsi="宋体"/>
          <w:szCs w:val="21"/>
          <w:highlight w:val="none"/>
          <w:lang w:val="zh-CN"/>
        </w:rPr>
      </w:pPr>
    </w:p>
    <w:p w14:paraId="57434EA7">
      <w:pPr>
        <w:pStyle w:val="37"/>
        <w:snapToGrid w:val="0"/>
        <w:rPr>
          <w:rStyle w:val="43"/>
          <w:rFonts w:ascii="宋体" w:hAnsi="宋体"/>
          <w:szCs w:val="21"/>
          <w:highlight w:val="none"/>
          <w:u w:color="FF0000"/>
          <w:lang w:val="zh-CN"/>
        </w:rPr>
      </w:pPr>
    </w:p>
    <w:p w14:paraId="6DD742BA">
      <w:pPr>
        <w:snapToGrid w:val="0"/>
        <w:rPr>
          <w:rStyle w:val="43"/>
          <w:rFonts w:ascii="宋体" w:hAnsi="宋体"/>
          <w:szCs w:val="21"/>
          <w:highlight w:val="none"/>
          <w:lang w:val="zh-CN"/>
        </w:rPr>
      </w:pPr>
    </w:p>
    <w:p w14:paraId="3BE0A218">
      <w:pPr>
        <w:pStyle w:val="37"/>
        <w:snapToGrid w:val="0"/>
        <w:rPr>
          <w:rStyle w:val="43"/>
          <w:rFonts w:ascii="宋体" w:hAnsi="宋体"/>
          <w:szCs w:val="21"/>
          <w:highlight w:val="none"/>
          <w:u w:color="FF0000"/>
          <w:lang w:val="zh-CN"/>
        </w:rPr>
      </w:pPr>
    </w:p>
    <w:p w14:paraId="061B617E">
      <w:pPr>
        <w:snapToGrid w:val="0"/>
        <w:rPr>
          <w:rStyle w:val="43"/>
          <w:rFonts w:ascii="宋体" w:hAnsi="宋体"/>
          <w:szCs w:val="21"/>
          <w:highlight w:val="none"/>
          <w:lang w:val="zh-CN"/>
        </w:rPr>
      </w:pPr>
    </w:p>
    <w:p w14:paraId="4BD8202B">
      <w:pPr>
        <w:pStyle w:val="37"/>
        <w:snapToGrid w:val="0"/>
        <w:rPr>
          <w:rStyle w:val="43"/>
          <w:rFonts w:ascii="宋体" w:hAnsi="宋体"/>
          <w:szCs w:val="21"/>
          <w:highlight w:val="none"/>
          <w:u w:color="FF0000"/>
          <w:lang w:val="zh-CN"/>
        </w:rPr>
      </w:pPr>
    </w:p>
    <w:p w14:paraId="6B1FBA1D">
      <w:pPr>
        <w:snapToGrid w:val="0"/>
        <w:rPr>
          <w:rStyle w:val="43"/>
          <w:rFonts w:ascii="宋体" w:hAnsi="宋体"/>
          <w:szCs w:val="21"/>
          <w:highlight w:val="none"/>
          <w:lang w:val="zh-CN"/>
        </w:rPr>
      </w:pPr>
    </w:p>
    <w:p w14:paraId="437443AB">
      <w:pPr>
        <w:pStyle w:val="37"/>
        <w:snapToGrid w:val="0"/>
        <w:rPr>
          <w:rStyle w:val="43"/>
          <w:rFonts w:ascii="宋体" w:hAnsi="宋体"/>
          <w:szCs w:val="21"/>
          <w:highlight w:val="none"/>
          <w:u w:color="FF0000"/>
          <w:lang w:val="zh-CN"/>
        </w:rPr>
      </w:pPr>
    </w:p>
    <w:p w14:paraId="1B44D7EC">
      <w:pPr>
        <w:snapToGrid w:val="0"/>
        <w:rPr>
          <w:rStyle w:val="43"/>
          <w:rFonts w:ascii="宋体" w:hAnsi="宋体"/>
          <w:szCs w:val="21"/>
          <w:highlight w:val="none"/>
          <w:lang w:val="zh-CN"/>
        </w:rPr>
      </w:pPr>
    </w:p>
    <w:p w14:paraId="1C949FB8">
      <w:pPr>
        <w:pStyle w:val="37"/>
        <w:snapToGrid w:val="0"/>
        <w:rPr>
          <w:rStyle w:val="43"/>
          <w:rFonts w:ascii="宋体" w:hAnsi="宋体"/>
          <w:szCs w:val="21"/>
          <w:highlight w:val="none"/>
          <w:u w:color="FF0000"/>
          <w:lang w:val="zh-CN"/>
        </w:rPr>
      </w:pPr>
    </w:p>
    <w:p w14:paraId="25BB5E1F">
      <w:pPr>
        <w:snapToGrid w:val="0"/>
        <w:rPr>
          <w:rStyle w:val="43"/>
          <w:rFonts w:ascii="宋体" w:hAnsi="宋体"/>
          <w:szCs w:val="21"/>
          <w:highlight w:val="none"/>
          <w:lang w:val="zh-CN"/>
        </w:rPr>
      </w:pPr>
    </w:p>
    <w:p w14:paraId="6C4193EC">
      <w:pPr>
        <w:pStyle w:val="37"/>
        <w:snapToGrid w:val="0"/>
        <w:rPr>
          <w:rStyle w:val="43"/>
          <w:rFonts w:ascii="宋体" w:hAnsi="宋体"/>
          <w:szCs w:val="21"/>
          <w:highlight w:val="none"/>
          <w:u w:color="FF0000"/>
          <w:lang w:val="zh-CN"/>
        </w:rPr>
      </w:pPr>
    </w:p>
    <w:p w14:paraId="540D7F05">
      <w:pPr>
        <w:snapToGrid w:val="0"/>
        <w:rPr>
          <w:rStyle w:val="43"/>
          <w:rFonts w:ascii="宋体" w:hAnsi="宋体"/>
          <w:szCs w:val="21"/>
          <w:highlight w:val="none"/>
          <w:lang w:val="zh-CN"/>
        </w:rPr>
      </w:pPr>
    </w:p>
    <w:p w14:paraId="0884271C">
      <w:pPr>
        <w:pStyle w:val="37"/>
        <w:snapToGrid w:val="0"/>
        <w:rPr>
          <w:rStyle w:val="43"/>
          <w:rFonts w:ascii="宋体" w:hAnsi="宋体"/>
          <w:szCs w:val="21"/>
          <w:highlight w:val="none"/>
          <w:u w:color="FF0000"/>
          <w:lang w:val="zh-CN"/>
        </w:rPr>
      </w:pPr>
    </w:p>
    <w:p w14:paraId="18D96E85">
      <w:pPr>
        <w:snapToGrid w:val="0"/>
        <w:rPr>
          <w:rStyle w:val="43"/>
          <w:rFonts w:ascii="宋体" w:hAnsi="宋体"/>
          <w:szCs w:val="21"/>
          <w:highlight w:val="none"/>
          <w:lang w:val="zh-CN"/>
        </w:rPr>
      </w:pPr>
    </w:p>
    <w:p w14:paraId="4EEAF88E">
      <w:pPr>
        <w:pStyle w:val="37"/>
        <w:snapToGrid w:val="0"/>
        <w:rPr>
          <w:rStyle w:val="43"/>
          <w:rFonts w:ascii="宋体" w:hAnsi="宋体"/>
          <w:szCs w:val="21"/>
          <w:highlight w:val="none"/>
          <w:u w:color="FF0000"/>
          <w:lang w:val="zh-CN"/>
        </w:rPr>
      </w:pPr>
    </w:p>
    <w:p w14:paraId="2A952357">
      <w:pPr>
        <w:snapToGrid w:val="0"/>
        <w:rPr>
          <w:rStyle w:val="43"/>
          <w:rFonts w:ascii="宋体" w:hAnsi="宋体"/>
          <w:szCs w:val="21"/>
          <w:highlight w:val="none"/>
          <w:lang w:val="zh-CN"/>
        </w:rPr>
      </w:pPr>
    </w:p>
    <w:p w14:paraId="4D667CC9">
      <w:pPr>
        <w:pStyle w:val="37"/>
        <w:snapToGrid w:val="0"/>
        <w:rPr>
          <w:rStyle w:val="43"/>
          <w:rFonts w:ascii="宋体" w:hAnsi="宋体"/>
          <w:szCs w:val="21"/>
          <w:highlight w:val="none"/>
          <w:u w:color="FF0000"/>
          <w:lang w:val="zh-CN"/>
        </w:rPr>
      </w:pPr>
    </w:p>
    <w:p w14:paraId="2A3DC79B">
      <w:pPr>
        <w:snapToGrid w:val="0"/>
        <w:rPr>
          <w:rStyle w:val="43"/>
          <w:rFonts w:ascii="宋体" w:hAnsi="宋体"/>
          <w:szCs w:val="21"/>
          <w:highlight w:val="none"/>
          <w:lang w:val="zh-CN"/>
        </w:rPr>
      </w:pPr>
    </w:p>
    <w:p w14:paraId="74BD61F0">
      <w:pPr>
        <w:pStyle w:val="37"/>
        <w:snapToGrid w:val="0"/>
        <w:rPr>
          <w:rStyle w:val="43"/>
          <w:rFonts w:ascii="宋体" w:hAnsi="宋体"/>
          <w:szCs w:val="21"/>
          <w:highlight w:val="none"/>
          <w:u w:color="FF0000"/>
          <w:lang w:val="zh-CN"/>
        </w:rPr>
      </w:pPr>
    </w:p>
    <w:p w14:paraId="0995B64C">
      <w:pPr>
        <w:snapToGrid w:val="0"/>
        <w:rPr>
          <w:rStyle w:val="43"/>
          <w:rFonts w:ascii="宋体" w:hAnsi="宋体"/>
          <w:szCs w:val="21"/>
          <w:highlight w:val="none"/>
          <w:lang w:val="zh-CN"/>
        </w:rPr>
      </w:pPr>
    </w:p>
    <w:p w14:paraId="2DCD5336">
      <w:pPr>
        <w:pStyle w:val="37"/>
        <w:snapToGrid w:val="0"/>
        <w:rPr>
          <w:rStyle w:val="43"/>
          <w:rFonts w:ascii="宋体" w:hAnsi="宋体"/>
          <w:szCs w:val="21"/>
          <w:highlight w:val="none"/>
          <w:u w:color="FF0000"/>
          <w:lang w:val="zh-CN"/>
        </w:rPr>
      </w:pPr>
    </w:p>
    <w:p w14:paraId="2B836485">
      <w:pPr>
        <w:snapToGrid w:val="0"/>
        <w:rPr>
          <w:rStyle w:val="43"/>
          <w:rFonts w:ascii="宋体" w:hAnsi="宋体"/>
          <w:szCs w:val="21"/>
          <w:highlight w:val="none"/>
          <w:lang w:val="zh-CN"/>
        </w:rPr>
      </w:pPr>
    </w:p>
    <w:p w14:paraId="16DCB6C1">
      <w:pPr>
        <w:snapToGrid w:val="0"/>
        <w:spacing w:before="117" w:line="219" w:lineRule="auto"/>
        <w:ind w:left="56"/>
        <w:rPr>
          <w:rStyle w:val="43"/>
          <w:rFonts w:ascii="宋体" w:hAnsi="宋体"/>
          <w:spacing w:val="-12"/>
          <w:sz w:val="36"/>
          <w:szCs w:val="36"/>
          <w:highlight w:val="none"/>
        </w:rPr>
      </w:pPr>
    </w:p>
    <w:p w14:paraId="763FEB2E">
      <w:pPr>
        <w:snapToGrid w:val="0"/>
        <w:spacing w:before="117" w:line="219" w:lineRule="auto"/>
        <w:ind w:left="56"/>
        <w:rPr>
          <w:rStyle w:val="43"/>
          <w:rFonts w:ascii="宋体" w:hAnsi="宋体"/>
          <w:sz w:val="36"/>
          <w:szCs w:val="36"/>
          <w:highlight w:val="none"/>
        </w:rPr>
      </w:pPr>
      <w:r>
        <w:rPr>
          <w:rStyle w:val="43"/>
          <w:rFonts w:ascii="宋体" w:hAnsi="宋体"/>
          <w:spacing w:val="-12"/>
          <w:sz w:val="36"/>
          <w:szCs w:val="36"/>
          <w:highlight w:val="none"/>
        </w:rPr>
        <w:t>附</w:t>
      </w:r>
      <w:r>
        <w:rPr>
          <w:rStyle w:val="43"/>
          <w:rFonts w:ascii="宋体" w:hAnsi="宋体"/>
          <w:spacing w:val="-10"/>
          <w:sz w:val="36"/>
          <w:szCs w:val="36"/>
          <w:highlight w:val="none"/>
        </w:rPr>
        <w:t>件</w:t>
      </w:r>
    </w:p>
    <w:p w14:paraId="16CF7990">
      <w:pPr>
        <w:snapToGrid w:val="0"/>
        <w:spacing w:line="243" w:lineRule="auto"/>
        <w:rPr>
          <w:rStyle w:val="43"/>
          <w:rFonts w:ascii="Arial"/>
          <w:highlight w:val="none"/>
        </w:rPr>
      </w:pPr>
    </w:p>
    <w:p w14:paraId="7CFB247B">
      <w:pPr>
        <w:snapToGrid w:val="0"/>
        <w:spacing w:line="243" w:lineRule="auto"/>
        <w:rPr>
          <w:rStyle w:val="43"/>
          <w:rFonts w:ascii="Arial"/>
          <w:highlight w:val="none"/>
        </w:rPr>
      </w:pPr>
    </w:p>
    <w:p w14:paraId="41BD755A">
      <w:pPr>
        <w:snapToGrid w:val="0"/>
        <w:spacing w:line="243" w:lineRule="auto"/>
        <w:rPr>
          <w:rStyle w:val="43"/>
          <w:rFonts w:ascii="Arial"/>
          <w:highlight w:val="none"/>
        </w:rPr>
      </w:pPr>
    </w:p>
    <w:p w14:paraId="0EAA6507">
      <w:pPr>
        <w:snapToGrid w:val="0"/>
        <w:spacing w:line="244" w:lineRule="auto"/>
        <w:rPr>
          <w:rStyle w:val="43"/>
          <w:rFonts w:ascii="Arial"/>
          <w:highlight w:val="none"/>
        </w:rPr>
      </w:pPr>
    </w:p>
    <w:p w14:paraId="646F06E9">
      <w:pPr>
        <w:snapToGrid w:val="0"/>
        <w:spacing w:line="244" w:lineRule="auto"/>
        <w:rPr>
          <w:rStyle w:val="43"/>
          <w:rFonts w:ascii="Arial"/>
          <w:highlight w:val="none"/>
        </w:rPr>
      </w:pPr>
    </w:p>
    <w:p w14:paraId="64026689">
      <w:pPr>
        <w:snapToGrid w:val="0"/>
        <w:spacing w:before="156" w:line="255" w:lineRule="auto"/>
        <w:ind w:right="559"/>
        <w:jc w:val="center"/>
        <w:rPr>
          <w:rStyle w:val="43"/>
          <w:rFonts w:ascii="宋体" w:hAnsi="宋体"/>
          <w:sz w:val="48"/>
          <w:szCs w:val="48"/>
          <w:highlight w:val="none"/>
        </w:rPr>
      </w:pPr>
      <w:r>
        <w:rPr>
          <w:rStyle w:val="43"/>
          <w:rFonts w:ascii="宋体" w:hAnsi="宋体"/>
          <w:spacing w:val="-1"/>
          <w:sz w:val="48"/>
          <w:szCs w:val="48"/>
          <w:highlight w:val="none"/>
        </w:rPr>
        <w:t>西安公共资源交易</w:t>
      </w:r>
      <w:r>
        <w:rPr>
          <w:rStyle w:val="43"/>
          <w:rFonts w:ascii="宋体" w:hAnsi="宋体"/>
          <w:sz w:val="48"/>
          <w:szCs w:val="48"/>
          <w:highlight w:val="none"/>
        </w:rPr>
        <w:t>不见面开标大厅</w:t>
      </w:r>
    </w:p>
    <w:p w14:paraId="5C4415D2">
      <w:pPr>
        <w:snapToGrid w:val="0"/>
        <w:spacing w:before="156" w:line="255" w:lineRule="auto"/>
        <w:ind w:left="2498" w:right="559" w:hanging="1916"/>
        <w:jc w:val="center"/>
        <w:rPr>
          <w:rStyle w:val="43"/>
          <w:rFonts w:ascii="宋体" w:hAnsi="宋体"/>
          <w:sz w:val="48"/>
          <w:szCs w:val="48"/>
          <w:highlight w:val="none"/>
        </w:rPr>
      </w:pPr>
      <w:r>
        <w:rPr>
          <w:rStyle w:val="43"/>
          <w:rFonts w:ascii="宋体" w:hAnsi="宋体"/>
          <w:spacing w:val="-2"/>
          <w:sz w:val="48"/>
          <w:szCs w:val="48"/>
          <w:highlight w:val="none"/>
        </w:rPr>
        <w:t>投标人</w:t>
      </w:r>
      <w:r>
        <w:rPr>
          <w:rStyle w:val="43"/>
          <w:rFonts w:ascii="宋体" w:hAnsi="宋体"/>
          <w:spacing w:val="-1"/>
          <w:sz w:val="48"/>
          <w:szCs w:val="48"/>
          <w:highlight w:val="none"/>
        </w:rPr>
        <w:t>操作手册</w:t>
      </w:r>
    </w:p>
    <w:p w14:paraId="0948B2BE">
      <w:pPr>
        <w:snapToGrid w:val="0"/>
        <w:rPr>
          <w:rStyle w:val="43"/>
          <w:highlight w:val="none"/>
        </w:rPr>
        <w:sectPr>
          <w:footerReference r:id="rId5" w:type="default"/>
          <w:pgSz w:w="11907" w:h="16839"/>
          <w:pgMar w:top="1440" w:right="1800" w:bottom="1440" w:left="1800" w:header="907" w:footer="794" w:gutter="0"/>
          <w:cols w:space="720" w:num="1"/>
          <w:docGrid w:linePitch="286" w:charSpace="0"/>
        </w:sectPr>
      </w:pPr>
    </w:p>
    <w:p w14:paraId="1513E842">
      <w:pPr>
        <w:snapToGrid w:val="0"/>
        <w:spacing w:line="307" w:lineRule="auto"/>
        <w:rPr>
          <w:rStyle w:val="43"/>
          <w:rFonts w:ascii="Arial"/>
          <w:highlight w:val="none"/>
        </w:rPr>
      </w:pPr>
    </w:p>
    <w:p w14:paraId="02200F6B">
      <w:pPr>
        <w:snapToGrid w:val="0"/>
        <w:spacing w:line="307" w:lineRule="auto"/>
        <w:rPr>
          <w:rStyle w:val="43"/>
          <w:rFonts w:ascii="Arial"/>
          <w:highlight w:val="none"/>
        </w:rPr>
      </w:pPr>
    </w:p>
    <w:p w14:paraId="7B3ECC64">
      <w:pPr>
        <w:snapToGrid w:val="0"/>
        <w:spacing w:before="68" w:line="223" w:lineRule="auto"/>
        <w:ind w:left="3901"/>
        <w:rPr>
          <w:rStyle w:val="43"/>
          <w:rFonts w:ascii="宋体" w:hAnsi="宋体"/>
          <w:szCs w:val="21"/>
          <w:highlight w:val="none"/>
        </w:rPr>
      </w:pPr>
      <w:r>
        <w:rPr>
          <w:rStyle w:val="43"/>
          <w:rFonts w:ascii="宋体" w:hAnsi="宋体"/>
          <w:spacing w:val="-10"/>
          <w:szCs w:val="21"/>
          <w:highlight w:val="none"/>
        </w:rPr>
        <w:t>目</w:t>
      </w:r>
      <w:r>
        <w:rPr>
          <w:rStyle w:val="43"/>
          <w:rFonts w:ascii="宋体" w:hAnsi="宋体"/>
          <w:spacing w:val="-9"/>
          <w:szCs w:val="21"/>
          <w:highlight w:val="none"/>
        </w:rPr>
        <w:t xml:space="preserve">  录</w:t>
      </w:r>
    </w:p>
    <w:p w14:paraId="7B061B2D">
      <w:pPr>
        <w:tabs>
          <w:tab w:val="right" w:leader="dot" w:pos="8322"/>
        </w:tabs>
        <w:snapToGrid w:val="0"/>
        <w:spacing w:before="166" w:line="235" w:lineRule="auto"/>
        <w:ind w:left="31"/>
        <w:rPr>
          <w:rStyle w:val="43"/>
          <w:rFonts w:eastAsia="Times New Roman"/>
          <w:sz w:val="30"/>
          <w:szCs w:val="30"/>
          <w:highlight w:val="none"/>
        </w:rPr>
      </w:pPr>
      <w:r>
        <w:rPr>
          <w:rStyle w:val="43"/>
          <w:rFonts w:ascii="宋体" w:hAnsi="宋体"/>
          <w:spacing w:val="-11"/>
          <w:sz w:val="30"/>
          <w:szCs w:val="30"/>
          <w:highlight w:val="none"/>
        </w:rPr>
        <w:t>一、  系统登陆</w:t>
      </w:r>
      <w:r>
        <w:rPr>
          <w:rStyle w:val="43"/>
          <w:rFonts w:ascii="宋体" w:hAnsi="宋体" w:cs="宋体"/>
          <w:b/>
          <w:bCs/>
          <w:sz w:val="30"/>
          <w:szCs w:val="30"/>
          <w:highlight w:val="none"/>
        </w:rPr>
        <w:tab/>
      </w:r>
      <w:r>
        <w:rPr>
          <w:rStyle w:val="43"/>
          <w:rFonts w:eastAsia="Times New Roman" w:cs="Times New Roman"/>
          <w:b/>
          <w:bCs/>
          <w:spacing w:val="-11"/>
          <w:sz w:val="30"/>
          <w:szCs w:val="30"/>
          <w:highlight w:val="none"/>
        </w:rPr>
        <w:t>-</w:t>
      </w:r>
      <w:r>
        <w:rPr>
          <w:rStyle w:val="43"/>
          <w:rFonts w:eastAsia="Times New Roman"/>
          <w:spacing w:val="-11"/>
          <w:sz w:val="30"/>
          <w:szCs w:val="30"/>
          <w:highlight w:val="none"/>
        </w:rPr>
        <w:t xml:space="preserve"> </w:t>
      </w:r>
      <w:r>
        <w:rPr>
          <w:rStyle w:val="43"/>
          <w:rFonts w:eastAsia="Times New Roman" w:cs="Times New Roman"/>
          <w:b/>
          <w:bCs/>
          <w:spacing w:val="-11"/>
          <w:sz w:val="30"/>
          <w:szCs w:val="30"/>
          <w:highlight w:val="none"/>
        </w:rPr>
        <w:t>1</w:t>
      </w:r>
      <w:r>
        <w:rPr>
          <w:rStyle w:val="43"/>
          <w:rFonts w:eastAsia="Times New Roman"/>
          <w:spacing w:val="-11"/>
          <w:sz w:val="30"/>
          <w:szCs w:val="30"/>
          <w:highlight w:val="none"/>
        </w:rPr>
        <w:t xml:space="preserve"> </w:t>
      </w:r>
      <w:r>
        <w:rPr>
          <w:rStyle w:val="43"/>
          <w:rFonts w:eastAsia="Times New Roman" w:cs="Times New Roman"/>
          <w:b/>
          <w:bCs/>
          <w:spacing w:val="-10"/>
          <w:sz w:val="30"/>
          <w:szCs w:val="30"/>
          <w:highlight w:val="none"/>
        </w:rPr>
        <w:t>-</w:t>
      </w:r>
    </w:p>
    <w:p w14:paraId="2BAAD4A6">
      <w:pPr>
        <w:tabs>
          <w:tab w:val="right" w:leader="dot" w:pos="8322"/>
        </w:tabs>
        <w:snapToGrid w:val="0"/>
        <w:spacing w:before="242" w:line="234" w:lineRule="auto"/>
        <w:ind w:left="31"/>
        <w:rPr>
          <w:rStyle w:val="43"/>
          <w:rFonts w:eastAsia="Times New Roman"/>
          <w:sz w:val="30"/>
          <w:szCs w:val="30"/>
          <w:highlight w:val="none"/>
        </w:rPr>
      </w:pPr>
      <w:r>
        <w:rPr>
          <w:rStyle w:val="43"/>
          <w:rFonts w:ascii="宋体" w:hAnsi="宋体"/>
          <w:spacing w:val="-11"/>
          <w:sz w:val="30"/>
          <w:szCs w:val="30"/>
          <w:highlight w:val="none"/>
        </w:rPr>
        <w:t>二、  开标流程</w:t>
      </w:r>
      <w:r>
        <w:rPr>
          <w:rStyle w:val="43"/>
          <w:rFonts w:ascii="宋体" w:hAnsi="宋体" w:cs="宋体"/>
          <w:b/>
          <w:bCs/>
          <w:sz w:val="30"/>
          <w:szCs w:val="30"/>
          <w:highlight w:val="none"/>
        </w:rPr>
        <w:tab/>
      </w:r>
      <w:r>
        <w:rPr>
          <w:rStyle w:val="43"/>
          <w:rFonts w:eastAsia="Times New Roman" w:cs="Times New Roman"/>
          <w:b/>
          <w:bCs/>
          <w:spacing w:val="-11"/>
          <w:sz w:val="30"/>
          <w:szCs w:val="30"/>
          <w:highlight w:val="none"/>
        </w:rPr>
        <w:t>-</w:t>
      </w:r>
      <w:r>
        <w:rPr>
          <w:rStyle w:val="43"/>
          <w:rFonts w:eastAsia="Times New Roman"/>
          <w:spacing w:val="-11"/>
          <w:sz w:val="30"/>
          <w:szCs w:val="30"/>
          <w:highlight w:val="none"/>
        </w:rPr>
        <w:t xml:space="preserve"> </w:t>
      </w:r>
      <w:r>
        <w:rPr>
          <w:rStyle w:val="43"/>
          <w:rFonts w:eastAsia="Times New Roman" w:cs="Times New Roman"/>
          <w:b/>
          <w:bCs/>
          <w:spacing w:val="-11"/>
          <w:sz w:val="30"/>
          <w:szCs w:val="30"/>
          <w:highlight w:val="none"/>
        </w:rPr>
        <w:t>2</w:t>
      </w:r>
      <w:r>
        <w:rPr>
          <w:rStyle w:val="43"/>
          <w:rFonts w:eastAsia="Times New Roman"/>
          <w:spacing w:val="-11"/>
          <w:sz w:val="30"/>
          <w:szCs w:val="30"/>
          <w:highlight w:val="none"/>
        </w:rPr>
        <w:t xml:space="preserve"> </w:t>
      </w:r>
      <w:r>
        <w:rPr>
          <w:rStyle w:val="43"/>
          <w:rFonts w:eastAsia="Times New Roman" w:cs="Times New Roman"/>
          <w:b/>
          <w:bCs/>
          <w:spacing w:val="-10"/>
          <w:sz w:val="30"/>
          <w:szCs w:val="30"/>
          <w:highlight w:val="none"/>
        </w:rPr>
        <w:t>-</w:t>
      </w:r>
    </w:p>
    <w:p w14:paraId="2F392FE3">
      <w:pPr>
        <w:snapToGrid w:val="0"/>
        <w:spacing w:line="428" w:lineRule="auto"/>
        <w:rPr>
          <w:rStyle w:val="43"/>
          <w:rFonts w:ascii="Arial"/>
          <w:highlight w:val="none"/>
        </w:rPr>
      </w:pPr>
    </w:p>
    <w:p w14:paraId="7CC7FE1B">
      <w:pPr>
        <w:tabs>
          <w:tab w:val="right" w:leader="dot" w:pos="8322"/>
        </w:tabs>
        <w:snapToGrid w:val="0"/>
        <w:spacing w:before="78" w:line="218" w:lineRule="auto"/>
        <w:ind w:left="745"/>
        <w:rPr>
          <w:rStyle w:val="43"/>
          <w:rFonts w:eastAsia="Times New Roman"/>
          <w:sz w:val="24"/>
          <w:szCs w:val="24"/>
          <w:highlight w:val="none"/>
        </w:rPr>
      </w:pPr>
      <w:r>
        <w:rPr>
          <w:rStyle w:val="43"/>
          <w:rFonts w:ascii="宋体" w:hAnsi="宋体"/>
          <w:spacing w:val="-2"/>
          <w:sz w:val="24"/>
          <w:szCs w:val="24"/>
          <w:highlight w:val="none"/>
        </w:rPr>
        <w:t>我的项目</w:t>
      </w:r>
      <w:r>
        <w:rPr>
          <w:rStyle w:val="43"/>
          <w:rFonts w:ascii="宋体" w:hAnsi="宋体"/>
          <w:sz w:val="24"/>
          <w:szCs w:val="24"/>
          <w:highlight w:val="none"/>
        </w:rPr>
        <w:tab/>
      </w:r>
      <w:r>
        <w:rPr>
          <w:rStyle w:val="43"/>
          <w:rFonts w:eastAsia="Times New Roman"/>
          <w:spacing w:val="-2"/>
          <w:sz w:val="24"/>
          <w:szCs w:val="24"/>
          <w:highlight w:val="none"/>
        </w:rPr>
        <w:t xml:space="preserve">- </w:t>
      </w:r>
      <w:r>
        <w:rPr>
          <w:rStyle w:val="43"/>
          <w:rFonts w:eastAsia="Times New Roman"/>
          <w:spacing w:val="-1"/>
          <w:sz w:val="24"/>
          <w:szCs w:val="24"/>
          <w:highlight w:val="none"/>
        </w:rPr>
        <w:t>2 -</w:t>
      </w:r>
    </w:p>
    <w:p w14:paraId="355CA954">
      <w:pPr>
        <w:snapToGrid w:val="0"/>
        <w:spacing w:line="416" w:lineRule="auto"/>
        <w:rPr>
          <w:rStyle w:val="43"/>
          <w:rFonts w:ascii="Arial"/>
          <w:highlight w:val="none"/>
        </w:rPr>
      </w:pPr>
    </w:p>
    <w:p w14:paraId="1E54BCA9">
      <w:pPr>
        <w:tabs>
          <w:tab w:val="right" w:leader="dot" w:pos="8322"/>
        </w:tabs>
        <w:snapToGrid w:val="0"/>
        <w:spacing w:before="78" w:line="219" w:lineRule="auto"/>
        <w:ind w:left="764"/>
        <w:rPr>
          <w:rStyle w:val="43"/>
          <w:rFonts w:eastAsia="Times New Roman"/>
          <w:sz w:val="24"/>
          <w:szCs w:val="24"/>
          <w:highlight w:val="none"/>
        </w:rPr>
      </w:pPr>
      <w:r>
        <w:rPr>
          <w:rStyle w:val="43"/>
          <w:rFonts w:ascii="宋体" w:hAnsi="宋体"/>
          <w:spacing w:val="-3"/>
          <w:sz w:val="24"/>
          <w:szCs w:val="24"/>
          <w:highlight w:val="none"/>
        </w:rPr>
        <w:t>阅读开标流程</w:t>
      </w:r>
      <w:r>
        <w:rPr>
          <w:rStyle w:val="43"/>
          <w:rFonts w:ascii="宋体" w:hAnsi="宋体"/>
          <w:sz w:val="24"/>
          <w:szCs w:val="24"/>
          <w:highlight w:val="none"/>
        </w:rPr>
        <w:tab/>
      </w:r>
      <w:r>
        <w:rPr>
          <w:rStyle w:val="43"/>
          <w:rFonts w:eastAsia="Times New Roman"/>
          <w:spacing w:val="-3"/>
          <w:sz w:val="24"/>
          <w:szCs w:val="24"/>
          <w:highlight w:val="none"/>
        </w:rPr>
        <w:t xml:space="preserve">- 2 </w:t>
      </w:r>
      <w:r>
        <w:rPr>
          <w:rStyle w:val="43"/>
          <w:rFonts w:eastAsia="Times New Roman"/>
          <w:spacing w:val="-2"/>
          <w:sz w:val="24"/>
          <w:szCs w:val="24"/>
          <w:highlight w:val="none"/>
        </w:rPr>
        <w:t>-</w:t>
      </w:r>
    </w:p>
    <w:p w14:paraId="78123EFA">
      <w:pPr>
        <w:snapToGrid w:val="0"/>
        <w:spacing w:line="414" w:lineRule="auto"/>
        <w:rPr>
          <w:rStyle w:val="43"/>
          <w:rFonts w:ascii="Arial"/>
          <w:highlight w:val="none"/>
        </w:rPr>
      </w:pPr>
    </w:p>
    <w:p w14:paraId="4C14426B">
      <w:pPr>
        <w:tabs>
          <w:tab w:val="right" w:leader="dot" w:pos="8322"/>
        </w:tabs>
        <w:snapToGrid w:val="0"/>
        <w:spacing w:before="79" w:line="219" w:lineRule="auto"/>
        <w:ind w:left="751"/>
        <w:rPr>
          <w:rStyle w:val="43"/>
          <w:rFonts w:eastAsia="Times New Roman"/>
          <w:sz w:val="24"/>
          <w:szCs w:val="24"/>
          <w:highlight w:val="none"/>
        </w:rPr>
      </w:pPr>
      <w:r>
        <w:rPr>
          <w:rStyle w:val="43"/>
          <w:rFonts w:ascii="宋体" w:hAnsi="宋体"/>
          <w:spacing w:val="-2"/>
          <w:sz w:val="24"/>
          <w:szCs w:val="24"/>
          <w:highlight w:val="none"/>
        </w:rPr>
        <w:t>公布投标人</w:t>
      </w:r>
      <w:r>
        <w:rPr>
          <w:rStyle w:val="43"/>
          <w:rFonts w:ascii="宋体" w:hAnsi="宋体"/>
          <w:sz w:val="24"/>
          <w:szCs w:val="24"/>
          <w:highlight w:val="none"/>
        </w:rPr>
        <w:tab/>
      </w:r>
      <w:r>
        <w:rPr>
          <w:rStyle w:val="43"/>
          <w:rFonts w:eastAsia="Times New Roman"/>
          <w:spacing w:val="-2"/>
          <w:sz w:val="24"/>
          <w:szCs w:val="24"/>
          <w:highlight w:val="none"/>
        </w:rPr>
        <w:t>- 3 -</w:t>
      </w:r>
    </w:p>
    <w:p w14:paraId="471D3463">
      <w:pPr>
        <w:snapToGrid w:val="0"/>
        <w:spacing w:line="415" w:lineRule="auto"/>
        <w:rPr>
          <w:rStyle w:val="43"/>
          <w:rFonts w:ascii="Arial"/>
          <w:highlight w:val="none"/>
        </w:rPr>
      </w:pPr>
    </w:p>
    <w:p w14:paraId="5D8EB91C">
      <w:pPr>
        <w:tabs>
          <w:tab w:val="right" w:leader="dot" w:pos="8322"/>
        </w:tabs>
        <w:snapToGrid w:val="0"/>
        <w:spacing w:before="78" w:line="220" w:lineRule="auto"/>
        <w:ind w:left="743"/>
        <w:rPr>
          <w:rStyle w:val="43"/>
          <w:rFonts w:eastAsia="Times New Roman"/>
          <w:sz w:val="24"/>
          <w:szCs w:val="24"/>
          <w:highlight w:val="none"/>
        </w:rPr>
      </w:pPr>
      <w:r>
        <w:rPr>
          <w:rStyle w:val="43"/>
          <w:rFonts w:ascii="宋体" w:hAnsi="宋体"/>
          <w:spacing w:val="-2"/>
          <w:sz w:val="24"/>
          <w:szCs w:val="24"/>
          <w:highlight w:val="none"/>
        </w:rPr>
        <w:t>远程解密</w:t>
      </w:r>
      <w:r>
        <w:rPr>
          <w:rStyle w:val="43"/>
          <w:rFonts w:ascii="宋体" w:hAnsi="宋体"/>
          <w:sz w:val="24"/>
          <w:szCs w:val="24"/>
          <w:highlight w:val="none"/>
        </w:rPr>
        <w:tab/>
      </w:r>
      <w:r>
        <w:rPr>
          <w:rStyle w:val="43"/>
          <w:rFonts w:eastAsia="Times New Roman"/>
          <w:spacing w:val="-1"/>
          <w:sz w:val="24"/>
          <w:szCs w:val="24"/>
          <w:highlight w:val="none"/>
        </w:rPr>
        <w:t>- 4 -</w:t>
      </w:r>
    </w:p>
    <w:p w14:paraId="0765B6E5">
      <w:pPr>
        <w:snapToGrid w:val="0"/>
        <w:spacing w:line="412" w:lineRule="auto"/>
        <w:rPr>
          <w:rStyle w:val="43"/>
          <w:rFonts w:ascii="Arial"/>
          <w:highlight w:val="none"/>
        </w:rPr>
      </w:pPr>
    </w:p>
    <w:p w14:paraId="68F10DB2">
      <w:pPr>
        <w:tabs>
          <w:tab w:val="right" w:leader="dot" w:pos="8322"/>
        </w:tabs>
        <w:snapToGrid w:val="0"/>
        <w:spacing w:before="79" w:line="220" w:lineRule="auto"/>
        <w:ind w:left="744"/>
        <w:rPr>
          <w:rStyle w:val="43"/>
          <w:rFonts w:eastAsia="Times New Roman"/>
          <w:sz w:val="24"/>
          <w:szCs w:val="24"/>
          <w:highlight w:val="none"/>
        </w:rPr>
      </w:pPr>
      <w:r>
        <w:rPr>
          <w:rStyle w:val="43"/>
          <w:rFonts w:ascii="宋体" w:hAnsi="宋体"/>
          <w:spacing w:val="-2"/>
          <w:sz w:val="24"/>
          <w:szCs w:val="24"/>
          <w:highlight w:val="none"/>
        </w:rPr>
        <w:t>开标结束</w:t>
      </w:r>
      <w:r>
        <w:rPr>
          <w:rStyle w:val="43"/>
          <w:rFonts w:ascii="宋体" w:hAnsi="宋体"/>
          <w:sz w:val="24"/>
          <w:szCs w:val="24"/>
          <w:highlight w:val="none"/>
        </w:rPr>
        <w:tab/>
      </w:r>
      <w:r>
        <w:rPr>
          <w:rStyle w:val="43"/>
          <w:rFonts w:eastAsia="Times New Roman"/>
          <w:spacing w:val="-2"/>
          <w:sz w:val="24"/>
          <w:szCs w:val="24"/>
          <w:highlight w:val="none"/>
        </w:rPr>
        <w:t>-</w:t>
      </w:r>
      <w:r>
        <w:rPr>
          <w:rStyle w:val="43"/>
          <w:rFonts w:eastAsia="Times New Roman"/>
          <w:spacing w:val="-1"/>
          <w:sz w:val="24"/>
          <w:szCs w:val="24"/>
          <w:highlight w:val="none"/>
        </w:rPr>
        <w:t xml:space="preserve"> 6 -</w:t>
      </w:r>
    </w:p>
    <w:p w14:paraId="7E903E9E">
      <w:pPr>
        <w:tabs>
          <w:tab w:val="right" w:leader="dot" w:pos="8322"/>
        </w:tabs>
        <w:snapToGrid w:val="0"/>
        <w:spacing w:before="230" w:line="231" w:lineRule="auto"/>
        <w:ind w:left="26"/>
        <w:rPr>
          <w:rStyle w:val="43"/>
          <w:rFonts w:eastAsia="Times New Roman"/>
          <w:sz w:val="30"/>
          <w:szCs w:val="30"/>
          <w:highlight w:val="none"/>
        </w:rPr>
      </w:pPr>
      <w:r>
        <w:rPr>
          <w:rStyle w:val="43"/>
          <w:rFonts w:ascii="宋体" w:hAnsi="宋体"/>
          <w:spacing w:val="-11"/>
          <w:sz w:val="30"/>
          <w:szCs w:val="30"/>
          <w:highlight w:val="none"/>
        </w:rPr>
        <w:t>三</w:t>
      </w:r>
      <w:r>
        <w:rPr>
          <w:rStyle w:val="43"/>
          <w:rFonts w:ascii="宋体" w:hAnsi="宋体"/>
          <w:spacing w:val="-9"/>
          <w:sz w:val="30"/>
          <w:szCs w:val="30"/>
          <w:highlight w:val="none"/>
        </w:rPr>
        <w:t>、  其他功能介绍</w:t>
      </w:r>
      <w:r>
        <w:rPr>
          <w:rStyle w:val="43"/>
          <w:rFonts w:ascii="宋体" w:hAnsi="宋体" w:cs="宋体"/>
          <w:b/>
          <w:bCs/>
          <w:sz w:val="30"/>
          <w:szCs w:val="30"/>
          <w:highlight w:val="none"/>
        </w:rPr>
        <w:tab/>
      </w:r>
      <w:r>
        <w:rPr>
          <w:rStyle w:val="43"/>
          <w:rFonts w:eastAsia="Times New Roman" w:cs="Times New Roman"/>
          <w:b/>
          <w:bCs/>
          <w:spacing w:val="-9"/>
          <w:sz w:val="30"/>
          <w:szCs w:val="30"/>
          <w:highlight w:val="none"/>
        </w:rPr>
        <w:t>-</w:t>
      </w:r>
      <w:r>
        <w:rPr>
          <w:rStyle w:val="43"/>
          <w:rFonts w:eastAsia="Times New Roman"/>
          <w:spacing w:val="-9"/>
          <w:sz w:val="30"/>
          <w:szCs w:val="30"/>
          <w:highlight w:val="none"/>
        </w:rPr>
        <w:t xml:space="preserve"> </w:t>
      </w:r>
      <w:r>
        <w:rPr>
          <w:rStyle w:val="43"/>
          <w:rFonts w:eastAsia="Times New Roman" w:cs="Times New Roman"/>
          <w:b/>
          <w:bCs/>
          <w:spacing w:val="-9"/>
          <w:sz w:val="30"/>
          <w:szCs w:val="30"/>
          <w:highlight w:val="none"/>
        </w:rPr>
        <w:t>7</w:t>
      </w:r>
      <w:r>
        <w:rPr>
          <w:rStyle w:val="43"/>
          <w:rFonts w:eastAsia="Times New Roman"/>
          <w:spacing w:val="-9"/>
          <w:sz w:val="30"/>
          <w:szCs w:val="30"/>
          <w:highlight w:val="none"/>
        </w:rPr>
        <w:t xml:space="preserve"> </w:t>
      </w:r>
      <w:r>
        <w:rPr>
          <w:rStyle w:val="43"/>
          <w:rFonts w:eastAsia="Times New Roman" w:cs="Times New Roman"/>
          <w:b/>
          <w:bCs/>
          <w:spacing w:val="-9"/>
          <w:sz w:val="30"/>
          <w:szCs w:val="30"/>
          <w:highlight w:val="none"/>
        </w:rPr>
        <w:t>-</w:t>
      </w:r>
    </w:p>
    <w:p w14:paraId="069DCBC2">
      <w:pPr>
        <w:snapToGrid w:val="0"/>
        <w:spacing w:line="433" w:lineRule="auto"/>
        <w:rPr>
          <w:rStyle w:val="43"/>
          <w:rFonts w:ascii="Arial"/>
          <w:highlight w:val="none"/>
        </w:rPr>
      </w:pPr>
    </w:p>
    <w:p w14:paraId="00C9F5A3">
      <w:pPr>
        <w:tabs>
          <w:tab w:val="right" w:leader="dot" w:pos="8322"/>
        </w:tabs>
        <w:snapToGrid w:val="0"/>
        <w:spacing w:before="78" w:line="220" w:lineRule="auto"/>
        <w:ind w:left="747"/>
        <w:rPr>
          <w:rStyle w:val="43"/>
          <w:rFonts w:eastAsia="Times New Roman"/>
          <w:sz w:val="24"/>
          <w:szCs w:val="24"/>
          <w:highlight w:val="none"/>
        </w:rPr>
      </w:pPr>
      <w:r>
        <w:rPr>
          <w:rStyle w:val="43"/>
          <w:rFonts w:ascii="宋体" w:hAnsi="宋体"/>
          <w:spacing w:val="-2"/>
          <w:sz w:val="24"/>
          <w:szCs w:val="24"/>
          <w:highlight w:val="none"/>
        </w:rPr>
        <w:t>互动交流</w:t>
      </w:r>
      <w:r>
        <w:rPr>
          <w:rStyle w:val="43"/>
          <w:rFonts w:ascii="宋体" w:hAnsi="宋体"/>
          <w:sz w:val="24"/>
          <w:szCs w:val="24"/>
          <w:highlight w:val="none"/>
        </w:rPr>
        <w:tab/>
      </w:r>
      <w:r>
        <w:rPr>
          <w:rStyle w:val="43"/>
          <w:rFonts w:eastAsia="Times New Roman"/>
          <w:spacing w:val="-2"/>
          <w:sz w:val="24"/>
          <w:szCs w:val="24"/>
          <w:highlight w:val="none"/>
        </w:rPr>
        <w:t xml:space="preserve">- 7 </w:t>
      </w:r>
      <w:r>
        <w:rPr>
          <w:rStyle w:val="43"/>
          <w:rFonts w:eastAsia="Times New Roman"/>
          <w:spacing w:val="-1"/>
          <w:sz w:val="24"/>
          <w:szCs w:val="24"/>
          <w:highlight w:val="none"/>
        </w:rPr>
        <w:t>-</w:t>
      </w:r>
    </w:p>
    <w:p w14:paraId="54B2B20D">
      <w:pPr>
        <w:snapToGrid w:val="0"/>
        <w:spacing w:line="412" w:lineRule="auto"/>
        <w:rPr>
          <w:rStyle w:val="43"/>
          <w:rFonts w:ascii="Arial"/>
          <w:highlight w:val="none"/>
        </w:rPr>
      </w:pPr>
    </w:p>
    <w:p w14:paraId="0CF25BDA">
      <w:pPr>
        <w:tabs>
          <w:tab w:val="right" w:leader="dot" w:pos="8322"/>
        </w:tabs>
        <w:snapToGrid w:val="0"/>
        <w:spacing w:before="79" w:line="220" w:lineRule="auto"/>
        <w:ind w:left="744"/>
        <w:rPr>
          <w:rStyle w:val="43"/>
          <w:rFonts w:eastAsia="Times New Roman"/>
          <w:sz w:val="24"/>
          <w:szCs w:val="24"/>
          <w:highlight w:val="none"/>
        </w:rPr>
      </w:pPr>
      <w:r>
        <w:rPr>
          <w:rStyle w:val="43"/>
          <w:rFonts w:ascii="宋体" w:hAnsi="宋体"/>
          <w:spacing w:val="-1"/>
          <w:sz w:val="24"/>
          <w:szCs w:val="24"/>
          <w:highlight w:val="none"/>
        </w:rPr>
        <w:t>开标咨询文字咨询</w:t>
      </w:r>
      <w:r>
        <w:rPr>
          <w:rStyle w:val="43"/>
          <w:rFonts w:ascii="宋体" w:hAnsi="宋体"/>
          <w:sz w:val="24"/>
          <w:szCs w:val="24"/>
          <w:highlight w:val="none"/>
        </w:rPr>
        <w:tab/>
      </w:r>
      <w:r>
        <w:rPr>
          <w:rStyle w:val="43"/>
          <w:rFonts w:eastAsia="Times New Roman"/>
          <w:spacing w:val="-1"/>
          <w:sz w:val="24"/>
          <w:szCs w:val="24"/>
          <w:highlight w:val="none"/>
        </w:rPr>
        <w:t>- 8 -</w:t>
      </w:r>
    </w:p>
    <w:p w14:paraId="14CD82F3">
      <w:pPr>
        <w:snapToGrid w:val="0"/>
        <w:spacing w:line="413" w:lineRule="auto"/>
        <w:rPr>
          <w:rStyle w:val="43"/>
          <w:rFonts w:ascii="Arial"/>
          <w:highlight w:val="none"/>
        </w:rPr>
      </w:pPr>
    </w:p>
    <w:p w14:paraId="779A2A73">
      <w:pPr>
        <w:tabs>
          <w:tab w:val="right" w:leader="dot" w:pos="8322"/>
        </w:tabs>
        <w:snapToGrid w:val="0"/>
        <w:spacing w:before="78" w:line="220" w:lineRule="auto"/>
        <w:ind w:left="753"/>
        <w:rPr>
          <w:rStyle w:val="43"/>
          <w:rFonts w:eastAsia="Times New Roman"/>
          <w:sz w:val="24"/>
          <w:szCs w:val="24"/>
          <w:highlight w:val="none"/>
        </w:rPr>
      </w:pPr>
      <w:r>
        <w:rPr>
          <w:rStyle w:val="43"/>
          <w:rFonts w:ascii="宋体" w:hAnsi="宋体"/>
          <w:spacing w:val="-4"/>
          <w:sz w:val="24"/>
          <w:szCs w:val="24"/>
          <w:highlight w:val="none"/>
        </w:rPr>
        <w:t>咨询</w:t>
      </w:r>
      <w:r>
        <w:rPr>
          <w:rStyle w:val="43"/>
          <w:rFonts w:ascii="宋体" w:hAnsi="宋体"/>
          <w:spacing w:val="-2"/>
          <w:sz w:val="24"/>
          <w:szCs w:val="24"/>
          <w:highlight w:val="none"/>
        </w:rPr>
        <w:t>查看</w:t>
      </w:r>
      <w:r>
        <w:rPr>
          <w:rStyle w:val="43"/>
          <w:rFonts w:ascii="宋体" w:hAnsi="宋体"/>
          <w:sz w:val="24"/>
          <w:szCs w:val="24"/>
          <w:highlight w:val="none"/>
        </w:rPr>
        <w:tab/>
      </w:r>
      <w:r>
        <w:rPr>
          <w:rStyle w:val="43"/>
          <w:rFonts w:eastAsia="Times New Roman"/>
          <w:spacing w:val="-2"/>
          <w:sz w:val="24"/>
          <w:szCs w:val="24"/>
          <w:highlight w:val="none"/>
        </w:rPr>
        <w:t>- 9 -</w:t>
      </w:r>
    </w:p>
    <w:p w14:paraId="2BD6F2E3">
      <w:pPr>
        <w:tabs>
          <w:tab w:val="right" w:leader="dot" w:pos="8322"/>
        </w:tabs>
        <w:snapToGrid w:val="0"/>
        <w:spacing w:before="230" w:line="233" w:lineRule="auto"/>
        <w:ind w:left="54"/>
        <w:rPr>
          <w:rStyle w:val="43"/>
          <w:rFonts w:eastAsia="Times New Roman"/>
          <w:sz w:val="30"/>
          <w:szCs w:val="30"/>
          <w:highlight w:val="none"/>
        </w:rPr>
      </w:pPr>
      <w:r>
        <w:rPr>
          <w:rStyle w:val="43"/>
          <w:rFonts w:ascii="宋体" w:hAnsi="宋体"/>
          <w:spacing w:val="-21"/>
          <w:sz w:val="30"/>
          <w:szCs w:val="30"/>
          <w:highlight w:val="none"/>
        </w:rPr>
        <w:t>四</w:t>
      </w:r>
      <w:r>
        <w:rPr>
          <w:rStyle w:val="43"/>
          <w:rFonts w:ascii="宋体" w:hAnsi="宋体"/>
          <w:spacing w:val="-12"/>
          <w:sz w:val="30"/>
          <w:szCs w:val="30"/>
          <w:highlight w:val="none"/>
        </w:rPr>
        <w:t>、  注意事项</w:t>
      </w:r>
      <w:r>
        <w:rPr>
          <w:rStyle w:val="43"/>
          <w:rFonts w:ascii="宋体" w:hAnsi="宋体" w:cs="宋体"/>
          <w:b/>
          <w:bCs/>
          <w:sz w:val="30"/>
          <w:szCs w:val="30"/>
          <w:highlight w:val="none"/>
        </w:rPr>
        <w:tab/>
      </w:r>
      <w:r>
        <w:rPr>
          <w:rStyle w:val="43"/>
          <w:rFonts w:eastAsia="Times New Roman" w:cs="Times New Roman"/>
          <w:b/>
          <w:bCs/>
          <w:spacing w:val="-12"/>
          <w:sz w:val="30"/>
          <w:szCs w:val="30"/>
          <w:highlight w:val="none"/>
        </w:rPr>
        <w:t>-</w:t>
      </w:r>
      <w:r>
        <w:rPr>
          <w:rStyle w:val="43"/>
          <w:rFonts w:eastAsia="Times New Roman"/>
          <w:spacing w:val="-12"/>
          <w:sz w:val="30"/>
          <w:szCs w:val="30"/>
          <w:highlight w:val="none"/>
        </w:rPr>
        <w:t xml:space="preserve"> </w:t>
      </w:r>
      <w:r>
        <w:rPr>
          <w:rStyle w:val="43"/>
          <w:rFonts w:eastAsia="Times New Roman" w:cs="Times New Roman"/>
          <w:b/>
          <w:bCs/>
          <w:spacing w:val="-12"/>
          <w:sz w:val="30"/>
          <w:szCs w:val="30"/>
          <w:highlight w:val="none"/>
        </w:rPr>
        <w:t>9</w:t>
      </w:r>
      <w:r>
        <w:rPr>
          <w:rStyle w:val="43"/>
          <w:rFonts w:eastAsia="Times New Roman"/>
          <w:spacing w:val="-12"/>
          <w:sz w:val="30"/>
          <w:szCs w:val="30"/>
          <w:highlight w:val="none"/>
        </w:rPr>
        <w:t xml:space="preserve"> </w:t>
      </w:r>
      <w:r>
        <w:rPr>
          <w:rStyle w:val="43"/>
          <w:rFonts w:eastAsia="Times New Roman" w:cs="Times New Roman"/>
          <w:b/>
          <w:bCs/>
          <w:spacing w:val="-12"/>
          <w:sz w:val="30"/>
          <w:szCs w:val="30"/>
          <w:highlight w:val="none"/>
        </w:rPr>
        <w:t>-</w:t>
      </w:r>
    </w:p>
    <w:p w14:paraId="15CFDF4F">
      <w:pPr>
        <w:snapToGrid w:val="0"/>
        <w:rPr>
          <w:rStyle w:val="43"/>
          <w:highlight w:val="none"/>
        </w:rPr>
        <w:sectPr>
          <w:footerReference r:id="rId6" w:type="default"/>
          <w:pgSz w:w="11907" w:h="16839"/>
          <w:pgMar w:top="1431" w:right="1785" w:bottom="400" w:left="1785" w:header="0" w:footer="0" w:gutter="0"/>
          <w:cols w:space="720" w:num="1"/>
        </w:sectPr>
      </w:pPr>
    </w:p>
    <w:p w14:paraId="5B4894A8">
      <w:pPr>
        <w:snapToGrid w:val="0"/>
        <w:spacing w:before="215" w:line="221" w:lineRule="auto"/>
        <w:ind w:left="20"/>
        <w:rPr>
          <w:rStyle w:val="43"/>
          <w:rFonts w:ascii="宋体" w:hAnsi="宋体"/>
          <w:sz w:val="36"/>
          <w:szCs w:val="36"/>
          <w:highlight w:val="none"/>
        </w:rPr>
      </w:pPr>
      <w:r>
        <w:rPr>
          <w:rStyle w:val="43"/>
          <w:rFonts w:ascii="宋体" w:hAnsi="宋体"/>
          <w:spacing w:val="-32"/>
          <w:sz w:val="36"/>
          <w:szCs w:val="36"/>
          <w:highlight w:val="none"/>
        </w:rPr>
        <w:t>一</w:t>
      </w:r>
      <w:r>
        <w:rPr>
          <w:rStyle w:val="43"/>
          <w:rFonts w:ascii="宋体" w:hAnsi="宋体"/>
          <w:spacing w:val="-27"/>
          <w:sz w:val="36"/>
          <w:szCs w:val="36"/>
          <w:highlight w:val="none"/>
        </w:rPr>
        <w:t>、 系统登陆</w:t>
      </w:r>
    </w:p>
    <w:p w14:paraId="14FE438B">
      <w:pPr>
        <w:snapToGrid w:val="0"/>
        <w:spacing w:line="408" w:lineRule="auto"/>
        <w:rPr>
          <w:rStyle w:val="43"/>
          <w:rFonts w:ascii="Arial"/>
          <w:highlight w:val="none"/>
        </w:rPr>
      </w:pPr>
    </w:p>
    <w:p w14:paraId="278A5837">
      <w:pPr>
        <w:snapToGrid w:val="0"/>
        <w:spacing w:before="78" w:line="232" w:lineRule="auto"/>
        <w:ind w:left="7" w:firstLine="20"/>
        <w:rPr>
          <w:rStyle w:val="43"/>
          <w:rFonts w:ascii="宋体" w:hAnsi="宋体"/>
          <w:sz w:val="24"/>
          <w:szCs w:val="24"/>
          <w:highlight w:val="none"/>
        </w:rPr>
      </w:pPr>
      <w:r>
        <w:rPr>
          <w:rStyle w:val="43"/>
          <w:rFonts w:eastAsia="Times New Roman"/>
          <w:spacing w:val="-6"/>
          <w:sz w:val="24"/>
          <w:szCs w:val="24"/>
          <w:highlight w:val="none"/>
        </w:rPr>
        <w:t>1</w:t>
      </w:r>
      <w:r>
        <w:rPr>
          <w:rStyle w:val="43"/>
          <w:rFonts w:ascii="宋体" w:hAnsi="宋体"/>
          <w:spacing w:val="-6"/>
          <w:sz w:val="24"/>
          <w:szCs w:val="24"/>
          <w:highlight w:val="none"/>
        </w:rPr>
        <w:t>、打开西安公共</w:t>
      </w:r>
      <w:r>
        <w:rPr>
          <w:rStyle w:val="43"/>
          <w:rFonts w:ascii="宋体" w:hAnsi="宋体"/>
          <w:spacing w:val="-5"/>
          <w:sz w:val="24"/>
          <w:szCs w:val="24"/>
          <w:highlight w:val="none"/>
        </w:rPr>
        <w:t>资</w:t>
      </w:r>
      <w:r>
        <w:rPr>
          <w:rStyle w:val="43"/>
          <w:rFonts w:ascii="宋体" w:hAnsi="宋体"/>
          <w:spacing w:val="-3"/>
          <w:sz w:val="24"/>
          <w:szCs w:val="24"/>
          <w:highlight w:val="none"/>
        </w:rPr>
        <w:t>源交易网站(</w:t>
      </w:r>
      <w:r>
        <w:rPr>
          <w:rStyle w:val="43"/>
          <w:rFonts w:eastAsia="Times New Roman"/>
          <w:spacing w:val="-3"/>
          <w:sz w:val="24"/>
          <w:szCs w:val="24"/>
          <w:highlight w:val="none"/>
        </w:rPr>
        <w:t xml:space="preserve">http://xa.sxggzyjy.cn/ </w:t>
      </w:r>
      <w:r>
        <w:rPr>
          <w:rStyle w:val="43"/>
          <w:rFonts w:ascii="宋体" w:hAnsi="宋体"/>
          <w:spacing w:val="-3"/>
          <w:sz w:val="24"/>
          <w:szCs w:val="24"/>
          <w:highlight w:val="none"/>
        </w:rPr>
        <w:t xml:space="preserve">) ，点击【不见面开标】】 </w:t>
      </w:r>
      <w:r>
        <w:rPr>
          <w:rStyle w:val="43"/>
          <w:rFonts w:eastAsia="Times New Roman"/>
          <w:spacing w:val="-3"/>
          <w:sz w:val="24"/>
          <w:szCs w:val="24"/>
          <w:highlight w:val="none"/>
        </w:rPr>
        <w:t>-----</w:t>
      </w:r>
      <w:r>
        <w:rPr>
          <w:rStyle w:val="43"/>
          <w:rFonts w:eastAsia="Times New Roman"/>
          <w:sz w:val="24"/>
          <w:szCs w:val="24"/>
          <w:highlight w:val="none"/>
        </w:rPr>
        <w:t xml:space="preserve"> </w:t>
      </w:r>
      <w:r>
        <w:rPr>
          <w:rStyle w:val="43"/>
          <w:rFonts w:ascii="宋体" w:hAnsi="宋体"/>
          <w:spacing w:val="-4"/>
          <w:sz w:val="24"/>
          <w:szCs w:val="24"/>
          <w:highlight w:val="none"/>
        </w:rPr>
        <w:t>进入不见面</w:t>
      </w:r>
      <w:r>
        <w:rPr>
          <w:rStyle w:val="43"/>
          <w:rFonts w:ascii="宋体" w:hAnsi="宋体"/>
          <w:spacing w:val="-3"/>
          <w:sz w:val="24"/>
          <w:szCs w:val="24"/>
          <w:highlight w:val="none"/>
        </w:rPr>
        <w:t>开</w:t>
      </w:r>
      <w:r>
        <w:rPr>
          <w:rStyle w:val="43"/>
          <w:rFonts w:ascii="宋体" w:hAnsi="宋体"/>
          <w:spacing w:val="-2"/>
          <w:sz w:val="24"/>
          <w:szCs w:val="24"/>
          <w:highlight w:val="none"/>
        </w:rPr>
        <w:t>标大厅登陆首页。</w:t>
      </w:r>
    </w:p>
    <w:p w14:paraId="7480A2AB">
      <w:pPr>
        <w:snapToGrid w:val="0"/>
        <w:spacing w:line="4340" w:lineRule="exact"/>
        <w:textAlignment w:val="center"/>
        <w:rPr>
          <w:rStyle w:val="43"/>
          <w:highlight w:val="none"/>
        </w:rPr>
      </w:pPr>
      <w:r>
        <w:rPr>
          <w:rStyle w:val="43"/>
          <w:highlight w:val="none"/>
        </w:rPr>
        <w:drawing>
          <wp:inline distT="0" distB="0" distL="114300" distR="114300">
            <wp:extent cx="5268595" cy="275526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0"/>
                    <a:stretch>
                      <a:fillRect/>
                    </a:stretch>
                  </pic:blipFill>
                  <pic:spPr>
                    <a:xfrm>
                      <a:off x="0" y="0"/>
                      <a:ext cx="5268595" cy="2755265"/>
                    </a:xfrm>
                    <a:prstGeom prst="rect">
                      <a:avLst/>
                    </a:prstGeom>
                    <a:noFill/>
                    <a:ln>
                      <a:noFill/>
                    </a:ln>
                  </pic:spPr>
                </pic:pic>
              </a:graphicData>
            </a:graphic>
          </wp:inline>
        </w:drawing>
      </w:r>
    </w:p>
    <w:p w14:paraId="475095FB">
      <w:pPr>
        <w:snapToGrid w:val="0"/>
        <w:spacing w:line="309" w:lineRule="auto"/>
        <w:rPr>
          <w:rStyle w:val="43"/>
          <w:rFonts w:ascii="Arial"/>
          <w:highlight w:val="none"/>
        </w:rPr>
      </w:pPr>
    </w:p>
    <w:p w14:paraId="56551DE8">
      <w:pPr>
        <w:snapToGrid w:val="0"/>
        <w:spacing w:line="309" w:lineRule="auto"/>
        <w:rPr>
          <w:rStyle w:val="43"/>
          <w:rFonts w:ascii="Arial"/>
          <w:highlight w:val="none"/>
        </w:rPr>
      </w:pPr>
    </w:p>
    <w:p w14:paraId="412EA578">
      <w:pPr>
        <w:snapToGrid w:val="0"/>
        <w:spacing w:before="68" w:line="220" w:lineRule="auto"/>
        <w:ind w:left="4"/>
        <w:rPr>
          <w:rStyle w:val="43"/>
          <w:rFonts w:ascii="宋体" w:hAnsi="宋体"/>
          <w:szCs w:val="21"/>
          <w:highlight w:val="none"/>
        </w:rPr>
      </w:pPr>
      <w:r>
        <w:rPr>
          <w:rStyle w:val="43"/>
          <w:rFonts w:eastAsia="Times New Roman"/>
          <w:spacing w:val="-4"/>
          <w:szCs w:val="21"/>
          <w:highlight w:val="none"/>
        </w:rPr>
        <w:t xml:space="preserve">2 </w:t>
      </w:r>
      <w:r>
        <w:rPr>
          <w:rStyle w:val="43"/>
          <w:rFonts w:ascii="宋体" w:hAnsi="宋体"/>
          <w:spacing w:val="-4"/>
          <w:szCs w:val="21"/>
          <w:highlight w:val="none"/>
        </w:rPr>
        <w:t>、点击【登陆】</w:t>
      </w:r>
      <w:r>
        <w:rPr>
          <w:rStyle w:val="43"/>
          <w:rFonts w:eastAsia="Times New Roman"/>
          <w:spacing w:val="-4"/>
          <w:szCs w:val="21"/>
          <w:highlight w:val="none"/>
        </w:rPr>
        <w:t>---</w:t>
      </w:r>
      <w:r>
        <w:rPr>
          <w:rStyle w:val="43"/>
          <w:rFonts w:ascii="宋体" w:hAnsi="宋体"/>
          <w:spacing w:val="-4"/>
          <w:szCs w:val="21"/>
          <w:highlight w:val="none"/>
        </w:rPr>
        <w:t xml:space="preserve">挑选投标人身份使用 </w:t>
      </w:r>
      <w:r>
        <w:rPr>
          <w:rStyle w:val="43"/>
          <w:rFonts w:eastAsia="Times New Roman"/>
          <w:spacing w:val="-4"/>
          <w:szCs w:val="21"/>
          <w:highlight w:val="none"/>
        </w:rPr>
        <w:t>C</w:t>
      </w:r>
      <w:r>
        <w:rPr>
          <w:rStyle w:val="43"/>
          <w:rFonts w:eastAsia="Times New Roman"/>
          <w:spacing w:val="-3"/>
          <w:szCs w:val="21"/>
          <w:highlight w:val="none"/>
        </w:rPr>
        <w:t>A</w:t>
      </w:r>
      <w:r>
        <w:rPr>
          <w:rStyle w:val="43"/>
          <w:rFonts w:eastAsia="Times New Roman"/>
          <w:spacing w:val="-4"/>
          <w:szCs w:val="21"/>
          <w:highlight w:val="none"/>
        </w:rPr>
        <w:t xml:space="preserve"> </w:t>
      </w:r>
      <w:r>
        <w:rPr>
          <w:rStyle w:val="43"/>
          <w:rFonts w:ascii="宋体" w:hAnsi="宋体"/>
          <w:spacing w:val="-4"/>
          <w:szCs w:val="21"/>
          <w:highlight w:val="none"/>
        </w:rPr>
        <w:t>锁登陆系统。</w:t>
      </w:r>
    </w:p>
    <w:p w14:paraId="3A5CABAD">
      <w:pPr>
        <w:snapToGrid w:val="0"/>
        <w:spacing w:before="19" w:line="4348" w:lineRule="exact"/>
        <w:textAlignment w:val="center"/>
        <w:rPr>
          <w:rStyle w:val="43"/>
          <w:highlight w:val="none"/>
        </w:rPr>
      </w:pPr>
      <w:r>
        <w:rPr>
          <w:rStyle w:val="43"/>
          <w:highlight w:val="none"/>
        </w:rPr>
        <w:drawing>
          <wp:inline distT="0" distB="0" distL="114300" distR="114300">
            <wp:extent cx="5265420" cy="2760345"/>
            <wp:effectExtent l="0" t="0" r="1143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31"/>
                    <a:stretch>
                      <a:fillRect/>
                    </a:stretch>
                  </pic:blipFill>
                  <pic:spPr>
                    <a:xfrm>
                      <a:off x="0" y="0"/>
                      <a:ext cx="5265420" cy="2760345"/>
                    </a:xfrm>
                    <a:prstGeom prst="rect">
                      <a:avLst/>
                    </a:prstGeom>
                    <a:noFill/>
                    <a:ln>
                      <a:noFill/>
                    </a:ln>
                  </pic:spPr>
                </pic:pic>
              </a:graphicData>
            </a:graphic>
          </wp:inline>
        </w:drawing>
      </w:r>
    </w:p>
    <w:p w14:paraId="5FDE3C2C">
      <w:pPr>
        <w:snapToGrid w:val="0"/>
        <w:spacing w:line="304" w:lineRule="auto"/>
        <w:rPr>
          <w:rStyle w:val="43"/>
          <w:rFonts w:ascii="Arial"/>
          <w:highlight w:val="none"/>
        </w:rPr>
      </w:pPr>
    </w:p>
    <w:p w14:paraId="47BF92D3">
      <w:pPr>
        <w:snapToGrid w:val="0"/>
        <w:spacing w:before="69" w:line="234" w:lineRule="auto"/>
        <w:ind w:left="11"/>
        <w:rPr>
          <w:rStyle w:val="43"/>
          <w:rFonts w:ascii="宋体" w:hAnsi="宋体"/>
          <w:szCs w:val="21"/>
          <w:highlight w:val="none"/>
        </w:rPr>
      </w:pPr>
      <w:r>
        <w:rPr>
          <w:rStyle w:val="43"/>
          <w:rFonts w:ascii="宋体" w:hAnsi="宋体"/>
          <w:spacing w:val="-14"/>
          <w:szCs w:val="21"/>
          <w:highlight w:val="none"/>
        </w:rPr>
        <w:t>备</w:t>
      </w:r>
      <w:r>
        <w:rPr>
          <w:rStyle w:val="43"/>
          <w:rFonts w:ascii="宋体" w:hAnsi="宋体"/>
          <w:spacing w:val="-13"/>
          <w:szCs w:val="21"/>
          <w:highlight w:val="none"/>
        </w:rPr>
        <w:t>注</w:t>
      </w:r>
      <w:r>
        <w:rPr>
          <w:rStyle w:val="43"/>
          <w:rFonts w:ascii="宋体" w:hAnsi="宋体"/>
          <w:spacing w:val="-7"/>
          <w:szCs w:val="21"/>
          <w:highlight w:val="none"/>
        </w:rPr>
        <w:t xml:space="preserve">： 推荐使用 </w:t>
      </w:r>
      <w:r>
        <w:rPr>
          <w:rStyle w:val="43"/>
          <w:rFonts w:eastAsia="Times New Roman"/>
          <w:spacing w:val="-7"/>
          <w:szCs w:val="21"/>
          <w:highlight w:val="none"/>
        </w:rPr>
        <w:t xml:space="preserve">IE11 </w:t>
      </w:r>
      <w:r>
        <w:rPr>
          <w:rStyle w:val="43"/>
          <w:rFonts w:ascii="宋体" w:hAnsi="宋体"/>
          <w:spacing w:val="-7"/>
          <w:szCs w:val="21"/>
          <w:highlight w:val="none"/>
        </w:rPr>
        <w:t xml:space="preserve">浏览器，提前安装好 </w:t>
      </w:r>
      <w:r>
        <w:rPr>
          <w:rStyle w:val="43"/>
          <w:rFonts w:eastAsia="Times New Roman"/>
          <w:spacing w:val="-7"/>
          <w:szCs w:val="21"/>
          <w:highlight w:val="none"/>
        </w:rPr>
        <w:t xml:space="preserve">ca </w:t>
      </w:r>
      <w:r>
        <w:rPr>
          <w:rStyle w:val="43"/>
          <w:rFonts w:ascii="宋体" w:hAnsi="宋体"/>
          <w:spacing w:val="-7"/>
          <w:szCs w:val="21"/>
          <w:highlight w:val="none"/>
        </w:rPr>
        <w:t>锁驱动</w:t>
      </w:r>
    </w:p>
    <w:p w14:paraId="4204F755">
      <w:pPr>
        <w:snapToGrid w:val="0"/>
        <w:rPr>
          <w:rStyle w:val="43"/>
          <w:highlight w:val="none"/>
        </w:rPr>
        <w:sectPr>
          <w:footerReference r:id="rId7" w:type="default"/>
          <w:pgSz w:w="11907" w:h="16839"/>
          <w:pgMar w:top="1431" w:right="1586" w:bottom="1078" w:left="1589" w:header="0" w:footer="864" w:gutter="0"/>
          <w:cols w:space="720" w:num="1"/>
        </w:sectPr>
      </w:pPr>
    </w:p>
    <w:p w14:paraId="1078B8C1">
      <w:pPr>
        <w:snapToGrid w:val="0"/>
        <w:spacing w:before="204" w:line="220" w:lineRule="auto"/>
        <w:ind w:left="20"/>
        <w:rPr>
          <w:rStyle w:val="43"/>
          <w:rFonts w:ascii="宋体" w:hAnsi="宋体"/>
          <w:sz w:val="36"/>
          <w:szCs w:val="36"/>
          <w:highlight w:val="none"/>
        </w:rPr>
      </w:pPr>
      <w:r>
        <w:rPr>
          <w:rStyle w:val="43"/>
          <w:rFonts w:ascii="宋体" w:hAnsi="宋体"/>
          <w:spacing w:val="-32"/>
          <w:sz w:val="36"/>
          <w:szCs w:val="36"/>
          <w:highlight w:val="none"/>
        </w:rPr>
        <w:t>二</w:t>
      </w:r>
      <w:r>
        <w:rPr>
          <w:rStyle w:val="43"/>
          <w:rFonts w:ascii="宋体" w:hAnsi="宋体"/>
          <w:spacing w:val="-27"/>
          <w:sz w:val="36"/>
          <w:szCs w:val="36"/>
          <w:highlight w:val="none"/>
        </w:rPr>
        <w:t>、 开标流程</w:t>
      </w:r>
    </w:p>
    <w:p w14:paraId="1469773D">
      <w:pPr>
        <w:snapToGrid w:val="0"/>
        <w:spacing w:line="243" w:lineRule="auto"/>
        <w:rPr>
          <w:rStyle w:val="43"/>
          <w:rFonts w:ascii="Arial"/>
          <w:highlight w:val="none"/>
        </w:rPr>
      </w:pPr>
    </w:p>
    <w:p w14:paraId="6B006BAF">
      <w:pPr>
        <w:snapToGrid w:val="0"/>
        <w:spacing w:line="244" w:lineRule="auto"/>
        <w:rPr>
          <w:rStyle w:val="43"/>
          <w:rFonts w:ascii="Arial"/>
          <w:highlight w:val="none"/>
        </w:rPr>
      </w:pPr>
    </w:p>
    <w:p w14:paraId="50B0CCCE">
      <w:pPr>
        <w:snapToGrid w:val="0"/>
        <w:spacing w:before="78" w:line="218" w:lineRule="auto"/>
        <w:ind w:left="3895"/>
        <w:rPr>
          <w:rStyle w:val="43"/>
          <w:rFonts w:ascii="宋体" w:hAnsi="宋体"/>
          <w:sz w:val="24"/>
          <w:szCs w:val="24"/>
          <w:highlight w:val="none"/>
        </w:rPr>
      </w:pPr>
      <w:r>
        <w:rPr>
          <w:rStyle w:val="43"/>
          <w:rFonts w:ascii="宋体" w:hAnsi="宋体"/>
          <w:spacing w:val="-2"/>
          <w:sz w:val="24"/>
          <w:szCs w:val="24"/>
          <w:highlight w:val="none"/>
        </w:rPr>
        <w:t>我的项</w:t>
      </w:r>
      <w:r>
        <w:rPr>
          <w:rStyle w:val="43"/>
          <w:rFonts w:ascii="宋体" w:hAnsi="宋体"/>
          <w:spacing w:val="-1"/>
          <w:sz w:val="24"/>
          <w:szCs w:val="24"/>
          <w:highlight w:val="none"/>
        </w:rPr>
        <w:t>目</w:t>
      </w:r>
    </w:p>
    <w:p w14:paraId="72DFCFD2">
      <w:pPr>
        <w:snapToGrid w:val="0"/>
        <w:spacing w:before="104" w:line="214" w:lineRule="auto"/>
        <w:ind w:left="8"/>
        <w:rPr>
          <w:rStyle w:val="43"/>
          <w:rFonts w:ascii="宋体" w:hAnsi="宋体"/>
          <w:sz w:val="24"/>
          <w:szCs w:val="24"/>
          <w:highlight w:val="none"/>
        </w:rPr>
      </w:pPr>
      <w:r>
        <w:rPr>
          <w:rStyle w:val="43"/>
          <w:rFonts w:ascii="宋体" w:hAnsi="宋体"/>
          <w:spacing w:val="-2"/>
          <w:sz w:val="24"/>
          <w:szCs w:val="24"/>
          <w:highlight w:val="none"/>
        </w:rPr>
        <w:t>在我的项目里面找到等待</w:t>
      </w:r>
      <w:r>
        <w:rPr>
          <w:rStyle w:val="43"/>
          <w:rFonts w:ascii="宋体" w:hAnsi="宋体"/>
          <w:spacing w:val="-1"/>
          <w:sz w:val="24"/>
          <w:szCs w:val="24"/>
          <w:highlight w:val="none"/>
        </w:rPr>
        <w:t>开标的项目，点击进入不见面开标会议室。</w:t>
      </w:r>
    </w:p>
    <w:p w14:paraId="06030071">
      <w:pPr>
        <w:snapToGrid w:val="0"/>
        <w:spacing w:line="3742" w:lineRule="exact"/>
        <w:textAlignment w:val="center"/>
        <w:rPr>
          <w:rStyle w:val="43"/>
          <w:highlight w:val="none"/>
        </w:rPr>
      </w:pPr>
      <w:r>
        <w:rPr>
          <w:rStyle w:val="43"/>
          <w:highlight w:val="none"/>
        </w:rPr>
        <w:drawing>
          <wp:inline distT="0" distB="0" distL="114300" distR="114300">
            <wp:extent cx="5268595" cy="2375535"/>
            <wp:effectExtent l="0" t="0" r="825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32"/>
                    <a:stretch>
                      <a:fillRect/>
                    </a:stretch>
                  </pic:blipFill>
                  <pic:spPr>
                    <a:xfrm>
                      <a:off x="0" y="0"/>
                      <a:ext cx="5268595" cy="2375535"/>
                    </a:xfrm>
                    <a:prstGeom prst="rect">
                      <a:avLst/>
                    </a:prstGeom>
                    <a:noFill/>
                    <a:ln>
                      <a:noFill/>
                    </a:ln>
                  </pic:spPr>
                </pic:pic>
              </a:graphicData>
            </a:graphic>
          </wp:inline>
        </w:drawing>
      </w:r>
    </w:p>
    <w:p w14:paraId="35F16E21">
      <w:pPr>
        <w:snapToGrid w:val="0"/>
        <w:spacing w:before="115" w:line="219" w:lineRule="auto"/>
        <w:ind w:left="3673"/>
        <w:rPr>
          <w:rStyle w:val="43"/>
          <w:rFonts w:ascii="宋体" w:hAnsi="宋体"/>
          <w:sz w:val="24"/>
          <w:szCs w:val="24"/>
          <w:highlight w:val="none"/>
        </w:rPr>
      </w:pPr>
      <w:r>
        <w:rPr>
          <w:rStyle w:val="43"/>
          <w:rFonts w:ascii="宋体" w:hAnsi="宋体"/>
          <w:spacing w:val="-6"/>
          <w:sz w:val="24"/>
          <w:szCs w:val="24"/>
          <w:highlight w:val="none"/>
        </w:rPr>
        <w:t>阅</w:t>
      </w:r>
      <w:r>
        <w:rPr>
          <w:rStyle w:val="43"/>
          <w:rFonts w:ascii="宋体" w:hAnsi="宋体"/>
          <w:spacing w:val="-4"/>
          <w:sz w:val="24"/>
          <w:szCs w:val="24"/>
          <w:highlight w:val="none"/>
        </w:rPr>
        <w:t>读开标流程</w:t>
      </w:r>
    </w:p>
    <w:p w14:paraId="116B7179">
      <w:pPr>
        <w:snapToGrid w:val="0"/>
        <w:spacing w:before="122" w:line="220" w:lineRule="auto"/>
        <w:ind w:left="11"/>
        <w:rPr>
          <w:rStyle w:val="43"/>
          <w:rFonts w:ascii="宋体" w:hAnsi="宋体"/>
          <w:szCs w:val="21"/>
          <w:highlight w:val="none"/>
        </w:rPr>
      </w:pPr>
      <w:r>
        <w:rPr>
          <w:rStyle w:val="43"/>
          <w:rFonts w:ascii="宋体" w:hAnsi="宋体"/>
          <w:spacing w:val="-1"/>
          <w:szCs w:val="21"/>
          <w:highlight w:val="none"/>
        </w:rPr>
        <w:t>投标人阅读开标流程，并在开标倒计时结束先</w:t>
      </w:r>
      <w:r>
        <w:rPr>
          <w:rStyle w:val="43"/>
          <w:rFonts w:ascii="宋体" w:hAnsi="宋体"/>
          <w:szCs w:val="21"/>
          <w:highlight w:val="none"/>
        </w:rPr>
        <w:t>完成在线签到。</w:t>
      </w:r>
    </w:p>
    <w:p w14:paraId="712C960E">
      <w:pPr>
        <w:snapToGrid w:val="0"/>
        <w:spacing w:before="84" w:line="3908" w:lineRule="exact"/>
        <w:textAlignment w:val="center"/>
        <w:rPr>
          <w:rStyle w:val="43"/>
          <w:highlight w:val="none"/>
        </w:rPr>
      </w:pPr>
      <w:r>
        <w:rPr>
          <w:rStyle w:val="43"/>
          <w:highlight w:val="none"/>
        </w:rPr>
        <w:drawing>
          <wp:inline distT="0" distB="0" distL="114300" distR="114300">
            <wp:extent cx="5265420" cy="2481580"/>
            <wp:effectExtent l="0" t="0" r="1143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33"/>
                    <a:stretch>
                      <a:fillRect/>
                    </a:stretch>
                  </pic:blipFill>
                  <pic:spPr>
                    <a:xfrm>
                      <a:off x="0" y="0"/>
                      <a:ext cx="5265420" cy="2481580"/>
                    </a:xfrm>
                    <a:prstGeom prst="rect">
                      <a:avLst/>
                    </a:prstGeom>
                    <a:noFill/>
                    <a:ln>
                      <a:noFill/>
                    </a:ln>
                  </pic:spPr>
                </pic:pic>
              </a:graphicData>
            </a:graphic>
          </wp:inline>
        </w:drawing>
      </w:r>
    </w:p>
    <w:p w14:paraId="35273DD7">
      <w:pPr>
        <w:snapToGrid w:val="0"/>
        <w:spacing w:before="127" w:line="221" w:lineRule="auto"/>
        <w:ind w:left="15"/>
        <w:rPr>
          <w:rStyle w:val="43"/>
          <w:rFonts w:ascii="宋体" w:hAnsi="宋体"/>
          <w:szCs w:val="21"/>
          <w:highlight w:val="none"/>
        </w:rPr>
      </w:pPr>
      <w:r>
        <w:rPr>
          <w:rStyle w:val="43"/>
          <w:rFonts w:ascii="宋体" w:hAnsi="宋体"/>
          <w:spacing w:val="-6"/>
          <w:szCs w:val="21"/>
          <w:highlight w:val="none"/>
        </w:rPr>
        <w:t>点击签</w:t>
      </w:r>
      <w:r>
        <w:rPr>
          <w:rStyle w:val="43"/>
          <w:rFonts w:ascii="宋体" w:hAnsi="宋体"/>
          <w:spacing w:val="-5"/>
          <w:szCs w:val="21"/>
          <w:highlight w:val="none"/>
        </w:rPr>
        <w:t>到</w:t>
      </w:r>
      <w:r>
        <w:rPr>
          <w:rStyle w:val="43"/>
          <w:rFonts w:ascii="宋体" w:hAnsi="宋体"/>
          <w:spacing w:val="-3"/>
          <w:szCs w:val="21"/>
          <w:highlight w:val="none"/>
        </w:rPr>
        <w:t>打开信息录入页面，完成用户名称及电话的录入后， 点击签到即可完成签到。</w:t>
      </w:r>
    </w:p>
    <w:p w14:paraId="0719AB3A">
      <w:pPr>
        <w:snapToGrid w:val="0"/>
        <w:rPr>
          <w:rStyle w:val="43"/>
          <w:highlight w:val="none"/>
        </w:rPr>
        <w:sectPr>
          <w:footerReference r:id="rId8" w:type="default"/>
          <w:pgSz w:w="11907" w:h="16839"/>
          <w:pgMar w:top="1431" w:right="1785" w:bottom="1078" w:left="1589" w:header="0" w:footer="864" w:gutter="0"/>
          <w:cols w:space="720" w:num="1"/>
        </w:sectPr>
      </w:pPr>
    </w:p>
    <w:p w14:paraId="4EF8A90C">
      <w:pPr>
        <w:snapToGrid w:val="0"/>
        <w:spacing w:before="116" w:line="4154" w:lineRule="exact"/>
        <w:textAlignment w:val="center"/>
        <w:rPr>
          <w:rStyle w:val="43"/>
          <w:highlight w:val="none"/>
        </w:rPr>
      </w:pPr>
      <w:r>
        <w:rPr>
          <w:rStyle w:val="43"/>
          <w:highlight w:val="none"/>
        </w:rPr>
        <w:drawing>
          <wp:inline distT="0" distB="0" distL="114300" distR="114300">
            <wp:extent cx="5268595" cy="2637790"/>
            <wp:effectExtent l="0" t="0" r="825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34"/>
                    <a:stretch>
                      <a:fillRect/>
                    </a:stretch>
                  </pic:blipFill>
                  <pic:spPr>
                    <a:xfrm>
                      <a:off x="0" y="0"/>
                      <a:ext cx="5268595" cy="2637790"/>
                    </a:xfrm>
                    <a:prstGeom prst="rect">
                      <a:avLst/>
                    </a:prstGeom>
                    <a:noFill/>
                    <a:ln>
                      <a:noFill/>
                    </a:ln>
                  </pic:spPr>
                </pic:pic>
              </a:graphicData>
            </a:graphic>
          </wp:inline>
        </w:drawing>
      </w:r>
    </w:p>
    <w:p w14:paraId="623D8326">
      <w:pPr>
        <w:snapToGrid w:val="0"/>
        <w:spacing w:before="222" w:line="219" w:lineRule="auto"/>
        <w:ind w:left="3780"/>
        <w:rPr>
          <w:rStyle w:val="43"/>
          <w:rFonts w:ascii="宋体" w:hAnsi="宋体"/>
          <w:sz w:val="24"/>
          <w:szCs w:val="24"/>
          <w:highlight w:val="none"/>
        </w:rPr>
      </w:pPr>
      <w:r>
        <w:rPr>
          <w:rStyle w:val="43"/>
          <w:rFonts w:ascii="宋体" w:hAnsi="宋体"/>
          <w:spacing w:val="-4"/>
          <w:sz w:val="24"/>
          <w:szCs w:val="24"/>
          <w:highlight w:val="none"/>
        </w:rPr>
        <w:t>公</w:t>
      </w:r>
      <w:r>
        <w:rPr>
          <w:rStyle w:val="43"/>
          <w:rFonts w:ascii="宋体" w:hAnsi="宋体"/>
          <w:spacing w:val="-3"/>
          <w:sz w:val="24"/>
          <w:szCs w:val="24"/>
          <w:highlight w:val="none"/>
        </w:rPr>
        <w:t>布</w:t>
      </w:r>
      <w:r>
        <w:rPr>
          <w:rStyle w:val="43"/>
          <w:rFonts w:ascii="宋体" w:hAnsi="宋体"/>
          <w:spacing w:val="-2"/>
          <w:sz w:val="24"/>
          <w:szCs w:val="24"/>
          <w:highlight w:val="none"/>
        </w:rPr>
        <w:t>投标人</w:t>
      </w:r>
    </w:p>
    <w:p w14:paraId="04514E92">
      <w:pPr>
        <w:snapToGrid w:val="0"/>
        <w:spacing w:before="121" w:line="217" w:lineRule="auto"/>
        <w:ind w:left="9"/>
        <w:rPr>
          <w:rStyle w:val="43"/>
          <w:rFonts w:ascii="宋体" w:hAnsi="宋体"/>
          <w:szCs w:val="21"/>
          <w:highlight w:val="none"/>
        </w:rPr>
      </w:pPr>
      <w:r>
        <w:rPr>
          <w:rStyle w:val="43"/>
          <w:rFonts w:ascii="宋体" w:hAnsi="宋体"/>
          <w:spacing w:val="-6"/>
          <w:szCs w:val="21"/>
          <w:highlight w:val="none"/>
        </w:rPr>
        <w:t>开标时间到了</w:t>
      </w:r>
      <w:r>
        <w:rPr>
          <w:rStyle w:val="43"/>
          <w:rFonts w:ascii="宋体" w:hAnsi="宋体"/>
          <w:spacing w:val="-3"/>
          <w:szCs w:val="21"/>
          <w:highlight w:val="none"/>
        </w:rPr>
        <w:t>后，系统会在右侧公告栏给出提醒， 等待公布投标人</w:t>
      </w:r>
    </w:p>
    <w:p w14:paraId="37171CA5">
      <w:pPr>
        <w:snapToGrid w:val="0"/>
        <w:spacing w:before="29" w:line="3708" w:lineRule="exact"/>
        <w:rPr>
          <w:rStyle w:val="43"/>
          <w:highlight w:val="none"/>
        </w:rPr>
      </w:pPr>
      <w:r>
        <w:rPr>
          <w:rStyle w:val="43"/>
          <w:position w:val="-74"/>
          <w:highlight w:val="none"/>
        </w:rPr>
        <w:drawing>
          <wp:inline distT="0" distB="0" distL="114300" distR="114300">
            <wp:extent cx="5268595" cy="2353945"/>
            <wp:effectExtent l="0" t="0" r="825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35"/>
                    <a:stretch>
                      <a:fillRect/>
                    </a:stretch>
                  </pic:blipFill>
                  <pic:spPr>
                    <a:xfrm>
                      <a:off x="0" y="0"/>
                      <a:ext cx="5268595" cy="2353945"/>
                    </a:xfrm>
                    <a:prstGeom prst="rect">
                      <a:avLst/>
                    </a:prstGeom>
                    <a:noFill/>
                    <a:ln>
                      <a:noFill/>
                    </a:ln>
                  </pic:spPr>
                </pic:pic>
              </a:graphicData>
            </a:graphic>
          </wp:inline>
        </w:drawing>
      </w:r>
    </w:p>
    <w:p w14:paraId="03F75E70">
      <w:pPr>
        <w:snapToGrid w:val="0"/>
        <w:spacing w:before="72" w:line="220" w:lineRule="auto"/>
        <w:ind w:left="11"/>
        <w:rPr>
          <w:rStyle w:val="43"/>
          <w:rFonts w:ascii="宋体" w:hAnsi="宋体"/>
          <w:szCs w:val="21"/>
          <w:highlight w:val="none"/>
        </w:rPr>
      </w:pPr>
      <w:r>
        <w:rPr>
          <w:rStyle w:val="43"/>
          <w:rFonts w:ascii="宋体" w:hAnsi="宋体"/>
          <w:spacing w:val="-10"/>
          <w:szCs w:val="21"/>
          <w:highlight w:val="none"/>
        </w:rPr>
        <w:t>投标人公布</w:t>
      </w:r>
      <w:r>
        <w:rPr>
          <w:rStyle w:val="43"/>
          <w:rFonts w:ascii="宋体" w:hAnsi="宋体"/>
          <w:spacing w:val="-9"/>
          <w:szCs w:val="21"/>
          <w:highlight w:val="none"/>
        </w:rPr>
        <w:t>完</w:t>
      </w:r>
      <w:r>
        <w:rPr>
          <w:rStyle w:val="43"/>
          <w:rFonts w:ascii="宋体" w:hAnsi="宋体"/>
          <w:spacing w:val="-5"/>
          <w:szCs w:val="21"/>
          <w:highlight w:val="none"/>
        </w:rPr>
        <w:t>成后， 投标人名单有图标展示模式和列表展示模式， 可根据自己意愿进行切换。</w:t>
      </w:r>
    </w:p>
    <w:p w14:paraId="128CF507">
      <w:pPr>
        <w:snapToGrid w:val="0"/>
        <w:spacing w:before="25" w:line="3396" w:lineRule="exact"/>
        <w:rPr>
          <w:rStyle w:val="43"/>
          <w:highlight w:val="none"/>
        </w:rPr>
      </w:pPr>
      <w:r>
        <w:rPr>
          <w:rStyle w:val="43"/>
          <w:position w:val="-68"/>
          <w:highlight w:val="none"/>
        </w:rPr>
        <w:drawing>
          <wp:inline distT="0" distB="0" distL="114300" distR="114300">
            <wp:extent cx="5273675" cy="2155825"/>
            <wp:effectExtent l="0" t="0" r="3175"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36"/>
                    <a:stretch>
                      <a:fillRect/>
                    </a:stretch>
                  </pic:blipFill>
                  <pic:spPr>
                    <a:xfrm>
                      <a:off x="0" y="0"/>
                      <a:ext cx="5273675" cy="2155825"/>
                    </a:xfrm>
                    <a:prstGeom prst="rect">
                      <a:avLst/>
                    </a:prstGeom>
                    <a:noFill/>
                    <a:ln>
                      <a:noFill/>
                    </a:ln>
                  </pic:spPr>
                </pic:pic>
              </a:graphicData>
            </a:graphic>
          </wp:inline>
        </w:drawing>
      </w:r>
    </w:p>
    <w:p w14:paraId="272AEAF0">
      <w:pPr>
        <w:snapToGrid w:val="0"/>
        <w:rPr>
          <w:rStyle w:val="43"/>
          <w:highlight w:val="none"/>
        </w:rPr>
        <w:sectPr>
          <w:footerReference r:id="rId9" w:type="default"/>
          <w:pgSz w:w="11907" w:h="16839"/>
          <w:pgMar w:top="1431" w:right="1730" w:bottom="1078" w:left="1589" w:header="0" w:footer="864" w:gutter="0"/>
          <w:cols w:space="720" w:num="1"/>
        </w:sectPr>
      </w:pPr>
    </w:p>
    <w:p w14:paraId="58422251">
      <w:pPr>
        <w:snapToGrid w:val="0"/>
        <w:spacing w:before="135" w:line="4431" w:lineRule="exact"/>
        <w:textAlignment w:val="center"/>
        <w:rPr>
          <w:rStyle w:val="43"/>
          <w:highlight w:val="none"/>
        </w:rPr>
      </w:pPr>
      <w:r>
        <w:rPr>
          <w:rStyle w:val="43"/>
          <w:highlight w:val="none"/>
        </w:rPr>
        <w:drawing>
          <wp:inline distT="0" distB="0" distL="114300" distR="114300">
            <wp:extent cx="5265420" cy="2813050"/>
            <wp:effectExtent l="0" t="0" r="1143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37"/>
                    <a:stretch>
                      <a:fillRect/>
                    </a:stretch>
                  </pic:blipFill>
                  <pic:spPr>
                    <a:xfrm>
                      <a:off x="0" y="0"/>
                      <a:ext cx="5265420" cy="2813050"/>
                    </a:xfrm>
                    <a:prstGeom prst="rect">
                      <a:avLst/>
                    </a:prstGeom>
                    <a:noFill/>
                    <a:ln>
                      <a:noFill/>
                    </a:ln>
                  </pic:spPr>
                </pic:pic>
              </a:graphicData>
            </a:graphic>
          </wp:inline>
        </w:drawing>
      </w:r>
    </w:p>
    <w:p w14:paraId="78EAA268">
      <w:pPr>
        <w:snapToGrid w:val="0"/>
        <w:spacing w:before="238" w:line="220" w:lineRule="auto"/>
        <w:ind w:left="3893"/>
        <w:rPr>
          <w:rStyle w:val="43"/>
          <w:rFonts w:ascii="宋体" w:hAnsi="宋体"/>
          <w:sz w:val="24"/>
          <w:szCs w:val="24"/>
          <w:highlight w:val="none"/>
        </w:rPr>
      </w:pPr>
      <w:r>
        <w:rPr>
          <w:rStyle w:val="43"/>
          <w:rFonts w:ascii="宋体" w:hAnsi="宋体"/>
          <w:spacing w:val="-2"/>
          <w:sz w:val="24"/>
          <w:szCs w:val="24"/>
          <w:highlight w:val="none"/>
        </w:rPr>
        <w:t>远程</w:t>
      </w:r>
      <w:r>
        <w:rPr>
          <w:rStyle w:val="43"/>
          <w:rFonts w:ascii="宋体" w:hAnsi="宋体"/>
          <w:spacing w:val="-1"/>
          <w:sz w:val="24"/>
          <w:szCs w:val="24"/>
          <w:highlight w:val="none"/>
        </w:rPr>
        <w:t>解密</w:t>
      </w:r>
    </w:p>
    <w:p w14:paraId="22A7C21E">
      <w:pPr>
        <w:snapToGrid w:val="0"/>
        <w:spacing w:before="119" w:line="221" w:lineRule="auto"/>
        <w:ind w:left="6"/>
        <w:rPr>
          <w:rStyle w:val="43"/>
          <w:rFonts w:ascii="宋体" w:hAnsi="宋体"/>
          <w:szCs w:val="21"/>
          <w:highlight w:val="none"/>
        </w:rPr>
      </w:pPr>
      <w:r>
        <w:rPr>
          <w:rStyle w:val="43"/>
          <w:rFonts w:ascii="宋体" w:hAnsi="宋体"/>
          <w:spacing w:val="-1"/>
          <w:szCs w:val="21"/>
          <w:highlight w:val="none"/>
        </w:rPr>
        <w:t>进入解密阶段后，投标人需在规定</w:t>
      </w:r>
      <w:r>
        <w:rPr>
          <w:rStyle w:val="43"/>
          <w:rFonts w:ascii="宋体" w:hAnsi="宋体"/>
          <w:szCs w:val="21"/>
          <w:highlight w:val="none"/>
        </w:rPr>
        <w:t>时间内进行远程解密操作。</w:t>
      </w:r>
    </w:p>
    <w:p w14:paraId="3EFB6F89">
      <w:pPr>
        <w:snapToGrid w:val="0"/>
        <w:spacing w:before="44" w:line="5230" w:lineRule="exact"/>
        <w:textAlignment w:val="center"/>
        <w:rPr>
          <w:rStyle w:val="43"/>
          <w:highlight w:val="none"/>
        </w:rPr>
      </w:pPr>
      <w:r>
        <w:rPr>
          <w:rStyle w:val="43"/>
          <w:highlight w:val="none"/>
        </w:rPr>
        <w:drawing>
          <wp:inline distT="0" distB="0" distL="114300" distR="114300">
            <wp:extent cx="5270500" cy="3320415"/>
            <wp:effectExtent l="0" t="0" r="635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38"/>
                    <a:stretch>
                      <a:fillRect/>
                    </a:stretch>
                  </pic:blipFill>
                  <pic:spPr>
                    <a:xfrm>
                      <a:off x="0" y="0"/>
                      <a:ext cx="5270500" cy="3320415"/>
                    </a:xfrm>
                    <a:prstGeom prst="rect">
                      <a:avLst/>
                    </a:prstGeom>
                    <a:noFill/>
                    <a:ln>
                      <a:noFill/>
                    </a:ln>
                  </pic:spPr>
                </pic:pic>
              </a:graphicData>
            </a:graphic>
          </wp:inline>
        </w:drawing>
      </w:r>
    </w:p>
    <w:p w14:paraId="5344F89D">
      <w:pPr>
        <w:snapToGrid w:val="0"/>
        <w:spacing w:before="92" w:line="217" w:lineRule="auto"/>
        <w:ind w:left="7"/>
        <w:rPr>
          <w:rStyle w:val="43"/>
          <w:rFonts w:ascii="宋体" w:hAnsi="宋体"/>
          <w:szCs w:val="21"/>
          <w:highlight w:val="none"/>
        </w:rPr>
      </w:pPr>
      <w:r>
        <w:rPr>
          <w:rStyle w:val="43"/>
          <w:rFonts w:ascii="宋体" w:hAnsi="宋体"/>
          <w:spacing w:val="-1"/>
          <w:szCs w:val="21"/>
          <w:highlight w:val="none"/>
        </w:rPr>
        <w:t>解密成功后图标展示页面会显示一个绿色的解锁图标，列表页面会直接</w:t>
      </w:r>
      <w:r>
        <w:rPr>
          <w:rStyle w:val="43"/>
          <w:rFonts w:ascii="宋体" w:hAnsi="宋体"/>
          <w:szCs w:val="21"/>
          <w:highlight w:val="none"/>
        </w:rPr>
        <w:t>显示蓝色的解密成功。</w:t>
      </w:r>
    </w:p>
    <w:p w14:paraId="1A463E77">
      <w:pPr>
        <w:snapToGrid w:val="0"/>
        <w:rPr>
          <w:rStyle w:val="43"/>
          <w:highlight w:val="none"/>
        </w:rPr>
        <w:sectPr>
          <w:footerReference r:id="rId10" w:type="default"/>
          <w:pgSz w:w="11907" w:h="16839"/>
          <w:pgMar w:top="1431" w:right="1730" w:bottom="1078" w:left="1589" w:header="0" w:footer="864" w:gutter="0"/>
          <w:cols w:space="720" w:num="1"/>
        </w:sectPr>
      </w:pPr>
    </w:p>
    <w:p w14:paraId="4170CAC5">
      <w:pPr>
        <w:snapToGrid w:val="0"/>
        <w:spacing w:before="123" w:line="4767" w:lineRule="exact"/>
        <w:textAlignment w:val="center"/>
        <w:rPr>
          <w:rStyle w:val="43"/>
          <w:highlight w:val="none"/>
        </w:rPr>
      </w:pPr>
      <w:r>
        <w:rPr>
          <w:rStyle w:val="43"/>
          <w:highlight w:val="none"/>
        </w:rPr>
        <w:drawing>
          <wp:anchor distT="0" distB="0" distL="114300" distR="114300" simplePos="0" relativeHeight="251673600" behindDoc="0" locked="0" layoutInCell="0" allowOverlap="1">
            <wp:simplePos x="0" y="0"/>
            <wp:positionH relativeFrom="page">
              <wp:posOffset>1009015</wp:posOffset>
            </wp:positionH>
            <wp:positionV relativeFrom="page">
              <wp:posOffset>4110355</wp:posOffset>
            </wp:positionV>
            <wp:extent cx="5273040" cy="3670935"/>
            <wp:effectExtent l="0" t="0" r="3810" b="571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9"/>
                    <a:stretch>
                      <a:fillRect/>
                    </a:stretch>
                  </pic:blipFill>
                  <pic:spPr>
                    <a:xfrm>
                      <a:off x="0" y="0"/>
                      <a:ext cx="5273040" cy="3670935"/>
                    </a:xfrm>
                    <a:prstGeom prst="rect">
                      <a:avLst/>
                    </a:prstGeom>
                    <a:noFill/>
                    <a:ln>
                      <a:noFill/>
                    </a:ln>
                  </pic:spPr>
                </pic:pic>
              </a:graphicData>
            </a:graphic>
          </wp:anchor>
        </w:drawing>
      </w:r>
      <w:r>
        <w:rPr>
          <w:rStyle w:val="43"/>
          <w:highlight w:val="none"/>
        </w:rPr>
        <w:drawing>
          <wp:inline distT="0" distB="0" distL="114300" distR="114300">
            <wp:extent cx="5273675" cy="3027045"/>
            <wp:effectExtent l="0" t="0" r="3175"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40"/>
                    <a:stretch>
                      <a:fillRect/>
                    </a:stretch>
                  </pic:blipFill>
                  <pic:spPr>
                    <a:xfrm>
                      <a:off x="0" y="0"/>
                      <a:ext cx="5273675" cy="3027045"/>
                    </a:xfrm>
                    <a:prstGeom prst="rect">
                      <a:avLst/>
                    </a:prstGeom>
                    <a:noFill/>
                    <a:ln>
                      <a:noFill/>
                    </a:ln>
                  </pic:spPr>
                </pic:pic>
              </a:graphicData>
            </a:graphic>
          </wp:inline>
        </w:drawing>
      </w:r>
    </w:p>
    <w:p w14:paraId="71CBF13C">
      <w:pPr>
        <w:snapToGrid w:val="0"/>
        <w:spacing w:line="244" w:lineRule="auto"/>
        <w:rPr>
          <w:rStyle w:val="43"/>
          <w:rFonts w:ascii="Arial"/>
          <w:highlight w:val="none"/>
        </w:rPr>
      </w:pPr>
    </w:p>
    <w:p w14:paraId="088E9D90">
      <w:pPr>
        <w:snapToGrid w:val="0"/>
        <w:spacing w:line="244" w:lineRule="auto"/>
        <w:rPr>
          <w:rStyle w:val="43"/>
          <w:rFonts w:ascii="Arial"/>
          <w:highlight w:val="none"/>
        </w:rPr>
      </w:pPr>
    </w:p>
    <w:p w14:paraId="6BB7DD6F">
      <w:pPr>
        <w:snapToGrid w:val="0"/>
        <w:spacing w:line="244" w:lineRule="auto"/>
        <w:rPr>
          <w:rStyle w:val="43"/>
          <w:rFonts w:ascii="Arial"/>
          <w:highlight w:val="none"/>
        </w:rPr>
      </w:pPr>
    </w:p>
    <w:p w14:paraId="7B91EBA5">
      <w:pPr>
        <w:snapToGrid w:val="0"/>
        <w:spacing w:line="244" w:lineRule="auto"/>
        <w:rPr>
          <w:rStyle w:val="43"/>
          <w:rFonts w:ascii="Arial"/>
          <w:highlight w:val="none"/>
        </w:rPr>
      </w:pPr>
    </w:p>
    <w:p w14:paraId="2AB03502">
      <w:pPr>
        <w:snapToGrid w:val="0"/>
        <w:spacing w:line="244" w:lineRule="auto"/>
        <w:rPr>
          <w:rStyle w:val="43"/>
          <w:rFonts w:ascii="Arial"/>
          <w:highlight w:val="none"/>
        </w:rPr>
      </w:pPr>
    </w:p>
    <w:p w14:paraId="0A1B225C">
      <w:pPr>
        <w:snapToGrid w:val="0"/>
        <w:spacing w:line="244" w:lineRule="auto"/>
        <w:rPr>
          <w:rStyle w:val="43"/>
          <w:rFonts w:ascii="Arial"/>
          <w:highlight w:val="none"/>
        </w:rPr>
      </w:pPr>
    </w:p>
    <w:p w14:paraId="72D906DF">
      <w:pPr>
        <w:snapToGrid w:val="0"/>
        <w:spacing w:line="244" w:lineRule="auto"/>
        <w:rPr>
          <w:rStyle w:val="43"/>
          <w:rFonts w:ascii="Arial"/>
          <w:highlight w:val="none"/>
        </w:rPr>
      </w:pPr>
    </w:p>
    <w:p w14:paraId="2A82958F">
      <w:pPr>
        <w:snapToGrid w:val="0"/>
        <w:spacing w:line="244" w:lineRule="auto"/>
        <w:rPr>
          <w:rStyle w:val="43"/>
          <w:rFonts w:ascii="Arial"/>
          <w:highlight w:val="none"/>
        </w:rPr>
      </w:pPr>
    </w:p>
    <w:p w14:paraId="70FC36B1">
      <w:pPr>
        <w:snapToGrid w:val="0"/>
        <w:spacing w:line="244" w:lineRule="auto"/>
        <w:rPr>
          <w:rStyle w:val="43"/>
          <w:rFonts w:ascii="Arial"/>
          <w:highlight w:val="none"/>
        </w:rPr>
      </w:pPr>
    </w:p>
    <w:p w14:paraId="592A53AF">
      <w:pPr>
        <w:snapToGrid w:val="0"/>
        <w:spacing w:line="244" w:lineRule="auto"/>
        <w:rPr>
          <w:rStyle w:val="43"/>
          <w:rFonts w:ascii="Arial"/>
          <w:highlight w:val="none"/>
        </w:rPr>
      </w:pPr>
    </w:p>
    <w:p w14:paraId="3EEB39E3">
      <w:pPr>
        <w:snapToGrid w:val="0"/>
        <w:spacing w:line="244" w:lineRule="auto"/>
        <w:rPr>
          <w:rStyle w:val="43"/>
          <w:rFonts w:ascii="Arial"/>
          <w:highlight w:val="none"/>
        </w:rPr>
      </w:pPr>
    </w:p>
    <w:p w14:paraId="3A69AC2A">
      <w:pPr>
        <w:snapToGrid w:val="0"/>
        <w:spacing w:line="244" w:lineRule="auto"/>
        <w:rPr>
          <w:rStyle w:val="43"/>
          <w:rFonts w:ascii="Arial"/>
          <w:highlight w:val="none"/>
        </w:rPr>
      </w:pPr>
    </w:p>
    <w:p w14:paraId="17597768">
      <w:pPr>
        <w:snapToGrid w:val="0"/>
        <w:spacing w:line="244" w:lineRule="auto"/>
        <w:rPr>
          <w:rStyle w:val="43"/>
          <w:rFonts w:ascii="Arial"/>
          <w:highlight w:val="none"/>
        </w:rPr>
      </w:pPr>
    </w:p>
    <w:p w14:paraId="3B3BDDC4">
      <w:pPr>
        <w:snapToGrid w:val="0"/>
        <w:spacing w:line="244" w:lineRule="auto"/>
        <w:rPr>
          <w:rStyle w:val="43"/>
          <w:rFonts w:ascii="Arial"/>
          <w:highlight w:val="none"/>
        </w:rPr>
      </w:pPr>
    </w:p>
    <w:p w14:paraId="47DB98EE">
      <w:pPr>
        <w:snapToGrid w:val="0"/>
        <w:spacing w:line="244" w:lineRule="auto"/>
        <w:rPr>
          <w:rStyle w:val="43"/>
          <w:rFonts w:ascii="Arial"/>
          <w:highlight w:val="none"/>
        </w:rPr>
      </w:pPr>
    </w:p>
    <w:p w14:paraId="379B2108">
      <w:pPr>
        <w:snapToGrid w:val="0"/>
        <w:spacing w:line="244" w:lineRule="auto"/>
        <w:rPr>
          <w:rStyle w:val="43"/>
          <w:rFonts w:ascii="Arial"/>
          <w:highlight w:val="none"/>
        </w:rPr>
      </w:pPr>
    </w:p>
    <w:p w14:paraId="41E0CE3E">
      <w:pPr>
        <w:snapToGrid w:val="0"/>
        <w:spacing w:line="244" w:lineRule="auto"/>
        <w:rPr>
          <w:rStyle w:val="43"/>
          <w:rFonts w:ascii="Arial"/>
          <w:highlight w:val="none"/>
        </w:rPr>
      </w:pPr>
    </w:p>
    <w:p w14:paraId="4F0D9970">
      <w:pPr>
        <w:snapToGrid w:val="0"/>
        <w:spacing w:line="244" w:lineRule="auto"/>
        <w:rPr>
          <w:rStyle w:val="43"/>
          <w:rFonts w:ascii="Arial"/>
          <w:highlight w:val="none"/>
        </w:rPr>
      </w:pPr>
    </w:p>
    <w:p w14:paraId="3CF7DC3E">
      <w:pPr>
        <w:snapToGrid w:val="0"/>
        <w:spacing w:line="244" w:lineRule="auto"/>
        <w:rPr>
          <w:rStyle w:val="43"/>
          <w:rFonts w:ascii="Arial"/>
          <w:highlight w:val="none"/>
        </w:rPr>
      </w:pPr>
    </w:p>
    <w:p w14:paraId="0F462514">
      <w:pPr>
        <w:snapToGrid w:val="0"/>
        <w:spacing w:line="244" w:lineRule="auto"/>
        <w:rPr>
          <w:rStyle w:val="43"/>
          <w:rFonts w:ascii="Arial"/>
          <w:highlight w:val="none"/>
        </w:rPr>
      </w:pPr>
    </w:p>
    <w:p w14:paraId="0A5D2A4E">
      <w:pPr>
        <w:snapToGrid w:val="0"/>
        <w:spacing w:line="245" w:lineRule="auto"/>
        <w:rPr>
          <w:rStyle w:val="43"/>
          <w:rFonts w:ascii="Arial"/>
          <w:highlight w:val="none"/>
        </w:rPr>
      </w:pPr>
    </w:p>
    <w:p w14:paraId="353ADDEA">
      <w:pPr>
        <w:snapToGrid w:val="0"/>
        <w:spacing w:line="245" w:lineRule="auto"/>
        <w:rPr>
          <w:rStyle w:val="43"/>
          <w:rFonts w:ascii="Arial"/>
          <w:highlight w:val="none"/>
        </w:rPr>
      </w:pPr>
    </w:p>
    <w:p w14:paraId="710A3179">
      <w:pPr>
        <w:snapToGrid w:val="0"/>
        <w:spacing w:line="245" w:lineRule="auto"/>
        <w:rPr>
          <w:rStyle w:val="43"/>
          <w:rFonts w:ascii="Arial"/>
          <w:highlight w:val="none"/>
        </w:rPr>
      </w:pPr>
    </w:p>
    <w:p w14:paraId="7C02C6F6">
      <w:pPr>
        <w:snapToGrid w:val="0"/>
        <w:spacing w:before="78" w:line="220" w:lineRule="auto"/>
        <w:jc w:val="right"/>
        <w:rPr>
          <w:rStyle w:val="43"/>
          <w:rFonts w:ascii="宋体" w:hAnsi="宋体"/>
          <w:sz w:val="24"/>
          <w:szCs w:val="24"/>
          <w:highlight w:val="none"/>
        </w:rPr>
      </w:pPr>
      <w:r>
        <w:rPr>
          <w:rStyle w:val="43"/>
          <w:rFonts w:ascii="宋体" w:hAnsi="宋体"/>
          <w:spacing w:val="-17"/>
          <w:sz w:val="24"/>
          <w:szCs w:val="24"/>
          <w:highlight w:val="none"/>
        </w:rPr>
        <w:t>公</w:t>
      </w:r>
    </w:p>
    <w:p w14:paraId="15FCD307">
      <w:pPr>
        <w:snapToGrid w:val="0"/>
        <w:spacing w:before="62" w:line="219" w:lineRule="auto"/>
        <w:ind w:left="9"/>
        <w:rPr>
          <w:rStyle w:val="43"/>
          <w:rFonts w:ascii="宋体" w:hAnsi="宋体"/>
          <w:sz w:val="24"/>
          <w:szCs w:val="24"/>
          <w:highlight w:val="none"/>
        </w:rPr>
      </w:pPr>
      <w:r>
        <w:rPr>
          <w:rStyle w:val="43"/>
          <w:rFonts w:ascii="宋体" w:hAnsi="宋体"/>
          <w:spacing w:val="-2"/>
          <w:sz w:val="24"/>
          <w:szCs w:val="24"/>
          <w:highlight w:val="none"/>
        </w:rPr>
        <w:t>布</w:t>
      </w:r>
      <w:r>
        <w:rPr>
          <w:rStyle w:val="43"/>
          <w:rFonts w:ascii="宋体" w:hAnsi="宋体"/>
          <w:spacing w:val="-1"/>
          <w:sz w:val="24"/>
          <w:szCs w:val="24"/>
          <w:highlight w:val="none"/>
        </w:rPr>
        <w:t>开标结果</w:t>
      </w:r>
    </w:p>
    <w:p w14:paraId="7353B052">
      <w:pPr>
        <w:snapToGrid w:val="0"/>
        <w:spacing w:before="44" w:line="220" w:lineRule="auto"/>
        <w:ind w:left="7"/>
        <w:rPr>
          <w:rStyle w:val="43"/>
          <w:rFonts w:ascii="宋体" w:hAnsi="宋体"/>
          <w:szCs w:val="21"/>
          <w:highlight w:val="none"/>
        </w:rPr>
      </w:pPr>
      <w:r>
        <w:rPr>
          <w:rStyle w:val="43"/>
          <w:rFonts w:ascii="宋体" w:hAnsi="宋体"/>
          <w:spacing w:val="-8"/>
          <w:szCs w:val="21"/>
          <w:highlight w:val="none"/>
        </w:rPr>
        <w:t>解密</w:t>
      </w:r>
      <w:r>
        <w:rPr>
          <w:rStyle w:val="43"/>
          <w:rFonts w:ascii="宋体" w:hAnsi="宋体"/>
          <w:spacing w:val="-7"/>
          <w:szCs w:val="21"/>
          <w:highlight w:val="none"/>
        </w:rPr>
        <w:t>成</w:t>
      </w:r>
      <w:r>
        <w:rPr>
          <w:rStyle w:val="43"/>
          <w:rFonts w:ascii="宋体" w:hAnsi="宋体"/>
          <w:spacing w:val="-4"/>
          <w:szCs w:val="21"/>
          <w:highlight w:val="none"/>
        </w:rPr>
        <w:t>功后投标人可在线等待， 等待公布开标结果。</w:t>
      </w:r>
    </w:p>
    <w:p w14:paraId="1EABC057">
      <w:pPr>
        <w:snapToGrid w:val="0"/>
        <w:rPr>
          <w:rStyle w:val="43"/>
          <w:highlight w:val="none"/>
        </w:rPr>
        <w:sectPr>
          <w:footerReference r:id="rId11" w:type="default"/>
          <w:pgSz w:w="11907" w:h="16839"/>
          <w:pgMar w:top="1431" w:right="1771" w:bottom="1078" w:left="1589" w:header="0" w:footer="864" w:gutter="0"/>
          <w:cols w:space="720" w:num="1"/>
        </w:sectPr>
      </w:pPr>
    </w:p>
    <w:p w14:paraId="1C481E3E">
      <w:pPr>
        <w:snapToGrid w:val="0"/>
        <w:spacing w:before="162" w:line="5935" w:lineRule="exact"/>
        <w:textAlignment w:val="center"/>
        <w:rPr>
          <w:rStyle w:val="43"/>
          <w:highlight w:val="none"/>
        </w:rPr>
      </w:pPr>
      <w:r>
        <w:rPr>
          <w:rStyle w:val="43"/>
          <w:highlight w:val="none"/>
        </w:rPr>
        <w:drawing>
          <wp:inline distT="0" distB="0" distL="114300" distR="114300">
            <wp:extent cx="5270500" cy="3768090"/>
            <wp:effectExtent l="0" t="0" r="6350" b="38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41"/>
                    <a:stretch>
                      <a:fillRect/>
                    </a:stretch>
                  </pic:blipFill>
                  <pic:spPr>
                    <a:xfrm>
                      <a:off x="0" y="0"/>
                      <a:ext cx="5270500" cy="3768090"/>
                    </a:xfrm>
                    <a:prstGeom prst="rect">
                      <a:avLst/>
                    </a:prstGeom>
                    <a:noFill/>
                    <a:ln>
                      <a:noFill/>
                    </a:ln>
                  </pic:spPr>
                </pic:pic>
              </a:graphicData>
            </a:graphic>
          </wp:inline>
        </w:drawing>
      </w:r>
    </w:p>
    <w:p w14:paraId="481C5FAB">
      <w:pPr>
        <w:snapToGrid w:val="0"/>
        <w:spacing w:before="266" w:line="220" w:lineRule="auto"/>
        <w:ind w:left="3894"/>
        <w:rPr>
          <w:rStyle w:val="43"/>
          <w:rFonts w:ascii="宋体" w:hAnsi="宋体"/>
          <w:sz w:val="24"/>
          <w:szCs w:val="24"/>
          <w:highlight w:val="none"/>
        </w:rPr>
      </w:pPr>
      <w:r>
        <w:rPr>
          <w:rStyle w:val="43"/>
          <w:rFonts w:ascii="宋体" w:hAnsi="宋体"/>
          <w:spacing w:val="-2"/>
          <w:sz w:val="24"/>
          <w:szCs w:val="24"/>
          <w:highlight w:val="none"/>
        </w:rPr>
        <w:t>开标</w:t>
      </w:r>
      <w:r>
        <w:rPr>
          <w:rStyle w:val="43"/>
          <w:rFonts w:ascii="宋体" w:hAnsi="宋体"/>
          <w:spacing w:val="-1"/>
          <w:sz w:val="24"/>
          <w:szCs w:val="24"/>
          <w:highlight w:val="none"/>
        </w:rPr>
        <w:t>结束</w:t>
      </w:r>
    </w:p>
    <w:p w14:paraId="0BBD2583">
      <w:pPr>
        <w:snapToGrid w:val="0"/>
        <w:spacing w:before="121" w:line="219" w:lineRule="auto"/>
        <w:ind w:left="9"/>
        <w:rPr>
          <w:rStyle w:val="43"/>
          <w:rFonts w:ascii="宋体" w:hAnsi="宋体"/>
          <w:szCs w:val="21"/>
          <w:highlight w:val="none"/>
        </w:rPr>
      </w:pPr>
      <w:r>
        <w:rPr>
          <w:rStyle w:val="43"/>
          <w:rFonts w:ascii="宋体" w:hAnsi="宋体"/>
          <w:spacing w:val="-1"/>
          <w:szCs w:val="21"/>
          <w:highlight w:val="none"/>
        </w:rPr>
        <w:t>开标结束</w:t>
      </w:r>
      <w:r>
        <w:rPr>
          <w:rStyle w:val="43"/>
          <w:rFonts w:ascii="宋体" w:hAnsi="宋体"/>
          <w:szCs w:val="21"/>
          <w:highlight w:val="none"/>
        </w:rPr>
        <w:t>后投标人可对开标过程进行评价。</w:t>
      </w:r>
    </w:p>
    <w:p w14:paraId="77EDCCA4">
      <w:pPr>
        <w:snapToGrid w:val="0"/>
        <w:spacing w:before="113" w:line="4783" w:lineRule="exact"/>
        <w:textAlignment w:val="center"/>
        <w:rPr>
          <w:rStyle w:val="43"/>
          <w:highlight w:val="none"/>
        </w:rPr>
      </w:pPr>
      <w:r>
        <w:rPr>
          <w:rStyle w:val="43"/>
          <w:highlight w:val="none"/>
        </w:rPr>
        <w:drawing>
          <wp:inline distT="0" distB="0" distL="114300" distR="114300">
            <wp:extent cx="5270500" cy="3035935"/>
            <wp:effectExtent l="0" t="0" r="6350"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42"/>
                    <a:stretch>
                      <a:fillRect/>
                    </a:stretch>
                  </pic:blipFill>
                  <pic:spPr>
                    <a:xfrm>
                      <a:off x="0" y="0"/>
                      <a:ext cx="5270500" cy="3035935"/>
                    </a:xfrm>
                    <a:prstGeom prst="rect">
                      <a:avLst/>
                    </a:prstGeom>
                    <a:noFill/>
                    <a:ln>
                      <a:noFill/>
                    </a:ln>
                  </pic:spPr>
                </pic:pic>
              </a:graphicData>
            </a:graphic>
          </wp:inline>
        </w:drawing>
      </w:r>
    </w:p>
    <w:p w14:paraId="1537116B">
      <w:pPr>
        <w:snapToGrid w:val="0"/>
        <w:rPr>
          <w:rStyle w:val="43"/>
          <w:highlight w:val="none"/>
        </w:rPr>
        <w:sectPr>
          <w:footerReference r:id="rId12" w:type="default"/>
          <w:pgSz w:w="11907" w:h="16839"/>
          <w:pgMar w:top="1431" w:right="1785" w:bottom="1078" w:left="1589" w:header="0" w:footer="864" w:gutter="0"/>
          <w:cols w:space="720" w:num="1"/>
        </w:sectPr>
      </w:pPr>
    </w:p>
    <w:p w14:paraId="0F9AB93E">
      <w:pPr>
        <w:snapToGrid w:val="0"/>
        <w:spacing w:before="204" w:line="217" w:lineRule="auto"/>
        <w:ind w:left="14"/>
        <w:rPr>
          <w:rStyle w:val="43"/>
          <w:rFonts w:ascii="宋体" w:hAnsi="宋体"/>
          <w:sz w:val="36"/>
          <w:szCs w:val="36"/>
          <w:highlight w:val="none"/>
        </w:rPr>
      </w:pPr>
      <w:r>
        <w:rPr>
          <w:rStyle w:val="43"/>
          <w:rFonts w:ascii="宋体" w:hAnsi="宋体"/>
          <w:spacing w:val="-24"/>
          <w:sz w:val="36"/>
          <w:szCs w:val="36"/>
          <w:highlight w:val="none"/>
        </w:rPr>
        <w:t>三</w:t>
      </w:r>
      <w:r>
        <w:rPr>
          <w:rStyle w:val="43"/>
          <w:rFonts w:ascii="宋体" w:hAnsi="宋体"/>
          <w:spacing w:val="-20"/>
          <w:sz w:val="36"/>
          <w:szCs w:val="36"/>
          <w:highlight w:val="none"/>
        </w:rPr>
        <w:t>、 其他功能介绍</w:t>
      </w:r>
    </w:p>
    <w:p w14:paraId="7B098705">
      <w:pPr>
        <w:snapToGrid w:val="0"/>
        <w:spacing w:line="246" w:lineRule="auto"/>
        <w:rPr>
          <w:rStyle w:val="43"/>
          <w:rFonts w:ascii="Arial"/>
          <w:highlight w:val="none"/>
        </w:rPr>
      </w:pPr>
    </w:p>
    <w:p w14:paraId="1E665B3B">
      <w:pPr>
        <w:snapToGrid w:val="0"/>
        <w:spacing w:line="247" w:lineRule="auto"/>
        <w:rPr>
          <w:rStyle w:val="43"/>
          <w:rFonts w:ascii="Arial"/>
          <w:highlight w:val="none"/>
        </w:rPr>
      </w:pPr>
    </w:p>
    <w:p w14:paraId="159F6EAF">
      <w:pPr>
        <w:snapToGrid w:val="0"/>
        <w:spacing w:before="78" w:line="220" w:lineRule="auto"/>
        <w:ind w:left="3897"/>
        <w:rPr>
          <w:rStyle w:val="43"/>
          <w:rFonts w:ascii="宋体" w:hAnsi="宋体"/>
          <w:sz w:val="24"/>
          <w:szCs w:val="24"/>
          <w:highlight w:val="none"/>
        </w:rPr>
      </w:pPr>
      <w:r>
        <w:rPr>
          <w:rStyle w:val="43"/>
          <w:rFonts w:ascii="宋体" w:hAnsi="宋体"/>
          <w:spacing w:val="-3"/>
          <w:sz w:val="24"/>
          <w:szCs w:val="24"/>
          <w:highlight w:val="none"/>
        </w:rPr>
        <w:t>互</w:t>
      </w:r>
      <w:r>
        <w:rPr>
          <w:rStyle w:val="43"/>
          <w:rFonts w:ascii="宋体" w:hAnsi="宋体"/>
          <w:spacing w:val="-2"/>
          <w:sz w:val="24"/>
          <w:szCs w:val="24"/>
          <w:highlight w:val="none"/>
        </w:rPr>
        <w:t>动交流</w:t>
      </w:r>
    </w:p>
    <w:p w14:paraId="520B0E32">
      <w:pPr>
        <w:snapToGrid w:val="0"/>
        <w:spacing w:before="120" w:line="270" w:lineRule="auto"/>
        <w:ind w:left="10"/>
        <w:rPr>
          <w:rStyle w:val="43"/>
          <w:rFonts w:ascii="宋体" w:hAnsi="宋体"/>
          <w:szCs w:val="21"/>
          <w:highlight w:val="none"/>
        </w:rPr>
      </w:pPr>
      <w:r>
        <w:rPr>
          <w:rStyle w:val="43"/>
          <w:rFonts w:ascii="宋体" w:hAnsi="宋体"/>
          <w:spacing w:val="-7"/>
          <w:szCs w:val="21"/>
          <w:highlight w:val="none"/>
        </w:rPr>
        <w:t>投标人可在互动交流页面查看代理机构发出的文字、语音信息， 当代理发起群聊的时候， 投标</w:t>
      </w:r>
      <w:r>
        <w:rPr>
          <w:rStyle w:val="43"/>
          <w:rFonts w:ascii="宋体" w:hAnsi="宋体"/>
          <w:spacing w:val="-3"/>
          <w:szCs w:val="21"/>
          <w:highlight w:val="none"/>
        </w:rPr>
        <w:t>人</w:t>
      </w:r>
      <w:r>
        <w:rPr>
          <w:rStyle w:val="43"/>
          <w:rFonts w:ascii="宋体" w:hAnsi="宋体"/>
          <w:szCs w:val="21"/>
          <w:highlight w:val="none"/>
        </w:rPr>
        <w:t xml:space="preserve"> </w:t>
      </w:r>
      <w:r>
        <w:rPr>
          <w:rStyle w:val="43"/>
          <w:rFonts w:ascii="宋体" w:hAnsi="宋体"/>
          <w:spacing w:val="-1"/>
          <w:szCs w:val="21"/>
          <w:highlight w:val="none"/>
        </w:rPr>
        <w:t>可以文字、语音方式在其中进行响应或回复。</w:t>
      </w:r>
    </w:p>
    <w:p w14:paraId="0060668D">
      <w:pPr>
        <w:snapToGrid w:val="0"/>
        <w:spacing w:line="8023" w:lineRule="exact"/>
        <w:jc w:val="center"/>
        <w:textAlignment w:val="center"/>
        <w:rPr>
          <w:rStyle w:val="43"/>
          <w:highlight w:val="none"/>
        </w:rPr>
      </w:pPr>
      <w:r>
        <w:rPr>
          <w:rStyle w:val="43"/>
          <w:highlight w:val="none"/>
        </w:rPr>
        <w:drawing>
          <wp:inline distT="0" distB="0" distL="114300" distR="114300">
            <wp:extent cx="3798570" cy="5093970"/>
            <wp:effectExtent l="0" t="0" r="1143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43"/>
                    <a:stretch>
                      <a:fillRect/>
                    </a:stretch>
                  </pic:blipFill>
                  <pic:spPr>
                    <a:xfrm>
                      <a:off x="0" y="0"/>
                      <a:ext cx="3798570" cy="5093970"/>
                    </a:xfrm>
                    <a:prstGeom prst="rect">
                      <a:avLst/>
                    </a:prstGeom>
                    <a:noFill/>
                    <a:ln>
                      <a:noFill/>
                    </a:ln>
                  </pic:spPr>
                </pic:pic>
              </a:graphicData>
            </a:graphic>
          </wp:inline>
        </w:drawing>
      </w:r>
    </w:p>
    <w:p w14:paraId="33168979">
      <w:pPr>
        <w:snapToGrid w:val="0"/>
        <w:spacing w:before="100" w:line="286" w:lineRule="auto"/>
        <w:ind w:left="7" w:right="2" w:firstLine="14"/>
        <w:rPr>
          <w:rStyle w:val="43"/>
          <w:rFonts w:ascii="宋体" w:hAnsi="宋体"/>
          <w:szCs w:val="21"/>
          <w:highlight w:val="none"/>
        </w:rPr>
      </w:pPr>
      <w:r>
        <w:rPr>
          <w:rStyle w:val="43"/>
          <w:rFonts w:ascii="宋体" w:hAnsi="宋体"/>
          <w:spacing w:val="-18"/>
          <w:szCs w:val="21"/>
          <w:highlight w:val="none"/>
        </w:rPr>
        <w:t>当</w:t>
      </w:r>
      <w:r>
        <w:rPr>
          <w:rStyle w:val="43"/>
          <w:rFonts w:ascii="宋体" w:hAnsi="宋体"/>
          <w:spacing w:val="-17"/>
          <w:szCs w:val="21"/>
          <w:highlight w:val="none"/>
        </w:rPr>
        <w:t>代</w:t>
      </w:r>
      <w:r>
        <w:rPr>
          <w:rStyle w:val="43"/>
          <w:rFonts w:ascii="宋体" w:hAnsi="宋体"/>
          <w:spacing w:val="-9"/>
          <w:szCs w:val="21"/>
          <w:highlight w:val="none"/>
        </w:rPr>
        <w:t>理开启私聊， 并有人向投标人发送了私聊信息后， 投标人端会在左下角看到有澄清提醒， 点</w:t>
      </w:r>
      <w:r>
        <w:rPr>
          <w:rStyle w:val="43"/>
          <w:rFonts w:ascii="宋体" w:hAnsi="宋体"/>
          <w:szCs w:val="21"/>
          <w:highlight w:val="none"/>
        </w:rPr>
        <w:t xml:space="preserve"> </w:t>
      </w:r>
      <w:r>
        <w:rPr>
          <w:rStyle w:val="43"/>
          <w:rFonts w:ascii="宋体" w:hAnsi="宋体"/>
          <w:spacing w:val="6"/>
          <w:szCs w:val="21"/>
          <w:highlight w:val="none"/>
        </w:rPr>
        <w:t>击</w:t>
      </w:r>
      <w:r>
        <w:rPr>
          <w:rStyle w:val="43"/>
          <w:rFonts w:ascii="宋体" w:hAnsi="宋体"/>
          <w:spacing w:val="4"/>
          <w:szCs w:val="21"/>
          <w:highlight w:val="none"/>
        </w:rPr>
        <w:t>即</w:t>
      </w:r>
      <w:r>
        <w:rPr>
          <w:rStyle w:val="43"/>
          <w:rFonts w:ascii="宋体" w:hAnsi="宋体"/>
          <w:spacing w:val="3"/>
          <w:szCs w:val="21"/>
          <w:highlight w:val="none"/>
        </w:rPr>
        <w:t>可与其进行沟通。(现阶段澄清用于投标人询标时使用。)</w:t>
      </w:r>
    </w:p>
    <w:p w14:paraId="3522A528">
      <w:pPr>
        <w:snapToGrid w:val="0"/>
        <w:rPr>
          <w:rStyle w:val="43"/>
          <w:highlight w:val="none"/>
        </w:rPr>
        <w:sectPr>
          <w:footerReference r:id="rId13" w:type="default"/>
          <w:pgSz w:w="11907" w:h="16839"/>
          <w:pgMar w:top="1431" w:right="1579" w:bottom="1078" w:left="1589" w:header="0" w:footer="864" w:gutter="0"/>
          <w:cols w:space="720" w:num="1"/>
        </w:sectPr>
      </w:pPr>
    </w:p>
    <w:p w14:paraId="394ADC75">
      <w:pPr>
        <w:snapToGrid w:val="0"/>
        <w:spacing w:before="18" w:line="4039" w:lineRule="exact"/>
        <w:jc w:val="center"/>
        <w:textAlignment w:val="center"/>
        <w:rPr>
          <w:rStyle w:val="43"/>
          <w:highlight w:val="none"/>
        </w:rPr>
      </w:pPr>
      <w:r>
        <w:rPr>
          <w:rStyle w:val="43"/>
          <w:highlight w:val="none"/>
        </w:rPr>
        <w:drawing>
          <wp:inline distT="0" distB="0" distL="114300" distR="114300">
            <wp:extent cx="5261610" cy="2564130"/>
            <wp:effectExtent l="0" t="0" r="1524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44"/>
                    <a:stretch>
                      <a:fillRect/>
                    </a:stretch>
                  </pic:blipFill>
                  <pic:spPr>
                    <a:xfrm>
                      <a:off x="0" y="0"/>
                      <a:ext cx="5261610" cy="2564130"/>
                    </a:xfrm>
                    <a:prstGeom prst="rect">
                      <a:avLst/>
                    </a:prstGeom>
                    <a:noFill/>
                    <a:ln>
                      <a:noFill/>
                    </a:ln>
                  </pic:spPr>
                </pic:pic>
              </a:graphicData>
            </a:graphic>
          </wp:inline>
        </w:drawing>
      </w:r>
    </w:p>
    <w:p w14:paraId="5828C159">
      <w:pPr>
        <w:snapToGrid w:val="0"/>
        <w:spacing w:before="85" w:line="7645" w:lineRule="exact"/>
        <w:jc w:val="center"/>
        <w:textAlignment w:val="center"/>
        <w:rPr>
          <w:rStyle w:val="43"/>
          <w:highlight w:val="none"/>
        </w:rPr>
      </w:pPr>
      <w:r>
        <w:rPr>
          <w:rStyle w:val="43"/>
          <w:highlight w:val="none"/>
        </w:rPr>
        <w:drawing>
          <wp:inline distT="0" distB="0" distL="114300" distR="114300">
            <wp:extent cx="5219065" cy="4853940"/>
            <wp:effectExtent l="0" t="0" r="635" b="38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45"/>
                    <a:stretch>
                      <a:fillRect/>
                    </a:stretch>
                  </pic:blipFill>
                  <pic:spPr>
                    <a:xfrm>
                      <a:off x="0" y="0"/>
                      <a:ext cx="5219065" cy="4853940"/>
                    </a:xfrm>
                    <a:prstGeom prst="rect">
                      <a:avLst/>
                    </a:prstGeom>
                    <a:noFill/>
                    <a:ln>
                      <a:noFill/>
                    </a:ln>
                  </pic:spPr>
                </pic:pic>
              </a:graphicData>
            </a:graphic>
          </wp:inline>
        </w:drawing>
      </w:r>
    </w:p>
    <w:p w14:paraId="039AB77C">
      <w:pPr>
        <w:snapToGrid w:val="0"/>
        <w:spacing w:before="193" w:line="220" w:lineRule="auto"/>
        <w:ind w:left="3411"/>
        <w:rPr>
          <w:rStyle w:val="43"/>
          <w:rFonts w:ascii="宋体" w:hAnsi="宋体"/>
          <w:sz w:val="24"/>
          <w:szCs w:val="24"/>
          <w:highlight w:val="none"/>
        </w:rPr>
      </w:pPr>
      <w:r>
        <w:rPr>
          <w:rStyle w:val="43"/>
          <w:rFonts w:ascii="宋体" w:hAnsi="宋体"/>
          <w:spacing w:val="-1"/>
          <w:sz w:val="24"/>
          <w:szCs w:val="24"/>
          <w:highlight w:val="none"/>
        </w:rPr>
        <w:t>开标咨询</w:t>
      </w:r>
      <w:r>
        <w:rPr>
          <w:rStyle w:val="43"/>
          <w:rFonts w:ascii="宋体" w:hAnsi="宋体"/>
          <w:sz w:val="24"/>
          <w:szCs w:val="24"/>
          <w:highlight w:val="none"/>
        </w:rPr>
        <w:t>文字提问</w:t>
      </w:r>
    </w:p>
    <w:p w14:paraId="03EA08EA">
      <w:pPr>
        <w:snapToGrid w:val="0"/>
        <w:spacing w:before="120" w:line="221" w:lineRule="auto"/>
        <w:ind w:left="11"/>
        <w:rPr>
          <w:rStyle w:val="43"/>
          <w:rFonts w:ascii="宋体" w:hAnsi="宋体"/>
          <w:szCs w:val="21"/>
          <w:highlight w:val="none"/>
        </w:rPr>
      </w:pPr>
      <w:r>
        <w:rPr>
          <w:rStyle w:val="43"/>
          <w:rFonts w:ascii="宋体" w:hAnsi="宋体"/>
          <w:spacing w:val="-1"/>
          <w:szCs w:val="21"/>
          <w:highlight w:val="none"/>
        </w:rPr>
        <w:t>投标人可通过</w:t>
      </w:r>
      <w:r>
        <w:rPr>
          <w:rStyle w:val="43"/>
          <w:rFonts w:ascii="宋体" w:hAnsi="宋体"/>
          <w:szCs w:val="21"/>
          <w:highlight w:val="none"/>
        </w:rPr>
        <w:t>开标咨询文字提问向交易中心进行咨询</w:t>
      </w:r>
    </w:p>
    <w:p w14:paraId="649CCB7E">
      <w:pPr>
        <w:snapToGrid w:val="0"/>
        <w:rPr>
          <w:rStyle w:val="43"/>
          <w:highlight w:val="none"/>
        </w:rPr>
        <w:sectPr>
          <w:footerReference r:id="rId14" w:type="default"/>
          <w:pgSz w:w="11907" w:h="16839"/>
          <w:pgMar w:top="1431" w:right="1785" w:bottom="1078" w:left="1589" w:header="0" w:footer="864" w:gutter="0"/>
          <w:cols w:space="720" w:num="1"/>
        </w:sectPr>
      </w:pPr>
    </w:p>
    <w:p w14:paraId="3F83F8A9">
      <w:pPr>
        <w:snapToGrid w:val="0"/>
        <w:spacing w:before="138" w:line="3489" w:lineRule="exact"/>
        <w:jc w:val="center"/>
        <w:textAlignment w:val="center"/>
        <w:rPr>
          <w:rStyle w:val="43"/>
          <w:highlight w:val="none"/>
        </w:rPr>
      </w:pPr>
      <w:r>
        <w:rPr>
          <w:rStyle w:val="43"/>
          <w:highlight w:val="none"/>
        </w:rPr>
        <w:drawing>
          <wp:inline distT="0" distB="0" distL="114300" distR="114300">
            <wp:extent cx="5265420" cy="2215515"/>
            <wp:effectExtent l="0" t="0" r="11430" b="1333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46"/>
                    <a:stretch>
                      <a:fillRect/>
                    </a:stretch>
                  </pic:blipFill>
                  <pic:spPr>
                    <a:xfrm>
                      <a:off x="0" y="0"/>
                      <a:ext cx="5265420" cy="2215515"/>
                    </a:xfrm>
                    <a:prstGeom prst="rect">
                      <a:avLst/>
                    </a:prstGeom>
                    <a:noFill/>
                    <a:ln>
                      <a:noFill/>
                    </a:ln>
                  </pic:spPr>
                </pic:pic>
              </a:graphicData>
            </a:graphic>
          </wp:inline>
        </w:drawing>
      </w:r>
    </w:p>
    <w:p w14:paraId="486DC1C5">
      <w:pPr>
        <w:snapToGrid w:val="0"/>
        <w:spacing w:before="179" w:line="217" w:lineRule="auto"/>
        <w:ind w:left="10"/>
        <w:rPr>
          <w:rStyle w:val="43"/>
          <w:rFonts w:ascii="宋体" w:hAnsi="宋体"/>
          <w:szCs w:val="21"/>
          <w:highlight w:val="none"/>
        </w:rPr>
      </w:pPr>
      <w:r>
        <w:rPr>
          <w:rStyle w:val="43"/>
          <w:rFonts w:ascii="宋体" w:hAnsi="宋体"/>
          <w:spacing w:val="-1"/>
          <w:szCs w:val="21"/>
          <w:highlight w:val="none"/>
        </w:rPr>
        <w:t>填写咨询内容、依据和理由，有相关附件支</w:t>
      </w:r>
      <w:r>
        <w:rPr>
          <w:rStyle w:val="43"/>
          <w:rFonts w:ascii="宋体" w:hAnsi="宋体"/>
          <w:szCs w:val="21"/>
          <w:highlight w:val="none"/>
        </w:rPr>
        <w:t>撑的课上传相关附件。</w:t>
      </w:r>
    </w:p>
    <w:p w14:paraId="10ECA2A6">
      <w:pPr>
        <w:snapToGrid w:val="0"/>
        <w:spacing w:line="358" w:lineRule="auto"/>
        <w:rPr>
          <w:rStyle w:val="43"/>
          <w:rFonts w:ascii="Arial"/>
          <w:highlight w:val="none"/>
        </w:rPr>
      </w:pPr>
    </w:p>
    <w:p w14:paraId="594E2505">
      <w:pPr>
        <w:snapToGrid w:val="0"/>
        <w:spacing w:before="78" w:line="220" w:lineRule="auto"/>
        <w:ind w:left="3902"/>
        <w:rPr>
          <w:rStyle w:val="43"/>
          <w:rFonts w:ascii="宋体" w:hAnsi="宋体"/>
          <w:sz w:val="24"/>
          <w:szCs w:val="24"/>
          <w:highlight w:val="none"/>
        </w:rPr>
      </w:pPr>
      <w:r>
        <w:rPr>
          <w:rStyle w:val="43"/>
          <w:rFonts w:ascii="宋体" w:hAnsi="宋体"/>
          <w:spacing w:val="-6"/>
          <w:sz w:val="24"/>
          <w:szCs w:val="24"/>
          <w:highlight w:val="none"/>
        </w:rPr>
        <w:t>咨</w:t>
      </w:r>
      <w:r>
        <w:rPr>
          <w:rStyle w:val="43"/>
          <w:rFonts w:ascii="宋体" w:hAnsi="宋体"/>
          <w:spacing w:val="-3"/>
          <w:sz w:val="24"/>
          <w:szCs w:val="24"/>
          <w:highlight w:val="none"/>
        </w:rPr>
        <w:t>询查看</w:t>
      </w:r>
    </w:p>
    <w:p w14:paraId="20C7AB27">
      <w:pPr>
        <w:snapToGrid w:val="0"/>
        <w:spacing w:before="121" w:line="218" w:lineRule="auto"/>
        <w:ind w:left="11"/>
        <w:rPr>
          <w:rStyle w:val="43"/>
          <w:rFonts w:ascii="宋体" w:hAnsi="宋体"/>
          <w:szCs w:val="21"/>
          <w:highlight w:val="none"/>
        </w:rPr>
      </w:pPr>
      <w:r>
        <w:rPr>
          <w:rStyle w:val="43"/>
          <w:rFonts w:ascii="宋体" w:hAnsi="宋体"/>
          <w:spacing w:val="-1"/>
          <w:szCs w:val="21"/>
          <w:highlight w:val="none"/>
        </w:rPr>
        <w:t>投标人</w:t>
      </w:r>
      <w:r>
        <w:rPr>
          <w:rStyle w:val="43"/>
          <w:rFonts w:ascii="宋体" w:hAnsi="宋体"/>
          <w:szCs w:val="21"/>
          <w:highlight w:val="none"/>
        </w:rPr>
        <w:t>可通过咨询查看功能查看自己或其他投标人提出的咨询及交易中心回复内容。</w:t>
      </w:r>
    </w:p>
    <w:p w14:paraId="2A72B3FA">
      <w:pPr>
        <w:snapToGrid w:val="0"/>
        <w:spacing w:before="152" w:line="3773" w:lineRule="exact"/>
        <w:jc w:val="center"/>
        <w:textAlignment w:val="center"/>
        <w:rPr>
          <w:rStyle w:val="43"/>
          <w:highlight w:val="none"/>
        </w:rPr>
      </w:pPr>
      <w:r>
        <w:rPr>
          <w:rStyle w:val="43"/>
          <w:highlight w:val="none"/>
        </w:rPr>
        <w:drawing>
          <wp:inline distT="0" distB="0" distL="114300" distR="114300">
            <wp:extent cx="5265420" cy="2395220"/>
            <wp:effectExtent l="0" t="0" r="11430" b="508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47"/>
                    <a:stretch>
                      <a:fillRect/>
                    </a:stretch>
                  </pic:blipFill>
                  <pic:spPr>
                    <a:xfrm>
                      <a:off x="0" y="0"/>
                      <a:ext cx="5265420" cy="2395220"/>
                    </a:xfrm>
                    <a:prstGeom prst="rect">
                      <a:avLst/>
                    </a:prstGeom>
                    <a:noFill/>
                    <a:ln>
                      <a:noFill/>
                    </a:ln>
                  </pic:spPr>
                </pic:pic>
              </a:graphicData>
            </a:graphic>
          </wp:inline>
        </w:drawing>
      </w:r>
    </w:p>
    <w:p w14:paraId="2DFA5474">
      <w:pPr>
        <w:snapToGrid w:val="0"/>
        <w:spacing w:line="288" w:lineRule="auto"/>
        <w:rPr>
          <w:rStyle w:val="43"/>
          <w:rFonts w:ascii="Arial"/>
          <w:highlight w:val="none"/>
        </w:rPr>
      </w:pPr>
    </w:p>
    <w:p w14:paraId="7F81F4CA">
      <w:pPr>
        <w:snapToGrid w:val="0"/>
        <w:spacing w:line="289" w:lineRule="auto"/>
        <w:rPr>
          <w:rStyle w:val="43"/>
          <w:rFonts w:ascii="Arial"/>
          <w:highlight w:val="none"/>
        </w:rPr>
      </w:pPr>
    </w:p>
    <w:p w14:paraId="74CEA7E3">
      <w:pPr>
        <w:snapToGrid w:val="0"/>
        <w:spacing w:before="118" w:line="220" w:lineRule="auto"/>
        <w:ind w:left="48"/>
        <w:rPr>
          <w:rStyle w:val="43"/>
          <w:rFonts w:ascii="Arial"/>
          <w:highlight w:val="none"/>
        </w:rPr>
      </w:pPr>
      <w:r>
        <w:rPr>
          <w:rStyle w:val="43"/>
          <w:rFonts w:ascii="宋体" w:hAnsi="宋体"/>
          <w:spacing w:val="-36"/>
          <w:sz w:val="30"/>
          <w:szCs w:val="30"/>
          <w:highlight w:val="none"/>
        </w:rPr>
        <w:t>四</w:t>
      </w:r>
      <w:r>
        <w:rPr>
          <w:rStyle w:val="43"/>
          <w:rFonts w:ascii="宋体" w:hAnsi="宋体"/>
          <w:spacing w:val="-31"/>
          <w:sz w:val="30"/>
          <w:szCs w:val="30"/>
          <w:highlight w:val="none"/>
        </w:rPr>
        <w:t>、 注意事项</w:t>
      </w:r>
    </w:p>
    <w:p w14:paraId="491CCBCC">
      <w:pPr>
        <w:snapToGrid w:val="0"/>
        <w:spacing w:before="69" w:line="360" w:lineRule="auto"/>
        <w:ind w:right="5" w:firstLine="206" w:firstLineChars="100"/>
        <w:rPr>
          <w:rStyle w:val="43"/>
          <w:rFonts w:ascii="宋体" w:hAnsi="宋体"/>
          <w:spacing w:val="-1"/>
          <w:szCs w:val="21"/>
          <w:highlight w:val="none"/>
        </w:rPr>
      </w:pPr>
      <w:r>
        <w:rPr>
          <w:rStyle w:val="43"/>
          <w:rFonts w:eastAsia="Times New Roman"/>
          <w:spacing w:val="-2"/>
          <w:szCs w:val="21"/>
          <w:highlight w:val="none"/>
        </w:rPr>
        <w:t xml:space="preserve">1 </w:t>
      </w:r>
      <w:r>
        <w:rPr>
          <w:rStyle w:val="43"/>
          <w:rFonts w:ascii="宋体" w:hAnsi="宋体"/>
          <w:spacing w:val="-2"/>
          <w:szCs w:val="21"/>
          <w:highlight w:val="none"/>
        </w:rPr>
        <w:t>、为顺利实现本项目开评标的远程交互，</w:t>
      </w:r>
      <w:r>
        <w:rPr>
          <w:rStyle w:val="43"/>
          <w:rFonts w:ascii="宋体" w:hAnsi="宋体"/>
          <w:spacing w:val="-1"/>
          <w:szCs w:val="21"/>
          <w:highlight w:val="none"/>
        </w:rPr>
        <w:t>建议投标人配置的硬件设施有：高配置电脑、</w:t>
      </w:r>
    </w:p>
    <w:p w14:paraId="1D151E72">
      <w:pPr>
        <w:snapToGrid w:val="0"/>
        <w:spacing w:before="69" w:line="360" w:lineRule="auto"/>
        <w:ind w:right="5"/>
        <w:rPr>
          <w:rStyle w:val="43"/>
          <w:rFonts w:ascii="宋体" w:hAnsi="宋体"/>
          <w:szCs w:val="21"/>
          <w:highlight w:val="none"/>
        </w:rPr>
      </w:pPr>
      <w:r>
        <w:rPr>
          <w:rStyle w:val="43"/>
          <w:rFonts w:ascii="宋体" w:hAnsi="宋体"/>
          <w:spacing w:val="-1"/>
          <w:szCs w:val="21"/>
          <w:highlight w:val="none"/>
        </w:rPr>
        <w:t>高</w:t>
      </w:r>
      <w:r>
        <w:rPr>
          <w:rStyle w:val="43"/>
          <w:rFonts w:ascii="宋体" w:hAnsi="宋体"/>
          <w:spacing w:val="8"/>
          <w:szCs w:val="21"/>
          <w:highlight w:val="none"/>
        </w:rPr>
        <w:t>速稳定的</w:t>
      </w:r>
      <w:r>
        <w:rPr>
          <w:rStyle w:val="43"/>
          <w:rFonts w:ascii="宋体" w:hAnsi="宋体"/>
          <w:spacing w:val="6"/>
          <w:szCs w:val="21"/>
          <w:highlight w:val="none"/>
        </w:rPr>
        <w:t>网</w:t>
      </w:r>
      <w:r>
        <w:rPr>
          <w:rStyle w:val="43"/>
          <w:rFonts w:ascii="宋体" w:hAnsi="宋体"/>
          <w:spacing w:val="4"/>
          <w:szCs w:val="21"/>
          <w:highlight w:val="none"/>
        </w:rPr>
        <w:t>络、电源(不间断) 、</w:t>
      </w:r>
      <w:r>
        <w:rPr>
          <w:rStyle w:val="43"/>
          <w:rFonts w:eastAsia="Times New Roman"/>
          <w:szCs w:val="21"/>
          <w:highlight w:val="none"/>
        </w:rPr>
        <w:t>CA</w:t>
      </w:r>
      <w:r>
        <w:rPr>
          <w:rStyle w:val="43"/>
          <w:rFonts w:eastAsia="Times New Roman"/>
          <w:spacing w:val="4"/>
          <w:szCs w:val="21"/>
          <w:highlight w:val="none"/>
        </w:rPr>
        <w:t xml:space="preserve"> </w:t>
      </w:r>
      <w:r>
        <w:rPr>
          <w:rStyle w:val="43"/>
          <w:rFonts w:ascii="宋体" w:hAnsi="宋体"/>
          <w:spacing w:val="4"/>
          <w:szCs w:val="21"/>
          <w:highlight w:val="none"/>
        </w:rPr>
        <w:t>锁、音视频设备(话筒、耳麦、高清摄像头、音响) ，浏</w:t>
      </w:r>
      <w:r>
        <w:rPr>
          <w:rStyle w:val="43"/>
          <w:rFonts w:ascii="宋体" w:hAnsi="宋体"/>
          <w:spacing w:val="-3"/>
          <w:szCs w:val="21"/>
          <w:highlight w:val="none"/>
        </w:rPr>
        <w:t xml:space="preserve">览器要求使用 </w:t>
      </w:r>
      <w:r>
        <w:rPr>
          <w:rStyle w:val="43"/>
          <w:rFonts w:eastAsia="Times New Roman"/>
          <w:spacing w:val="-3"/>
          <w:szCs w:val="21"/>
          <w:highlight w:val="none"/>
        </w:rPr>
        <w:t xml:space="preserve">IE11 </w:t>
      </w:r>
      <w:r>
        <w:rPr>
          <w:rStyle w:val="43"/>
          <w:rFonts w:ascii="宋体" w:hAnsi="宋体"/>
          <w:spacing w:val="-3"/>
          <w:szCs w:val="21"/>
          <w:highlight w:val="none"/>
        </w:rPr>
        <w:t xml:space="preserve">浏览器，且电脑已经正确安装了陕西省公共资源 </w:t>
      </w:r>
      <w:r>
        <w:rPr>
          <w:rStyle w:val="43"/>
          <w:rFonts w:eastAsia="Times New Roman"/>
          <w:spacing w:val="-2"/>
          <w:szCs w:val="21"/>
          <w:highlight w:val="none"/>
        </w:rPr>
        <w:t>C</w:t>
      </w:r>
      <w:r>
        <w:rPr>
          <w:rStyle w:val="43"/>
          <w:rFonts w:eastAsia="Times New Roman"/>
          <w:szCs w:val="21"/>
          <w:highlight w:val="none"/>
        </w:rPr>
        <w:t>A</w:t>
      </w:r>
      <w:r>
        <w:rPr>
          <w:rStyle w:val="43"/>
          <w:rFonts w:eastAsia="Times New Roman"/>
          <w:spacing w:val="-3"/>
          <w:szCs w:val="21"/>
          <w:highlight w:val="none"/>
        </w:rPr>
        <w:t xml:space="preserve"> </w:t>
      </w:r>
      <w:r>
        <w:rPr>
          <w:rStyle w:val="43"/>
          <w:rFonts w:ascii="宋体" w:hAnsi="宋体"/>
          <w:spacing w:val="-3"/>
          <w:szCs w:val="21"/>
          <w:highlight w:val="none"/>
        </w:rPr>
        <w:t>驱动。</w:t>
      </w:r>
    </w:p>
    <w:p w14:paraId="1F10CA27">
      <w:pPr>
        <w:snapToGrid w:val="0"/>
        <w:spacing w:before="1" w:line="360" w:lineRule="auto"/>
        <w:ind w:firstLine="200" w:firstLineChars="100"/>
        <w:rPr>
          <w:rStyle w:val="43"/>
          <w:rFonts w:eastAsia="Times New Roman"/>
          <w:szCs w:val="21"/>
          <w:highlight w:val="none"/>
        </w:rPr>
      </w:pPr>
      <w:r>
        <w:rPr>
          <w:rStyle w:val="43"/>
          <w:rFonts w:eastAsia="Times New Roman"/>
          <w:spacing w:val="-5"/>
          <w:szCs w:val="21"/>
          <w:highlight w:val="none"/>
        </w:rPr>
        <w:t>2</w:t>
      </w:r>
      <w:r>
        <w:rPr>
          <w:rStyle w:val="43"/>
          <w:spacing w:val="-3"/>
          <w:szCs w:val="21"/>
          <w:highlight w:val="none"/>
        </w:rPr>
        <w:t>、</w:t>
      </w:r>
      <w:r>
        <w:rPr>
          <w:rStyle w:val="43"/>
          <w:rFonts w:ascii="宋体" w:hAnsi="宋体"/>
          <w:spacing w:val="-3"/>
          <w:szCs w:val="21"/>
          <w:highlight w:val="none"/>
        </w:rPr>
        <w:t xml:space="preserve">建议投标人在开标前 </w:t>
      </w:r>
      <w:r>
        <w:rPr>
          <w:rStyle w:val="43"/>
          <w:rFonts w:eastAsia="Times New Roman"/>
          <w:spacing w:val="-3"/>
          <w:szCs w:val="21"/>
          <w:highlight w:val="none"/>
        </w:rPr>
        <w:t xml:space="preserve">1 </w:t>
      </w:r>
      <w:r>
        <w:rPr>
          <w:rStyle w:val="43"/>
          <w:rFonts w:ascii="宋体" w:hAnsi="宋体"/>
          <w:spacing w:val="-3"/>
          <w:szCs w:val="21"/>
          <w:highlight w:val="none"/>
        </w:rPr>
        <w:t xml:space="preserve">小时内登录不见面开标大厅，并及时签到(开标前 </w:t>
      </w:r>
      <w:r>
        <w:rPr>
          <w:rStyle w:val="43"/>
          <w:rFonts w:eastAsia="Times New Roman"/>
          <w:spacing w:val="-3"/>
          <w:szCs w:val="21"/>
          <w:highlight w:val="none"/>
        </w:rPr>
        <w:t xml:space="preserve">60 </w:t>
      </w:r>
      <w:r>
        <w:rPr>
          <w:rStyle w:val="43"/>
          <w:rFonts w:ascii="宋体" w:hAnsi="宋体"/>
          <w:spacing w:val="-3"/>
          <w:szCs w:val="21"/>
          <w:highlight w:val="none"/>
        </w:rPr>
        <w:t>分钟开始签</w:t>
      </w:r>
      <w:r>
        <w:rPr>
          <w:rStyle w:val="43"/>
          <w:rFonts w:ascii="宋体" w:hAnsi="宋体"/>
          <w:szCs w:val="21"/>
          <w:highlight w:val="none"/>
        </w:rPr>
        <w:t xml:space="preserve"> </w:t>
      </w:r>
      <w:r>
        <w:rPr>
          <w:rStyle w:val="43"/>
          <w:rFonts w:ascii="宋体" w:hAnsi="宋体"/>
          <w:spacing w:val="-4"/>
          <w:szCs w:val="21"/>
          <w:highlight w:val="none"/>
        </w:rPr>
        <w:t>到)， 遇到</w:t>
      </w:r>
      <w:r>
        <w:rPr>
          <w:rStyle w:val="43"/>
          <w:rFonts w:ascii="宋体" w:hAnsi="宋体"/>
          <w:spacing w:val="-2"/>
          <w:szCs w:val="21"/>
          <w:highlight w:val="none"/>
        </w:rPr>
        <w:t xml:space="preserve">问题及时联系客服 </w:t>
      </w:r>
      <w:r>
        <w:rPr>
          <w:rStyle w:val="43"/>
          <w:rFonts w:eastAsia="Times New Roman"/>
          <w:spacing w:val="-2"/>
          <w:szCs w:val="21"/>
          <w:highlight w:val="none"/>
        </w:rPr>
        <w:t>4009980000</w:t>
      </w:r>
    </w:p>
    <w:p w14:paraId="3299096E">
      <w:pPr>
        <w:snapToGrid w:val="0"/>
        <w:spacing w:before="69" w:line="360" w:lineRule="auto"/>
        <w:ind w:right="5" w:firstLine="206" w:firstLineChars="100"/>
        <w:rPr>
          <w:rStyle w:val="43"/>
          <w:rFonts w:eastAsia="Times New Roman"/>
          <w:spacing w:val="-2"/>
          <w:szCs w:val="21"/>
          <w:highlight w:val="none"/>
        </w:rPr>
      </w:pPr>
      <w:r>
        <w:rPr>
          <w:rStyle w:val="43"/>
          <w:rFonts w:eastAsia="Times New Roman"/>
          <w:spacing w:val="-2"/>
          <w:szCs w:val="21"/>
          <w:highlight w:val="none"/>
        </w:rPr>
        <w:t>3、投标人需注意 CA 锁一定要提前准备好， 并确保 CA 锁为制作投标文件的 CA 锁。</w:t>
      </w:r>
    </w:p>
    <w:p w14:paraId="29DB85E8">
      <w:pPr>
        <w:snapToGrid w:val="0"/>
        <w:spacing w:before="69" w:line="360" w:lineRule="auto"/>
        <w:ind w:right="5" w:firstLine="206" w:firstLineChars="100"/>
        <w:rPr>
          <w:rStyle w:val="43"/>
          <w:rFonts w:ascii="宋体" w:hAnsi="宋体"/>
          <w:szCs w:val="21"/>
          <w:highlight w:val="none"/>
          <w:lang w:val="zh-CN"/>
        </w:rPr>
      </w:pPr>
      <w:r>
        <w:rPr>
          <w:rStyle w:val="43"/>
          <w:rFonts w:eastAsia="Times New Roman"/>
          <w:spacing w:val="-2"/>
          <w:szCs w:val="21"/>
          <w:highlight w:val="none"/>
        </w:rPr>
        <w:t>4、及时关注右侧公告及互动栏目信息。</w:t>
      </w:r>
    </w:p>
    <w:sectPr>
      <w:headerReference r:id="rId16" w:type="first"/>
      <w:footerReference r:id="rId18" w:type="first"/>
      <w:headerReference r:id="rId15" w:type="default"/>
      <w:footerReference r:id="rId17" w:type="default"/>
      <w:pgSz w:w="11906" w:h="16838"/>
      <w:pgMar w:top="1440" w:right="1531" w:bottom="1440" w:left="1531" w:header="851" w:footer="992" w:gutter="0"/>
      <w:cols w:space="720" w:num="1"/>
      <w:titlePg/>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2FD3">
    <w:pPr>
      <w:spacing w:line="219" w:lineRule="auto"/>
      <w:rPr>
        <w:rStyle w:val="43"/>
        <w:rFonts w:ascii="宋体" w:hAnsi="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44FD">
    <w:pPr>
      <w:spacing w:line="219" w:lineRule="auto"/>
      <w:ind w:left="4102"/>
      <w:rPr>
        <w:rStyle w:val="43"/>
        <w:rFonts w:ascii="宋体" w:hAnsi="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ACDF3">
                          <w:pPr>
                            <w:pStyle w:val="2"/>
                          </w:pPr>
                          <w:r>
                            <w:t xml:space="preserve">第 </w:t>
                          </w:r>
                          <w:r>
                            <w:fldChar w:fldCharType="begin"/>
                          </w:r>
                          <w:r>
                            <w:instrText xml:space="preserve"> PAGE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409ACDF3">
                    <w:pPr>
                      <w:pStyle w:val="2"/>
                    </w:pPr>
                    <w:r>
                      <w:t xml:space="preserve">第 </w:t>
                    </w:r>
                    <w:r>
                      <w:fldChar w:fldCharType="begin"/>
                    </w:r>
                    <w:r>
                      <w:instrText xml:space="preserve"> PAGE  \* MERGEFORMAT </w:instrText>
                    </w:r>
                    <w:r>
                      <w:fldChar w:fldCharType="separate"/>
                    </w:r>
                    <w:r>
                      <w:t>122</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6432" behindDoc="0" locked="0" layoutInCell="1" allowOverlap="1">
              <wp:simplePos x="0" y="0"/>
              <wp:positionH relativeFrom="margin">
                <wp:posOffset>2231390</wp:posOffset>
              </wp:positionH>
              <wp:positionV relativeFrom="paragraph">
                <wp:posOffset>-7620</wp:posOffset>
              </wp:positionV>
              <wp:extent cx="1828800" cy="1828800"/>
              <wp:effectExtent l="0" t="0" r="0" b="0"/>
              <wp:wrapNone/>
              <wp:docPr id="2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F0B89F">
                          <w:pPr>
                            <w:pStyle w:val="2"/>
                            <w:rPr>
                              <w:rStyle w:val="43"/>
                            </w:rPr>
                          </w:pPr>
                          <w:r>
                            <w:rPr>
                              <w:rStyle w:val="43"/>
                              <w:rFonts w:hint="eastAsia"/>
                            </w:rPr>
                            <w:t xml:space="preserve">     </w:t>
                          </w:r>
                          <w:r>
                            <w:rPr>
                              <w:rStyle w:val="43"/>
                            </w:rPr>
                            <w:t>第</w:t>
                          </w:r>
                          <w:r>
                            <w:rPr>
                              <w:rStyle w:val="43"/>
                              <w:rFonts w:hint="eastAsia"/>
                            </w:rPr>
                            <w:t xml:space="preserve"> </w:t>
                          </w:r>
                          <w:r>
                            <w:rPr>
                              <w:rStyle w:val="43"/>
                            </w:rPr>
                            <w:t xml:space="preserve">  页 </w:t>
                          </w:r>
                        </w:p>
                        <w:p w14:paraId="6B56E2E9">
                          <w:pPr>
                            <w:rPr>
                              <w:rStyle w:val="43"/>
                            </w:rPr>
                          </w:pPr>
                        </w:p>
                      </w:txbxContent>
                    </wps:txbx>
                    <wps:bodyPr lIns="0" tIns="0" rIns="0" bIns="0" upright="1"/>
                  </wps:wsp>
                </a:graphicData>
              </a:graphic>
            </wp:anchor>
          </w:drawing>
        </mc:Choice>
        <mc:Fallback>
          <w:pict>
            <v:shape id="文本框 8" o:spid="_x0000_s1026" o:spt="202" type="#_x0000_t202" style="position:absolute;left:0pt;margin-left:175.7pt;margin-top:-0.6pt;height:144pt;width:144pt;mso-position-horizontal-relative:margin;z-index:251666432;mso-width-relative:page;mso-height-relative:page;" filled="f" stroked="f" coordsize="21600,21600" o:gfxdata="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nkC0DZAAAACgEAAA8AAAAAAAAAAQAgAAAAIgAAAGRycy9kb3ducmV2Lnht&#10;bFBLAQIUABQAAAAIAIdO4kC634tUvwEAAH4DAAAOAAAAAAAAAAEAIAAAACgBAABkcnMvZTJvRG9j&#10;LnhtbFBLBQYAAAAABgAGAFkBAABZBQAAAAA=&#10;">
              <v:fill on="f" focussize="0,0"/>
              <v:stroke on="f" weight="1.25pt"/>
              <v:imagedata o:title=""/>
              <o:lock v:ext="edit" aspectratio="f"/>
              <v:textbox inset="0mm,0mm,0mm,0mm">
                <w:txbxContent>
                  <w:p w14:paraId="70F0B89F">
                    <w:pPr>
                      <w:pStyle w:val="2"/>
                      <w:rPr>
                        <w:rStyle w:val="43"/>
                      </w:rPr>
                    </w:pPr>
                    <w:r>
                      <w:rPr>
                        <w:rStyle w:val="43"/>
                        <w:rFonts w:hint="eastAsia"/>
                      </w:rPr>
                      <w:t xml:space="preserve">     </w:t>
                    </w:r>
                    <w:r>
                      <w:rPr>
                        <w:rStyle w:val="43"/>
                      </w:rPr>
                      <w:t>第</w:t>
                    </w:r>
                    <w:r>
                      <w:rPr>
                        <w:rStyle w:val="43"/>
                        <w:rFonts w:hint="eastAsia"/>
                      </w:rPr>
                      <w:t xml:space="preserve"> </w:t>
                    </w:r>
                    <w:r>
                      <w:rPr>
                        <w:rStyle w:val="43"/>
                      </w:rPr>
                      <w:t xml:space="preserve">  页 </w:t>
                    </w:r>
                  </w:p>
                  <w:p w14:paraId="6B56E2E9">
                    <w:pPr>
                      <w:rPr>
                        <w:rStyle w:val="43"/>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6DB2">
    <w:pPr>
      <w:spacing w:line="219" w:lineRule="auto"/>
      <w:ind w:left="4102"/>
      <w:rPr>
        <w:rStyle w:val="43"/>
        <w:rFonts w:ascii="宋体" w:hAnsi="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0579E">
                          <w:pPr>
                            <w:pStyle w:val="2"/>
                          </w:pPr>
                          <w:r>
                            <w:t xml:space="preserve">第 </w:t>
                          </w:r>
                          <w:r>
                            <w:fldChar w:fldCharType="begin"/>
                          </w:r>
                          <w:r>
                            <w:instrText xml:space="preserve"> PAGE  \* MERGEFORMAT </w:instrText>
                          </w:r>
                          <w:r>
                            <w:fldChar w:fldCharType="separate"/>
                          </w:r>
                          <w:r>
                            <w:t>123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3430579E">
                    <w:pPr>
                      <w:pStyle w:val="2"/>
                    </w:pPr>
                    <w:r>
                      <w:t xml:space="preserve">第 </w:t>
                    </w:r>
                    <w:r>
                      <w:fldChar w:fldCharType="begin"/>
                    </w:r>
                    <w:r>
                      <w:instrText xml:space="preserve"> PAGE  \* MERGEFORMAT </w:instrText>
                    </w:r>
                    <w:r>
                      <w:fldChar w:fldCharType="separate"/>
                    </w:r>
                    <w:r>
                      <w:t>123</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7456" behindDoc="0" locked="0" layoutInCell="1" allowOverlap="1">
              <wp:simplePos x="0" y="0"/>
              <wp:positionH relativeFrom="margin">
                <wp:posOffset>2654935</wp:posOffset>
              </wp:positionH>
              <wp:positionV relativeFrom="paragraph">
                <wp:posOffset>21590</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560B83">
                          <w:pPr>
                            <w:pStyle w:val="2"/>
                            <w:rPr>
                              <w:rStyle w:val="43"/>
                            </w:rPr>
                          </w:pPr>
                          <w:r>
                            <w:rPr>
                              <w:rStyle w:val="43"/>
                            </w:rPr>
                            <w:t xml:space="preserve"> </w:t>
                          </w:r>
                        </w:p>
                        <w:p w14:paraId="10F9CA7B">
                          <w:pPr>
                            <w:rPr>
                              <w:rStyle w:val="43"/>
                            </w:rPr>
                          </w:pPr>
                        </w:p>
                      </w:txbxContent>
                    </wps:txbx>
                    <wps:bodyPr lIns="0" tIns="0" rIns="0" bIns="0" upright="1"/>
                  </wps:wsp>
                </a:graphicData>
              </a:graphic>
            </wp:anchor>
          </w:drawing>
        </mc:Choice>
        <mc:Fallback>
          <w:pict>
            <v:shape id="文本框 9" o:spid="_x0000_s1026" o:spt="202" type="#_x0000_t202" style="position:absolute;left:0pt;margin-left:209.05pt;margin-top:1.7pt;height:144pt;width:144pt;mso-position-horizontal-relative:margin;z-index:251667456;mso-width-relative:page;mso-height-relative:page;" filled="f" stroked="f" coordsize="21600,21600" o:gfxdata="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7s/pdgAAAAJAQAADwAAAAAAAAABACAAAAAiAAAAZHJzL2Rvd25yZXYueG1s&#10;UEsBAhQAFAAAAAgAh07iQCFoia6/AQAAfgMAAA4AAAAAAAAAAQAgAAAAJwEAAGRycy9lMm9Eb2Mu&#10;eG1sUEsFBgAAAAAGAAYAWQEAAFgFAAAAAA==&#10;">
              <v:fill on="f" focussize="0,0"/>
              <v:stroke on="f" weight="1.25pt"/>
              <v:imagedata o:title=""/>
              <o:lock v:ext="edit" aspectratio="f"/>
              <v:textbox inset="0mm,0mm,0mm,0mm">
                <w:txbxContent>
                  <w:p w14:paraId="70560B83">
                    <w:pPr>
                      <w:pStyle w:val="2"/>
                      <w:rPr>
                        <w:rStyle w:val="43"/>
                      </w:rPr>
                    </w:pPr>
                    <w:r>
                      <w:rPr>
                        <w:rStyle w:val="43"/>
                      </w:rPr>
                      <w:t xml:space="preserve"> </w:t>
                    </w:r>
                  </w:p>
                  <w:p w14:paraId="10F9CA7B">
                    <w:pPr>
                      <w:rPr>
                        <w:rStyle w:val="43"/>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2BBA">
    <w:pPr>
      <w:spacing w:line="219" w:lineRule="auto"/>
      <w:ind w:left="4102"/>
      <w:rPr>
        <w:rStyle w:val="43"/>
        <w:rFonts w:ascii="宋体" w:hAnsi="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C4B2C">
                          <w:pPr>
                            <w:pStyle w:val="2"/>
                          </w:pPr>
                          <w:r>
                            <w:t xml:space="preserve">第 </w:t>
                          </w:r>
                          <w:r>
                            <w:fldChar w:fldCharType="begin"/>
                          </w:r>
                          <w:r>
                            <w:instrText xml:space="preserve"> PAGE  \* MERGEFORMAT </w:instrText>
                          </w:r>
                          <w:r>
                            <w:fldChar w:fldCharType="separate"/>
                          </w:r>
                          <w:r>
                            <w:t>124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061C4B2C">
                    <w:pPr>
                      <w:pStyle w:val="2"/>
                    </w:pPr>
                    <w:r>
                      <w:t xml:space="preserve">第 </w:t>
                    </w:r>
                    <w:r>
                      <w:fldChar w:fldCharType="begin"/>
                    </w:r>
                    <w:r>
                      <w:instrText xml:space="preserve"> PAGE  \* MERGEFORMAT </w:instrText>
                    </w:r>
                    <w:r>
                      <w:fldChar w:fldCharType="separate"/>
                    </w:r>
                    <w:r>
                      <w:t>124</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8480" behindDoc="0" locked="0" layoutInCell="1" allowOverlap="1">
              <wp:simplePos x="0" y="0"/>
              <wp:positionH relativeFrom="margin">
                <wp:posOffset>2193925</wp:posOffset>
              </wp:positionH>
              <wp:positionV relativeFrom="paragraph">
                <wp:posOffset>14605</wp:posOffset>
              </wp:positionV>
              <wp:extent cx="979170" cy="147955"/>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979170" cy="147955"/>
                      </a:xfrm>
                      <a:prstGeom prst="rect">
                        <a:avLst/>
                      </a:prstGeom>
                      <a:noFill/>
                      <a:ln w="15875">
                        <a:noFill/>
                      </a:ln>
                    </wps:spPr>
                    <wps:txbx>
                      <w:txbxContent>
                        <w:p w14:paraId="24E72E06">
                          <w:pPr>
                            <w:pStyle w:val="2"/>
                            <w:rPr>
                              <w:rStyle w:val="43"/>
                            </w:rPr>
                          </w:pPr>
                          <w:r>
                            <w:rPr>
                              <w:rStyle w:val="43"/>
                            </w:rPr>
                            <w:t xml:space="preserve"> </w:t>
                          </w:r>
                        </w:p>
                        <w:p w14:paraId="2FF7D95D">
                          <w:pPr>
                            <w:rPr>
                              <w:rStyle w:val="43"/>
                            </w:rPr>
                          </w:pPr>
                        </w:p>
                      </w:txbxContent>
                    </wps:txbx>
                    <wps:bodyPr lIns="0" tIns="0" rIns="0" bIns="0" upright="1"/>
                  </wps:wsp>
                </a:graphicData>
              </a:graphic>
            </wp:anchor>
          </w:drawing>
        </mc:Choice>
        <mc:Fallback>
          <w:pict>
            <v:shape id="文本框 10" o:spid="_x0000_s1026" o:spt="202" type="#_x0000_t202" style="position:absolute;left:0pt;margin-left:172.75pt;margin-top:1.15pt;height:11.65pt;width:77.1pt;mso-position-horizontal-relative:margin;z-index:251668480;mso-width-relative:page;mso-height-relative:page;" filled="f" stroked="f" coordsize="21600,21600" o:gfxdata="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kIhNgAAAAIAQAADwAAAAAAAAABACAAAAAiAAAAZHJzL2Rvd25yZXYu&#10;eG1sUEsBAhQAFAAAAAgAh07iQFnWtzzCAQAAfQMAAA4AAAAAAAAAAQAgAAAAJwEAAGRycy9lMm9E&#10;b2MueG1sUEsFBgAAAAAGAAYAWQEAAFsFAAAAAA==&#10;">
              <v:fill on="f" focussize="0,0"/>
              <v:stroke on="f" weight="1.25pt"/>
              <v:imagedata o:title=""/>
              <o:lock v:ext="edit" aspectratio="f"/>
              <v:textbox inset="0mm,0mm,0mm,0mm">
                <w:txbxContent>
                  <w:p w14:paraId="24E72E06">
                    <w:pPr>
                      <w:pStyle w:val="2"/>
                      <w:rPr>
                        <w:rStyle w:val="43"/>
                      </w:rPr>
                    </w:pPr>
                    <w:r>
                      <w:rPr>
                        <w:rStyle w:val="43"/>
                      </w:rPr>
                      <w:t xml:space="preserve"> </w:t>
                    </w:r>
                  </w:p>
                  <w:p w14:paraId="2FF7D95D">
                    <w:pPr>
                      <w:rPr>
                        <w:rStyle w:val="43"/>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636A">
    <w:pPr>
      <w:pStyle w:val="2"/>
      <w:jc w:val="center"/>
      <w:rPr>
        <w:rStyle w:val="43"/>
      </w:rP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5C314">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70D5C314">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Style w:val="4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7D4626">
                          <w:pPr>
                            <w:pStyle w:val="2"/>
                            <w:rPr>
                              <w:rStyle w:val="43"/>
                            </w:rPr>
                          </w:pPr>
                          <w:r>
                            <w:rPr>
                              <w:rStyle w:val="43"/>
                            </w:rPr>
                            <w:t>第  页 共 64 页</w:t>
                          </w:r>
                        </w:p>
                        <w:p w14:paraId="4FD3A8AB">
                          <w:pPr>
                            <w:rPr>
                              <w:rStyle w:val="43"/>
                            </w:rPr>
                          </w:pPr>
                        </w:p>
                      </w:txbxContent>
                    </wps:txbx>
                    <wps:bodyPr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Hbp1lq/AQAAfwMAAA4AAAAAAAAAAQAgAAAAIQEAAGRycy9lMm9Eb2MueG1sUEsF&#10;BgAAAAAGAAYAWQEAAFIFAAAAAA==&#10;">
              <v:fill on="f" focussize="0,0"/>
              <v:stroke on="f" weight="1.25pt"/>
              <v:imagedata o:title=""/>
              <o:lock v:ext="edit" aspectratio="f"/>
              <v:textbox inset="0mm,0mm,0mm,0mm">
                <w:txbxContent>
                  <w:p w14:paraId="517D4626">
                    <w:pPr>
                      <w:pStyle w:val="2"/>
                      <w:rPr>
                        <w:rStyle w:val="43"/>
                      </w:rPr>
                    </w:pPr>
                    <w:r>
                      <w:rPr>
                        <w:rStyle w:val="43"/>
                      </w:rPr>
                      <w:t>第  页 共 64 页</w:t>
                    </w:r>
                  </w:p>
                  <w:p w14:paraId="4FD3A8AB">
                    <w:pPr>
                      <w:rPr>
                        <w:rStyle w:val="43"/>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14B0">
    <w:pPr>
      <w:pStyle w:val="2"/>
      <w:jc w:val="center"/>
      <w:rPr>
        <w:rStyle w:val="43"/>
      </w:rP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8EED9">
                          <w:pPr>
                            <w:pStyle w:val="2"/>
                          </w:pPr>
                          <w:r>
                            <w:t xml:space="preserve">第 </w:t>
                          </w:r>
                          <w:r>
                            <w:fldChar w:fldCharType="begin"/>
                          </w:r>
                          <w:r>
                            <w:instrText xml:space="preserve"> PAGE  \* MERGEFORMAT </w:instrText>
                          </w:r>
                          <w:r>
                            <w:fldChar w:fldCharType="separate"/>
                          </w:r>
                          <w:r>
                            <w:t>125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3F78EED9">
                    <w:pPr>
                      <w:pStyle w:val="2"/>
                    </w:pPr>
                    <w:r>
                      <w:t xml:space="preserve">第 </w:t>
                    </w:r>
                    <w:r>
                      <w:fldChar w:fldCharType="begin"/>
                    </w:r>
                    <w:r>
                      <w:instrText xml:space="preserve"> PAGE  \* MERGEFORMAT </w:instrText>
                    </w:r>
                    <w:r>
                      <w:fldChar w:fldCharType="separate"/>
                    </w:r>
                    <w:r>
                      <w:t>125</w:t>
                    </w:r>
                    <w:r>
                      <w:fldChar w:fldCharType="end"/>
                    </w:r>
                    <w:r>
                      <w:t xml:space="preserve"> 页</w:t>
                    </w:r>
                  </w:p>
                </w:txbxContent>
              </v:textbox>
            </v:shape>
          </w:pict>
        </mc:Fallback>
      </mc:AlternateContent>
    </w:r>
    <w:r>
      <w:rPr>
        <w:rStyle w:val="4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EC511A">
                          <w:pPr>
                            <w:pStyle w:val="2"/>
                            <w:rPr>
                              <w:rStyle w:val="43"/>
                              <w:sz w:val="21"/>
                            </w:rPr>
                          </w:pPr>
                          <w:r>
                            <w:rPr>
                              <w:rStyle w:val="43"/>
                            </w:rPr>
                            <w:t xml:space="preserve"> </w:t>
                          </w:r>
                          <w:r>
                            <w:rPr>
                              <w:rStyle w:val="43"/>
                              <w:rFonts w:hint="eastAsia"/>
                            </w:rPr>
                            <w:t xml:space="preserve"> </w:t>
                          </w:r>
                        </w:p>
                      </w:txbxContent>
                    </wps:txbx>
                    <wps:bodyPr lIns="0" tIns="0" rIns="0" bIns="0" upright="1"/>
                  </wps:wsp>
                </a:graphicData>
              </a:graphic>
            </wp:anchor>
          </w:drawing>
        </mc:Choice>
        <mc:Fallback>
          <w:pict>
            <v:shape id="文本框 12" o:spid="_x0000_s1026" o:spt="202" type="#_x0000_t202" style="position:absolute;left:0pt;margin-top:0pt;height:144pt;width:144pt;mso-position-horizontal:center;mso-position-horizontal-relative:margin;z-index:25167052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CIzyLwwAEAAH8DAAAOAAAAAAAAAAEAIAAAACEBAABkcnMvZTJvRG9jLnhtbFBL&#10;BQYAAAAABgAGAFkBAABTBQAAAAA=&#10;">
              <v:fill on="f" focussize="0,0"/>
              <v:stroke on="f" weight="1.25pt"/>
              <v:imagedata o:title=""/>
              <o:lock v:ext="edit" aspectratio="f"/>
              <v:textbox inset="0mm,0mm,0mm,0mm">
                <w:txbxContent>
                  <w:p w14:paraId="3CEC511A">
                    <w:pPr>
                      <w:pStyle w:val="2"/>
                      <w:rPr>
                        <w:rStyle w:val="43"/>
                        <w:sz w:val="21"/>
                      </w:rPr>
                    </w:pPr>
                    <w:r>
                      <w:rPr>
                        <w:rStyle w:val="43"/>
                      </w:rPr>
                      <w:t xml:space="preserve"> </w:t>
                    </w:r>
                    <w:r>
                      <w:rPr>
                        <w:rStyle w:val="43"/>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2CBD">
    <w:pPr>
      <w:spacing w:line="219" w:lineRule="auto"/>
      <w:rPr>
        <w:rStyle w:val="43"/>
        <w:rFonts w:ascii="宋体" w:hAnsi="宋体"/>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6ECCF">
                          <w:pPr>
                            <w:pStyle w:val="2"/>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3D76ECCF">
                    <w:pPr>
                      <w:pStyle w:val="2"/>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213E">
    <w:pPr>
      <w:spacing w:line="219" w:lineRule="auto"/>
      <w:rPr>
        <w:rStyle w:val="43"/>
        <w:rFonts w:ascii="宋体" w:hAnsi="宋体"/>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08B74">
                          <w:pPr>
                            <w:pStyle w:val="2"/>
                          </w:pPr>
                          <w:r>
                            <w:t xml:space="preserve">第 </w:t>
                          </w:r>
                          <w:r>
                            <w:fldChar w:fldCharType="begin"/>
                          </w:r>
                          <w:r>
                            <w:instrText xml:space="preserve"> PAGE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4F208B74">
                    <w:pPr>
                      <w:pStyle w:val="2"/>
                    </w:pPr>
                    <w:r>
                      <w:t xml:space="preserve">第 </w:t>
                    </w:r>
                    <w:r>
                      <w:fldChar w:fldCharType="begin"/>
                    </w:r>
                    <w:r>
                      <w:instrText xml:space="preserve"> PAGE  \* MERGEFORMAT </w:instrText>
                    </w:r>
                    <w:r>
                      <w:fldChar w:fldCharType="separate"/>
                    </w:r>
                    <w:r>
                      <w:t>115</w:t>
                    </w:r>
                    <w:r>
                      <w:fldChar w:fldCharType="end"/>
                    </w:r>
                    <w:r>
                      <w:t xml:space="preserve"> 页</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margin">
                <wp:posOffset>2834640</wp:posOffset>
              </wp:positionH>
              <wp:positionV relativeFrom="paragraph">
                <wp:posOffset>10160</wp:posOffset>
              </wp:positionV>
              <wp:extent cx="1828800" cy="1828800"/>
              <wp:effectExtent l="0" t="0" r="0" b="0"/>
              <wp:wrapNone/>
              <wp:docPr id="3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49923">
                          <w:pPr>
                            <w:pStyle w:val="2"/>
                          </w:pPr>
                          <w:r>
                            <w:rPr>
                              <w:rFonts w:hint="eastAsia"/>
                              <w:sz w:val="15"/>
                              <w:szCs w:val="15"/>
                            </w:rPr>
                            <w:t xml:space="preserve"> </w:t>
                          </w:r>
                        </w:p>
                      </w:txbxContent>
                    </wps:txbx>
                    <wps:bodyPr wrap="none" lIns="0" tIns="0" rIns="0" bIns="0">
                      <a:spAutoFit/>
                    </wps:bodyPr>
                  </wps:wsp>
                </a:graphicData>
              </a:graphic>
            </wp:anchor>
          </w:drawing>
        </mc:Choice>
        <mc:Fallback>
          <w:pict>
            <v:shape id="文本框 13" o:spid="_x0000_s1026" o:spt="202" type="#_x0000_t202" style="position:absolute;left:0pt;margin-left:223.2pt;margin-top:0.8pt;height:144pt;width:144pt;mso-position-horizontal-relative:margin;mso-wrap-style:none;z-index:251671552;mso-width-relative:page;mso-height-relative:page;" filled="f" stroked="f" coordsize="21600,21600" o:gfxdata="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mG4jbVAAAACQEAAA8AAAAAAAAAAQAgAAAAIgAAAGRycy9kb3ducmV2Lnht&#10;bFBLAQIUABQAAAAIAIdO4kA2omWdwwEAAI8DAAAOAAAAAAAAAAEAIAAAACQBAABkcnMvZTJvRG9j&#10;LnhtbFBLBQYAAAAABgAGAFkBAABZBQAAAAA=&#10;">
              <v:fill on="f" focussize="0,0"/>
              <v:stroke on="f"/>
              <v:imagedata o:title=""/>
              <o:lock v:ext="edit" aspectratio="f"/>
              <v:textbox inset="0mm,0mm,0mm,0mm" style="mso-fit-shape-to-text:t;">
                <w:txbxContent>
                  <w:p w14:paraId="08549923">
                    <w:pPr>
                      <w:pStyle w:val="2"/>
                    </w:pPr>
                    <w:r>
                      <w:rPr>
                        <w:rFonts w:hint="eastAsia"/>
                        <w:sz w:val="15"/>
                        <w:szCs w:val="15"/>
                      </w:rPr>
                      <w:t xml:space="preserve"> </w:t>
                    </w:r>
                  </w:p>
                </w:txbxContent>
              </v:textbox>
            </v:shape>
          </w:pict>
        </mc:Fallback>
      </mc:AlternateContent>
    </w:r>
    <w:r>
      <w:rPr>
        <w:rStyle w:val="43"/>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775BB7">
                          <w:pPr>
                            <w:rPr>
                              <w:rStyle w:val="43"/>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ARJ7d74BAAB+AwAADgAAAAAAAAABACAAAAAhAQAAZHJzL2Uyb0RvYy54bWxQSwUG&#10;AAAAAAYABgBZAQAAUQUAAAAA&#10;">
              <v:fill on="f" focussize="0,0"/>
              <v:stroke on="f" weight="1.25pt"/>
              <v:imagedata o:title=""/>
              <o:lock v:ext="edit" aspectratio="f"/>
              <v:textbox inset="0mm,0mm,0mm,0mm">
                <w:txbxContent>
                  <w:p w14:paraId="65775BB7">
                    <w:pPr>
                      <w:rPr>
                        <w:rStyle w:val="4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1AC1">
    <w:pPr>
      <w:spacing w:line="14" w:lineRule="auto"/>
      <w:rPr>
        <w:rStyle w:val="43"/>
        <w:rFonts w:ascii="Arial"/>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E77D1">
                          <w:pPr>
                            <w:pStyle w:val="2"/>
                          </w:pPr>
                          <w:r>
                            <w:t xml:space="preserve">第 </w:t>
                          </w:r>
                          <w:r>
                            <w:fldChar w:fldCharType="begin"/>
                          </w:r>
                          <w:r>
                            <w:instrText xml:space="preserve"> PAGE  \* MERGEFORMAT </w:instrText>
                          </w:r>
                          <w:r>
                            <w:fldChar w:fldCharType="separate"/>
                          </w:r>
                          <w:r>
                            <w:t>116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207E77D1">
                    <w:pPr>
                      <w:pStyle w:val="2"/>
                    </w:pPr>
                    <w:r>
                      <w:t xml:space="preserve">第 </w:t>
                    </w:r>
                    <w:r>
                      <w:fldChar w:fldCharType="begin"/>
                    </w:r>
                    <w:r>
                      <w:instrText xml:space="preserve"> PAGE  \* MERGEFORMAT </w:instrText>
                    </w:r>
                    <w:r>
                      <w:fldChar w:fldCharType="separate"/>
                    </w:r>
                    <w:r>
                      <w:t>116</w:t>
                    </w:r>
                    <w:r>
                      <w:fldChar w:fldCharType="end"/>
                    </w:r>
                    <w:r>
                      <w:t xml:space="preserve"> 页</w:t>
                    </w:r>
                  </w:p>
                </w:txbxContent>
              </v:textbox>
            </v:shape>
          </w:pict>
        </mc:Fallback>
      </mc:AlternateContent>
    </w:r>
    <w:r>
      <w:rPr>
        <w:rStyle w:val="43"/>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BFE038">
                          <w:pPr>
                            <w:pStyle w:val="2"/>
                            <w:rPr>
                              <w:rStyle w:val="43"/>
                            </w:rPr>
                          </w:pPr>
                          <w:r>
                            <w:rPr>
                              <w:rStyle w:val="43"/>
                            </w:rPr>
                            <w:t>第  页 共 63 页</w:t>
                          </w:r>
                        </w:p>
                        <w:p w14:paraId="64B3CAEF">
                          <w:pPr>
                            <w:rPr>
                              <w:rStyle w:val="43"/>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3u45fSAAAABQEAAA8AAAAAAAAAAQAgAAAAIgAAAGRycy9kb3ducmV2LnhtbFBLAQIUABQA&#10;AAAIAIdO4kBq4BmAvQEAAH4DAAAOAAAAAAAAAAEAIAAAACEBAABkcnMvZTJvRG9jLnhtbFBLBQYA&#10;AAAABgAGAFkBAABQBQAAAAA=&#10;">
              <v:fill on="f" focussize="0,0"/>
              <v:stroke on="f" weight="1.25pt"/>
              <v:imagedata o:title=""/>
              <o:lock v:ext="edit" aspectratio="f"/>
              <v:textbox inset="0mm,0mm,0mm,0mm">
                <w:txbxContent>
                  <w:p w14:paraId="22BFE038">
                    <w:pPr>
                      <w:pStyle w:val="2"/>
                      <w:rPr>
                        <w:rStyle w:val="43"/>
                      </w:rPr>
                    </w:pPr>
                    <w:r>
                      <w:rPr>
                        <w:rStyle w:val="43"/>
                      </w:rPr>
                      <w:t>第  页 共 63 页</w:t>
                    </w:r>
                  </w:p>
                  <w:p w14:paraId="64B3CAEF">
                    <w:pPr>
                      <w:rPr>
                        <w:rStyle w:val="4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23B7">
    <w:pPr>
      <w:spacing w:line="219" w:lineRule="auto"/>
      <w:ind w:left="4102"/>
      <w:rPr>
        <w:rStyle w:val="43"/>
        <w:rFonts w:ascii="宋体" w:hAnsi="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6659C">
                          <w:pPr>
                            <w:pStyle w:val="2"/>
                          </w:pPr>
                          <w:r>
                            <w:t xml:space="preserve">第 </w:t>
                          </w:r>
                          <w:r>
                            <w:fldChar w:fldCharType="begin"/>
                          </w:r>
                          <w:r>
                            <w:instrText xml:space="preserve"> PAGE  \* MERGEFORMAT </w:instrText>
                          </w:r>
                          <w:r>
                            <w:fldChar w:fldCharType="separate"/>
                          </w:r>
                          <w:r>
                            <w:t>117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4A06659C">
                    <w:pPr>
                      <w:pStyle w:val="2"/>
                    </w:pPr>
                    <w:r>
                      <w:t xml:space="preserve">第 </w:t>
                    </w:r>
                    <w:r>
                      <w:fldChar w:fldCharType="begin"/>
                    </w:r>
                    <w:r>
                      <w:instrText xml:space="preserve"> PAGE  \* MERGEFORMAT </w:instrText>
                    </w:r>
                    <w:r>
                      <w:fldChar w:fldCharType="separate"/>
                    </w:r>
                    <w:r>
                      <w:t>117</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1312" behindDoc="0" locked="0" layoutInCell="1" allowOverlap="1">
              <wp:simplePos x="0" y="0"/>
              <wp:positionH relativeFrom="margin">
                <wp:posOffset>2367280</wp:posOffset>
              </wp:positionH>
              <wp:positionV relativeFrom="paragraph">
                <wp:posOffset>7620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BBBBCB">
                          <w:pPr>
                            <w:pStyle w:val="2"/>
                            <w:ind w:firstLine="360" w:firstLineChars="200"/>
                            <w:rPr>
                              <w:rStyle w:val="43"/>
                            </w:rPr>
                          </w:pPr>
                          <w:r>
                            <w:rPr>
                              <w:rStyle w:val="43"/>
                            </w:rPr>
                            <w:t xml:space="preserve">第  </w:t>
                          </w:r>
                          <w:r>
                            <w:rPr>
                              <w:rStyle w:val="43"/>
                              <w:rFonts w:hint="eastAsia"/>
                            </w:rPr>
                            <w:t xml:space="preserve"> </w:t>
                          </w:r>
                          <w:r>
                            <w:rPr>
                              <w:rStyle w:val="43"/>
                            </w:rPr>
                            <w:t xml:space="preserve">页 </w:t>
                          </w:r>
                        </w:p>
                        <w:p w14:paraId="5328FF90">
                          <w:pPr>
                            <w:rPr>
                              <w:rStyle w:val="43"/>
                            </w:rPr>
                          </w:pPr>
                        </w:p>
                      </w:txbxContent>
                    </wps:txbx>
                    <wps:bodyPr lIns="0" tIns="0" rIns="0" bIns="0" upright="1"/>
                  </wps:wsp>
                </a:graphicData>
              </a:graphic>
            </wp:anchor>
          </w:drawing>
        </mc:Choice>
        <mc:Fallback>
          <w:pict>
            <v:shape id="文本框 3" o:spid="_x0000_s1026" o:spt="202" type="#_x0000_t202" style="position:absolute;left:0pt;margin-left:186.4pt;margin-top:0.6pt;height:144pt;width:144pt;mso-position-horizontal-relative:margin;z-index:251661312;mso-width-relative:page;mso-height-relative:page;" filled="f" stroked="f" coordsize="21600,21600" o:gfxdata="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CS52rXAAAACQEAAA8AAAAAAAAAAQAgAAAAIgAAAGRycy9kb3ducmV2LnhtbFBL&#10;AQIUABQAAAAIAIdO4kDxVxt6vgEAAH4DAAAOAAAAAAAAAAEAIAAAACYBAABkcnMvZTJvRG9jLnht&#10;bFBLBQYAAAAABgAGAFkBAABWBQAAAAA=&#10;">
              <v:fill on="f" focussize="0,0"/>
              <v:stroke on="f" weight="1.25pt"/>
              <v:imagedata o:title=""/>
              <o:lock v:ext="edit" aspectratio="f"/>
              <v:textbox inset="0mm,0mm,0mm,0mm">
                <w:txbxContent>
                  <w:p w14:paraId="3CBBBBCB">
                    <w:pPr>
                      <w:pStyle w:val="2"/>
                      <w:ind w:firstLine="360" w:firstLineChars="200"/>
                      <w:rPr>
                        <w:rStyle w:val="43"/>
                      </w:rPr>
                    </w:pPr>
                    <w:r>
                      <w:rPr>
                        <w:rStyle w:val="43"/>
                      </w:rPr>
                      <w:t xml:space="preserve">第  </w:t>
                    </w:r>
                    <w:r>
                      <w:rPr>
                        <w:rStyle w:val="43"/>
                        <w:rFonts w:hint="eastAsia"/>
                      </w:rPr>
                      <w:t xml:space="preserve"> </w:t>
                    </w:r>
                    <w:r>
                      <w:rPr>
                        <w:rStyle w:val="43"/>
                      </w:rPr>
                      <w:t xml:space="preserve">页 </w:t>
                    </w:r>
                  </w:p>
                  <w:p w14:paraId="5328FF90">
                    <w:pPr>
                      <w:rPr>
                        <w:rStyle w:val="43"/>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F8F9">
    <w:pPr>
      <w:spacing w:line="219" w:lineRule="auto"/>
      <w:ind w:left="4102"/>
      <w:rPr>
        <w:rStyle w:val="43"/>
        <w:rFonts w:ascii="宋体" w:hAnsi="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E2D8A">
                          <w:pPr>
                            <w:pStyle w:val="2"/>
                          </w:pPr>
                          <w:r>
                            <w:t xml:space="preserve">第 </w:t>
                          </w:r>
                          <w:r>
                            <w:fldChar w:fldCharType="begin"/>
                          </w:r>
                          <w:r>
                            <w:instrText xml:space="preserve"> PAGE  \* MERGEFORMAT </w:instrText>
                          </w:r>
                          <w:r>
                            <w:fldChar w:fldCharType="separate"/>
                          </w:r>
                          <w:r>
                            <w:t>118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0D3E2D8A">
                    <w:pPr>
                      <w:pStyle w:val="2"/>
                    </w:pPr>
                    <w:r>
                      <w:t xml:space="preserve">第 </w:t>
                    </w:r>
                    <w:r>
                      <w:fldChar w:fldCharType="begin"/>
                    </w:r>
                    <w:r>
                      <w:instrText xml:space="preserve"> PAGE  \* MERGEFORMAT </w:instrText>
                    </w:r>
                    <w:r>
                      <w:fldChar w:fldCharType="separate"/>
                    </w:r>
                    <w:r>
                      <w:t>118</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2336" behindDoc="0" locked="0" layoutInCell="1" allowOverlap="1">
              <wp:simplePos x="0" y="0"/>
              <wp:positionH relativeFrom="margin">
                <wp:posOffset>2436495</wp:posOffset>
              </wp:positionH>
              <wp:positionV relativeFrom="paragraph">
                <wp:posOffset>-7620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BA5F2B">
                          <w:pPr>
                            <w:pStyle w:val="2"/>
                            <w:ind w:firstLine="180" w:firstLineChars="100"/>
                            <w:rPr>
                              <w:rStyle w:val="43"/>
                            </w:rPr>
                          </w:pPr>
                          <w:r>
                            <w:rPr>
                              <w:rStyle w:val="43"/>
                            </w:rPr>
                            <w:t xml:space="preserve">第  页 </w:t>
                          </w:r>
                        </w:p>
                        <w:p w14:paraId="0C9B7C9C">
                          <w:pPr>
                            <w:rPr>
                              <w:rStyle w:val="43"/>
                            </w:rPr>
                          </w:pPr>
                        </w:p>
                      </w:txbxContent>
                    </wps:txbx>
                    <wps:bodyPr lIns="0" tIns="0" rIns="0" bIns="0" upright="1"/>
                  </wps:wsp>
                </a:graphicData>
              </a:graphic>
            </wp:anchor>
          </w:drawing>
        </mc:Choice>
        <mc:Fallback>
          <w:pict>
            <v:shape id="文本框 4" o:spid="_x0000_s1026" o:spt="202" type="#_x0000_t202" style="position:absolute;left:0pt;margin-left:191.85pt;margin-top:-0.6pt;height:144pt;width:144pt;mso-position-horizontal-relative:margin;z-index:251662336;mso-width-relative:page;mso-height-relative:page;" filled="f" stroked="f" coordsize="21600,21600" o:gfxdata="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WUFDfZAAAACgEAAA8AAAAAAAAAAQAgAAAAIgAAAGRycy9kb3ducmV2Lnht&#10;bFBLAQIUABQAAAAIAIdO4kDaCmjMvwEAAH4DAAAOAAAAAAAAAAEAIAAAACgBAABkcnMvZTJvRG9j&#10;LnhtbFBLBQYAAAAABgAGAFkBAABZBQAAAAA=&#10;">
              <v:fill on="f" focussize="0,0"/>
              <v:stroke on="f" weight="1.25pt"/>
              <v:imagedata o:title=""/>
              <o:lock v:ext="edit" aspectratio="f"/>
              <v:textbox inset="0mm,0mm,0mm,0mm">
                <w:txbxContent>
                  <w:p w14:paraId="36BA5F2B">
                    <w:pPr>
                      <w:pStyle w:val="2"/>
                      <w:ind w:firstLine="180" w:firstLineChars="100"/>
                      <w:rPr>
                        <w:rStyle w:val="43"/>
                      </w:rPr>
                    </w:pPr>
                    <w:r>
                      <w:rPr>
                        <w:rStyle w:val="43"/>
                      </w:rPr>
                      <w:t xml:space="preserve">第  页 </w:t>
                    </w:r>
                  </w:p>
                  <w:p w14:paraId="0C9B7C9C">
                    <w:pPr>
                      <w:rPr>
                        <w:rStyle w:val="4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7A472">
    <w:pPr>
      <w:spacing w:line="219" w:lineRule="auto"/>
      <w:rPr>
        <w:rStyle w:val="43"/>
        <w:rFonts w:ascii="宋体" w:hAnsi="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EF29F">
                          <w:pPr>
                            <w:pStyle w:val="2"/>
                          </w:pPr>
                          <w:r>
                            <w:t xml:space="preserve">第 </w:t>
                          </w:r>
                          <w:r>
                            <w:fldChar w:fldCharType="begin"/>
                          </w:r>
                          <w:r>
                            <w:instrText xml:space="preserve"> PAGE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012EF29F">
                    <w:pPr>
                      <w:pStyle w:val="2"/>
                    </w:pPr>
                    <w:r>
                      <w:t xml:space="preserve">第 </w:t>
                    </w:r>
                    <w:r>
                      <w:fldChar w:fldCharType="begin"/>
                    </w:r>
                    <w:r>
                      <w:instrText xml:space="preserve"> PAGE  \* MERGEFORMAT </w:instrText>
                    </w:r>
                    <w:r>
                      <w:fldChar w:fldCharType="separate"/>
                    </w:r>
                    <w:r>
                      <w:t>119</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3360" behindDoc="0" locked="0" layoutInCell="1" allowOverlap="1">
              <wp:simplePos x="0" y="0"/>
              <wp:positionH relativeFrom="margin">
                <wp:posOffset>2284730</wp:posOffset>
              </wp:positionH>
              <wp:positionV relativeFrom="paragraph">
                <wp:posOffset>0</wp:posOffset>
              </wp:positionV>
              <wp:extent cx="1828800" cy="1828800"/>
              <wp:effectExtent l="0" t="0" r="0" b="0"/>
              <wp:wrapNone/>
              <wp:docPr id="2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5FC0EB">
                          <w:pPr>
                            <w:pStyle w:val="2"/>
                            <w:ind w:firstLine="360" w:firstLineChars="200"/>
                            <w:rPr>
                              <w:rStyle w:val="43"/>
                            </w:rPr>
                          </w:pPr>
                          <w:r>
                            <w:rPr>
                              <w:rStyle w:val="43"/>
                            </w:rPr>
                            <w:t xml:space="preserve">第  </w:t>
                          </w:r>
                          <w:r>
                            <w:rPr>
                              <w:rStyle w:val="43"/>
                              <w:rFonts w:hint="eastAsia"/>
                            </w:rPr>
                            <w:t xml:space="preserve">  </w:t>
                          </w:r>
                          <w:r>
                            <w:rPr>
                              <w:rStyle w:val="43"/>
                            </w:rPr>
                            <w:t xml:space="preserve">页 </w:t>
                          </w:r>
                        </w:p>
                        <w:p w14:paraId="7B187614">
                          <w:pPr>
                            <w:rPr>
                              <w:rStyle w:val="43"/>
                            </w:rPr>
                          </w:pPr>
                        </w:p>
                      </w:txbxContent>
                    </wps:txbx>
                    <wps:bodyPr lIns="0" tIns="0" rIns="0" bIns="0" upright="1"/>
                  </wps:wsp>
                </a:graphicData>
              </a:graphic>
            </wp:anchor>
          </w:drawing>
        </mc:Choice>
        <mc:Fallback>
          <w:pict>
            <v:shape id="文本框 5" o:spid="_x0000_s1026" o:spt="202" type="#_x0000_t202" style="position:absolute;left:0pt;margin-left:179.9pt;margin-top:0pt;height:144pt;width:144pt;mso-position-horizontal-relative:margin;z-index:251663360;mso-width-relative:page;mso-height-relative:page;" filled="f" stroked="f" coordsize="21600,21600" o:gfxdata="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RXS7HXAAAACAEAAA8AAAAAAAAAAQAgAAAAIgAAAGRycy9kb3ducmV2LnhtbFBL&#10;AQIUABQAAAAIAIdO4kBBvWo2vgEAAH4DAAAOAAAAAAAAAAEAIAAAACYBAABkcnMvZTJvRG9jLnht&#10;bFBLBQYAAAAABgAGAFkBAABWBQAAAAA=&#10;">
              <v:fill on="f" focussize="0,0"/>
              <v:stroke on="f" weight="1.25pt"/>
              <v:imagedata o:title=""/>
              <o:lock v:ext="edit" aspectratio="f"/>
              <v:textbox inset="0mm,0mm,0mm,0mm">
                <w:txbxContent>
                  <w:p w14:paraId="285FC0EB">
                    <w:pPr>
                      <w:pStyle w:val="2"/>
                      <w:ind w:firstLine="360" w:firstLineChars="200"/>
                      <w:rPr>
                        <w:rStyle w:val="43"/>
                      </w:rPr>
                    </w:pPr>
                    <w:r>
                      <w:rPr>
                        <w:rStyle w:val="43"/>
                      </w:rPr>
                      <w:t xml:space="preserve">第  </w:t>
                    </w:r>
                    <w:r>
                      <w:rPr>
                        <w:rStyle w:val="43"/>
                        <w:rFonts w:hint="eastAsia"/>
                      </w:rPr>
                      <w:t xml:space="preserve">  </w:t>
                    </w:r>
                    <w:r>
                      <w:rPr>
                        <w:rStyle w:val="43"/>
                      </w:rPr>
                      <w:t xml:space="preserve">页 </w:t>
                    </w:r>
                  </w:p>
                  <w:p w14:paraId="7B187614">
                    <w:pPr>
                      <w:rPr>
                        <w:rStyle w:val="43"/>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9987">
    <w:pPr>
      <w:spacing w:line="219" w:lineRule="auto"/>
      <w:ind w:left="4102"/>
      <w:rPr>
        <w:rStyle w:val="43"/>
        <w:rFonts w:ascii="宋体" w:hAnsi="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FA769">
                          <w:pPr>
                            <w:pStyle w:val="2"/>
                          </w:pPr>
                          <w:r>
                            <w:t xml:space="preserve">第 </w:t>
                          </w:r>
                          <w:r>
                            <w:fldChar w:fldCharType="begin"/>
                          </w:r>
                          <w:r>
                            <w:instrText xml:space="preserve"> PAGE  \* MERGEFORMAT </w:instrText>
                          </w:r>
                          <w:r>
                            <w:fldChar w:fldCharType="separate"/>
                          </w:r>
                          <w:r>
                            <w:t>120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450FA769">
                    <w:pPr>
                      <w:pStyle w:val="2"/>
                    </w:pPr>
                    <w:r>
                      <w:t xml:space="preserve">第 </w:t>
                    </w:r>
                    <w:r>
                      <w:fldChar w:fldCharType="begin"/>
                    </w:r>
                    <w:r>
                      <w:instrText xml:space="preserve"> PAGE  \* MERGEFORMAT </w:instrText>
                    </w:r>
                    <w:r>
                      <w:fldChar w:fldCharType="separate"/>
                    </w:r>
                    <w:r>
                      <w:t>120</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4384" behindDoc="0" locked="0" layoutInCell="1" allowOverlap="1">
              <wp:simplePos x="0" y="0"/>
              <wp:positionH relativeFrom="margin">
                <wp:posOffset>2336165</wp:posOffset>
              </wp:positionH>
              <wp:positionV relativeFrom="paragraph">
                <wp:posOffset>-7620</wp:posOffset>
              </wp:positionV>
              <wp:extent cx="1828800" cy="1828800"/>
              <wp:effectExtent l="0" t="0" r="0" b="0"/>
              <wp:wrapNone/>
              <wp:docPr id="2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2B7D38">
                          <w:pPr>
                            <w:pStyle w:val="2"/>
                            <w:ind w:firstLine="180" w:firstLineChars="100"/>
                            <w:rPr>
                              <w:rStyle w:val="43"/>
                            </w:rPr>
                          </w:pPr>
                          <w:r>
                            <w:rPr>
                              <w:rStyle w:val="43"/>
                            </w:rPr>
                            <w:t xml:space="preserve">第  </w:t>
                          </w:r>
                          <w:r>
                            <w:rPr>
                              <w:rStyle w:val="43"/>
                              <w:rFonts w:hint="eastAsia"/>
                            </w:rPr>
                            <w:t xml:space="preserve">  </w:t>
                          </w:r>
                          <w:r>
                            <w:rPr>
                              <w:rStyle w:val="43"/>
                            </w:rPr>
                            <w:t xml:space="preserve">页 </w:t>
                          </w:r>
                        </w:p>
                        <w:p w14:paraId="14587E3A">
                          <w:pPr>
                            <w:rPr>
                              <w:rStyle w:val="43"/>
                            </w:rPr>
                          </w:pPr>
                        </w:p>
                      </w:txbxContent>
                    </wps:txbx>
                    <wps:bodyPr lIns="0" tIns="0" rIns="0" bIns="0" upright="1"/>
                  </wps:wsp>
                </a:graphicData>
              </a:graphic>
            </wp:anchor>
          </w:drawing>
        </mc:Choice>
        <mc:Fallback>
          <w:pict>
            <v:shape id="文本框 6" o:spid="_x0000_s1026" o:spt="202" type="#_x0000_t202" style="position:absolute;left:0pt;margin-left:183.95pt;margin-top:-0.6pt;height:144pt;width:144pt;mso-position-horizontal-relative:margin;z-index:251664384;mso-width-relative:page;mso-height-relative:page;" filled="f" stroked="f" coordsize="21600,21600" o:gfxdata="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eMIG2gAAAAoBAAAPAAAAAAAAAAEAIAAAACIAAABkcnMvZG93bnJldi54&#10;bWxQSwECFAAUAAAACACHTuJAhDLx3r8BAAB+AwAADgAAAAAAAAABACAAAAApAQAAZHJzL2Uyb0Rv&#10;Yy54bWxQSwUGAAAAAAYABgBZAQAAWgUAAAAA&#10;">
              <v:fill on="f" focussize="0,0"/>
              <v:stroke on="f" weight="1.25pt"/>
              <v:imagedata o:title=""/>
              <o:lock v:ext="edit" aspectratio="f"/>
              <v:textbox inset="0mm,0mm,0mm,0mm">
                <w:txbxContent>
                  <w:p w14:paraId="2B2B7D38">
                    <w:pPr>
                      <w:pStyle w:val="2"/>
                      <w:ind w:firstLine="180" w:firstLineChars="100"/>
                      <w:rPr>
                        <w:rStyle w:val="43"/>
                      </w:rPr>
                    </w:pPr>
                    <w:r>
                      <w:rPr>
                        <w:rStyle w:val="43"/>
                      </w:rPr>
                      <w:t xml:space="preserve">第  </w:t>
                    </w:r>
                    <w:r>
                      <w:rPr>
                        <w:rStyle w:val="43"/>
                        <w:rFonts w:hint="eastAsia"/>
                      </w:rPr>
                      <w:t xml:space="preserve">  </w:t>
                    </w:r>
                    <w:r>
                      <w:rPr>
                        <w:rStyle w:val="43"/>
                      </w:rPr>
                      <w:t xml:space="preserve">页 </w:t>
                    </w:r>
                  </w:p>
                  <w:p w14:paraId="14587E3A">
                    <w:pPr>
                      <w:rPr>
                        <w:rStyle w:val="43"/>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61D4">
    <w:pPr>
      <w:spacing w:line="219" w:lineRule="auto"/>
      <w:ind w:left="4102"/>
      <w:rPr>
        <w:rStyle w:val="43"/>
        <w:rFonts w:ascii="宋体" w:hAnsi="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1102E">
                          <w:pPr>
                            <w:pStyle w:val="2"/>
                          </w:pPr>
                          <w:r>
                            <w:t xml:space="preserve">第 </w:t>
                          </w:r>
                          <w:r>
                            <w:fldChar w:fldCharType="begin"/>
                          </w:r>
                          <w:r>
                            <w:instrText xml:space="preserve"> PAGE  \* MERGEFORMAT </w:instrText>
                          </w:r>
                          <w:r>
                            <w:fldChar w:fldCharType="separate"/>
                          </w:r>
                          <w:r>
                            <w:t>121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75A1102E">
                    <w:pPr>
                      <w:pStyle w:val="2"/>
                    </w:pPr>
                    <w:r>
                      <w:t xml:space="preserve">第 </w:t>
                    </w:r>
                    <w:r>
                      <w:fldChar w:fldCharType="begin"/>
                    </w:r>
                    <w:r>
                      <w:instrText xml:space="preserve"> PAGE  \* MERGEFORMAT </w:instrText>
                    </w:r>
                    <w:r>
                      <w:fldChar w:fldCharType="separate"/>
                    </w:r>
                    <w:r>
                      <w:t>121</w:t>
                    </w:r>
                    <w:r>
                      <w:fldChar w:fldCharType="end"/>
                    </w:r>
                    <w:r>
                      <w:t xml:space="preserve"> 页</w:t>
                    </w:r>
                  </w:p>
                </w:txbxContent>
              </v:textbox>
            </v:shape>
          </w:pict>
        </mc:Fallback>
      </mc:AlternateContent>
    </w:r>
    <w:r>
      <w:rPr>
        <w:rStyle w:val="43"/>
        <w:sz w:val="18"/>
      </w:rPr>
      <mc:AlternateContent>
        <mc:Choice Requires="wps">
          <w:drawing>
            <wp:anchor distT="0" distB="0" distL="114300" distR="114300" simplePos="0" relativeHeight="251665408" behindDoc="0" locked="0" layoutInCell="1" allowOverlap="1">
              <wp:simplePos x="0" y="0"/>
              <wp:positionH relativeFrom="margin">
                <wp:posOffset>2411095</wp:posOffset>
              </wp:positionH>
              <wp:positionV relativeFrom="paragraph">
                <wp:posOffset>-14605</wp:posOffset>
              </wp:positionV>
              <wp:extent cx="1828800" cy="18288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DE17EA">
                          <w:pPr>
                            <w:pStyle w:val="2"/>
                            <w:ind w:firstLine="180" w:firstLineChars="100"/>
                            <w:rPr>
                              <w:rStyle w:val="43"/>
                            </w:rPr>
                          </w:pPr>
                          <w:r>
                            <w:rPr>
                              <w:rStyle w:val="43"/>
                            </w:rPr>
                            <w:t>第</w:t>
                          </w:r>
                          <w:r>
                            <w:rPr>
                              <w:rStyle w:val="43"/>
                              <w:rFonts w:hint="eastAsia"/>
                            </w:rPr>
                            <w:t xml:space="preserve">   </w:t>
                          </w:r>
                          <w:r>
                            <w:rPr>
                              <w:rStyle w:val="43"/>
                            </w:rPr>
                            <w:t xml:space="preserve"> 页 </w:t>
                          </w:r>
                        </w:p>
                        <w:p w14:paraId="088B6206">
                          <w:pPr>
                            <w:rPr>
                              <w:rStyle w:val="43"/>
                            </w:rPr>
                          </w:pPr>
                        </w:p>
                      </w:txbxContent>
                    </wps:txbx>
                    <wps:bodyPr lIns="0" tIns="0" rIns="0" bIns="0" upright="1"/>
                  </wps:wsp>
                </a:graphicData>
              </a:graphic>
            </wp:anchor>
          </w:drawing>
        </mc:Choice>
        <mc:Fallback>
          <w:pict>
            <v:shape id="文本框 7" o:spid="_x0000_s1026" o:spt="202" type="#_x0000_t202" style="position:absolute;left:0pt;margin-left:189.85pt;margin-top:-1.15pt;height:144pt;width:144pt;mso-position-horizontal-relative:margin;z-index:251665408;mso-width-relative:page;mso-height-relative:page;" filled="f" stroked="f" coordsize="21600,21600" o:gfxdata="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TtMjTZAAAACgEAAA8AAAAAAAAAAQAgAAAAIgAAAGRycy9kb3ducmV2Lnht&#10;bFBLAQIUABQAAAAIAIdO4kAfhfMkvwEAAH4DAAAOAAAAAAAAAAEAIAAAACgBAABkcnMvZTJvRG9j&#10;LnhtbFBLBQYAAAAABgAGAFkBAABZBQAAAAA=&#10;">
              <v:fill on="f" focussize="0,0"/>
              <v:stroke on="f" weight="1.25pt"/>
              <v:imagedata o:title=""/>
              <o:lock v:ext="edit" aspectratio="f"/>
              <v:textbox inset="0mm,0mm,0mm,0mm">
                <w:txbxContent>
                  <w:p w14:paraId="7DDE17EA">
                    <w:pPr>
                      <w:pStyle w:val="2"/>
                      <w:ind w:firstLine="180" w:firstLineChars="100"/>
                      <w:rPr>
                        <w:rStyle w:val="43"/>
                      </w:rPr>
                    </w:pPr>
                    <w:r>
                      <w:rPr>
                        <w:rStyle w:val="43"/>
                      </w:rPr>
                      <w:t>第</w:t>
                    </w:r>
                    <w:r>
                      <w:rPr>
                        <w:rStyle w:val="43"/>
                        <w:rFonts w:hint="eastAsia"/>
                      </w:rPr>
                      <w:t xml:space="preserve">   </w:t>
                    </w:r>
                    <w:r>
                      <w:rPr>
                        <w:rStyle w:val="43"/>
                      </w:rPr>
                      <w:t xml:space="preserve"> 页 </w:t>
                    </w:r>
                  </w:p>
                  <w:p w14:paraId="088B6206">
                    <w:pPr>
                      <w:rPr>
                        <w:rStyle w:val="4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FB88">
    <w:pPr>
      <w:spacing w:line="360" w:lineRule="auto"/>
      <w:rPr>
        <w:rStyle w:val="43"/>
        <w:rFonts w:ascii="宋体" w:hAnsi="宋体"/>
        <w:sz w:val="18"/>
        <w:szCs w:val="18"/>
        <w:u w:val="single"/>
      </w:rPr>
    </w:pPr>
    <w:r>
      <w:rPr>
        <w:rStyle w:val="43"/>
        <w:rFonts w:ascii="宋体" w:hAnsi="宋体"/>
        <w:sz w:val="18"/>
        <w:szCs w:val="18"/>
        <w:u w:val="single"/>
      </w:rPr>
      <w:t xml:space="preserve">                                                                        采购项目编号：</w:t>
    </w:r>
    <w:r>
      <w:rPr>
        <w:rStyle w:val="43"/>
        <w:rFonts w:hint="eastAsia" w:ascii="宋体" w:hAnsi="宋体"/>
        <w:sz w:val="18"/>
        <w:szCs w:val="18"/>
        <w:u w:val="single"/>
      </w:rPr>
      <w:t>LZBD2024-515</w:t>
    </w:r>
    <w:r>
      <w:rPr>
        <w:rStyle w:val="43"/>
        <w:rFonts w:ascii="宋体" w:hAnsi="宋体"/>
        <w:sz w:val="18"/>
        <w:szCs w:val="18"/>
        <w:u w:val="single"/>
      </w:rPr>
      <w:t>1057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BB71">
    <w:pPr>
      <w:pStyle w:val="16"/>
      <w:ind w:right="9360"/>
      <w:jc w:val="right"/>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F2BE6"/>
    <w:multiLevelType w:val="singleLevel"/>
    <w:tmpl w:val="D6FF2BE6"/>
    <w:lvl w:ilvl="0" w:tentative="0">
      <w:start w:val="4"/>
      <w:numFmt w:val="chineseCounting"/>
      <w:suff w:val="space"/>
      <w:lvlText w:val="第%1章"/>
      <w:lvlJc w:val="left"/>
      <w:pPr>
        <w:widowControl/>
        <w:textAlignment w:val="baseline"/>
      </w:pPr>
      <w:rPr>
        <w:lang w:val="en-US"/>
      </w:rPr>
    </w:lvl>
  </w:abstractNum>
  <w:abstractNum w:abstractNumId="1">
    <w:nsid w:val="61FB289E"/>
    <w:multiLevelType w:val="multilevel"/>
    <w:tmpl w:val="61FB289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86D9EC1"/>
    <w:multiLevelType w:val="singleLevel"/>
    <w:tmpl w:val="786D9EC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hideSpellingErrors/>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ODgzNWMwYzFhNTg2ZjliNWNlOTYxNTE0MDFmYmUifQ=="/>
  </w:docVars>
  <w:rsids>
    <w:rsidRoot w:val="00F539AC"/>
    <w:rsid w:val="00052A05"/>
    <w:rsid w:val="00071C10"/>
    <w:rsid w:val="000C3FC1"/>
    <w:rsid w:val="001B29EF"/>
    <w:rsid w:val="003F572D"/>
    <w:rsid w:val="00426096"/>
    <w:rsid w:val="005A7208"/>
    <w:rsid w:val="00641B3F"/>
    <w:rsid w:val="006D3072"/>
    <w:rsid w:val="00871C78"/>
    <w:rsid w:val="00892AE6"/>
    <w:rsid w:val="0094336E"/>
    <w:rsid w:val="00A5098F"/>
    <w:rsid w:val="00AD48F6"/>
    <w:rsid w:val="00B62750"/>
    <w:rsid w:val="00C0374E"/>
    <w:rsid w:val="00CE2345"/>
    <w:rsid w:val="00DE05E2"/>
    <w:rsid w:val="00EC3BB5"/>
    <w:rsid w:val="00ED10A5"/>
    <w:rsid w:val="00F50CDF"/>
    <w:rsid w:val="00F539AC"/>
    <w:rsid w:val="01432E59"/>
    <w:rsid w:val="0147086F"/>
    <w:rsid w:val="0176597C"/>
    <w:rsid w:val="01B6221C"/>
    <w:rsid w:val="01C27A1C"/>
    <w:rsid w:val="01CB2958"/>
    <w:rsid w:val="01FF0067"/>
    <w:rsid w:val="020637A7"/>
    <w:rsid w:val="02151BB1"/>
    <w:rsid w:val="02357F37"/>
    <w:rsid w:val="026D0473"/>
    <w:rsid w:val="027A76EE"/>
    <w:rsid w:val="02934F5A"/>
    <w:rsid w:val="02AB3D4B"/>
    <w:rsid w:val="02F94E4A"/>
    <w:rsid w:val="031C69F7"/>
    <w:rsid w:val="034C0D99"/>
    <w:rsid w:val="034E3E75"/>
    <w:rsid w:val="0373683B"/>
    <w:rsid w:val="03752220"/>
    <w:rsid w:val="03AF786B"/>
    <w:rsid w:val="03C63AB9"/>
    <w:rsid w:val="03C947DD"/>
    <w:rsid w:val="03D91496"/>
    <w:rsid w:val="041A21CD"/>
    <w:rsid w:val="04365398"/>
    <w:rsid w:val="043F474B"/>
    <w:rsid w:val="04585E06"/>
    <w:rsid w:val="045E7BD2"/>
    <w:rsid w:val="04AE59ED"/>
    <w:rsid w:val="04BF3ADE"/>
    <w:rsid w:val="04C25AA6"/>
    <w:rsid w:val="051909BA"/>
    <w:rsid w:val="055732D9"/>
    <w:rsid w:val="058663AA"/>
    <w:rsid w:val="060F4B06"/>
    <w:rsid w:val="06682D29"/>
    <w:rsid w:val="067D59FE"/>
    <w:rsid w:val="06A922BE"/>
    <w:rsid w:val="06B807E5"/>
    <w:rsid w:val="06D7510F"/>
    <w:rsid w:val="06E55C52"/>
    <w:rsid w:val="06F757B1"/>
    <w:rsid w:val="070B6B66"/>
    <w:rsid w:val="075408D1"/>
    <w:rsid w:val="07C95D82"/>
    <w:rsid w:val="07D16CD0"/>
    <w:rsid w:val="080157A3"/>
    <w:rsid w:val="08314631"/>
    <w:rsid w:val="08D91D4C"/>
    <w:rsid w:val="08E40BFB"/>
    <w:rsid w:val="09075A53"/>
    <w:rsid w:val="0958005D"/>
    <w:rsid w:val="096C5CBA"/>
    <w:rsid w:val="0A3639D9"/>
    <w:rsid w:val="0A5700EC"/>
    <w:rsid w:val="0A5F3FEE"/>
    <w:rsid w:val="0A951E77"/>
    <w:rsid w:val="0AC5643F"/>
    <w:rsid w:val="0AD07088"/>
    <w:rsid w:val="0ADE3D74"/>
    <w:rsid w:val="0B114967"/>
    <w:rsid w:val="0B1701D0"/>
    <w:rsid w:val="0B3A20D5"/>
    <w:rsid w:val="0B4017DF"/>
    <w:rsid w:val="0B774D77"/>
    <w:rsid w:val="0B950A2C"/>
    <w:rsid w:val="0BBD06AC"/>
    <w:rsid w:val="0BC4353E"/>
    <w:rsid w:val="0BF202F5"/>
    <w:rsid w:val="0C654F6B"/>
    <w:rsid w:val="0CB07099"/>
    <w:rsid w:val="0CDA252B"/>
    <w:rsid w:val="0CDD0FA5"/>
    <w:rsid w:val="0D026C5D"/>
    <w:rsid w:val="0D2629EB"/>
    <w:rsid w:val="0D58062B"/>
    <w:rsid w:val="0DA67C51"/>
    <w:rsid w:val="0DA74070"/>
    <w:rsid w:val="0DCB704F"/>
    <w:rsid w:val="0DFA52EA"/>
    <w:rsid w:val="0E770F85"/>
    <w:rsid w:val="0E7726FD"/>
    <w:rsid w:val="0E792F4F"/>
    <w:rsid w:val="0EAA4EB7"/>
    <w:rsid w:val="0EB03F8E"/>
    <w:rsid w:val="0EB44933"/>
    <w:rsid w:val="0EBA4ABC"/>
    <w:rsid w:val="0EDB7EEB"/>
    <w:rsid w:val="0F130CAE"/>
    <w:rsid w:val="0F1C14C9"/>
    <w:rsid w:val="0F3075BD"/>
    <w:rsid w:val="0F421593"/>
    <w:rsid w:val="0F754A41"/>
    <w:rsid w:val="0F807D21"/>
    <w:rsid w:val="0F9022FF"/>
    <w:rsid w:val="0F9560F7"/>
    <w:rsid w:val="0FA43FFC"/>
    <w:rsid w:val="0FAF76E5"/>
    <w:rsid w:val="0FC71A98"/>
    <w:rsid w:val="10496286"/>
    <w:rsid w:val="10687DDF"/>
    <w:rsid w:val="10973936"/>
    <w:rsid w:val="10AB05FA"/>
    <w:rsid w:val="10BD6A2B"/>
    <w:rsid w:val="10EB00EF"/>
    <w:rsid w:val="10F90C6D"/>
    <w:rsid w:val="110101A8"/>
    <w:rsid w:val="111E587A"/>
    <w:rsid w:val="11206156"/>
    <w:rsid w:val="11282A1A"/>
    <w:rsid w:val="1160654C"/>
    <w:rsid w:val="11875983"/>
    <w:rsid w:val="119F3152"/>
    <w:rsid w:val="11AA3E5D"/>
    <w:rsid w:val="11C47434"/>
    <w:rsid w:val="11CD7E2D"/>
    <w:rsid w:val="11EB7CC0"/>
    <w:rsid w:val="11FF551A"/>
    <w:rsid w:val="120B2110"/>
    <w:rsid w:val="122D4AA5"/>
    <w:rsid w:val="12456514"/>
    <w:rsid w:val="12724255"/>
    <w:rsid w:val="127A7296"/>
    <w:rsid w:val="12913A01"/>
    <w:rsid w:val="12A76A36"/>
    <w:rsid w:val="12B91B6C"/>
    <w:rsid w:val="12C37612"/>
    <w:rsid w:val="12CD3464"/>
    <w:rsid w:val="12F40DF6"/>
    <w:rsid w:val="13141A27"/>
    <w:rsid w:val="132121FE"/>
    <w:rsid w:val="134B4E91"/>
    <w:rsid w:val="13561AB1"/>
    <w:rsid w:val="13843391"/>
    <w:rsid w:val="138A175B"/>
    <w:rsid w:val="139E260E"/>
    <w:rsid w:val="13C662FE"/>
    <w:rsid w:val="13F40F6A"/>
    <w:rsid w:val="13F51386"/>
    <w:rsid w:val="141860EE"/>
    <w:rsid w:val="141D437D"/>
    <w:rsid w:val="14992D4C"/>
    <w:rsid w:val="14BF5B98"/>
    <w:rsid w:val="151823E1"/>
    <w:rsid w:val="15205ED3"/>
    <w:rsid w:val="153515B1"/>
    <w:rsid w:val="153F3FE7"/>
    <w:rsid w:val="15406575"/>
    <w:rsid w:val="154A2F50"/>
    <w:rsid w:val="15806971"/>
    <w:rsid w:val="159C2072"/>
    <w:rsid w:val="159D1033"/>
    <w:rsid w:val="15A72150"/>
    <w:rsid w:val="15B079FB"/>
    <w:rsid w:val="15E17C40"/>
    <w:rsid w:val="15F10E88"/>
    <w:rsid w:val="161B7376"/>
    <w:rsid w:val="16940461"/>
    <w:rsid w:val="16943C7D"/>
    <w:rsid w:val="169A3A63"/>
    <w:rsid w:val="16CC320F"/>
    <w:rsid w:val="16DF3B6C"/>
    <w:rsid w:val="16E41182"/>
    <w:rsid w:val="17101F77"/>
    <w:rsid w:val="17872239"/>
    <w:rsid w:val="179363BB"/>
    <w:rsid w:val="17AC3769"/>
    <w:rsid w:val="17DA131F"/>
    <w:rsid w:val="17FE54B8"/>
    <w:rsid w:val="18041ADC"/>
    <w:rsid w:val="184B0CDB"/>
    <w:rsid w:val="186802BC"/>
    <w:rsid w:val="187C5014"/>
    <w:rsid w:val="187C5B16"/>
    <w:rsid w:val="18891FE1"/>
    <w:rsid w:val="18AB3826"/>
    <w:rsid w:val="18AD3F21"/>
    <w:rsid w:val="18B04A0D"/>
    <w:rsid w:val="18BA2B68"/>
    <w:rsid w:val="18C748B7"/>
    <w:rsid w:val="18F03E0E"/>
    <w:rsid w:val="18FA2EDF"/>
    <w:rsid w:val="19017DC9"/>
    <w:rsid w:val="191E6BCD"/>
    <w:rsid w:val="19CB155F"/>
    <w:rsid w:val="1A0D279E"/>
    <w:rsid w:val="1A2B601A"/>
    <w:rsid w:val="1A3D3083"/>
    <w:rsid w:val="1A490F86"/>
    <w:rsid w:val="1A585944"/>
    <w:rsid w:val="1AEC0CC4"/>
    <w:rsid w:val="1AF07E89"/>
    <w:rsid w:val="1B036AC9"/>
    <w:rsid w:val="1B193AF0"/>
    <w:rsid w:val="1B1F4E7E"/>
    <w:rsid w:val="1B304996"/>
    <w:rsid w:val="1B672306"/>
    <w:rsid w:val="1B803B6F"/>
    <w:rsid w:val="1B8A054A"/>
    <w:rsid w:val="1C33074E"/>
    <w:rsid w:val="1C34700D"/>
    <w:rsid w:val="1C976113"/>
    <w:rsid w:val="1CD809EF"/>
    <w:rsid w:val="1CEC2658"/>
    <w:rsid w:val="1CFD4D4B"/>
    <w:rsid w:val="1D2B7B0B"/>
    <w:rsid w:val="1D385D36"/>
    <w:rsid w:val="1D631052"/>
    <w:rsid w:val="1D7321E1"/>
    <w:rsid w:val="1D76522A"/>
    <w:rsid w:val="1D7704C4"/>
    <w:rsid w:val="1DB0172A"/>
    <w:rsid w:val="1DE455A1"/>
    <w:rsid w:val="1DE75D86"/>
    <w:rsid w:val="1E0C13CE"/>
    <w:rsid w:val="1E4C3D8D"/>
    <w:rsid w:val="1E64219C"/>
    <w:rsid w:val="1E6D2856"/>
    <w:rsid w:val="1E7B061E"/>
    <w:rsid w:val="1E7D6144"/>
    <w:rsid w:val="1E9D2342"/>
    <w:rsid w:val="1ECF12ED"/>
    <w:rsid w:val="1EDD2DA4"/>
    <w:rsid w:val="1F115723"/>
    <w:rsid w:val="1F1B2CCF"/>
    <w:rsid w:val="1F7A6B27"/>
    <w:rsid w:val="1F973235"/>
    <w:rsid w:val="1FB50B8E"/>
    <w:rsid w:val="1FDD4C86"/>
    <w:rsid w:val="1FDE2C12"/>
    <w:rsid w:val="1FFB7C68"/>
    <w:rsid w:val="1FFC0927"/>
    <w:rsid w:val="20154B90"/>
    <w:rsid w:val="203767C6"/>
    <w:rsid w:val="20381BD4"/>
    <w:rsid w:val="203C2091"/>
    <w:rsid w:val="203D165B"/>
    <w:rsid w:val="2051287C"/>
    <w:rsid w:val="20772C67"/>
    <w:rsid w:val="20832818"/>
    <w:rsid w:val="20AD0878"/>
    <w:rsid w:val="20B6593D"/>
    <w:rsid w:val="20C5772A"/>
    <w:rsid w:val="20C7053E"/>
    <w:rsid w:val="20D85B09"/>
    <w:rsid w:val="20DA787E"/>
    <w:rsid w:val="21035955"/>
    <w:rsid w:val="21434389"/>
    <w:rsid w:val="216C24A0"/>
    <w:rsid w:val="217A60D2"/>
    <w:rsid w:val="219369B0"/>
    <w:rsid w:val="2197576F"/>
    <w:rsid w:val="219A0DBB"/>
    <w:rsid w:val="21D40771"/>
    <w:rsid w:val="221E379A"/>
    <w:rsid w:val="224169DC"/>
    <w:rsid w:val="224951C7"/>
    <w:rsid w:val="225D49B8"/>
    <w:rsid w:val="22620B0C"/>
    <w:rsid w:val="22766C54"/>
    <w:rsid w:val="22925F36"/>
    <w:rsid w:val="22B02E46"/>
    <w:rsid w:val="22E801F6"/>
    <w:rsid w:val="22F80095"/>
    <w:rsid w:val="231C0CE6"/>
    <w:rsid w:val="234C07DB"/>
    <w:rsid w:val="23722241"/>
    <w:rsid w:val="23751ADF"/>
    <w:rsid w:val="237C16B0"/>
    <w:rsid w:val="239A3204"/>
    <w:rsid w:val="23BD5235"/>
    <w:rsid w:val="23E6791D"/>
    <w:rsid w:val="23E822B1"/>
    <w:rsid w:val="24245F9C"/>
    <w:rsid w:val="2425014F"/>
    <w:rsid w:val="24701A48"/>
    <w:rsid w:val="247E49C4"/>
    <w:rsid w:val="248A3369"/>
    <w:rsid w:val="249315A6"/>
    <w:rsid w:val="24FB3788"/>
    <w:rsid w:val="25194736"/>
    <w:rsid w:val="251D66AA"/>
    <w:rsid w:val="251F61A7"/>
    <w:rsid w:val="25852DA5"/>
    <w:rsid w:val="25886712"/>
    <w:rsid w:val="25A93CC2"/>
    <w:rsid w:val="25CB1A39"/>
    <w:rsid w:val="25DF5936"/>
    <w:rsid w:val="260F19E5"/>
    <w:rsid w:val="26115FFA"/>
    <w:rsid w:val="265A4FBD"/>
    <w:rsid w:val="26844111"/>
    <w:rsid w:val="269476BF"/>
    <w:rsid w:val="26B7240F"/>
    <w:rsid w:val="26D11723"/>
    <w:rsid w:val="26DC3C24"/>
    <w:rsid w:val="26E419BD"/>
    <w:rsid w:val="26F17405"/>
    <w:rsid w:val="27283403"/>
    <w:rsid w:val="27541561"/>
    <w:rsid w:val="275505FF"/>
    <w:rsid w:val="27CE7761"/>
    <w:rsid w:val="27D112AE"/>
    <w:rsid w:val="27D57607"/>
    <w:rsid w:val="280A6664"/>
    <w:rsid w:val="280B656E"/>
    <w:rsid w:val="28174E62"/>
    <w:rsid w:val="28436CDD"/>
    <w:rsid w:val="285919D0"/>
    <w:rsid w:val="288D4C23"/>
    <w:rsid w:val="28E31299"/>
    <w:rsid w:val="28E360CB"/>
    <w:rsid w:val="28EA6ACC"/>
    <w:rsid w:val="292860AC"/>
    <w:rsid w:val="29C358D0"/>
    <w:rsid w:val="2A01123C"/>
    <w:rsid w:val="2A27081D"/>
    <w:rsid w:val="2A2C5930"/>
    <w:rsid w:val="2A745EA9"/>
    <w:rsid w:val="2AC375D4"/>
    <w:rsid w:val="2AF552B4"/>
    <w:rsid w:val="2B001654"/>
    <w:rsid w:val="2B1334DC"/>
    <w:rsid w:val="2B1478F6"/>
    <w:rsid w:val="2B163BA8"/>
    <w:rsid w:val="2B326508"/>
    <w:rsid w:val="2B342280"/>
    <w:rsid w:val="2B3B53BD"/>
    <w:rsid w:val="2B487F39"/>
    <w:rsid w:val="2B585F6F"/>
    <w:rsid w:val="2BA61EDD"/>
    <w:rsid w:val="2C117AA8"/>
    <w:rsid w:val="2C1C3440"/>
    <w:rsid w:val="2C273B93"/>
    <w:rsid w:val="2C473322"/>
    <w:rsid w:val="2C475FE3"/>
    <w:rsid w:val="2C625CF0"/>
    <w:rsid w:val="2C9111D4"/>
    <w:rsid w:val="2CAB02B0"/>
    <w:rsid w:val="2CDE3FE9"/>
    <w:rsid w:val="2CDF446E"/>
    <w:rsid w:val="2D0143E4"/>
    <w:rsid w:val="2D1C7470"/>
    <w:rsid w:val="2D256324"/>
    <w:rsid w:val="2D2A56E9"/>
    <w:rsid w:val="2D690E85"/>
    <w:rsid w:val="2D7A781A"/>
    <w:rsid w:val="2DBE7DF4"/>
    <w:rsid w:val="2DF3038D"/>
    <w:rsid w:val="2E730AF8"/>
    <w:rsid w:val="2E9F5C62"/>
    <w:rsid w:val="2EB33E33"/>
    <w:rsid w:val="2ED3712D"/>
    <w:rsid w:val="2ED718A0"/>
    <w:rsid w:val="2EFF4E1A"/>
    <w:rsid w:val="2F197E16"/>
    <w:rsid w:val="2F410D5D"/>
    <w:rsid w:val="2F7160BD"/>
    <w:rsid w:val="2F8D01B1"/>
    <w:rsid w:val="2F9C03F4"/>
    <w:rsid w:val="2FBE01D2"/>
    <w:rsid w:val="2FBF3D7D"/>
    <w:rsid w:val="2FC07B02"/>
    <w:rsid w:val="30000983"/>
    <w:rsid w:val="307C13B8"/>
    <w:rsid w:val="30850E88"/>
    <w:rsid w:val="308725A7"/>
    <w:rsid w:val="308A6A9E"/>
    <w:rsid w:val="309A0DD7"/>
    <w:rsid w:val="309B06AC"/>
    <w:rsid w:val="30CA4E30"/>
    <w:rsid w:val="30D836AE"/>
    <w:rsid w:val="30EF220B"/>
    <w:rsid w:val="3125428B"/>
    <w:rsid w:val="316F550D"/>
    <w:rsid w:val="319C292D"/>
    <w:rsid w:val="31A0509F"/>
    <w:rsid w:val="31B732C3"/>
    <w:rsid w:val="320076BA"/>
    <w:rsid w:val="3203475A"/>
    <w:rsid w:val="322C3CB1"/>
    <w:rsid w:val="324C4353"/>
    <w:rsid w:val="3253033D"/>
    <w:rsid w:val="325C2C4F"/>
    <w:rsid w:val="328D2B72"/>
    <w:rsid w:val="328F5FEE"/>
    <w:rsid w:val="32BB6DE3"/>
    <w:rsid w:val="330216D2"/>
    <w:rsid w:val="330E33B7"/>
    <w:rsid w:val="33235A93"/>
    <w:rsid w:val="33325DE5"/>
    <w:rsid w:val="33482D6D"/>
    <w:rsid w:val="335A2AA0"/>
    <w:rsid w:val="33686F6B"/>
    <w:rsid w:val="337A0A4C"/>
    <w:rsid w:val="338B48E0"/>
    <w:rsid w:val="33F702EF"/>
    <w:rsid w:val="34056699"/>
    <w:rsid w:val="348953EB"/>
    <w:rsid w:val="34B87A7E"/>
    <w:rsid w:val="34DA36A6"/>
    <w:rsid w:val="34E22D4D"/>
    <w:rsid w:val="35747E49"/>
    <w:rsid w:val="35787E6E"/>
    <w:rsid w:val="358A0DB6"/>
    <w:rsid w:val="358B0C13"/>
    <w:rsid w:val="35A3410D"/>
    <w:rsid w:val="35DE5B6F"/>
    <w:rsid w:val="36160F00"/>
    <w:rsid w:val="36914A2B"/>
    <w:rsid w:val="36A24542"/>
    <w:rsid w:val="36AD7768"/>
    <w:rsid w:val="36C344B8"/>
    <w:rsid w:val="36C42B50"/>
    <w:rsid w:val="36D67E7E"/>
    <w:rsid w:val="36DB6587"/>
    <w:rsid w:val="36E8434B"/>
    <w:rsid w:val="36FC6348"/>
    <w:rsid w:val="372E4027"/>
    <w:rsid w:val="373830F8"/>
    <w:rsid w:val="37573860"/>
    <w:rsid w:val="376C0B36"/>
    <w:rsid w:val="379E7B54"/>
    <w:rsid w:val="37D7646D"/>
    <w:rsid w:val="37E40B8A"/>
    <w:rsid w:val="37ED5C91"/>
    <w:rsid w:val="37F52D64"/>
    <w:rsid w:val="382E6073"/>
    <w:rsid w:val="383951F5"/>
    <w:rsid w:val="383B62FE"/>
    <w:rsid w:val="387101A4"/>
    <w:rsid w:val="38E319B6"/>
    <w:rsid w:val="38FB56A8"/>
    <w:rsid w:val="3902576C"/>
    <w:rsid w:val="39385CD4"/>
    <w:rsid w:val="399430B5"/>
    <w:rsid w:val="39D80F02"/>
    <w:rsid w:val="3A04149D"/>
    <w:rsid w:val="3A044B7F"/>
    <w:rsid w:val="3A0C102D"/>
    <w:rsid w:val="3A281202"/>
    <w:rsid w:val="3A2E433E"/>
    <w:rsid w:val="3A685AA2"/>
    <w:rsid w:val="3A804B9A"/>
    <w:rsid w:val="3ADE5721"/>
    <w:rsid w:val="3AED3A74"/>
    <w:rsid w:val="3B09485A"/>
    <w:rsid w:val="3B5A161C"/>
    <w:rsid w:val="3BDF30E8"/>
    <w:rsid w:val="3C0636F9"/>
    <w:rsid w:val="3C1A1220"/>
    <w:rsid w:val="3C357C06"/>
    <w:rsid w:val="3C3B2F73"/>
    <w:rsid w:val="3C54160F"/>
    <w:rsid w:val="3C574020"/>
    <w:rsid w:val="3C6109FB"/>
    <w:rsid w:val="3C8234BA"/>
    <w:rsid w:val="3C830972"/>
    <w:rsid w:val="3C860462"/>
    <w:rsid w:val="3CA37266"/>
    <w:rsid w:val="3CA70ADB"/>
    <w:rsid w:val="3CAF1AAA"/>
    <w:rsid w:val="3CDC1EE8"/>
    <w:rsid w:val="3D096A38"/>
    <w:rsid w:val="3D28095C"/>
    <w:rsid w:val="3D4F15F6"/>
    <w:rsid w:val="3D622497"/>
    <w:rsid w:val="3D6D62FD"/>
    <w:rsid w:val="3D9D0801"/>
    <w:rsid w:val="3D9F50BB"/>
    <w:rsid w:val="3DB35286"/>
    <w:rsid w:val="3E133F77"/>
    <w:rsid w:val="3E40510D"/>
    <w:rsid w:val="3E5F486D"/>
    <w:rsid w:val="3E647289"/>
    <w:rsid w:val="3E742C68"/>
    <w:rsid w:val="3EA60A8A"/>
    <w:rsid w:val="3EA82911"/>
    <w:rsid w:val="3EBF0E3A"/>
    <w:rsid w:val="3EF12BF6"/>
    <w:rsid w:val="3F042D6B"/>
    <w:rsid w:val="3F0A35CC"/>
    <w:rsid w:val="3F0B626F"/>
    <w:rsid w:val="3F2D72BA"/>
    <w:rsid w:val="3F43263A"/>
    <w:rsid w:val="3F4A39C9"/>
    <w:rsid w:val="3FFC0C9F"/>
    <w:rsid w:val="40424FF7"/>
    <w:rsid w:val="407F5BDC"/>
    <w:rsid w:val="40DA3F2D"/>
    <w:rsid w:val="40E02836"/>
    <w:rsid w:val="410F4523"/>
    <w:rsid w:val="411103AA"/>
    <w:rsid w:val="411F4D43"/>
    <w:rsid w:val="41BB295C"/>
    <w:rsid w:val="41C619F5"/>
    <w:rsid w:val="421053D1"/>
    <w:rsid w:val="426B25D4"/>
    <w:rsid w:val="42B93B68"/>
    <w:rsid w:val="42BC698B"/>
    <w:rsid w:val="42EF0AC6"/>
    <w:rsid w:val="42FC76D0"/>
    <w:rsid w:val="430D7052"/>
    <w:rsid w:val="43134458"/>
    <w:rsid w:val="43171E14"/>
    <w:rsid w:val="435B513E"/>
    <w:rsid w:val="43D85A47"/>
    <w:rsid w:val="43F271C2"/>
    <w:rsid w:val="444842D2"/>
    <w:rsid w:val="44541892"/>
    <w:rsid w:val="447A70D8"/>
    <w:rsid w:val="449D369B"/>
    <w:rsid w:val="44C73997"/>
    <w:rsid w:val="44CF7A97"/>
    <w:rsid w:val="44D02BC2"/>
    <w:rsid w:val="44D249B2"/>
    <w:rsid w:val="45102FBE"/>
    <w:rsid w:val="4557299B"/>
    <w:rsid w:val="456D050A"/>
    <w:rsid w:val="459B015E"/>
    <w:rsid w:val="459D30ED"/>
    <w:rsid w:val="45D42E88"/>
    <w:rsid w:val="46101479"/>
    <w:rsid w:val="468C64C8"/>
    <w:rsid w:val="46A2058E"/>
    <w:rsid w:val="46D06EA9"/>
    <w:rsid w:val="46DF70EC"/>
    <w:rsid w:val="46E12E64"/>
    <w:rsid w:val="47123C5F"/>
    <w:rsid w:val="47350CCB"/>
    <w:rsid w:val="473F7117"/>
    <w:rsid w:val="474B29D4"/>
    <w:rsid w:val="477041E8"/>
    <w:rsid w:val="47947ED7"/>
    <w:rsid w:val="47A856EF"/>
    <w:rsid w:val="47A94056"/>
    <w:rsid w:val="47B54F76"/>
    <w:rsid w:val="47BB10E5"/>
    <w:rsid w:val="47E04ECA"/>
    <w:rsid w:val="4804672A"/>
    <w:rsid w:val="48082673"/>
    <w:rsid w:val="48403BBB"/>
    <w:rsid w:val="48726810"/>
    <w:rsid w:val="488E0DCA"/>
    <w:rsid w:val="48A4239B"/>
    <w:rsid w:val="48C74EF7"/>
    <w:rsid w:val="48F758A5"/>
    <w:rsid w:val="48FB47C0"/>
    <w:rsid w:val="48FE73A1"/>
    <w:rsid w:val="49042270"/>
    <w:rsid w:val="4921579A"/>
    <w:rsid w:val="492178D9"/>
    <w:rsid w:val="49284D7B"/>
    <w:rsid w:val="492E1EAA"/>
    <w:rsid w:val="493201F1"/>
    <w:rsid w:val="49830203"/>
    <w:rsid w:val="49A34401"/>
    <w:rsid w:val="49AB66FD"/>
    <w:rsid w:val="49AD7467"/>
    <w:rsid w:val="49D44C30"/>
    <w:rsid w:val="49DB4D4B"/>
    <w:rsid w:val="49F5426C"/>
    <w:rsid w:val="4A105DE0"/>
    <w:rsid w:val="4A5E657A"/>
    <w:rsid w:val="4A88246E"/>
    <w:rsid w:val="4AA72F9A"/>
    <w:rsid w:val="4ABD14F2"/>
    <w:rsid w:val="4ADA20A4"/>
    <w:rsid w:val="4AEA779F"/>
    <w:rsid w:val="4B1F52C0"/>
    <w:rsid w:val="4B397FD9"/>
    <w:rsid w:val="4B7324F9"/>
    <w:rsid w:val="4B9113B7"/>
    <w:rsid w:val="4B9F32EE"/>
    <w:rsid w:val="4BF24EAD"/>
    <w:rsid w:val="4C4270A1"/>
    <w:rsid w:val="4C4F5B42"/>
    <w:rsid w:val="4C7E1155"/>
    <w:rsid w:val="4C942727"/>
    <w:rsid w:val="4C956D80"/>
    <w:rsid w:val="4CA65EE6"/>
    <w:rsid w:val="4CC92EED"/>
    <w:rsid w:val="4D0D6E7C"/>
    <w:rsid w:val="4D393F55"/>
    <w:rsid w:val="4D3C663D"/>
    <w:rsid w:val="4D4203D5"/>
    <w:rsid w:val="4D454212"/>
    <w:rsid w:val="4D480AC2"/>
    <w:rsid w:val="4D562E36"/>
    <w:rsid w:val="4DA92202"/>
    <w:rsid w:val="4DD0543A"/>
    <w:rsid w:val="4E0062C6"/>
    <w:rsid w:val="4E08517B"/>
    <w:rsid w:val="4E163BB7"/>
    <w:rsid w:val="4E2B70BB"/>
    <w:rsid w:val="4E7034C7"/>
    <w:rsid w:val="4F0E4A13"/>
    <w:rsid w:val="4F2021A6"/>
    <w:rsid w:val="4FA669F9"/>
    <w:rsid w:val="4FC65705"/>
    <w:rsid w:val="4FC7696F"/>
    <w:rsid w:val="4FDE2637"/>
    <w:rsid w:val="4FFE6835"/>
    <w:rsid w:val="50025BF9"/>
    <w:rsid w:val="50047BC4"/>
    <w:rsid w:val="50120532"/>
    <w:rsid w:val="50164967"/>
    <w:rsid w:val="50264D8D"/>
    <w:rsid w:val="50782EB7"/>
    <w:rsid w:val="507B7E86"/>
    <w:rsid w:val="50947199"/>
    <w:rsid w:val="512A5408"/>
    <w:rsid w:val="513C39C1"/>
    <w:rsid w:val="51474C7B"/>
    <w:rsid w:val="516E3AE8"/>
    <w:rsid w:val="51780EAC"/>
    <w:rsid w:val="517A6B6B"/>
    <w:rsid w:val="51C21AE4"/>
    <w:rsid w:val="520F2153"/>
    <w:rsid w:val="521A0849"/>
    <w:rsid w:val="52576539"/>
    <w:rsid w:val="526D37FE"/>
    <w:rsid w:val="527032EE"/>
    <w:rsid w:val="52AA11D3"/>
    <w:rsid w:val="52DB6704"/>
    <w:rsid w:val="52F703CB"/>
    <w:rsid w:val="530C10F9"/>
    <w:rsid w:val="532C3A7D"/>
    <w:rsid w:val="53424C8B"/>
    <w:rsid w:val="53607919"/>
    <w:rsid w:val="537F5EDF"/>
    <w:rsid w:val="53B447E3"/>
    <w:rsid w:val="53C03E02"/>
    <w:rsid w:val="54297BF9"/>
    <w:rsid w:val="54300F87"/>
    <w:rsid w:val="54807156"/>
    <w:rsid w:val="54BF6A11"/>
    <w:rsid w:val="54E63D3C"/>
    <w:rsid w:val="553C68F0"/>
    <w:rsid w:val="55463EC7"/>
    <w:rsid w:val="554F336E"/>
    <w:rsid w:val="55571133"/>
    <w:rsid w:val="556B4035"/>
    <w:rsid w:val="55B6370E"/>
    <w:rsid w:val="55D46D16"/>
    <w:rsid w:val="55F431AA"/>
    <w:rsid w:val="56051FA0"/>
    <w:rsid w:val="561C3E80"/>
    <w:rsid w:val="562E7E99"/>
    <w:rsid w:val="5634515D"/>
    <w:rsid w:val="56472142"/>
    <w:rsid w:val="565C2507"/>
    <w:rsid w:val="566836C5"/>
    <w:rsid w:val="569C6DA8"/>
    <w:rsid w:val="56A7547E"/>
    <w:rsid w:val="56FA762A"/>
    <w:rsid w:val="57965E2B"/>
    <w:rsid w:val="579730CB"/>
    <w:rsid w:val="57BD62FF"/>
    <w:rsid w:val="57D4431F"/>
    <w:rsid w:val="57E207EA"/>
    <w:rsid w:val="57FB18AC"/>
    <w:rsid w:val="57FE4953"/>
    <w:rsid w:val="58164D8C"/>
    <w:rsid w:val="58254B7B"/>
    <w:rsid w:val="5856692C"/>
    <w:rsid w:val="58695D27"/>
    <w:rsid w:val="58884D19"/>
    <w:rsid w:val="58A47068"/>
    <w:rsid w:val="58AB5080"/>
    <w:rsid w:val="58B37493"/>
    <w:rsid w:val="58B971F0"/>
    <w:rsid w:val="58C7128F"/>
    <w:rsid w:val="59011144"/>
    <w:rsid w:val="59162E41"/>
    <w:rsid w:val="59611BE3"/>
    <w:rsid w:val="597D4C6F"/>
    <w:rsid w:val="59A75E76"/>
    <w:rsid w:val="59C363FA"/>
    <w:rsid w:val="5A440B56"/>
    <w:rsid w:val="5A63671D"/>
    <w:rsid w:val="5A670607"/>
    <w:rsid w:val="5A6A4AC7"/>
    <w:rsid w:val="5A6E1B86"/>
    <w:rsid w:val="5A997C79"/>
    <w:rsid w:val="5A9A1850"/>
    <w:rsid w:val="5AEB4AF6"/>
    <w:rsid w:val="5AF407C2"/>
    <w:rsid w:val="5B067F61"/>
    <w:rsid w:val="5B5F03A4"/>
    <w:rsid w:val="5B751975"/>
    <w:rsid w:val="5BA868D9"/>
    <w:rsid w:val="5BB03057"/>
    <w:rsid w:val="5BFD2097"/>
    <w:rsid w:val="5C25339C"/>
    <w:rsid w:val="5C403D31"/>
    <w:rsid w:val="5C4A6705"/>
    <w:rsid w:val="5C7B120D"/>
    <w:rsid w:val="5C7F2BF1"/>
    <w:rsid w:val="5C844566"/>
    <w:rsid w:val="5D094A6B"/>
    <w:rsid w:val="5D0E3D7B"/>
    <w:rsid w:val="5D731EE5"/>
    <w:rsid w:val="5D740137"/>
    <w:rsid w:val="5DB20C5F"/>
    <w:rsid w:val="5DB50E4A"/>
    <w:rsid w:val="5DF43534"/>
    <w:rsid w:val="5DFB43B4"/>
    <w:rsid w:val="5E0A45F7"/>
    <w:rsid w:val="5E563006"/>
    <w:rsid w:val="5E6D131D"/>
    <w:rsid w:val="5E8C30F0"/>
    <w:rsid w:val="5ECF0E38"/>
    <w:rsid w:val="5EED43F7"/>
    <w:rsid w:val="5F5228A6"/>
    <w:rsid w:val="5F9F1931"/>
    <w:rsid w:val="5FD90725"/>
    <w:rsid w:val="5FDB64C6"/>
    <w:rsid w:val="5FEC62F7"/>
    <w:rsid w:val="5FF133C1"/>
    <w:rsid w:val="5FF937E9"/>
    <w:rsid w:val="5FFE2635"/>
    <w:rsid w:val="60030C8A"/>
    <w:rsid w:val="6008725C"/>
    <w:rsid w:val="60511C70"/>
    <w:rsid w:val="60583D40"/>
    <w:rsid w:val="60926391"/>
    <w:rsid w:val="60A615E0"/>
    <w:rsid w:val="60B93769"/>
    <w:rsid w:val="60B94C4A"/>
    <w:rsid w:val="60D11C3C"/>
    <w:rsid w:val="60D3786A"/>
    <w:rsid w:val="60D40EEC"/>
    <w:rsid w:val="612C2AD6"/>
    <w:rsid w:val="613B1ED0"/>
    <w:rsid w:val="613D2F35"/>
    <w:rsid w:val="616A5C4A"/>
    <w:rsid w:val="618741B1"/>
    <w:rsid w:val="618E3791"/>
    <w:rsid w:val="61A86601"/>
    <w:rsid w:val="61AA2758"/>
    <w:rsid w:val="61BA27D8"/>
    <w:rsid w:val="61BB64EC"/>
    <w:rsid w:val="61C62F2B"/>
    <w:rsid w:val="61D61D7B"/>
    <w:rsid w:val="62272C7F"/>
    <w:rsid w:val="62614A02"/>
    <w:rsid w:val="629B6165"/>
    <w:rsid w:val="62A85789"/>
    <w:rsid w:val="62AA0157"/>
    <w:rsid w:val="62DE0CD1"/>
    <w:rsid w:val="62EC4C13"/>
    <w:rsid w:val="62F45876"/>
    <w:rsid w:val="62F46CB3"/>
    <w:rsid w:val="62FF427B"/>
    <w:rsid w:val="63095DC1"/>
    <w:rsid w:val="63236614"/>
    <w:rsid w:val="633D54B9"/>
    <w:rsid w:val="63630F13"/>
    <w:rsid w:val="637075F2"/>
    <w:rsid w:val="63710EF6"/>
    <w:rsid w:val="63A728E8"/>
    <w:rsid w:val="63DA2CBD"/>
    <w:rsid w:val="63DF2257"/>
    <w:rsid w:val="63ED4609"/>
    <w:rsid w:val="63EF60B0"/>
    <w:rsid w:val="64055F8C"/>
    <w:rsid w:val="64460353"/>
    <w:rsid w:val="645B2050"/>
    <w:rsid w:val="6477675E"/>
    <w:rsid w:val="647A5AE9"/>
    <w:rsid w:val="64B67287"/>
    <w:rsid w:val="64E8621E"/>
    <w:rsid w:val="64EC4A56"/>
    <w:rsid w:val="65085608"/>
    <w:rsid w:val="65165F77"/>
    <w:rsid w:val="652D0651"/>
    <w:rsid w:val="65387C9C"/>
    <w:rsid w:val="653D1756"/>
    <w:rsid w:val="65640A91"/>
    <w:rsid w:val="65670581"/>
    <w:rsid w:val="65982BDD"/>
    <w:rsid w:val="65A2780B"/>
    <w:rsid w:val="65BF751B"/>
    <w:rsid w:val="65DC3BD7"/>
    <w:rsid w:val="65DF6369"/>
    <w:rsid w:val="65FD004D"/>
    <w:rsid w:val="66146CF8"/>
    <w:rsid w:val="66173865"/>
    <w:rsid w:val="662A2CF2"/>
    <w:rsid w:val="66342B59"/>
    <w:rsid w:val="66372A2B"/>
    <w:rsid w:val="66495ED8"/>
    <w:rsid w:val="66516206"/>
    <w:rsid w:val="66763171"/>
    <w:rsid w:val="66D57CFB"/>
    <w:rsid w:val="66D64475"/>
    <w:rsid w:val="66E420A7"/>
    <w:rsid w:val="66E520A5"/>
    <w:rsid w:val="66E540BC"/>
    <w:rsid w:val="66F36853"/>
    <w:rsid w:val="66FD01D3"/>
    <w:rsid w:val="6756382A"/>
    <w:rsid w:val="677E1BB2"/>
    <w:rsid w:val="677F21F0"/>
    <w:rsid w:val="678278F4"/>
    <w:rsid w:val="67AD3F0D"/>
    <w:rsid w:val="67BE0835"/>
    <w:rsid w:val="67C25F42"/>
    <w:rsid w:val="67C33DB9"/>
    <w:rsid w:val="67DF5899"/>
    <w:rsid w:val="67ED421D"/>
    <w:rsid w:val="681C1AF7"/>
    <w:rsid w:val="68AF2178"/>
    <w:rsid w:val="68D128E1"/>
    <w:rsid w:val="68E32614"/>
    <w:rsid w:val="68E94C42"/>
    <w:rsid w:val="690C1867"/>
    <w:rsid w:val="69195A77"/>
    <w:rsid w:val="69401968"/>
    <w:rsid w:val="6983090D"/>
    <w:rsid w:val="69A276F2"/>
    <w:rsid w:val="69B875FD"/>
    <w:rsid w:val="69DC62F8"/>
    <w:rsid w:val="6A216451"/>
    <w:rsid w:val="6A2E55F7"/>
    <w:rsid w:val="6A3C1FDC"/>
    <w:rsid w:val="6A3C5DD9"/>
    <w:rsid w:val="6A3F4ED6"/>
    <w:rsid w:val="6A6D6639"/>
    <w:rsid w:val="6A773014"/>
    <w:rsid w:val="6A7F28A9"/>
    <w:rsid w:val="6AA858C3"/>
    <w:rsid w:val="6AC05CCF"/>
    <w:rsid w:val="6AC551CB"/>
    <w:rsid w:val="6ACD4A8B"/>
    <w:rsid w:val="6AF67FAD"/>
    <w:rsid w:val="6AFB6075"/>
    <w:rsid w:val="6B0548C4"/>
    <w:rsid w:val="6B381289"/>
    <w:rsid w:val="6B516267"/>
    <w:rsid w:val="6B9C5F42"/>
    <w:rsid w:val="6BCF0C2E"/>
    <w:rsid w:val="6C030D6D"/>
    <w:rsid w:val="6C40252E"/>
    <w:rsid w:val="6C7B4639"/>
    <w:rsid w:val="6CBC11B2"/>
    <w:rsid w:val="6CEE5BAE"/>
    <w:rsid w:val="6D5F0365"/>
    <w:rsid w:val="6D845CEC"/>
    <w:rsid w:val="6DB42608"/>
    <w:rsid w:val="6DE57AAA"/>
    <w:rsid w:val="6E005A16"/>
    <w:rsid w:val="6E700B4D"/>
    <w:rsid w:val="6EA445F4"/>
    <w:rsid w:val="6EED7D49"/>
    <w:rsid w:val="6EEE555E"/>
    <w:rsid w:val="6EF015E7"/>
    <w:rsid w:val="6F0A08FB"/>
    <w:rsid w:val="6F1E1004"/>
    <w:rsid w:val="6F3447A0"/>
    <w:rsid w:val="6F4B1DF4"/>
    <w:rsid w:val="6F7C10CD"/>
    <w:rsid w:val="6F834209"/>
    <w:rsid w:val="6FAA682C"/>
    <w:rsid w:val="6FDE7692"/>
    <w:rsid w:val="6FFD220E"/>
    <w:rsid w:val="7041502D"/>
    <w:rsid w:val="70455963"/>
    <w:rsid w:val="70C129B1"/>
    <w:rsid w:val="70D72A5F"/>
    <w:rsid w:val="70DE19AE"/>
    <w:rsid w:val="710B67E7"/>
    <w:rsid w:val="71175551"/>
    <w:rsid w:val="71297032"/>
    <w:rsid w:val="715C325B"/>
    <w:rsid w:val="715F2FF0"/>
    <w:rsid w:val="71614A1E"/>
    <w:rsid w:val="718640BF"/>
    <w:rsid w:val="71EC0E29"/>
    <w:rsid w:val="71F25828"/>
    <w:rsid w:val="720E4E8D"/>
    <w:rsid w:val="722E4900"/>
    <w:rsid w:val="72433E8D"/>
    <w:rsid w:val="72AD4E99"/>
    <w:rsid w:val="72D356D8"/>
    <w:rsid w:val="72DA4296"/>
    <w:rsid w:val="72FD2525"/>
    <w:rsid w:val="730218E9"/>
    <w:rsid w:val="73100BB1"/>
    <w:rsid w:val="739F3E9C"/>
    <w:rsid w:val="73A2643B"/>
    <w:rsid w:val="73B478E6"/>
    <w:rsid w:val="73C05A2C"/>
    <w:rsid w:val="73C130C1"/>
    <w:rsid w:val="74085F5B"/>
    <w:rsid w:val="742B284C"/>
    <w:rsid w:val="747607E0"/>
    <w:rsid w:val="752718BC"/>
    <w:rsid w:val="754C28F1"/>
    <w:rsid w:val="760616F0"/>
    <w:rsid w:val="76326989"/>
    <w:rsid w:val="76760624"/>
    <w:rsid w:val="76837C0D"/>
    <w:rsid w:val="76B455F0"/>
    <w:rsid w:val="76E21061"/>
    <w:rsid w:val="76E7339B"/>
    <w:rsid w:val="773553C0"/>
    <w:rsid w:val="7758241F"/>
    <w:rsid w:val="776E579F"/>
    <w:rsid w:val="77996CC0"/>
    <w:rsid w:val="77C47AB5"/>
    <w:rsid w:val="77C9104E"/>
    <w:rsid w:val="77D05F9B"/>
    <w:rsid w:val="77D73CB6"/>
    <w:rsid w:val="77F55445"/>
    <w:rsid w:val="780D6D66"/>
    <w:rsid w:val="78A67B9F"/>
    <w:rsid w:val="78C67C4D"/>
    <w:rsid w:val="79062C97"/>
    <w:rsid w:val="79164340"/>
    <w:rsid w:val="79762D58"/>
    <w:rsid w:val="797F5A41"/>
    <w:rsid w:val="79955265"/>
    <w:rsid w:val="79F857F4"/>
    <w:rsid w:val="79FC2D37"/>
    <w:rsid w:val="7A127F00"/>
    <w:rsid w:val="7A4B626B"/>
    <w:rsid w:val="7AD41DBD"/>
    <w:rsid w:val="7ADF180E"/>
    <w:rsid w:val="7AF3188E"/>
    <w:rsid w:val="7AF456EA"/>
    <w:rsid w:val="7AF80008"/>
    <w:rsid w:val="7B1058B9"/>
    <w:rsid w:val="7B187EFC"/>
    <w:rsid w:val="7B290A76"/>
    <w:rsid w:val="7B30127B"/>
    <w:rsid w:val="7B566455"/>
    <w:rsid w:val="7B6B05AC"/>
    <w:rsid w:val="7B911931"/>
    <w:rsid w:val="7BE178F4"/>
    <w:rsid w:val="7BEE5100"/>
    <w:rsid w:val="7BF83FF2"/>
    <w:rsid w:val="7C06244A"/>
    <w:rsid w:val="7C120DEF"/>
    <w:rsid w:val="7C3C2310"/>
    <w:rsid w:val="7C421AF0"/>
    <w:rsid w:val="7C63789C"/>
    <w:rsid w:val="7C7B2E38"/>
    <w:rsid w:val="7CA02FDB"/>
    <w:rsid w:val="7CA37C99"/>
    <w:rsid w:val="7CB60F13"/>
    <w:rsid w:val="7CDA2305"/>
    <w:rsid w:val="7D305A15"/>
    <w:rsid w:val="7D5E506A"/>
    <w:rsid w:val="7D871368"/>
    <w:rsid w:val="7DA41F1A"/>
    <w:rsid w:val="7DD722F0"/>
    <w:rsid w:val="7E02596F"/>
    <w:rsid w:val="7E0B0371"/>
    <w:rsid w:val="7E4C610E"/>
    <w:rsid w:val="7E4D4F0E"/>
    <w:rsid w:val="7E703B41"/>
    <w:rsid w:val="7E707234"/>
    <w:rsid w:val="7E7C4C45"/>
    <w:rsid w:val="7E906943"/>
    <w:rsid w:val="7E952BC4"/>
    <w:rsid w:val="7E965634"/>
    <w:rsid w:val="7E9A331D"/>
    <w:rsid w:val="7EBC66AB"/>
    <w:rsid w:val="7ECA001A"/>
    <w:rsid w:val="7EF7116A"/>
    <w:rsid w:val="7F121106"/>
    <w:rsid w:val="7F1A02D4"/>
    <w:rsid w:val="7F8376F2"/>
    <w:rsid w:val="7FCA5472"/>
    <w:rsid w:val="7FE505C8"/>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291"/>
    <w:autoRedefine/>
    <w:qFormat/>
    <w:uiPriority w:val="0"/>
    <w:pPr>
      <w:keepNext/>
      <w:keepLines/>
      <w:spacing w:before="340" w:after="330" w:line="576" w:lineRule="auto"/>
      <w:outlineLvl w:val="0"/>
    </w:pPr>
    <w:rPr>
      <w:kern w:val="44"/>
      <w:sz w:val="36"/>
    </w:rPr>
  </w:style>
  <w:style w:type="paragraph" w:styleId="4">
    <w:name w:val="heading 2"/>
    <w:basedOn w:val="1"/>
    <w:next w:val="1"/>
    <w:qFormat/>
    <w:uiPriority w:val="0"/>
    <w:pPr>
      <w:spacing w:line="360" w:lineRule="auto"/>
      <w:jc w:val="center"/>
      <w:outlineLvl w:val="1"/>
    </w:pPr>
    <w:rPr>
      <w:rFonts w:ascii="宋体" w:hAnsi="宋体"/>
      <w:b/>
      <w:sz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outlineLvl w:val="3"/>
    </w:pPr>
    <w:rPr>
      <w:color w:val="FF0000"/>
      <w:sz w:val="28"/>
      <w:u w:val="single"/>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3"/>
    <w:autoRedefine/>
    <w:qFormat/>
    <w:uiPriority w:val="0"/>
    <w:pPr>
      <w:tabs>
        <w:tab w:val="center" w:pos="4153"/>
        <w:tab w:val="right" w:pos="8306"/>
      </w:tabs>
      <w:snapToGrid w:val="0"/>
      <w:jc w:val="left"/>
    </w:pPr>
    <w:rPr>
      <w:sz w:val="18"/>
    </w:rPr>
  </w:style>
  <w:style w:type="paragraph" w:styleId="7">
    <w:name w:val="Normal Indent"/>
    <w:basedOn w:val="1"/>
    <w:qFormat/>
    <w:uiPriority w:val="0"/>
    <w:pPr>
      <w:ind w:firstLine="420" w:firstLineChars="200"/>
    </w:pPr>
  </w:style>
  <w:style w:type="paragraph" w:styleId="8">
    <w:name w:val="annotation text"/>
    <w:basedOn w:val="1"/>
    <w:link w:val="310"/>
    <w:autoRedefine/>
    <w:qFormat/>
    <w:uiPriority w:val="0"/>
    <w:pPr>
      <w:jc w:val="left"/>
    </w:pPr>
  </w:style>
  <w:style w:type="paragraph" w:styleId="9">
    <w:name w:val="Body Text"/>
    <w:basedOn w:val="1"/>
    <w:autoRedefine/>
    <w:qFormat/>
    <w:uiPriority w:val="1"/>
    <w:pPr>
      <w:ind w:left="538"/>
    </w:pPr>
    <w:rPr>
      <w:sz w:val="28"/>
      <w:szCs w:val="28"/>
    </w:rPr>
  </w:style>
  <w:style w:type="paragraph" w:styleId="10">
    <w:name w:val="Body Text Indent"/>
    <w:basedOn w:val="1"/>
    <w:autoRedefine/>
    <w:qFormat/>
    <w:uiPriority w:val="0"/>
    <w:pPr>
      <w:ind w:firstLine="630"/>
    </w:pPr>
    <w:rPr>
      <w:sz w:val="32"/>
    </w:rPr>
  </w:style>
  <w:style w:type="paragraph" w:styleId="11">
    <w:name w:val="Block Text"/>
    <w:basedOn w:val="1"/>
    <w:autoRedefine/>
    <w:qFormat/>
    <w:uiPriority w:val="0"/>
    <w:pPr>
      <w:ind w:left="-188" w:leftChars="-188" w:right="-368" w:rightChars="-368" w:firstLine="560" w:firstLineChars="200"/>
    </w:pPr>
    <w:rPr>
      <w:sz w:val="28"/>
      <w:szCs w:val="24"/>
    </w:rPr>
  </w:style>
  <w:style w:type="paragraph" w:styleId="12">
    <w:name w:val="Plain Text"/>
    <w:basedOn w:val="1"/>
    <w:autoRedefine/>
    <w:qFormat/>
    <w:uiPriority w:val="0"/>
    <w:pPr>
      <w:adjustRightInd w:val="0"/>
      <w:snapToGrid w:val="0"/>
      <w:spacing w:line="360" w:lineRule="auto"/>
    </w:pPr>
    <w:rPr>
      <w:rFonts w:ascii="宋体" w:hAnsi="Courier New"/>
    </w:rPr>
  </w:style>
  <w:style w:type="paragraph" w:styleId="13">
    <w:name w:val="Date"/>
    <w:basedOn w:val="1"/>
    <w:next w:val="1"/>
    <w:link w:val="68"/>
    <w:autoRedefine/>
    <w:qFormat/>
    <w:uiPriority w:val="0"/>
    <w:pPr>
      <w:ind w:left="100" w:leftChars="2500"/>
    </w:pPr>
  </w:style>
  <w:style w:type="paragraph" w:styleId="14">
    <w:name w:val="Body Text Indent 2"/>
    <w:basedOn w:val="1"/>
    <w:autoRedefine/>
    <w:qFormat/>
    <w:uiPriority w:val="0"/>
    <w:pPr>
      <w:spacing w:after="120" w:line="480" w:lineRule="auto"/>
      <w:ind w:left="420" w:leftChars="200"/>
    </w:pPr>
    <w:rPr>
      <w:sz w:val="18"/>
      <w:szCs w:val="18"/>
    </w:rPr>
  </w:style>
  <w:style w:type="paragraph" w:styleId="15">
    <w:name w:val="Balloon Text"/>
    <w:basedOn w:val="1"/>
    <w:link w:val="309"/>
    <w:qFormat/>
    <w:uiPriority w:val="0"/>
    <w:rPr>
      <w:sz w:val="18"/>
      <w:szCs w:val="18"/>
    </w:rPr>
  </w:style>
  <w:style w:type="paragraph" w:styleId="16">
    <w:name w:val="header"/>
    <w:basedOn w:val="1"/>
    <w:link w:val="74"/>
    <w:autoRedefine/>
    <w:qFormat/>
    <w:uiPriority w:val="0"/>
    <w:pPr>
      <w:pBdr>
        <w:bottom w:val="single" w:color="000000"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华文宋体" w:hAnsi="华文宋体" w:eastAsia="华文宋体" w:cs="Courier New"/>
      <w:sz w:val="24"/>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20">
    <w:name w:val="Normal (Web)"/>
    <w:basedOn w:val="1"/>
    <w:autoRedefine/>
    <w:qFormat/>
    <w:uiPriority w:val="99"/>
    <w:pPr>
      <w:spacing w:before="100" w:beforeAutospacing="1" w:after="100" w:afterAutospacing="1"/>
      <w:jc w:val="left"/>
    </w:pPr>
    <w:rPr>
      <w:rFonts w:ascii="宋体" w:hAnsi="宋体"/>
      <w:kern w:val="0"/>
      <w:sz w:val="24"/>
    </w:rPr>
  </w:style>
  <w:style w:type="paragraph" w:styleId="21">
    <w:name w:val="Title"/>
    <w:basedOn w:val="1"/>
    <w:next w:val="1"/>
    <w:autoRedefine/>
    <w:qFormat/>
    <w:uiPriority w:val="0"/>
    <w:pPr>
      <w:spacing w:before="120" w:after="120"/>
      <w:jc w:val="center"/>
    </w:pPr>
    <w:rPr>
      <w:rFonts w:eastAsia="黑体"/>
      <w:b/>
      <w:sz w:val="32"/>
    </w:rPr>
  </w:style>
  <w:style w:type="paragraph" w:styleId="22">
    <w:name w:val="annotation subject"/>
    <w:basedOn w:val="8"/>
    <w:next w:val="8"/>
    <w:link w:val="311"/>
    <w:qFormat/>
    <w:uiPriority w:val="0"/>
    <w:rPr>
      <w:b/>
      <w:bCs/>
    </w:rPr>
  </w:style>
  <w:style w:type="paragraph" w:styleId="23">
    <w:name w:val="Body Text First Indent"/>
    <w:basedOn w:val="9"/>
    <w:autoRedefine/>
    <w:unhideWhenUsed/>
    <w:qFormat/>
    <w:uiPriority w:val="99"/>
    <w:pPr>
      <w:ind w:firstLine="420" w:firstLineChars="100"/>
    </w:pPr>
    <w:rPr>
      <w:sz w:val="18"/>
      <w:szCs w:val="18"/>
    </w:rPr>
  </w:style>
  <w:style w:type="paragraph" w:styleId="24">
    <w:name w:val="Body Text First Indent 2"/>
    <w:basedOn w:val="10"/>
    <w:autoRedefine/>
    <w:unhideWhenUsed/>
    <w:qFormat/>
    <w:uiPriority w:val="99"/>
    <w:pPr>
      <w:ind w:firstLine="480" w:firstLineChars="200"/>
    </w:pPr>
    <w:rPr>
      <w:sz w:val="24"/>
      <w:szCs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rFonts w:cs="Times New Roman"/>
      <w:b/>
      <w:bCs/>
    </w:rPr>
  </w:style>
  <w:style w:type="character" w:styleId="29">
    <w:name w:val="FollowedHyperlink"/>
    <w:autoRedefine/>
    <w:qFormat/>
    <w:uiPriority w:val="0"/>
    <w:rPr>
      <w:color w:val="800080"/>
    </w:rPr>
  </w:style>
  <w:style w:type="character" w:styleId="30">
    <w:name w:val="Emphasis"/>
    <w:autoRedefine/>
    <w:qFormat/>
    <w:uiPriority w:val="0"/>
  </w:style>
  <w:style w:type="character" w:styleId="31">
    <w:name w:val="Hyperlink"/>
    <w:autoRedefine/>
    <w:qFormat/>
    <w:uiPriority w:val="0"/>
    <w:rPr>
      <w:color w:val="0000FF"/>
    </w:rPr>
  </w:style>
  <w:style w:type="character" w:styleId="32">
    <w:name w:val="annotation reference"/>
    <w:basedOn w:val="27"/>
    <w:qFormat/>
    <w:uiPriority w:val="0"/>
    <w:rPr>
      <w:sz w:val="21"/>
      <w:szCs w:val="21"/>
    </w:rPr>
  </w:style>
  <w:style w:type="paragraph" w:customStyle="1" w:styleId="33">
    <w:name w:val="正文缩进1"/>
    <w:basedOn w:val="1"/>
    <w:autoRedefine/>
    <w:qFormat/>
    <w:uiPriority w:val="0"/>
    <w:pPr>
      <w:autoSpaceDE w:val="0"/>
      <w:autoSpaceDN w:val="0"/>
      <w:adjustRightInd w:val="0"/>
      <w:ind w:firstLine="420"/>
      <w:jc w:val="left"/>
    </w:pPr>
    <w:rPr>
      <w:rFonts w:ascii="宋体"/>
      <w:kern w:val="0"/>
      <w:sz w:val="24"/>
    </w:rPr>
  </w:style>
  <w:style w:type="paragraph" w:customStyle="1" w:styleId="34">
    <w:name w:val="Heading1"/>
    <w:basedOn w:val="1"/>
    <w:link w:val="46"/>
    <w:autoRedefine/>
    <w:qFormat/>
    <w:uiPriority w:val="0"/>
    <w:pPr>
      <w:jc w:val="center"/>
    </w:pPr>
    <w:rPr>
      <w:rFonts w:ascii="宋体" w:hAnsi="宋体"/>
      <w:b/>
      <w:sz w:val="36"/>
    </w:rPr>
  </w:style>
  <w:style w:type="paragraph" w:customStyle="1" w:styleId="35">
    <w:name w:val="Heading2"/>
    <w:basedOn w:val="1"/>
    <w:next w:val="1"/>
    <w:link w:val="48"/>
    <w:autoRedefine/>
    <w:qFormat/>
    <w:uiPriority w:val="0"/>
    <w:pPr>
      <w:spacing w:line="360" w:lineRule="auto"/>
      <w:jc w:val="center"/>
    </w:pPr>
    <w:rPr>
      <w:rFonts w:ascii="宋体" w:hAnsi="宋体"/>
      <w:b/>
      <w:sz w:val="24"/>
    </w:rPr>
  </w:style>
  <w:style w:type="paragraph" w:customStyle="1" w:styleId="36">
    <w:name w:val="Heading3"/>
    <w:basedOn w:val="1"/>
    <w:next w:val="1"/>
    <w:link w:val="49"/>
    <w:autoRedefine/>
    <w:qFormat/>
    <w:uiPriority w:val="0"/>
    <w:pPr>
      <w:keepNext/>
      <w:keepLines/>
      <w:spacing w:before="360" w:after="120"/>
      <w:jc w:val="left"/>
    </w:pPr>
    <w:rPr>
      <w:rFonts w:ascii="宋体"/>
      <w:b/>
      <w:kern w:val="0"/>
      <w:sz w:val="24"/>
      <w:u w:val="single"/>
    </w:rPr>
  </w:style>
  <w:style w:type="paragraph" w:customStyle="1" w:styleId="37">
    <w:name w:val="Heading4"/>
    <w:basedOn w:val="1"/>
    <w:next w:val="1"/>
    <w:link w:val="45"/>
    <w:autoRedefine/>
    <w:qFormat/>
    <w:uiPriority w:val="0"/>
    <w:pPr>
      <w:keepNext/>
    </w:pPr>
    <w:rPr>
      <w:color w:val="FF0000"/>
      <w:sz w:val="28"/>
      <w:u w:val="single"/>
    </w:rPr>
  </w:style>
  <w:style w:type="paragraph" w:customStyle="1" w:styleId="38">
    <w:name w:val="Heading5"/>
    <w:basedOn w:val="1"/>
    <w:next w:val="1"/>
    <w:link w:val="50"/>
    <w:autoRedefine/>
    <w:qFormat/>
    <w:uiPriority w:val="0"/>
    <w:pPr>
      <w:keepNext/>
      <w:keepLines/>
      <w:spacing w:before="280" w:after="290" w:line="372" w:lineRule="auto"/>
    </w:pPr>
    <w:rPr>
      <w:b/>
      <w:sz w:val="28"/>
    </w:rPr>
  </w:style>
  <w:style w:type="paragraph" w:customStyle="1" w:styleId="39">
    <w:name w:val="Heading6"/>
    <w:basedOn w:val="1"/>
    <w:next w:val="1"/>
    <w:link w:val="51"/>
    <w:autoRedefine/>
    <w:qFormat/>
    <w:uiPriority w:val="0"/>
    <w:pPr>
      <w:keepNext/>
      <w:keepLines/>
      <w:spacing w:before="240" w:after="64" w:line="317" w:lineRule="auto"/>
    </w:pPr>
    <w:rPr>
      <w:rFonts w:ascii="Arial" w:hAnsi="Arial" w:eastAsia="黑体"/>
      <w:b/>
      <w:sz w:val="24"/>
    </w:rPr>
  </w:style>
  <w:style w:type="paragraph" w:customStyle="1" w:styleId="40">
    <w:name w:val="Heading7"/>
    <w:basedOn w:val="1"/>
    <w:next w:val="1"/>
    <w:link w:val="52"/>
    <w:autoRedefine/>
    <w:qFormat/>
    <w:uiPriority w:val="0"/>
    <w:pPr>
      <w:keepNext/>
      <w:keepLines/>
      <w:spacing w:before="240" w:after="64" w:line="317" w:lineRule="auto"/>
    </w:pPr>
    <w:rPr>
      <w:b/>
      <w:sz w:val="24"/>
    </w:rPr>
  </w:style>
  <w:style w:type="paragraph" w:customStyle="1" w:styleId="41">
    <w:name w:val="Heading8"/>
    <w:basedOn w:val="1"/>
    <w:next w:val="1"/>
    <w:link w:val="53"/>
    <w:autoRedefine/>
    <w:qFormat/>
    <w:uiPriority w:val="0"/>
    <w:pPr>
      <w:keepNext/>
      <w:keepLines/>
      <w:spacing w:before="240" w:after="64" w:line="317" w:lineRule="auto"/>
    </w:pPr>
    <w:rPr>
      <w:rFonts w:ascii="Arial" w:hAnsi="Arial" w:eastAsia="黑体"/>
      <w:sz w:val="24"/>
    </w:rPr>
  </w:style>
  <w:style w:type="paragraph" w:customStyle="1" w:styleId="42">
    <w:name w:val="Heading9"/>
    <w:basedOn w:val="1"/>
    <w:next w:val="1"/>
    <w:link w:val="54"/>
    <w:autoRedefine/>
    <w:qFormat/>
    <w:uiPriority w:val="0"/>
    <w:pPr>
      <w:keepNext/>
      <w:keepLines/>
      <w:spacing w:before="240" w:after="64" w:line="317" w:lineRule="auto"/>
    </w:pPr>
    <w:rPr>
      <w:rFonts w:ascii="Arial" w:hAnsi="Arial" w:eastAsia="黑体"/>
    </w:rPr>
  </w:style>
  <w:style w:type="character" w:customStyle="1" w:styleId="43">
    <w:name w:val="NormalCharacter"/>
    <w:autoRedefine/>
    <w:qFormat/>
    <w:uiPriority w:val="0"/>
  </w:style>
  <w:style w:type="table" w:customStyle="1" w:styleId="44">
    <w:name w:val="TableNormal"/>
    <w:autoRedefine/>
    <w:semiHidden/>
    <w:qFormat/>
    <w:uiPriority w:val="0"/>
    <w:tblPr>
      <w:tblCellMar>
        <w:top w:w="0" w:type="dxa"/>
        <w:left w:w="0" w:type="dxa"/>
        <w:bottom w:w="0" w:type="dxa"/>
        <w:right w:w="0" w:type="dxa"/>
      </w:tblCellMar>
    </w:tblPr>
  </w:style>
  <w:style w:type="character" w:customStyle="1" w:styleId="45">
    <w:name w:val="UserStyle_0"/>
    <w:link w:val="37"/>
    <w:autoRedefine/>
    <w:qFormat/>
    <w:uiPriority w:val="0"/>
    <w:rPr>
      <w:rFonts w:eastAsia="宋体"/>
      <w:color w:val="FF0000"/>
      <w:kern w:val="2"/>
      <w:sz w:val="28"/>
      <w:u w:val="single"/>
      <w:lang w:val="en-US" w:eastAsia="zh-CN"/>
    </w:rPr>
  </w:style>
  <w:style w:type="character" w:customStyle="1" w:styleId="46">
    <w:name w:val="UserStyle_1"/>
    <w:link w:val="34"/>
    <w:autoRedefine/>
    <w:qFormat/>
    <w:uiPriority w:val="0"/>
    <w:rPr>
      <w:rFonts w:ascii="宋体" w:hAnsi="宋体" w:eastAsia="宋体"/>
      <w:b/>
      <w:kern w:val="2"/>
      <w:sz w:val="36"/>
      <w:lang w:val="en-US" w:eastAsia="zh-CN"/>
    </w:rPr>
  </w:style>
  <w:style w:type="paragraph" w:customStyle="1" w:styleId="47">
    <w:name w:val="UserStyle_2"/>
    <w:basedOn w:val="1"/>
    <w:autoRedefine/>
    <w:qFormat/>
    <w:uiPriority w:val="0"/>
    <w:pPr>
      <w:spacing w:before="62"/>
      <w:ind w:left="480"/>
    </w:pPr>
  </w:style>
  <w:style w:type="character" w:customStyle="1" w:styleId="48">
    <w:name w:val="UserStyle_3"/>
    <w:link w:val="35"/>
    <w:autoRedefine/>
    <w:qFormat/>
    <w:uiPriority w:val="0"/>
    <w:rPr>
      <w:rFonts w:ascii="宋体" w:hAnsi="宋体" w:eastAsia="宋体"/>
      <w:b/>
      <w:kern w:val="2"/>
      <w:sz w:val="24"/>
      <w:lang w:val="en-US" w:eastAsia="zh-CN"/>
    </w:rPr>
  </w:style>
  <w:style w:type="character" w:customStyle="1" w:styleId="49">
    <w:name w:val="UserStyle_4"/>
    <w:link w:val="36"/>
    <w:autoRedefine/>
    <w:qFormat/>
    <w:uiPriority w:val="0"/>
    <w:rPr>
      <w:rFonts w:ascii="宋体" w:eastAsia="宋体"/>
      <w:b/>
      <w:sz w:val="24"/>
      <w:u w:val="single"/>
      <w:lang w:val="en-US" w:eastAsia="zh-CN"/>
    </w:rPr>
  </w:style>
  <w:style w:type="character" w:customStyle="1" w:styleId="50">
    <w:name w:val="UserStyle_5"/>
    <w:link w:val="38"/>
    <w:autoRedefine/>
    <w:qFormat/>
    <w:uiPriority w:val="0"/>
    <w:rPr>
      <w:rFonts w:eastAsia="宋体"/>
      <w:b/>
      <w:kern w:val="2"/>
      <w:sz w:val="28"/>
      <w:lang w:val="en-US" w:eastAsia="zh-CN"/>
    </w:rPr>
  </w:style>
  <w:style w:type="character" w:customStyle="1" w:styleId="51">
    <w:name w:val="UserStyle_6"/>
    <w:link w:val="39"/>
    <w:autoRedefine/>
    <w:qFormat/>
    <w:uiPriority w:val="0"/>
    <w:rPr>
      <w:rFonts w:ascii="Arial" w:hAnsi="Arial" w:eastAsia="黑体"/>
      <w:b/>
      <w:kern w:val="2"/>
      <w:sz w:val="24"/>
      <w:lang w:val="en-US" w:eastAsia="zh-CN"/>
    </w:rPr>
  </w:style>
  <w:style w:type="character" w:customStyle="1" w:styleId="52">
    <w:name w:val="UserStyle_7"/>
    <w:link w:val="40"/>
    <w:autoRedefine/>
    <w:qFormat/>
    <w:uiPriority w:val="0"/>
    <w:rPr>
      <w:rFonts w:eastAsia="宋体"/>
      <w:b/>
      <w:kern w:val="2"/>
      <w:sz w:val="24"/>
      <w:lang w:val="en-US" w:eastAsia="zh-CN"/>
    </w:rPr>
  </w:style>
  <w:style w:type="character" w:customStyle="1" w:styleId="53">
    <w:name w:val="UserStyle_8"/>
    <w:link w:val="41"/>
    <w:autoRedefine/>
    <w:qFormat/>
    <w:uiPriority w:val="0"/>
    <w:rPr>
      <w:rFonts w:ascii="Arial" w:hAnsi="Arial" w:eastAsia="黑体"/>
      <w:kern w:val="2"/>
      <w:sz w:val="24"/>
      <w:lang w:val="en-US" w:eastAsia="zh-CN"/>
    </w:rPr>
  </w:style>
  <w:style w:type="character" w:customStyle="1" w:styleId="54">
    <w:name w:val="UserStyle_9"/>
    <w:link w:val="42"/>
    <w:autoRedefine/>
    <w:qFormat/>
    <w:uiPriority w:val="0"/>
    <w:rPr>
      <w:rFonts w:ascii="Arial" w:hAnsi="Arial" w:eastAsia="黑体"/>
      <w:kern w:val="2"/>
      <w:sz w:val="21"/>
      <w:lang w:val="en-US" w:eastAsia="zh-CN"/>
    </w:rPr>
  </w:style>
  <w:style w:type="paragraph" w:customStyle="1" w:styleId="55">
    <w:name w:val="NormalIndent"/>
    <w:basedOn w:val="1"/>
    <w:next w:val="1"/>
    <w:autoRedefine/>
    <w:qFormat/>
    <w:uiPriority w:val="0"/>
    <w:pPr>
      <w:ind w:firstLine="420" w:firstLineChars="200"/>
    </w:pPr>
  </w:style>
  <w:style w:type="paragraph" w:customStyle="1" w:styleId="56">
    <w:name w:val="NavPane"/>
    <w:basedOn w:val="1"/>
    <w:link w:val="57"/>
    <w:autoRedefine/>
    <w:qFormat/>
    <w:uiPriority w:val="0"/>
    <w:pPr>
      <w:shd w:val="clear" w:color="auto" w:fill="000080"/>
    </w:pPr>
  </w:style>
  <w:style w:type="character" w:customStyle="1" w:styleId="57">
    <w:name w:val="UserStyle_10"/>
    <w:link w:val="56"/>
    <w:autoRedefine/>
    <w:qFormat/>
    <w:uiPriority w:val="0"/>
    <w:rPr>
      <w:rFonts w:eastAsia="宋体"/>
      <w:kern w:val="2"/>
      <w:sz w:val="21"/>
      <w:lang w:val="en-US" w:eastAsia="zh-CN"/>
    </w:rPr>
  </w:style>
  <w:style w:type="paragraph" w:customStyle="1" w:styleId="58">
    <w:name w:val="TOAHeading"/>
    <w:basedOn w:val="1"/>
    <w:next w:val="1"/>
    <w:autoRedefine/>
    <w:qFormat/>
    <w:uiPriority w:val="0"/>
    <w:pPr>
      <w:spacing w:before="120"/>
      <w:jc w:val="left"/>
    </w:pPr>
    <w:rPr>
      <w:rFonts w:ascii="Arial" w:hAnsi="Arial"/>
      <w:kern w:val="0"/>
      <w:sz w:val="24"/>
    </w:rPr>
  </w:style>
  <w:style w:type="paragraph" w:customStyle="1" w:styleId="59">
    <w:name w:val="AnnotationText"/>
    <w:basedOn w:val="1"/>
    <w:autoRedefine/>
    <w:qFormat/>
    <w:uiPriority w:val="0"/>
    <w:pPr>
      <w:jc w:val="left"/>
    </w:pPr>
  </w:style>
  <w:style w:type="paragraph" w:customStyle="1" w:styleId="60">
    <w:name w:val="BodyText3"/>
    <w:basedOn w:val="1"/>
    <w:autoRedefine/>
    <w:qFormat/>
    <w:uiPriority w:val="0"/>
    <w:pPr>
      <w:ind w:right="-108"/>
    </w:pPr>
    <w:rPr>
      <w:b/>
      <w:sz w:val="24"/>
    </w:rPr>
  </w:style>
  <w:style w:type="paragraph" w:customStyle="1" w:styleId="61">
    <w:name w:val="BodyText"/>
    <w:basedOn w:val="1"/>
    <w:next w:val="1"/>
    <w:link w:val="62"/>
    <w:autoRedefine/>
    <w:qFormat/>
    <w:uiPriority w:val="0"/>
    <w:pPr>
      <w:jc w:val="center"/>
    </w:pPr>
  </w:style>
  <w:style w:type="character" w:customStyle="1" w:styleId="62">
    <w:name w:val="UserStyle_11"/>
    <w:link w:val="61"/>
    <w:autoRedefine/>
    <w:qFormat/>
    <w:uiPriority w:val="0"/>
    <w:rPr>
      <w:rFonts w:eastAsia="宋体"/>
      <w:kern w:val="2"/>
      <w:sz w:val="21"/>
      <w:lang w:val="en-US" w:eastAsia="zh-CN"/>
    </w:rPr>
  </w:style>
  <w:style w:type="paragraph" w:customStyle="1" w:styleId="63">
    <w:name w:val="BodyTextIndent"/>
    <w:basedOn w:val="1"/>
    <w:link w:val="64"/>
    <w:autoRedefine/>
    <w:qFormat/>
    <w:uiPriority w:val="0"/>
    <w:pPr>
      <w:spacing w:after="120"/>
      <w:ind w:left="420" w:leftChars="200"/>
    </w:pPr>
  </w:style>
  <w:style w:type="character" w:customStyle="1" w:styleId="64">
    <w:name w:val="UserStyle_12"/>
    <w:link w:val="63"/>
    <w:autoRedefine/>
    <w:qFormat/>
    <w:uiPriority w:val="0"/>
    <w:rPr>
      <w:kern w:val="2"/>
      <w:sz w:val="21"/>
    </w:rPr>
  </w:style>
  <w:style w:type="paragraph" w:customStyle="1" w:styleId="65">
    <w:name w:val="TOC3"/>
    <w:basedOn w:val="1"/>
    <w:next w:val="1"/>
    <w:autoRedefine/>
    <w:qFormat/>
    <w:uiPriority w:val="0"/>
    <w:pPr>
      <w:spacing w:before="312" w:line="360" w:lineRule="auto"/>
      <w:ind w:left="480" w:firstLine="480" w:firstLineChars="200"/>
      <w:jc w:val="left"/>
    </w:pPr>
    <w:rPr>
      <w:i/>
      <w:sz w:val="24"/>
    </w:rPr>
  </w:style>
  <w:style w:type="paragraph" w:customStyle="1" w:styleId="66">
    <w:name w:val="PlainText"/>
    <w:basedOn w:val="1"/>
    <w:link w:val="67"/>
    <w:autoRedefine/>
    <w:qFormat/>
    <w:uiPriority w:val="0"/>
    <w:rPr>
      <w:rFonts w:ascii="宋体" w:hAnsi="Courier New"/>
    </w:rPr>
  </w:style>
  <w:style w:type="character" w:customStyle="1" w:styleId="67">
    <w:name w:val="UserStyle_13"/>
    <w:link w:val="66"/>
    <w:autoRedefine/>
    <w:qFormat/>
    <w:uiPriority w:val="0"/>
    <w:rPr>
      <w:rFonts w:ascii="宋体" w:hAnsi="Courier New" w:eastAsia="宋体"/>
      <w:kern w:val="2"/>
      <w:sz w:val="21"/>
      <w:lang w:val="en-US" w:eastAsia="zh-CN"/>
    </w:rPr>
  </w:style>
  <w:style w:type="character" w:customStyle="1" w:styleId="68">
    <w:name w:val="日期 Char"/>
    <w:link w:val="13"/>
    <w:autoRedefine/>
    <w:qFormat/>
    <w:uiPriority w:val="0"/>
    <w:rPr>
      <w:kern w:val="2"/>
      <w:sz w:val="21"/>
    </w:rPr>
  </w:style>
  <w:style w:type="paragraph" w:customStyle="1" w:styleId="69">
    <w:name w:val="BodyTextIndent2"/>
    <w:basedOn w:val="1"/>
    <w:link w:val="70"/>
    <w:autoRedefine/>
    <w:qFormat/>
    <w:uiPriority w:val="0"/>
    <w:pPr>
      <w:spacing w:after="120" w:line="480" w:lineRule="auto"/>
      <w:ind w:left="420" w:leftChars="200"/>
    </w:pPr>
  </w:style>
  <w:style w:type="character" w:customStyle="1" w:styleId="70">
    <w:name w:val="UserStyle_15"/>
    <w:link w:val="69"/>
    <w:autoRedefine/>
    <w:qFormat/>
    <w:uiPriority w:val="0"/>
    <w:rPr>
      <w:rFonts w:eastAsia="宋体"/>
      <w:kern w:val="2"/>
      <w:sz w:val="21"/>
      <w:lang w:val="en-US" w:eastAsia="zh-CN"/>
    </w:rPr>
  </w:style>
  <w:style w:type="paragraph" w:customStyle="1" w:styleId="71">
    <w:name w:val="EndnoteText"/>
    <w:basedOn w:val="1"/>
    <w:autoRedefine/>
    <w:qFormat/>
    <w:uiPriority w:val="0"/>
    <w:pPr>
      <w:snapToGrid w:val="0"/>
      <w:jc w:val="left"/>
    </w:pPr>
  </w:style>
  <w:style w:type="paragraph" w:customStyle="1" w:styleId="72">
    <w:name w:val="Acetate"/>
    <w:basedOn w:val="1"/>
    <w:autoRedefine/>
    <w:qFormat/>
    <w:uiPriority w:val="0"/>
    <w:rPr>
      <w:sz w:val="18"/>
    </w:rPr>
  </w:style>
  <w:style w:type="character" w:customStyle="1" w:styleId="73">
    <w:name w:val="页脚 Char"/>
    <w:link w:val="2"/>
    <w:autoRedefine/>
    <w:qFormat/>
    <w:uiPriority w:val="0"/>
    <w:rPr>
      <w:kern w:val="2"/>
      <w:sz w:val="18"/>
    </w:rPr>
  </w:style>
  <w:style w:type="character" w:customStyle="1" w:styleId="74">
    <w:name w:val="页眉 Char"/>
    <w:link w:val="16"/>
    <w:autoRedefine/>
    <w:qFormat/>
    <w:uiPriority w:val="0"/>
    <w:rPr>
      <w:kern w:val="2"/>
      <w:sz w:val="18"/>
    </w:rPr>
  </w:style>
  <w:style w:type="paragraph" w:customStyle="1" w:styleId="75">
    <w:name w:val="TOC1"/>
    <w:basedOn w:val="1"/>
    <w:next w:val="1"/>
    <w:autoRedefine/>
    <w:qFormat/>
    <w:uiPriority w:val="0"/>
    <w:pPr>
      <w:jc w:val="left"/>
    </w:pPr>
    <w:rPr>
      <w:b/>
      <w:kern w:val="0"/>
      <w:sz w:val="30"/>
    </w:rPr>
  </w:style>
  <w:style w:type="paragraph" w:customStyle="1" w:styleId="76">
    <w:name w:val="BodyTextIndent3"/>
    <w:basedOn w:val="1"/>
    <w:link w:val="77"/>
    <w:autoRedefine/>
    <w:qFormat/>
    <w:uiPriority w:val="0"/>
    <w:pPr>
      <w:spacing w:after="120"/>
      <w:ind w:left="420" w:leftChars="200"/>
    </w:pPr>
    <w:rPr>
      <w:sz w:val="16"/>
    </w:rPr>
  </w:style>
  <w:style w:type="character" w:customStyle="1" w:styleId="77">
    <w:name w:val="UserStyle_18"/>
    <w:link w:val="76"/>
    <w:autoRedefine/>
    <w:qFormat/>
    <w:uiPriority w:val="0"/>
    <w:rPr>
      <w:rFonts w:eastAsia="宋体"/>
      <w:kern w:val="2"/>
      <w:sz w:val="16"/>
      <w:lang w:val="en-US" w:eastAsia="zh-CN"/>
    </w:rPr>
  </w:style>
  <w:style w:type="paragraph" w:customStyle="1" w:styleId="78">
    <w:name w:val="TOC2"/>
    <w:basedOn w:val="1"/>
    <w:next w:val="1"/>
    <w:autoRedefine/>
    <w:qFormat/>
    <w:uiPriority w:val="0"/>
    <w:pPr>
      <w:spacing w:before="312" w:line="360" w:lineRule="auto"/>
      <w:ind w:left="240" w:firstLine="480" w:firstLineChars="200"/>
      <w:jc w:val="left"/>
    </w:pPr>
    <w:rPr>
      <w:smallCaps/>
      <w:sz w:val="24"/>
    </w:rPr>
  </w:style>
  <w:style w:type="paragraph" w:customStyle="1" w:styleId="79">
    <w:name w:val="BodyText2"/>
    <w:basedOn w:val="1"/>
    <w:link w:val="80"/>
    <w:autoRedefine/>
    <w:qFormat/>
    <w:uiPriority w:val="0"/>
    <w:rPr>
      <w:sz w:val="30"/>
    </w:rPr>
  </w:style>
  <w:style w:type="character" w:customStyle="1" w:styleId="80">
    <w:name w:val="UserStyle_19"/>
    <w:link w:val="79"/>
    <w:autoRedefine/>
    <w:qFormat/>
    <w:uiPriority w:val="0"/>
    <w:rPr>
      <w:rFonts w:eastAsia="宋体"/>
      <w:kern w:val="2"/>
      <w:sz w:val="30"/>
      <w:lang w:val="en-US" w:eastAsia="zh-CN"/>
    </w:rPr>
  </w:style>
  <w:style w:type="paragraph" w:customStyle="1" w:styleId="81">
    <w:name w:val="HtmlPre"/>
    <w:basedOn w:val="1"/>
    <w:link w:val="82"/>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szCs w:val="24"/>
    </w:rPr>
  </w:style>
  <w:style w:type="character" w:customStyle="1" w:styleId="82">
    <w:name w:val="UserStyle_20"/>
    <w:link w:val="81"/>
    <w:autoRedefine/>
    <w:qFormat/>
    <w:uiPriority w:val="0"/>
    <w:rPr>
      <w:rFonts w:ascii="Tahoma" w:hAnsi="Tahoma"/>
      <w:sz w:val="24"/>
      <w:szCs w:val="24"/>
    </w:rPr>
  </w:style>
  <w:style w:type="paragraph" w:customStyle="1" w:styleId="83">
    <w:name w:val="HtmlNormal"/>
    <w:basedOn w:val="1"/>
    <w:autoRedefine/>
    <w:qFormat/>
    <w:uiPriority w:val="0"/>
    <w:pPr>
      <w:spacing w:before="100" w:beforeAutospacing="1" w:after="100" w:afterAutospacing="1"/>
      <w:jc w:val="left"/>
    </w:pPr>
    <w:rPr>
      <w:rFonts w:ascii="宋体" w:hAnsi="宋体"/>
      <w:kern w:val="0"/>
      <w:sz w:val="24"/>
    </w:rPr>
  </w:style>
  <w:style w:type="paragraph" w:customStyle="1" w:styleId="84">
    <w:name w:val="AnnotationSubject"/>
    <w:basedOn w:val="59"/>
    <w:next w:val="59"/>
    <w:autoRedefine/>
    <w:qFormat/>
    <w:uiPriority w:val="0"/>
    <w:rPr>
      <w:b/>
    </w:rPr>
  </w:style>
  <w:style w:type="paragraph" w:customStyle="1" w:styleId="85">
    <w:name w:val="BodyText1I2"/>
    <w:basedOn w:val="63"/>
    <w:autoRedefine/>
    <w:qFormat/>
    <w:uiPriority w:val="0"/>
  </w:style>
  <w:style w:type="table" w:customStyle="1" w:styleId="86">
    <w:name w:val="TableGrid"/>
    <w:basedOn w:val="44"/>
    <w:autoRedefine/>
    <w:qFormat/>
    <w:uiPriority w:val="0"/>
    <w:tblPr>
      <w:tblCellMar>
        <w:top w:w="0" w:type="dxa"/>
        <w:left w:w="0" w:type="dxa"/>
        <w:bottom w:w="0" w:type="dxa"/>
        <w:right w:w="0" w:type="dxa"/>
      </w:tblCellMar>
    </w:tblPr>
  </w:style>
  <w:style w:type="character" w:customStyle="1" w:styleId="87">
    <w:name w:val="EndnoteReference"/>
    <w:autoRedefine/>
    <w:qFormat/>
    <w:uiPriority w:val="0"/>
    <w:rPr>
      <w:vertAlign w:val="superscript"/>
    </w:rPr>
  </w:style>
  <w:style w:type="character" w:customStyle="1" w:styleId="88">
    <w:name w:val="PageNumber"/>
    <w:autoRedefine/>
    <w:qFormat/>
    <w:uiPriority w:val="0"/>
  </w:style>
  <w:style w:type="character" w:customStyle="1" w:styleId="89">
    <w:name w:val="HtmlDfn"/>
    <w:autoRedefine/>
    <w:qFormat/>
    <w:uiPriority w:val="0"/>
    <w:rPr>
      <w:i/>
      <w:iCs/>
    </w:rPr>
  </w:style>
  <w:style w:type="character" w:customStyle="1" w:styleId="90">
    <w:name w:val="HtmlCode"/>
    <w:autoRedefine/>
    <w:qFormat/>
    <w:uiPriority w:val="0"/>
    <w:rPr>
      <w:rFonts w:ascii="Consolas" w:hAnsi="Consolas" w:eastAsia="Consolas"/>
      <w:color w:val="C7254E"/>
      <w:sz w:val="21"/>
      <w:szCs w:val="21"/>
      <w:shd w:val="clear" w:color="auto" w:fill="F9F2F4"/>
    </w:rPr>
  </w:style>
  <w:style w:type="character" w:customStyle="1" w:styleId="91">
    <w:name w:val="AnnotationReference"/>
    <w:autoRedefine/>
    <w:qFormat/>
    <w:uiPriority w:val="0"/>
    <w:rPr>
      <w:sz w:val="21"/>
    </w:rPr>
  </w:style>
  <w:style w:type="character" w:customStyle="1" w:styleId="92">
    <w:name w:val="HtmlKbd"/>
    <w:autoRedefine/>
    <w:qFormat/>
    <w:uiPriority w:val="0"/>
    <w:rPr>
      <w:rFonts w:ascii="Consolas" w:hAnsi="Consolas" w:eastAsia="Consolas"/>
      <w:color w:val="FFFFFF"/>
      <w:sz w:val="21"/>
      <w:szCs w:val="21"/>
      <w:shd w:val="clear" w:color="auto" w:fill="333333"/>
    </w:rPr>
  </w:style>
  <w:style w:type="character" w:customStyle="1" w:styleId="93">
    <w:name w:val="htmlSamp"/>
    <w:autoRedefine/>
    <w:qFormat/>
    <w:uiPriority w:val="0"/>
    <w:rPr>
      <w:rFonts w:ascii="Consolas" w:hAnsi="Consolas" w:eastAsia="Consolas"/>
      <w:sz w:val="21"/>
      <w:szCs w:val="21"/>
    </w:rPr>
  </w:style>
  <w:style w:type="paragraph" w:customStyle="1" w:styleId="94">
    <w:name w:val="UserStyle_21"/>
    <w:basedOn w:val="1"/>
    <w:autoRedefine/>
    <w:qFormat/>
    <w:uiPriority w:val="0"/>
    <w:pPr>
      <w:ind w:firstLine="420" w:firstLineChars="200"/>
    </w:pPr>
  </w:style>
  <w:style w:type="character" w:customStyle="1" w:styleId="95">
    <w:name w:val="UserStyle_22"/>
    <w:autoRedefine/>
    <w:qFormat/>
    <w:uiPriority w:val="0"/>
    <w:rPr>
      <w:sz w:val="21"/>
    </w:rPr>
  </w:style>
  <w:style w:type="character" w:customStyle="1" w:styleId="96">
    <w:name w:val="UserStyle_23"/>
    <w:autoRedefine/>
    <w:qFormat/>
    <w:locked/>
    <w:uiPriority w:val="0"/>
    <w:rPr>
      <w:rFonts w:ascii="宋体" w:hAnsi="Courier New" w:eastAsia="宋体"/>
      <w:szCs w:val="21"/>
    </w:rPr>
  </w:style>
  <w:style w:type="character" w:customStyle="1" w:styleId="97">
    <w:name w:val="UserStyle_24"/>
    <w:autoRedefine/>
    <w:qFormat/>
    <w:uiPriority w:val="0"/>
    <w:rPr>
      <w:rFonts w:ascii="Times New Roman" w:hAnsi="Times New Roman"/>
      <w:color w:val="000000"/>
      <w:sz w:val="20"/>
      <w:szCs w:val="20"/>
    </w:rPr>
  </w:style>
  <w:style w:type="character" w:customStyle="1" w:styleId="98">
    <w:name w:val="UserStyle_25"/>
    <w:autoRedefine/>
    <w:qFormat/>
    <w:uiPriority w:val="0"/>
    <w:rPr>
      <w:color w:val="00FF00"/>
      <w:shd w:val="clear" w:color="auto" w:fill="000000"/>
    </w:rPr>
  </w:style>
  <w:style w:type="character" w:customStyle="1" w:styleId="99">
    <w:name w:val="UserStyle_26"/>
    <w:autoRedefine/>
    <w:qFormat/>
    <w:uiPriority w:val="0"/>
    <w:rPr>
      <w:color w:val="FF8833"/>
      <w:sz w:val="18"/>
      <w:szCs w:val="18"/>
    </w:rPr>
  </w:style>
  <w:style w:type="character" w:customStyle="1" w:styleId="100">
    <w:name w:val="UserStyle_27"/>
    <w:autoRedefine/>
    <w:qFormat/>
    <w:uiPriority w:val="0"/>
    <w:rPr>
      <w:color w:val="FF6600"/>
    </w:rPr>
  </w:style>
  <w:style w:type="character" w:customStyle="1" w:styleId="101">
    <w:name w:val="UserStyle_28"/>
    <w:autoRedefine/>
    <w:qFormat/>
    <w:uiPriority w:val="0"/>
    <w:rPr>
      <w:shd w:val="clear" w:color="auto" w:fill="EEEEEE"/>
    </w:rPr>
  </w:style>
  <w:style w:type="character" w:customStyle="1" w:styleId="102">
    <w:name w:val="UserStyle_29"/>
    <w:autoRedefine/>
    <w:qFormat/>
    <w:uiPriority w:val="0"/>
    <w:rPr>
      <w:rFonts w:eastAsia="宋体"/>
      <w:kern w:val="2"/>
      <w:sz w:val="21"/>
      <w:lang w:val="en-US" w:eastAsia="zh-CN"/>
    </w:rPr>
  </w:style>
  <w:style w:type="character" w:customStyle="1" w:styleId="103">
    <w:name w:val="UserStyle_30"/>
    <w:autoRedefine/>
    <w:qFormat/>
    <w:uiPriority w:val="0"/>
    <w:rPr>
      <w:color w:val="000000"/>
      <w:sz w:val="20"/>
    </w:rPr>
  </w:style>
  <w:style w:type="character" w:customStyle="1" w:styleId="104">
    <w:name w:val="UserStyle_31"/>
    <w:autoRedefine/>
    <w:qFormat/>
    <w:uiPriority w:val="0"/>
    <w:rPr>
      <w:color w:val="FFFFFF"/>
      <w:shd w:val="clear" w:color="auto" w:fill="666677"/>
    </w:rPr>
  </w:style>
  <w:style w:type="character" w:customStyle="1" w:styleId="105">
    <w:name w:val="UserStyle_32"/>
    <w:autoRedefine/>
    <w:qFormat/>
    <w:uiPriority w:val="0"/>
    <w:rPr>
      <w:b/>
      <w:color w:val="333333"/>
      <w:sz w:val="24"/>
    </w:rPr>
  </w:style>
  <w:style w:type="character" w:customStyle="1" w:styleId="106">
    <w:name w:val="UserStyle_33"/>
    <w:autoRedefine/>
    <w:qFormat/>
    <w:uiPriority w:val="0"/>
    <w:rPr>
      <w:rFonts w:ascii="宋体" w:hAnsi="宋体" w:eastAsia="宋体"/>
      <w:color w:val="000000"/>
      <w:sz w:val="20"/>
      <w:szCs w:val="20"/>
    </w:rPr>
  </w:style>
  <w:style w:type="character" w:customStyle="1" w:styleId="107">
    <w:name w:val="UserStyle_34"/>
    <w:autoRedefine/>
    <w:qFormat/>
    <w:uiPriority w:val="0"/>
    <w:rPr>
      <w:rFonts w:ascii="宋体" w:hAnsi="宋体" w:eastAsia="宋体"/>
      <w:b/>
      <w:kern w:val="2"/>
      <w:sz w:val="36"/>
      <w:lang w:val="en-US" w:eastAsia="zh-CN" w:bidi="ar-SA"/>
    </w:rPr>
  </w:style>
  <w:style w:type="character" w:customStyle="1" w:styleId="108">
    <w:name w:val="UserStyle_35"/>
    <w:autoRedefine/>
    <w:qFormat/>
    <w:uiPriority w:val="0"/>
    <w:rPr>
      <w:color w:val="00FF00"/>
      <w:shd w:val="clear" w:color="auto" w:fill="000000"/>
    </w:rPr>
  </w:style>
  <w:style w:type="character" w:customStyle="1" w:styleId="109">
    <w:name w:val="UserStyle_36"/>
    <w:autoRedefine/>
    <w:qFormat/>
    <w:uiPriority w:val="0"/>
    <w:rPr>
      <w:rFonts w:ascii="宋体" w:hAnsi="宋体" w:eastAsia="宋体"/>
      <w:b/>
      <w:kern w:val="2"/>
      <w:sz w:val="32"/>
      <w:lang w:val="en-US" w:eastAsia="zh-CN"/>
    </w:rPr>
  </w:style>
  <w:style w:type="character" w:customStyle="1" w:styleId="110">
    <w:name w:val="UserStyle_37"/>
    <w:autoRedefine/>
    <w:qFormat/>
    <w:uiPriority w:val="0"/>
    <w:rPr>
      <w:rFonts w:eastAsia="宋体"/>
      <w:b/>
      <w:kern w:val="2"/>
      <w:sz w:val="28"/>
      <w:lang w:val="en-US" w:eastAsia="zh-CN"/>
    </w:rPr>
  </w:style>
  <w:style w:type="character" w:customStyle="1" w:styleId="111">
    <w:name w:val="UserStyle_38"/>
    <w:link w:val="112"/>
    <w:autoRedefine/>
    <w:qFormat/>
    <w:uiPriority w:val="0"/>
    <w:rPr>
      <w:sz w:val="22"/>
      <w:szCs w:val="22"/>
      <w:lang w:val="en-US" w:eastAsia="zh-CN" w:bidi="ar-SA"/>
    </w:rPr>
  </w:style>
  <w:style w:type="paragraph" w:customStyle="1" w:styleId="112">
    <w:name w:val="Null"/>
    <w:link w:val="111"/>
    <w:autoRedefine/>
    <w:qFormat/>
    <w:uiPriority w:val="0"/>
    <w:pPr>
      <w:textAlignment w:val="baseline"/>
    </w:pPr>
    <w:rPr>
      <w:rFonts w:ascii="Times New Roman" w:hAnsi="Times New Roman" w:eastAsia="宋体" w:cstheme="minorBidi"/>
      <w:sz w:val="22"/>
      <w:szCs w:val="22"/>
      <w:lang w:val="en-US" w:eastAsia="zh-CN" w:bidi="ar-SA"/>
    </w:rPr>
  </w:style>
  <w:style w:type="character" w:customStyle="1" w:styleId="113">
    <w:name w:val="UserStyle_39"/>
    <w:autoRedefine/>
    <w:qFormat/>
    <w:uiPriority w:val="0"/>
    <w:rPr>
      <w:rFonts w:ascii="ˎ̥" w:hAnsi="ˎ̥"/>
      <w:sz w:val="18"/>
    </w:rPr>
  </w:style>
  <w:style w:type="character" w:customStyle="1" w:styleId="114">
    <w:name w:val="UserStyle_40"/>
    <w:autoRedefine/>
    <w:qFormat/>
    <w:uiPriority w:val="0"/>
    <w:rPr>
      <w:color w:val="00FF00"/>
      <w:shd w:val="clear" w:color="auto" w:fill="000000"/>
    </w:rPr>
  </w:style>
  <w:style w:type="character" w:customStyle="1" w:styleId="115">
    <w:name w:val="UserStyle_41"/>
    <w:autoRedefine/>
    <w:qFormat/>
    <w:uiPriority w:val="0"/>
    <w:rPr>
      <w:color w:val="FFFFFF"/>
      <w:shd w:val="clear" w:color="auto" w:fill="666677"/>
    </w:rPr>
  </w:style>
  <w:style w:type="character" w:customStyle="1" w:styleId="116">
    <w:name w:val="UserStyle_42"/>
    <w:link w:val="117"/>
    <w:autoRedefine/>
    <w:qFormat/>
    <w:uiPriority w:val="0"/>
    <w:rPr>
      <w:rFonts w:ascii="仿宋_GB2312" w:hAnsi="宋体" w:eastAsia="仿宋_GB2312"/>
      <w:kern w:val="2"/>
      <w:sz w:val="31"/>
      <w:lang w:val="en-US" w:eastAsia="zh-CN"/>
    </w:rPr>
  </w:style>
  <w:style w:type="paragraph" w:customStyle="1" w:styleId="117">
    <w:name w:val="UserStyle_43"/>
    <w:basedOn w:val="1"/>
    <w:link w:val="116"/>
    <w:autoRedefine/>
    <w:qFormat/>
    <w:uiPriority w:val="0"/>
    <w:pPr>
      <w:spacing w:line="600" w:lineRule="exact"/>
      <w:ind w:firstLine="639" w:firstLineChars="206"/>
    </w:pPr>
    <w:rPr>
      <w:rFonts w:ascii="仿宋_GB2312" w:hAnsi="宋体" w:eastAsia="仿宋_GB2312"/>
      <w:sz w:val="31"/>
    </w:rPr>
  </w:style>
  <w:style w:type="character" w:customStyle="1" w:styleId="118">
    <w:name w:val="UserStyle_44"/>
    <w:autoRedefine/>
    <w:qFormat/>
    <w:uiPriority w:val="0"/>
    <w:rPr>
      <w:color w:val="FF8833"/>
      <w:sz w:val="18"/>
      <w:szCs w:val="18"/>
    </w:rPr>
  </w:style>
  <w:style w:type="character" w:customStyle="1" w:styleId="119">
    <w:name w:val="UserStyle_45"/>
    <w:autoRedefine/>
    <w:qFormat/>
    <w:uiPriority w:val="0"/>
    <w:rPr>
      <w:rFonts w:ascii="Times New Roman" w:hAnsi="Times New Roman" w:eastAsia="宋体"/>
    </w:rPr>
  </w:style>
  <w:style w:type="character" w:customStyle="1" w:styleId="120">
    <w:name w:val="UserStyle_46"/>
    <w:autoRedefine/>
    <w:qFormat/>
    <w:uiPriority w:val="0"/>
  </w:style>
  <w:style w:type="character" w:customStyle="1" w:styleId="121">
    <w:name w:val="UserStyle_47"/>
    <w:autoRedefine/>
    <w:qFormat/>
    <w:uiPriority w:val="0"/>
    <w:rPr>
      <w:rFonts w:ascii="Times New Roman" w:hAnsi="Times New Roman" w:eastAsia="宋体"/>
      <w:b/>
      <w:sz w:val="32"/>
    </w:rPr>
  </w:style>
  <w:style w:type="character" w:customStyle="1" w:styleId="122">
    <w:name w:val="UserStyle_48"/>
    <w:autoRedefine/>
    <w:qFormat/>
    <w:uiPriority w:val="0"/>
    <w:rPr>
      <w:kern w:val="2"/>
      <w:sz w:val="21"/>
      <w:lang w:val="en-US" w:eastAsia="zh-CN" w:bidi="ar-SA"/>
    </w:rPr>
  </w:style>
  <w:style w:type="character" w:customStyle="1" w:styleId="123">
    <w:name w:val="UserStyle_49"/>
    <w:autoRedefine/>
    <w:qFormat/>
    <w:uiPriority w:val="0"/>
  </w:style>
  <w:style w:type="character" w:customStyle="1" w:styleId="124">
    <w:name w:val="UserStyle_50"/>
    <w:autoRedefine/>
    <w:qFormat/>
    <w:uiPriority w:val="0"/>
  </w:style>
  <w:style w:type="character" w:customStyle="1" w:styleId="125">
    <w:name w:val="UserStyle_51"/>
    <w:link w:val="126"/>
    <w:autoRedefine/>
    <w:qFormat/>
    <w:uiPriority w:val="0"/>
    <w:rPr>
      <w:rFonts w:ascii="宋体" w:hAnsi="宋体" w:eastAsia="宋体"/>
      <w:sz w:val="24"/>
      <w:lang w:val="en-US" w:eastAsia="zh-CN"/>
    </w:rPr>
  </w:style>
  <w:style w:type="paragraph" w:customStyle="1" w:styleId="126">
    <w:name w:val="UserStyle_52"/>
    <w:basedOn w:val="36"/>
    <w:link w:val="125"/>
    <w:autoRedefine/>
    <w:qFormat/>
    <w:uiPriority w:val="0"/>
    <w:pPr>
      <w:tabs>
        <w:tab w:val="left" w:pos="1080"/>
      </w:tabs>
      <w:spacing w:before="0"/>
      <w:ind w:left="1021" w:hanging="794"/>
      <w:jc w:val="both"/>
    </w:pPr>
    <w:rPr>
      <w:rFonts w:hAnsi="宋体"/>
      <w:b w:val="0"/>
    </w:rPr>
  </w:style>
  <w:style w:type="character" w:customStyle="1" w:styleId="127">
    <w:name w:val="UserStyle_53"/>
    <w:autoRedefine/>
    <w:qFormat/>
    <w:uiPriority w:val="0"/>
    <w:rPr>
      <w:color w:val="FFFFFF"/>
      <w:shd w:val="clear" w:color="auto" w:fill="666677"/>
    </w:rPr>
  </w:style>
  <w:style w:type="character" w:customStyle="1" w:styleId="128">
    <w:name w:val="UserStyle_54"/>
    <w:autoRedefine/>
    <w:qFormat/>
    <w:uiPriority w:val="0"/>
  </w:style>
  <w:style w:type="character" w:customStyle="1" w:styleId="129">
    <w:name w:val="UserStyle_55"/>
    <w:autoRedefine/>
    <w:qFormat/>
    <w:uiPriority w:val="0"/>
  </w:style>
  <w:style w:type="character" w:customStyle="1" w:styleId="130">
    <w:name w:val="UserStyle_56"/>
    <w:autoRedefine/>
    <w:qFormat/>
    <w:uiPriority w:val="0"/>
    <w:rPr>
      <w:rFonts w:eastAsia="宋体"/>
      <w:kern w:val="2"/>
      <w:sz w:val="18"/>
      <w:szCs w:val="18"/>
      <w:lang w:val="en-US" w:eastAsia="zh-CN" w:bidi="ar-SA"/>
    </w:rPr>
  </w:style>
  <w:style w:type="character" w:customStyle="1" w:styleId="131">
    <w:name w:val="UserStyle_57"/>
    <w:autoRedefine/>
    <w:qFormat/>
    <w:uiPriority w:val="0"/>
  </w:style>
  <w:style w:type="character" w:customStyle="1" w:styleId="132">
    <w:name w:val="UserStyle_58"/>
    <w:autoRedefine/>
    <w:qFormat/>
    <w:uiPriority w:val="0"/>
  </w:style>
  <w:style w:type="character" w:customStyle="1" w:styleId="133">
    <w:name w:val="UserStyle_59"/>
    <w:autoRedefine/>
    <w:qFormat/>
    <w:uiPriority w:val="0"/>
  </w:style>
  <w:style w:type="character" w:customStyle="1" w:styleId="134">
    <w:name w:val="UserStyle_60"/>
    <w:autoRedefine/>
    <w:qFormat/>
    <w:uiPriority w:val="0"/>
  </w:style>
  <w:style w:type="character" w:customStyle="1" w:styleId="135">
    <w:name w:val="UserStyle_61"/>
    <w:autoRedefine/>
    <w:qFormat/>
    <w:uiPriority w:val="0"/>
  </w:style>
  <w:style w:type="character" w:customStyle="1" w:styleId="136">
    <w:name w:val="UserStyle_62"/>
    <w:autoRedefine/>
    <w:qFormat/>
    <w:uiPriority w:val="0"/>
    <w:rPr>
      <w:rFonts w:ascii="宋体" w:hAnsi="宋体" w:eastAsia="宋体"/>
      <w:color w:val="000000"/>
      <w:sz w:val="20"/>
      <w:szCs w:val="20"/>
    </w:rPr>
  </w:style>
  <w:style w:type="character" w:customStyle="1" w:styleId="137">
    <w:name w:val="UserStyle_63"/>
    <w:autoRedefine/>
    <w:qFormat/>
    <w:uiPriority w:val="0"/>
    <w:rPr>
      <w:rFonts w:ascii="ˎ̥" w:hAnsi="ˎ̥"/>
      <w:color w:val="B34300"/>
      <w:sz w:val="24"/>
    </w:rPr>
  </w:style>
  <w:style w:type="character" w:customStyle="1" w:styleId="138">
    <w:name w:val="UserStyle_64"/>
    <w:autoRedefine/>
    <w:qFormat/>
    <w:uiPriority w:val="0"/>
    <w:rPr>
      <w:color w:val="666666"/>
    </w:rPr>
  </w:style>
  <w:style w:type="character" w:customStyle="1" w:styleId="139">
    <w:name w:val="UserStyle_65"/>
    <w:autoRedefine/>
    <w:qFormat/>
    <w:uiPriority w:val="0"/>
  </w:style>
  <w:style w:type="character" w:customStyle="1" w:styleId="140">
    <w:name w:val="UserStyle_66"/>
    <w:autoRedefine/>
    <w:qFormat/>
    <w:uiPriority w:val="0"/>
    <w:rPr>
      <w:rFonts w:ascii="Times New Roman" w:hAnsi="Times New Roman"/>
      <w:color w:val="000000"/>
      <w:sz w:val="20"/>
      <w:szCs w:val="20"/>
    </w:rPr>
  </w:style>
  <w:style w:type="character" w:customStyle="1" w:styleId="141">
    <w:name w:val="UserStyle_67"/>
    <w:autoRedefine/>
    <w:qFormat/>
    <w:uiPriority w:val="0"/>
  </w:style>
  <w:style w:type="character" w:customStyle="1" w:styleId="142">
    <w:name w:val="UserStyle_68"/>
    <w:autoRedefine/>
    <w:qFormat/>
    <w:uiPriority w:val="0"/>
    <w:rPr>
      <w:color w:val="999999"/>
    </w:rPr>
  </w:style>
  <w:style w:type="character" w:customStyle="1" w:styleId="143">
    <w:name w:val="UserStyle_69"/>
    <w:autoRedefine/>
    <w:qFormat/>
    <w:uiPriority w:val="0"/>
  </w:style>
  <w:style w:type="paragraph" w:customStyle="1" w:styleId="144">
    <w:name w:val="UserStyle_70"/>
    <w:basedOn w:val="1"/>
    <w:autoRedefine/>
    <w:qFormat/>
    <w:uiPriority w:val="0"/>
    <w:pPr>
      <w:spacing w:line="240" w:lineRule="atLeast"/>
      <w:ind w:left="220" w:hanging="220" w:hangingChars="100"/>
    </w:pPr>
    <w:rPr>
      <w:sz w:val="22"/>
    </w:rPr>
  </w:style>
  <w:style w:type="paragraph" w:customStyle="1" w:styleId="145">
    <w:name w:val="UserStyle_71"/>
    <w:basedOn w:val="1"/>
    <w:autoRedefine/>
    <w:qFormat/>
    <w:uiPriority w:val="0"/>
    <w:pPr>
      <w:tabs>
        <w:tab w:val="left" w:pos="900"/>
      </w:tabs>
      <w:spacing w:before="312" w:line="360" w:lineRule="auto"/>
      <w:ind w:left="900" w:hanging="420"/>
    </w:pPr>
    <w:rPr>
      <w:sz w:val="24"/>
    </w:rPr>
  </w:style>
  <w:style w:type="paragraph" w:customStyle="1" w:styleId="146">
    <w:name w:val="UserStyle_72"/>
    <w:basedOn w:val="1"/>
    <w:autoRedefine/>
    <w:qFormat/>
    <w:uiPriority w:val="0"/>
    <w:pPr>
      <w:spacing w:line="280" w:lineRule="exact"/>
    </w:pPr>
  </w:style>
  <w:style w:type="paragraph" w:customStyle="1" w:styleId="147">
    <w:name w:val="UserStyle_73"/>
    <w:basedOn w:val="1"/>
    <w:autoRedefine/>
    <w:qFormat/>
    <w:uiPriority w:val="0"/>
    <w:pPr>
      <w:tabs>
        <w:tab w:val="left" w:pos="2619"/>
      </w:tabs>
      <w:spacing w:before="60" w:line="360" w:lineRule="auto"/>
      <w:ind w:right="26" w:rightChars="26"/>
    </w:pPr>
    <w:rPr>
      <w:rFonts w:ascii="宋体" w:hAnsi="宋体"/>
      <w:b/>
      <w:kern w:val="0"/>
      <w:sz w:val="24"/>
    </w:rPr>
  </w:style>
  <w:style w:type="paragraph" w:customStyle="1" w:styleId="148">
    <w:name w:val="UserStyle_74"/>
    <w:basedOn w:val="1"/>
    <w:autoRedefine/>
    <w:qFormat/>
    <w:uiPriority w:val="0"/>
    <w:pPr>
      <w:spacing w:before="100" w:beforeAutospacing="1" w:after="100" w:afterAutospacing="1"/>
      <w:jc w:val="left"/>
    </w:pPr>
    <w:rPr>
      <w:rFonts w:ascii="宋体" w:hAnsi="宋体"/>
      <w:color w:val="FF0000"/>
      <w:kern w:val="0"/>
      <w:sz w:val="20"/>
    </w:rPr>
  </w:style>
  <w:style w:type="paragraph" w:customStyle="1" w:styleId="149">
    <w:name w:val="UserStyle_75"/>
    <w:basedOn w:val="1"/>
    <w:autoRedefine/>
    <w:qFormat/>
    <w:uiPriority w:val="0"/>
    <w:pPr>
      <w:tabs>
        <w:tab w:val="left" w:pos="814"/>
      </w:tabs>
      <w:spacing w:before="120" w:line="300" w:lineRule="auto"/>
      <w:ind w:left="425" w:hanging="425"/>
      <w:jc w:val="left"/>
    </w:pPr>
    <w:rPr>
      <w:kern w:val="0"/>
      <w:position w:val="20"/>
      <w:sz w:val="28"/>
    </w:rPr>
  </w:style>
  <w:style w:type="paragraph" w:customStyle="1" w:styleId="150">
    <w:name w:val="UserStyle_76"/>
    <w:basedOn w:val="1"/>
    <w:autoRedefine/>
    <w:qFormat/>
    <w:uiPriority w:val="0"/>
    <w:pPr>
      <w:tabs>
        <w:tab w:val="left" w:pos="5670"/>
      </w:tabs>
      <w:spacing w:line="300" w:lineRule="auto"/>
      <w:ind w:left="1134"/>
    </w:pPr>
    <w:rPr>
      <w:rFonts w:ascii="宋体"/>
      <w:sz w:val="28"/>
    </w:rPr>
  </w:style>
  <w:style w:type="paragraph" w:customStyle="1" w:styleId="151">
    <w:name w:val="UserStyle_77"/>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52">
    <w:name w:val="UserStyle_78"/>
    <w:basedOn w:val="1"/>
    <w:autoRedefine/>
    <w:qFormat/>
    <w:uiPriority w:val="0"/>
    <w:pPr>
      <w:spacing w:line="360" w:lineRule="auto"/>
    </w:pPr>
    <w:rPr>
      <w:rFonts w:ascii="仿宋_GB2312" w:eastAsia="仿宋_GB2312"/>
      <w:b/>
      <w:sz w:val="32"/>
    </w:rPr>
  </w:style>
  <w:style w:type="paragraph" w:customStyle="1" w:styleId="153">
    <w:name w:val="UserStyle_79"/>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54">
    <w:name w:val="UserStyle_80"/>
    <w:basedOn w:val="1"/>
    <w:autoRedefine/>
    <w:qFormat/>
    <w:uiPriority w:val="0"/>
    <w:pPr>
      <w:tabs>
        <w:tab w:val="left" w:pos="525"/>
      </w:tabs>
      <w:spacing w:before="156" w:after="156"/>
      <w:ind w:left="420" w:hanging="420"/>
      <w:jc w:val="left"/>
    </w:pPr>
    <w:rPr>
      <w:b/>
      <w:sz w:val="24"/>
    </w:rPr>
  </w:style>
  <w:style w:type="paragraph" w:customStyle="1" w:styleId="155">
    <w:name w:val="UserStyle_81"/>
    <w:basedOn w:val="1"/>
    <w:autoRedefine/>
    <w:qFormat/>
    <w:uiPriority w:val="0"/>
    <w:pPr>
      <w:pBdr>
        <w:left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56">
    <w:name w:val="UserStyle_82"/>
    <w:basedOn w:val="1"/>
    <w:autoRedefine/>
    <w:qFormat/>
    <w:uiPriority w:val="0"/>
    <w:pPr>
      <w:tabs>
        <w:tab w:val="left" w:pos="1134"/>
      </w:tabs>
      <w:spacing w:before="60" w:after="60" w:line="264" w:lineRule="auto"/>
      <w:ind w:left="1134" w:hanging="454"/>
    </w:pPr>
    <w:rPr>
      <w:sz w:val="22"/>
    </w:rPr>
  </w:style>
  <w:style w:type="paragraph" w:customStyle="1" w:styleId="157">
    <w:name w:val="UserStyle_83"/>
    <w:basedOn w:val="1"/>
    <w:autoRedefine/>
    <w:qFormat/>
    <w:uiPriority w:val="0"/>
    <w:pPr>
      <w:spacing w:before="150"/>
      <w:jc w:val="left"/>
    </w:pPr>
    <w:rPr>
      <w:b/>
      <w:kern w:val="0"/>
      <w:sz w:val="22"/>
      <w:szCs w:val="22"/>
    </w:rPr>
  </w:style>
  <w:style w:type="paragraph" w:customStyle="1" w:styleId="158">
    <w:name w:val="UserStyle_84"/>
    <w:basedOn w:val="1"/>
    <w:autoRedefine/>
    <w:qFormat/>
    <w:uiPriority w:val="0"/>
    <w:pPr>
      <w:tabs>
        <w:tab w:val="left" w:pos="360"/>
      </w:tabs>
      <w:spacing w:after="240"/>
      <w:ind w:left="360" w:hanging="360"/>
    </w:pPr>
    <w:rPr>
      <w:sz w:val="24"/>
    </w:rPr>
  </w:style>
  <w:style w:type="paragraph" w:customStyle="1" w:styleId="159">
    <w:name w:val="UserStyle_85"/>
    <w:basedOn w:val="1"/>
    <w:autoRedefine/>
    <w:qFormat/>
    <w:uiPriority w:val="0"/>
    <w:pPr>
      <w:spacing w:before="100" w:beforeAutospacing="1" w:after="100" w:afterAutospacing="1"/>
      <w:jc w:val="left"/>
    </w:pPr>
    <w:rPr>
      <w:rFonts w:ascii="宋体" w:hAnsi="宋体"/>
      <w:kern w:val="0"/>
      <w:sz w:val="24"/>
    </w:rPr>
  </w:style>
  <w:style w:type="paragraph" w:customStyle="1" w:styleId="160">
    <w:name w:val="UserStyle_86"/>
    <w:basedOn w:val="1"/>
    <w:autoRedefine/>
    <w:qFormat/>
    <w:uiPriority w:val="0"/>
    <w:pPr>
      <w:spacing w:line="360" w:lineRule="auto"/>
      <w:ind w:firstLine="200" w:firstLineChars="200"/>
      <w:jc w:val="left"/>
    </w:pPr>
    <w:rPr>
      <w:rFonts w:ascii="Calibri" w:hAnsi="Calibri"/>
      <w:kern w:val="0"/>
      <w:sz w:val="24"/>
      <w:szCs w:val="24"/>
      <w:lang w:eastAsia="en-US"/>
    </w:rPr>
  </w:style>
  <w:style w:type="paragraph" w:customStyle="1" w:styleId="161">
    <w:name w:val="UserStyle_8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62">
    <w:name w:val="UserStyle_88"/>
    <w:basedOn w:val="1"/>
    <w:autoRedefine/>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63">
    <w:name w:val="UserStyle_89"/>
    <w:basedOn w:val="1"/>
    <w:autoRedefine/>
    <w:qFormat/>
    <w:uiPriority w:val="0"/>
    <w:pPr>
      <w:spacing w:before="100" w:beforeAutospacing="1" w:after="100" w:afterAutospacing="1"/>
      <w:jc w:val="left"/>
    </w:pPr>
    <w:rPr>
      <w:rFonts w:ascii="MS Sans Serif" w:hAnsi="MS Sans Serif"/>
      <w:color w:val="FF0000"/>
      <w:kern w:val="0"/>
      <w:sz w:val="20"/>
    </w:rPr>
  </w:style>
  <w:style w:type="paragraph" w:customStyle="1" w:styleId="164">
    <w:name w:val="UserStyle_9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65">
    <w:name w:val="UserStyle_91"/>
    <w:basedOn w:val="1"/>
    <w:autoRedefine/>
    <w:qFormat/>
    <w:uiPriority w:val="0"/>
    <w:pPr>
      <w:spacing w:after="100"/>
      <w:ind w:left="2340" w:leftChars="975"/>
    </w:pPr>
    <w:rPr>
      <w:sz w:val="24"/>
    </w:rPr>
  </w:style>
  <w:style w:type="paragraph" w:customStyle="1" w:styleId="166">
    <w:name w:val="UserStyle_92"/>
    <w:basedOn w:val="56"/>
    <w:autoRedefine/>
    <w:qFormat/>
    <w:uiPriority w:val="0"/>
    <w:rPr>
      <w:rFonts w:ascii="Tahoma" w:hAnsi="Tahoma"/>
      <w:sz w:val="24"/>
      <w:szCs w:val="24"/>
    </w:rPr>
  </w:style>
  <w:style w:type="paragraph" w:customStyle="1" w:styleId="167">
    <w:name w:val="UserStyle_93"/>
    <w:basedOn w:val="35"/>
    <w:autoRedefine/>
    <w:qFormat/>
    <w:uiPriority w:val="0"/>
    <w:pPr>
      <w:keepNext/>
      <w:keepLines/>
      <w:spacing w:before="180" w:after="120"/>
      <w:ind w:left="720" w:hanging="720"/>
      <w:jc w:val="left"/>
    </w:pPr>
    <w:rPr>
      <w:kern w:val="0"/>
    </w:rPr>
  </w:style>
  <w:style w:type="paragraph" w:customStyle="1" w:styleId="168">
    <w:name w:val="UserStyle_94"/>
    <w:basedOn w:val="1"/>
    <w:autoRedefine/>
    <w:qFormat/>
    <w:uiPriority w:val="0"/>
    <w:pPr>
      <w:spacing w:line="400" w:lineRule="exact"/>
      <w:ind w:firstLine="200" w:firstLineChars="200"/>
    </w:pPr>
    <w:rPr>
      <w:sz w:val="24"/>
    </w:rPr>
  </w:style>
  <w:style w:type="paragraph" w:customStyle="1" w:styleId="169">
    <w:name w:val="UserStyle_95"/>
    <w:basedOn w:val="35"/>
    <w:autoRedefine/>
    <w:qFormat/>
    <w:uiPriority w:val="0"/>
    <w:pPr>
      <w:keepNext/>
      <w:keepLines/>
      <w:spacing w:before="100" w:line="400" w:lineRule="exact"/>
      <w:jc w:val="both"/>
    </w:pPr>
    <w:rPr>
      <w:rFonts w:ascii="Times New Roman" w:hAnsi="Times New Roman" w:eastAsia="黑体"/>
      <w:b w:val="0"/>
      <w:sz w:val="28"/>
    </w:rPr>
  </w:style>
  <w:style w:type="paragraph" w:customStyle="1" w:styleId="170">
    <w:name w:val="UserStyle_96"/>
    <w:basedOn w:val="1"/>
    <w:autoRedefine/>
    <w:qFormat/>
    <w:uiPriority w:val="0"/>
    <w:pPr>
      <w:ind w:firstLine="420" w:firstLineChars="200"/>
      <w:jc w:val="left"/>
    </w:pPr>
    <w:rPr>
      <w:rFonts w:ascii="宋体" w:hAnsi="宋体"/>
      <w:kern w:val="0"/>
      <w:sz w:val="24"/>
      <w:szCs w:val="24"/>
    </w:rPr>
  </w:style>
  <w:style w:type="paragraph" w:customStyle="1" w:styleId="171">
    <w:name w:val="UserStyle_97"/>
    <w:basedOn w:val="1"/>
    <w:autoRedefine/>
    <w:qFormat/>
    <w:uiPriority w:val="0"/>
    <w:rPr>
      <w:rFonts w:ascii="宋体" w:hAnsi="宋体"/>
      <w:sz w:val="24"/>
    </w:rPr>
  </w:style>
  <w:style w:type="paragraph" w:customStyle="1" w:styleId="172">
    <w:name w:val="UserStyle_98"/>
    <w:basedOn w:val="1"/>
    <w:autoRedefine/>
    <w:qFormat/>
    <w:uiPriority w:val="0"/>
    <w:pPr>
      <w:spacing w:line="360" w:lineRule="auto"/>
      <w:ind w:left="840" w:hanging="840"/>
    </w:pPr>
    <w:rPr>
      <w:rFonts w:ascii="楷体_GB2312" w:eastAsia="楷体_GB2312"/>
      <w:kern w:val="0"/>
      <w:sz w:val="24"/>
    </w:rPr>
  </w:style>
  <w:style w:type="paragraph" w:customStyle="1" w:styleId="173">
    <w:name w:val="UserStyle_99"/>
    <w:basedOn w:val="35"/>
    <w:autoRedefine/>
    <w:qFormat/>
    <w:uiPriority w:val="0"/>
    <w:pPr>
      <w:keepNext/>
      <w:ind w:firstLine="240" w:firstLineChars="100"/>
      <w:jc w:val="both"/>
    </w:pPr>
    <w:rPr>
      <w:rFonts w:ascii="楷体_GB2312" w:hAnsi="Arial" w:eastAsia="楷体_GB2312"/>
      <w:b w:val="0"/>
    </w:rPr>
  </w:style>
  <w:style w:type="paragraph" w:customStyle="1" w:styleId="174">
    <w:name w:val="UserStyle_100"/>
    <w:basedOn w:val="1"/>
    <w:autoRedefine/>
    <w:qFormat/>
    <w:uiPriority w:val="0"/>
    <w:pPr>
      <w:spacing w:before="100" w:beforeAutospacing="1" w:after="100" w:afterAutospacing="1"/>
      <w:jc w:val="center"/>
    </w:pPr>
    <w:rPr>
      <w:rFonts w:ascii="宋体" w:hAnsi="宋体"/>
      <w:kern w:val="0"/>
      <w:sz w:val="24"/>
    </w:rPr>
  </w:style>
  <w:style w:type="paragraph" w:customStyle="1" w:styleId="175">
    <w:name w:val="179"/>
    <w:basedOn w:val="1"/>
    <w:autoRedefine/>
    <w:qFormat/>
    <w:uiPriority w:val="0"/>
    <w:pPr>
      <w:ind w:firstLine="420" w:firstLineChars="200"/>
    </w:pPr>
  </w:style>
  <w:style w:type="paragraph" w:customStyle="1" w:styleId="176">
    <w:name w:val="UserStyle_101"/>
    <w:basedOn w:val="177"/>
    <w:autoRedefine/>
    <w:qFormat/>
    <w:uiPriority w:val="0"/>
    <w:pPr>
      <w:ind w:left="1200" w:leftChars="1200" w:hanging="1980" w:hangingChars="825"/>
    </w:pPr>
  </w:style>
  <w:style w:type="paragraph" w:customStyle="1" w:styleId="177">
    <w:name w:val="UserStyle_102"/>
    <w:basedOn w:val="1"/>
    <w:autoRedefine/>
    <w:qFormat/>
    <w:uiPriority w:val="0"/>
    <w:pPr>
      <w:spacing w:after="120" w:line="300" w:lineRule="auto"/>
      <w:ind w:left="2387" w:hanging="227"/>
    </w:pPr>
    <w:rPr>
      <w:rFonts w:ascii="宋体" w:hAnsi="宋体"/>
      <w:sz w:val="24"/>
    </w:rPr>
  </w:style>
  <w:style w:type="paragraph" w:customStyle="1" w:styleId="178">
    <w:name w:val="UserStyle_103"/>
    <w:basedOn w:val="1"/>
    <w:autoRedefine/>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79">
    <w:name w:val="UserStyle_104"/>
    <w:basedOn w:val="1"/>
    <w:autoRedefine/>
    <w:qFormat/>
    <w:uiPriority w:val="0"/>
    <w:pPr>
      <w:spacing w:before="100" w:beforeAutospacing="1" w:after="100" w:afterAutospacing="1"/>
      <w:jc w:val="left"/>
    </w:pPr>
    <w:rPr>
      <w:rFonts w:ascii="宋体" w:hAnsi="宋体"/>
      <w:kern w:val="0"/>
      <w:sz w:val="20"/>
    </w:rPr>
  </w:style>
  <w:style w:type="paragraph" w:customStyle="1" w:styleId="180">
    <w:name w:val="UserStyle_105"/>
    <w:basedOn w:val="1"/>
    <w:autoRedefine/>
    <w:qFormat/>
    <w:uiPriority w:val="0"/>
    <w:pPr>
      <w:spacing w:before="100" w:beforeAutospacing="1" w:after="100" w:afterAutospacing="1"/>
      <w:jc w:val="left"/>
    </w:pPr>
    <w:rPr>
      <w:rFonts w:ascii="宋体" w:hAnsi="宋体"/>
      <w:kern w:val="0"/>
      <w:sz w:val="20"/>
    </w:rPr>
  </w:style>
  <w:style w:type="paragraph" w:customStyle="1" w:styleId="181">
    <w:name w:val="UserStyle_106"/>
    <w:basedOn w:val="1"/>
    <w:autoRedefine/>
    <w:qFormat/>
    <w:uiPriority w:val="0"/>
    <w:pPr>
      <w:spacing w:before="150"/>
      <w:jc w:val="left"/>
    </w:pPr>
    <w:rPr>
      <w:b/>
      <w:kern w:val="0"/>
      <w:sz w:val="22"/>
      <w:szCs w:val="22"/>
    </w:rPr>
  </w:style>
  <w:style w:type="paragraph" w:customStyle="1" w:styleId="182">
    <w:name w:val="UserStyle_107"/>
    <w:basedOn w:val="1"/>
    <w:autoRedefine/>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83">
    <w:name w:val="UserStyle_108"/>
    <w:basedOn w:val="1"/>
    <w:autoRedefine/>
    <w:qFormat/>
    <w:uiPriority w:val="0"/>
    <w:pPr>
      <w:spacing w:after="240"/>
      <w:ind w:left="792" w:firstLine="480"/>
    </w:pPr>
    <w:rPr>
      <w:sz w:val="24"/>
    </w:rPr>
  </w:style>
  <w:style w:type="paragraph" w:customStyle="1" w:styleId="184">
    <w:name w:val="UserStyle_109"/>
    <w:basedOn w:val="1"/>
    <w:autoRedefine/>
    <w:qFormat/>
    <w:uiPriority w:val="0"/>
    <w:rPr>
      <w:rFonts w:ascii="仿宋_GB2312" w:eastAsia="仿宋_GB2312"/>
      <w:b/>
      <w:sz w:val="32"/>
      <w:szCs w:val="32"/>
    </w:rPr>
  </w:style>
  <w:style w:type="paragraph" w:customStyle="1" w:styleId="185">
    <w:name w:val="UserStyle_110"/>
    <w:basedOn w:val="34"/>
    <w:autoRedefine/>
    <w:qFormat/>
    <w:uiPriority w:val="0"/>
    <w:pPr>
      <w:keepNext/>
      <w:tabs>
        <w:tab w:val="left" w:pos="840"/>
      </w:tabs>
      <w:spacing w:before="240" w:after="60"/>
      <w:jc w:val="both"/>
    </w:pPr>
    <w:rPr>
      <w:rFonts w:ascii="Arial" w:hAnsi="Arial"/>
      <w:b w:val="0"/>
      <w:kern w:val="32"/>
      <w:sz w:val="22"/>
    </w:rPr>
  </w:style>
  <w:style w:type="paragraph" w:customStyle="1" w:styleId="186">
    <w:name w:val="UserStyle_111"/>
    <w:autoRedefine/>
    <w:qFormat/>
    <w:uiPriority w:val="0"/>
    <w:pPr>
      <w:textAlignment w:val="baseline"/>
    </w:pPr>
    <w:rPr>
      <w:rFonts w:ascii="Times New Roman" w:hAnsi="Times New Roman" w:eastAsia="宋体" w:cstheme="minorBidi"/>
      <w:lang w:val="en-US" w:eastAsia="zh-CN" w:bidi="ar-SA"/>
    </w:rPr>
  </w:style>
  <w:style w:type="paragraph" w:customStyle="1" w:styleId="187">
    <w:name w:val="UserStyle_112"/>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188">
    <w:name w:val="UserStyle_113"/>
    <w:autoRedefine/>
    <w:qFormat/>
    <w:uiPriority w:val="0"/>
    <w:pPr>
      <w:textAlignment w:val="baseline"/>
    </w:pPr>
    <w:rPr>
      <w:rFonts w:ascii="Times New Roman" w:hAnsi="Times New Roman" w:eastAsia="宋体" w:cstheme="minorBidi"/>
      <w:lang w:val="en-US" w:eastAsia="zh-CN" w:bidi="ar-SA"/>
    </w:rPr>
  </w:style>
  <w:style w:type="paragraph" w:customStyle="1" w:styleId="189">
    <w:name w:val="UserStyle_114"/>
    <w:basedOn w:val="144"/>
    <w:autoRedefine/>
    <w:qFormat/>
    <w:uiPriority w:val="0"/>
    <w:pPr>
      <w:ind w:left="0" w:firstLine="0" w:firstLineChars="0"/>
      <w:jc w:val="center"/>
    </w:pPr>
  </w:style>
  <w:style w:type="paragraph" w:customStyle="1" w:styleId="190">
    <w:name w:val="UserStyle_115"/>
    <w:basedOn w:val="1"/>
    <w:autoRedefine/>
    <w:qFormat/>
    <w:uiPriority w:val="0"/>
    <w:pPr>
      <w:spacing w:before="156" w:after="156"/>
      <w:ind w:right="-21" w:rightChars="-21"/>
      <w:jc w:val="center"/>
    </w:pPr>
    <w:rPr>
      <w:rFonts w:ascii="宋体"/>
      <w:b/>
      <w:sz w:val="24"/>
    </w:rPr>
  </w:style>
  <w:style w:type="paragraph" w:customStyle="1" w:styleId="191">
    <w:name w:val="UserStyle_11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92">
    <w:name w:val="UserStyle_117"/>
    <w:basedOn w:val="56"/>
    <w:autoRedefine/>
    <w:qFormat/>
    <w:uiPriority w:val="0"/>
  </w:style>
  <w:style w:type="paragraph" w:customStyle="1" w:styleId="193">
    <w:name w:val="UserStyle_118"/>
    <w:basedOn w:val="1"/>
    <w:autoRedefine/>
    <w:qFormat/>
    <w:uiPriority w:val="0"/>
    <w:pPr>
      <w:spacing w:before="100" w:beforeAutospacing="1" w:after="100" w:afterAutospacing="1"/>
      <w:jc w:val="left"/>
    </w:pPr>
    <w:rPr>
      <w:rFonts w:ascii="宋体" w:hAnsi="宋体"/>
      <w:color w:val="000000"/>
      <w:kern w:val="0"/>
      <w:sz w:val="24"/>
    </w:rPr>
  </w:style>
  <w:style w:type="paragraph" w:customStyle="1" w:styleId="194">
    <w:name w:val="UserStyle_119"/>
    <w:basedOn w:val="1"/>
    <w:autoRedefine/>
    <w:qFormat/>
    <w:uiPriority w:val="0"/>
    <w:pPr>
      <w:tabs>
        <w:tab w:val="left" w:pos="927"/>
      </w:tabs>
      <w:spacing w:before="312" w:line="360" w:lineRule="auto"/>
      <w:ind w:left="907" w:hanging="340"/>
    </w:pPr>
    <w:rPr>
      <w:sz w:val="24"/>
    </w:rPr>
  </w:style>
  <w:style w:type="paragraph" w:customStyle="1" w:styleId="195">
    <w:name w:val="UserStyle_120"/>
    <w:basedOn w:val="1"/>
    <w:autoRedefine/>
    <w:qFormat/>
    <w:uiPriority w:val="0"/>
    <w:pPr>
      <w:tabs>
        <w:tab w:val="left" w:pos="1980"/>
      </w:tabs>
      <w:spacing w:after="240"/>
      <w:ind w:left="1980" w:leftChars="680" w:hanging="348" w:hangingChars="145"/>
    </w:pPr>
    <w:rPr>
      <w:sz w:val="24"/>
    </w:rPr>
  </w:style>
  <w:style w:type="paragraph" w:customStyle="1" w:styleId="196">
    <w:name w:val="UserStyle_121"/>
    <w:basedOn w:val="37"/>
    <w:autoRedefine/>
    <w:qFormat/>
    <w:uiPriority w:val="0"/>
    <w:pPr>
      <w:keepLines/>
      <w:spacing w:after="120"/>
      <w:ind w:left="1531" w:hanging="1077"/>
    </w:pPr>
    <w:rPr>
      <w:rFonts w:ascii="宋体" w:hAnsi="宋体"/>
      <w:color w:val="000000"/>
      <w:kern w:val="0"/>
      <w:sz w:val="24"/>
    </w:rPr>
  </w:style>
  <w:style w:type="paragraph" w:customStyle="1" w:styleId="197">
    <w:name w:val="UserStyle_122"/>
    <w:autoRedefine/>
    <w:qFormat/>
    <w:uiPriority w:val="0"/>
    <w:pPr>
      <w:textAlignment w:val="baseline"/>
    </w:pPr>
    <w:rPr>
      <w:rFonts w:ascii="Times New Roman" w:hAnsi="Times New Roman" w:eastAsia="宋体" w:cstheme="minorBidi"/>
      <w:lang w:val="en-US" w:eastAsia="zh-CN" w:bidi="ar-SA"/>
    </w:rPr>
  </w:style>
  <w:style w:type="paragraph" w:customStyle="1" w:styleId="198">
    <w:name w:val="UserStyle_123"/>
    <w:basedOn w:val="1"/>
    <w:autoRedefine/>
    <w:qFormat/>
    <w:uiPriority w:val="0"/>
    <w:pPr>
      <w:tabs>
        <w:tab w:val="left" w:pos="2608"/>
      </w:tabs>
      <w:spacing w:before="120" w:after="120" w:line="264" w:lineRule="auto"/>
      <w:ind w:left="2608" w:hanging="567"/>
    </w:pPr>
    <w:rPr>
      <w:kern w:val="0"/>
      <w:sz w:val="22"/>
    </w:rPr>
  </w:style>
  <w:style w:type="paragraph" w:customStyle="1" w:styleId="199">
    <w:name w:val="UserStyle_124"/>
    <w:basedOn w:val="1"/>
    <w:next w:val="1"/>
    <w:autoRedefine/>
    <w:qFormat/>
    <w:uiPriority w:val="0"/>
    <w:pPr>
      <w:keepNext/>
      <w:snapToGrid w:val="0"/>
      <w:ind w:firstLine="357"/>
      <w:jc w:val="center"/>
    </w:pPr>
    <w:rPr>
      <w:rFonts w:ascii="Arial" w:hAnsi="Arial"/>
      <w:b/>
      <w:spacing w:val="4"/>
      <w:kern w:val="0"/>
      <w:sz w:val="28"/>
    </w:rPr>
  </w:style>
  <w:style w:type="paragraph" w:customStyle="1" w:styleId="200">
    <w:name w:val="266"/>
    <w:basedOn w:val="34"/>
    <w:next w:val="1"/>
    <w:autoRedefine/>
    <w:qFormat/>
    <w:uiPriority w:val="0"/>
    <w:pPr>
      <w:spacing w:before="480" w:line="276" w:lineRule="auto"/>
      <w:jc w:val="left"/>
    </w:pPr>
    <w:rPr>
      <w:rFonts w:ascii="Cambria" w:hAnsi="Cambria"/>
      <w:color w:val="365F91"/>
      <w:kern w:val="0"/>
      <w:sz w:val="28"/>
      <w:szCs w:val="28"/>
    </w:rPr>
  </w:style>
  <w:style w:type="paragraph" w:customStyle="1" w:styleId="201">
    <w:name w:val="UserStyle_125"/>
    <w:basedOn w:val="1"/>
    <w:autoRedefine/>
    <w:qFormat/>
    <w:uiPriority w:val="0"/>
  </w:style>
  <w:style w:type="paragraph" w:customStyle="1" w:styleId="202">
    <w:name w:val="UserStyle_126"/>
    <w:autoRedefine/>
    <w:qFormat/>
    <w:uiPriority w:val="0"/>
    <w:pPr>
      <w:textAlignment w:val="baseline"/>
    </w:pPr>
    <w:rPr>
      <w:rFonts w:ascii="Times New Roman" w:hAnsi="Times New Roman" w:eastAsia="宋体" w:cstheme="minorBidi"/>
      <w:lang w:val="en-US" w:eastAsia="zh-CN" w:bidi="ar-SA"/>
    </w:rPr>
  </w:style>
  <w:style w:type="paragraph" w:customStyle="1" w:styleId="203">
    <w:name w:val="UserStyle_127"/>
    <w:basedOn w:val="1"/>
    <w:autoRedefine/>
    <w:qFormat/>
    <w:uiPriority w:val="0"/>
    <w:pPr>
      <w:spacing w:before="100" w:beforeAutospacing="1" w:after="100" w:afterAutospacing="1"/>
      <w:jc w:val="left"/>
    </w:pPr>
    <w:rPr>
      <w:rFonts w:ascii="宋体" w:hAnsi="宋体"/>
      <w:kern w:val="0"/>
      <w:sz w:val="18"/>
    </w:rPr>
  </w:style>
  <w:style w:type="paragraph" w:customStyle="1" w:styleId="204">
    <w:name w:val="UserStyle_128"/>
    <w:basedOn w:val="1"/>
    <w:autoRedefine/>
    <w:qFormat/>
    <w:uiPriority w:val="0"/>
    <w:pPr>
      <w:pBdr>
        <w:left w:val="single" w:color="000000" w:sz="6" w:space="4"/>
      </w:pBdr>
      <w:tabs>
        <w:tab w:val="left" w:pos="1021"/>
        <w:tab w:val="left" w:pos="5245"/>
      </w:tabs>
      <w:spacing w:before="60" w:after="60" w:line="520" w:lineRule="exact"/>
      <w:jc w:val="center"/>
    </w:pPr>
    <w:rPr>
      <w:rFonts w:ascii="Arial" w:hAnsi="Arial" w:eastAsia="仿宋_GB2312"/>
      <w:kern w:val="0"/>
    </w:rPr>
  </w:style>
  <w:style w:type="paragraph" w:customStyle="1" w:styleId="205">
    <w:name w:val="UserStyle_129"/>
    <w:basedOn w:val="1"/>
    <w:autoRedefine/>
    <w:qFormat/>
    <w:uiPriority w:val="0"/>
    <w:pPr>
      <w:spacing w:after="160" w:line="240" w:lineRule="exact"/>
      <w:jc w:val="left"/>
    </w:pPr>
    <w:rPr>
      <w:rFonts w:ascii="Verdana" w:hAnsi="Verdana"/>
      <w:kern w:val="0"/>
      <w:sz w:val="20"/>
      <w:lang w:eastAsia="en-US"/>
    </w:rPr>
  </w:style>
  <w:style w:type="paragraph" w:customStyle="1" w:styleId="206">
    <w:name w:val="UserStyle_130"/>
    <w:basedOn w:val="1"/>
    <w:autoRedefine/>
    <w:qFormat/>
    <w:uiPriority w:val="0"/>
    <w:pPr>
      <w:spacing w:line="300" w:lineRule="auto"/>
      <w:jc w:val="left"/>
    </w:pPr>
    <w:rPr>
      <w:kern w:val="0"/>
      <w:sz w:val="18"/>
    </w:rPr>
  </w:style>
  <w:style w:type="paragraph" w:customStyle="1" w:styleId="207">
    <w:name w:val="UserStyle_131"/>
    <w:autoRedefine/>
    <w:qFormat/>
    <w:uiPriority w:val="0"/>
    <w:pPr>
      <w:textAlignment w:val="baseline"/>
    </w:pPr>
    <w:rPr>
      <w:rFonts w:ascii="Times New Roman" w:hAnsi="Times New Roman" w:eastAsia="宋体" w:cstheme="minorBidi"/>
      <w:lang w:val="en-US" w:eastAsia="zh-CN" w:bidi="ar-SA"/>
    </w:rPr>
  </w:style>
  <w:style w:type="paragraph" w:customStyle="1" w:styleId="208">
    <w:name w:val="UserStyle_132"/>
    <w:basedOn w:val="1"/>
    <w:autoRedefine/>
    <w:qFormat/>
    <w:uiPriority w:val="0"/>
    <w:rPr>
      <w:rFonts w:eastAsia="Times New Roman"/>
      <w:kern w:val="0"/>
      <w:sz w:val="20"/>
    </w:rPr>
  </w:style>
  <w:style w:type="paragraph" w:customStyle="1" w:styleId="209">
    <w:name w:val="UserStyle_133"/>
    <w:basedOn w:val="38"/>
    <w:autoRedefine/>
    <w:qFormat/>
    <w:uiPriority w:val="0"/>
    <w:pPr>
      <w:tabs>
        <w:tab w:val="left" w:pos="1800"/>
      </w:tabs>
      <w:spacing w:before="0" w:after="120" w:line="240" w:lineRule="auto"/>
      <w:ind w:left="1985" w:hanging="1305"/>
    </w:pPr>
    <w:rPr>
      <w:rFonts w:ascii="宋体" w:hAnsi="宋体"/>
      <w:b w:val="0"/>
      <w:kern w:val="0"/>
      <w:sz w:val="24"/>
    </w:rPr>
  </w:style>
  <w:style w:type="paragraph" w:customStyle="1" w:styleId="210">
    <w:name w:val="UserStyle_134"/>
    <w:basedOn w:val="1"/>
    <w:autoRedefine/>
    <w:qFormat/>
    <w:uiPriority w:val="0"/>
    <w:pPr>
      <w:ind w:firstLine="420" w:firstLineChars="200"/>
    </w:pPr>
  </w:style>
  <w:style w:type="paragraph" w:customStyle="1" w:styleId="211">
    <w:name w:val="UserStyle_135"/>
    <w:basedOn w:val="1"/>
    <w:autoRedefine/>
    <w:qFormat/>
    <w:uiPriority w:val="0"/>
    <w:pPr>
      <w:spacing w:after="240"/>
      <w:ind w:left="1080" w:firstLine="480"/>
    </w:pPr>
    <w:rPr>
      <w:sz w:val="24"/>
    </w:rPr>
  </w:style>
  <w:style w:type="paragraph" w:customStyle="1" w:styleId="212">
    <w:name w:val="UserStyle_136"/>
    <w:basedOn w:val="1"/>
    <w:autoRedefine/>
    <w:qFormat/>
    <w:uiPriority w:val="0"/>
    <w:pPr>
      <w:tabs>
        <w:tab w:val="left" w:pos="1588"/>
      </w:tabs>
      <w:spacing w:before="60" w:after="60" w:line="264" w:lineRule="auto"/>
      <w:ind w:left="1588" w:hanging="454"/>
    </w:pPr>
    <w:rPr>
      <w:sz w:val="22"/>
    </w:rPr>
  </w:style>
  <w:style w:type="paragraph" w:customStyle="1" w:styleId="213">
    <w:name w:val="UserStyle_137"/>
    <w:basedOn w:val="1"/>
    <w:autoRedefine/>
    <w:qFormat/>
    <w:uiPriority w:val="0"/>
    <w:pPr>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pPr>
    <w:rPr>
      <w:rFonts w:ascii="Arial" w:hAnsi="Arial"/>
      <w:kern w:val="0"/>
      <w:sz w:val="22"/>
      <w:lang w:val="en-GB"/>
    </w:rPr>
  </w:style>
  <w:style w:type="paragraph" w:customStyle="1" w:styleId="214">
    <w:name w:val="UserStyle_138"/>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215">
    <w:name w:val="UserStyle_139"/>
    <w:basedOn w:val="146"/>
    <w:autoRedefine/>
    <w:qFormat/>
    <w:uiPriority w:val="0"/>
    <w:pPr>
      <w:spacing w:line="300" w:lineRule="exact"/>
      <w:jc w:val="center"/>
    </w:pPr>
    <w:rPr>
      <w:b/>
      <w:sz w:val="28"/>
    </w:rPr>
  </w:style>
  <w:style w:type="paragraph" w:customStyle="1" w:styleId="216">
    <w:name w:val="UserStyle_140"/>
    <w:basedOn w:val="1"/>
    <w:autoRedefine/>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217">
    <w:name w:val="UserStyle_141"/>
    <w:basedOn w:val="1"/>
    <w:autoRedefine/>
    <w:qFormat/>
    <w:uiPriority w:val="0"/>
    <w:rPr>
      <w:rFonts w:ascii="Cambria" w:hAnsi="Cambria"/>
    </w:rPr>
  </w:style>
  <w:style w:type="paragraph" w:customStyle="1" w:styleId="218">
    <w:name w:val="UserStyle_142"/>
    <w:basedOn w:val="1"/>
    <w:autoRedefine/>
    <w:qFormat/>
    <w:uiPriority w:val="0"/>
    <w:pPr>
      <w:tabs>
        <w:tab w:val="left" w:pos="2041"/>
        <w:tab w:val="left" w:pos="2308"/>
      </w:tabs>
      <w:spacing w:before="60" w:after="60" w:line="264" w:lineRule="auto"/>
      <w:ind w:left="2041" w:hanging="453"/>
    </w:pPr>
    <w:rPr>
      <w:sz w:val="22"/>
    </w:rPr>
  </w:style>
  <w:style w:type="paragraph" w:customStyle="1" w:styleId="219">
    <w:name w:val="UserStyle_143"/>
    <w:basedOn w:val="1"/>
    <w:autoRedefine/>
    <w:qFormat/>
    <w:uiPriority w:val="0"/>
    <w:pPr>
      <w:ind w:firstLine="420" w:firstLineChars="200"/>
    </w:pPr>
  </w:style>
  <w:style w:type="paragraph" w:customStyle="1" w:styleId="220">
    <w:name w:val="UserStyle_144"/>
    <w:basedOn w:val="1"/>
    <w:autoRedefine/>
    <w:qFormat/>
    <w:uiPriority w:val="0"/>
  </w:style>
  <w:style w:type="paragraph" w:customStyle="1" w:styleId="221">
    <w:name w:val="UserStyle_145"/>
    <w:autoRedefine/>
    <w:qFormat/>
    <w:uiPriority w:val="0"/>
    <w:pPr>
      <w:textAlignment w:val="baseline"/>
    </w:pPr>
    <w:rPr>
      <w:rFonts w:ascii="Times New Roman" w:hAnsi="Times New Roman" w:eastAsia="宋体" w:cstheme="minorBidi"/>
      <w:lang w:val="en-US" w:eastAsia="zh-CN" w:bidi="ar-SA"/>
    </w:rPr>
  </w:style>
  <w:style w:type="paragraph" w:customStyle="1" w:styleId="222">
    <w:name w:val="UserStyle_146"/>
    <w:autoRedefine/>
    <w:qFormat/>
    <w:uiPriority w:val="0"/>
    <w:pPr>
      <w:textAlignment w:val="baseline"/>
    </w:pPr>
    <w:rPr>
      <w:rFonts w:ascii="Times New Roman" w:hAnsi="Times New Roman" w:eastAsia="宋体" w:cstheme="minorBidi"/>
      <w:lang w:val="en-US" w:eastAsia="zh-CN" w:bidi="ar-SA"/>
    </w:rPr>
  </w:style>
  <w:style w:type="paragraph" w:customStyle="1" w:styleId="223">
    <w:name w:val="UserStyle_147"/>
    <w:basedOn w:val="1"/>
    <w:autoRedefine/>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24">
    <w:name w:val="UserStyle_148"/>
    <w:basedOn w:val="1"/>
    <w:autoRedefine/>
    <w:qFormat/>
    <w:uiPriority w:val="0"/>
    <w:pPr>
      <w:spacing w:before="100" w:beforeAutospacing="1" w:after="100" w:afterAutospacing="1"/>
      <w:jc w:val="center"/>
      <w:textAlignment w:val="center"/>
    </w:pPr>
    <w:rPr>
      <w:rFonts w:ascii="宋体" w:hAnsi="宋体"/>
      <w:kern w:val="0"/>
      <w:sz w:val="24"/>
    </w:rPr>
  </w:style>
  <w:style w:type="paragraph" w:customStyle="1" w:styleId="225">
    <w:name w:val="UserStyle_149"/>
    <w:autoRedefine/>
    <w:qFormat/>
    <w:uiPriority w:val="0"/>
    <w:pPr>
      <w:textAlignment w:val="baseline"/>
    </w:pPr>
    <w:rPr>
      <w:rFonts w:ascii="Times New Roman" w:hAnsi="Times New Roman" w:eastAsia="宋体" w:cstheme="minorBidi"/>
      <w:lang w:val="en-US" w:eastAsia="zh-CN" w:bidi="ar-SA"/>
    </w:rPr>
  </w:style>
  <w:style w:type="paragraph" w:customStyle="1" w:styleId="226">
    <w:name w:val="UserStyle_150"/>
    <w:basedOn w:val="1"/>
    <w:autoRedefine/>
    <w:qFormat/>
    <w:uiPriority w:val="0"/>
    <w:pPr>
      <w:spacing w:before="100" w:beforeAutospacing="1" w:after="100" w:afterAutospacing="1"/>
      <w:jc w:val="center"/>
    </w:pPr>
    <w:rPr>
      <w:rFonts w:ascii="宋体" w:hAnsi="宋体"/>
      <w:kern w:val="0"/>
      <w:sz w:val="24"/>
    </w:rPr>
  </w:style>
  <w:style w:type="paragraph" w:customStyle="1" w:styleId="227">
    <w:name w:val="UserStyle_151"/>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28">
    <w:name w:val="UserStyle_152"/>
    <w:basedOn w:val="1"/>
    <w:autoRedefine/>
    <w:qFormat/>
    <w:uiPriority w:val="0"/>
    <w:pPr>
      <w:spacing w:before="100" w:after="100"/>
      <w:jc w:val="center"/>
    </w:pPr>
    <w:rPr>
      <w:rFonts w:ascii="Arial Unicode MS" w:hAnsi="Arial Unicode MS"/>
      <w:kern w:val="0"/>
      <w:sz w:val="24"/>
    </w:rPr>
  </w:style>
  <w:style w:type="paragraph" w:customStyle="1" w:styleId="229">
    <w:name w:val="UserStyle_153"/>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30">
    <w:name w:val="UserStyle_154"/>
    <w:basedOn w:val="1"/>
    <w:autoRedefine/>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231">
    <w:name w:val="UserStyle_155"/>
    <w:basedOn w:val="1"/>
    <w:autoRedefine/>
    <w:qFormat/>
    <w:uiPriority w:val="0"/>
    <w:pPr>
      <w:tabs>
        <w:tab w:val="left" w:pos="5670"/>
      </w:tabs>
      <w:spacing w:before="60"/>
      <w:ind w:left="851" w:hanging="284"/>
      <w:jc w:val="left"/>
    </w:pPr>
    <w:rPr>
      <w:kern w:val="0"/>
      <w:sz w:val="28"/>
    </w:rPr>
  </w:style>
  <w:style w:type="paragraph" w:customStyle="1" w:styleId="232">
    <w:name w:val="UserStyle_156"/>
    <w:basedOn w:val="1"/>
    <w:autoRedefine/>
    <w:qFormat/>
    <w:uiPriority w:val="0"/>
    <w:pPr>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233">
    <w:name w:val="UserStyle_157"/>
    <w:basedOn w:val="1"/>
    <w:next w:val="1"/>
    <w:autoRedefine/>
    <w:qFormat/>
    <w:uiPriority w:val="0"/>
    <w:pPr>
      <w:spacing w:after="120"/>
    </w:pPr>
  </w:style>
  <w:style w:type="paragraph" w:customStyle="1" w:styleId="234">
    <w:name w:val="UserStyle_158"/>
    <w:autoRedefine/>
    <w:qFormat/>
    <w:uiPriority w:val="0"/>
    <w:pPr>
      <w:textAlignment w:val="baseline"/>
    </w:pPr>
    <w:rPr>
      <w:rFonts w:ascii="Times New Roman" w:hAnsi="Times New Roman" w:eastAsia="宋体" w:cstheme="minorBidi"/>
      <w:lang w:val="en-US" w:eastAsia="zh-CN" w:bidi="ar-SA"/>
    </w:rPr>
  </w:style>
  <w:style w:type="paragraph" w:customStyle="1" w:styleId="235">
    <w:name w:val="UserStyle_159"/>
    <w:basedOn w:val="1"/>
    <w:autoRedefine/>
    <w:qFormat/>
    <w:uiPriority w:val="0"/>
    <w:pPr>
      <w:jc w:val="left"/>
    </w:pPr>
    <w:rPr>
      <w:rFonts w:ascii="宋体" w:hAnsi="宋体"/>
      <w:kern w:val="0"/>
      <w:sz w:val="24"/>
      <w:szCs w:val="24"/>
    </w:rPr>
  </w:style>
  <w:style w:type="paragraph" w:customStyle="1" w:styleId="236">
    <w:name w:val="UserStyle_160"/>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37">
    <w:name w:val="UserStyle_16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38">
    <w:name w:val="UserStyle_162"/>
    <w:basedOn w:val="1"/>
    <w:autoRedefine/>
    <w:qFormat/>
    <w:uiPriority w:val="0"/>
    <w:pPr>
      <w:spacing w:before="100" w:beforeAutospacing="1" w:after="100" w:afterAutospacing="1"/>
      <w:jc w:val="center"/>
      <w:textAlignment w:val="center"/>
    </w:pPr>
    <w:rPr>
      <w:rFonts w:ascii="宋体" w:hAnsi="宋体"/>
      <w:kern w:val="0"/>
      <w:sz w:val="24"/>
    </w:rPr>
  </w:style>
  <w:style w:type="paragraph" w:customStyle="1" w:styleId="239">
    <w:name w:val="UserStyle_163"/>
    <w:basedOn w:val="145"/>
    <w:autoRedefine/>
    <w:qFormat/>
    <w:uiPriority w:val="0"/>
    <w:pPr>
      <w:tabs>
        <w:tab w:val="left" w:pos="1588"/>
      </w:tabs>
      <w:ind w:left="1588" w:hanging="794"/>
    </w:pPr>
  </w:style>
  <w:style w:type="paragraph" w:customStyle="1" w:styleId="240">
    <w:name w:val="UserStyle_164"/>
    <w:autoRedefine/>
    <w:qFormat/>
    <w:uiPriority w:val="0"/>
    <w:pPr>
      <w:textAlignment w:val="baseline"/>
    </w:pPr>
    <w:rPr>
      <w:rFonts w:ascii="Times New Roman" w:hAnsi="Times New Roman" w:eastAsia="宋体" w:cstheme="minorBidi"/>
      <w:lang w:val="en-US" w:eastAsia="zh-CN" w:bidi="ar-SA"/>
    </w:rPr>
  </w:style>
  <w:style w:type="paragraph" w:customStyle="1" w:styleId="241">
    <w:name w:val="UserStyle_165"/>
    <w:basedOn w:val="1"/>
    <w:autoRedefine/>
    <w:qFormat/>
    <w:uiPriority w:val="0"/>
    <w:pPr>
      <w:spacing w:line="360" w:lineRule="auto"/>
    </w:pPr>
    <w:rPr>
      <w:rFonts w:ascii="Tahoma" w:hAnsi="Tahoma"/>
      <w:color w:val="000000"/>
      <w:sz w:val="24"/>
      <w:szCs w:val="24"/>
    </w:rPr>
  </w:style>
  <w:style w:type="paragraph" w:customStyle="1" w:styleId="242">
    <w:name w:val="UserStyle_166"/>
    <w:basedOn w:val="1"/>
    <w:autoRedefine/>
    <w:qFormat/>
    <w:uiPriority w:val="0"/>
    <w:pPr>
      <w:snapToGrid w:val="0"/>
      <w:spacing w:line="312" w:lineRule="auto"/>
      <w:ind w:firstLine="482"/>
    </w:pPr>
    <w:rPr>
      <w:sz w:val="24"/>
    </w:rPr>
  </w:style>
  <w:style w:type="paragraph" w:customStyle="1" w:styleId="243">
    <w:name w:val="UserStyle_167"/>
    <w:basedOn w:val="1"/>
    <w:autoRedefine/>
    <w:qFormat/>
    <w:uiPriority w:val="0"/>
    <w:pPr>
      <w:pBdr>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44">
    <w:name w:val="UserStyle_168"/>
    <w:basedOn w:val="61"/>
    <w:next w:val="61"/>
    <w:autoRedefine/>
    <w:qFormat/>
    <w:uiPriority w:val="0"/>
    <w:pPr>
      <w:keepNext/>
      <w:keepLines/>
      <w:tabs>
        <w:tab w:val="left" w:pos="2619"/>
      </w:tabs>
      <w:spacing w:before="60" w:line="240" w:lineRule="atLeast"/>
      <w:ind w:right="26" w:rightChars="26"/>
      <w:jc w:val="left"/>
    </w:pPr>
    <w:rPr>
      <w:rFonts w:ascii="Garamond" w:hAnsi="Garamond"/>
      <w:b/>
      <w:kern w:val="20"/>
    </w:rPr>
  </w:style>
  <w:style w:type="paragraph" w:customStyle="1" w:styleId="245">
    <w:name w:val="UserStyle_169"/>
    <w:basedOn w:val="1"/>
    <w:autoRedefine/>
    <w:qFormat/>
    <w:uiPriority w:val="0"/>
    <w:pPr>
      <w:spacing w:after="160" w:line="240" w:lineRule="exact"/>
      <w:jc w:val="left"/>
    </w:pPr>
    <w:rPr>
      <w:rFonts w:ascii="Verdana" w:hAnsi="Verdana" w:eastAsia="仿宋_GB2312"/>
      <w:kern w:val="0"/>
      <w:sz w:val="28"/>
      <w:lang w:eastAsia="en-US"/>
    </w:rPr>
  </w:style>
  <w:style w:type="paragraph" w:customStyle="1" w:styleId="246">
    <w:name w:val="UserStyle_170"/>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247">
    <w:name w:val="UserStyle_171"/>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248">
    <w:name w:val="UserStyle_172"/>
    <w:basedOn w:val="1"/>
    <w:autoRedefine/>
    <w:qFormat/>
    <w:uiPriority w:val="0"/>
    <w:pPr>
      <w:spacing w:after="160" w:line="240" w:lineRule="exact"/>
      <w:jc w:val="left"/>
    </w:pPr>
  </w:style>
  <w:style w:type="paragraph" w:customStyle="1" w:styleId="249">
    <w:name w:val="UserStyle_173"/>
    <w:basedOn w:val="1"/>
    <w:autoRedefine/>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250">
    <w:name w:val="UserStyle_174"/>
    <w:basedOn w:val="1"/>
    <w:autoRedefine/>
    <w:qFormat/>
    <w:uiPriority w:val="0"/>
    <w:pPr>
      <w:spacing w:after="200" w:line="276" w:lineRule="auto"/>
      <w:ind w:left="720"/>
      <w:contextualSpacing/>
      <w:jc w:val="left"/>
    </w:pPr>
    <w:rPr>
      <w:rFonts w:ascii="Calibri" w:hAnsi="Calibri"/>
      <w:kern w:val="0"/>
      <w:sz w:val="22"/>
      <w:szCs w:val="22"/>
    </w:rPr>
  </w:style>
  <w:style w:type="paragraph" w:customStyle="1" w:styleId="251">
    <w:name w:val="UserStyle_175"/>
    <w:basedOn w:val="1"/>
    <w:autoRedefine/>
    <w:qFormat/>
    <w:uiPriority w:val="0"/>
    <w:pPr>
      <w:jc w:val="left"/>
    </w:pPr>
    <w:rPr>
      <w:kern w:val="0"/>
      <w:sz w:val="24"/>
    </w:rPr>
  </w:style>
  <w:style w:type="paragraph" w:customStyle="1" w:styleId="252">
    <w:name w:val="UserStyle_176"/>
    <w:basedOn w:val="1"/>
    <w:autoRedefine/>
    <w:qFormat/>
    <w:uiPriority w:val="0"/>
    <w:pPr>
      <w:snapToGrid w:val="0"/>
      <w:spacing w:line="360" w:lineRule="auto"/>
      <w:ind w:firstLine="480" w:firstLineChars="200"/>
    </w:pPr>
    <w:rPr>
      <w:rFonts w:ascii="宋体" w:hAnsi="宋体"/>
      <w:sz w:val="24"/>
    </w:rPr>
  </w:style>
  <w:style w:type="paragraph" w:customStyle="1" w:styleId="253">
    <w:name w:val="UserStyle_177"/>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color w:val="FF0000"/>
      <w:kern w:val="0"/>
      <w:sz w:val="24"/>
    </w:rPr>
  </w:style>
  <w:style w:type="paragraph" w:customStyle="1" w:styleId="254">
    <w:name w:val="UserStyle_178"/>
    <w:basedOn w:val="1"/>
    <w:autoRedefine/>
    <w:qFormat/>
    <w:uiPriority w:val="0"/>
    <w:pPr>
      <w:tabs>
        <w:tab w:val="left" w:pos="425"/>
        <w:tab w:val="left" w:pos="3969"/>
      </w:tabs>
      <w:spacing w:before="120" w:line="300" w:lineRule="auto"/>
      <w:ind w:left="425" w:hanging="425"/>
      <w:jc w:val="left"/>
    </w:pPr>
    <w:rPr>
      <w:rFonts w:ascii="宋体"/>
      <w:kern w:val="0"/>
      <w:sz w:val="28"/>
    </w:rPr>
  </w:style>
  <w:style w:type="paragraph" w:customStyle="1" w:styleId="255">
    <w:name w:val="UserStyle_179"/>
    <w:basedOn w:val="1"/>
    <w:autoRedefine/>
    <w:qFormat/>
    <w:uiPriority w:val="0"/>
    <w:pPr>
      <w:tabs>
        <w:tab w:val="left" w:pos="3969"/>
      </w:tabs>
      <w:spacing w:before="120" w:line="300" w:lineRule="auto"/>
      <w:ind w:firstLine="567"/>
      <w:jc w:val="left"/>
    </w:pPr>
    <w:rPr>
      <w:kern w:val="0"/>
      <w:position w:val="20"/>
      <w:sz w:val="28"/>
    </w:rPr>
  </w:style>
  <w:style w:type="paragraph" w:customStyle="1" w:styleId="256">
    <w:name w:val="UserStyle_180"/>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57">
    <w:name w:val="UserStyle_181"/>
    <w:basedOn w:val="194"/>
    <w:autoRedefine/>
    <w:qFormat/>
    <w:uiPriority w:val="0"/>
    <w:pPr>
      <w:tabs>
        <w:tab w:val="left" w:pos="360"/>
      </w:tabs>
      <w:ind w:left="360" w:hanging="360"/>
    </w:pPr>
  </w:style>
  <w:style w:type="paragraph" w:customStyle="1" w:styleId="258">
    <w:name w:val="UserStyle_182"/>
    <w:basedOn w:val="1"/>
    <w:autoRedefine/>
    <w:qFormat/>
    <w:uiPriority w:val="0"/>
    <w:pPr>
      <w:spacing w:line="380" w:lineRule="atLeast"/>
    </w:pPr>
    <w:rPr>
      <w:spacing w:val="10"/>
      <w:kern w:val="0"/>
      <w:sz w:val="24"/>
    </w:rPr>
  </w:style>
  <w:style w:type="paragraph" w:customStyle="1" w:styleId="259">
    <w:name w:val="UserStyle_183"/>
    <w:basedOn w:val="1"/>
    <w:next w:val="260"/>
    <w:autoRedefine/>
    <w:qFormat/>
    <w:uiPriority w:val="0"/>
    <w:pPr>
      <w:pBdr>
        <w:top w:val="none" w:color="000000" w:sz="0" w:space="1"/>
        <w:left w:val="none" w:color="000000" w:sz="0" w:space="1"/>
        <w:bottom w:val="none" w:color="000000" w:sz="0" w:space="1"/>
        <w:right w:val="none" w:color="000000" w:sz="0" w:space="1"/>
      </w:pBdr>
      <w:snapToGrid w:val="0"/>
      <w:spacing w:line="360" w:lineRule="auto"/>
    </w:pPr>
    <w:rPr>
      <w:rFonts w:ascii="Arial" w:hAnsi="Arial"/>
      <w:sz w:val="28"/>
    </w:rPr>
  </w:style>
  <w:style w:type="paragraph" w:customStyle="1" w:styleId="260">
    <w:name w:val="UserStyle_184"/>
    <w:basedOn w:val="1"/>
    <w:next w:val="1"/>
    <w:autoRedefine/>
    <w:qFormat/>
    <w:uiPriority w:val="0"/>
    <w:pPr>
      <w:jc w:val="center"/>
    </w:pPr>
  </w:style>
  <w:style w:type="table" w:customStyle="1" w:styleId="261">
    <w:name w:val="UserStyle_185"/>
    <w:autoRedefine/>
    <w:qFormat/>
    <w:uiPriority w:val="0"/>
    <w:tblPr>
      <w:tblCellMar>
        <w:top w:w="0" w:type="dxa"/>
        <w:left w:w="0" w:type="dxa"/>
        <w:bottom w:w="0" w:type="dxa"/>
        <w:right w:w="0" w:type="dxa"/>
      </w:tblCellMar>
    </w:tblPr>
  </w:style>
  <w:style w:type="paragraph" w:customStyle="1" w:styleId="262">
    <w:name w:val="UserStyle_186"/>
    <w:autoRedefine/>
    <w:qFormat/>
    <w:uiPriority w:val="0"/>
    <w:pPr>
      <w:jc w:val="both"/>
      <w:textAlignment w:val="baseline"/>
    </w:pPr>
    <w:rPr>
      <w:rFonts w:ascii="Calibri" w:hAnsi="Calibri" w:eastAsia="宋体" w:cstheme="minorBidi"/>
      <w:kern w:val="2"/>
      <w:sz w:val="21"/>
      <w:lang w:val="en-US" w:eastAsia="zh-CN" w:bidi="ar-SA"/>
    </w:rPr>
  </w:style>
  <w:style w:type="paragraph" w:customStyle="1" w:styleId="263">
    <w:name w:val="UserStyle_187"/>
    <w:basedOn w:val="1"/>
    <w:autoRedefine/>
    <w:qFormat/>
    <w:uiPriority w:val="0"/>
    <w:rPr>
      <w:rFonts w:ascii="宋体" w:hAnsi="宋体"/>
      <w:lang w:val="zh-CN" w:bidi="zh-CN"/>
    </w:rPr>
  </w:style>
  <w:style w:type="character" w:customStyle="1" w:styleId="264">
    <w:name w:val="UserStyle_188"/>
    <w:autoRedefine/>
    <w:qFormat/>
    <w:uiPriority w:val="0"/>
  </w:style>
  <w:style w:type="character" w:customStyle="1" w:styleId="265">
    <w:name w:val="UserStyle_189"/>
    <w:autoRedefine/>
    <w:qFormat/>
    <w:uiPriority w:val="0"/>
  </w:style>
  <w:style w:type="character" w:customStyle="1" w:styleId="266">
    <w:name w:val="UserStyle_190"/>
    <w:autoRedefine/>
    <w:qFormat/>
    <w:uiPriority w:val="0"/>
  </w:style>
  <w:style w:type="character" w:customStyle="1" w:styleId="267">
    <w:name w:val="UserStyle_191"/>
    <w:autoRedefine/>
    <w:qFormat/>
    <w:uiPriority w:val="0"/>
  </w:style>
  <w:style w:type="character" w:customStyle="1" w:styleId="268">
    <w:name w:val="UserStyle_192"/>
    <w:autoRedefine/>
    <w:qFormat/>
    <w:uiPriority w:val="0"/>
  </w:style>
  <w:style w:type="character" w:customStyle="1" w:styleId="269">
    <w:name w:val="UserStyle_193"/>
    <w:autoRedefine/>
    <w:qFormat/>
    <w:uiPriority w:val="0"/>
  </w:style>
  <w:style w:type="character" w:customStyle="1" w:styleId="270">
    <w:name w:val="UserStyle_194"/>
    <w:autoRedefine/>
    <w:qFormat/>
    <w:uiPriority w:val="0"/>
  </w:style>
  <w:style w:type="character" w:customStyle="1" w:styleId="271">
    <w:name w:val="UserStyle_195"/>
    <w:autoRedefine/>
    <w:qFormat/>
    <w:uiPriority w:val="0"/>
  </w:style>
  <w:style w:type="character" w:customStyle="1" w:styleId="272">
    <w:name w:val="UserStyle_196"/>
    <w:autoRedefine/>
    <w:qFormat/>
    <w:uiPriority w:val="0"/>
  </w:style>
  <w:style w:type="character" w:customStyle="1" w:styleId="273">
    <w:name w:val="UserStyle_197"/>
    <w:autoRedefine/>
    <w:qFormat/>
    <w:uiPriority w:val="0"/>
  </w:style>
  <w:style w:type="character" w:customStyle="1" w:styleId="274">
    <w:name w:val="UserStyle_198"/>
    <w:autoRedefine/>
    <w:qFormat/>
    <w:uiPriority w:val="0"/>
  </w:style>
  <w:style w:type="character" w:customStyle="1" w:styleId="275">
    <w:name w:val="UserStyle_199"/>
    <w:autoRedefine/>
    <w:qFormat/>
    <w:uiPriority w:val="0"/>
  </w:style>
  <w:style w:type="character" w:customStyle="1" w:styleId="276">
    <w:name w:val="UserStyle_200"/>
    <w:autoRedefine/>
    <w:qFormat/>
    <w:uiPriority w:val="0"/>
  </w:style>
  <w:style w:type="character" w:customStyle="1" w:styleId="277">
    <w:name w:val="UserStyle_201"/>
    <w:autoRedefine/>
    <w:qFormat/>
    <w:uiPriority w:val="0"/>
    <w:rPr>
      <w:shd w:val="clear" w:color="auto" w:fill="50A6F9"/>
    </w:rPr>
  </w:style>
  <w:style w:type="character" w:customStyle="1" w:styleId="278">
    <w:name w:val="UserStyle_202"/>
    <w:autoRedefine/>
    <w:qFormat/>
    <w:uiPriority w:val="0"/>
  </w:style>
  <w:style w:type="character" w:customStyle="1" w:styleId="279">
    <w:name w:val="UserStyle_203"/>
    <w:autoRedefine/>
    <w:qFormat/>
    <w:uiPriority w:val="0"/>
    <w:rPr>
      <w:bdr w:val="single" w:color="000000" w:sz="204" w:space="0"/>
    </w:rPr>
  </w:style>
  <w:style w:type="character" w:customStyle="1" w:styleId="280">
    <w:name w:val="UserStyle_204"/>
    <w:autoRedefine/>
    <w:qFormat/>
    <w:uiPriority w:val="0"/>
    <w:rPr>
      <w:sz w:val="16"/>
      <w:szCs w:val="0"/>
    </w:rPr>
  </w:style>
  <w:style w:type="character" w:customStyle="1" w:styleId="281">
    <w:name w:val="UserStyle_205"/>
    <w:autoRedefine/>
    <w:qFormat/>
    <w:uiPriority w:val="0"/>
    <w:rPr>
      <w:color w:val="00FF00"/>
      <w:shd w:val="clear" w:color="auto" w:fill="111111"/>
    </w:rPr>
  </w:style>
  <w:style w:type="character" w:customStyle="1" w:styleId="282">
    <w:name w:val="UserStyle_206"/>
    <w:autoRedefine/>
    <w:qFormat/>
    <w:uiPriority w:val="0"/>
  </w:style>
  <w:style w:type="character" w:customStyle="1" w:styleId="283">
    <w:name w:val="UserStyle_207"/>
    <w:autoRedefine/>
    <w:qFormat/>
    <w:uiPriority w:val="0"/>
  </w:style>
  <w:style w:type="character" w:customStyle="1" w:styleId="284">
    <w:name w:val="UserStyle_208"/>
    <w:autoRedefine/>
    <w:qFormat/>
    <w:uiPriority w:val="0"/>
  </w:style>
  <w:style w:type="character" w:customStyle="1" w:styleId="285">
    <w:name w:val="UserStyle_209"/>
    <w:autoRedefine/>
    <w:qFormat/>
    <w:uiPriority w:val="0"/>
    <w:rPr>
      <w:color w:val="1F85EC"/>
    </w:rPr>
  </w:style>
  <w:style w:type="character" w:customStyle="1" w:styleId="286">
    <w:name w:val="UserStyle_210"/>
    <w:autoRedefine/>
    <w:qFormat/>
    <w:uiPriority w:val="0"/>
    <w:rPr>
      <w:color w:val="1F85EC"/>
    </w:rPr>
  </w:style>
  <w:style w:type="character" w:customStyle="1" w:styleId="287">
    <w:name w:val="UserStyle_211"/>
    <w:autoRedefine/>
    <w:qFormat/>
    <w:uiPriority w:val="0"/>
    <w:rPr>
      <w:color w:val="FF5E5E"/>
    </w:rPr>
  </w:style>
  <w:style w:type="character" w:customStyle="1" w:styleId="288">
    <w:name w:val="UserStyle_212"/>
    <w:autoRedefine/>
    <w:qFormat/>
    <w:uiPriority w:val="0"/>
  </w:style>
  <w:style w:type="character" w:customStyle="1" w:styleId="289">
    <w:name w:val="UserStyle_213"/>
    <w:autoRedefine/>
    <w:qFormat/>
    <w:uiPriority w:val="0"/>
    <w:rPr>
      <w:color w:val="00FF00"/>
      <w:shd w:val="clear" w:color="auto" w:fill="111111"/>
    </w:rPr>
  </w:style>
  <w:style w:type="paragraph" w:customStyle="1" w:styleId="290">
    <w:name w:val="UserStyle_214"/>
    <w:basedOn w:val="1"/>
    <w:autoRedefine/>
    <w:qFormat/>
    <w:uiPriority w:val="0"/>
    <w:pPr>
      <w:ind w:firstLine="200" w:firstLineChars="200"/>
    </w:pPr>
  </w:style>
  <w:style w:type="character" w:customStyle="1" w:styleId="291">
    <w:name w:val="标题 1 Char"/>
    <w:link w:val="3"/>
    <w:autoRedefine/>
    <w:qFormat/>
    <w:uiPriority w:val="0"/>
    <w:rPr>
      <w:rFonts w:ascii="Times New Roman" w:hAnsi="Times New Roman"/>
      <w:kern w:val="44"/>
      <w:sz w:val="36"/>
    </w:rPr>
  </w:style>
  <w:style w:type="paragraph" w:customStyle="1" w:styleId="292">
    <w:name w:val="Body text|1"/>
    <w:basedOn w:val="1"/>
    <w:autoRedefine/>
    <w:qFormat/>
    <w:uiPriority w:val="0"/>
    <w:pPr>
      <w:widowControl w:val="0"/>
      <w:spacing w:line="314" w:lineRule="auto"/>
      <w:ind w:firstLine="270"/>
    </w:pPr>
    <w:rPr>
      <w:rFonts w:ascii="宋体" w:hAnsi="宋体" w:cs="宋体"/>
      <w:sz w:val="26"/>
      <w:szCs w:val="26"/>
      <w:lang w:val="zh-TW" w:eastAsia="zh-TW" w:bidi="zh-TW"/>
    </w:rPr>
  </w:style>
  <w:style w:type="paragraph" w:customStyle="1" w:styleId="293">
    <w:name w:val="Body text|2"/>
    <w:basedOn w:val="1"/>
    <w:autoRedefine/>
    <w:qFormat/>
    <w:uiPriority w:val="0"/>
    <w:pPr>
      <w:widowControl w:val="0"/>
      <w:spacing w:after="100" w:line="384" w:lineRule="exact"/>
      <w:ind w:left="1120"/>
    </w:pPr>
    <w:rPr>
      <w:sz w:val="26"/>
      <w:szCs w:val="26"/>
    </w:rPr>
  </w:style>
  <w:style w:type="paragraph" w:customStyle="1" w:styleId="294">
    <w:name w:val="Picture caption|1"/>
    <w:basedOn w:val="1"/>
    <w:autoRedefine/>
    <w:qFormat/>
    <w:uiPriority w:val="0"/>
    <w:pPr>
      <w:widowControl w:val="0"/>
    </w:pPr>
    <w:rPr>
      <w:rFonts w:ascii="宋体" w:hAnsi="宋体" w:cs="宋体"/>
      <w:color w:val="CF4944"/>
      <w:sz w:val="28"/>
      <w:szCs w:val="28"/>
      <w:lang w:val="zh-TW" w:eastAsia="zh-TW" w:bidi="zh-TW"/>
    </w:rPr>
  </w:style>
  <w:style w:type="paragraph" w:customStyle="1" w:styleId="295">
    <w:name w:val="Heading #2|1"/>
    <w:basedOn w:val="1"/>
    <w:autoRedefine/>
    <w:qFormat/>
    <w:uiPriority w:val="0"/>
    <w:pPr>
      <w:widowControl w:val="0"/>
      <w:spacing w:after="530"/>
      <w:ind w:left="1580"/>
      <w:outlineLvl w:val="1"/>
    </w:pPr>
    <w:rPr>
      <w:rFonts w:ascii="宋体" w:hAnsi="宋体" w:cs="宋体"/>
      <w:sz w:val="30"/>
      <w:szCs w:val="30"/>
      <w:lang w:val="zh-TW" w:eastAsia="zh-TW" w:bidi="zh-TW"/>
    </w:rPr>
  </w:style>
  <w:style w:type="paragraph" w:customStyle="1" w:styleId="296">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297">
    <w:name w:val="标书正文"/>
    <w:next w:val="1"/>
    <w:autoRedefine/>
    <w:qFormat/>
    <w:uiPriority w:val="0"/>
    <w:pPr>
      <w:spacing w:line="360" w:lineRule="auto"/>
      <w:ind w:firstLine="881" w:firstLineChars="200"/>
    </w:pPr>
    <w:rPr>
      <w:rFonts w:ascii="Times New Roman" w:hAnsi="Times New Roman" w:eastAsia="华文仿宋" w:cs="Times New Roman"/>
      <w:sz w:val="28"/>
      <w:szCs w:val="22"/>
      <w:lang w:val="en-US" w:eastAsia="zh-CN" w:bidi="ar-SA"/>
    </w:rPr>
  </w:style>
  <w:style w:type="paragraph" w:customStyle="1" w:styleId="298">
    <w:name w:val="样式 首行缩进:  2 字符"/>
    <w:basedOn w:val="1"/>
    <w:autoRedefine/>
    <w:qFormat/>
    <w:uiPriority w:val="0"/>
    <w:pPr>
      <w:spacing w:line="400" w:lineRule="exact"/>
      <w:ind w:firstLine="200" w:firstLineChars="200"/>
    </w:pPr>
    <w:rPr>
      <w:rFonts w:cs="宋体"/>
      <w:sz w:val="24"/>
    </w:rPr>
  </w:style>
  <w:style w:type="paragraph" w:styleId="299">
    <w:name w:val="List Paragraph"/>
    <w:basedOn w:val="1"/>
    <w:autoRedefine/>
    <w:qFormat/>
    <w:uiPriority w:val="99"/>
    <w:pPr>
      <w:ind w:firstLine="420" w:firstLineChars="200"/>
    </w:pPr>
  </w:style>
  <w:style w:type="character" w:customStyle="1" w:styleId="300">
    <w:name w:val="font81"/>
    <w:basedOn w:val="27"/>
    <w:autoRedefine/>
    <w:qFormat/>
    <w:uiPriority w:val="0"/>
    <w:rPr>
      <w:rFonts w:hint="eastAsia" w:ascii="宋体" w:hAnsi="宋体" w:eastAsia="宋体" w:cs="宋体"/>
      <w:color w:val="000000"/>
      <w:sz w:val="24"/>
      <w:szCs w:val="24"/>
      <w:u w:val="none"/>
    </w:rPr>
  </w:style>
  <w:style w:type="character" w:customStyle="1" w:styleId="301">
    <w:name w:val="font31"/>
    <w:basedOn w:val="27"/>
    <w:autoRedefine/>
    <w:qFormat/>
    <w:uiPriority w:val="0"/>
    <w:rPr>
      <w:rFonts w:hint="eastAsia" w:ascii="宋体" w:hAnsi="宋体" w:eastAsia="宋体" w:cs="宋体"/>
      <w:color w:val="000000"/>
      <w:sz w:val="20"/>
      <w:szCs w:val="20"/>
      <w:u w:val="none"/>
    </w:rPr>
  </w:style>
  <w:style w:type="paragraph" w:customStyle="1" w:styleId="302">
    <w:name w:val="TOC 标题1"/>
    <w:basedOn w:val="3"/>
    <w:next w:val="1"/>
    <w:autoRedefine/>
    <w:qFormat/>
    <w:uiPriority w:val="99"/>
    <w:pPr>
      <w:spacing w:line="578" w:lineRule="auto"/>
      <w:outlineLvl w:val="9"/>
    </w:pPr>
    <w:rPr>
      <w:rFonts w:ascii="Calibri" w:hAnsi="Calibri"/>
      <w:b/>
      <w:bCs/>
      <w:sz w:val="44"/>
      <w:szCs w:val="44"/>
    </w:rPr>
  </w:style>
  <w:style w:type="paragraph" w:customStyle="1" w:styleId="303">
    <w:name w:val="Normal Indent1"/>
    <w:basedOn w:val="1"/>
    <w:autoRedefine/>
    <w:qFormat/>
    <w:uiPriority w:val="0"/>
    <w:pPr>
      <w:ind w:firstLine="200" w:firstLineChars="200"/>
    </w:pPr>
    <w:rPr>
      <w:rFonts w:eastAsia="楷体_GB2312"/>
    </w:rPr>
  </w:style>
  <w:style w:type="table" w:customStyle="1" w:styleId="304">
    <w:name w:val="Table Normal"/>
    <w:autoRedefine/>
    <w:semiHidden/>
    <w:unhideWhenUsed/>
    <w:qFormat/>
    <w:uiPriority w:val="2"/>
    <w:tblPr>
      <w:tblCellMar>
        <w:top w:w="0" w:type="dxa"/>
        <w:left w:w="0" w:type="dxa"/>
        <w:bottom w:w="0" w:type="dxa"/>
        <w:right w:w="0" w:type="dxa"/>
      </w:tblCellMar>
    </w:tblPr>
  </w:style>
  <w:style w:type="paragraph" w:customStyle="1" w:styleId="30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6">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307">
    <w:name w:val="fontstyle01"/>
    <w:qFormat/>
    <w:uiPriority w:val="0"/>
    <w:rPr>
      <w:rFonts w:hint="eastAsia" w:ascii="宋体" w:hAnsi="宋体" w:eastAsia="宋体"/>
      <w:color w:val="000000"/>
      <w:sz w:val="24"/>
      <w:szCs w:val="24"/>
    </w:rPr>
  </w:style>
  <w:style w:type="paragraph" w:customStyle="1" w:styleId="308">
    <w:name w:val="WPSOffice手动目录 1"/>
    <w:qFormat/>
    <w:uiPriority w:val="0"/>
    <w:rPr>
      <w:rFonts w:ascii="Times New Roman" w:hAnsi="Times New Roman" w:eastAsia="宋体" w:cs="Times New Roman"/>
      <w:lang w:val="en-US" w:eastAsia="zh-CN" w:bidi="ar-SA"/>
    </w:rPr>
  </w:style>
  <w:style w:type="character" w:customStyle="1" w:styleId="309">
    <w:name w:val="批注框文本 Char"/>
    <w:basedOn w:val="27"/>
    <w:link w:val="15"/>
    <w:qFormat/>
    <w:uiPriority w:val="0"/>
    <w:rPr>
      <w:rFonts w:cstheme="minorBidi"/>
      <w:kern w:val="2"/>
      <w:sz w:val="18"/>
      <w:szCs w:val="18"/>
    </w:rPr>
  </w:style>
  <w:style w:type="character" w:customStyle="1" w:styleId="310">
    <w:name w:val="批注文字 Char"/>
    <w:basedOn w:val="27"/>
    <w:link w:val="8"/>
    <w:qFormat/>
    <w:uiPriority w:val="0"/>
    <w:rPr>
      <w:rFonts w:cstheme="minorBidi"/>
      <w:kern w:val="2"/>
      <w:sz w:val="21"/>
    </w:rPr>
  </w:style>
  <w:style w:type="character" w:customStyle="1" w:styleId="311">
    <w:name w:val="批注主题 Char"/>
    <w:basedOn w:val="310"/>
    <w:link w:val="22"/>
    <w:qFormat/>
    <w:uiPriority w:val="0"/>
    <w:rPr>
      <w:rFonts w:cstheme="minorBidi"/>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0" Type="http://schemas.openxmlformats.org/officeDocument/2006/relationships/fontTable" Target="fontTable.xml"/><Relationship Id="rId5" Type="http://schemas.openxmlformats.org/officeDocument/2006/relationships/footer" Target="foot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3.jpeg"/><Relationship Id="rId46" Type="http://schemas.openxmlformats.org/officeDocument/2006/relationships/image" Target="media/image22.jpeg"/><Relationship Id="rId45" Type="http://schemas.openxmlformats.org/officeDocument/2006/relationships/image" Target="media/image21.jpeg"/><Relationship Id="rId44" Type="http://schemas.openxmlformats.org/officeDocument/2006/relationships/image" Target="media/image20.jpeg"/><Relationship Id="rId43" Type="http://schemas.openxmlformats.org/officeDocument/2006/relationships/image" Target="media/image19.jpeg"/><Relationship Id="rId42" Type="http://schemas.openxmlformats.org/officeDocument/2006/relationships/image" Target="media/image18.jpeg"/><Relationship Id="rId41" Type="http://schemas.openxmlformats.org/officeDocument/2006/relationships/image" Target="media/image17.jpeg"/><Relationship Id="rId40" Type="http://schemas.openxmlformats.org/officeDocument/2006/relationships/image" Target="media/image16.jpeg"/><Relationship Id="rId4" Type="http://schemas.openxmlformats.org/officeDocument/2006/relationships/footer" Target="footer2.xml"/><Relationship Id="rId39" Type="http://schemas.openxmlformats.org/officeDocument/2006/relationships/image" Target="media/image15.jpeg"/><Relationship Id="rId38" Type="http://schemas.openxmlformats.org/officeDocument/2006/relationships/image" Target="media/image14.jpeg"/><Relationship Id="rId37" Type="http://schemas.openxmlformats.org/officeDocument/2006/relationships/image" Target="media/image13.jpeg"/><Relationship Id="rId36" Type="http://schemas.openxmlformats.org/officeDocument/2006/relationships/image" Target="media/image12.jpeg"/><Relationship Id="rId35" Type="http://schemas.openxmlformats.org/officeDocument/2006/relationships/image" Target="media/image11.jpeg"/><Relationship Id="rId34" Type="http://schemas.openxmlformats.org/officeDocument/2006/relationships/image" Target="media/image10.jpeg"/><Relationship Id="rId33" Type="http://schemas.openxmlformats.org/officeDocument/2006/relationships/image" Target="media/image9.jpeg"/><Relationship Id="rId32" Type="http://schemas.openxmlformats.org/officeDocument/2006/relationships/image" Target="media/image8.jpeg"/><Relationship Id="rId31" Type="http://schemas.openxmlformats.org/officeDocument/2006/relationships/image" Target="media/image7.jpeg"/><Relationship Id="rId30" Type="http://schemas.openxmlformats.org/officeDocument/2006/relationships/image" Target="media/image6.jpeg"/><Relationship Id="rId3" Type="http://schemas.openxmlformats.org/officeDocument/2006/relationships/footer" Target="footer1.xml"/><Relationship Id="rId29" Type="http://schemas.openxmlformats.org/officeDocument/2006/relationships/image" Target="media/image5.wmf"/><Relationship Id="rId28" Type="http://schemas.openxmlformats.org/officeDocument/2006/relationships/oleObject" Target="embeddings/oleObject5.bin"/><Relationship Id="rId27" Type="http://schemas.openxmlformats.org/officeDocument/2006/relationships/image" Target="media/image4.wmf"/><Relationship Id="rId26" Type="http://schemas.openxmlformats.org/officeDocument/2006/relationships/oleObject" Target="embeddings/oleObject4.bin"/><Relationship Id="rId25" Type="http://schemas.openxmlformats.org/officeDocument/2006/relationships/image" Target="media/image3.wmf"/><Relationship Id="rId24" Type="http://schemas.openxmlformats.org/officeDocument/2006/relationships/oleObject" Target="embeddings/oleObject3.bin"/><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header" Target="header2.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127</Pages>
  <Words>1645</Words>
  <Characters>1957</Characters>
  <Lines>102</Lines>
  <Paragraphs>181</Paragraphs>
  <TotalTime>40</TotalTime>
  <ScaleCrop>false</ScaleCrop>
  <LinksUpToDate>false</LinksUpToDate>
  <CharactersWithSpaces>2039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2022-07-26T03:20:00Z</dcterms:created>
  <dc:creator>Administrator</dc:creator>
  <cp:lastModifiedBy>郑蕊</cp:lastModifiedBy>
  <cp:lastPrinted>2025-03-03T02:56:00Z</cp:lastPrinted>
  <dcterms:modified xsi:type="dcterms:W3CDTF">2025-03-25T07:36:51Z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49DEDE8D43B74C12AF8FAEFE4BFA2C86_13</vt:lpwstr>
  </property>
  <property fmtid="{D5CDD505-2E9C-101B-9397-08002B2CF9AE}" pid="4" name="KSOTemplateDocerSaveRecord">
    <vt:lpwstr>eyJoZGlkIjoiYmM5YzcwZjkzNjYxN2RmYzU0NzcwNjY1NThlMWVhN2IifQ==</vt:lpwstr>
  </property>
</Properties>
</file>