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EF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ab/>
      </w:r>
      <w:r>
        <w:rPr>
          <w:rFonts w:hint="eastAsia" w:ascii="宋体" w:hAnsi="宋体" w:eastAsia="宋体" w:cs="宋体"/>
          <w:color w:val="auto"/>
          <w:sz w:val="44"/>
          <w:szCs w:val="44"/>
          <w:highlight w:val="none"/>
          <w:lang w:val="zh-CN"/>
        </w:rPr>
        <w:tab/>
      </w:r>
    </w:p>
    <w:p w14:paraId="46F21A9B">
      <w:pPr>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sz w:val="36"/>
          <w:szCs w:val="36"/>
        </w:rPr>
        <w:t>延安市宝塔区第五中学2025年度食堂食材采购及营养改善计划采购项目</w:t>
      </w:r>
    </w:p>
    <w:p w14:paraId="79385584">
      <w:pPr>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lang w:val="en-US" w:eastAsia="zh-CN"/>
        </w:rPr>
        <w:t xml:space="preserve">招 标 </w:t>
      </w:r>
      <w:r>
        <w:rPr>
          <w:rFonts w:hint="eastAsia" w:ascii="宋体" w:hAnsi="宋体" w:eastAsia="宋体" w:cs="宋体"/>
          <w:b/>
          <w:color w:val="auto"/>
          <w:kern w:val="0"/>
          <w:sz w:val="44"/>
          <w:szCs w:val="44"/>
          <w:highlight w:val="none"/>
        </w:rPr>
        <w:t>文</w:t>
      </w:r>
      <w:r>
        <w:rPr>
          <w:rFonts w:hint="eastAsia" w:ascii="宋体" w:hAnsi="宋体" w:eastAsia="宋体" w:cs="宋体"/>
          <w:b/>
          <w:color w:val="auto"/>
          <w:kern w:val="0"/>
          <w:sz w:val="44"/>
          <w:szCs w:val="44"/>
          <w:highlight w:val="none"/>
          <w:lang w:val="en-US" w:eastAsia="zh-CN"/>
        </w:rPr>
        <w:t xml:space="preserve"> </w:t>
      </w:r>
      <w:r>
        <w:rPr>
          <w:rFonts w:hint="eastAsia" w:ascii="宋体" w:hAnsi="宋体" w:eastAsia="宋体" w:cs="宋体"/>
          <w:b/>
          <w:color w:val="auto"/>
          <w:kern w:val="0"/>
          <w:sz w:val="44"/>
          <w:szCs w:val="44"/>
          <w:highlight w:val="none"/>
        </w:rPr>
        <w:t>件</w:t>
      </w:r>
    </w:p>
    <w:p w14:paraId="4864FDF1">
      <w:pPr>
        <w:jc w:val="center"/>
        <w:rPr>
          <w:rFonts w:hint="eastAsia" w:ascii="宋体" w:hAnsi="宋体" w:eastAsia="宋体" w:cs="宋体"/>
          <w:color w:val="auto"/>
          <w:kern w:val="0"/>
          <w:szCs w:val="28"/>
          <w:highlight w:val="none"/>
        </w:rPr>
      </w:pPr>
    </w:p>
    <w:p w14:paraId="4A575644">
      <w:pPr>
        <w:widowControl/>
        <w:spacing w:line="480" w:lineRule="exact"/>
        <w:ind w:firstLine="2811" w:firstLineChars="1000"/>
        <w:rPr>
          <w:rFonts w:hint="default" w:ascii="宋体" w:hAnsi="宋体" w:eastAsia="宋体" w:cs="宋体"/>
          <w:b/>
          <w:bCs/>
          <w:color w:val="auto"/>
          <w:sz w:val="28"/>
          <w:szCs w:val="28"/>
          <w:highlight w:val="none"/>
          <w:lang w:val="en-US" w:eastAsia="zh-CN"/>
        </w:rPr>
      </w:pPr>
      <w:bookmarkStart w:id="0" w:name="_Toc12132"/>
      <w:bookmarkStart w:id="1" w:name="_Toc26828"/>
      <w:r>
        <w:rPr>
          <w:rFonts w:hint="eastAsia" w:ascii="宋体" w:hAnsi="宋体" w:eastAsia="宋体" w:cs="宋体"/>
          <w:b/>
          <w:bCs/>
          <w:color w:val="auto"/>
          <w:kern w:val="0"/>
          <w:sz w:val="28"/>
          <w:szCs w:val="28"/>
          <w:highlight w:val="none"/>
        </w:rPr>
        <w:t>项目编号：</w:t>
      </w:r>
      <w:bookmarkEnd w:id="0"/>
      <w:bookmarkEnd w:id="1"/>
      <w:r>
        <w:rPr>
          <w:rFonts w:hint="eastAsia" w:ascii="宋体" w:hAnsi="宋体" w:eastAsia="宋体" w:cs="宋体"/>
          <w:b/>
          <w:bCs/>
          <w:color w:val="auto"/>
          <w:kern w:val="0"/>
          <w:sz w:val="28"/>
          <w:szCs w:val="28"/>
          <w:highlight w:val="none"/>
        </w:rPr>
        <w:t>HDCGDL-ZC2025-</w:t>
      </w:r>
      <w:r>
        <w:rPr>
          <w:rFonts w:hint="eastAsia" w:ascii="宋体" w:hAnsi="宋体" w:cs="宋体"/>
          <w:b/>
          <w:bCs/>
          <w:color w:val="auto"/>
          <w:kern w:val="0"/>
          <w:sz w:val="28"/>
          <w:szCs w:val="28"/>
          <w:highlight w:val="none"/>
          <w:lang w:val="en-US" w:eastAsia="zh-CN"/>
        </w:rPr>
        <w:t>010</w:t>
      </w:r>
    </w:p>
    <w:p w14:paraId="4392F707">
      <w:pPr>
        <w:spacing w:line="460" w:lineRule="exact"/>
        <w:jc w:val="center"/>
        <w:rPr>
          <w:rFonts w:hint="eastAsia" w:ascii="宋体" w:hAnsi="宋体" w:eastAsia="宋体" w:cs="宋体"/>
          <w:b/>
          <w:bCs/>
          <w:color w:val="auto"/>
          <w:sz w:val="28"/>
          <w:szCs w:val="28"/>
          <w:highlight w:val="none"/>
        </w:rPr>
      </w:pPr>
    </w:p>
    <w:p w14:paraId="4CC61110">
      <w:pPr>
        <w:spacing w:line="460" w:lineRule="exact"/>
        <w:jc w:val="center"/>
        <w:rPr>
          <w:rFonts w:hint="eastAsia" w:ascii="宋体" w:hAnsi="宋体" w:eastAsia="宋体" w:cs="宋体"/>
          <w:b/>
          <w:bCs/>
          <w:color w:val="auto"/>
          <w:sz w:val="28"/>
          <w:szCs w:val="28"/>
          <w:highlight w:val="none"/>
        </w:rPr>
      </w:pPr>
    </w:p>
    <w:p w14:paraId="7CFB380E">
      <w:pPr>
        <w:spacing w:line="460" w:lineRule="exact"/>
        <w:jc w:val="center"/>
        <w:rPr>
          <w:rFonts w:hint="eastAsia" w:ascii="宋体" w:hAnsi="宋体" w:eastAsia="宋体" w:cs="宋体"/>
          <w:b/>
          <w:bCs/>
          <w:color w:val="auto"/>
          <w:sz w:val="28"/>
          <w:szCs w:val="28"/>
          <w:highlight w:val="none"/>
        </w:rPr>
      </w:pPr>
    </w:p>
    <w:p w14:paraId="061E4AD8">
      <w:pPr>
        <w:spacing w:line="460" w:lineRule="exact"/>
        <w:jc w:val="center"/>
        <w:rPr>
          <w:rFonts w:hint="eastAsia" w:ascii="宋体" w:hAnsi="宋体" w:eastAsia="宋体" w:cs="宋体"/>
          <w:color w:val="auto"/>
          <w:sz w:val="24"/>
          <w:szCs w:val="24"/>
          <w:highlight w:val="none"/>
        </w:rPr>
      </w:pPr>
    </w:p>
    <w:p w14:paraId="3C6A4EEB">
      <w:pPr>
        <w:spacing w:line="460" w:lineRule="exact"/>
        <w:jc w:val="center"/>
        <w:rPr>
          <w:rFonts w:hint="eastAsia" w:ascii="宋体" w:hAnsi="宋体" w:eastAsia="宋体" w:cs="宋体"/>
          <w:color w:val="auto"/>
          <w:sz w:val="24"/>
          <w:szCs w:val="24"/>
          <w:highlight w:val="none"/>
        </w:rPr>
      </w:pPr>
    </w:p>
    <w:p w14:paraId="52C0C603">
      <w:pPr>
        <w:spacing w:line="480" w:lineRule="auto"/>
        <w:jc w:val="center"/>
        <w:rPr>
          <w:rFonts w:hint="eastAsia" w:ascii="宋体" w:hAnsi="宋体" w:eastAsia="宋体" w:cs="宋体"/>
          <w:color w:val="auto"/>
          <w:sz w:val="24"/>
          <w:szCs w:val="24"/>
          <w:highlight w:val="none"/>
        </w:rPr>
      </w:pPr>
    </w:p>
    <w:p w14:paraId="73E957B3">
      <w:pPr>
        <w:spacing w:line="460" w:lineRule="exact"/>
        <w:jc w:val="center"/>
        <w:rPr>
          <w:rFonts w:hint="eastAsia" w:ascii="宋体" w:hAnsi="宋体" w:eastAsia="宋体" w:cs="宋体"/>
          <w:color w:val="auto"/>
          <w:sz w:val="24"/>
          <w:szCs w:val="24"/>
          <w:highlight w:val="none"/>
        </w:rPr>
      </w:pPr>
    </w:p>
    <w:p w14:paraId="03BF3CA1">
      <w:pPr>
        <w:spacing w:line="460" w:lineRule="exact"/>
        <w:jc w:val="center"/>
        <w:rPr>
          <w:rFonts w:hint="eastAsia" w:ascii="宋体" w:hAnsi="宋体" w:eastAsia="宋体" w:cs="宋体"/>
          <w:color w:val="auto"/>
          <w:sz w:val="24"/>
          <w:szCs w:val="24"/>
          <w:highlight w:val="none"/>
        </w:rPr>
      </w:pPr>
    </w:p>
    <w:p w14:paraId="687C3C6C">
      <w:pPr>
        <w:pStyle w:val="15"/>
        <w:rPr>
          <w:rFonts w:hint="eastAsia"/>
        </w:rPr>
      </w:pPr>
    </w:p>
    <w:p w14:paraId="5839A6C2">
      <w:pPr>
        <w:spacing w:line="460" w:lineRule="exact"/>
        <w:jc w:val="center"/>
        <w:rPr>
          <w:rFonts w:hint="eastAsia" w:ascii="宋体" w:hAnsi="宋体" w:eastAsia="宋体" w:cs="宋体"/>
          <w:color w:val="auto"/>
          <w:sz w:val="24"/>
          <w:szCs w:val="24"/>
          <w:highlight w:val="none"/>
        </w:rPr>
      </w:pPr>
    </w:p>
    <w:p w14:paraId="72ED38B5">
      <w:pPr>
        <w:rPr>
          <w:rFonts w:hint="eastAsia" w:ascii="宋体" w:hAnsi="宋体" w:eastAsia="宋体" w:cs="宋体"/>
          <w:color w:val="auto"/>
          <w:highlight w:val="none"/>
        </w:rPr>
      </w:pPr>
    </w:p>
    <w:p w14:paraId="0C31B3A6">
      <w:pPr>
        <w:spacing w:line="720" w:lineRule="auto"/>
        <w:ind w:firstLine="1301" w:firstLineChars="405"/>
        <w:jc w:val="both"/>
        <w:rPr>
          <w:rFonts w:hint="eastAsia" w:ascii="宋体" w:hAnsi="宋体" w:eastAsia="宋体" w:cs="宋体"/>
          <w:b/>
          <w:sz w:val="36"/>
          <w:szCs w:val="36"/>
        </w:rPr>
      </w:pPr>
      <w:bookmarkStart w:id="2" w:name="_Toc6786"/>
      <w:bookmarkStart w:id="3" w:name="_Toc11403"/>
      <w:r>
        <w:rPr>
          <w:rFonts w:hint="eastAsia" w:ascii="宋体" w:hAnsi="宋体" w:eastAsia="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w:t>
      </w:r>
      <w:bookmarkEnd w:id="2"/>
      <w:bookmarkEnd w:id="3"/>
      <w:r>
        <w:rPr>
          <w:rFonts w:hint="eastAsia" w:ascii="宋体" w:hAnsi="宋体" w:cs="宋体"/>
          <w:b/>
          <w:bCs/>
          <w:color w:val="auto"/>
          <w:kern w:val="0"/>
          <w:sz w:val="32"/>
          <w:szCs w:val="32"/>
          <w:highlight w:val="none"/>
          <w:lang w:eastAsia="zh-CN"/>
        </w:rPr>
        <w:t>延安市宝塔区第五中学</w:t>
      </w:r>
    </w:p>
    <w:p w14:paraId="759419AE">
      <w:pPr>
        <w:spacing w:line="720" w:lineRule="auto"/>
        <w:ind w:firstLine="1301" w:firstLineChars="405"/>
        <w:jc w:val="both"/>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采购代理机构：</w:t>
      </w:r>
      <w:r>
        <w:rPr>
          <w:rFonts w:hint="eastAsia" w:ascii="宋体" w:hAnsi="宋体" w:cs="宋体"/>
          <w:b/>
          <w:bCs/>
          <w:color w:val="auto"/>
          <w:kern w:val="0"/>
          <w:sz w:val="32"/>
          <w:szCs w:val="32"/>
          <w:highlight w:val="none"/>
          <w:lang w:eastAsia="zh-CN"/>
        </w:rPr>
        <w:t>华鼎工程咨询集团有限公司</w:t>
      </w:r>
    </w:p>
    <w:p w14:paraId="5477A636">
      <w:pPr>
        <w:spacing w:line="720" w:lineRule="auto"/>
        <w:ind w:firstLine="642"/>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二〇二</w:t>
      </w:r>
      <w:r>
        <w:rPr>
          <w:rFonts w:hint="eastAsia" w:ascii="宋体" w:hAnsi="宋体" w:cs="宋体"/>
          <w:b/>
          <w:bCs/>
          <w:color w:val="auto"/>
          <w:kern w:val="0"/>
          <w:sz w:val="32"/>
          <w:szCs w:val="32"/>
          <w:highlight w:val="none"/>
          <w:lang w:val="en-US" w:eastAsia="zh-CN"/>
        </w:rPr>
        <w:t>五</w:t>
      </w:r>
      <w:r>
        <w:rPr>
          <w:rFonts w:hint="eastAsia" w:ascii="宋体" w:hAnsi="宋体" w:eastAsia="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rPr>
        <w:t>月</w:t>
      </w:r>
    </w:p>
    <w:p w14:paraId="1017CBBC">
      <w:pPr>
        <w:pStyle w:val="39"/>
        <w:pageBreakBefore w:val="0"/>
        <w:tabs>
          <w:tab w:val="left" w:pos="3688"/>
          <w:tab w:val="center" w:pos="4932"/>
        </w:tabs>
        <w:bidi w:val="0"/>
        <w:spacing w:line="460" w:lineRule="exact"/>
        <w:jc w:val="center"/>
        <w:outlineLvl w:val="9"/>
        <w:rPr>
          <w:rFonts w:hint="eastAsia" w:ascii="宋体" w:hAnsi="宋体" w:eastAsia="宋体" w:cs="宋体"/>
          <w:color w:val="auto"/>
          <w:sz w:val="48"/>
          <w:szCs w:val="48"/>
          <w:highlight w:val="none"/>
          <w:lang w:val="zh-CN"/>
        </w:rPr>
        <w:sectPr>
          <w:footerReference r:id="rId3" w:type="first"/>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18C28940">
      <w:pPr>
        <w:pageBreakBefore w:val="0"/>
        <w:bidi w:val="0"/>
        <w:outlineLvl w:val="9"/>
        <w:rPr>
          <w:rFonts w:hint="eastAsia" w:ascii="宋体" w:hAnsi="宋体" w:eastAsia="宋体" w:cs="宋体"/>
          <w:color w:val="auto"/>
          <w:highlight w:val="none"/>
        </w:rPr>
      </w:pPr>
    </w:p>
    <w:sdt>
      <w:sdtPr>
        <w:rPr>
          <w:rFonts w:ascii="宋体" w:hAnsi="宋体" w:eastAsia="宋体" w:cs="宋体"/>
          <w:kern w:val="2"/>
          <w:sz w:val="21"/>
          <w:szCs w:val="22"/>
          <w:lang w:val="en-US" w:eastAsia="zh-CN" w:bidi="ar-SA"/>
        </w:rPr>
        <w:id w:val="147458755"/>
        <w15:color w:val="DBDBDB"/>
        <w:docPartObj>
          <w:docPartGallery w:val="Table of Contents"/>
          <w:docPartUnique/>
        </w:docPartObj>
      </w:sdtPr>
      <w:sdtEndPr>
        <w:rPr>
          <w:rFonts w:ascii="宋体" w:hAnsi="宋体" w:eastAsia="宋体" w:cs="宋体"/>
          <w:kern w:val="2"/>
          <w:sz w:val="21"/>
          <w:szCs w:val="22"/>
          <w:lang w:val="en-US" w:eastAsia="zh-CN" w:bidi="ar-SA"/>
        </w:rPr>
      </w:sdtEndPr>
      <w:sdtContent>
        <w:p w14:paraId="403CA00E">
          <w:pPr>
            <w:spacing w:before="0" w:beforeLines="0" w:after="0" w:afterLines="0" w:line="240" w:lineRule="auto"/>
            <w:ind w:left="0" w:leftChars="0" w:right="0" w:rightChars="0" w:firstLine="0" w:firstLineChars="0"/>
            <w:jc w:val="center"/>
          </w:pPr>
          <w:r>
            <w:rPr>
              <w:rFonts w:ascii="宋体" w:hAnsi="宋体" w:eastAsia="宋体"/>
              <w:sz w:val="32"/>
              <w:szCs w:val="36"/>
            </w:rPr>
            <w:t>目录</w:t>
          </w:r>
        </w:p>
        <w:p w14:paraId="06BB6032">
          <w:pPr>
            <w:pStyle w:val="87"/>
            <w:tabs>
              <w:tab w:val="right" w:leader="dot" w:pos="9746"/>
            </w:tabs>
            <w:spacing w:line="600" w:lineRule="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_Toc21313 </w:instrText>
          </w:r>
          <w:r>
            <w:rPr>
              <w:sz w:val="24"/>
              <w:szCs w:val="24"/>
            </w:rPr>
            <w:fldChar w:fldCharType="separate"/>
          </w:r>
          <w:r>
            <w:rPr>
              <w:rFonts w:hint="eastAsia" w:ascii="宋体" w:hAnsi="宋体" w:eastAsia="宋体" w:cs="宋体"/>
              <w:bCs/>
              <w:kern w:val="0"/>
              <w:sz w:val="24"/>
              <w:szCs w:val="40"/>
              <w:highlight w:val="none"/>
              <w:shd w:val="clear" w:fill="FFFFFF"/>
              <w:lang w:val="en-US" w:eastAsia="zh-CN" w:bidi="ar"/>
            </w:rPr>
            <w:t>第一部分  招标公告</w:t>
          </w:r>
          <w:r>
            <w:rPr>
              <w:sz w:val="24"/>
              <w:szCs w:val="24"/>
            </w:rPr>
            <w:tab/>
          </w:r>
          <w:r>
            <w:rPr>
              <w:sz w:val="24"/>
              <w:szCs w:val="24"/>
            </w:rPr>
            <w:fldChar w:fldCharType="begin"/>
          </w:r>
          <w:r>
            <w:rPr>
              <w:sz w:val="24"/>
              <w:szCs w:val="24"/>
            </w:rPr>
            <w:instrText xml:space="preserve"> PAGEREF _Toc21313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66E88B2">
          <w:pPr>
            <w:pStyle w:val="87"/>
            <w:tabs>
              <w:tab w:val="right" w:leader="dot" w:pos="9746"/>
            </w:tabs>
            <w:spacing w:line="600" w:lineRule="auto"/>
            <w:rPr>
              <w:sz w:val="24"/>
              <w:szCs w:val="24"/>
            </w:rPr>
          </w:pPr>
          <w:r>
            <w:rPr>
              <w:sz w:val="24"/>
              <w:szCs w:val="24"/>
            </w:rPr>
            <w:fldChar w:fldCharType="begin"/>
          </w:r>
          <w:r>
            <w:rPr>
              <w:sz w:val="24"/>
              <w:szCs w:val="24"/>
            </w:rPr>
            <w:instrText xml:space="preserve"> HYPERLINK \l _Toc18128 </w:instrText>
          </w:r>
          <w:r>
            <w:rPr>
              <w:sz w:val="24"/>
              <w:szCs w:val="24"/>
            </w:rPr>
            <w:fldChar w:fldCharType="separate"/>
          </w:r>
          <w:r>
            <w:rPr>
              <w:rFonts w:hint="eastAsia" w:ascii="宋体" w:hAnsi="宋体" w:eastAsia="宋体" w:cs="宋体"/>
              <w:bCs/>
              <w:sz w:val="24"/>
              <w:szCs w:val="52"/>
              <w:highlight w:val="none"/>
            </w:rPr>
            <w:t>第二部分  供应商须知</w:t>
          </w:r>
          <w:r>
            <w:rPr>
              <w:sz w:val="24"/>
              <w:szCs w:val="24"/>
            </w:rPr>
            <w:tab/>
          </w:r>
          <w:r>
            <w:rPr>
              <w:rFonts w:hint="eastAsia"/>
              <w:sz w:val="24"/>
              <w:szCs w:val="24"/>
              <w:lang w:val="en-US" w:eastAsia="zh-CN"/>
            </w:rPr>
            <w:t>9</w:t>
          </w:r>
          <w:r>
            <w:rPr>
              <w:sz w:val="24"/>
              <w:szCs w:val="24"/>
            </w:rPr>
            <w:fldChar w:fldCharType="end"/>
          </w:r>
        </w:p>
        <w:p w14:paraId="2271C35F">
          <w:pPr>
            <w:pStyle w:val="87"/>
            <w:tabs>
              <w:tab w:val="right" w:leader="dot" w:pos="9746"/>
            </w:tabs>
            <w:spacing w:line="600" w:lineRule="auto"/>
            <w:rPr>
              <w:sz w:val="24"/>
              <w:szCs w:val="24"/>
            </w:rPr>
          </w:pPr>
          <w:r>
            <w:rPr>
              <w:sz w:val="24"/>
              <w:szCs w:val="24"/>
            </w:rPr>
            <w:fldChar w:fldCharType="begin"/>
          </w:r>
          <w:r>
            <w:rPr>
              <w:sz w:val="24"/>
              <w:szCs w:val="24"/>
            </w:rPr>
            <w:instrText xml:space="preserve"> HYPERLINK \l _Toc11908 </w:instrText>
          </w:r>
          <w:r>
            <w:rPr>
              <w:sz w:val="24"/>
              <w:szCs w:val="24"/>
            </w:rPr>
            <w:fldChar w:fldCharType="separate"/>
          </w:r>
          <w:r>
            <w:rPr>
              <w:rFonts w:hint="eastAsia" w:ascii="宋体" w:hAnsi="宋体" w:eastAsia="宋体" w:cs="宋体"/>
              <w:bCs/>
              <w:sz w:val="24"/>
              <w:szCs w:val="44"/>
              <w:lang w:val="en-US" w:eastAsia="zh-CN"/>
            </w:rPr>
            <w:t xml:space="preserve">第三部分 </w:t>
          </w:r>
          <w:r>
            <w:rPr>
              <w:rFonts w:hint="eastAsia" w:ascii="宋体" w:hAnsi="宋体" w:eastAsia="宋体" w:cs="宋体"/>
              <w:bCs/>
              <w:sz w:val="24"/>
              <w:szCs w:val="44"/>
              <w:highlight w:val="none"/>
              <w:lang w:val="en-US" w:eastAsia="zh-CN"/>
            </w:rPr>
            <w:t>采购内容及要求</w:t>
          </w:r>
          <w:r>
            <w:rPr>
              <w:sz w:val="24"/>
              <w:szCs w:val="24"/>
            </w:rPr>
            <w:tab/>
          </w:r>
          <w:r>
            <w:rPr>
              <w:sz w:val="24"/>
              <w:szCs w:val="24"/>
            </w:rPr>
            <w:fldChar w:fldCharType="begin"/>
          </w:r>
          <w:r>
            <w:rPr>
              <w:sz w:val="24"/>
              <w:szCs w:val="24"/>
            </w:rPr>
            <w:instrText xml:space="preserve"> PAGEREF _Toc11908 \h </w:instrText>
          </w:r>
          <w:r>
            <w:rPr>
              <w:sz w:val="24"/>
              <w:szCs w:val="24"/>
            </w:rPr>
            <w:fldChar w:fldCharType="separate"/>
          </w:r>
          <w:r>
            <w:rPr>
              <w:sz w:val="24"/>
              <w:szCs w:val="24"/>
            </w:rPr>
            <w:t>30</w:t>
          </w:r>
          <w:r>
            <w:rPr>
              <w:sz w:val="24"/>
              <w:szCs w:val="24"/>
            </w:rPr>
            <w:fldChar w:fldCharType="end"/>
          </w:r>
          <w:r>
            <w:rPr>
              <w:sz w:val="24"/>
              <w:szCs w:val="24"/>
            </w:rPr>
            <w:fldChar w:fldCharType="end"/>
          </w:r>
        </w:p>
        <w:p w14:paraId="74E8636C">
          <w:pPr>
            <w:pStyle w:val="87"/>
            <w:tabs>
              <w:tab w:val="right" w:leader="dot" w:pos="9746"/>
            </w:tabs>
            <w:spacing w:line="600" w:lineRule="auto"/>
            <w:rPr>
              <w:sz w:val="24"/>
              <w:szCs w:val="24"/>
            </w:rPr>
          </w:pPr>
          <w:r>
            <w:rPr>
              <w:sz w:val="24"/>
              <w:szCs w:val="24"/>
            </w:rPr>
            <w:fldChar w:fldCharType="begin"/>
          </w:r>
          <w:r>
            <w:rPr>
              <w:sz w:val="24"/>
              <w:szCs w:val="24"/>
            </w:rPr>
            <w:instrText xml:space="preserve"> HYPERLINK \l _Toc1011 </w:instrText>
          </w:r>
          <w:r>
            <w:rPr>
              <w:sz w:val="24"/>
              <w:szCs w:val="24"/>
            </w:rPr>
            <w:fldChar w:fldCharType="separate"/>
          </w:r>
          <w:r>
            <w:rPr>
              <w:rFonts w:hint="eastAsia" w:ascii="宋体" w:hAnsi="宋体" w:eastAsia="宋体" w:cs="宋体"/>
              <w:sz w:val="24"/>
              <w:szCs w:val="44"/>
              <w:highlight w:val="none"/>
            </w:rPr>
            <w:t>第四部分</w:t>
          </w:r>
          <w:r>
            <w:rPr>
              <w:rFonts w:hint="eastAsia" w:ascii="宋体" w:hAnsi="宋体" w:eastAsia="宋体" w:cs="宋体"/>
              <w:sz w:val="24"/>
              <w:szCs w:val="24"/>
              <w:highlight w:val="none"/>
            </w:rPr>
            <w:t xml:space="preserve">  </w:t>
          </w:r>
          <w:r>
            <w:rPr>
              <w:rFonts w:hint="eastAsia" w:ascii="宋体" w:hAnsi="宋体" w:eastAsia="宋体" w:cs="宋体"/>
              <w:sz w:val="24"/>
              <w:szCs w:val="44"/>
              <w:highlight w:val="none"/>
            </w:rPr>
            <w:t>采购合同</w:t>
          </w:r>
          <w:r>
            <w:rPr>
              <w:rFonts w:hint="eastAsia" w:ascii="宋体" w:hAnsi="宋体" w:eastAsia="宋体" w:cs="宋体"/>
              <w:sz w:val="24"/>
              <w:szCs w:val="44"/>
              <w:highlight w:val="none"/>
              <w:lang w:eastAsia="zh-CN"/>
            </w:rPr>
            <w:t>（</w:t>
          </w:r>
          <w:r>
            <w:rPr>
              <w:rFonts w:hint="eastAsia" w:ascii="宋体" w:hAnsi="宋体" w:eastAsia="宋体" w:cs="宋体"/>
              <w:sz w:val="24"/>
              <w:szCs w:val="44"/>
              <w:highlight w:val="none"/>
              <w:lang w:val="en-US" w:eastAsia="zh-CN"/>
            </w:rPr>
            <w:t>仅供参考</w:t>
          </w:r>
          <w:r>
            <w:rPr>
              <w:rFonts w:hint="eastAsia" w:ascii="宋体" w:hAnsi="宋体" w:eastAsia="宋体" w:cs="宋体"/>
              <w:sz w:val="24"/>
              <w:szCs w:val="44"/>
              <w:highlight w:val="none"/>
              <w:lang w:eastAsia="zh-CN"/>
            </w:rPr>
            <w:t>）</w:t>
          </w:r>
          <w:r>
            <w:rPr>
              <w:sz w:val="24"/>
              <w:szCs w:val="24"/>
            </w:rPr>
            <w:tab/>
          </w:r>
          <w:r>
            <w:rPr>
              <w:sz w:val="24"/>
              <w:szCs w:val="24"/>
            </w:rPr>
            <w:fldChar w:fldCharType="begin"/>
          </w:r>
          <w:r>
            <w:rPr>
              <w:sz w:val="24"/>
              <w:szCs w:val="24"/>
            </w:rPr>
            <w:instrText xml:space="preserve"> PAGEREF _Toc1011 \h </w:instrText>
          </w:r>
          <w:r>
            <w:rPr>
              <w:sz w:val="24"/>
              <w:szCs w:val="24"/>
            </w:rPr>
            <w:fldChar w:fldCharType="separate"/>
          </w:r>
          <w:r>
            <w:rPr>
              <w:sz w:val="24"/>
              <w:szCs w:val="24"/>
            </w:rPr>
            <w:t>36</w:t>
          </w:r>
          <w:r>
            <w:rPr>
              <w:sz w:val="24"/>
              <w:szCs w:val="24"/>
            </w:rPr>
            <w:fldChar w:fldCharType="end"/>
          </w:r>
          <w:r>
            <w:rPr>
              <w:sz w:val="24"/>
              <w:szCs w:val="24"/>
            </w:rPr>
            <w:fldChar w:fldCharType="end"/>
          </w:r>
        </w:p>
        <w:p w14:paraId="70C92FC0">
          <w:pPr>
            <w:pStyle w:val="87"/>
            <w:tabs>
              <w:tab w:val="right" w:leader="dot" w:pos="9746"/>
            </w:tabs>
            <w:spacing w:line="600" w:lineRule="auto"/>
          </w:pPr>
          <w:r>
            <w:rPr>
              <w:sz w:val="24"/>
              <w:szCs w:val="24"/>
            </w:rPr>
            <w:fldChar w:fldCharType="begin"/>
          </w:r>
          <w:r>
            <w:rPr>
              <w:sz w:val="24"/>
              <w:szCs w:val="24"/>
            </w:rPr>
            <w:instrText xml:space="preserve"> HYPERLINK \l _Toc8944 </w:instrText>
          </w:r>
          <w:r>
            <w:rPr>
              <w:sz w:val="24"/>
              <w:szCs w:val="24"/>
            </w:rPr>
            <w:fldChar w:fldCharType="separate"/>
          </w:r>
          <w:r>
            <w:rPr>
              <w:rFonts w:hint="eastAsia" w:ascii="宋体" w:hAnsi="宋体" w:eastAsia="宋体" w:cs="宋体"/>
              <w:bCs/>
              <w:sz w:val="24"/>
              <w:szCs w:val="44"/>
              <w:highlight w:val="none"/>
            </w:rPr>
            <w:t>第</w:t>
          </w:r>
          <w:r>
            <w:rPr>
              <w:rFonts w:hint="eastAsia" w:ascii="宋体" w:hAnsi="宋体" w:eastAsia="宋体" w:cs="宋体"/>
              <w:bCs/>
              <w:sz w:val="24"/>
              <w:szCs w:val="44"/>
              <w:highlight w:val="none"/>
              <w:lang w:val="en-US" w:eastAsia="zh-CN"/>
            </w:rPr>
            <w:t>五</w:t>
          </w:r>
          <w:r>
            <w:rPr>
              <w:rFonts w:hint="eastAsia" w:ascii="宋体" w:hAnsi="宋体" w:eastAsia="宋体" w:cs="宋体"/>
              <w:bCs/>
              <w:sz w:val="24"/>
              <w:szCs w:val="44"/>
              <w:highlight w:val="none"/>
            </w:rPr>
            <w:t>部分  投标文件格式</w:t>
          </w:r>
          <w:r>
            <w:rPr>
              <w:sz w:val="24"/>
              <w:szCs w:val="24"/>
            </w:rPr>
            <w:tab/>
          </w:r>
          <w:r>
            <w:rPr>
              <w:sz w:val="24"/>
              <w:szCs w:val="24"/>
            </w:rPr>
            <w:fldChar w:fldCharType="begin"/>
          </w:r>
          <w:r>
            <w:rPr>
              <w:sz w:val="24"/>
              <w:szCs w:val="24"/>
            </w:rPr>
            <w:instrText xml:space="preserve"> PAGEREF _Toc8944 \h </w:instrText>
          </w:r>
          <w:r>
            <w:rPr>
              <w:sz w:val="24"/>
              <w:szCs w:val="24"/>
            </w:rPr>
            <w:fldChar w:fldCharType="separate"/>
          </w:r>
          <w:r>
            <w:rPr>
              <w:sz w:val="24"/>
              <w:szCs w:val="24"/>
            </w:rPr>
            <w:t>43</w:t>
          </w:r>
          <w:r>
            <w:rPr>
              <w:sz w:val="24"/>
              <w:szCs w:val="24"/>
            </w:rPr>
            <w:fldChar w:fldCharType="end"/>
          </w:r>
          <w:r>
            <w:rPr>
              <w:sz w:val="24"/>
              <w:szCs w:val="24"/>
            </w:rPr>
            <w:fldChar w:fldCharType="end"/>
          </w:r>
        </w:p>
        <w:p w14:paraId="56B120FA">
          <w:pPr>
            <w:pStyle w:val="87"/>
            <w:tabs>
              <w:tab w:val="right" w:leader="dot" w:pos="9746"/>
            </w:tabs>
            <w:spacing w:line="600" w:lineRule="auto"/>
          </w:pPr>
        </w:p>
        <w:p w14:paraId="3D794545">
          <w:pPr>
            <w:spacing w:line="600" w:lineRule="auto"/>
          </w:pPr>
          <w:r>
            <w:fldChar w:fldCharType="end"/>
          </w:r>
        </w:p>
      </w:sdtContent>
    </w:sdt>
    <w:p w14:paraId="284B3612"/>
    <w:p w14:paraId="25F74259">
      <w:pPr>
        <w:pageBreakBefore w:val="0"/>
        <w:tabs>
          <w:tab w:val="left" w:pos="7111"/>
        </w:tabs>
        <w:bidi w:val="0"/>
        <w:spacing w:line="460" w:lineRule="exact"/>
        <w:ind w:left="-141" w:leftChars="-67" w:right="-197" w:rightChars="-94"/>
        <w:outlineLvl w:val="9"/>
        <w:rPr>
          <w:rFonts w:hint="eastAsia" w:ascii="宋体" w:hAnsi="宋体" w:eastAsia="宋体" w:cs="宋体"/>
          <w:color w:val="auto"/>
          <w:highlight w:val="none"/>
        </w:rPr>
        <w:sectPr>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425" w:num="1"/>
          <w:titlePg/>
          <w:docGrid w:type="lines" w:linePitch="312" w:charSpace="0"/>
        </w:sectPr>
      </w:pPr>
      <w:r>
        <w:rPr>
          <w:rFonts w:hint="eastAsia" w:ascii="宋体" w:hAnsi="宋体" w:eastAsia="宋体" w:cs="宋体"/>
          <w:color w:val="auto"/>
          <w:highlight w:val="none"/>
        </w:rPr>
        <w:tab/>
      </w:r>
    </w:p>
    <w:p w14:paraId="59AA0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jc w:val="center"/>
        <w:textAlignment w:val="auto"/>
        <w:outlineLvl w:val="0"/>
        <w:rPr>
          <w:rFonts w:hint="eastAsia" w:ascii="宋体" w:hAnsi="宋体" w:eastAsia="宋体" w:cs="宋体"/>
          <w:b/>
          <w:bCs/>
          <w:color w:val="auto"/>
          <w:kern w:val="0"/>
          <w:sz w:val="28"/>
          <w:szCs w:val="28"/>
          <w:highlight w:val="none"/>
          <w:shd w:val="clear" w:fill="FFFFFF"/>
          <w:lang w:val="en-US" w:eastAsia="zh-CN" w:bidi="ar"/>
        </w:rPr>
      </w:pPr>
      <w:bookmarkStart w:id="4" w:name="_Toc21313"/>
      <w:bookmarkStart w:id="5" w:name="_Toc3865"/>
      <w:bookmarkStart w:id="6" w:name="_Toc12002"/>
      <w:bookmarkStart w:id="7" w:name="OLE_LINK3"/>
      <w:r>
        <w:rPr>
          <w:rFonts w:hint="eastAsia" w:ascii="宋体" w:hAnsi="宋体" w:eastAsia="宋体" w:cs="宋体"/>
          <w:b/>
          <w:bCs/>
          <w:color w:val="auto"/>
          <w:kern w:val="0"/>
          <w:sz w:val="28"/>
          <w:szCs w:val="28"/>
          <w:highlight w:val="none"/>
          <w:shd w:val="clear" w:fill="FFFFFF"/>
          <w:lang w:val="en-US" w:eastAsia="zh-CN" w:bidi="ar"/>
        </w:rPr>
        <w:t>第一部分  招标公告</w:t>
      </w:r>
      <w:bookmarkEnd w:id="4"/>
      <w:bookmarkEnd w:id="5"/>
      <w:bookmarkEnd w:id="6"/>
    </w:p>
    <w:bookmarkEnd w:id="7"/>
    <w:p w14:paraId="2CFC728C">
      <w:pPr>
        <w:pStyle w:val="85"/>
        <w:spacing w:line="480" w:lineRule="exact"/>
        <w:jc w:val="center"/>
        <w:rPr>
          <w:rFonts w:hint="eastAsia" w:ascii="宋体" w:hAnsi="宋体" w:eastAsia="宋体" w:cs="宋体"/>
          <w:sz w:val="36"/>
          <w:szCs w:val="36"/>
        </w:rPr>
      </w:pPr>
      <w:bookmarkStart w:id="8" w:name="_Toc18128"/>
      <w:bookmarkStart w:id="9" w:name="_Toc10024"/>
      <w:bookmarkStart w:id="10" w:name="_Toc9213"/>
      <w:bookmarkStart w:id="11" w:name="OLE_LINK12"/>
      <w:r>
        <w:rPr>
          <w:rFonts w:hint="eastAsia" w:ascii="宋体" w:hAnsi="宋体" w:eastAsia="宋体" w:cs="宋体"/>
          <w:b/>
          <w:sz w:val="36"/>
          <w:szCs w:val="36"/>
        </w:rPr>
        <w:t>延安市宝塔区第五中学2025年度食堂食材采购及营养改善计划采购项目招标公告</w:t>
      </w:r>
    </w:p>
    <w:p w14:paraId="0EDAB733">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8"/>
          <w:szCs w:val="28"/>
        </w:rPr>
      </w:pPr>
      <w:r>
        <w:rPr>
          <w:rFonts w:hint="eastAsia" w:ascii="宋体" w:hAnsi="宋体" w:eastAsia="宋体" w:cs="宋体"/>
          <w:b/>
          <w:sz w:val="28"/>
          <w:szCs w:val="28"/>
        </w:rPr>
        <w:t xml:space="preserve"> 项目概况</w:t>
      </w:r>
    </w:p>
    <w:p w14:paraId="4B9353A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2025年度食堂食材采购及营养改善计划采购项目招标项目的潜在投标人应在《全国公共资源交易平台（陕西省·延安市）》电子招投标系统使用CA锁下载获取招标文件，并于 </w:t>
      </w:r>
      <w:r>
        <w:rPr>
          <w:rFonts w:hint="eastAsia" w:ascii="宋体" w:hAnsi="宋体" w:eastAsia="宋体" w:cs="宋体"/>
          <w:sz w:val="24"/>
          <w:szCs w:val="24"/>
          <w:lang w:val="en-US" w:eastAsia="zh-CN"/>
        </w:rPr>
        <w:t xml:space="preserve">2025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3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25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 （北京时间）前递交投标文件。</w:t>
      </w:r>
    </w:p>
    <w:p w14:paraId="125D6C11">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5027EF75">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项目编号：HDCGDL-ZC2025-010</w:t>
      </w:r>
    </w:p>
    <w:p w14:paraId="7CA05BA0">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项目名称：2025年度食堂食材采购及营养改善计划采购项目</w:t>
      </w:r>
    </w:p>
    <w:p w14:paraId="0B987359">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7E981175">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预算金额：7,379,500.00元</w:t>
      </w:r>
    </w:p>
    <w:p w14:paraId="14FA89FF">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43DC1B8C">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合同包1(延安市宝塔区第五中学肉类食材采购及营养改善计划采购项目):</w:t>
      </w:r>
    </w:p>
    <w:p w14:paraId="0A279403">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合同包预算金额：2,500,000.00元</w:t>
      </w:r>
    </w:p>
    <w:p w14:paraId="4ECE1296">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合同包最高限价：2,500,000.00元</w:t>
      </w:r>
    </w:p>
    <w:tbl>
      <w:tblPr>
        <w:tblStyle w:val="2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7"/>
        <w:gridCol w:w="862"/>
        <w:gridCol w:w="2082"/>
        <w:gridCol w:w="882"/>
        <w:gridCol w:w="1171"/>
        <w:gridCol w:w="1896"/>
        <w:gridCol w:w="1896"/>
      </w:tblGrid>
      <w:tr w14:paraId="2610C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47" w:type="dxa"/>
            <w:vAlign w:val="center"/>
          </w:tcPr>
          <w:p w14:paraId="1C9890A3">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862" w:type="dxa"/>
            <w:vAlign w:val="center"/>
          </w:tcPr>
          <w:p w14:paraId="063B0D00">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2082" w:type="dxa"/>
            <w:vAlign w:val="center"/>
          </w:tcPr>
          <w:p w14:paraId="32664043">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882" w:type="dxa"/>
            <w:vAlign w:val="center"/>
          </w:tcPr>
          <w:p w14:paraId="01925E9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71" w:type="dxa"/>
            <w:vAlign w:val="center"/>
          </w:tcPr>
          <w:p w14:paraId="250F9B3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896" w:type="dxa"/>
            <w:vAlign w:val="center"/>
          </w:tcPr>
          <w:p w14:paraId="106F6334">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896" w:type="dxa"/>
            <w:vAlign w:val="center"/>
          </w:tcPr>
          <w:p w14:paraId="4346E01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7D954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 w:type="dxa"/>
            <w:vAlign w:val="center"/>
          </w:tcPr>
          <w:p w14:paraId="0AA815B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862" w:type="dxa"/>
            <w:vAlign w:val="center"/>
          </w:tcPr>
          <w:p w14:paraId="15EDF012">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畜禽肉</w:t>
            </w:r>
          </w:p>
        </w:tc>
        <w:tc>
          <w:tcPr>
            <w:tcW w:w="2082" w:type="dxa"/>
            <w:vAlign w:val="center"/>
          </w:tcPr>
          <w:p w14:paraId="5C8A5A3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鲜猪肉、鲜牛肉、鲜羊肉、鲜鸡肉、活鱼等；</w:t>
            </w:r>
          </w:p>
        </w:tc>
        <w:tc>
          <w:tcPr>
            <w:tcW w:w="882" w:type="dxa"/>
            <w:vAlign w:val="center"/>
          </w:tcPr>
          <w:p w14:paraId="3E2DA0E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171" w:type="dxa"/>
            <w:vAlign w:val="center"/>
          </w:tcPr>
          <w:p w14:paraId="620292CF">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896" w:type="dxa"/>
            <w:vAlign w:val="center"/>
          </w:tcPr>
          <w:p w14:paraId="672C6EB5">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2,500,000.00</w:t>
            </w:r>
          </w:p>
        </w:tc>
        <w:tc>
          <w:tcPr>
            <w:tcW w:w="1896" w:type="dxa"/>
            <w:vAlign w:val="center"/>
          </w:tcPr>
          <w:p w14:paraId="0E2AE242">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2,500,000.00</w:t>
            </w:r>
          </w:p>
        </w:tc>
      </w:tr>
    </w:tbl>
    <w:p w14:paraId="5D75ABAA">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76F67503">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合同履行期限：自合同签订之日起一年</w:t>
      </w:r>
    </w:p>
    <w:p w14:paraId="182B47FD">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合同包2(延安市宝塔区第五中学蔬菜类食材采购及营养改善计划采购项目):</w:t>
      </w:r>
    </w:p>
    <w:p w14:paraId="62F13E90">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合同包预算金额：2,339,500.00元</w:t>
      </w:r>
    </w:p>
    <w:p w14:paraId="27680138">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合同包最高限价：2,339,500.00元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656"/>
        <w:gridCol w:w="1656"/>
      </w:tblGrid>
      <w:tr w14:paraId="0501A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3D56599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vAlign w:val="center"/>
          </w:tcPr>
          <w:p w14:paraId="4F691BF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187" w:type="dxa"/>
            <w:vAlign w:val="center"/>
          </w:tcPr>
          <w:p w14:paraId="3432DBBF">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87" w:type="dxa"/>
            <w:vAlign w:val="center"/>
          </w:tcPr>
          <w:p w14:paraId="05F122DD">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87" w:type="dxa"/>
            <w:vAlign w:val="center"/>
          </w:tcPr>
          <w:p w14:paraId="1FEEBBA0">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187" w:type="dxa"/>
            <w:vAlign w:val="center"/>
          </w:tcPr>
          <w:p w14:paraId="6548E705">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187" w:type="dxa"/>
            <w:vAlign w:val="center"/>
          </w:tcPr>
          <w:p w14:paraId="608703E8">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3D64C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53F1AE48">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87" w:type="dxa"/>
            <w:vAlign w:val="center"/>
          </w:tcPr>
          <w:p w14:paraId="482F9AAC">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蔬菜</w:t>
            </w:r>
          </w:p>
        </w:tc>
        <w:tc>
          <w:tcPr>
            <w:tcW w:w="1187" w:type="dxa"/>
            <w:vAlign w:val="center"/>
          </w:tcPr>
          <w:p w14:paraId="03FB68D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各类新鲜蔬菜</w:t>
            </w:r>
          </w:p>
        </w:tc>
        <w:tc>
          <w:tcPr>
            <w:tcW w:w="1187" w:type="dxa"/>
            <w:vAlign w:val="center"/>
          </w:tcPr>
          <w:p w14:paraId="1AA30EEE">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187" w:type="dxa"/>
            <w:vAlign w:val="center"/>
          </w:tcPr>
          <w:p w14:paraId="6C978CA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187" w:type="dxa"/>
            <w:vAlign w:val="center"/>
          </w:tcPr>
          <w:p w14:paraId="0893F74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2,339,500.00</w:t>
            </w:r>
          </w:p>
        </w:tc>
        <w:tc>
          <w:tcPr>
            <w:tcW w:w="1187" w:type="dxa"/>
            <w:vAlign w:val="center"/>
          </w:tcPr>
          <w:p w14:paraId="2C6FA19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2,339,500.00</w:t>
            </w:r>
          </w:p>
        </w:tc>
      </w:tr>
    </w:tbl>
    <w:p w14:paraId="3C5BA655">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6D52CA20">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合同履行期限：自合同签订之日起一年</w:t>
      </w:r>
    </w:p>
    <w:p w14:paraId="742CB095">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合同包3(延安市宝塔区第五中学米</w:t>
      </w:r>
      <w:r>
        <w:rPr>
          <w:rFonts w:hint="eastAsia" w:ascii="宋体" w:hAnsi="宋体" w:eastAsia="宋体" w:cs="宋体"/>
          <w:sz w:val="24"/>
          <w:szCs w:val="24"/>
          <w:lang w:eastAsia="zh-CN"/>
        </w:rPr>
        <w:t>、</w:t>
      </w:r>
      <w:r>
        <w:rPr>
          <w:rFonts w:hint="eastAsia" w:ascii="宋体" w:hAnsi="宋体" w:eastAsia="宋体" w:cs="宋体"/>
          <w:sz w:val="24"/>
          <w:szCs w:val="24"/>
        </w:rPr>
        <w:t>面</w:t>
      </w:r>
      <w:r>
        <w:rPr>
          <w:rFonts w:hint="eastAsia" w:ascii="宋体" w:hAnsi="宋体" w:eastAsia="宋体" w:cs="宋体"/>
          <w:sz w:val="24"/>
          <w:szCs w:val="24"/>
          <w:lang w:eastAsia="zh-CN"/>
        </w:rPr>
        <w:t>、</w:t>
      </w:r>
      <w:r>
        <w:rPr>
          <w:rFonts w:hint="eastAsia" w:ascii="宋体" w:hAnsi="宋体" w:eastAsia="宋体" w:cs="宋体"/>
          <w:sz w:val="24"/>
          <w:szCs w:val="24"/>
        </w:rPr>
        <w:t>油</w:t>
      </w:r>
      <w:r>
        <w:rPr>
          <w:rFonts w:hint="eastAsia" w:ascii="宋体" w:hAnsi="宋体" w:eastAsia="宋体" w:cs="宋体"/>
          <w:sz w:val="24"/>
          <w:szCs w:val="24"/>
          <w:lang w:eastAsia="zh-CN"/>
        </w:rPr>
        <w:t>、</w:t>
      </w:r>
      <w:r>
        <w:rPr>
          <w:rFonts w:hint="eastAsia" w:ascii="宋体" w:hAnsi="宋体" w:eastAsia="宋体" w:cs="宋体"/>
          <w:sz w:val="24"/>
          <w:szCs w:val="24"/>
        </w:rPr>
        <w:t>五谷杂粮</w:t>
      </w:r>
      <w:r>
        <w:rPr>
          <w:rFonts w:hint="eastAsia" w:ascii="宋体" w:hAnsi="宋体" w:eastAsia="宋体" w:cs="宋体"/>
          <w:sz w:val="24"/>
          <w:szCs w:val="24"/>
          <w:lang w:eastAsia="zh-CN"/>
        </w:rPr>
        <w:t>、</w:t>
      </w:r>
      <w:r>
        <w:rPr>
          <w:rFonts w:hint="eastAsia" w:ascii="宋体" w:hAnsi="宋体" w:eastAsia="宋体" w:cs="宋体"/>
          <w:sz w:val="24"/>
          <w:szCs w:val="24"/>
        </w:rPr>
        <w:t>水果等食材采购及营养改善计划项目):</w:t>
      </w:r>
    </w:p>
    <w:p w14:paraId="16EEFBF1">
      <w:pPr>
        <w:pStyle w:val="85"/>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合同包预算金额：1,130,000.00元</w:t>
      </w:r>
    </w:p>
    <w:p w14:paraId="5B5749E0">
      <w:pPr>
        <w:pStyle w:val="85"/>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合同包最高限价：1,130,000.00元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656"/>
        <w:gridCol w:w="1656"/>
      </w:tblGrid>
      <w:tr w14:paraId="46CF4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471F96C3">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vAlign w:val="center"/>
          </w:tcPr>
          <w:p w14:paraId="09717C6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187" w:type="dxa"/>
            <w:vAlign w:val="center"/>
          </w:tcPr>
          <w:p w14:paraId="07306B5E">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87" w:type="dxa"/>
            <w:vAlign w:val="center"/>
          </w:tcPr>
          <w:p w14:paraId="78094FED">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87" w:type="dxa"/>
            <w:vAlign w:val="center"/>
          </w:tcPr>
          <w:p w14:paraId="1BE3C31B">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187" w:type="dxa"/>
            <w:vAlign w:val="center"/>
          </w:tcPr>
          <w:p w14:paraId="70025EB2">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187" w:type="dxa"/>
            <w:vAlign w:val="center"/>
          </w:tcPr>
          <w:p w14:paraId="440C78EB">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223F3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63C20775">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187" w:type="dxa"/>
            <w:vAlign w:val="center"/>
          </w:tcPr>
          <w:p w14:paraId="7B61A6F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稻谷</w:t>
            </w:r>
          </w:p>
        </w:tc>
        <w:tc>
          <w:tcPr>
            <w:tcW w:w="1187" w:type="dxa"/>
            <w:vAlign w:val="center"/>
          </w:tcPr>
          <w:p w14:paraId="5B87DF28">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米、面、油、、五谷杂粮、各类新鲜水果</w:t>
            </w:r>
          </w:p>
        </w:tc>
        <w:tc>
          <w:tcPr>
            <w:tcW w:w="1187" w:type="dxa"/>
            <w:vAlign w:val="center"/>
          </w:tcPr>
          <w:p w14:paraId="009FE2C8">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187" w:type="dxa"/>
            <w:vAlign w:val="center"/>
          </w:tcPr>
          <w:p w14:paraId="13821E8A">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187" w:type="dxa"/>
            <w:vAlign w:val="center"/>
          </w:tcPr>
          <w:p w14:paraId="5781CB12">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1,130,000.00</w:t>
            </w:r>
          </w:p>
        </w:tc>
        <w:tc>
          <w:tcPr>
            <w:tcW w:w="1187" w:type="dxa"/>
            <w:vAlign w:val="center"/>
          </w:tcPr>
          <w:p w14:paraId="4884E6EB">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1,130,000.00</w:t>
            </w:r>
          </w:p>
        </w:tc>
      </w:tr>
    </w:tbl>
    <w:p w14:paraId="6108D445">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074137BB">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合同履行期限：自合同签订之日起一年</w:t>
      </w:r>
    </w:p>
    <w:p w14:paraId="02108694">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合同包4(延安市宝塔区第五中学鸡蛋</w:t>
      </w:r>
      <w:r>
        <w:rPr>
          <w:rFonts w:hint="eastAsia" w:ascii="宋体" w:hAnsi="宋体" w:eastAsia="宋体" w:cs="宋体"/>
          <w:sz w:val="24"/>
          <w:szCs w:val="24"/>
          <w:lang w:eastAsia="zh-CN"/>
        </w:rPr>
        <w:t>、</w:t>
      </w:r>
      <w:r>
        <w:rPr>
          <w:rFonts w:hint="eastAsia" w:ascii="宋体" w:hAnsi="宋体" w:eastAsia="宋体" w:cs="宋体"/>
          <w:sz w:val="24"/>
          <w:szCs w:val="24"/>
        </w:rPr>
        <w:t>牛奶</w:t>
      </w:r>
      <w:r>
        <w:rPr>
          <w:rFonts w:hint="eastAsia" w:ascii="宋体" w:hAnsi="宋体" w:eastAsia="宋体" w:cs="宋体"/>
          <w:sz w:val="24"/>
          <w:szCs w:val="24"/>
          <w:lang w:eastAsia="zh-CN"/>
        </w:rPr>
        <w:t>、</w:t>
      </w:r>
      <w:r>
        <w:rPr>
          <w:rFonts w:hint="eastAsia" w:ascii="宋体" w:hAnsi="宋体" w:eastAsia="宋体" w:cs="宋体"/>
          <w:sz w:val="24"/>
          <w:szCs w:val="24"/>
        </w:rPr>
        <w:t>调料</w:t>
      </w:r>
      <w:r>
        <w:rPr>
          <w:rFonts w:hint="eastAsia" w:ascii="宋体" w:hAnsi="宋体" w:eastAsia="宋体" w:cs="宋体"/>
          <w:sz w:val="24"/>
          <w:szCs w:val="24"/>
          <w:lang w:eastAsia="zh-CN"/>
        </w:rPr>
        <w:t>、</w:t>
      </w:r>
      <w:r>
        <w:rPr>
          <w:rFonts w:hint="eastAsia" w:ascii="宋体" w:hAnsi="宋体" w:eastAsia="宋体" w:cs="宋体"/>
          <w:sz w:val="24"/>
          <w:szCs w:val="24"/>
        </w:rPr>
        <w:t>干货等食材采购及营养改善计划项目):</w:t>
      </w:r>
    </w:p>
    <w:p w14:paraId="09E9F7C4">
      <w:pPr>
        <w:pStyle w:val="85"/>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合同包预算金额：1,410,000.00元</w:t>
      </w:r>
    </w:p>
    <w:p w14:paraId="616410AB">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合同包最高限价：1,410,000.00元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656"/>
        <w:gridCol w:w="1656"/>
      </w:tblGrid>
      <w:tr w14:paraId="1EE03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4FAF4F11">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vAlign w:val="center"/>
          </w:tcPr>
          <w:p w14:paraId="511F922E">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187" w:type="dxa"/>
            <w:vAlign w:val="center"/>
          </w:tcPr>
          <w:p w14:paraId="620E478F">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87" w:type="dxa"/>
            <w:vAlign w:val="center"/>
          </w:tcPr>
          <w:p w14:paraId="7DA5CE2B">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187" w:type="dxa"/>
            <w:vAlign w:val="center"/>
          </w:tcPr>
          <w:p w14:paraId="3563FED5">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187" w:type="dxa"/>
            <w:vAlign w:val="center"/>
          </w:tcPr>
          <w:p w14:paraId="717E51C6">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187" w:type="dxa"/>
            <w:vAlign w:val="center"/>
          </w:tcPr>
          <w:p w14:paraId="2513EBF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14:paraId="247FC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Align w:val="center"/>
          </w:tcPr>
          <w:p w14:paraId="567C0DCB">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4-1</w:t>
            </w:r>
          </w:p>
        </w:tc>
        <w:tc>
          <w:tcPr>
            <w:tcW w:w="1187" w:type="dxa"/>
            <w:vAlign w:val="center"/>
          </w:tcPr>
          <w:p w14:paraId="7C119854">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禽蛋</w:t>
            </w:r>
          </w:p>
        </w:tc>
        <w:tc>
          <w:tcPr>
            <w:tcW w:w="1187" w:type="dxa"/>
            <w:vAlign w:val="center"/>
          </w:tcPr>
          <w:p w14:paraId="780A9737">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鸡蛋、牛奶、干货、调料等</w:t>
            </w:r>
          </w:p>
        </w:tc>
        <w:tc>
          <w:tcPr>
            <w:tcW w:w="1187" w:type="dxa"/>
            <w:vAlign w:val="center"/>
          </w:tcPr>
          <w:p w14:paraId="7959F420">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187" w:type="dxa"/>
            <w:vAlign w:val="center"/>
          </w:tcPr>
          <w:p w14:paraId="7095EE44">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187" w:type="dxa"/>
            <w:vAlign w:val="center"/>
          </w:tcPr>
          <w:p w14:paraId="33D04D02">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1,410,000.00</w:t>
            </w:r>
          </w:p>
        </w:tc>
        <w:tc>
          <w:tcPr>
            <w:tcW w:w="1187" w:type="dxa"/>
            <w:vAlign w:val="center"/>
          </w:tcPr>
          <w:p w14:paraId="1CA3624D">
            <w:pPr>
              <w:pStyle w:val="8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1,410,000.00</w:t>
            </w:r>
          </w:p>
        </w:tc>
      </w:tr>
    </w:tbl>
    <w:p w14:paraId="1745059B">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本合同包不接受联合体投标</w:t>
      </w:r>
    </w:p>
    <w:p w14:paraId="6F7C4461">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合同履行期限：自合同签订之日起一年</w:t>
      </w:r>
    </w:p>
    <w:p w14:paraId="73941138">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E8A3FD8">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A04AA3F">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7653B6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合同包1(延安市宝塔区第五中学肉类食材采购及营养改善计划采购项目)落实政府采购政策需满足的资格要求如下:</w:t>
      </w:r>
    </w:p>
    <w:p w14:paraId="185D418B">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（6）陕西省财政厅关于印发《陕西省中小企业政府采购信用融资办法》（陕财办采〔2018〕23号）；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rPr>
        <w:t>（9）其他需要落实的政府采购政策。</w:t>
      </w:r>
      <w:r>
        <w:rPr>
          <w:rFonts w:hint="eastAsia" w:ascii="宋体" w:hAnsi="宋体" w:eastAsia="宋体" w:cs="宋体"/>
          <w:sz w:val="24"/>
          <w:szCs w:val="24"/>
        </w:rPr>
        <w:br w:type="textWrapping"/>
      </w:r>
      <w:r>
        <w:rPr>
          <w:rFonts w:hint="eastAsia" w:ascii="宋体" w:hAnsi="宋体" w:eastAsia="宋体" w:cs="宋体"/>
          <w:sz w:val="24"/>
          <w:szCs w:val="24"/>
        </w:rPr>
        <w:t>（10）本项目不专门面向中小企业采购</w:t>
      </w:r>
    </w:p>
    <w:p w14:paraId="545F3112">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合同包2(延安市宝塔区第五中学蔬菜类食材采购及营养改善计划采购项目)落实政府采购政策需满足的资格要求如下:</w:t>
      </w:r>
    </w:p>
    <w:p w14:paraId="51269FE8">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（6）陕西省财政厅关于印发《陕西省中小企业政府采购信用融资办法》（陕财办采〔2018〕23号）；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rPr>
        <w:t>（9）其他需要落实的政府采购政策。</w:t>
      </w:r>
      <w:r>
        <w:rPr>
          <w:rFonts w:hint="eastAsia" w:ascii="宋体" w:hAnsi="宋体" w:eastAsia="宋体" w:cs="宋体"/>
          <w:sz w:val="24"/>
          <w:szCs w:val="24"/>
        </w:rPr>
        <w:br w:type="textWrapping"/>
      </w:r>
      <w:r>
        <w:rPr>
          <w:rFonts w:hint="eastAsia" w:ascii="宋体" w:hAnsi="宋体" w:eastAsia="宋体" w:cs="宋体"/>
          <w:sz w:val="24"/>
          <w:szCs w:val="24"/>
        </w:rPr>
        <w:t>（10）本项目不专门面向中小企业采购</w:t>
      </w:r>
    </w:p>
    <w:p w14:paraId="184C392F">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合同包3(延安市宝塔区第五中学米面油五谷杂粮水果等食材采购及营养改善计划项目)落实政府采购政策需满足的资格要求如下:</w:t>
      </w:r>
    </w:p>
    <w:p w14:paraId="24D9D067">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（6）陕西省财政厅关于印发《陕西省中小企业政府采购信用融资办法》（陕财办采〔2018〕23号）；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rPr>
        <w:t>（9）其他需要落实的政府采购政策。</w:t>
      </w:r>
      <w:r>
        <w:rPr>
          <w:rFonts w:hint="eastAsia" w:ascii="宋体" w:hAnsi="宋体" w:eastAsia="宋体" w:cs="宋体"/>
          <w:sz w:val="24"/>
          <w:szCs w:val="24"/>
        </w:rPr>
        <w:br w:type="textWrapping"/>
      </w:r>
      <w:r>
        <w:rPr>
          <w:rFonts w:hint="eastAsia" w:ascii="宋体" w:hAnsi="宋体" w:eastAsia="宋体" w:cs="宋体"/>
          <w:sz w:val="24"/>
          <w:szCs w:val="24"/>
        </w:rPr>
        <w:t>（10）本项目不专门面向中小企业采购</w:t>
      </w:r>
    </w:p>
    <w:p w14:paraId="7B73A495">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合同包4(延安市宝塔区第五中学鸡蛋牛奶调料干货等食材采购及营养改善计划项目)落实政府采购政策需满足的资格要求如下:</w:t>
      </w:r>
    </w:p>
    <w:p w14:paraId="5D93EBE3">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（5）《财政部 国务院扶贫办关于运用政府采购政策支持脱贫攻坚的通知》（财库〔2019〕27号）；</w:t>
      </w:r>
      <w:r>
        <w:rPr>
          <w:rFonts w:hint="eastAsia" w:ascii="宋体" w:hAnsi="宋体" w:eastAsia="宋体" w:cs="宋体"/>
          <w:sz w:val="24"/>
          <w:szCs w:val="24"/>
        </w:rPr>
        <w:br w:type="textWrapping"/>
      </w:r>
      <w:r>
        <w:rPr>
          <w:rFonts w:hint="eastAsia" w:ascii="宋体" w:hAnsi="宋体" w:eastAsia="宋体" w:cs="宋体"/>
          <w:sz w:val="24"/>
          <w:szCs w:val="24"/>
        </w:rPr>
        <w:t>（6）陕西省财政厅关于印发《陕西省中小企业政府采购信用融资办法》（陕财办采〔2018〕23号）；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（7）《财政部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（8）《关于运用政府采购政策支持乡村产业振兴的通知》（财库〔2021〕19 号）；</w:t>
      </w:r>
      <w:r>
        <w:rPr>
          <w:rFonts w:hint="eastAsia" w:ascii="宋体" w:hAnsi="宋体" w:eastAsia="宋体" w:cs="宋体"/>
          <w:sz w:val="24"/>
          <w:szCs w:val="24"/>
        </w:rPr>
        <w:br w:type="textWrapping"/>
      </w:r>
      <w:r>
        <w:rPr>
          <w:rFonts w:hint="eastAsia" w:ascii="宋体" w:hAnsi="宋体" w:eastAsia="宋体" w:cs="宋体"/>
          <w:sz w:val="24"/>
          <w:szCs w:val="24"/>
        </w:rPr>
        <w:t>（9）其他需要落实的政府采购政策。</w:t>
      </w:r>
      <w:r>
        <w:rPr>
          <w:rFonts w:hint="eastAsia" w:ascii="宋体" w:hAnsi="宋体" w:eastAsia="宋体" w:cs="宋体"/>
          <w:sz w:val="24"/>
          <w:szCs w:val="24"/>
        </w:rPr>
        <w:br w:type="textWrapping"/>
      </w:r>
      <w:r>
        <w:rPr>
          <w:rFonts w:hint="eastAsia" w:ascii="宋体" w:hAnsi="宋体" w:eastAsia="宋体" w:cs="宋体"/>
          <w:sz w:val="24"/>
          <w:szCs w:val="24"/>
        </w:rPr>
        <w:t>（10）本项目不专门面向中小企业采购</w:t>
      </w:r>
    </w:p>
    <w:p w14:paraId="751891C2">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EF48157">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合同包1(延安市宝塔区第五中学肉类食材采购及营养改善计划采购项目)特定资格要求如下:</w:t>
      </w:r>
    </w:p>
    <w:p w14:paraId="6E60955C">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sz w:val="24"/>
          <w:szCs w:val="24"/>
        </w:rPr>
        <w:br w:type="textWrapping"/>
      </w:r>
      <w:r>
        <w:rPr>
          <w:rFonts w:hint="eastAsia" w:ascii="宋体" w:hAnsi="宋体" w:eastAsia="宋体" w:cs="宋体"/>
          <w:sz w:val="24"/>
          <w:szCs w:val="24"/>
        </w:rPr>
        <w:t>②法定代表人授权书（附法定代表人身份证复印件）及被授权人身份证原件；（法定代表人直接参加只须提供法定代表人身份证）；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③投标人须具有效的食品经营许可证（或食品生产许可证或食品经营许可备案登记证）及陕西省生鲜肉经营备案表；</w:t>
      </w:r>
      <w:r>
        <w:rPr>
          <w:rFonts w:hint="eastAsia" w:ascii="宋体" w:hAnsi="宋体" w:eastAsia="宋体" w:cs="宋体"/>
          <w:sz w:val="24"/>
          <w:szCs w:val="24"/>
        </w:rPr>
        <w:br w:type="textWrapping"/>
      </w:r>
      <w:r>
        <w:rPr>
          <w:rFonts w:hint="eastAsia" w:ascii="宋体" w:hAnsi="宋体" w:eastAsia="宋体" w:cs="宋体"/>
          <w:sz w:val="24"/>
          <w:szCs w:val="24"/>
        </w:rPr>
        <w:t>④供应商应出具参加政府采购活动前3年内，在经营活动中无重大违法记录的书面声明；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⑤提供2023年经会计师事务所审计的财务审计报告或近三个月内银行出具的资信证明；          </w:t>
      </w:r>
      <w:r>
        <w:rPr>
          <w:rFonts w:hint="eastAsia" w:ascii="宋体" w:hAnsi="宋体" w:eastAsia="宋体" w:cs="宋体"/>
          <w:sz w:val="24"/>
          <w:szCs w:val="24"/>
        </w:rPr>
        <w:br w:type="textWrapping"/>
      </w:r>
      <w:r>
        <w:rPr>
          <w:rFonts w:hint="eastAsia" w:ascii="宋体" w:hAnsi="宋体" w:eastAsia="宋体" w:cs="宋体"/>
          <w:sz w:val="24"/>
          <w:szCs w:val="24"/>
        </w:rPr>
        <w:t>⑥提供2024年1月1日至今至少1个月依法缴纳税收的相关材料,依法免税或无须缴纳税收的投标人，应提供相应证明文件；</w:t>
      </w:r>
      <w:r>
        <w:rPr>
          <w:rFonts w:hint="eastAsia" w:ascii="宋体" w:hAnsi="宋体" w:eastAsia="宋体" w:cs="宋体"/>
          <w:sz w:val="24"/>
          <w:szCs w:val="24"/>
        </w:rPr>
        <w:br w:type="textWrapping"/>
      </w:r>
      <w:r>
        <w:rPr>
          <w:rFonts w:hint="eastAsia" w:ascii="宋体" w:hAnsi="宋体" w:eastAsia="宋体" w:cs="宋体"/>
          <w:sz w:val="24"/>
          <w:szCs w:val="24"/>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sz w:val="24"/>
          <w:szCs w:val="24"/>
        </w:rPr>
        <w:br w:type="textWrapping"/>
      </w:r>
      <w:r>
        <w:rPr>
          <w:rFonts w:hint="eastAsia" w:ascii="宋体" w:hAnsi="宋体" w:eastAsia="宋体" w:cs="宋体"/>
          <w:sz w:val="24"/>
          <w:szCs w:val="24"/>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sz w:val="24"/>
          <w:szCs w:val="24"/>
        </w:rPr>
        <w:br w:type="textWrapping"/>
      </w:r>
      <w:r>
        <w:rPr>
          <w:rFonts w:hint="eastAsia" w:ascii="宋体" w:hAnsi="宋体" w:eastAsia="宋体" w:cs="宋体"/>
          <w:sz w:val="24"/>
          <w:szCs w:val="24"/>
        </w:rPr>
        <w:t>⑨单位负责人为同一人或者存在控股、管理关系的不同供应商，不得同时参加本项目同一合同包的采购活动。</w:t>
      </w:r>
    </w:p>
    <w:p w14:paraId="75CDDE20">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合同包2(延安市宝塔区第五中学蔬菜类食材采购及营养改善计划采购项目)特定资格要求如下:</w:t>
      </w:r>
    </w:p>
    <w:p w14:paraId="665A5688">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sz w:val="24"/>
          <w:szCs w:val="24"/>
        </w:rPr>
        <w:br w:type="textWrapping"/>
      </w:r>
      <w:r>
        <w:rPr>
          <w:rFonts w:hint="eastAsia" w:ascii="宋体" w:hAnsi="宋体" w:eastAsia="宋体" w:cs="宋体"/>
          <w:sz w:val="24"/>
          <w:szCs w:val="24"/>
        </w:rPr>
        <w:t>②法定代表人授权书（附法定代表人身份证复印件）及被授权人身份证原件；（法定代表人直接参加只须提供法定代表人身份证）；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③投标人须具有效的食品经营许可证（或食品生产许可证或食品经营许可备案登记证）；</w:t>
      </w:r>
      <w:r>
        <w:rPr>
          <w:rFonts w:hint="eastAsia" w:ascii="宋体" w:hAnsi="宋体" w:eastAsia="宋体" w:cs="宋体"/>
          <w:sz w:val="24"/>
          <w:szCs w:val="24"/>
        </w:rPr>
        <w:br w:type="textWrapping"/>
      </w:r>
      <w:r>
        <w:rPr>
          <w:rFonts w:hint="eastAsia" w:ascii="宋体" w:hAnsi="宋体" w:eastAsia="宋体" w:cs="宋体"/>
          <w:sz w:val="24"/>
          <w:szCs w:val="24"/>
        </w:rPr>
        <w:t>④供应商应出具参加政府采购活动前3年内，在经营活动中无重大违法记录的书面声明；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⑤提供2023年经会计师事务所审计的财务审计报告或近三个月内银行出具的资信证明；          </w:t>
      </w:r>
      <w:r>
        <w:rPr>
          <w:rFonts w:hint="eastAsia" w:ascii="宋体" w:hAnsi="宋体" w:eastAsia="宋体" w:cs="宋体"/>
          <w:sz w:val="24"/>
          <w:szCs w:val="24"/>
        </w:rPr>
        <w:br w:type="textWrapping"/>
      </w:r>
      <w:r>
        <w:rPr>
          <w:rFonts w:hint="eastAsia" w:ascii="宋体" w:hAnsi="宋体" w:eastAsia="宋体" w:cs="宋体"/>
          <w:sz w:val="24"/>
          <w:szCs w:val="24"/>
        </w:rPr>
        <w:t>⑥提供2024年1月1日至今至少1个月依法缴纳税收的相关材料,依法免税或无须缴纳税收的投标人，应提供相应证明文件；</w:t>
      </w:r>
      <w:r>
        <w:rPr>
          <w:rFonts w:hint="eastAsia" w:ascii="宋体" w:hAnsi="宋体" w:eastAsia="宋体" w:cs="宋体"/>
          <w:sz w:val="24"/>
          <w:szCs w:val="24"/>
        </w:rPr>
        <w:br w:type="textWrapping"/>
      </w:r>
      <w:r>
        <w:rPr>
          <w:rFonts w:hint="eastAsia" w:ascii="宋体" w:hAnsi="宋体" w:eastAsia="宋体" w:cs="宋体"/>
          <w:sz w:val="24"/>
          <w:szCs w:val="24"/>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sz w:val="24"/>
          <w:szCs w:val="24"/>
        </w:rPr>
        <w:br w:type="textWrapping"/>
      </w:r>
      <w:r>
        <w:rPr>
          <w:rFonts w:hint="eastAsia" w:ascii="宋体" w:hAnsi="宋体" w:eastAsia="宋体" w:cs="宋体"/>
          <w:sz w:val="24"/>
          <w:szCs w:val="24"/>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sz w:val="24"/>
          <w:szCs w:val="24"/>
        </w:rPr>
        <w:br w:type="textWrapping"/>
      </w:r>
      <w:r>
        <w:rPr>
          <w:rFonts w:hint="eastAsia" w:ascii="宋体" w:hAnsi="宋体" w:eastAsia="宋体" w:cs="宋体"/>
          <w:sz w:val="24"/>
          <w:szCs w:val="24"/>
        </w:rPr>
        <w:t>⑨单位负责人为同一人或者存在控股、管理关系的不同供应商，不得同时参加本项目同一合同包的采购活动。</w:t>
      </w:r>
    </w:p>
    <w:p w14:paraId="5BD35D3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合同包3(延安市宝塔区第五中学米</w:t>
      </w:r>
      <w:r>
        <w:rPr>
          <w:rFonts w:hint="eastAsia" w:ascii="宋体" w:hAnsi="宋体" w:eastAsia="宋体" w:cs="宋体"/>
          <w:sz w:val="24"/>
          <w:szCs w:val="24"/>
          <w:lang w:eastAsia="zh-CN"/>
        </w:rPr>
        <w:t>、</w:t>
      </w:r>
      <w:r>
        <w:rPr>
          <w:rFonts w:hint="eastAsia" w:ascii="宋体" w:hAnsi="宋体" w:eastAsia="宋体" w:cs="宋体"/>
          <w:sz w:val="24"/>
          <w:szCs w:val="24"/>
        </w:rPr>
        <w:t>面</w:t>
      </w:r>
      <w:r>
        <w:rPr>
          <w:rFonts w:hint="eastAsia" w:ascii="宋体" w:hAnsi="宋体" w:eastAsia="宋体" w:cs="宋体"/>
          <w:sz w:val="24"/>
          <w:szCs w:val="24"/>
          <w:lang w:eastAsia="zh-CN"/>
        </w:rPr>
        <w:t>、</w:t>
      </w:r>
      <w:r>
        <w:rPr>
          <w:rFonts w:hint="eastAsia" w:ascii="宋体" w:hAnsi="宋体" w:eastAsia="宋体" w:cs="宋体"/>
          <w:sz w:val="24"/>
          <w:szCs w:val="24"/>
        </w:rPr>
        <w:t>油</w:t>
      </w:r>
      <w:r>
        <w:rPr>
          <w:rFonts w:hint="eastAsia" w:ascii="宋体" w:hAnsi="宋体" w:eastAsia="宋体" w:cs="宋体"/>
          <w:sz w:val="24"/>
          <w:szCs w:val="24"/>
          <w:lang w:eastAsia="zh-CN"/>
        </w:rPr>
        <w:t>、</w:t>
      </w:r>
      <w:r>
        <w:rPr>
          <w:rFonts w:hint="eastAsia" w:ascii="宋体" w:hAnsi="宋体" w:eastAsia="宋体" w:cs="宋体"/>
          <w:sz w:val="24"/>
          <w:szCs w:val="24"/>
        </w:rPr>
        <w:t>五谷杂粮</w:t>
      </w:r>
      <w:r>
        <w:rPr>
          <w:rFonts w:hint="eastAsia" w:ascii="宋体" w:hAnsi="宋体" w:eastAsia="宋体" w:cs="宋体"/>
          <w:sz w:val="24"/>
          <w:szCs w:val="24"/>
          <w:lang w:eastAsia="zh-CN"/>
        </w:rPr>
        <w:t>、</w:t>
      </w:r>
      <w:r>
        <w:rPr>
          <w:rFonts w:hint="eastAsia" w:ascii="宋体" w:hAnsi="宋体" w:eastAsia="宋体" w:cs="宋体"/>
          <w:sz w:val="24"/>
          <w:szCs w:val="24"/>
        </w:rPr>
        <w:t>水果等食材采购及营养改善计划项目)特定资格要求如下:</w:t>
      </w:r>
    </w:p>
    <w:p w14:paraId="04BE2843">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sz w:val="24"/>
          <w:szCs w:val="24"/>
        </w:rPr>
        <w:br w:type="textWrapping"/>
      </w:r>
      <w:r>
        <w:rPr>
          <w:rFonts w:hint="eastAsia" w:ascii="宋体" w:hAnsi="宋体" w:eastAsia="宋体" w:cs="宋体"/>
          <w:sz w:val="24"/>
          <w:szCs w:val="24"/>
        </w:rPr>
        <w:t>②法定代表人授权书（附法定代表人身份证复印件）及被授权人身份证原件；（法定代表人直接参加只须提供法定代表人身份证）；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③投标人须具有效的食品经营许可证（或食品生产许可证或食品经营许可备案登记证）；</w:t>
      </w:r>
      <w:r>
        <w:rPr>
          <w:rFonts w:hint="eastAsia" w:ascii="宋体" w:hAnsi="宋体" w:eastAsia="宋体" w:cs="宋体"/>
          <w:sz w:val="24"/>
          <w:szCs w:val="24"/>
        </w:rPr>
        <w:br w:type="textWrapping"/>
      </w:r>
      <w:r>
        <w:rPr>
          <w:rFonts w:hint="eastAsia" w:ascii="宋体" w:hAnsi="宋体" w:eastAsia="宋体" w:cs="宋体"/>
          <w:sz w:val="24"/>
          <w:szCs w:val="24"/>
        </w:rPr>
        <w:t>④供应商应出具参加政府采购活动前3年内，在经营活动中无重大违法记录的书面声明；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⑤提供2023年经会计师事务所审计的财务审计报告或近三个月内银行出具的资信证明；          </w:t>
      </w:r>
      <w:r>
        <w:rPr>
          <w:rFonts w:hint="eastAsia" w:ascii="宋体" w:hAnsi="宋体" w:eastAsia="宋体" w:cs="宋体"/>
          <w:sz w:val="24"/>
          <w:szCs w:val="24"/>
        </w:rPr>
        <w:br w:type="textWrapping"/>
      </w:r>
      <w:r>
        <w:rPr>
          <w:rFonts w:hint="eastAsia" w:ascii="宋体" w:hAnsi="宋体" w:eastAsia="宋体" w:cs="宋体"/>
          <w:sz w:val="24"/>
          <w:szCs w:val="24"/>
        </w:rPr>
        <w:t>⑥提供2024年1月1日至今至少1个月依法缴纳税收的相关材料,依法免税或无须缴纳税收的投标人，应提供相应证明文件；</w:t>
      </w:r>
      <w:r>
        <w:rPr>
          <w:rFonts w:hint="eastAsia" w:ascii="宋体" w:hAnsi="宋体" w:eastAsia="宋体" w:cs="宋体"/>
          <w:sz w:val="24"/>
          <w:szCs w:val="24"/>
        </w:rPr>
        <w:br w:type="textWrapping"/>
      </w:r>
      <w:r>
        <w:rPr>
          <w:rFonts w:hint="eastAsia" w:ascii="宋体" w:hAnsi="宋体" w:eastAsia="宋体" w:cs="宋体"/>
          <w:sz w:val="24"/>
          <w:szCs w:val="24"/>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sz w:val="24"/>
          <w:szCs w:val="24"/>
        </w:rPr>
        <w:br w:type="textWrapping"/>
      </w:r>
      <w:r>
        <w:rPr>
          <w:rFonts w:hint="eastAsia" w:ascii="宋体" w:hAnsi="宋体" w:eastAsia="宋体" w:cs="宋体"/>
          <w:sz w:val="24"/>
          <w:szCs w:val="24"/>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sz w:val="24"/>
          <w:szCs w:val="24"/>
        </w:rPr>
        <w:br w:type="textWrapping"/>
      </w:r>
      <w:r>
        <w:rPr>
          <w:rFonts w:hint="eastAsia" w:ascii="宋体" w:hAnsi="宋体" w:eastAsia="宋体" w:cs="宋体"/>
          <w:sz w:val="24"/>
          <w:szCs w:val="24"/>
        </w:rPr>
        <w:t>⑨单位负责人为同一人或者存在控股、管理关系的不同供应商，不得同时参加本项目同一合同包的采购活动。</w:t>
      </w:r>
    </w:p>
    <w:p w14:paraId="72FB4FDE">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合同包4(延安市宝塔区第五中学鸡蛋</w:t>
      </w:r>
      <w:r>
        <w:rPr>
          <w:rFonts w:hint="eastAsia" w:ascii="宋体" w:hAnsi="宋体" w:eastAsia="宋体" w:cs="宋体"/>
          <w:sz w:val="24"/>
          <w:szCs w:val="24"/>
          <w:lang w:eastAsia="zh-CN"/>
        </w:rPr>
        <w:t>、</w:t>
      </w:r>
      <w:r>
        <w:rPr>
          <w:rFonts w:hint="eastAsia" w:ascii="宋体" w:hAnsi="宋体" w:eastAsia="宋体" w:cs="宋体"/>
          <w:sz w:val="24"/>
          <w:szCs w:val="24"/>
        </w:rPr>
        <w:t>牛奶</w:t>
      </w:r>
      <w:r>
        <w:rPr>
          <w:rFonts w:hint="eastAsia" w:ascii="宋体" w:hAnsi="宋体" w:eastAsia="宋体" w:cs="宋体"/>
          <w:sz w:val="24"/>
          <w:szCs w:val="24"/>
          <w:lang w:eastAsia="zh-CN"/>
        </w:rPr>
        <w:t>、</w:t>
      </w:r>
      <w:r>
        <w:rPr>
          <w:rFonts w:hint="eastAsia" w:ascii="宋体" w:hAnsi="宋体" w:eastAsia="宋体" w:cs="宋体"/>
          <w:sz w:val="24"/>
          <w:szCs w:val="24"/>
        </w:rPr>
        <w:t>调料</w:t>
      </w:r>
      <w:r>
        <w:rPr>
          <w:rFonts w:hint="eastAsia" w:ascii="宋体" w:hAnsi="宋体" w:eastAsia="宋体" w:cs="宋体"/>
          <w:sz w:val="24"/>
          <w:szCs w:val="24"/>
          <w:lang w:eastAsia="zh-CN"/>
        </w:rPr>
        <w:t>、</w:t>
      </w:r>
      <w:r>
        <w:rPr>
          <w:rFonts w:hint="eastAsia" w:ascii="宋体" w:hAnsi="宋体" w:eastAsia="宋体" w:cs="宋体"/>
          <w:sz w:val="24"/>
          <w:szCs w:val="24"/>
        </w:rPr>
        <w:t>干货等食材采购及营养改善计划项目)特定资格要求如下:</w:t>
      </w:r>
    </w:p>
    <w:p w14:paraId="72B8AD70">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sz w:val="24"/>
          <w:szCs w:val="24"/>
        </w:rPr>
        <w:br w:type="textWrapping"/>
      </w:r>
      <w:r>
        <w:rPr>
          <w:rFonts w:hint="eastAsia" w:ascii="宋体" w:hAnsi="宋体" w:eastAsia="宋体" w:cs="宋体"/>
          <w:sz w:val="24"/>
          <w:szCs w:val="24"/>
        </w:rPr>
        <w:t>②法定代表人授权书（附法定代表人身份证复印件）及被授权人身份证原件；（法定代表人直接参加只须提供法定代表人身份证）；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③投标人须具有效的食品经营许可证（或食品生产许可证或食品经营许可备案登记证）；</w:t>
      </w:r>
      <w:r>
        <w:rPr>
          <w:rFonts w:hint="eastAsia" w:ascii="宋体" w:hAnsi="宋体" w:eastAsia="宋体" w:cs="宋体"/>
          <w:sz w:val="24"/>
          <w:szCs w:val="24"/>
        </w:rPr>
        <w:br w:type="textWrapping"/>
      </w:r>
      <w:r>
        <w:rPr>
          <w:rFonts w:hint="eastAsia" w:ascii="宋体" w:hAnsi="宋体" w:eastAsia="宋体" w:cs="宋体"/>
          <w:sz w:val="24"/>
          <w:szCs w:val="24"/>
        </w:rPr>
        <w:t>④供应商应出具参加政府采购活动前3年内，在经营活动中无重大违法记录的书面声明；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 xml:space="preserve">⑤提供2023年经会计师事务所审计的财务审计报告或近三个月内银行出具的资信证明；          </w:t>
      </w:r>
      <w:r>
        <w:rPr>
          <w:rFonts w:hint="eastAsia" w:ascii="宋体" w:hAnsi="宋体" w:eastAsia="宋体" w:cs="宋体"/>
          <w:sz w:val="24"/>
          <w:szCs w:val="24"/>
        </w:rPr>
        <w:br w:type="textWrapping"/>
      </w:r>
      <w:r>
        <w:rPr>
          <w:rFonts w:hint="eastAsia" w:ascii="宋体" w:hAnsi="宋体" w:eastAsia="宋体" w:cs="宋体"/>
          <w:sz w:val="24"/>
          <w:szCs w:val="24"/>
        </w:rPr>
        <w:t>⑥提供2024年1月1日至今至少1个月依法缴纳税收的相关材料,依法免税或无须缴纳税收的投标人，应提供相应证明文件；</w:t>
      </w:r>
      <w:r>
        <w:rPr>
          <w:rFonts w:hint="eastAsia" w:ascii="宋体" w:hAnsi="宋体" w:eastAsia="宋体" w:cs="宋体"/>
          <w:sz w:val="24"/>
          <w:szCs w:val="24"/>
        </w:rPr>
        <w:br w:type="textWrapping"/>
      </w:r>
      <w:r>
        <w:rPr>
          <w:rFonts w:hint="eastAsia" w:ascii="宋体" w:hAnsi="宋体" w:eastAsia="宋体" w:cs="宋体"/>
          <w:sz w:val="24"/>
          <w:szCs w:val="24"/>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sz w:val="24"/>
          <w:szCs w:val="24"/>
        </w:rPr>
        <w:br w:type="textWrapping"/>
      </w:r>
      <w:r>
        <w:rPr>
          <w:rFonts w:hint="eastAsia" w:ascii="宋体" w:hAnsi="宋体" w:eastAsia="宋体" w:cs="宋体"/>
          <w:sz w:val="24"/>
          <w:szCs w:val="24"/>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sz w:val="24"/>
          <w:szCs w:val="24"/>
        </w:rPr>
        <w:br w:type="textWrapping"/>
      </w:r>
      <w:r>
        <w:rPr>
          <w:rFonts w:hint="eastAsia" w:ascii="宋体" w:hAnsi="宋体" w:eastAsia="宋体" w:cs="宋体"/>
          <w:sz w:val="24"/>
          <w:szCs w:val="24"/>
        </w:rPr>
        <w:t>⑨单位负责人为同一人或者存在控股、管理关系的不同供应商，不得同时参加本项目同一合同包的采购活动。</w:t>
      </w:r>
    </w:p>
    <w:p w14:paraId="0AE8D9F9">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7E1BDB43">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2025年03月05日 至 2025年03月11日 ，每天上午 08:00:00 至 12:00:00 ，下午 12:00:00 至 18:00:00 （北京时间）</w:t>
      </w:r>
    </w:p>
    <w:p w14:paraId="19BAC08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途径：《全国公共资源交易平台（陕西省·延安市）》电子招投标系统使用CA锁下载</w:t>
      </w:r>
    </w:p>
    <w:p w14:paraId="3178541C">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070167E6">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4886D06A">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527EABC2">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时间： 2025年03月25日 </w:t>
      </w:r>
      <w:r>
        <w:rPr>
          <w:rFonts w:hint="eastAsia" w:ascii="宋体" w:hAnsi="宋体" w:eastAsia="宋体" w:cs="宋体"/>
          <w:sz w:val="24"/>
          <w:szCs w:val="24"/>
          <w:lang w:val="en-US" w:eastAsia="zh-CN"/>
        </w:rPr>
        <w:t>14</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0分00秒 （北京时间）</w:t>
      </w:r>
    </w:p>
    <w:p w14:paraId="591C166B">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w:t>
      </w:r>
      <w:r>
        <w:rPr>
          <w:rFonts w:hint="eastAsia" w:ascii="宋体" w:hAnsi="宋体" w:eastAsia="宋体" w:cs="宋体"/>
          <w:sz w:val="24"/>
          <w:szCs w:val="24"/>
          <w:lang w:val="en-US" w:eastAsia="zh-CN"/>
        </w:rPr>
        <w:t>一</w:t>
      </w:r>
      <w:r>
        <w:rPr>
          <w:rFonts w:hint="eastAsia" w:ascii="宋体" w:hAnsi="宋体" w:eastAsia="宋体" w:cs="宋体"/>
          <w:sz w:val="24"/>
          <w:szCs w:val="24"/>
        </w:rPr>
        <w:t>厅</w:t>
      </w:r>
    </w:p>
    <w:p w14:paraId="3D71D6BA">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w:t>
      </w:r>
      <w:r>
        <w:rPr>
          <w:rFonts w:hint="eastAsia" w:ascii="宋体" w:hAnsi="宋体" w:eastAsia="宋体" w:cs="宋体"/>
          <w:sz w:val="24"/>
          <w:szCs w:val="24"/>
          <w:lang w:val="en-US" w:eastAsia="zh-CN"/>
        </w:rPr>
        <w:t>一</w:t>
      </w:r>
      <w:r>
        <w:rPr>
          <w:rFonts w:hint="eastAsia" w:ascii="宋体" w:hAnsi="宋体" w:eastAsia="宋体" w:cs="宋体"/>
          <w:sz w:val="24"/>
          <w:szCs w:val="24"/>
        </w:rPr>
        <w:t>厅</w:t>
      </w:r>
    </w:p>
    <w:p w14:paraId="35401648">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2891397">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4DC7388">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4AFCE95F">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报名登记：供应商使用捆绑CA证书登录全国公共资源交易平台（陕西省·延安市）延安市公共资源交易中心，选择电子交易平台中的政府采购交易系统进行登录，登录后选择“交易乙方”身份进入供应商界面进行报名。</w:t>
      </w:r>
    </w:p>
    <w:p w14:paraId="6F1511AE">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2.下载文件：供应商登录延安市公共资源交易中心，选择“交易乙方”身份进入供应商界面下载采购文件。</w:t>
      </w:r>
    </w:p>
    <w:p w14:paraId="23CE0E15">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纸质版投标文件递交地点：延安市为民服务中心7号楼二楼（延安市公共资源交易厅），电子投标文件递交地点：《全国公共资源交易平台（陕西省·延安市）》电子招投标系统。投标文件递交的具体要求详见招标文件的规定。逾期送达的、未送达指定地点的或者不按照招标文件要求密封的投标文件，招标人将予以拒收。</w:t>
      </w:r>
    </w:p>
    <w:p w14:paraId="2E6239A2">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凡有意参加的供应商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共资源交易中心1号服务窗口进行激活政府采购功能。</w:t>
      </w:r>
    </w:p>
    <w:p w14:paraId="0153AD4B">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5.本次招标公告同时在《陕西省政府采购网》、《全国公共资源交易平台（陕西省.延安市）》上发布。</w:t>
      </w:r>
    </w:p>
    <w:p w14:paraId="1708CB14">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2C7E62BD">
      <w:pPr>
        <w:pStyle w:val="8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093A099">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名称：延安市宝塔区第五中学</w:t>
      </w:r>
    </w:p>
    <w:p w14:paraId="4999E506">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地址：延安市宝塔区北大街北门口2号</w:t>
      </w:r>
    </w:p>
    <w:p w14:paraId="123115A9">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联系方式：13484685993</w:t>
      </w:r>
    </w:p>
    <w:p w14:paraId="7F10E45E">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48F521D">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名称：华鼎工程咨询集团有限公司</w:t>
      </w:r>
    </w:p>
    <w:p w14:paraId="6C3BAC07">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地址：延安市枣园路圣都花园10楼</w:t>
      </w:r>
    </w:p>
    <w:p w14:paraId="4D4A631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联系方式：18700101117</w:t>
      </w:r>
    </w:p>
    <w:p w14:paraId="027D7C82">
      <w:pPr>
        <w:pStyle w:val="8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DB9E2C7">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项目联系人：郭晓莉</w:t>
      </w:r>
    </w:p>
    <w:p w14:paraId="6EEECB8E">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电话：18700101117</w:t>
      </w:r>
    </w:p>
    <w:p w14:paraId="671D36B7">
      <w:pPr>
        <w:pStyle w:val="85"/>
        <w:jc w:val="right"/>
        <w:rPr>
          <w:rFonts w:hint="eastAsia" w:ascii="宋体" w:hAnsi="宋体" w:eastAsia="宋体" w:cs="宋体"/>
          <w:sz w:val="28"/>
          <w:szCs w:val="28"/>
        </w:rPr>
      </w:pPr>
    </w:p>
    <w:p w14:paraId="36F7DDC1">
      <w:pPr>
        <w:pStyle w:val="85"/>
        <w:rPr>
          <w:rFonts w:hint="eastAsia" w:ascii="宋体" w:hAnsi="宋体" w:eastAsia="宋体" w:cs="宋体"/>
          <w:lang w:val="en-US" w:eastAsia="zh-Hans"/>
        </w:rPr>
      </w:pPr>
    </w:p>
    <w:p w14:paraId="7CDE1277">
      <w:pPr>
        <w:pStyle w:val="85"/>
        <w:keepNext w:val="0"/>
        <w:keepLines w:val="0"/>
        <w:pageBreakBefore w:val="0"/>
        <w:widowControl/>
        <w:kinsoku/>
        <w:wordWrap/>
        <w:overflowPunct/>
        <w:topLinePunct w:val="0"/>
        <w:autoSpaceDE/>
        <w:autoSpaceDN/>
        <w:bidi w:val="0"/>
        <w:adjustRightInd/>
        <w:snapToGrid/>
        <w:spacing w:line="360" w:lineRule="auto"/>
        <w:jc w:val="right"/>
        <w:textAlignment w:val="auto"/>
      </w:pPr>
    </w:p>
    <w:p w14:paraId="1FF5C719">
      <w:pPr>
        <w:pStyle w:val="85"/>
        <w:rPr>
          <w:rFonts w:hint="eastAsia"/>
          <w:lang w:val="en-US" w:eastAsia="zh-Hans"/>
        </w:rPr>
      </w:pPr>
    </w:p>
    <w:p w14:paraId="78C34ECB">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4327A9C6">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0597C6A5">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5E684CAF">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060D10B0">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120DFFEB">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0378EF31">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7ED38FE9">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47EB6661">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50DFEC2C">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4BC5B3FB">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7F65B8D7">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22D04C60">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1C83F14F">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41496384">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p>
    <w:p w14:paraId="0896BD34">
      <w:pPr>
        <w:pStyle w:val="86"/>
        <w:keepNext w:val="0"/>
        <w:keepLines w:val="0"/>
        <w:pageBreakBefore w:val="0"/>
        <w:kinsoku/>
        <w:overflowPunct/>
        <w:topLinePunct w:val="0"/>
        <w:autoSpaceDE/>
        <w:autoSpaceDN/>
        <w:bidi w:val="0"/>
        <w:adjustRightInd/>
        <w:snapToGrid/>
        <w:spacing w:line="360" w:lineRule="auto"/>
        <w:ind w:left="0" w:right="0"/>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第二部分  供应商须知</w:t>
      </w:r>
      <w:bookmarkEnd w:id="8"/>
      <w:bookmarkEnd w:id="9"/>
      <w:bookmarkEnd w:id="10"/>
    </w:p>
    <w:bookmarkEnd w:id="11"/>
    <w:p w14:paraId="163FB8C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p>
    <w:p w14:paraId="52F80B40">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p>
    <w:p w14:paraId="7796725B">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p>
    <w:p w14:paraId="7ABDEE12">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p>
    <w:p w14:paraId="354B4416">
      <w:pPr>
        <w:pStyle w:val="15"/>
        <w:rPr>
          <w:rFonts w:hint="eastAsia" w:ascii="宋体" w:hAnsi="宋体" w:cs="宋体"/>
          <w:b/>
          <w:color w:val="auto"/>
          <w:sz w:val="32"/>
          <w:szCs w:val="32"/>
          <w:highlight w:val="none"/>
          <w:lang w:val="en-US" w:eastAsia="zh-CN"/>
        </w:rPr>
      </w:pPr>
    </w:p>
    <w:p w14:paraId="5C89B43A">
      <w:pPr>
        <w:rPr>
          <w:rFonts w:hint="eastAsia" w:ascii="宋体" w:hAnsi="宋体" w:cs="宋体"/>
          <w:b/>
          <w:color w:val="auto"/>
          <w:sz w:val="32"/>
          <w:szCs w:val="32"/>
          <w:highlight w:val="none"/>
          <w:lang w:val="en-US" w:eastAsia="zh-CN"/>
        </w:rPr>
      </w:pPr>
    </w:p>
    <w:p w14:paraId="03D4E1F0">
      <w:pPr>
        <w:pStyle w:val="15"/>
        <w:rPr>
          <w:rFonts w:hint="eastAsia" w:ascii="宋体" w:hAnsi="宋体" w:cs="宋体"/>
          <w:b/>
          <w:color w:val="auto"/>
          <w:sz w:val="32"/>
          <w:szCs w:val="32"/>
          <w:highlight w:val="none"/>
          <w:lang w:val="en-US" w:eastAsia="zh-CN"/>
        </w:rPr>
      </w:pPr>
    </w:p>
    <w:p w14:paraId="2EBAE40B">
      <w:pPr>
        <w:rPr>
          <w:rFonts w:hint="eastAsia" w:ascii="宋体" w:hAnsi="宋体" w:cs="宋体"/>
          <w:b/>
          <w:color w:val="auto"/>
          <w:sz w:val="32"/>
          <w:szCs w:val="32"/>
          <w:highlight w:val="none"/>
          <w:lang w:val="en-US" w:eastAsia="zh-CN"/>
        </w:rPr>
      </w:pPr>
    </w:p>
    <w:p w14:paraId="4307E9CB">
      <w:pPr>
        <w:pStyle w:val="15"/>
        <w:rPr>
          <w:rFonts w:hint="eastAsia" w:ascii="宋体" w:hAnsi="宋体" w:cs="宋体"/>
          <w:b/>
          <w:color w:val="auto"/>
          <w:sz w:val="32"/>
          <w:szCs w:val="32"/>
          <w:highlight w:val="none"/>
          <w:lang w:val="en-US" w:eastAsia="zh-CN"/>
        </w:rPr>
      </w:pPr>
    </w:p>
    <w:p w14:paraId="260604A5">
      <w:pPr>
        <w:rPr>
          <w:rFonts w:hint="eastAsia" w:ascii="宋体" w:hAnsi="宋体" w:cs="宋体"/>
          <w:b/>
          <w:color w:val="auto"/>
          <w:sz w:val="32"/>
          <w:szCs w:val="32"/>
          <w:highlight w:val="none"/>
          <w:lang w:val="en-US" w:eastAsia="zh-CN"/>
        </w:rPr>
      </w:pPr>
    </w:p>
    <w:p w14:paraId="7B887D8C">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p>
    <w:p w14:paraId="65E771B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第二部分 供应商须知</w:t>
      </w:r>
    </w:p>
    <w:p w14:paraId="5727A4EE">
      <w:pPr>
        <w:pageBreakBefore w:val="0"/>
        <w:bidi w:val="0"/>
        <w:spacing w:line="460" w:lineRule="exact"/>
        <w:jc w:val="both"/>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5"/>
        <w:tblW w:w="9305"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977"/>
        <w:gridCol w:w="6434"/>
      </w:tblGrid>
      <w:tr w14:paraId="3CE6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47E1A341">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77" w:type="dxa"/>
            <w:vAlign w:val="center"/>
          </w:tcPr>
          <w:p w14:paraId="50730C8D">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434" w:type="dxa"/>
          </w:tcPr>
          <w:p w14:paraId="5A230E21">
            <w:pPr>
              <w:pageBreakBefore w:val="0"/>
              <w:bidi w:val="0"/>
              <w:spacing w:line="460" w:lineRule="exact"/>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14:paraId="06F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894" w:type="dxa"/>
            <w:vAlign w:val="center"/>
          </w:tcPr>
          <w:p w14:paraId="06C4A17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7" w:type="dxa"/>
            <w:vAlign w:val="center"/>
          </w:tcPr>
          <w:p w14:paraId="742E34F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34" w:type="dxa"/>
          </w:tcPr>
          <w:p w14:paraId="540623EC">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名称：延安市宝塔区第五中学</w:t>
            </w:r>
          </w:p>
          <w:p w14:paraId="1ADE132A">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地址：延安市宝塔区北大街北门口2号</w:t>
            </w:r>
          </w:p>
          <w:p w14:paraId="370AB53E">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ascii="宋体" w:hAnsi="宋体" w:cs="宋体"/>
                <w:sz w:val="24"/>
                <w:shd w:val="clear" w:color="auto" w:fill="FFFFFF"/>
                <w:lang w:val="en-US" w:eastAsia="zh-CN"/>
              </w:rPr>
              <w:t>李弥</w:t>
            </w:r>
          </w:p>
          <w:p w14:paraId="2572E377">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联系方式：13484685993</w:t>
            </w:r>
          </w:p>
        </w:tc>
      </w:tr>
      <w:tr w14:paraId="4F5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94" w:type="dxa"/>
            <w:vAlign w:val="center"/>
          </w:tcPr>
          <w:p w14:paraId="5F75445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77" w:type="dxa"/>
            <w:vAlign w:val="center"/>
          </w:tcPr>
          <w:p w14:paraId="240F9A1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434" w:type="dxa"/>
          </w:tcPr>
          <w:p w14:paraId="11978065">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华鼎工程咨询集团有限公司</w:t>
            </w:r>
          </w:p>
          <w:p w14:paraId="214FFA3E">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地址：延安市枣园路圣都花园10楼</w:t>
            </w:r>
          </w:p>
          <w:p w14:paraId="7C1CADF3">
            <w:pPr>
              <w:pageBreakBefore w:val="0"/>
              <w:bidi w:val="0"/>
              <w:spacing w:line="46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郭晓莉</w:t>
            </w:r>
          </w:p>
          <w:p w14:paraId="58BC1C4D">
            <w:pPr>
              <w:pageBreakBefore w:val="0"/>
              <w:bidi w:val="0"/>
              <w:spacing w:line="46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18700101117</w:t>
            </w:r>
          </w:p>
        </w:tc>
      </w:tr>
      <w:tr w14:paraId="208A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38A341E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77" w:type="dxa"/>
            <w:vAlign w:val="center"/>
          </w:tcPr>
          <w:p w14:paraId="5CF0F85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34" w:type="dxa"/>
          </w:tcPr>
          <w:p w14:paraId="6730B87A">
            <w:pPr>
              <w:pageBreakBefore w:val="0"/>
              <w:bidi w:val="0"/>
              <w:spacing w:line="460" w:lineRule="exact"/>
              <w:outlineLvl w:val="9"/>
              <w:rPr>
                <w:rFonts w:hint="default" w:ascii="宋体" w:hAnsi="宋体" w:eastAsia="宋体" w:cs="宋体"/>
                <w:color w:val="auto"/>
                <w:spacing w:val="-6"/>
                <w:sz w:val="24"/>
                <w:szCs w:val="24"/>
                <w:highlight w:val="none"/>
                <w:lang w:val="en-US" w:eastAsia="zh-CN"/>
              </w:rPr>
            </w:pPr>
            <w:r>
              <w:rPr>
                <w:rFonts w:hint="default" w:ascii="宋体" w:hAnsi="宋体" w:eastAsia="宋体" w:cs="宋体"/>
                <w:color w:val="auto"/>
                <w:spacing w:val="-6"/>
                <w:sz w:val="24"/>
                <w:szCs w:val="24"/>
                <w:highlight w:val="none"/>
                <w:lang w:val="en-US" w:eastAsia="zh-CN"/>
              </w:rPr>
              <w:t>延安市宝塔区第五中学2025年度食堂食材采购及营养改善计划采购项目</w:t>
            </w:r>
          </w:p>
        </w:tc>
      </w:tr>
      <w:tr w14:paraId="6EC5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7075DB27">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77" w:type="dxa"/>
            <w:vAlign w:val="center"/>
          </w:tcPr>
          <w:p w14:paraId="647C72B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34" w:type="dxa"/>
          </w:tcPr>
          <w:p w14:paraId="6ABCAD94">
            <w:pPr>
              <w:pageBreakBefore w:val="0"/>
              <w:bidi w:val="0"/>
              <w:spacing w:line="460" w:lineRule="exact"/>
              <w:outlineLvl w:val="9"/>
              <w:rPr>
                <w:rFonts w:hint="default" w:ascii="宋体" w:hAnsi="宋体" w:eastAsia="仿宋_GB2312" w:cs="宋体"/>
                <w:color w:val="auto"/>
                <w:sz w:val="24"/>
                <w:szCs w:val="24"/>
                <w:highlight w:val="none"/>
                <w:lang w:val="en-US" w:eastAsia="zh-CN"/>
              </w:rPr>
            </w:pPr>
            <w:r>
              <w:rPr>
                <w:rFonts w:ascii="仿宋_GB2312" w:hAnsi="仿宋_GB2312" w:eastAsia="仿宋_GB2312" w:cs="仿宋_GB2312"/>
                <w:sz w:val="24"/>
                <w:szCs w:val="24"/>
              </w:rPr>
              <w:t>HDCGDL-ZC2025-</w:t>
            </w:r>
            <w:r>
              <w:rPr>
                <w:rFonts w:hint="eastAsia" w:ascii="仿宋_GB2312" w:hAnsi="仿宋_GB2312" w:eastAsia="仿宋_GB2312" w:cs="仿宋_GB2312"/>
                <w:sz w:val="24"/>
                <w:szCs w:val="24"/>
                <w:lang w:val="en-US" w:eastAsia="zh-CN"/>
              </w:rPr>
              <w:t>010</w:t>
            </w:r>
          </w:p>
        </w:tc>
      </w:tr>
      <w:tr w14:paraId="4E9E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3C92A224">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77" w:type="dxa"/>
            <w:vAlign w:val="center"/>
          </w:tcPr>
          <w:p w14:paraId="6C4CFFF6">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434" w:type="dxa"/>
          </w:tcPr>
          <w:p w14:paraId="3120BA2F">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684D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6ECB0FE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77" w:type="dxa"/>
            <w:vAlign w:val="center"/>
          </w:tcPr>
          <w:p w14:paraId="31205CA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采购项目预算</w:t>
            </w:r>
          </w:p>
        </w:tc>
        <w:tc>
          <w:tcPr>
            <w:tcW w:w="6434" w:type="dxa"/>
            <w:vAlign w:val="center"/>
          </w:tcPr>
          <w:p w14:paraId="43DF8F14">
            <w:pPr>
              <w:pStyle w:val="85"/>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2" w:name="OLE_LINK20"/>
            <w:r>
              <w:rPr>
                <w:rFonts w:hint="eastAsia" w:ascii="宋体" w:hAnsi="宋体" w:cs="宋体"/>
                <w:color w:val="auto"/>
                <w:sz w:val="24"/>
                <w:szCs w:val="24"/>
                <w:highlight w:val="none"/>
                <w:lang w:val="en-US" w:eastAsia="zh-CN"/>
              </w:rPr>
              <w:t>7379500</w:t>
            </w:r>
            <w:r>
              <w:rPr>
                <w:rFonts w:hint="eastAsia" w:ascii="宋体" w:hAnsi="宋体" w:eastAsia="宋体" w:cs="宋体"/>
                <w:color w:val="auto"/>
                <w:sz w:val="24"/>
                <w:szCs w:val="24"/>
                <w:highlight w:val="none"/>
                <w:lang w:val="en-US" w:eastAsia="zh-CN"/>
              </w:rPr>
              <w:t>.00元</w:t>
            </w:r>
            <w:bookmarkStart w:id="13" w:name="OLE_LINK19"/>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其中合同包1：（延安市宝塔区第五中学肉类食材采购及营养改善计划采购项目）预算金额：</w:t>
            </w:r>
            <w:r>
              <w:rPr>
                <w:rFonts w:hint="eastAsia" w:ascii="宋体" w:hAnsi="宋体" w:cs="宋体"/>
                <w:color w:val="auto"/>
                <w:sz w:val="24"/>
                <w:szCs w:val="24"/>
                <w:highlight w:val="none"/>
                <w:lang w:val="en-US" w:eastAsia="zh-CN"/>
              </w:rPr>
              <w:t>2500000</w:t>
            </w:r>
            <w:r>
              <w:rPr>
                <w:rFonts w:hint="eastAsia" w:ascii="宋体" w:hAnsi="宋体" w:eastAsia="宋体" w:cs="宋体"/>
                <w:color w:val="auto"/>
                <w:sz w:val="24"/>
                <w:szCs w:val="24"/>
                <w:highlight w:val="none"/>
                <w:lang w:val="en-US" w:eastAsia="zh-CN"/>
              </w:rPr>
              <w:t>.00元；合同包2(延安市宝塔区第五中学蔬菜类食材采购及营养改善计划采购项目):预算金额：</w:t>
            </w:r>
            <w:r>
              <w:rPr>
                <w:rFonts w:hint="eastAsia" w:ascii="宋体" w:hAnsi="宋体" w:cs="宋体"/>
                <w:color w:val="auto"/>
                <w:sz w:val="24"/>
                <w:szCs w:val="24"/>
                <w:highlight w:val="none"/>
                <w:lang w:val="en-US" w:eastAsia="zh-CN"/>
              </w:rPr>
              <w:t>2339500</w:t>
            </w:r>
            <w:r>
              <w:rPr>
                <w:rFonts w:hint="eastAsia" w:ascii="宋体" w:hAnsi="宋体" w:eastAsia="宋体" w:cs="宋体"/>
                <w:color w:val="auto"/>
                <w:sz w:val="24"/>
                <w:szCs w:val="24"/>
                <w:highlight w:val="none"/>
                <w:lang w:val="en-US" w:eastAsia="zh-CN"/>
              </w:rPr>
              <w:t>.00元；合同包3(延安市宝塔区第五中学米</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五谷杂粮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水果等食材采购及营养改善计划项目)预算金额：</w:t>
            </w:r>
            <w:r>
              <w:rPr>
                <w:rFonts w:hint="eastAsia" w:ascii="宋体" w:hAnsi="宋体" w:cs="宋体"/>
                <w:color w:val="auto"/>
                <w:sz w:val="24"/>
                <w:szCs w:val="24"/>
                <w:highlight w:val="none"/>
                <w:lang w:val="en-US" w:eastAsia="zh-CN"/>
              </w:rPr>
              <w:t>1130000</w:t>
            </w:r>
            <w:r>
              <w:rPr>
                <w:rFonts w:hint="eastAsia" w:ascii="宋体" w:hAnsi="宋体" w:eastAsia="宋体" w:cs="宋体"/>
                <w:color w:val="auto"/>
                <w:sz w:val="24"/>
                <w:szCs w:val="24"/>
                <w:highlight w:val="none"/>
                <w:lang w:val="en-US" w:eastAsia="zh-CN"/>
              </w:rPr>
              <w:t>.00元；合同包</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(延安市宝塔区第五中学鸡蛋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牛奶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调料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干货等食材采购及营养改善计划项目)预算金额：</w:t>
            </w:r>
            <w:r>
              <w:rPr>
                <w:rFonts w:hint="eastAsia" w:ascii="宋体" w:hAnsi="宋体" w:cs="宋体"/>
                <w:color w:val="auto"/>
                <w:sz w:val="24"/>
                <w:szCs w:val="24"/>
                <w:highlight w:val="none"/>
                <w:lang w:val="en-US" w:eastAsia="zh-CN"/>
              </w:rPr>
              <w:t>1410000</w:t>
            </w:r>
            <w:r>
              <w:rPr>
                <w:rFonts w:hint="eastAsia" w:ascii="宋体" w:hAnsi="宋体" w:eastAsia="宋体" w:cs="宋体"/>
                <w:color w:val="auto"/>
                <w:sz w:val="24"/>
                <w:szCs w:val="24"/>
                <w:highlight w:val="none"/>
                <w:lang w:val="en-US" w:eastAsia="zh-CN"/>
              </w:rPr>
              <w:t>.00元；具体金额以实际供应量为准。</w:t>
            </w:r>
            <w:bookmarkEnd w:id="12"/>
            <w:bookmarkEnd w:id="13"/>
          </w:p>
        </w:tc>
      </w:tr>
      <w:tr w14:paraId="109B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12824B0E">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77" w:type="dxa"/>
            <w:vAlign w:val="center"/>
          </w:tcPr>
          <w:p w14:paraId="098EACE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项目用途</w:t>
            </w:r>
          </w:p>
        </w:tc>
        <w:tc>
          <w:tcPr>
            <w:tcW w:w="6434" w:type="dxa"/>
          </w:tcPr>
          <w:p w14:paraId="435620E1">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pacing w:val="-6"/>
                <w:sz w:val="24"/>
                <w:szCs w:val="24"/>
                <w:highlight w:val="none"/>
                <w:lang w:eastAsia="zh-CN"/>
              </w:rPr>
              <w:t>延安市宝塔区</w:t>
            </w:r>
            <w:r>
              <w:rPr>
                <w:rFonts w:hint="eastAsia" w:ascii="宋体" w:hAnsi="宋体" w:cs="宋体"/>
                <w:color w:val="auto"/>
                <w:spacing w:val="-6"/>
                <w:sz w:val="24"/>
                <w:szCs w:val="24"/>
                <w:highlight w:val="none"/>
                <w:lang w:val="en-US" w:eastAsia="zh-CN"/>
              </w:rPr>
              <w:t>第五中学</w:t>
            </w:r>
            <w:r>
              <w:rPr>
                <w:rFonts w:hint="eastAsia" w:ascii="宋体" w:hAnsi="宋体" w:eastAsia="宋体" w:cs="宋体"/>
                <w:color w:val="auto"/>
                <w:spacing w:val="-6"/>
                <w:sz w:val="24"/>
                <w:szCs w:val="24"/>
                <w:highlight w:val="none"/>
                <w:lang w:eastAsia="zh-CN"/>
              </w:rPr>
              <w:t>食堂</w:t>
            </w:r>
            <w:r>
              <w:rPr>
                <w:rFonts w:hint="eastAsia" w:ascii="宋体" w:hAnsi="宋体" w:cs="宋体"/>
                <w:color w:val="auto"/>
                <w:spacing w:val="-6"/>
                <w:sz w:val="24"/>
                <w:szCs w:val="24"/>
                <w:highlight w:val="none"/>
                <w:lang w:val="en-US" w:eastAsia="zh-CN"/>
              </w:rPr>
              <w:t>提供</w:t>
            </w:r>
            <w:r>
              <w:rPr>
                <w:rFonts w:hint="eastAsia" w:ascii="宋体" w:hAnsi="宋体" w:eastAsia="宋体" w:cs="宋体"/>
                <w:color w:val="auto"/>
                <w:sz w:val="24"/>
                <w:szCs w:val="24"/>
                <w:highlight w:val="none"/>
                <w:lang w:eastAsia="zh-CN"/>
              </w:rPr>
              <w:t>食材及原辅材料</w:t>
            </w:r>
          </w:p>
        </w:tc>
      </w:tr>
      <w:tr w14:paraId="29AB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94" w:type="dxa"/>
            <w:vAlign w:val="center"/>
          </w:tcPr>
          <w:p w14:paraId="5B99845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77" w:type="dxa"/>
            <w:vAlign w:val="center"/>
          </w:tcPr>
          <w:p w14:paraId="3A29A88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434" w:type="dxa"/>
            <w:vAlign w:val="center"/>
          </w:tcPr>
          <w:p w14:paraId="6D58407A">
            <w:pPr>
              <w:pageBreakBefore w:val="0"/>
              <w:bidi w:val="0"/>
              <w:spacing w:line="460" w:lineRule="exact"/>
              <w:jc w:val="left"/>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合同包1：（延安市宝塔区第五中学肉类食材采购及营养改善计划采购项目）；合同包2((延安市宝塔区第五中学蔬菜类食材采购及营养改善计划采购项目)；合同包3(延安市宝塔区第五中学米</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面</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五谷杂粮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水果等食材采购及营养改善计划项目)</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合同包</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(延安市宝塔区第五中学鸡蛋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牛奶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调料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干货等食材采购及营养改善计划项目)</w:t>
            </w:r>
            <w:r>
              <w:rPr>
                <w:rFonts w:hint="eastAsia" w:ascii="宋体" w:hAnsi="宋体" w:cs="宋体"/>
                <w:color w:val="auto"/>
                <w:sz w:val="24"/>
                <w:szCs w:val="24"/>
                <w:highlight w:val="none"/>
                <w:lang w:val="en-US" w:eastAsia="zh-CN"/>
              </w:rPr>
              <w:t>.</w:t>
            </w:r>
          </w:p>
        </w:tc>
      </w:tr>
      <w:tr w14:paraId="1DE6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7DEC3C12">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77" w:type="dxa"/>
            <w:vAlign w:val="center"/>
          </w:tcPr>
          <w:p w14:paraId="53D0DFE2">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w:t>
            </w:r>
            <w:bookmarkStart w:id="14" w:name="OLE_LINK13"/>
            <w:r>
              <w:rPr>
                <w:rFonts w:hint="eastAsia" w:ascii="宋体" w:hAnsi="宋体" w:eastAsia="宋体" w:cs="宋体"/>
                <w:color w:val="auto"/>
                <w:sz w:val="24"/>
                <w:szCs w:val="24"/>
                <w:highlight w:val="none"/>
                <w:lang w:val="en-US" w:eastAsia="zh-CN"/>
              </w:rPr>
              <w:t>履行</w:t>
            </w:r>
            <w:bookmarkEnd w:id="14"/>
            <w:r>
              <w:rPr>
                <w:rFonts w:hint="eastAsia" w:ascii="宋体" w:hAnsi="宋体" w:eastAsia="宋体" w:cs="宋体"/>
                <w:color w:val="auto"/>
                <w:sz w:val="24"/>
                <w:szCs w:val="24"/>
                <w:highlight w:val="none"/>
                <w:lang w:val="en-US" w:eastAsia="zh-CN"/>
              </w:rPr>
              <w:t>期限</w:t>
            </w:r>
          </w:p>
        </w:tc>
        <w:tc>
          <w:tcPr>
            <w:tcW w:w="6434" w:type="dxa"/>
            <w:vAlign w:val="center"/>
          </w:tcPr>
          <w:p w14:paraId="55441C46">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自合同签订之日起一年</w:t>
            </w:r>
          </w:p>
        </w:tc>
      </w:tr>
      <w:tr w14:paraId="68B2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4" w:type="dxa"/>
            <w:vAlign w:val="center"/>
          </w:tcPr>
          <w:p w14:paraId="64A8D671">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77" w:type="dxa"/>
            <w:vAlign w:val="center"/>
          </w:tcPr>
          <w:p w14:paraId="08B4BBC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招标文件发售</w:t>
            </w:r>
          </w:p>
        </w:tc>
        <w:tc>
          <w:tcPr>
            <w:tcW w:w="6434" w:type="dxa"/>
          </w:tcPr>
          <w:p w14:paraId="4E4CD122">
            <w:pPr>
              <w:pStyle w:val="40"/>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日，每天上午08:00:00至12:00:00，下午12:00:00至18:00:00（北京时间）</w:t>
            </w:r>
          </w:p>
        </w:tc>
      </w:tr>
      <w:tr w14:paraId="0F4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 w:type="dxa"/>
            <w:vAlign w:val="center"/>
          </w:tcPr>
          <w:p w14:paraId="197BE6D3">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77" w:type="dxa"/>
            <w:vAlign w:val="center"/>
          </w:tcPr>
          <w:p w14:paraId="4CA140C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434" w:type="dxa"/>
            <w:vAlign w:val="center"/>
          </w:tcPr>
          <w:p w14:paraId="59153743">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585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487ACE1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77" w:type="dxa"/>
            <w:vAlign w:val="center"/>
          </w:tcPr>
          <w:p w14:paraId="5FC25CDC">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现场勘查、标前答疑会</w:t>
            </w:r>
          </w:p>
        </w:tc>
        <w:tc>
          <w:tcPr>
            <w:tcW w:w="6434" w:type="dxa"/>
            <w:vAlign w:val="center"/>
          </w:tcPr>
          <w:p w14:paraId="516A2A50">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36DF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94" w:type="dxa"/>
            <w:vAlign w:val="center"/>
          </w:tcPr>
          <w:p w14:paraId="7EAACF3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77" w:type="dxa"/>
            <w:vAlign w:val="center"/>
          </w:tcPr>
          <w:p w14:paraId="248F8B84">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供应商对招标文件提出</w:t>
            </w:r>
            <w:r>
              <w:rPr>
                <w:rFonts w:hint="eastAsia" w:ascii="宋体" w:hAnsi="宋体" w:eastAsia="宋体" w:cs="宋体"/>
                <w:color w:val="auto"/>
                <w:sz w:val="24"/>
                <w:szCs w:val="24"/>
                <w:highlight w:val="none"/>
                <w:lang w:eastAsia="zh-CN"/>
              </w:rPr>
              <w:t>问题</w:t>
            </w:r>
            <w:r>
              <w:rPr>
                <w:rFonts w:hint="eastAsia" w:ascii="宋体" w:hAnsi="宋体" w:eastAsia="宋体" w:cs="宋体"/>
                <w:color w:val="auto"/>
                <w:sz w:val="24"/>
                <w:szCs w:val="24"/>
                <w:highlight w:val="none"/>
              </w:rPr>
              <w:t>的时间</w:t>
            </w:r>
          </w:p>
        </w:tc>
        <w:tc>
          <w:tcPr>
            <w:tcW w:w="6434" w:type="dxa"/>
          </w:tcPr>
          <w:p w14:paraId="74FC68E3">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供应商若对招标文件有</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的，在投标截止时间10日前，以书面形式向采购代理机构提出，在此之后提出的</w:t>
            </w:r>
            <w:r>
              <w:rPr>
                <w:rFonts w:hint="eastAsia" w:ascii="宋体" w:hAnsi="宋体" w:eastAsia="宋体" w:cs="宋体"/>
                <w:color w:val="auto"/>
                <w:sz w:val="24"/>
                <w:szCs w:val="24"/>
                <w:highlight w:val="none"/>
                <w:lang w:eastAsia="zh-CN"/>
              </w:rPr>
              <w:t>疑问</w:t>
            </w:r>
            <w:r>
              <w:rPr>
                <w:rFonts w:hint="eastAsia" w:ascii="宋体" w:hAnsi="宋体" w:eastAsia="宋体" w:cs="宋体"/>
                <w:color w:val="auto"/>
                <w:sz w:val="24"/>
                <w:szCs w:val="24"/>
                <w:highlight w:val="none"/>
              </w:rPr>
              <w:t>无效。</w:t>
            </w:r>
          </w:p>
        </w:tc>
      </w:tr>
      <w:tr w14:paraId="25EB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5CA3B3C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77" w:type="dxa"/>
            <w:vAlign w:val="center"/>
          </w:tcPr>
          <w:p w14:paraId="15B31785">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6434" w:type="dxa"/>
          </w:tcPr>
          <w:p w14:paraId="5827D65E">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招标文件的澄清、修改书及有关补充通知为招标文件的有效组成部分。</w:t>
            </w:r>
          </w:p>
        </w:tc>
      </w:tr>
      <w:tr w14:paraId="0B07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94" w:type="dxa"/>
            <w:vAlign w:val="center"/>
          </w:tcPr>
          <w:p w14:paraId="18B00338">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77" w:type="dxa"/>
            <w:vAlign w:val="center"/>
          </w:tcPr>
          <w:p w14:paraId="61CEC5B9">
            <w:pPr>
              <w:pStyle w:val="40"/>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投标文件截止时间及开标时间和地点</w:t>
            </w:r>
          </w:p>
        </w:tc>
        <w:tc>
          <w:tcPr>
            <w:tcW w:w="6434" w:type="dxa"/>
          </w:tcPr>
          <w:p w14:paraId="5DE87E05">
            <w:pPr>
              <w:pageBreakBefore w:val="0"/>
              <w:numPr>
                <w:ilvl w:val="0"/>
                <w:numId w:val="1"/>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投标文件截止时间：</w:t>
            </w:r>
            <w:bookmarkStart w:id="15" w:name="OLE_LINK5"/>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bookmarkStart w:id="16" w:name="OLE_LINK23"/>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秒</w:t>
            </w:r>
            <w:bookmarkEnd w:id="15"/>
            <w:r>
              <w:rPr>
                <w:rFonts w:hint="eastAsia" w:ascii="宋体" w:hAnsi="宋体" w:eastAsia="宋体" w:cs="宋体"/>
                <w:color w:val="auto"/>
                <w:sz w:val="24"/>
                <w:szCs w:val="24"/>
                <w:highlight w:val="none"/>
              </w:rPr>
              <w:t>（北京时间）</w:t>
            </w:r>
          </w:p>
          <w:bookmarkEnd w:id="16"/>
          <w:p w14:paraId="16290A51">
            <w:pPr>
              <w:pageBreakBefore w:val="0"/>
              <w:numPr>
                <w:ilvl w:val="0"/>
                <w:numId w:val="0"/>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2、投标文件开启时间</w:t>
            </w:r>
            <w:bookmarkStart w:id="17" w:name="OLE_LINK24"/>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秒（北京时间）</w:t>
            </w:r>
          </w:p>
          <w:bookmarkEnd w:id="17"/>
          <w:p w14:paraId="0C1180B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50" w:lineRule="exact"/>
              <w:ind w:right="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w:t>
            </w:r>
            <w:r>
              <w:rPr>
                <w:rFonts w:hint="eastAsia" w:ascii="宋体" w:hAnsi="宋体" w:eastAsia="宋体" w:cs="宋体"/>
                <w:color w:val="auto"/>
                <w:sz w:val="24"/>
                <w:szCs w:val="24"/>
                <w:highlight w:val="none"/>
                <w:lang w:val="en-US" w:eastAsia="zh-CN"/>
              </w:rPr>
              <w:t>文件递交</w:t>
            </w:r>
            <w:r>
              <w:rPr>
                <w:rFonts w:hint="eastAsia" w:ascii="宋体" w:hAnsi="宋体" w:eastAsia="宋体" w:cs="宋体"/>
                <w:color w:val="auto"/>
                <w:sz w:val="24"/>
                <w:szCs w:val="24"/>
                <w:highlight w:val="none"/>
              </w:rPr>
              <w:t>地点：</w:t>
            </w:r>
            <w:r>
              <w:rPr>
                <w:rFonts w:hint="eastAsia" w:ascii="宋体" w:hAnsi="宋体" w:eastAsia="宋体" w:cs="宋体"/>
                <w:i w:val="0"/>
                <w:iCs w:val="0"/>
                <w:caps w:val="0"/>
                <w:color w:val="auto"/>
                <w:spacing w:val="0"/>
                <w:kern w:val="0"/>
                <w:sz w:val="24"/>
                <w:szCs w:val="24"/>
                <w:highlight w:val="none"/>
                <w:shd w:val="clear" w:fill="FFFFFF"/>
                <w:lang w:val="en-US" w:eastAsia="zh-CN" w:bidi="ar"/>
              </w:rPr>
              <w:t>纸质版递交至延安市公共资源交易中心</w:t>
            </w:r>
            <w:bookmarkStart w:id="18" w:name="OLE_LINK26"/>
            <w:r>
              <w:rPr>
                <w:rFonts w:hint="eastAsia" w:ascii="宋体" w:hAnsi="宋体" w:eastAsia="宋体" w:cs="宋体"/>
                <w:i w:val="0"/>
                <w:iCs w:val="0"/>
                <w:caps w:val="0"/>
                <w:color w:val="auto"/>
                <w:spacing w:val="0"/>
                <w:kern w:val="0"/>
                <w:sz w:val="24"/>
                <w:szCs w:val="24"/>
                <w:highlight w:val="none"/>
                <w:shd w:val="clear" w:fill="FFFFFF"/>
                <w:lang w:val="en-US" w:eastAsia="zh-CN" w:bidi="ar"/>
              </w:rPr>
              <w:t>交</w:t>
            </w:r>
            <w:bookmarkStart w:id="19" w:name="OLE_LINK25"/>
            <w:r>
              <w:rPr>
                <w:rFonts w:hint="eastAsia" w:ascii="宋体" w:hAnsi="宋体" w:eastAsia="宋体" w:cs="宋体"/>
                <w:i w:val="0"/>
                <w:iCs w:val="0"/>
                <w:caps w:val="0"/>
                <w:color w:val="auto"/>
                <w:spacing w:val="0"/>
                <w:kern w:val="0"/>
                <w:sz w:val="24"/>
                <w:szCs w:val="24"/>
                <w:highlight w:val="none"/>
                <w:shd w:val="clear" w:fill="FFFFFF"/>
                <w:lang w:val="en-US" w:eastAsia="zh-CN" w:bidi="ar"/>
              </w:rPr>
              <w:t>易</w:t>
            </w:r>
            <w:r>
              <w:rPr>
                <w:rFonts w:hint="eastAsia" w:cs="宋体"/>
                <w:i w:val="0"/>
                <w:iCs w:val="0"/>
                <w:caps w:val="0"/>
                <w:color w:val="auto"/>
                <w:spacing w:val="0"/>
                <w:kern w:val="0"/>
                <w:sz w:val="24"/>
                <w:szCs w:val="24"/>
                <w:highlight w:val="none"/>
                <w:shd w:val="clear" w:fill="FFFFFF"/>
                <w:lang w:val="en-US" w:eastAsia="zh-CN" w:bidi="ar"/>
              </w:rPr>
              <w:t xml:space="preserve"> 一 </w:t>
            </w:r>
            <w:r>
              <w:rPr>
                <w:rFonts w:hint="eastAsia" w:ascii="宋体" w:hAnsi="宋体" w:eastAsia="宋体" w:cs="宋体"/>
                <w:i w:val="0"/>
                <w:iCs w:val="0"/>
                <w:caps w:val="0"/>
                <w:color w:val="auto"/>
                <w:spacing w:val="0"/>
                <w:kern w:val="0"/>
                <w:sz w:val="24"/>
                <w:szCs w:val="24"/>
                <w:highlight w:val="none"/>
                <w:shd w:val="clear" w:fill="FFFFFF"/>
                <w:lang w:val="en-US" w:eastAsia="zh-CN" w:bidi="ar"/>
              </w:rPr>
              <w:t>厅</w:t>
            </w:r>
            <w:bookmarkEnd w:id="18"/>
            <w:bookmarkEnd w:id="19"/>
            <w:r>
              <w:rPr>
                <w:rFonts w:hint="eastAsia" w:ascii="宋体" w:hAnsi="宋体" w:eastAsia="宋体" w:cs="宋体"/>
                <w:i w:val="0"/>
                <w:iCs w:val="0"/>
                <w:caps w:val="0"/>
                <w:color w:val="auto"/>
                <w:spacing w:val="0"/>
                <w:kern w:val="0"/>
                <w:sz w:val="24"/>
                <w:szCs w:val="24"/>
                <w:highlight w:val="none"/>
                <w:shd w:val="clear" w:fill="FFFFFF"/>
                <w:lang w:val="en-US" w:eastAsia="zh-CN" w:bidi="ar"/>
              </w:rPr>
              <w:t>，电子版上传至《全国公共资源交易平台（陕西省·延安市）》电子招投标系统</w:t>
            </w:r>
            <w:r>
              <w:rPr>
                <w:rFonts w:hint="eastAsia" w:ascii="宋体" w:hAnsi="宋体" w:eastAsia="宋体" w:cs="宋体"/>
                <w:color w:val="auto"/>
                <w:sz w:val="24"/>
                <w:szCs w:val="24"/>
                <w:highlight w:val="none"/>
              </w:rPr>
              <w:t xml:space="preserve"> 。</w:t>
            </w:r>
          </w:p>
        </w:tc>
      </w:tr>
      <w:tr w14:paraId="0F80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5C55443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77" w:type="dxa"/>
            <w:vAlign w:val="center"/>
          </w:tcPr>
          <w:p w14:paraId="59D675D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34" w:type="dxa"/>
          </w:tcPr>
          <w:p w14:paraId="3EDDBEA7">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自</w:t>
            </w:r>
            <w:r>
              <w:rPr>
                <w:rFonts w:hint="eastAsia" w:ascii="宋体" w:hAnsi="宋体" w:eastAsia="宋体" w:cs="宋体"/>
                <w:color w:val="auto"/>
                <w:spacing w:val="-4"/>
                <w:sz w:val="24"/>
                <w:szCs w:val="24"/>
                <w:highlight w:val="none"/>
                <w:lang w:eastAsia="zh-CN"/>
              </w:rPr>
              <w:t>递交投标文件截止</w:t>
            </w:r>
            <w:r>
              <w:rPr>
                <w:rFonts w:hint="eastAsia" w:ascii="宋体" w:hAnsi="宋体" w:eastAsia="宋体" w:cs="宋体"/>
                <w:color w:val="auto"/>
                <w:spacing w:val="-4"/>
                <w:sz w:val="24"/>
                <w:szCs w:val="24"/>
                <w:highlight w:val="none"/>
              </w:rPr>
              <w:t>之日起90个日历天。</w:t>
            </w:r>
          </w:p>
        </w:tc>
      </w:tr>
      <w:tr w14:paraId="7ED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dxa"/>
            <w:vAlign w:val="center"/>
          </w:tcPr>
          <w:p w14:paraId="4C8AAEF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77" w:type="dxa"/>
            <w:vAlign w:val="center"/>
          </w:tcPr>
          <w:p w14:paraId="32EBC5BA">
            <w:pPr>
              <w:pageBreakBefore w:val="0"/>
              <w:bidi w:val="0"/>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34" w:type="dxa"/>
            <w:vAlign w:val="center"/>
          </w:tcPr>
          <w:p w14:paraId="34F6BFDF">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投标保证金应当以支票、汇票、本票或者金融机构、担保机构出具的保函等非现金形式提交。投标人未按照招标文件要求提交投标保证金的，投标无效。</w:t>
            </w:r>
          </w:p>
          <w:p w14:paraId="5C2914FC">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采用银行转账形式交纳投标保证金的，供应商必须从供应商的银行账户（户名与供应商名一致）将投标保证金交纳至招标文件指定账户，并且在转账时注明项目编号或项目名称。</w:t>
            </w:r>
          </w:p>
          <w:p w14:paraId="779B3919">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投标保证金必须在投标截止时间前交纳。</w:t>
            </w:r>
          </w:p>
          <w:p w14:paraId="7A901345">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（1）采用银行转账形式交纳的，以招标文件指定账户到账显示时间为准。</w:t>
            </w:r>
          </w:p>
          <w:p w14:paraId="73E60EEE">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（2）采用支票、汇票、本票、保函方式的，在投标文件中放入本票、汇票、支票、保函复印件，在投标截止时间之前将原件随纸质版投标文件一起递交。</w:t>
            </w:r>
          </w:p>
          <w:p w14:paraId="41279EBA">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供应商应充分考虑并自行承担任何可能导致到账被延误的风险。</w:t>
            </w:r>
          </w:p>
          <w:p w14:paraId="2A7A8E59">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投标保证金有效期与投标有效期一致。</w:t>
            </w:r>
          </w:p>
          <w:p w14:paraId="1EC01710">
            <w:pPr>
              <w:pageBreakBefore w:val="0"/>
              <w:bidi w:val="0"/>
              <w:spacing w:line="460" w:lineRule="exac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凡未交纳、未足额交纳或未按规定时间和形式交纳保证金的，将被视为自动放弃投标权利，响应无效。</w:t>
            </w:r>
          </w:p>
          <w:p w14:paraId="27ECC205">
            <w:pPr>
              <w:pageBreakBefore w:val="0"/>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投标保证金的金额为：</w:t>
            </w:r>
          </w:p>
          <w:p w14:paraId="5335DB36">
            <w:pPr>
              <w:pageBreakBefore w:val="0"/>
              <w:bidi w:val="0"/>
              <w:spacing w:line="46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一标包：</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000元；</w:t>
            </w:r>
          </w:p>
          <w:p w14:paraId="12A57181">
            <w:pPr>
              <w:pageBreakBefore w:val="0"/>
              <w:bidi w:val="0"/>
              <w:spacing w:line="46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二标包：</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000元；</w:t>
            </w:r>
          </w:p>
          <w:p w14:paraId="2554D90D">
            <w:pPr>
              <w:pageBreakBefore w:val="0"/>
              <w:bidi w:val="0"/>
              <w:spacing w:line="46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三标包：</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000元；</w:t>
            </w:r>
          </w:p>
          <w:p w14:paraId="6D9E77EC">
            <w:pPr>
              <w:pageBreakBefore w:val="0"/>
              <w:bidi w:val="0"/>
              <w:spacing w:line="460" w:lineRule="exact"/>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标包：</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000元；</w:t>
            </w:r>
          </w:p>
          <w:p w14:paraId="0CA832B8">
            <w:pPr>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账户名称：华鼎工程咨询集团有限公司</w:t>
            </w:r>
          </w:p>
          <w:p w14:paraId="30B94061">
            <w:pPr>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开户银行：工行延安分行兰家坪支行</w:t>
            </w:r>
          </w:p>
          <w:p w14:paraId="7D77C728">
            <w:pPr>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账号：2609011719280016380</w:t>
            </w:r>
          </w:p>
          <w:p w14:paraId="6724038A">
            <w:pPr>
              <w:spacing w:line="320" w:lineRule="exac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重要提示：转账时注明项目名称及标包。</w:t>
            </w:r>
          </w:p>
        </w:tc>
      </w:tr>
      <w:tr w14:paraId="1A7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94" w:type="dxa"/>
            <w:vAlign w:val="center"/>
          </w:tcPr>
          <w:p w14:paraId="396A9EE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77" w:type="dxa"/>
            <w:vAlign w:val="center"/>
          </w:tcPr>
          <w:p w14:paraId="3E60568A">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p w14:paraId="4059CCB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和报价</w:t>
            </w:r>
          </w:p>
        </w:tc>
        <w:tc>
          <w:tcPr>
            <w:tcW w:w="6434" w:type="dxa"/>
            <w:vAlign w:val="center"/>
          </w:tcPr>
          <w:p w14:paraId="2A2C0BC5">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不接受备选投标方案和多个报价。</w:t>
            </w:r>
          </w:p>
        </w:tc>
      </w:tr>
      <w:tr w14:paraId="7B56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94" w:type="dxa"/>
            <w:vAlign w:val="center"/>
          </w:tcPr>
          <w:p w14:paraId="235B4A52">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77" w:type="dxa"/>
            <w:vAlign w:val="center"/>
          </w:tcPr>
          <w:p w14:paraId="55208FB9">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盖章签字</w:t>
            </w:r>
          </w:p>
        </w:tc>
        <w:tc>
          <w:tcPr>
            <w:tcW w:w="6434" w:type="dxa"/>
            <w:vAlign w:val="center"/>
          </w:tcPr>
          <w:p w14:paraId="7AB52ACC">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招标文件要求指定位置“签字或盖章”的，投标人只要一项内容即可。</w:t>
            </w:r>
          </w:p>
          <w:p w14:paraId="427FBC22">
            <w:pPr>
              <w:pageBreakBefore w:val="0"/>
              <w:tabs>
                <w:tab w:val="left" w:pos="7013"/>
              </w:tabs>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招标文件要求指定位置“签字和盖章”的，投标人必须既签字又盖章。</w:t>
            </w:r>
          </w:p>
        </w:tc>
      </w:tr>
      <w:tr w14:paraId="76A0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14:paraId="4DE960A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77" w:type="dxa"/>
            <w:vAlign w:val="center"/>
          </w:tcPr>
          <w:p w14:paraId="53F8B57F">
            <w:pPr>
              <w:pageBreakBefore w:val="0"/>
              <w:bidi w:val="0"/>
              <w:spacing w:line="46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投标文件数量、</w:t>
            </w:r>
          </w:p>
          <w:p w14:paraId="4FB6FCE1">
            <w:pPr>
              <w:pageBreakBefore w:val="0"/>
              <w:bidi w:val="0"/>
              <w:spacing w:line="460" w:lineRule="exact"/>
              <w:outlineLvl w:val="9"/>
              <w:rPr>
                <w:rFonts w:hint="eastAsia" w:ascii="宋体" w:hAnsi="宋体" w:eastAsia="宋体" w:cs="宋体"/>
                <w:color w:val="auto"/>
                <w:spacing w:val="-30"/>
                <w:sz w:val="24"/>
                <w:szCs w:val="24"/>
                <w:highlight w:val="none"/>
              </w:rPr>
            </w:pPr>
            <w:r>
              <w:rPr>
                <w:rFonts w:hint="eastAsia" w:ascii="宋体" w:hAnsi="宋体" w:eastAsia="宋体" w:cs="宋体"/>
                <w:color w:val="auto"/>
                <w:sz w:val="24"/>
                <w:szCs w:val="24"/>
                <w:highlight w:val="none"/>
                <w:lang w:eastAsia="zh-CN"/>
              </w:rPr>
              <w:t>装订</w:t>
            </w:r>
          </w:p>
        </w:tc>
        <w:tc>
          <w:tcPr>
            <w:tcW w:w="6434" w:type="dxa"/>
            <w:vAlign w:val="center"/>
          </w:tcPr>
          <w:p w14:paraId="6AEF49B6">
            <w:pPr>
              <w:pageBreakBefore w:val="0"/>
              <w:bidi w:val="0"/>
              <w:spacing w:line="460" w:lineRule="exact"/>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投标文件一律采用胶装方式装订。投标文件正本一份，副本二份，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cs="宋体"/>
                <w:color w:val="auto"/>
                <w:sz w:val="24"/>
                <w:szCs w:val="24"/>
                <w:highlight w:val="none"/>
                <w:lang w:val="en-US" w:eastAsia="zh-CN"/>
              </w:rPr>
              <w:t>或光盘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w:t>
            </w:r>
          </w:p>
        </w:tc>
      </w:tr>
      <w:tr w14:paraId="10EF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Align w:val="center"/>
          </w:tcPr>
          <w:p w14:paraId="1C28C38D">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77" w:type="dxa"/>
            <w:vAlign w:val="center"/>
          </w:tcPr>
          <w:p w14:paraId="0C7545AE">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评标办法及</w:t>
            </w:r>
          </w:p>
          <w:p w14:paraId="4B31DDF7">
            <w:pPr>
              <w:pageBreakBefore w:val="0"/>
              <w:bidi w:val="0"/>
              <w:spacing w:line="24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6434" w:type="dxa"/>
            <w:vAlign w:val="center"/>
          </w:tcPr>
          <w:p w14:paraId="24ABD102">
            <w:pPr>
              <w:pStyle w:val="40"/>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w:t>
            </w:r>
            <w:bookmarkStart w:id="20" w:name="OLE_LINK8"/>
            <w:r>
              <w:rPr>
                <w:rFonts w:hint="eastAsia" w:ascii="宋体" w:hAnsi="宋体" w:eastAsia="宋体" w:cs="宋体"/>
                <w:color w:val="auto"/>
                <w:sz w:val="24"/>
                <w:szCs w:val="24"/>
                <w:highlight w:val="none"/>
              </w:rPr>
              <w:t>合评估</w:t>
            </w:r>
            <w:bookmarkEnd w:id="20"/>
            <w:r>
              <w:rPr>
                <w:rFonts w:hint="eastAsia" w:ascii="宋体" w:hAnsi="宋体" w:eastAsia="宋体" w:cs="宋体"/>
                <w:color w:val="auto"/>
                <w:sz w:val="24"/>
                <w:szCs w:val="24"/>
                <w:highlight w:val="none"/>
              </w:rPr>
              <w:t>法</w:t>
            </w:r>
          </w:p>
        </w:tc>
      </w:tr>
      <w:tr w14:paraId="2D20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shd w:val="clear" w:color="auto" w:fill="auto"/>
            <w:vAlign w:val="center"/>
          </w:tcPr>
          <w:p w14:paraId="3D7B0617">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p>
        </w:tc>
        <w:tc>
          <w:tcPr>
            <w:tcW w:w="1977" w:type="dxa"/>
            <w:vAlign w:val="center"/>
          </w:tcPr>
          <w:p w14:paraId="0E9D31BB">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评审委员会的</w:t>
            </w:r>
          </w:p>
          <w:p w14:paraId="5AB8273F">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6434" w:type="dxa"/>
            <w:vAlign w:val="center"/>
          </w:tcPr>
          <w:p w14:paraId="536A8798">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。采购人代表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人，专家</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0E0E4B7A">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评审专家确定方式：开标前24小时内从陕西省政府采购综合管理平台</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w:t>
            </w:r>
          </w:p>
        </w:tc>
      </w:tr>
      <w:tr w14:paraId="2485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shd w:val="clear" w:color="auto" w:fill="auto"/>
            <w:vAlign w:val="center"/>
          </w:tcPr>
          <w:p w14:paraId="1D52E816">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977" w:type="dxa"/>
            <w:vAlign w:val="center"/>
          </w:tcPr>
          <w:p w14:paraId="4B2690C0">
            <w:pPr>
              <w:pageBreakBefore w:val="0"/>
              <w:bidi w:val="0"/>
              <w:spacing w:line="4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服务费</w:t>
            </w:r>
          </w:p>
        </w:tc>
        <w:tc>
          <w:tcPr>
            <w:tcW w:w="6434" w:type="dxa"/>
            <w:vAlign w:val="center"/>
          </w:tcPr>
          <w:p w14:paraId="4DD8DBD3">
            <w:pPr>
              <w:pageBreakBefore w:val="0"/>
              <w:bidi w:val="0"/>
              <w:spacing w:line="460" w:lineRule="exact"/>
              <w:outlineLvl w:val="9"/>
              <w:rPr>
                <w:rFonts w:hint="eastAsia" w:ascii="宋体" w:hAnsi="宋体" w:eastAsia="宋体" w:cs="宋体"/>
                <w:color w:val="auto"/>
                <w:sz w:val="24"/>
                <w:szCs w:val="24"/>
                <w:highlight w:val="none"/>
              </w:rPr>
            </w:pPr>
            <w:bookmarkStart w:id="21" w:name="OLE_LINK9"/>
            <w:r>
              <w:rPr>
                <w:rFonts w:hint="eastAsia" w:ascii="宋体" w:hAnsi="宋体" w:eastAsia="宋体" w:cs="宋体"/>
                <w:color w:val="auto"/>
                <w:sz w:val="24"/>
                <w:szCs w:val="24"/>
                <w:highlight w:val="none"/>
              </w:rPr>
              <w:t>招标代理服务费</w:t>
            </w:r>
            <w:r>
              <w:rPr>
                <w:rFonts w:hint="eastAsia" w:ascii="宋体" w:hAnsi="宋体" w:eastAsia="宋体" w:cs="宋体"/>
                <w:color w:val="auto"/>
                <w:sz w:val="24"/>
                <w:szCs w:val="24"/>
                <w:highlight w:val="none"/>
                <w:lang w:eastAsia="zh-CN"/>
              </w:rPr>
              <w:t>：</w:t>
            </w:r>
            <w:bookmarkStart w:id="22" w:name="OLE_LINK10"/>
            <w:r>
              <w:rPr>
                <w:rFonts w:hint="eastAsia" w:ascii="宋体" w:hAnsi="宋体" w:eastAsia="宋体" w:cs="宋体"/>
                <w:color w:val="auto"/>
                <w:sz w:val="24"/>
                <w:szCs w:val="24"/>
                <w:highlight w:val="none"/>
                <w:lang w:val="en-US" w:eastAsia="zh-CN"/>
              </w:rPr>
              <w:t>按照《招标代理服务收费管理暂行办法》（计价格『2002』1980号）及《国家发展改革委关于降低部分建设项目收费标准规范收费行为等有关问题的通知》（发改价格[2011]534号）文件规定收取，由中标人支付。中标人在领取中标通知书时须向采购代理机构一次性支付招标代理服务费。</w:t>
            </w:r>
            <w:bookmarkEnd w:id="21"/>
            <w:bookmarkEnd w:id="22"/>
          </w:p>
        </w:tc>
      </w:tr>
      <w:tr w14:paraId="791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shd w:val="clear" w:color="auto" w:fill="auto"/>
            <w:vAlign w:val="center"/>
          </w:tcPr>
          <w:p w14:paraId="6079AA57">
            <w:pPr>
              <w:pageBreakBefore w:val="0"/>
              <w:bidi w:val="0"/>
              <w:spacing w:line="46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1977" w:type="dxa"/>
            <w:vAlign w:val="center"/>
          </w:tcPr>
          <w:p w14:paraId="0D4B7BD0">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p w14:paraId="11586643">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6434" w:type="dxa"/>
            <w:vAlign w:val="center"/>
          </w:tcPr>
          <w:p w14:paraId="6C0DCA8A">
            <w:pPr>
              <w:pageBreakBefore w:val="0"/>
              <w:bidi w:val="0"/>
              <w:spacing w:line="460" w:lineRule="exact"/>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本项目采购标的对应的中小企业划分标准所属行业为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农、林、牧、渔业。</w:t>
            </w:r>
          </w:p>
        </w:tc>
      </w:tr>
      <w:tr w14:paraId="27F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4" w:type="dxa"/>
            <w:shd w:val="clear" w:color="auto" w:fill="auto"/>
            <w:vAlign w:val="center"/>
          </w:tcPr>
          <w:p w14:paraId="77EE0025">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bookmarkStart w:id="23" w:name="OLE_LINK14" w:colFirst="1" w:colLast="2"/>
            <w:r>
              <w:rPr>
                <w:rFonts w:hint="eastAsia" w:ascii="宋体" w:hAnsi="宋体" w:eastAsia="宋体" w:cs="宋体"/>
                <w:color w:val="auto"/>
                <w:sz w:val="24"/>
                <w:szCs w:val="24"/>
                <w:highlight w:val="none"/>
                <w:lang w:val="en-US" w:eastAsia="zh-CN"/>
              </w:rPr>
              <w:t>25</w:t>
            </w:r>
          </w:p>
        </w:tc>
        <w:tc>
          <w:tcPr>
            <w:tcW w:w="1977" w:type="dxa"/>
            <w:vAlign w:val="center"/>
          </w:tcPr>
          <w:p w14:paraId="2084E47F">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结算方式</w:t>
            </w:r>
          </w:p>
        </w:tc>
        <w:tc>
          <w:tcPr>
            <w:tcW w:w="6434" w:type="dxa"/>
            <w:vAlign w:val="center"/>
          </w:tcPr>
          <w:p w14:paraId="361DEE95">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按实结算。</w:t>
            </w:r>
          </w:p>
          <w:p w14:paraId="29E29CF8">
            <w:pPr>
              <w:pageBreakBefore w:val="0"/>
              <w:bidi w:val="0"/>
              <w:spacing w:line="460" w:lineRule="exact"/>
              <w:outlineLvl w:val="9"/>
              <w:rPr>
                <w:rFonts w:hint="eastAsia" w:ascii="宋体" w:hAnsi="宋体" w:eastAsia="宋体" w:cs="宋体"/>
                <w:color w:val="auto"/>
                <w:sz w:val="24"/>
                <w:szCs w:val="24"/>
                <w:highlight w:val="none"/>
                <w:lang w:val="en-US" w:eastAsia="zh-CN"/>
              </w:rPr>
            </w:pPr>
            <w:bookmarkStart w:id="24" w:name="OLE_LINK32"/>
            <w:bookmarkStart w:id="25" w:name="OLE_LINK40"/>
            <w:r>
              <w:rPr>
                <w:rFonts w:hint="eastAsia" w:ascii="宋体" w:hAnsi="宋体" w:eastAsia="宋体" w:cs="宋体"/>
                <w:color w:val="auto"/>
                <w:sz w:val="24"/>
                <w:szCs w:val="24"/>
                <w:highlight w:val="none"/>
                <w:lang w:val="en-US" w:eastAsia="zh-CN"/>
              </w:rPr>
              <w:t>结算价=实际供货总价*[1+(</w:t>
            </w:r>
            <w:bookmarkStart w:id="26" w:name="OLE_LINK30"/>
            <w:r>
              <w:rPr>
                <w:rFonts w:hint="eastAsia" w:ascii="宋体" w:hAnsi="宋体" w:eastAsia="宋体" w:cs="宋体"/>
                <w:color w:val="auto"/>
                <w:sz w:val="24"/>
                <w:szCs w:val="24"/>
                <w:highlight w:val="none"/>
                <w:lang w:val="en-US" w:eastAsia="zh-CN"/>
              </w:rPr>
              <w:t>投标报价</w:t>
            </w:r>
            <w:bookmarkEnd w:id="26"/>
            <w:r>
              <w:rPr>
                <w:rFonts w:hint="eastAsia" w:ascii="宋体" w:hAnsi="宋体" w:eastAsia="宋体" w:cs="宋体"/>
                <w:color w:val="auto"/>
                <w:sz w:val="24"/>
                <w:szCs w:val="24"/>
                <w:highlight w:val="none"/>
                <w:lang w:val="en-US" w:eastAsia="zh-CN"/>
              </w:rPr>
              <w:t>-</w:t>
            </w:r>
            <w:bookmarkStart w:id="27" w:name="OLE_LINK31"/>
            <w:r>
              <w:rPr>
                <w:rFonts w:hint="eastAsia" w:ascii="宋体" w:hAnsi="宋体" w:eastAsia="宋体" w:cs="宋体"/>
                <w:color w:val="auto"/>
                <w:sz w:val="24"/>
                <w:szCs w:val="24"/>
                <w:highlight w:val="none"/>
                <w:lang w:val="en-US" w:eastAsia="zh-CN"/>
              </w:rPr>
              <w:t>最高限价</w:t>
            </w:r>
            <w:bookmarkEnd w:id="27"/>
            <w:r>
              <w:rPr>
                <w:rFonts w:hint="eastAsia" w:ascii="宋体" w:hAnsi="宋体" w:eastAsia="宋体" w:cs="宋体"/>
                <w:color w:val="auto"/>
                <w:sz w:val="24"/>
                <w:szCs w:val="24"/>
                <w:highlight w:val="none"/>
                <w:lang w:val="en-US" w:eastAsia="zh-CN"/>
              </w:rPr>
              <w:t>)/最高限价*100%]</w:t>
            </w:r>
            <w:bookmarkEnd w:id="24"/>
          </w:p>
          <w:p w14:paraId="7B0DDFBE">
            <w:pPr>
              <w:pageBreakBefore w:val="0"/>
              <w:bidi w:val="0"/>
              <w:spacing w:line="4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产品定价原则：不得高于同时期该产品的市场平均价。</w:t>
            </w:r>
            <w:bookmarkEnd w:id="25"/>
          </w:p>
        </w:tc>
      </w:tr>
      <w:bookmarkEnd w:id="23"/>
      <w:tr w14:paraId="35AC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94" w:type="dxa"/>
            <w:vAlign w:val="center"/>
          </w:tcPr>
          <w:p w14:paraId="5121D304">
            <w:pPr>
              <w:pageBreakBefore w:val="0"/>
              <w:bidi w:val="0"/>
              <w:spacing w:line="46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77" w:type="dxa"/>
            <w:vAlign w:val="center"/>
          </w:tcPr>
          <w:p w14:paraId="51186B79">
            <w:pPr>
              <w:pageBreakBefore w:val="0"/>
              <w:bidi w:val="0"/>
              <w:spacing w:after="120" w:line="400" w:lineRule="exact"/>
              <w:jc w:val="center"/>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rPr>
              <w:t>电子投标注意事项</w:t>
            </w:r>
          </w:p>
        </w:tc>
        <w:tc>
          <w:tcPr>
            <w:tcW w:w="6434" w:type="dxa"/>
            <w:vAlign w:val="center"/>
          </w:tcPr>
          <w:p w14:paraId="744AC170">
            <w:pPr>
              <w:pageBreakBefore w:val="0"/>
              <w:bidi w:val="0"/>
              <w:spacing w:line="360" w:lineRule="auto"/>
              <w:outlineLvl w:val="9"/>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应及时下载招标文件等相关文件，在投标截止前必须上传投标文件；</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应在系统发出解密指令后规定时间内对投标文件完成解密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供应商未按规定下载、上传或对投标文件进行解密造成废标的，后果由供应商自行承担。</w:t>
            </w:r>
          </w:p>
        </w:tc>
      </w:tr>
    </w:tbl>
    <w:p w14:paraId="53881114">
      <w:pPr>
        <w:pageBreakBefore w:val="0"/>
        <w:bidi w:val="0"/>
        <w:spacing w:line="460" w:lineRule="exact"/>
        <w:outlineLvl w:val="9"/>
        <w:rPr>
          <w:rFonts w:hint="eastAsia" w:ascii="宋体" w:hAnsi="宋体" w:eastAsia="宋体" w:cs="宋体"/>
          <w:b/>
          <w:color w:val="auto"/>
          <w:sz w:val="28"/>
          <w:szCs w:val="28"/>
          <w:highlight w:val="none"/>
        </w:rPr>
        <w:sectPr>
          <w:headerReference r:id="rId4" w:type="default"/>
          <w:footerReference r:id="rId5" w:type="default"/>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78C61804">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7AC18E07">
      <w:pPr>
        <w:pageBreakBefore w:val="0"/>
        <w:bidi w:val="0"/>
        <w:spacing w:line="460" w:lineRule="exact"/>
        <w:ind w:firstLine="480" w:firstLineChars="200"/>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zh-CN"/>
        </w:rPr>
        <w:t>1、采购人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eastAsia="zh-CN"/>
        </w:rPr>
        <w:t>延安市宝塔区</w:t>
      </w:r>
      <w:r>
        <w:rPr>
          <w:rFonts w:hint="eastAsia" w:ascii="宋体" w:hAnsi="宋体" w:cs="宋体"/>
          <w:color w:val="auto"/>
          <w:sz w:val="24"/>
          <w:szCs w:val="24"/>
          <w:highlight w:val="none"/>
          <w:lang w:val="en-US" w:eastAsia="zh-CN"/>
        </w:rPr>
        <w:t>第五中学</w:t>
      </w:r>
    </w:p>
    <w:p w14:paraId="136A14E9">
      <w:pPr>
        <w:pageBreakBefore w:val="0"/>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、采购代理</w:t>
      </w:r>
      <w:r>
        <w:rPr>
          <w:rFonts w:hint="eastAsia" w:ascii="宋体" w:hAnsi="宋体" w:eastAsia="宋体" w:cs="宋体"/>
          <w:color w:val="auto"/>
          <w:sz w:val="24"/>
          <w:szCs w:val="24"/>
          <w:highlight w:val="none"/>
        </w:rPr>
        <w:t>机构：</w:t>
      </w:r>
      <w:r>
        <w:rPr>
          <w:rFonts w:hint="eastAsia" w:ascii="宋体" w:hAnsi="宋体" w:cs="宋体"/>
          <w:color w:val="auto"/>
          <w:sz w:val="24"/>
          <w:szCs w:val="24"/>
          <w:highlight w:val="none"/>
          <w:lang w:eastAsia="zh-CN"/>
        </w:rPr>
        <w:t>华鼎工程咨询集团有限公司</w:t>
      </w:r>
    </w:p>
    <w:p w14:paraId="737B8AAD">
      <w:pPr>
        <w:pageBreakBefore w:val="0"/>
        <w:bidi w:val="0"/>
        <w:spacing w:line="460" w:lineRule="exact"/>
        <w:ind w:firstLine="480" w:firstLineChars="200"/>
        <w:outlineLvl w:val="9"/>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3、采购预算价</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7379500.00元：其中合同包1：（延安市宝塔区第五中学肉类食材采购及营养改善计划采购项目）预算金额：2500000.00元；合同包2(延安市宝塔区第五中学蔬菜类食材采购及营养改善计划采购项目):预算金额：2339500.00元；合同包3(延安市宝塔区第五中学米、面、油、五谷杂粮、水果等食材采购及营养改善计划项目)预算金额：1130000.00元；合同包4(延安市宝塔区第五中学鸡蛋、牛奶、调料、干货等食材采购及营养改善计划项目)预算金额：1410000.00元；具体金额以实际供应量为准。</w:t>
      </w:r>
    </w:p>
    <w:p w14:paraId="39220BD0">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4、招标最高限价：</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7379500.00元</w:t>
      </w:r>
      <w:r>
        <w:rPr>
          <w:rFonts w:hint="eastAsia" w:ascii="宋体" w:hAnsi="宋体" w:eastAsia="宋体" w:cs="宋体"/>
          <w:color w:val="auto"/>
          <w:sz w:val="24"/>
          <w:szCs w:val="24"/>
          <w:highlight w:val="none"/>
          <w:lang w:val="en-US" w:eastAsia="zh-CN"/>
        </w:rPr>
        <w:t>：其中合同包1：</w:t>
      </w:r>
      <w:r>
        <w:rPr>
          <w:rFonts w:hint="eastAsia" w:ascii="宋体" w:hAnsi="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2500000</w:t>
      </w:r>
      <w:r>
        <w:rPr>
          <w:rFonts w:hint="eastAsia" w:ascii="宋体" w:hAnsi="宋体" w:eastAsia="宋体" w:cs="宋体"/>
          <w:color w:val="auto"/>
          <w:sz w:val="24"/>
          <w:szCs w:val="24"/>
          <w:highlight w:val="none"/>
          <w:lang w:val="en-US" w:eastAsia="zh-CN"/>
        </w:rPr>
        <w:t>.00元；合同包2:</w:t>
      </w:r>
      <w:r>
        <w:rPr>
          <w:rFonts w:hint="eastAsia" w:ascii="宋体" w:hAnsi="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2339500</w:t>
      </w:r>
      <w:r>
        <w:rPr>
          <w:rFonts w:hint="eastAsia" w:ascii="宋体" w:hAnsi="宋体" w:eastAsia="宋体" w:cs="宋体"/>
          <w:color w:val="auto"/>
          <w:sz w:val="24"/>
          <w:szCs w:val="24"/>
          <w:highlight w:val="none"/>
          <w:lang w:val="en-US" w:eastAsia="zh-CN"/>
        </w:rPr>
        <w:t>.00元；合同包3</w:t>
      </w:r>
      <w:r>
        <w:rPr>
          <w:rFonts w:hint="eastAsia" w:ascii="宋体" w:hAnsi="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113000</w:t>
      </w:r>
      <w:r>
        <w:rPr>
          <w:rFonts w:hint="eastAsia" w:ascii="宋体" w:hAnsi="宋体" w:eastAsia="宋体" w:cs="宋体"/>
          <w:color w:val="auto"/>
          <w:sz w:val="24"/>
          <w:szCs w:val="24"/>
          <w:highlight w:val="none"/>
          <w:lang w:val="zh-CN" w:eastAsia="zh-CN"/>
        </w:rPr>
        <w:t>0.00元；</w:t>
      </w:r>
      <w:r>
        <w:rPr>
          <w:rFonts w:hint="eastAsia" w:ascii="宋体" w:hAnsi="宋体" w:eastAsia="宋体" w:cs="宋体"/>
          <w:color w:val="auto"/>
          <w:sz w:val="24"/>
          <w:szCs w:val="24"/>
          <w:highlight w:val="none"/>
          <w:lang w:val="en-US" w:eastAsia="zh-CN"/>
        </w:rPr>
        <w:t>合同包</w:t>
      </w:r>
      <w:r>
        <w:rPr>
          <w:rFonts w:hint="eastAsia" w:ascii="宋体" w:hAnsi="宋体" w:cs="宋体"/>
          <w:color w:val="auto"/>
          <w:sz w:val="24"/>
          <w:szCs w:val="24"/>
          <w:highlight w:val="none"/>
          <w:lang w:val="en-US" w:eastAsia="zh-CN"/>
        </w:rPr>
        <w:t>4最高限价</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141000</w:t>
      </w:r>
      <w:r>
        <w:rPr>
          <w:rFonts w:hint="eastAsia" w:ascii="宋体" w:hAnsi="宋体" w:eastAsia="宋体" w:cs="宋体"/>
          <w:color w:val="auto"/>
          <w:sz w:val="24"/>
          <w:szCs w:val="24"/>
          <w:highlight w:val="none"/>
          <w:lang w:val="zh-CN" w:eastAsia="zh-CN"/>
        </w:rPr>
        <w:t>0.00元；具体金额以实际供应量为准。</w:t>
      </w:r>
    </w:p>
    <w:p w14:paraId="124A086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、标  书：招标文件与投标文件的统称</w:t>
      </w:r>
    </w:p>
    <w:p w14:paraId="76798B4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rPr>
        <w:t>符合本次招标文件所规定的资格条件，自愿参加本次招标活动的投标单位。</w:t>
      </w:r>
    </w:p>
    <w:p w14:paraId="32F4B17C">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7、“节能产品”或“环保产品”：国务院有关部门发布的《节能产品政府采购清单》 或者《环境标志产品政府采购清单》 内的产品</w:t>
      </w:r>
    </w:p>
    <w:p w14:paraId="258BE655">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进口产品：通过中国海关报关验收进入中国境内且产自关境外的产品。已通过财政核准的进口产品，仅表明允许进口产品参与该项目的政府采购活动，如因信息不对称等原因，仍有满足需求的国内产品要求参与采购竞争的，任何单位和个人不得对其加以限制，应当按照公平竞争原则实施采购。未通过财政核准的进口产品，禁止进口产品参与本项目投标。</w:t>
      </w:r>
    </w:p>
    <w:p w14:paraId="77DA16BA">
      <w:pPr>
        <w:pageBreakBefore w:val="0"/>
        <w:tabs>
          <w:tab w:val="left" w:pos="3067"/>
        </w:tabs>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r>
        <w:rPr>
          <w:rFonts w:hint="eastAsia" w:ascii="宋体" w:hAnsi="宋体" w:eastAsia="宋体" w:cs="宋体"/>
          <w:b/>
          <w:color w:val="auto"/>
          <w:sz w:val="24"/>
          <w:szCs w:val="24"/>
          <w:highlight w:val="none"/>
        </w:rPr>
        <w:tab/>
      </w:r>
    </w:p>
    <w:p w14:paraId="6F75090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1、招标文件的组成： </w:t>
      </w:r>
    </w:p>
    <w:p w14:paraId="63EAF3D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招标文件是根据本项目的特点和需求编制，包括以下内容：</w:t>
      </w:r>
    </w:p>
    <w:p w14:paraId="6809107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1-1、招标公告</w:t>
      </w:r>
    </w:p>
    <w:p w14:paraId="69148E0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1-2、供应商须知</w:t>
      </w:r>
    </w:p>
    <w:p w14:paraId="175C4E1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1-3、采购内容及要求</w:t>
      </w:r>
    </w:p>
    <w:p w14:paraId="2B829D5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1-4、合同主要条款</w:t>
      </w:r>
    </w:p>
    <w:p w14:paraId="1076E43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1-5、投标文件格式</w:t>
      </w:r>
    </w:p>
    <w:p w14:paraId="08A258A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认真审阅招标文件所有的事项、格式、条款和规范要求等，在投标文件中对招标文件的各方面都做出实质性的响应，按照招标文件的要求提交全部资料。若供应商的投标文件未按招标文件要求提交全部资料，或没有对招标文件做出实质性响应，应作废标处理。</w:t>
      </w:r>
    </w:p>
    <w:p w14:paraId="3B478A0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3、招标文件的澄清或修改：</w:t>
      </w:r>
    </w:p>
    <w:p w14:paraId="29CAC4E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交投标文件截止时间前，采购人、采购代理机构可以以书面形式对招标文件进行必要的澄清或修改，其内容均为招标文件的组成部分，并对采购人及供应商起约束作用。澄清或修改的内容可能影响投标文件编制的，都将于提交投标文件截止时间15日前以书面形式发送给所有参加投标的供应商；不足15日的，采购人、采购代理机构顺延递交投标文件的截止时间。</w:t>
      </w:r>
    </w:p>
    <w:p w14:paraId="2A00C87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若对招标文件有任何疑问要求澄清，或认为有必要与采购人进行技术交流的，供应商在投标截止时间10日前，以书面形式向采购代理机构提出，采购代理机构以书面形式予以答复。在此之后提出的无效。</w:t>
      </w:r>
    </w:p>
    <w:p w14:paraId="24CF0AF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招标文件的澄清或修改内容均以书面形式明确的内容为准。当招标文件的澄清、修改、补充等在同一内容的表述上不一致时，以最后发出的书面文件为准。所有补充文件将作为招标文件的组成部分，对所有供应商具有约束力。</w:t>
      </w:r>
    </w:p>
    <w:p w14:paraId="15C986D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3-4、根据招标工作进展实际情况，采购人可酌情延长递交投标文件的截止时间，若延长将另行以书面形式通知各供应商或在原信息发布媒体上发布变更公告。</w:t>
      </w:r>
    </w:p>
    <w:p w14:paraId="774F9F4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4、供应商必须从采购代理机构购买招标文件，供应商自行转让或复制招标文件视为无效。招标文件售后不退，仅作为本次招标使用。</w:t>
      </w:r>
    </w:p>
    <w:p w14:paraId="2D4EF9C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5、招标文件的解释权归采购代理机构，如发现招标文件内容与现行法律法规不相符的情况，以现行法律法规为准。</w:t>
      </w:r>
    </w:p>
    <w:p w14:paraId="712BF7EC">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三、投标文件</w:t>
      </w:r>
    </w:p>
    <w:p w14:paraId="577F9B45">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1、供应商资格要求：</w:t>
      </w:r>
    </w:p>
    <w:p w14:paraId="57985D7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1.1</w:t>
      </w:r>
      <w:r>
        <w:rPr>
          <w:rFonts w:hint="eastAsia" w:ascii="宋体" w:hAnsi="宋体" w:eastAsia="宋体" w:cs="宋体"/>
          <w:color w:val="auto"/>
          <w:sz w:val="24"/>
          <w:szCs w:val="24"/>
          <w:highlight w:val="none"/>
          <w:shd w:val="clear" w:fill="FFFFFF"/>
        </w:rPr>
        <w:t>满足《中华人民共和国政府采购法》第二十二条规定;</w:t>
      </w:r>
    </w:p>
    <w:p w14:paraId="0F9F94C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fill="FFFFFF"/>
          <w:lang w:val="en-US" w:eastAsia="zh-CN"/>
        </w:rPr>
        <w:t>1.2</w:t>
      </w:r>
      <w:r>
        <w:rPr>
          <w:rFonts w:hint="eastAsia" w:ascii="宋体" w:hAnsi="宋体" w:eastAsia="宋体" w:cs="宋体"/>
          <w:color w:val="auto"/>
          <w:sz w:val="24"/>
          <w:szCs w:val="24"/>
          <w:highlight w:val="none"/>
          <w:shd w:val="clear" w:fill="FFFFFF"/>
        </w:rPr>
        <w:t>落实政府采购政策需满足的资格要求：</w:t>
      </w:r>
    </w:p>
    <w:p w14:paraId="03F8B985">
      <w:pPr>
        <w:pStyle w:val="85"/>
        <w:keepNext w:val="0"/>
        <w:keepLines w:val="0"/>
        <w:pageBreakBefore w:val="0"/>
        <w:widowControl/>
        <w:numPr>
          <w:ilvl w:val="0"/>
          <w:numId w:val="2"/>
        </w:numPr>
        <w:kinsoku/>
        <w:wordWrap/>
        <w:overflowPunct/>
        <w:topLinePunct w:val="0"/>
        <w:autoSpaceDE/>
        <w:autoSpaceDN/>
        <w:bidi w:val="0"/>
        <w:adjustRightInd/>
        <w:snapToGrid/>
        <w:spacing w:line="360" w:lineRule="auto"/>
        <w:ind w:left="480"/>
        <w:textAlignment w:val="auto"/>
        <w:rPr>
          <w:rFonts w:hint="eastAsia" w:ascii="宋体" w:hAnsi="宋体" w:eastAsia="宋体" w:cs="宋体"/>
          <w:color w:val="auto"/>
          <w:kern w:val="0"/>
          <w:sz w:val="24"/>
          <w:szCs w:val="24"/>
          <w:highlight w:val="none"/>
          <w:shd w:val="clear" w:fill="FFFFFF"/>
          <w:lang w:val="en-US" w:eastAsia="zh-CN" w:bidi="ar-SA"/>
        </w:rPr>
      </w:pPr>
      <w:r>
        <w:rPr>
          <w:rFonts w:hint="eastAsia" w:ascii="宋体" w:hAnsi="宋体" w:eastAsia="宋体" w:cs="宋体"/>
          <w:color w:val="auto"/>
          <w:kern w:val="0"/>
          <w:sz w:val="24"/>
          <w:szCs w:val="24"/>
          <w:highlight w:val="none"/>
          <w:shd w:val="clear" w:fill="FFFFFF"/>
          <w:lang w:val="en-US" w:eastAsia="zh-CN" w:bidi="ar-SA"/>
        </w:rPr>
        <w:t>《政府采购促进中小企业发展管理办法》的通知（财库〔2020〕46号）；（2）财政部司法部关于政府采购支持监狱企业发展有关问题的通知--财库〔2014〕68号；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（3）《国务院办公厅关于建立政府强制采购节能产品制度的通知》--国办发〔2007〕51号；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（4）《关于促进残疾人就业政府采购政策的通知》财库〔2017〕141号；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（5）《财政部 国务院扶贫办关于运用政府采购政策支持脱贫攻坚的通知》（财库〔2019〕27号）；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（6）陕西省财政厅关于印发《陕西省中小企业政府采购信用融资办法》（陕财办采〔2018〕23号）；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（7）《财政部 发展改革委 生态环境部 市场监管总局关于调整优化节能产品、环境标志产品政府采购执行机制的通知》（财库〔2019〕9号）；</w:t>
      </w:r>
      <w:r>
        <w:rPr>
          <w:rFonts w:hint="eastAsia" w:ascii="宋体" w:hAnsi="宋体" w:eastAsia="宋体" w:cs="宋体"/>
          <w:color w:val="auto"/>
          <w:kern w:val="0"/>
          <w:sz w:val="24"/>
          <w:szCs w:val="24"/>
          <w:highlight w:val="none"/>
          <w:shd w:val="clear" w:fill="FFFFFF"/>
          <w:lang w:val="en-US" w:eastAsia="zh-CN" w:bidi="ar-SA"/>
        </w:rPr>
        <w:br w:type="textWrapping"/>
      </w:r>
      <w:r>
        <w:rPr>
          <w:rFonts w:hint="eastAsia" w:ascii="宋体" w:hAnsi="宋体" w:eastAsia="宋体" w:cs="宋体"/>
          <w:color w:val="auto"/>
          <w:kern w:val="0"/>
          <w:sz w:val="24"/>
          <w:szCs w:val="24"/>
          <w:highlight w:val="none"/>
          <w:shd w:val="clear" w:fill="FFFFFF"/>
          <w:lang w:val="en-US" w:eastAsia="zh-CN" w:bidi="ar-SA"/>
        </w:rPr>
        <w:t>（8）《关于运用政府采购政策支持乡村产业振兴的通知》（财库〔2021〕19 号）；</w:t>
      </w:r>
    </w:p>
    <w:p w14:paraId="13CAAA3F">
      <w:pPr>
        <w:pStyle w:val="85"/>
        <w:keepNext w:val="0"/>
        <w:keepLines w:val="0"/>
        <w:pageBreakBefore w:val="0"/>
        <w:widowControl/>
        <w:numPr>
          <w:ilvl w:val="0"/>
          <w:numId w:val="3"/>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szCs w:val="24"/>
          <w:highlight w:val="none"/>
          <w:shd w:val="clear" w:fill="FFFFFF"/>
          <w:lang w:val="en-US" w:eastAsia="zh-CN" w:bidi="ar-SA"/>
        </w:rPr>
      </w:pPr>
      <w:r>
        <w:rPr>
          <w:rFonts w:hint="eastAsia" w:ascii="宋体" w:hAnsi="宋体" w:eastAsia="宋体" w:cs="宋体"/>
          <w:color w:val="auto"/>
          <w:kern w:val="0"/>
          <w:sz w:val="24"/>
          <w:szCs w:val="24"/>
          <w:highlight w:val="none"/>
          <w:shd w:val="clear" w:fill="FFFFFF"/>
          <w:lang w:val="en-US" w:eastAsia="zh-CN" w:bidi="ar-SA"/>
        </w:rPr>
        <w:t>本项目不专门面向中小企业采购；</w:t>
      </w:r>
    </w:p>
    <w:p w14:paraId="417C2241">
      <w:pPr>
        <w:pStyle w:val="85"/>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shd w:val="clear" w:fill="FFFFFF"/>
          <w:lang w:val="en-US" w:eastAsia="zh-CN" w:bidi="ar-SA"/>
        </w:rPr>
      </w:pPr>
      <w:r>
        <w:rPr>
          <w:rFonts w:hint="eastAsia" w:ascii="宋体" w:hAnsi="宋体" w:eastAsia="宋体" w:cs="宋体"/>
          <w:color w:val="auto"/>
          <w:kern w:val="0"/>
          <w:sz w:val="24"/>
          <w:szCs w:val="24"/>
          <w:highlight w:val="none"/>
          <w:shd w:val="clear" w:fill="FFFFFF"/>
          <w:lang w:val="en-US" w:eastAsia="zh-CN" w:bidi="ar-SA"/>
        </w:rPr>
        <w:t>（10）其他需要落实的政府采购政策。</w:t>
      </w:r>
    </w:p>
    <w:p w14:paraId="440718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highlight w:val="none"/>
          <w:shd w:val="clear" w:fill="FFFFFF"/>
          <w:lang w:val="en-US" w:eastAsia="zh-CN"/>
        </w:rPr>
      </w:pPr>
      <w:r>
        <w:rPr>
          <w:rFonts w:hint="eastAsia" w:ascii="宋体" w:hAnsi="宋体" w:eastAsia="宋体" w:cs="宋体"/>
          <w:color w:val="auto"/>
          <w:sz w:val="24"/>
          <w:szCs w:val="24"/>
          <w:highlight w:val="none"/>
          <w:shd w:val="clear" w:fill="FFFFFF"/>
          <w:lang w:val="en-US" w:eastAsia="zh-CN"/>
        </w:rPr>
        <w:t>1.3本项目的特定资格要求：</w:t>
      </w:r>
    </w:p>
    <w:p w14:paraId="19D44C47">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合同包1(延安市宝塔区第五中学肉类食材采购及营养改善计划采购项目)特定资格要求如下:</w:t>
      </w:r>
    </w:p>
    <w:p w14:paraId="5492FDA2">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②法定代表人授权书（附法定代表人身份证复印件）及被授权人身份证原件；（法定代表人直接参加只须提供法定代表人身份证）；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③投标人须具有效的食品经营许可证（或食品生产许可证或食品经营许可备案登记证）及陕西省生鲜肉经营备案表；</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④供应商应出具参加政府采购活动前3年内，在经营活动中无重大违法记录的书面声明；</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⑤提供2023年经会计师事务所审计的财务审计报告或近三个月内银行出具的资信证明；          </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⑥提供2024年1月1日至今至少1个月依法缴纳税收的相关材料,依法免税或无须缴纳税收的投标人，应提供相应证明文件；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⑨单位负责人为同一人或者存在控股、管理关系的不同供应商，不得同时参加本项目同一合同包的采购活动。</w:t>
      </w:r>
    </w:p>
    <w:p w14:paraId="1403F347">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合同包2(延安市宝塔区第五中学蔬菜类食材采购及营养改善计划采购项目)特定资格要求如下:</w:t>
      </w:r>
    </w:p>
    <w:p w14:paraId="0F8B996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②法定代表人授权书（附法定代表人身份证复印件）及被授权人身份证原件；（法定代表人直接参加只须提供法定代表人身份证）；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③投标人须具有效的食品经营许可证（或食品生产许可证或食品经营许可备案登记证）；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④供应商应出具参加政府采购活动前3年内，在经营活动中无重大违法记录的书面声明；</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⑤提供2023年经会计师事务所审计的财务审计报告或近三个月内银行出具的资信证明；          </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⑥提供2024年1月1日至今至少1个月依法缴纳税收的相关材料,依法免税或无须缴纳税收的投标人，应提供相应证明文件；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⑨单位负责人为同一人或者存在控股、管理关系的不同供应商，不得同时参加本项目同一合同包的采购活动。</w:t>
      </w:r>
    </w:p>
    <w:p w14:paraId="1E9FD312">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合同包3(延安市宝塔区第五中学米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五谷杂粮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水果等食材采购及营养改善计划项目)特定资格要求如下:</w:t>
      </w:r>
    </w:p>
    <w:p w14:paraId="554083BD">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②法定代表人授权书（附法定代表人身份证复印件）及被授权人身份证原件；（法定代表人直接参加只须提供法定代表人身份证）；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③投标人须具有效的食品经营许可证（或食品生产许可证或食品经营许可备案登记证）；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④供应商应出具参加政府采购活动前3年内，在经营活动中无重大违法记录的书面声明；</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⑤提供2023年经会计师事务所审计的财务审计报告或近三个月内银行出具的资信证明；          </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⑥提供2024年1月1日至今至少1个月依法缴纳税收的相关材料,依法免税或无须缴纳税收的投标人，应提供相应证明文件；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⑨单位负责人为同一人或者存在控股、管理关系的不同供应商，不得同时参加本项目同一合同包的采购活动。</w:t>
      </w:r>
    </w:p>
    <w:p w14:paraId="5E3B7451">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合同包4(延安市宝塔区第五中学鸡蛋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牛奶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干货等食材采购及营养改善计划项目)特定资格要求如下:</w:t>
      </w:r>
    </w:p>
    <w:p w14:paraId="784EC142">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②法定代表人授权书（附法定代表人身份证复印件）及被授权人身份证原件；（法定代表人直接参加只须提供法定代表人身份证）；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③投标人须具有效的食品经营许可证（或食品生产许可证或食品经营许可备案登记证）；</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④供应商应出具参加政府采购活动前3年内，在经营活动中无重大违法记录的书面声明；</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⑤提供2023年经会计师事务所审计的财务审计报告或近三个月内银行出具的资信证明；          </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⑥提供2024年1月1日至今至少1个月依法缴纳税收的相关材料,依法免税或无须缴纳税收的投标人，应提供相应证明文件；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⑨单位负责人为同一人或者存在控股、管理关系的不同供应商，不得同时参加本项目同一合同包的采购活动。</w:t>
      </w:r>
    </w:p>
    <w:p w14:paraId="25C7B465">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2、投标文件的组成：</w:t>
      </w:r>
    </w:p>
    <w:p w14:paraId="695FC85F">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2-1、各供应商应根据招标文件要求编制投标文件。</w:t>
      </w:r>
    </w:p>
    <w:p w14:paraId="0A07EF23">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2-2、投标文件包括：投标文件应由投标函、投标报价一览表、资格证明文件、技术文件等投标文件部分组成。</w:t>
      </w:r>
    </w:p>
    <w:p w14:paraId="616C9A79">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3、各供应商须对以下内容做出承诺：</w:t>
      </w:r>
    </w:p>
    <w:p w14:paraId="0FECB00B">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（1）必须根据招标文件要求进行设备的供货；</w:t>
      </w:r>
    </w:p>
    <w:p w14:paraId="5A9D6FF2">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非经采购人同意，不得将本项目内容进行转包实施，一经发现，立即取消其中标资格，并承担由此引起的一切经济损失；经采购人同意，中标人可以依法采取分包方式履行合同。分包部分为中标项目的部分非主体、非关键性工作；</w:t>
      </w:r>
    </w:p>
    <w:p w14:paraId="61A3F803">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（3）接受采购人委托的相关单位对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的质量、</w:t>
      </w:r>
      <w:r>
        <w:rPr>
          <w:rFonts w:hint="eastAsia" w:ascii="宋体" w:hAnsi="宋体" w:eastAsia="宋体" w:cs="宋体"/>
          <w:color w:val="auto"/>
          <w:sz w:val="24"/>
          <w:szCs w:val="24"/>
          <w:highlight w:val="none"/>
          <w:lang w:val="en-US" w:eastAsia="zh-CN"/>
        </w:rPr>
        <w:t>采购的</w:t>
      </w:r>
      <w:r>
        <w:rPr>
          <w:rFonts w:hint="eastAsia" w:ascii="宋体" w:hAnsi="宋体" w:eastAsia="宋体" w:cs="宋体"/>
          <w:color w:val="auto"/>
          <w:sz w:val="24"/>
          <w:szCs w:val="24"/>
          <w:highlight w:val="none"/>
        </w:rPr>
        <w:t>进度及方案、实施方案、价款支付与结算审核等的监督和管理；</w:t>
      </w:r>
    </w:p>
    <w:p w14:paraId="5461F823">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应保证在本项目中使用的产品、材料和服务的任何一部分，不会产生因第三方提出的侵犯其专利权、商标权、著作权或其它知识产权而引起的法律和经济纠纷，由此引起的纠纷，由供应商承担所有相关责任；</w:t>
      </w:r>
    </w:p>
    <w:p w14:paraId="1CDB5788">
      <w:pPr>
        <w:pageBreakBefore w:val="0"/>
        <w:bidi w:val="0"/>
        <w:spacing w:line="460" w:lineRule="exact"/>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享有在本项目实施过程中产生的知识成果及知识产权。供应商如欲在项目实施过程中采用自有知识成果，需在投标文件中声明，并提供相关知识产权证明文件。使用该知识成果后，供应商须提供开发接口和开发手册等技术文档，并承诺提供无限期技术支持，采购人享有永久使用权。如采用供应商所不拥有的知识产权，则在投标报价中必须包含合法获得该知识产权的相关费用。</w:t>
      </w:r>
    </w:p>
    <w:p w14:paraId="58866892">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4、供应商</w:t>
      </w:r>
      <w:bookmarkStart w:id="28" w:name="OLE_LINK39"/>
      <w:r>
        <w:rPr>
          <w:rFonts w:hint="eastAsia" w:ascii="宋体" w:hAnsi="宋体" w:eastAsia="宋体" w:cs="宋体"/>
          <w:color w:val="auto"/>
          <w:sz w:val="24"/>
          <w:szCs w:val="24"/>
          <w:highlight w:val="none"/>
        </w:rPr>
        <w:t>不得以他人名义投标和串通投标。</w:t>
      </w:r>
    </w:p>
    <w:p w14:paraId="5E9664B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投标文件填写</w:t>
      </w:r>
      <w:bookmarkEnd w:id="28"/>
      <w:r>
        <w:rPr>
          <w:rFonts w:hint="eastAsia" w:ascii="宋体" w:hAnsi="宋体" w:eastAsia="宋体" w:cs="宋体"/>
          <w:color w:val="auto"/>
          <w:sz w:val="24"/>
          <w:szCs w:val="24"/>
          <w:highlight w:val="none"/>
        </w:rPr>
        <w:t>说明</w:t>
      </w:r>
    </w:p>
    <w:p w14:paraId="238E98AA">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5-1、投标文件格式：供应商提交的投标文件应当使用招标文件规定的全部格式（表格可以按同样格式扩展）编写，装订成册。</w:t>
      </w:r>
    </w:p>
    <w:p w14:paraId="22BD6FC1">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pacing w:val="-4"/>
          <w:sz w:val="24"/>
          <w:szCs w:val="24"/>
          <w:highlight w:val="none"/>
        </w:rPr>
        <w:t>投标报价一览表为在开标会议上唱标的内容，要求按格式填写。若供应商填写有误，采购代理机构将默认为招标文件要求格式。</w:t>
      </w:r>
    </w:p>
    <w:p w14:paraId="2E44C6D7">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6、投标文件的计量单位</w:t>
      </w:r>
    </w:p>
    <w:p w14:paraId="0B95B791">
      <w:pPr>
        <w:pageBreakBefore w:val="0"/>
        <w:bidi w:val="0"/>
        <w:spacing w:line="460" w:lineRule="exact"/>
        <w:ind w:left="-158" w:leftChars="-75" w:firstLine="624" w:firstLineChars="26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投标文件中所使用的计量单位，除有特殊要求外，均采用国家法定计量单位。</w:t>
      </w:r>
    </w:p>
    <w:p w14:paraId="4B14BC9C">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7、投标报价</w:t>
      </w:r>
    </w:p>
    <w:p w14:paraId="5AE5DF2D">
      <w:pPr>
        <w:pageBreakBefore w:val="0"/>
        <w:bidi w:val="0"/>
        <w:spacing w:line="460" w:lineRule="exact"/>
        <w:ind w:firstLine="470" w:firstLineChars="196"/>
        <w:outlineLvl w:val="9"/>
        <w:rPr>
          <w:rFonts w:hint="eastAsia" w:ascii="宋体" w:hAnsi="宋体" w:eastAsia="宋体" w:cs="宋体"/>
          <w:b/>
          <w:bCs/>
          <w:color w:val="auto"/>
          <w:sz w:val="24"/>
          <w:szCs w:val="24"/>
          <w:highlight w:val="none"/>
        </w:rPr>
      </w:pPr>
      <w:bookmarkStart w:id="29" w:name="OLE_LINK41"/>
      <w:r>
        <w:rPr>
          <w:rFonts w:hint="eastAsia" w:ascii="宋体" w:hAnsi="宋体" w:eastAsia="宋体" w:cs="宋体"/>
          <w:color w:val="auto"/>
          <w:sz w:val="24"/>
          <w:szCs w:val="24"/>
          <w:highlight w:val="none"/>
        </w:rPr>
        <w:t>7-1</w:t>
      </w:r>
      <w:bookmarkEnd w:id="29"/>
      <w:r>
        <w:rPr>
          <w:rFonts w:hint="eastAsia" w:ascii="宋体" w:hAnsi="宋体" w:eastAsia="宋体" w:cs="宋体"/>
          <w:color w:val="auto"/>
          <w:sz w:val="24"/>
          <w:szCs w:val="24"/>
          <w:highlight w:val="none"/>
        </w:rPr>
        <w:t>、投标货币：人民币      单位:元。</w:t>
      </w:r>
    </w:p>
    <w:p w14:paraId="30A00FCF">
      <w:pPr>
        <w:pageBreakBefore w:val="0"/>
        <w:bidi w:val="0"/>
        <w:spacing w:line="460" w:lineRule="exact"/>
        <w:ind w:firstLine="470" w:firstLineChars="196"/>
        <w:outlineLvl w:val="9"/>
        <w:rPr>
          <w:rFonts w:hint="eastAsia" w:ascii="宋体" w:hAnsi="宋体" w:eastAsia="宋体" w:cs="宋体"/>
          <w:color w:val="auto"/>
          <w:sz w:val="24"/>
          <w:szCs w:val="24"/>
          <w:highlight w:val="none"/>
          <w:lang w:val="en-US" w:eastAsia="zh-CN"/>
        </w:rPr>
      </w:pPr>
      <w:bookmarkStart w:id="30" w:name="OLE_LINK42"/>
      <w:bookmarkStart w:id="31" w:name="OLE_LINK43"/>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、投标报价是</w:t>
      </w:r>
      <w:r>
        <w:rPr>
          <w:rFonts w:hint="eastAsia" w:ascii="宋体" w:hAnsi="宋体" w:eastAsia="宋体" w:cs="宋体"/>
          <w:color w:val="auto"/>
          <w:sz w:val="24"/>
          <w:szCs w:val="24"/>
          <w:highlight w:val="none"/>
          <w:lang w:val="en-US" w:eastAsia="zh-CN"/>
        </w:rPr>
        <w:t>评</w:t>
      </w:r>
      <w:bookmarkEnd w:id="30"/>
      <w:r>
        <w:rPr>
          <w:rFonts w:hint="eastAsia" w:ascii="宋体" w:hAnsi="宋体" w:eastAsia="宋体" w:cs="宋体"/>
          <w:color w:val="auto"/>
          <w:sz w:val="24"/>
          <w:szCs w:val="24"/>
          <w:highlight w:val="none"/>
          <w:lang w:val="en-US" w:eastAsia="zh-CN"/>
        </w:rPr>
        <w:t>标的依据</w:t>
      </w:r>
      <w:r>
        <w:rPr>
          <w:rFonts w:hint="eastAsia" w:ascii="宋体" w:hAnsi="宋体" w:eastAsia="宋体" w:cs="宋体"/>
          <w:color w:val="auto"/>
          <w:sz w:val="24"/>
          <w:szCs w:val="24"/>
          <w:highlight w:val="none"/>
          <w:lang w:eastAsia="zh-CN"/>
        </w:rPr>
        <w:t>，</w:t>
      </w:r>
      <w:bookmarkStart w:id="32" w:name="OLE_LINK29"/>
      <w:r>
        <w:rPr>
          <w:rFonts w:hint="eastAsia" w:ascii="宋体" w:hAnsi="宋体" w:eastAsia="宋体" w:cs="宋体"/>
          <w:color w:val="auto"/>
          <w:sz w:val="24"/>
          <w:szCs w:val="24"/>
          <w:highlight w:val="none"/>
          <w:lang w:val="en-US" w:eastAsia="zh-CN"/>
        </w:rPr>
        <w:t>最终结算价以实际供货量按实结算。</w:t>
      </w:r>
    </w:p>
    <w:p w14:paraId="50E6A2EA">
      <w:pPr>
        <w:pageBreakBefore w:val="0"/>
        <w:bidi w:val="0"/>
        <w:spacing w:line="460" w:lineRule="exact"/>
        <w:ind w:firstLine="470" w:firstLineChars="196"/>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结算价=实际供货总价*[1+(投标报价-最高限价)/最高限价*100%]</w:t>
      </w:r>
    </w:p>
    <w:p w14:paraId="7E309E46">
      <w:pPr>
        <w:pageBreakBefore w:val="0"/>
        <w:bidi w:val="0"/>
        <w:spacing w:line="460" w:lineRule="exact"/>
        <w:ind w:firstLine="470" w:firstLineChars="196"/>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产品定价原则：不得高于同时期该产品的市场平均价。</w:t>
      </w:r>
    </w:p>
    <w:bookmarkEnd w:id="31"/>
    <w:bookmarkEnd w:id="32"/>
    <w:p w14:paraId="28585818">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注：投标报价超过项目</w:t>
      </w:r>
      <w:r>
        <w:rPr>
          <w:rFonts w:hint="eastAsia" w:ascii="宋体" w:hAnsi="宋体" w:eastAsia="宋体" w:cs="宋体"/>
          <w:b/>
          <w:color w:val="auto"/>
          <w:sz w:val="24"/>
          <w:szCs w:val="24"/>
          <w:highlight w:val="none"/>
          <w:lang w:val="en-US" w:eastAsia="zh-CN"/>
        </w:rPr>
        <w:t>招标最高限价</w:t>
      </w:r>
      <w:r>
        <w:rPr>
          <w:rFonts w:hint="eastAsia" w:ascii="宋体" w:hAnsi="宋体" w:eastAsia="宋体" w:cs="宋体"/>
          <w:b/>
          <w:color w:val="auto"/>
          <w:sz w:val="24"/>
          <w:szCs w:val="24"/>
          <w:highlight w:val="none"/>
        </w:rPr>
        <w:t>的按无效投标处理。</w:t>
      </w:r>
    </w:p>
    <w:p w14:paraId="16F1656B">
      <w:pPr>
        <w:pageBreakBefore w:val="0"/>
        <w:widowControl/>
        <w:bidi w:val="0"/>
        <w:spacing w:line="460" w:lineRule="exact"/>
        <w:ind w:firstLine="472" w:firstLineChars="197"/>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、采购代理机构不接受供应商对任何未办理正常进口手续的货物的投标报价。</w:t>
      </w:r>
    </w:p>
    <w:p w14:paraId="50AF7D0E">
      <w:pPr>
        <w:pageBreakBefore w:val="0"/>
        <w:bidi w:val="0"/>
        <w:spacing w:line="460" w:lineRule="exact"/>
        <w:ind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最低报价不是中标的唯一依据。</w:t>
      </w:r>
    </w:p>
    <w:p w14:paraId="1751E8E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不得以低于成本的报价参加投标。当评标委员会认为某个供应商的投标价或者某些分项报价明显不合理或者低于成本，有可能影响设备质量和不能诚信履约的，可要求该供应商在规定的期限内提供书面文件予以解释说明，并提交相关证明材料；否则，评标委员会认定该供应商以低于成本报价竞标，其投标应作废标处理。</w:t>
      </w:r>
    </w:p>
    <w:p w14:paraId="6397E60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8、投标期间一切费用自理。</w:t>
      </w:r>
    </w:p>
    <w:p w14:paraId="0580EA1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9、投标文件的制作</w:t>
      </w:r>
    </w:p>
    <w:p w14:paraId="707DE1D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9-1、投标文件的签署及规定</w:t>
      </w:r>
    </w:p>
    <w:p w14:paraId="15061C8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（1）投标文件的各项资料均应遵守本条规定。</w:t>
      </w:r>
    </w:p>
    <w:p w14:paraId="10C59BE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（2）供应商应填写全称，同时加盖供应商公章。</w:t>
      </w:r>
    </w:p>
    <w:p w14:paraId="168901A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）除供应商对错误处需修改外，全套投标文件应无涂改或行间插字或增删。如有修改，修改处应加盖供应商公章及法人代表或委托人签字或盖章确认。</w:t>
      </w:r>
    </w:p>
    <w:p w14:paraId="37BA2FB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）因字迹潦草或表达不清所引起的后果由供应商自行负责。</w:t>
      </w:r>
    </w:p>
    <w:p w14:paraId="7397E6BD">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10、技术部分</w:t>
      </w:r>
    </w:p>
    <w:p w14:paraId="764DB31A">
      <w:pPr>
        <w:pageBreakBefore w:val="0"/>
        <w:numPr>
          <w:ilvl w:val="0"/>
          <w:numId w:val="4"/>
        </w:numPr>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供应商按照招标文件要求，针对本项目的技术指标和要求作出实质性响应，不得出现重大负偏离。</w:t>
      </w:r>
    </w:p>
    <w:p w14:paraId="42AD9DD8">
      <w:pPr>
        <w:pageBreakBefore w:val="0"/>
        <w:bidi w:val="0"/>
        <w:spacing w:line="460" w:lineRule="exact"/>
        <w:ind w:firstLine="472" w:firstLineChars="196"/>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注：技术响应证明资料可以是文字、图纸、彩页、样品等。</w:t>
      </w:r>
    </w:p>
    <w:p w14:paraId="774484E5">
      <w:pPr>
        <w:pageBreakBefore w:val="0"/>
        <w:bidi w:val="0"/>
        <w:spacing w:line="460" w:lineRule="exact"/>
        <w:ind w:left="56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11、商务部分</w:t>
      </w:r>
    </w:p>
    <w:p w14:paraId="400493A8">
      <w:pPr>
        <w:pageBreakBefore w:val="0"/>
        <w:numPr>
          <w:ilvl w:val="0"/>
          <w:numId w:val="0"/>
        </w:numPr>
        <w:bidi w:val="0"/>
        <w:spacing w:line="4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供应商按照招标文件要求，针对本项目的商务要求作出实质性响应，不得出现重大负偏离</w:t>
      </w:r>
      <w:r>
        <w:rPr>
          <w:rFonts w:hint="eastAsia" w:ascii="宋体" w:hAnsi="宋体" w:eastAsia="宋体" w:cs="宋体"/>
          <w:color w:val="auto"/>
          <w:sz w:val="24"/>
          <w:szCs w:val="24"/>
          <w:highlight w:val="none"/>
          <w:lang w:eastAsia="zh-CN"/>
        </w:rPr>
        <w:t>。</w:t>
      </w:r>
    </w:p>
    <w:p w14:paraId="5D03D3C1">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、投标</w:t>
      </w:r>
    </w:p>
    <w:p w14:paraId="27F11D9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1、投标文件的装订和递交</w:t>
      </w:r>
      <w:r>
        <w:rPr>
          <w:rFonts w:hint="eastAsia" w:ascii="宋体" w:hAnsi="宋体" w:eastAsia="宋体" w:cs="宋体"/>
          <w:color w:val="auto"/>
          <w:sz w:val="24"/>
          <w:szCs w:val="24"/>
          <w:highlight w:val="none"/>
        </w:rPr>
        <w:tab/>
      </w:r>
    </w:p>
    <w:p w14:paraId="3EE164D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1-1、投标文件的装订：</w:t>
      </w:r>
    </w:p>
    <w:p w14:paraId="7199D2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（1）投标时，供应商应自行将投标文件密封完好。标袋上应写明项目名称、编号、供应商名称及“正本”、“副本”字样，并在密封条接缝处加盖单位公章（鲜章）和法定代表人或被授权人印章(或签字）；</w:t>
      </w:r>
    </w:p>
    <w:p w14:paraId="1C02442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（2）投标文件一律采用书籍（胶装）方式装订。投标文件正本一份，副本二份，</w:t>
      </w:r>
      <w:r>
        <w:rPr>
          <w:rFonts w:hint="eastAsia" w:ascii="宋体" w:hAnsi="宋体" w:eastAsia="宋体" w:cs="宋体"/>
          <w:color w:val="auto"/>
          <w:sz w:val="24"/>
          <w:szCs w:val="24"/>
          <w:highlight w:val="none"/>
          <w:lang w:eastAsia="zh-CN"/>
        </w:rPr>
        <w:t>建议双面打印，</w:t>
      </w:r>
      <w:r>
        <w:rPr>
          <w:rFonts w:hint="eastAsia" w:ascii="宋体" w:hAnsi="宋体" w:eastAsia="宋体" w:cs="宋体"/>
          <w:color w:val="auto"/>
          <w:sz w:val="24"/>
          <w:szCs w:val="24"/>
          <w:highlight w:val="none"/>
        </w:rPr>
        <w:t>电子文件（U盘</w:t>
      </w:r>
      <w:r>
        <w:rPr>
          <w:rFonts w:hint="eastAsia" w:ascii="宋体" w:hAnsi="宋体" w:cs="宋体"/>
          <w:color w:val="auto"/>
          <w:sz w:val="24"/>
          <w:szCs w:val="24"/>
          <w:highlight w:val="none"/>
          <w:lang w:val="en-US" w:eastAsia="zh-CN"/>
        </w:rPr>
        <w:t>或光盘</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份，投标报价一览表一份。投标文件的正本和副本均须A4纸打印，并编制目录和页码。正、副本分别各自装订成册，单独密封，电子文件和投标报价一览表密封在同一标袋内。各标袋上注明“开标时启封”字样。如果正本与副本不符，以正本为准。</w:t>
      </w:r>
    </w:p>
    <w:p w14:paraId="7827EA8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1-2、投标文件的递交：</w:t>
      </w:r>
    </w:p>
    <w:p w14:paraId="7EC2E6E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（1）供应商应按规定的时间、地点，于投标截止时间前递交</w:t>
      </w:r>
      <w:r>
        <w:rPr>
          <w:rFonts w:hint="eastAsia" w:ascii="宋体" w:hAnsi="宋体" w:eastAsia="宋体" w:cs="宋体"/>
          <w:color w:val="auto"/>
          <w:sz w:val="24"/>
          <w:szCs w:val="24"/>
          <w:highlight w:val="none"/>
          <w:lang w:eastAsia="zh-CN"/>
        </w:rPr>
        <w:t>并上传</w:t>
      </w:r>
      <w:r>
        <w:rPr>
          <w:rFonts w:hint="eastAsia" w:ascii="宋体" w:hAnsi="宋体" w:eastAsia="宋体" w:cs="宋体"/>
          <w:color w:val="auto"/>
          <w:sz w:val="24"/>
          <w:szCs w:val="24"/>
          <w:highlight w:val="none"/>
        </w:rPr>
        <w:t>投标文件；</w:t>
      </w:r>
    </w:p>
    <w:p w14:paraId="5B520E3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（2）采购代理机构推迟递交</w:t>
      </w:r>
      <w:r>
        <w:rPr>
          <w:rFonts w:hint="eastAsia" w:ascii="宋体" w:hAnsi="宋体" w:eastAsia="宋体" w:cs="宋体"/>
          <w:bCs/>
          <w:color w:val="auto"/>
          <w:sz w:val="24"/>
          <w:szCs w:val="24"/>
          <w:highlight w:val="none"/>
        </w:rPr>
        <w:t>投标</w:t>
      </w:r>
      <w:r>
        <w:rPr>
          <w:rFonts w:hint="eastAsia" w:ascii="宋体" w:hAnsi="宋体" w:eastAsia="宋体" w:cs="宋体"/>
          <w:color w:val="auto"/>
          <w:sz w:val="24"/>
          <w:szCs w:val="24"/>
          <w:highlight w:val="none"/>
        </w:rPr>
        <w:t>文件截止时间时，应在投标文件截止时间3日前</w:t>
      </w:r>
      <w:r>
        <w:rPr>
          <w:rFonts w:hint="eastAsia" w:ascii="宋体" w:hAnsi="宋体" w:eastAsia="宋体" w:cs="宋体"/>
          <w:color w:val="auto"/>
          <w:sz w:val="24"/>
          <w:szCs w:val="24"/>
          <w:highlight w:val="none"/>
          <w:lang w:val="en-US" w:eastAsia="zh-CN"/>
        </w:rPr>
        <w:t>通过相应网站变更开标时间</w:t>
      </w:r>
      <w:r>
        <w:rPr>
          <w:rFonts w:hint="eastAsia" w:ascii="宋体" w:hAnsi="宋体" w:eastAsia="宋体" w:cs="宋体"/>
          <w:color w:val="auto"/>
          <w:sz w:val="24"/>
          <w:szCs w:val="24"/>
          <w:highlight w:val="none"/>
        </w:rPr>
        <w:t>。采购代理机构和供应商的权利和义务将受到新的截止期的约束。</w:t>
      </w:r>
    </w:p>
    <w:p w14:paraId="5037DDF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（3）供应商在规定的投标截止时间后递交</w:t>
      </w:r>
      <w:r>
        <w:rPr>
          <w:rFonts w:hint="eastAsia" w:ascii="宋体" w:hAnsi="宋体" w:eastAsia="宋体" w:cs="宋体"/>
          <w:color w:val="auto"/>
          <w:sz w:val="24"/>
          <w:szCs w:val="24"/>
          <w:highlight w:val="none"/>
          <w:lang w:val="en-US" w:eastAsia="zh-CN"/>
        </w:rPr>
        <w:t>或上传</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将被拒收。</w:t>
      </w:r>
    </w:p>
    <w:p w14:paraId="15A8E5F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1-3、投标文件的补充、修改与撤回：</w:t>
      </w:r>
    </w:p>
    <w:p w14:paraId="222F1F1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（1）供应商在递交投标文件以后，在规定的投标截止时间之前,可以</w:t>
      </w:r>
      <w:r>
        <w:rPr>
          <w:rFonts w:hint="eastAsia" w:ascii="宋体" w:hAnsi="宋体" w:eastAsia="宋体" w:cs="宋体"/>
          <w:color w:val="auto"/>
          <w:sz w:val="24"/>
          <w:szCs w:val="24"/>
          <w:highlight w:val="none"/>
          <w:lang w:val="en-US" w:eastAsia="zh-CN"/>
        </w:rPr>
        <w:t>通过全国公共资源交易平台（陕西省·延安市）</w:t>
      </w:r>
      <w:r>
        <w:rPr>
          <w:rFonts w:hint="eastAsia" w:ascii="宋体" w:hAnsi="宋体" w:eastAsia="宋体" w:cs="宋体"/>
          <w:color w:val="auto"/>
          <w:sz w:val="24"/>
          <w:szCs w:val="24"/>
          <w:highlight w:val="none"/>
        </w:rPr>
        <w:t>补充、修改或撤回已递交的投标文件，并以书面形式通知采购代理机构。补充、修改的内容应当按招标文件要求密封、签署、盖章，并作为投标文件的组成部分；补充、修改的内容与相应文件不一致的，以补充、修改的内容为准；</w:t>
      </w:r>
    </w:p>
    <w:p w14:paraId="492738F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（2）供应商提出修改和撤标要求的，须在投标截止时间前密封送到采购代理机构，并在封面上加注“修改”或“撤回”字样。采购代理机构摄像留存后，将投标文件（包含纸质及电子版）退还供应商。</w:t>
      </w:r>
    </w:p>
    <w:p w14:paraId="3D602C1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（3）撤回投标文件应</w:t>
      </w:r>
      <w:r>
        <w:rPr>
          <w:rFonts w:hint="eastAsia" w:ascii="宋体" w:hAnsi="宋体" w:eastAsia="宋体" w:cs="宋体"/>
          <w:color w:val="auto"/>
          <w:sz w:val="24"/>
          <w:szCs w:val="24"/>
          <w:highlight w:val="none"/>
          <w:lang w:val="en-US" w:eastAsia="zh-CN"/>
        </w:rPr>
        <w:t>通过全国公共资源交易平台（陕西省·延安市），并以</w:t>
      </w:r>
      <w:r>
        <w:rPr>
          <w:rFonts w:hint="eastAsia" w:ascii="宋体" w:hAnsi="宋体" w:eastAsia="宋体" w:cs="宋体"/>
          <w:color w:val="auto"/>
          <w:sz w:val="24"/>
          <w:szCs w:val="24"/>
          <w:highlight w:val="none"/>
        </w:rPr>
        <w:t>书面形式由有权人（法人代表或授权代表）通知采购代理机构。如采取传真形式撤回投标，随后必须补充有法人代表或授权代表签署的要求撤回投标的正式文件。以在招标开始前</w:t>
      </w:r>
      <w:r>
        <w:rPr>
          <w:rFonts w:hint="eastAsia" w:ascii="宋体" w:hAnsi="宋体" w:eastAsia="宋体" w:cs="宋体"/>
          <w:color w:val="auto"/>
          <w:sz w:val="24"/>
          <w:szCs w:val="24"/>
          <w:highlight w:val="none"/>
          <w:lang w:val="en-US" w:eastAsia="zh-CN"/>
        </w:rPr>
        <w:t>上传及</w:t>
      </w:r>
      <w:r>
        <w:rPr>
          <w:rFonts w:hint="eastAsia" w:ascii="宋体" w:hAnsi="宋体" w:eastAsia="宋体" w:cs="宋体"/>
          <w:color w:val="auto"/>
          <w:sz w:val="24"/>
          <w:szCs w:val="24"/>
          <w:highlight w:val="none"/>
        </w:rPr>
        <w:t>送达为准。</w:t>
      </w:r>
    </w:p>
    <w:p w14:paraId="2E85CD0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（4）投标截止时间之后，供应商不得补充、修改投标文件；</w:t>
      </w:r>
    </w:p>
    <w:p w14:paraId="772A31B8">
      <w:pPr>
        <w:pageBreakBefore w:val="0"/>
        <w:tabs>
          <w:tab w:val="left" w:pos="2700"/>
        </w:tabs>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（5）在投标截止时间至投标有效期满之前，供应商不得撤回其投标文件，否则其投标保证金将不予退还，提供投标担保的供应商将由专业担保机构先行偿付采购人损失。</w:t>
      </w:r>
    </w:p>
    <w:p w14:paraId="2127479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1-4、投标文件的审查标准：</w:t>
      </w:r>
    </w:p>
    <w:p w14:paraId="021FEA2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（1）投标文件图表与文字不符时，以文字为准；</w:t>
      </w:r>
    </w:p>
    <w:p w14:paraId="19629EE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（2）投标文件正本与副本不符时，以正本为准；</w:t>
      </w:r>
    </w:p>
    <w:p w14:paraId="66B633A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（3）投标文件大写与小写不符时，以大写为准；</w:t>
      </w:r>
    </w:p>
    <w:p w14:paraId="2ED054D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（4）单价乘以数量不等于总价时，以单价乘以数量为准；</w:t>
      </w:r>
    </w:p>
    <w:p w14:paraId="7C4C38F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（5）投标文件有关内容与“一览表”不一致的，以“一览表”为准。</w:t>
      </w:r>
    </w:p>
    <w:p w14:paraId="56A65B7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注：按上述修正方法调整的内容对供应商具有约束力，如果供应商不接受修正后的内容，其投标将被拒绝。</w:t>
      </w:r>
    </w:p>
    <w:p w14:paraId="4E13076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bookmarkStart w:id="33" w:name="OLE_LINK33"/>
      <w:r>
        <w:rPr>
          <w:rFonts w:hint="eastAsia" w:ascii="宋体" w:hAnsi="宋体" w:eastAsia="宋体" w:cs="宋体"/>
          <w:color w:val="auto"/>
          <w:sz w:val="24"/>
          <w:szCs w:val="24"/>
          <w:highlight w:val="none"/>
        </w:rPr>
        <w:t>1-5、投标文件的有效性：</w:t>
      </w:r>
    </w:p>
    <w:p w14:paraId="3B58E2B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（1）开标时，投标文件出现下列情形之一的，应当作为无效投标文件，不得进入评标：</w:t>
      </w:r>
    </w:p>
    <w:p w14:paraId="23D9D74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a、供应商未经过正常渠道</w:t>
      </w:r>
      <w:r>
        <w:rPr>
          <w:rFonts w:hint="eastAsia" w:ascii="宋体" w:hAnsi="宋体" w:eastAsia="宋体" w:cs="宋体"/>
          <w:color w:val="auto"/>
          <w:sz w:val="24"/>
          <w:szCs w:val="24"/>
          <w:highlight w:val="none"/>
          <w:lang w:val="en-US" w:eastAsia="zh-CN"/>
        </w:rPr>
        <w:t>下载</w:t>
      </w:r>
      <w:r>
        <w:rPr>
          <w:rFonts w:hint="eastAsia" w:ascii="宋体" w:hAnsi="宋体" w:eastAsia="宋体" w:cs="宋体"/>
          <w:color w:val="auto"/>
          <w:sz w:val="24"/>
          <w:szCs w:val="24"/>
          <w:highlight w:val="none"/>
        </w:rPr>
        <w:t>招标文件的；</w:t>
      </w:r>
    </w:p>
    <w:p w14:paraId="4772F72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b、投标文件、投标函未加盖供应商公章，或未经法定代表人或其授权代表签字或盖章的；</w:t>
      </w:r>
    </w:p>
    <w:p w14:paraId="097A1B9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c、供应商未按招标文件的要求提供投标担保或所提供的投标担保有瑕疵的；</w:t>
      </w:r>
    </w:p>
    <w:p w14:paraId="16352A4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d、投标文件的关键内容字迹模糊、无法辨认的；</w:t>
      </w:r>
    </w:p>
    <w:p w14:paraId="4B515CF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e、供应商名称与</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rPr>
        <w:t>不一致的；</w:t>
      </w:r>
    </w:p>
    <w:p w14:paraId="2BE63E7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f、不符合技术规格、技术标准要求的； </w:t>
      </w:r>
    </w:p>
    <w:p w14:paraId="0292B4C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g、投标文件载明的货物包装方式、检验标准和方法等不符合招标文件要求的； </w:t>
      </w:r>
    </w:p>
    <w:p w14:paraId="48DDF4C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h、投标文件附有采购人不能接受的条件的；</w:t>
      </w:r>
    </w:p>
    <w:p w14:paraId="599F479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i、不符合招标文件规定的其他实质性要求的。</w:t>
      </w:r>
    </w:p>
    <w:p w14:paraId="3870AF0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4"/>
          <w:sz w:val="24"/>
          <w:szCs w:val="24"/>
          <w:highlight w:val="none"/>
        </w:rPr>
        <w:t>投标文件的有效期：自</w:t>
      </w:r>
      <w:r>
        <w:rPr>
          <w:rFonts w:hint="eastAsia" w:ascii="宋体" w:hAnsi="宋体" w:eastAsia="宋体" w:cs="宋体"/>
          <w:color w:val="auto"/>
          <w:spacing w:val="-4"/>
          <w:sz w:val="24"/>
          <w:szCs w:val="24"/>
          <w:highlight w:val="none"/>
          <w:lang w:eastAsia="zh-CN"/>
        </w:rPr>
        <w:t>递交投标文件截止</w:t>
      </w:r>
      <w:r>
        <w:rPr>
          <w:rFonts w:hint="eastAsia" w:ascii="宋体" w:hAnsi="宋体" w:eastAsia="宋体" w:cs="宋体"/>
          <w:color w:val="auto"/>
          <w:spacing w:val="-4"/>
          <w:sz w:val="24"/>
          <w:szCs w:val="24"/>
          <w:highlight w:val="none"/>
        </w:rPr>
        <w:t>之日起90个日历</w:t>
      </w:r>
      <w:r>
        <w:rPr>
          <w:rFonts w:hint="eastAsia" w:ascii="宋体" w:hAnsi="宋体" w:eastAsia="宋体" w:cs="宋体"/>
          <w:color w:val="auto"/>
          <w:spacing w:val="-4"/>
          <w:sz w:val="24"/>
          <w:szCs w:val="24"/>
          <w:highlight w:val="none"/>
          <w:lang w:val="en-US" w:eastAsia="zh-CN"/>
        </w:rPr>
        <w:t>天</w:t>
      </w:r>
      <w:r>
        <w:rPr>
          <w:rFonts w:hint="eastAsia" w:ascii="宋体" w:hAnsi="宋体" w:eastAsia="宋体" w:cs="宋体"/>
          <w:color w:val="auto"/>
          <w:spacing w:val="-4"/>
          <w:sz w:val="24"/>
          <w:szCs w:val="24"/>
          <w:highlight w:val="none"/>
        </w:rPr>
        <w:t>。</w:t>
      </w:r>
    </w:p>
    <w:bookmarkEnd w:id="33"/>
    <w:p w14:paraId="30AEEBB0">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、开标、评标和定标</w:t>
      </w:r>
    </w:p>
    <w:p w14:paraId="76888D0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1、开标</w:t>
      </w:r>
    </w:p>
    <w:p w14:paraId="3B7C249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1-1、采购代理机构按招标文件规定的时间和地点组织公开开标会议，并通知采购人和所有供应商参加。</w:t>
      </w:r>
    </w:p>
    <w:p w14:paraId="4109F04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1-2、所有参会人员应签名报到，以证明其出席。法定代表人或授权代表未出席并签字报到的视为无效投标。</w:t>
      </w:r>
    </w:p>
    <w:p w14:paraId="32F7684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1-3、合格供应商按规定提交合格的投标文件后到投标截止时间前如中途要求撤回时，则该投标文件不予开封，摄像留存后，将投标文件退还供应商（包含纸质及电子版）。</w:t>
      </w:r>
    </w:p>
    <w:p w14:paraId="228C20A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1-4、不合格供应商按规定提交的投标文件，未开封的投标文件摄像留存后，将投标文件退还供应商（包含纸质及电子版）；已开封的投标文件不予退还（包含纸质及电子版）。</w:t>
      </w:r>
    </w:p>
    <w:p w14:paraId="1A43D16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1-5、开标程序：</w:t>
      </w:r>
    </w:p>
    <w:p w14:paraId="004F7F9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（1）开标会议由采购代理机构主持。主持人宣读开标会议开始，并宣读会场纪律。</w:t>
      </w:r>
    </w:p>
    <w:p w14:paraId="16ADE3F6">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（2）根据签到情况宣布参加会议的供应商名单。</w:t>
      </w:r>
    </w:p>
    <w:p w14:paraId="434CC31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（3）采购单位及供应商代表当众共同检查所有投标文件的密封情况，签字确认并宣读检查结果。</w:t>
      </w:r>
      <w:r>
        <w:rPr>
          <w:rFonts w:hint="eastAsia" w:ascii="宋体" w:hAnsi="宋体" w:eastAsia="宋体" w:cs="宋体"/>
          <w:b/>
          <w:color w:val="auto"/>
          <w:sz w:val="24"/>
          <w:szCs w:val="24"/>
          <w:highlight w:val="none"/>
        </w:rPr>
        <w:t>未通过审查的按无效投标处理</w:t>
      </w:r>
      <w:r>
        <w:rPr>
          <w:rFonts w:hint="eastAsia" w:ascii="宋体" w:hAnsi="宋体" w:eastAsia="宋体" w:cs="宋体"/>
          <w:color w:val="auto"/>
          <w:sz w:val="24"/>
          <w:szCs w:val="24"/>
          <w:highlight w:val="none"/>
        </w:rPr>
        <w:t>。</w:t>
      </w:r>
    </w:p>
    <w:p w14:paraId="585FD39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（4）经确认无误后，由</w:t>
      </w:r>
      <w:r>
        <w:rPr>
          <w:rFonts w:hint="eastAsia" w:ascii="宋体" w:hAnsi="宋体" w:eastAsia="宋体" w:cs="宋体"/>
          <w:color w:val="auto"/>
          <w:sz w:val="24"/>
          <w:szCs w:val="24"/>
          <w:highlight w:val="none"/>
          <w:lang w:val="en-US" w:eastAsia="zh-CN"/>
        </w:rPr>
        <w:t>供应商进行解密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宣读供应商名称、投标价格和投标文件的其它主要内容并做记录。供应商确认无误后，由采购单位及供应商代表签字确认唱标内容。如供应商对宣读的“投标报价一览表”上的内容有异议，应在获得主持人同意后当场提出，如属于宣读错误，经核实后，当场予以更正。</w:t>
      </w:r>
    </w:p>
    <w:p w14:paraId="6F9E626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（5）宣布开标会议结束，所有供应商离场。</w:t>
      </w:r>
    </w:p>
    <w:p w14:paraId="77C3DD1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（6）采购代理机构对开标过程进行摄像、文字记录，并存档备查。</w:t>
      </w:r>
    </w:p>
    <w:p w14:paraId="7BBC069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w:t>
      </w:r>
    </w:p>
    <w:p w14:paraId="30A4723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bCs/>
          <w:color w:val="auto"/>
          <w:sz w:val="24"/>
          <w:szCs w:val="24"/>
          <w:highlight w:val="none"/>
        </w:rPr>
        <w:t>评标委员会</w:t>
      </w:r>
    </w:p>
    <w:p w14:paraId="04EAD98A">
      <w:pPr>
        <w:pageBreakBefore w:val="0"/>
        <w:bidi w:val="0"/>
        <w:spacing w:line="460" w:lineRule="exact"/>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（1）采购代理机构根据《中华人民共和国政府采购法》、《中华人民共和国政府采购法实施条例》和“财政部第18号部长令”的规定，依法组建评标委员会。</w:t>
      </w:r>
      <w:r>
        <w:rPr>
          <w:rFonts w:hint="eastAsia" w:ascii="宋体" w:hAnsi="宋体" w:eastAsia="宋体" w:cs="宋体"/>
          <w:b w:val="0"/>
          <w:bCs w:val="0"/>
          <w:color w:val="auto"/>
          <w:sz w:val="24"/>
          <w:szCs w:val="24"/>
          <w:highlight w:val="none"/>
        </w:rPr>
        <w:t>评标委员会由采购人代表和评标专家共</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人组成。评标委员会负责对具备实质性响应的投标文件进行评估和比较。</w:t>
      </w:r>
    </w:p>
    <w:p w14:paraId="532304B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（2）评标委员会成员应当遵守并履行下列职责义务：</w:t>
      </w:r>
    </w:p>
    <w:p w14:paraId="22E6F6A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a、遵纪守法，客观、公正、认真负责地履行职责，根据招标文件规定的评标程序、评标方法和评标标准审查投标文件是否符合招标文件的要求，并做出评价；</w:t>
      </w:r>
    </w:p>
    <w:p w14:paraId="5B587A4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b、认定供应商必备资质；</w:t>
      </w:r>
    </w:p>
    <w:p w14:paraId="16490F39">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c、评标委员会可要求供应商就投标文件中含义不明确的内容进行书面说明并提供相关材料。</w:t>
      </w:r>
    </w:p>
    <w:p w14:paraId="0A4173D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d、依据招标文件的要求和评审标准进行评审，推荐中标候选单位名单，对评标意见承担个人责任；</w:t>
      </w:r>
    </w:p>
    <w:p w14:paraId="3B280D2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e、对评标过程及各供应商的商业机密予以保密；</w:t>
      </w:r>
    </w:p>
    <w:p w14:paraId="6F63E0F3">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f、拟定评标结果；</w:t>
      </w:r>
    </w:p>
    <w:p w14:paraId="6A913A3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g、告知采购人、采购代理机构在评标过程中发现的供应商的违法违规行为；</w:t>
      </w:r>
    </w:p>
    <w:p w14:paraId="093A4FB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h、配合采购人、采购代理机构答复各供应商提出的质疑；</w:t>
      </w:r>
    </w:p>
    <w:p w14:paraId="2C71A6F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i、配合各部门的投诉处理和监督检查工作。</w:t>
      </w:r>
    </w:p>
    <w:p w14:paraId="12C3F60A">
      <w:pPr>
        <w:pageBreakBefore w:val="0"/>
        <w:bidi w:val="0"/>
        <w:spacing w:line="4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2-2、评标原则</w:t>
      </w:r>
    </w:p>
    <w:p w14:paraId="3C135AE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坚持公平、公正、科学、择优，合理低价，禁止不正当竞争。</w:t>
      </w:r>
    </w:p>
    <w:p w14:paraId="795BB2E7">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2-3、评标办法</w:t>
      </w:r>
    </w:p>
    <w:p w14:paraId="55E5660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本次招标采用综合评分法（详见本节评分标准）。</w:t>
      </w:r>
    </w:p>
    <w:p w14:paraId="6E1A6401">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2-4、</w:t>
      </w:r>
      <w:r>
        <w:rPr>
          <w:rFonts w:hint="eastAsia" w:ascii="宋体" w:hAnsi="宋体" w:eastAsia="宋体" w:cs="宋体"/>
          <w:b/>
          <w:color w:val="auto"/>
          <w:sz w:val="24"/>
          <w:szCs w:val="24"/>
          <w:highlight w:val="none"/>
        </w:rPr>
        <w:t>评标工作程序</w:t>
      </w:r>
    </w:p>
    <w:p w14:paraId="1006381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（1）投标文件资格性评审：采购人对供应商必备资质进行审查，签字确认检查结果。不符合招标文件要求的按无效投标处理，不得进入后续评标工作。</w:t>
      </w:r>
    </w:p>
    <w:p w14:paraId="19F23FF2">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（2）投标文件符合性审查：对投标文件的有效性，完整性和对招标文件的响应程度进行审查。投标文件满足招标文件的实质性要求，无显著的差异或保留。</w:t>
      </w:r>
    </w:p>
    <w:p w14:paraId="71B21130">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rPr>
        <w:t>审查和符合性评审合格的，评标委员会才进行综合评审并排序。凡未通过资格性和符合性评审的投标文件即作为废标处理，不得进入后续评审工作，内容如下：</w:t>
      </w:r>
    </w:p>
    <w:p w14:paraId="26327027">
      <w:pPr>
        <w:pageBreakBefore w:val="0"/>
        <w:bidi w:val="0"/>
        <w:spacing w:line="460" w:lineRule="exact"/>
        <w:ind w:firstLine="482" w:firstLineChars="200"/>
        <w:outlineLvl w:val="9"/>
        <w:rPr>
          <w:rFonts w:hint="eastAsia" w:ascii="宋体" w:hAnsi="宋体" w:eastAsia="宋体" w:cs="宋体"/>
          <w:b/>
          <w:bCs/>
          <w:color w:val="auto"/>
          <w:sz w:val="24"/>
          <w:szCs w:val="24"/>
          <w:highlight w:val="none"/>
          <w:lang w:val="en-US" w:eastAsia="zh-CN"/>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41E7F9DC">
      <w:pPr>
        <w:pageBreakBefore w:val="0"/>
        <w:bidi w:val="0"/>
        <w:spacing w:line="460" w:lineRule="exact"/>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资格评审和符合性评审</w:t>
      </w:r>
    </w:p>
    <w:tbl>
      <w:tblPr>
        <w:tblStyle w:val="2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592"/>
        <w:gridCol w:w="8"/>
        <w:gridCol w:w="8155"/>
      </w:tblGrid>
      <w:tr w14:paraId="2C8E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1364" w:type="dxa"/>
            <w:gridSpan w:val="3"/>
            <w:vAlign w:val="center"/>
          </w:tcPr>
          <w:p w14:paraId="1276957B">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155" w:type="dxa"/>
            <w:vAlign w:val="center"/>
          </w:tcPr>
          <w:p w14:paraId="2526032B">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4DF5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067A6AA9">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2.1.1</w:t>
            </w:r>
          </w:p>
        </w:tc>
        <w:tc>
          <w:tcPr>
            <w:tcW w:w="600" w:type="dxa"/>
            <w:gridSpan w:val="2"/>
            <w:vMerge w:val="restart"/>
            <w:vAlign w:val="center"/>
          </w:tcPr>
          <w:p w14:paraId="026C373F">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资格评审</w:t>
            </w:r>
          </w:p>
          <w:p w14:paraId="3B555338">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标准</w:t>
            </w:r>
          </w:p>
        </w:tc>
        <w:tc>
          <w:tcPr>
            <w:tcW w:w="8155" w:type="dxa"/>
            <w:vAlign w:val="center"/>
          </w:tcPr>
          <w:p w14:paraId="77E919F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lang w:val="en-US" w:eastAsia="zh-CN"/>
              </w:rPr>
              <w:t>具有独立承担民事责任能力的法人或其他组织，提供合法有效的统一社会信用代码的营业执照（年度报告）或事业单位法人证书等国家规定的相关证明，开户许可证（或基本存款账户信息）；</w:t>
            </w:r>
          </w:p>
        </w:tc>
      </w:tr>
      <w:tr w14:paraId="29B4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047FB36D">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4EBD3E15">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0FE787D6">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lang w:val="en-US" w:eastAsia="zh-CN"/>
              </w:rPr>
              <w:t>投标人须具有效的食品经营许可证（或食品生产许可证或食品经营许可备案登记证）及陕西省生鲜肉经营备案表</w:t>
            </w:r>
          </w:p>
        </w:tc>
      </w:tr>
      <w:tr w14:paraId="1E57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74C7AF86">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516F2519">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5C805A5C">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rPr>
              <w:t>提供2023年经会计师事务所审计的财务审计报告或近三个月内银行出具的资信证明；</w:t>
            </w:r>
          </w:p>
        </w:tc>
      </w:tr>
      <w:tr w14:paraId="741C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3791C943">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03D82947">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1917DB26">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lang w:val="en-US" w:eastAsia="zh-CN"/>
              </w:rPr>
              <w:t>提供2024年1月1日至今至少1个月依法缴纳税收的相关材料,依法免税或无须缴纳税收的投标人，应提供相应证明文件</w:t>
            </w:r>
          </w:p>
        </w:tc>
      </w:tr>
      <w:tr w14:paraId="5C9A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2432A49D">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7E229E07">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292A9C32">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lang w:val="en-US" w:eastAsia="zh-CN"/>
              </w:rPr>
              <w:t>提供2024年1月1日至今至少1个月的社保机构开具的社会保险参保缴费情况证明，单据或证明上应有社保机构的公章,依法不需要缴纳社会保障资金的投标人应提供相关证明文件</w:t>
            </w:r>
          </w:p>
        </w:tc>
      </w:tr>
      <w:tr w14:paraId="1CC2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4" w:type="dxa"/>
            <w:vMerge w:val="continue"/>
            <w:vAlign w:val="center"/>
          </w:tcPr>
          <w:p w14:paraId="501B3388">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6B0FF383">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1F5B283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lang w:val="en-US" w:eastAsia="zh-CN"/>
              </w:rPr>
              <w:t>法定代表人授权书（附法定代表人身份证复印件）及被授权人身份证原件；（法定代表人直接参加只须提供法定代表人身份证</w:t>
            </w:r>
          </w:p>
        </w:tc>
      </w:tr>
      <w:tr w14:paraId="6D00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6C3A4E02">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4E71CD47">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70931676">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yellow"/>
                <w:shd w:val="clear" w:color="auto" w:fill="FFFFFF"/>
              </w:rPr>
              <w:t>供应商应出具参加政府采购活动前3年内，在经营活动中无重大违法记录的书面声明；</w:t>
            </w:r>
          </w:p>
        </w:tc>
      </w:tr>
      <w:tr w14:paraId="6AA3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277AFB9">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600" w:type="dxa"/>
            <w:gridSpan w:val="2"/>
            <w:vMerge w:val="continue"/>
            <w:vAlign w:val="center"/>
          </w:tcPr>
          <w:p w14:paraId="4935F72B">
            <w:pPr>
              <w:pageBreakBefore w:val="0"/>
              <w:tabs>
                <w:tab w:val="left" w:pos="0"/>
              </w:tabs>
              <w:bidi w:val="0"/>
              <w:adjustRightInd w:val="0"/>
              <w:snapToGrid w:val="0"/>
              <w:jc w:val="center"/>
              <w:outlineLvl w:val="9"/>
              <w:rPr>
                <w:rFonts w:hint="eastAsia" w:ascii="宋体" w:hAnsi="宋体" w:eastAsia="宋体" w:cs="宋体"/>
                <w:b/>
                <w:color w:val="auto"/>
                <w:sz w:val="24"/>
                <w:szCs w:val="24"/>
                <w:highlight w:val="none"/>
              </w:rPr>
            </w:pPr>
          </w:p>
        </w:tc>
        <w:tc>
          <w:tcPr>
            <w:tcW w:w="8155" w:type="dxa"/>
            <w:vAlign w:val="center"/>
          </w:tcPr>
          <w:p w14:paraId="397CBB0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yellow"/>
                <w:shd w:val="clear" w:color="auto" w:fill="FFFFFF"/>
              </w:rPr>
              <w:t>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p>
        </w:tc>
      </w:tr>
      <w:tr w14:paraId="11C8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4"/>
            <w:vAlign w:val="center"/>
          </w:tcPr>
          <w:p w14:paraId="14EDE109">
            <w:pPr>
              <w:pageBreakBefore w:val="0"/>
              <w:tabs>
                <w:tab w:val="left" w:pos="0"/>
              </w:tabs>
              <w:bidi w:val="0"/>
              <w:adjustRightInd w:val="0"/>
              <w:snapToGrid w:val="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注：以上为必备资质，缺一项或某项达不到要求，按无效投标处理。</w:t>
            </w:r>
          </w:p>
        </w:tc>
      </w:tr>
      <w:tr w14:paraId="480F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14:paraId="1F88A69A">
            <w:pPr>
              <w:pageBreakBefore w:val="0"/>
              <w:tabs>
                <w:tab w:val="left" w:pos="0"/>
              </w:tabs>
              <w:bidi w:val="0"/>
              <w:adjustRightInd w:val="0"/>
              <w:snapToGrid w:val="0"/>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2.1.2</w:t>
            </w:r>
          </w:p>
        </w:tc>
        <w:tc>
          <w:tcPr>
            <w:tcW w:w="592" w:type="dxa"/>
            <w:vMerge w:val="restart"/>
            <w:vAlign w:val="center"/>
          </w:tcPr>
          <w:p w14:paraId="7649D30C">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w:t>
            </w:r>
          </w:p>
          <w:p w14:paraId="53E58C40">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审标准</w:t>
            </w:r>
          </w:p>
          <w:p w14:paraId="1046EE13">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p>
        </w:tc>
        <w:tc>
          <w:tcPr>
            <w:tcW w:w="8163" w:type="dxa"/>
            <w:gridSpan w:val="2"/>
            <w:vAlign w:val="center"/>
          </w:tcPr>
          <w:p w14:paraId="058A4C2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投标文件的签字、盖章符合招标文件的规定。</w:t>
            </w:r>
          </w:p>
        </w:tc>
      </w:tr>
      <w:tr w14:paraId="275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64" w:type="dxa"/>
            <w:vMerge w:val="continue"/>
          </w:tcPr>
          <w:p w14:paraId="2D4D3371">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24"/>
                <w:highlight w:val="none"/>
              </w:rPr>
            </w:pPr>
          </w:p>
        </w:tc>
        <w:tc>
          <w:tcPr>
            <w:tcW w:w="592" w:type="dxa"/>
            <w:vMerge w:val="continue"/>
          </w:tcPr>
          <w:p w14:paraId="71FD5723">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p>
        </w:tc>
        <w:tc>
          <w:tcPr>
            <w:tcW w:w="8163" w:type="dxa"/>
            <w:gridSpan w:val="2"/>
            <w:vAlign w:val="center"/>
          </w:tcPr>
          <w:p w14:paraId="18A3493C">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投标文件格式符合招标文件中“投标文件格式”的要求</w:t>
            </w:r>
          </w:p>
        </w:tc>
      </w:tr>
      <w:tr w14:paraId="4CA9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05A5302D">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24"/>
                <w:highlight w:val="none"/>
              </w:rPr>
            </w:pPr>
          </w:p>
        </w:tc>
        <w:tc>
          <w:tcPr>
            <w:tcW w:w="592" w:type="dxa"/>
            <w:vMerge w:val="continue"/>
          </w:tcPr>
          <w:p w14:paraId="627BA1C5">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p>
        </w:tc>
        <w:tc>
          <w:tcPr>
            <w:tcW w:w="8163" w:type="dxa"/>
            <w:gridSpan w:val="2"/>
            <w:vAlign w:val="center"/>
          </w:tcPr>
          <w:p w14:paraId="717B55B1">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只能有一个有效报价，不得提交选择性报价，且报价不超过采购预算金额或最高限价。</w:t>
            </w:r>
          </w:p>
        </w:tc>
      </w:tr>
      <w:tr w14:paraId="00BF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44842F5A">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24"/>
                <w:highlight w:val="none"/>
              </w:rPr>
            </w:pPr>
          </w:p>
        </w:tc>
        <w:tc>
          <w:tcPr>
            <w:tcW w:w="592" w:type="dxa"/>
            <w:vMerge w:val="continue"/>
          </w:tcPr>
          <w:p w14:paraId="18AD258C">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p>
        </w:tc>
        <w:tc>
          <w:tcPr>
            <w:tcW w:w="8163" w:type="dxa"/>
            <w:gridSpan w:val="2"/>
            <w:vAlign w:val="center"/>
          </w:tcPr>
          <w:p w14:paraId="7C141C4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投标保证金满足招标文件中的规定</w:t>
            </w:r>
          </w:p>
        </w:tc>
      </w:tr>
      <w:tr w14:paraId="56E2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491F97DE">
            <w:pPr>
              <w:pageBreakBefore w:val="0"/>
              <w:tabs>
                <w:tab w:val="left" w:pos="0"/>
              </w:tabs>
              <w:bidi w:val="0"/>
              <w:adjustRightInd w:val="0"/>
              <w:snapToGrid w:val="0"/>
              <w:spacing w:line="360" w:lineRule="auto"/>
              <w:jc w:val="center"/>
              <w:outlineLvl w:val="9"/>
              <w:rPr>
                <w:rFonts w:hint="eastAsia" w:ascii="宋体" w:hAnsi="宋体" w:eastAsia="宋体" w:cs="宋体"/>
                <w:b/>
                <w:bCs/>
                <w:color w:val="auto"/>
                <w:sz w:val="24"/>
                <w:szCs w:val="24"/>
                <w:highlight w:val="none"/>
              </w:rPr>
            </w:pPr>
          </w:p>
        </w:tc>
        <w:tc>
          <w:tcPr>
            <w:tcW w:w="592" w:type="dxa"/>
            <w:vMerge w:val="continue"/>
            <w:vAlign w:val="center"/>
          </w:tcPr>
          <w:p w14:paraId="4AF51F66">
            <w:pPr>
              <w:pageBreakBefore w:val="0"/>
              <w:tabs>
                <w:tab w:val="left" w:pos="0"/>
              </w:tabs>
              <w:bidi w:val="0"/>
              <w:adjustRightInd w:val="0"/>
              <w:snapToGrid w:val="0"/>
              <w:jc w:val="center"/>
              <w:outlineLvl w:val="9"/>
              <w:rPr>
                <w:rFonts w:hint="eastAsia" w:ascii="宋体" w:hAnsi="宋体" w:eastAsia="宋体" w:cs="宋体"/>
                <w:b/>
                <w:bCs/>
                <w:color w:val="auto"/>
                <w:sz w:val="24"/>
                <w:szCs w:val="24"/>
                <w:highlight w:val="none"/>
              </w:rPr>
            </w:pPr>
          </w:p>
        </w:tc>
        <w:tc>
          <w:tcPr>
            <w:tcW w:w="8163" w:type="dxa"/>
            <w:gridSpan w:val="2"/>
            <w:vAlign w:val="center"/>
          </w:tcPr>
          <w:p w14:paraId="138D4B55">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合同履行期限满足招标文件中的规定</w:t>
            </w:r>
          </w:p>
        </w:tc>
      </w:tr>
      <w:tr w14:paraId="7C5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2022ED2D">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24"/>
                <w:highlight w:val="none"/>
              </w:rPr>
            </w:pPr>
          </w:p>
        </w:tc>
        <w:tc>
          <w:tcPr>
            <w:tcW w:w="592" w:type="dxa"/>
            <w:vMerge w:val="continue"/>
          </w:tcPr>
          <w:p w14:paraId="7F28EA7C">
            <w:pPr>
              <w:pageBreakBefore w:val="0"/>
              <w:tabs>
                <w:tab w:val="left" w:pos="0"/>
              </w:tabs>
              <w:bidi w:val="0"/>
              <w:adjustRightInd w:val="0"/>
              <w:snapToGrid w:val="0"/>
              <w:spacing w:line="360" w:lineRule="auto"/>
              <w:outlineLvl w:val="9"/>
              <w:rPr>
                <w:rFonts w:hint="eastAsia" w:ascii="宋体" w:hAnsi="宋体" w:eastAsia="宋体" w:cs="宋体"/>
                <w:b/>
                <w:bCs/>
                <w:color w:val="auto"/>
                <w:sz w:val="24"/>
                <w:szCs w:val="24"/>
                <w:highlight w:val="none"/>
              </w:rPr>
            </w:pPr>
          </w:p>
        </w:tc>
        <w:tc>
          <w:tcPr>
            <w:tcW w:w="8163" w:type="dxa"/>
            <w:gridSpan w:val="2"/>
            <w:vAlign w:val="center"/>
          </w:tcPr>
          <w:p w14:paraId="2FBE9EEA">
            <w:pPr>
              <w:pageBreakBefore w:val="0"/>
              <w:tabs>
                <w:tab w:val="left" w:pos="0"/>
              </w:tabs>
              <w:bidi w:val="0"/>
              <w:adjustRightInd w:val="0"/>
              <w:snapToGrid w:val="0"/>
              <w:jc w:val="left"/>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投标有效期满足招标文件中的规定</w:t>
            </w:r>
          </w:p>
        </w:tc>
      </w:tr>
    </w:tbl>
    <w:p w14:paraId="5E16B33C">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（4）在投标文件的评审和比较、中标单位的确定过程中，供应商向评标委员会施加压力的任何行为，都将会导致其投标被拒绝。</w:t>
      </w:r>
    </w:p>
    <w:p w14:paraId="19E7028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投标文件的有效性、完整性和响应程度或其他内容有疑问的，评标委员会可要求供应商对投标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投标文件的范围或改变投标文件的实质性内容。评标委员会不得寻求或建议对投标件的实质进行变更。</w:t>
      </w:r>
    </w:p>
    <w:p w14:paraId="2DAAB205">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质询工作应当由全体评标委员会成员参加。对于实质性不符合招标文件的，评标委员会有权予以拒绝。质询工作应做书面记录，采购人代表、评标委员会成员及供应商应在记录上签字确认。</w:t>
      </w:r>
    </w:p>
    <w:p w14:paraId="562AB635">
      <w:pPr>
        <w:pageBreakBefore w:val="0"/>
        <w:bidi w:val="0"/>
        <w:spacing w:line="460" w:lineRule="exact"/>
        <w:ind w:firstLine="551" w:firstLineChars="196"/>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、评分标准</w:t>
      </w:r>
    </w:p>
    <w:tbl>
      <w:tblPr>
        <w:tblStyle w:val="25"/>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826"/>
        <w:gridCol w:w="6794"/>
      </w:tblGrid>
      <w:tr w14:paraId="769E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31" w:type="dxa"/>
            <w:noWrap w:val="0"/>
            <w:vAlign w:val="center"/>
          </w:tcPr>
          <w:p w14:paraId="1A98B58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分值</w:t>
            </w:r>
          </w:p>
          <w:p w14:paraId="5F41DB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构成</w:t>
            </w:r>
          </w:p>
        </w:tc>
        <w:tc>
          <w:tcPr>
            <w:tcW w:w="826" w:type="dxa"/>
            <w:tcBorders>
              <w:left w:val="nil"/>
            </w:tcBorders>
            <w:noWrap w:val="0"/>
            <w:vAlign w:val="center"/>
          </w:tcPr>
          <w:p w14:paraId="477C32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分值</w:t>
            </w:r>
          </w:p>
          <w:p w14:paraId="1A3520A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100分</w:t>
            </w:r>
          </w:p>
        </w:tc>
        <w:tc>
          <w:tcPr>
            <w:tcW w:w="6794" w:type="dxa"/>
            <w:tcBorders>
              <w:left w:val="nil"/>
            </w:tcBorders>
            <w:noWrap w:val="0"/>
            <w:vAlign w:val="center"/>
          </w:tcPr>
          <w:p w14:paraId="09C45A9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评审内容</w:t>
            </w:r>
          </w:p>
        </w:tc>
      </w:tr>
      <w:tr w14:paraId="29C4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31" w:type="dxa"/>
            <w:noWrap w:val="0"/>
            <w:vAlign w:val="center"/>
          </w:tcPr>
          <w:p w14:paraId="4244A4A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报价</w:t>
            </w:r>
          </w:p>
        </w:tc>
        <w:tc>
          <w:tcPr>
            <w:tcW w:w="826" w:type="dxa"/>
            <w:tcBorders>
              <w:left w:val="nil"/>
            </w:tcBorders>
            <w:noWrap w:val="0"/>
            <w:vAlign w:val="center"/>
          </w:tcPr>
          <w:p w14:paraId="196C4A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30分</w:t>
            </w:r>
          </w:p>
        </w:tc>
        <w:tc>
          <w:tcPr>
            <w:tcW w:w="6794" w:type="dxa"/>
            <w:tcBorders>
              <w:left w:val="nil"/>
            </w:tcBorders>
            <w:noWrap w:val="0"/>
            <w:vAlign w:val="center"/>
          </w:tcPr>
          <w:p w14:paraId="50EF1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满足招标文件要求且投标价格最低的投标价为评标基准价，其价格分为满分。</w:t>
            </w:r>
          </w:p>
          <w:p w14:paraId="79444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投标报价得分=（评审基准价／投标报价）×价格权值×100。</w:t>
            </w:r>
          </w:p>
        </w:tc>
      </w:tr>
      <w:tr w14:paraId="715E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431" w:type="dxa"/>
            <w:noWrap w:val="0"/>
            <w:vAlign w:val="top"/>
          </w:tcPr>
          <w:p w14:paraId="5478C41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pacing w:val="0"/>
                <w:szCs w:val="21"/>
                <w:highlight w:val="none"/>
              </w:rPr>
            </w:pPr>
          </w:p>
          <w:p w14:paraId="09D4873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供货及配送</w:t>
            </w:r>
            <w:r>
              <w:rPr>
                <w:rFonts w:hint="eastAsia" w:ascii="宋体" w:hAnsi="宋体" w:eastAsia="宋体" w:cs="宋体"/>
                <w:color w:val="auto"/>
                <w:spacing w:val="0"/>
                <w:szCs w:val="21"/>
                <w:highlight w:val="none"/>
                <w:lang w:eastAsia="zh-CN"/>
              </w:rPr>
              <w:t>方案</w:t>
            </w:r>
          </w:p>
        </w:tc>
        <w:tc>
          <w:tcPr>
            <w:tcW w:w="826" w:type="dxa"/>
            <w:tcBorders>
              <w:left w:val="nil"/>
            </w:tcBorders>
            <w:noWrap w:val="0"/>
            <w:vAlign w:val="center"/>
          </w:tcPr>
          <w:p w14:paraId="5F2F924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12</w:t>
            </w:r>
            <w:r>
              <w:rPr>
                <w:rFonts w:hint="eastAsia" w:ascii="宋体" w:hAnsi="宋体" w:eastAsia="宋体" w:cs="宋体"/>
                <w:color w:val="auto"/>
                <w:spacing w:val="0"/>
                <w:szCs w:val="21"/>
                <w:highlight w:val="none"/>
              </w:rPr>
              <w:t>分</w:t>
            </w:r>
          </w:p>
        </w:tc>
        <w:tc>
          <w:tcPr>
            <w:tcW w:w="6794" w:type="dxa"/>
            <w:tcBorders>
              <w:left w:val="nil"/>
            </w:tcBorders>
            <w:noWrap w:val="0"/>
            <w:vAlign w:val="center"/>
          </w:tcPr>
          <w:p w14:paraId="248DC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根据供应商对本项目的供货、配送方案综合评分。</w:t>
            </w:r>
            <w:bookmarkStart w:id="34" w:name="OLE_LINK45"/>
          </w:p>
          <w:p w14:paraId="0F9BE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①</w:t>
            </w:r>
            <w:bookmarkEnd w:id="34"/>
            <w:r>
              <w:rPr>
                <w:rFonts w:hint="eastAsia" w:ascii="宋体" w:hAnsi="宋体" w:eastAsia="宋体" w:cs="宋体"/>
                <w:color w:val="auto"/>
                <w:spacing w:val="0"/>
                <w:szCs w:val="21"/>
                <w:highlight w:val="none"/>
                <w:lang w:val="en-US" w:eastAsia="zh-CN"/>
              </w:rPr>
              <w:t>方案包括供货、</w:t>
            </w:r>
            <w:bookmarkStart w:id="35" w:name="OLE_LINK54"/>
            <w:r>
              <w:rPr>
                <w:rFonts w:hint="eastAsia" w:ascii="宋体" w:hAnsi="宋体" w:eastAsia="宋体" w:cs="宋体"/>
                <w:color w:val="auto"/>
                <w:spacing w:val="0"/>
                <w:szCs w:val="21"/>
                <w:highlight w:val="none"/>
                <w:lang w:val="en-US" w:eastAsia="zh-CN"/>
              </w:rPr>
              <w:t>配送方案的</w:t>
            </w:r>
            <w:bookmarkEnd w:id="35"/>
            <w:r>
              <w:rPr>
                <w:rFonts w:hint="eastAsia" w:ascii="宋体" w:hAnsi="宋体" w:eastAsia="宋体" w:cs="宋体"/>
                <w:color w:val="auto"/>
                <w:spacing w:val="0"/>
                <w:szCs w:val="21"/>
                <w:highlight w:val="none"/>
                <w:lang w:val="en-US" w:eastAsia="zh-CN"/>
              </w:rPr>
              <w:t>得4分，少一项扣2分；</w:t>
            </w:r>
            <w:bookmarkStart w:id="36" w:name="OLE_LINK46"/>
          </w:p>
          <w:p w14:paraId="6CCDCA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②</w:t>
            </w:r>
            <w:bookmarkEnd w:id="36"/>
            <w:r>
              <w:rPr>
                <w:rFonts w:hint="eastAsia" w:ascii="宋体" w:hAnsi="宋体" w:eastAsia="宋体" w:cs="宋体"/>
                <w:color w:val="auto"/>
                <w:spacing w:val="0"/>
                <w:szCs w:val="21"/>
                <w:highlight w:val="none"/>
                <w:lang w:val="en-US" w:eastAsia="zh-CN"/>
              </w:rPr>
              <w:t>方案完善、可实施性强得</w:t>
            </w:r>
            <w:bookmarkStart w:id="37" w:name="OLE_LINK55"/>
            <w:r>
              <w:rPr>
                <w:rFonts w:hint="eastAsia" w:ascii="宋体" w:hAnsi="宋体" w:eastAsia="宋体" w:cs="宋体"/>
                <w:color w:val="auto"/>
                <w:spacing w:val="0"/>
                <w:szCs w:val="21"/>
                <w:highlight w:val="none"/>
                <w:lang w:val="en-US" w:eastAsia="zh-CN"/>
              </w:rPr>
              <w:t>8</w:t>
            </w:r>
            <w:bookmarkEnd w:id="37"/>
            <w:r>
              <w:rPr>
                <w:rFonts w:hint="eastAsia" w:ascii="宋体" w:hAnsi="宋体" w:eastAsia="宋体" w:cs="宋体"/>
                <w:color w:val="auto"/>
                <w:spacing w:val="0"/>
                <w:szCs w:val="21"/>
                <w:highlight w:val="none"/>
                <w:lang w:val="en-US" w:eastAsia="zh-CN"/>
              </w:rPr>
              <w:t>分，方案基本完善、可实施性较强得4分,方案不完善、实施性差得2分，否则不得分。</w:t>
            </w:r>
          </w:p>
        </w:tc>
      </w:tr>
      <w:tr w14:paraId="01C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31" w:type="dxa"/>
            <w:noWrap w:val="0"/>
            <w:vAlign w:val="center"/>
          </w:tcPr>
          <w:p w14:paraId="0555B2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lang w:eastAsia="zh-CN"/>
              </w:rPr>
              <w:t>质量保证</w:t>
            </w:r>
          </w:p>
        </w:tc>
        <w:tc>
          <w:tcPr>
            <w:tcW w:w="826" w:type="dxa"/>
            <w:tcBorders>
              <w:left w:val="nil"/>
            </w:tcBorders>
            <w:noWrap w:val="0"/>
            <w:vAlign w:val="center"/>
          </w:tcPr>
          <w:p w14:paraId="5B08FE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12</w:t>
            </w:r>
            <w:r>
              <w:rPr>
                <w:rFonts w:hint="eastAsia" w:ascii="宋体" w:hAnsi="宋体" w:eastAsia="宋体" w:cs="宋体"/>
                <w:color w:val="auto"/>
                <w:spacing w:val="0"/>
                <w:szCs w:val="21"/>
                <w:highlight w:val="none"/>
              </w:rPr>
              <w:t>分</w:t>
            </w:r>
          </w:p>
        </w:tc>
        <w:tc>
          <w:tcPr>
            <w:tcW w:w="6794" w:type="dxa"/>
            <w:tcBorders>
              <w:left w:val="nil"/>
            </w:tcBorders>
            <w:noWrap w:val="0"/>
            <w:vAlign w:val="center"/>
          </w:tcPr>
          <w:p w14:paraId="23CB2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针对本项目在产品运输、送达、调换、残损品补救方面的保证措施</w:t>
            </w:r>
            <w:r>
              <w:rPr>
                <w:rFonts w:hint="eastAsia" w:ascii="宋体" w:hAnsi="宋体" w:eastAsia="宋体" w:cs="宋体"/>
                <w:color w:val="auto"/>
                <w:spacing w:val="0"/>
                <w:kern w:val="2"/>
                <w:sz w:val="21"/>
                <w:szCs w:val="21"/>
                <w:highlight w:val="none"/>
                <w:lang w:val="en-US" w:eastAsia="zh-CN" w:bidi="ar-SA"/>
              </w:rPr>
              <w:t>进行综合评分</w:t>
            </w:r>
          </w:p>
          <w:p w14:paraId="7B62F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①</w:t>
            </w:r>
            <w:bookmarkStart w:id="38" w:name="OLE_LINK59"/>
            <w:r>
              <w:rPr>
                <w:rFonts w:hint="eastAsia" w:ascii="宋体" w:hAnsi="宋体" w:eastAsia="宋体" w:cs="宋体"/>
                <w:color w:val="auto"/>
                <w:spacing w:val="0"/>
                <w:szCs w:val="21"/>
                <w:highlight w:val="none"/>
                <w:lang w:val="en-US" w:eastAsia="zh-CN"/>
              </w:rPr>
              <w:t>在产品运输、送达、调换、残损品补救方面</w:t>
            </w:r>
            <w:bookmarkEnd w:id="38"/>
            <w:r>
              <w:rPr>
                <w:rFonts w:hint="eastAsia" w:ascii="宋体" w:hAnsi="宋体" w:eastAsia="宋体" w:cs="宋体"/>
                <w:color w:val="auto"/>
                <w:spacing w:val="0"/>
                <w:szCs w:val="21"/>
                <w:highlight w:val="none"/>
                <w:lang w:val="en-US" w:eastAsia="zh-CN"/>
              </w:rPr>
              <w:t>提供了</w:t>
            </w:r>
            <w:bookmarkStart w:id="39" w:name="OLE_LINK56"/>
            <w:r>
              <w:rPr>
                <w:rFonts w:hint="eastAsia" w:ascii="宋体" w:hAnsi="宋体" w:eastAsia="宋体" w:cs="宋体"/>
                <w:color w:val="auto"/>
                <w:spacing w:val="0"/>
                <w:szCs w:val="21"/>
                <w:highlight w:val="none"/>
                <w:lang w:val="en-US" w:eastAsia="zh-CN"/>
              </w:rPr>
              <w:t>保证措施</w:t>
            </w:r>
            <w:bookmarkEnd w:id="39"/>
            <w:r>
              <w:rPr>
                <w:rFonts w:hint="eastAsia" w:ascii="宋体" w:hAnsi="宋体" w:eastAsia="宋体" w:cs="宋体"/>
                <w:color w:val="auto"/>
                <w:spacing w:val="0"/>
                <w:szCs w:val="21"/>
                <w:highlight w:val="none"/>
                <w:lang w:val="en-US" w:eastAsia="zh-CN"/>
              </w:rPr>
              <w:t>得6分，每少1项扣1.5分。</w:t>
            </w:r>
          </w:p>
          <w:p w14:paraId="30467F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②质量保证</w:t>
            </w:r>
            <w:bookmarkStart w:id="40" w:name="OLE_LINK57"/>
            <w:bookmarkStart w:id="41" w:name="OLE_LINK58"/>
            <w:r>
              <w:rPr>
                <w:rFonts w:hint="eastAsia" w:ascii="宋体" w:hAnsi="宋体" w:eastAsia="宋体" w:cs="宋体"/>
                <w:color w:val="auto"/>
                <w:spacing w:val="0"/>
                <w:szCs w:val="21"/>
                <w:highlight w:val="none"/>
                <w:lang w:val="en-US" w:eastAsia="zh-CN"/>
              </w:rPr>
              <w:t>措</w:t>
            </w:r>
            <w:bookmarkEnd w:id="40"/>
            <w:r>
              <w:rPr>
                <w:rFonts w:hint="eastAsia" w:ascii="宋体" w:hAnsi="宋体" w:eastAsia="宋体" w:cs="宋体"/>
                <w:color w:val="auto"/>
                <w:spacing w:val="0"/>
                <w:szCs w:val="21"/>
                <w:highlight w:val="none"/>
                <w:lang w:val="en-US" w:eastAsia="zh-CN"/>
              </w:rPr>
              <w:t>施</w:t>
            </w:r>
            <w:bookmarkEnd w:id="41"/>
            <w:r>
              <w:rPr>
                <w:rFonts w:hint="eastAsia" w:ascii="宋体" w:hAnsi="宋体" w:eastAsia="宋体" w:cs="宋体"/>
                <w:color w:val="auto"/>
                <w:spacing w:val="0"/>
                <w:szCs w:val="21"/>
                <w:highlight w:val="none"/>
                <w:lang w:val="en-US" w:eastAsia="zh-CN"/>
              </w:rPr>
              <w:t>完善、可实施性强得6分，措施基本完善、可实施性较强得3分,措施不完善、实施性差得1分，否则不得分。</w:t>
            </w:r>
          </w:p>
        </w:tc>
      </w:tr>
      <w:tr w14:paraId="29D8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431" w:type="dxa"/>
            <w:noWrap w:val="0"/>
            <w:vAlign w:val="center"/>
          </w:tcPr>
          <w:p w14:paraId="362001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kern w:val="2"/>
                <w:sz w:val="21"/>
                <w:szCs w:val="21"/>
                <w:highlight w:val="none"/>
                <w:lang w:val="en-US" w:eastAsia="zh-CN" w:bidi="ar-SA"/>
              </w:rPr>
              <w:t>突发应急预案</w:t>
            </w:r>
          </w:p>
        </w:tc>
        <w:tc>
          <w:tcPr>
            <w:tcW w:w="826" w:type="dxa"/>
            <w:tcBorders>
              <w:left w:val="nil"/>
            </w:tcBorders>
            <w:noWrap w:val="0"/>
            <w:vAlign w:val="center"/>
          </w:tcPr>
          <w:p w14:paraId="4185E93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12</w:t>
            </w:r>
            <w:r>
              <w:rPr>
                <w:rFonts w:hint="eastAsia" w:ascii="宋体" w:hAnsi="宋体" w:eastAsia="宋体" w:cs="宋体"/>
                <w:color w:val="auto"/>
                <w:spacing w:val="0"/>
                <w:szCs w:val="21"/>
                <w:highlight w:val="none"/>
              </w:rPr>
              <w:t>分</w:t>
            </w:r>
          </w:p>
        </w:tc>
        <w:tc>
          <w:tcPr>
            <w:tcW w:w="6794" w:type="dxa"/>
            <w:tcBorders>
              <w:left w:val="nil"/>
            </w:tcBorders>
            <w:noWrap w:val="0"/>
            <w:vAlign w:val="center"/>
          </w:tcPr>
          <w:p w14:paraId="713EB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针</w:t>
            </w:r>
            <w:bookmarkStart w:id="42" w:name="OLE_LINK49"/>
            <w:r>
              <w:rPr>
                <w:rFonts w:hint="eastAsia" w:ascii="宋体" w:hAnsi="宋体" w:eastAsia="宋体" w:cs="宋体"/>
                <w:color w:val="auto"/>
                <w:spacing w:val="0"/>
                <w:kern w:val="2"/>
                <w:sz w:val="21"/>
                <w:szCs w:val="21"/>
                <w:highlight w:val="none"/>
                <w:lang w:val="en-US" w:eastAsia="zh-CN" w:bidi="ar-SA"/>
              </w:rPr>
              <w:t>对</w:t>
            </w:r>
            <w:bookmarkStart w:id="43" w:name="OLE_LINK47"/>
            <w:r>
              <w:rPr>
                <w:rFonts w:hint="eastAsia" w:ascii="宋体" w:hAnsi="宋体" w:eastAsia="宋体" w:cs="宋体"/>
                <w:color w:val="auto"/>
                <w:spacing w:val="0"/>
                <w:kern w:val="2"/>
                <w:sz w:val="21"/>
                <w:szCs w:val="21"/>
                <w:highlight w:val="none"/>
                <w:lang w:val="en-US" w:eastAsia="zh-CN" w:bidi="ar-SA"/>
              </w:rPr>
              <w:t>运</w:t>
            </w:r>
            <w:bookmarkEnd w:id="42"/>
            <w:r>
              <w:rPr>
                <w:rFonts w:hint="eastAsia" w:ascii="宋体" w:hAnsi="宋体" w:eastAsia="宋体" w:cs="宋体"/>
                <w:color w:val="auto"/>
                <w:spacing w:val="0"/>
                <w:kern w:val="2"/>
                <w:sz w:val="21"/>
                <w:szCs w:val="21"/>
                <w:highlight w:val="none"/>
                <w:lang w:val="en-US" w:eastAsia="zh-CN" w:bidi="ar-SA"/>
              </w:rPr>
              <w:t>输车辆临时故障、配送过程中遭遇极端天气、原定配送人员缺勤、采购人临时提出食材采购需求</w:t>
            </w:r>
            <w:bookmarkEnd w:id="43"/>
            <w:r>
              <w:rPr>
                <w:rFonts w:hint="eastAsia" w:ascii="宋体" w:hAnsi="宋体" w:eastAsia="宋体" w:cs="宋体"/>
                <w:color w:val="auto"/>
                <w:spacing w:val="0"/>
                <w:kern w:val="2"/>
                <w:sz w:val="21"/>
                <w:szCs w:val="21"/>
                <w:highlight w:val="none"/>
                <w:lang w:val="en-US" w:eastAsia="zh-CN" w:bidi="ar-SA"/>
              </w:rPr>
              <w:t>方面的</w:t>
            </w:r>
            <w:bookmarkStart w:id="44" w:name="OLE_LINK48"/>
            <w:r>
              <w:rPr>
                <w:rFonts w:hint="eastAsia" w:ascii="宋体" w:hAnsi="宋体" w:eastAsia="宋体" w:cs="宋体"/>
                <w:color w:val="auto"/>
                <w:spacing w:val="0"/>
                <w:kern w:val="2"/>
                <w:sz w:val="21"/>
                <w:szCs w:val="21"/>
                <w:highlight w:val="none"/>
                <w:lang w:val="en-US" w:eastAsia="zh-CN" w:bidi="ar-SA"/>
              </w:rPr>
              <w:t>应对措施</w:t>
            </w:r>
            <w:bookmarkEnd w:id="44"/>
            <w:bookmarkStart w:id="45" w:name="OLE_LINK61"/>
            <w:r>
              <w:rPr>
                <w:rFonts w:hint="eastAsia" w:ascii="宋体" w:hAnsi="宋体" w:eastAsia="宋体" w:cs="宋体"/>
                <w:color w:val="auto"/>
                <w:spacing w:val="0"/>
                <w:kern w:val="2"/>
                <w:sz w:val="21"/>
                <w:szCs w:val="21"/>
                <w:highlight w:val="none"/>
                <w:lang w:val="en-US" w:eastAsia="zh-CN" w:bidi="ar-SA"/>
              </w:rPr>
              <w:t>进行综合评分</w:t>
            </w:r>
            <w:bookmarkEnd w:id="45"/>
            <w:r>
              <w:rPr>
                <w:rFonts w:hint="eastAsia" w:ascii="宋体" w:hAnsi="宋体" w:eastAsia="宋体" w:cs="宋体"/>
                <w:color w:val="auto"/>
                <w:spacing w:val="0"/>
                <w:kern w:val="2"/>
                <w:sz w:val="21"/>
                <w:szCs w:val="21"/>
                <w:highlight w:val="none"/>
                <w:lang w:val="en-US" w:eastAsia="zh-CN" w:bidi="ar-SA"/>
              </w:rPr>
              <w:t>。</w:t>
            </w:r>
          </w:p>
          <w:p w14:paraId="5B7AB6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①内容包含运输车辆临时故障、配送过程中遭遇极端天气、原定配送人员缺勤、采购人临时提出食材采购需求应对措施的得6分，每少一项扣1.5分；</w:t>
            </w:r>
          </w:p>
          <w:p w14:paraId="6E24B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②内容详细，可实施性强得6分，内容基本详细，可实施性较强得3分，内容简单，可实施性差得1分</w:t>
            </w:r>
          </w:p>
        </w:tc>
      </w:tr>
      <w:tr w14:paraId="2932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31" w:type="dxa"/>
            <w:noWrap w:val="0"/>
            <w:vAlign w:val="center"/>
          </w:tcPr>
          <w:p w14:paraId="4B41F7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食品</w:t>
            </w:r>
            <w:bookmarkStart w:id="46" w:name="OLE_LINK50"/>
            <w:r>
              <w:rPr>
                <w:rFonts w:hint="eastAsia" w:ascii="宋体" w:hAnsi="宋体" w:eastAsia="宋体" w:cs="宋体"/>
                <w:color w:val="auto"/>
                <w:spacing w:val="0"/>
                <w:kern w:val="2"/>
                <w:sz w:val="21"/>
                <w:szCs w:val="21"/>
                <w:highlight w:val="none"/>
                <w:lang w:val="en-US" w:eastAsia="zh-CN" w:bidi="ar-SA"/>
              </w:rPr>
              <w:t>卫</w:t>
            </w:r>
            <w:bookmarkEnd w:id="46"/>
            <w:r>
              <w:rPr>
                <w:rFonts w:hint="eastAsia" w:ascii="宋体" w:hAnsi="宋体" w:eastAsia="宋体" w:cs="宋体"/>
                <w:color w:val="auto"/>
                <w:spacing w:val="0"/>
                <w:kern w:val="2"/>
                <w:sz w:val="21"/>
                <w:szCs w:val="21"/>
                <w:highlight w:val="none"/>
                <w:lang w:val="en-US" w:eastAsia="zh-CN" w:bidi="ar-SA"/>
              </w:rPr>
              <w:t>生、防腐保鲜措施</w:t>
            </w:r>
          </w:p>
        </w:tc>
        <w:tc>
          <w:tcPr>
            <w:tcW w:w="826" w:type="dxa"/>
            <w:tcBorders>
              <w:left w:val="nil"/>
            </w:tcBorders>
            <w:noWrap w:val="0"/>
            <w:vAlign w:val="center"/>
          </w:tcPr>
          <w:p w14:paraId="2B37F5F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9分</w:t>
            </w:r>
          </w:p>
        </w:tc>
        <w:tc>
          <w:tcPr>
            <w:tcW w:w="6794" w:type="dxa"/>
            <w:tcBorders>
              <w:left w:val="nil"/>
            </w:tcBorders>
            <w:noWrap w:val="0"/>
            <w:vAlign w:val="center"/>
          </w:tcPr>
          <w:p w14:paraId="6D3AF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针对所配送食材卫生、防</w:t>
            </w:r>
            <w:bookmarkStart w:id="47" w:name="OLE_LINK51"/>
            <w:r>
              <w:rPr>
                <w:rFonts w:hint="eastAsia" w:ascii="宋体" w:hAnsi="宋体" w:eastAsia="宋体" w:cs="宋体"/>
                <w:color w:val="auto"/>
                <w:spacing w:val="0"/>
                <w:kern w:val="2"/>
                <w:sz w:val="21"/>
                <w:szCs w:val="21"/>
                <w:highlight w:val="none"/>
                <w:lang w:val="en-US" w:eastAsia="zh-CN" w:bidi="ar-SA"/>
              </w:rPr>
              <w:t>腐保鲜提</w:t>
            </w:r>
            <w:bookmarkEnd w:id="47"/>
            <w:r>
              <w:rPr>
                <w:rFonts w:hint="eastAsia" w:ascii="宋体" w:hAnsi="宋体" w:eastAsia="宋体" w:cs="宋体"/>
                <w:color w:val="auto"/>
                <w:spacing w:val="0"/>
                <w:kern w:val="2"/>
                <w:sz w:val="21"/>
                <w:szCs w:val="21"/>
                <w:highlight w:val="none"/>
                <w:lang w:val="en-US" w:eastAsia="zh-CN" w:bidi="ar-SA"/>
              </w:rPr>
              <w:t>供切实可行的保障措施</w:t>
            </w:r>
          </w:p>
          <w:p w14:paraId="242D8F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保障</w:t>
            </w:r>
            <w:bookmarkStart w:id="48" w:name="OLE_LINK53"/>
            <w:r>
              <w:rPr>
                <w:rFonts w:hint="eastAsia" w:ascii="宋体" w:hAnsi="宋体" w:eastAsia="宋体" w:cs="宋体"/>
                <w:color w:val="auto"/>
                <w:spacing w:val="0"/>
                <w:kern w:val="2"/>
                <w:sz w:val="21"/>
                <w:szCs w:val="21"/>
                <w:highlight w:val="none"/>
                <w:lang w:val="en-US" w:eastAsia="zh-CN" w:bidi="ar-SA"/>
              </w:rPr>
              <w:t>措施无瑕</w:t>
            </w:r>
            <w:bookmarkStart w:id="49" w:name="OLE_LINK52"/>
            <w:r>
              <w:rPr>
                <w:rFonts w:hint="eastAsia" w:ascii="宋体" w:hAnsi="宋体" w:eastAsia="宋体" w:cs="宋体"/>
                <w:color w:val="auto"/>
                <w:spacing w:val="0"/>
                <w:kern w:val="2"/>
                <w:sz w:val="21"/>
                <w:szCs w:val="21"/>
                <w:highlight w:val="none"/>
                <w:lang w:val="en-US" w:eastAsia="zh-CN" w:bidi="ar-SA"/>
              </w:rPr>
              <w:t>疵得</w:t>
            </w:r>
            <w:bookmarkEnd w:id="49"/>
            <w:r>
              <w:rPr>
                <w:rFonts w:hint="eastAsia" w:ascii="宋体" w:hAnsi="宋体" w:eastAsia="宋体" w:cs="宋体"/>
                <w:color w:val="auto"/>
                <w:spacing w:val="0"/>
                <w:kern w:val="2"/>
                <w:sz w:val="21"/>
                <w:szCs w:val="21"/>
                <w:highlight w:val="none"/>
                <w:lang w:val="en-US" w:eastAsia="zh-CN" w:bidi="ar-SA"/>
              </w:rPr>
              <w:t>9分，存在1处瑕疵得6分；存在2处瑕疵得4分； 未提供或内容存在3处及以上瑕疵得0分；</w:t>
            </w:r>
          </w:p>
          <w:p w14:paraId="5CDF6B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注：“瑕疵”是指内容缺项、不完整或缺少关键点；非专门针对本项目或不适用本项目特</w:t>
            </w:r>
            <w:bookmarkEnd w:id="48"/>
            <w:r>
              <w:rPr>
                <w:rFonts w:hint="eastAsia" w:ascii="宋体" w:hAnsi="宋体" w:eastAsia="宋体" w:cs="宋体"/>
                <w:color w:val="auto"/>
                <w:spacing w:val="0"/>
                <w:kern w:val="2"/>
                <w:sz w:val="21"/>
                <w:szCs w:val="21"/>
                <w:highlight w:val="none"/>
                <w:lang w:val="en-US" w:eastAsia="zh-CN" w:bidi="ar-SA"/>
              </w:rPr>
              <w:t>性、套用其他项目内容；对同一问题前后表述矛盾；存在逻辑漏洞、科学原理或常识错误；不利于本项目目标的实现、现有技术条件下不可能出现的情形等任意一种情形。</w:t>
            </w:r>
          </w:p>
        </w:tc>
      </w:tr>
      <w:tr w14:paraId="67E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31" w:type="dxa"/>
            <w:noWrap w:val="0"/>
            <w:vAlign w:val="center"/>
          </w:tcPr>
          <w:p w14:paraId="76C535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kern w:val="0"/>
                <w:sz w:val="21"/>
                <w:szCs w:val="21"/>
                <w:lang w:val="en-US" w:eastAsia="zh-CN" w:bidi="ar-SA"/>
              </w:rPr>
              <w:t>售后服务承诺</w:t>
            </w:r>
          </w:p>
        </w:tc>
        <w:tc>
          <w:tcPr>
            <w:tcW w:w="826" w:type="dxa"/>
            <w:tcBorders>
              <w:left w:val="nil"/>
            </w:tcBorders>
            <w:noWrap w:val="0"/>
            <w:vAlign w:val="center"/>
          </w:tcPr>
          <w:p w14:paraId="5C9C43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6分</w:t>
            </w:r>
          </w:p>
        </w:tc>
        <w:tc>
          <w:tcPr>
            <w:tcW w:w="6794" w:type="dxa"/>
            <w:tcBorders>
              <w:left w:val="nil"/>
            </w:tcBorders>
            <w:noWrap w:val="0"/>
            <w:vAlign w:val="center"/>
          </w:tcPr>
          <w:p w14:paraId="06DF5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kern w:val="0"/>
                <w:sz w:val="21"/>
                <w:szCs w:val="21"/>
                <w:lang w:val="en-US" w:eastAsia="zh-CN" w:bidi="ar-SA"/>
              </w:rPr>
              <w:t>提供完整的食品安全承诺、质量保证承诺、应急保障供应承诺得6分，少1项扣2分。</w:t>
            </w:r>
          </w:p>
        </w:tc>
      </w:tr>
      <w:tr w14:paraId="334A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31" w:type="dxa"/>
            <w:noWrap w:val="0"/>
            <w:vAlign w:val="center"/>
          </w:tcPr>
          <w:p w14:paraId="555B1C3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配送车辆</w:t>
            </w:r>
          </w:p>
        </w:tc>
        <w:tc>
          <w:tcPr>
            <w:tcW w:w="826" w:type="dxa"/>
            <w:tcBorders>
              <w:left w:val="nil"/>
            </w:tcBorders>
            <w:noWrap w:val="0"/>
            <w:vAlign w:val="center"/>
          </w:tcPr>
          <w:p w14:paraId="61D5FD5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9分</w:t>
            </w:r>
          </w:p>
        </w:tc>
        <w:tc>
          <w:tcPr>
            <w:tcW w:w="6794" w:type="dxa"/>
            <w:tcBorders>
              <w:left w:val="nil"/>
            </w:tcBorders>
            <w:noWrap w:val="0"/>
            <w:vAlign w:val="center"/>
          </w:tcPr>
          <w:p w14:paraId="5B364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投标人具备2辆配送车得3分，否则不得分。每增加一辆普通配送车加 2分，增加1辆冷链配送车辆加3分，最高得9分。</w:t>
            </w:r>
          </w:p>
          <w:p w14:paraId="45DD7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注：提供车辆相关证明资料</w:t>
            </w:r>
            <w:bookmarkStart w:id="50" w:name="OLE_LINK62"/>
            <w:r>
              <w:rPr>
                <w:rFonts w:hint="eastAsia" w:ascii="宋体" w:hAnsi="宋体" w:eastAsia="宋体" w:cs="宋体"/>
                <w:color w:val="auto"/>
                <w:spacing w:val="0"/>
                <w:kern w:val="2"/>
                <w:sz w:val="21"/>
                <w:szCs w:val="21"/>
                <w:highlight w:val="none"/>
                <w:lang w:val="en-US" w:eastAsia="zh-CN" w:bidi="ar-SA"/>
              </w:rPr>
              <w:t>。</w:t>
            </w:r>
          </w:p>
          <w:bookmarkEnd w:id="50"/>
          <w:p w14:paraId="5BC0C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（1）非投标人自有车辆须提供车辆租赁协议（包括车型、车牌号</w:t>
            </w:r>
            <w:bookmarkStart w:id="51" w:name="OLE_LINK44"/>
            <w:r>
              <w:rPr>
                <w:rFonts w:hint="eastAsia" w:ascii="宋体" w:hAnsi="宋体" w:eastAsia="宋体" w:cs="宋体"/>
                <w:color w:val="auto"/>
                <w:spacing w:val="0"/>
                <w:kern w:val="2"/>
                <w:sz w:val="21"/>
                <w:szCs w:val="21"/>
                <w:highlight w:val="none"/>
                <w:lang w:val="en-US" w:eastAsia="zh-CN" w:bidi="ar-SA"/>
              </w:rPr>
              <w:t>及车辆租赁的服务内容</w:t>
            </w:r>
            <w:bookmarkEnd w:id="51"/>
            <w:r>
              <w:rPr>
                <w:rFonts w:hint="eastAsia" w:ascii="宋体" w:hAnsi="宋体" w:eastAsia="宋体" w:cs="宋体"/>
                <w:color w:val="auto"/>
                <w:spacing w:val="0"/>
                <w:kern w:val="2"/>
                <w:sz w:val="21"/>
                <w:szCs w:val="21"/>
                <w:highlight w:val="none"/>
                <w:lang w:val="en-US" w:eastAsia="zh-CN" w:bidi="ar-SA"/>
              </w:rPr>
              <w:t>）复印件加盖公章</w:t>
            </w:r>
            <w:bookmarkStart w:id="52" w:name="OLE_LINK60"/>
            <w:r>
              <w:rPr>
                <w:rFonts w:hint="eastAsia" w:ascii="宋体" w:hAnsi="宋体" w:eastAsia="宋体" w:cs="宋体"/>
                <w:color w:val="auto"/>
                <w:spacing w:val="0"/>
                <w:kern w:val="2"/>
                <w:sz w:val="21"/>
                <w:szCs w:val="21"/>
                <w:highlight w:val="none"/>
                <w:lang w:val="en-US" w:eastAsia="zh-CN" w:bidi="ar-SA"/>
              </w:rPr>
              <w:t>，相对应的行驶证复印件；</w:t>
            </w:r>
            <w:bookmarkEnd w:id="52"/>
            <w:r>
              <w:rPr>
                <w:rFonts w:hint="eastAsia" w:ascii="宋体" w:hAnsi="宋体" w:eastAsia="宋体" w:cs="宋体"/>
                <w:color w:val="auto"/>
                <w:spacing w:val="0"/>
                <w:kern w:val="2"/>
                <w:sz w:val="21"/>
                <w:szCs w:val="21"/>
                <w:highlight w:val="none"/>
                <w:lang w:val="en-US" w:eastAsia="zh-CN" w:bidi="ar-SA"/>
              </w:rPr>
              <w:t xml:space="preserve"> </w:t>
            </w:r>
          </w:p>
          <w:p w14:paraId="1C262A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 xml:space="preserve">（2）如投标人自有车辆须提供车辆产权证复印件加盖公章，相对应的行驶证复印件； </w:t>
            </w:r>
          </w:p>
          <w:p w14:paraId="27FA1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 xml:space="preserve">（3）车辆照片（车牌号与行驶证等一致）。 </w:t>
            </w:r>
          </w:p>
        </w:tc>
      </w:tr>
      <w:tr w14:paraId="714E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31" w:type="dxa"/>
            <w:noWrap w:val="0"/>
            <w:vAlign w:val="center"/>
          </w:tcPr>
          <w:p w14:paraId="51A6AF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企业</w:t>
            </w:r>
            <w:r>
              <w:rPr>
                <w:rFonts w:hint="eastAsia" w:ascii="宋体" w:hAnsi="宋体" w:eastAsia="宋体" w:cs="宋体"/>
                <w:color w:val="auto"/>
                <w:spacing w:val="0"/>
                <w:szCs w:val="21"/>
                <w:highlight w:val="none"/>
              </w:rPr>
              <w:t>业绩</w:t>
            </w:r>
          </w:p>
        </w:tc>
        <w:tc>
          <w:tcPr>
            <w:tcW w:w="826" w:type="dxa"/>
            <w:tcBorders>
              <w:left w:val="nil"/>
            </w:tcBorders>
            <w:noWrap w:val="0"/>
            <w:vAlign w:val="center"/>
          </w:tcPr>
          <w:p w14:paraId="606A89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10</w:t>
            </w:r>
            <w:r>
              <w:rPr>
                <w:rFonts w:hint="eastAsia" w:ascii="宋体" w:hAnsi="宋体" w:eastAsia="宋体" w:cs="宋体"/>
                <w:color w:val="auto"/>
                <w:spacing w:val="0"/>
                <w:szCs w:val="21"/>
                <w:highlight w:val="none"/>
              </w:rPr>
              <w:t>分</w:t>
            </w:r>
          </w:p>
        </w:tc>
        <w:tc>
          <w:tcPr>
            <w:tcW w:w="6794" w:type="dxa"/>
            <w:tcBorders>
              <w:left w:val="nil"/>
            </w:tcBorders>
            <w:noWrap w:val="0"/>
            <w:vAlign w:val="center"/>
          </w:tcPr>
          <w:p w14:paraId="6D42FF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每提供1个20</w:t>
            </w:r>
            <w:r>
              <w:rPr>
                <w:rFonts w:hint="eastAsia" w:ascii="宋体" w:hAnsi="宋体" w:cs="宋体"/>
                <w:color w:val="auto"/>
                <w:spacing w:val="0"/>
                <w:kern w:val="2"/>
                <w:sz w:val="21"/>
                <w:szCs w:val="21"/>
                <w:highlight w:val="none"/>
                <w:lang w:val="en-US" w:eastAsia="zh-CN" w:bidi="ar-SA"/>
              </w:rPr>
              <w:t>22</w:t>
            </w:r>
            <w:r>
              <w:rPr>
                <w:rFonts w:hint="eastAsia" w:ascii="宋体" w:hAnsi="宋体" w:eastAsia="宋体" w:cs="宋体"/>
                <w:color w:val="auto"/>
                <w:spacing w:val="0"/>
                <w:kern w:val="2"/>
                <w:sz w:val="21"/>
                <w:szCs w:val="21"/>
                <w:highlight w:val="none"/>
                <w:lang w:val="en-US" w:eastAsia="zh-CN" w:bidi="ar-SA"/>
              </w:rPr>
              <w:t>年1月1日至今类似项目业绩（提供中标/成交通知书或合同协议书）得2分，共10分。</w:t>
            </w:r>
          </w:p>
        </w:tc>
      </w:tr>
    </w:tbl>
    <w:p w14:paraId="502C76A7">
      <w:pPr>
        <w:pageBreakBefore w:val="0"/>
        <w:bidi w:val="0"/>
        <w:spacing w:line="46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满分：100分，综合评分法。各分项分值分配如下：</w:t>
      </w:r>
    </w:p>
    <w:p w14:paraId="3CD8443C">
      <w:pPr>
        <w:pageBreakBefore w:val="0"/>
        <w:bidi w:val="0"/>
        <w:spacing w:line="4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注：1）评委打分超过得分界限或未按本方法赋分时，该评委的打分按废票处理。</w:t>
      </w:r>
    </w:p>
    <w:p w14:paraId="62DBD7B0">
      <w:pPr>
        <w:pageBreakBefore w:val="0"/>
        <w:numPr>
          <w:ilvl w:val="0"/>
          <w:numId w:val="5"/>
        </w:numPr>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各种计算数字均保留两位小数，第三位“四舍五入”。 </w:t>
      </w:r>
    </w:p>
    <w:p w14:paraId="7C900468">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3）特殊情况处理</w:t>
      </w:r>
      <w:r>
        <w:rPr>
          <w:rFonts w:hint="eastAsia" w:ascii="宋体" w:hAnsi="宋体" w:eastAsia="宋体" w:cs="宋体"/>
          <w:color w:val="auto"/>
          <w:sz w:val="24"/>
          <w:szCs w:val="24"/>
          <w:highlight w:val="none"/>
        </w:rPr>
        <w:t>：</w:t>
      </w:r>
    </w:p>
    <w:p w14:paraId="191A6C44">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若出现综合得分并列时，投标报价得分高者为第一中标候选人，若投标报价的得分相同，技术得分高者为第一中标候选人，若上述两项得分相同，则由全体评标委员会成员无记名投票，得票高者为第一中标候选人。</w:t>
      </w:r>
    </w:p>
    <w:p w14:paraId="0ABF387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b、当供应商某评分项出现未报、漏报或零报价时，该分项得零分，并不参与投标报价分的计算。</w:t>
      </w:r>
    </w:p>
    <w:p w14:paraId="0D091147">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c、评标过程中，若出现本评标方法以外的特殊情况时，将暂停评标，待评委商榷后再进行复会。</w:t>
      </w:r>
    </w:p>
    <w:p w14:paraId="7A7DAABE">
      <w:pPr>
        <w:pageBreakBefore w:val="0"/>
        <w:bidi w:val="0"/>
        <w:spacing w:line="600" w:lineRule="exact"/>
        <w:ind w:firstLine="562" w:firstLineChars="200"/>
        <w:outlineLvl w:val="9"/>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、依据《中华人民共和国政府采购法》和《中华人民共和国政府采购实施条例》的有关规定，落实政府采购“优先购买节能环保产品、扶持小微企业、监狱企业、福利企业”等相关政策。</w:t>
      </w:r>
    </w:p>
    <w:p w14:paraId="55E82130">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1）</w:t>
      </w:r>
      <w:r>
        <w:rPr>
          <w:rFonts w:hint="eastAsia" w:ascii="宋体" w:hAnsi="宋体" w:eastAsia="宋体" w:cs="宋体"/>
          <w:b/>
          <w:color w:val="auto"/>
          <w:kern w:val="0"/>
          <w:sz w:val="24"/>
          <w:highlight w:val="none"/>
        </w:rPr>
        <w:t>政府采购政策</w:t>
      </w:r>
    </w:p>
    <w:p w14:paraId="4BBA3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（1）《政府采购促进中小企业发展管理办法》的通知（财库〔2020〕46号）；（2）财政部司法部关于政府采购支持监狱企业发展有关问题的通知--财库〔2014〕68号； （3）《国务院办公厅关于建立政府强制采购节能产品制度的通知》--国办发〔2007〕51号； （4）《关于促进残疾人就业政府采购政策的通知》财库〔2017〕141号； （5）《财政部 国务院扶贫办关于运用政府采购政策支持脱贫攻坚的通知》（财库〔2019〕27号）； （6）陕西省财政厅关于印发《陕西省中小企业政府采购信用融资办法》（陕财办采〔2018〕23号）； （7）《财政部 发展改革委 生态环境部 市场监管总局关于调整优化节能产品、环境标志产品政府采购执行机制的通知》（财库〔2019〕9号）； （8）《关于运用政府采购政策支持乡村产业振兴的通知》（财库〔2021〕19 号）；（9）本项目不专门面向中小企业采购；（10）其他需要落实的政府采购政策。</w:t>
      </w:r>
    </w:p>
    <w:p w14:paraId="1A89530E">
      <w:pPr>
        <w:pageBreakBefore w:val="0"/>
        <w:bidi w:val="0"/>
        <w:spacing w:line="600" w:lineRule="exact"/>
        <w:ind w:firstLine="482" w:firstLineChars="200"/>
        <w:outlineLvl w:val="9"/>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rPr>
        <w:t>2）</w:t>
      </w:r>
      <w:r>
        <w:rPr>
          <w:rFonts w:hint="eastAsia" w:ascii="宋体" w:hAnsi="宋体" w:eastAsia="宋体" w:cs="宋体"/>
          <w:b/>
          <w:color w:val="auto"/>
          <w:kern w:val="0"/>
          <w:sz w:val="24"/>
          <w:highlight w:val="none"/>
          <w:lang w:bidi="ar"/>
        </w:rPr>
        <w:t>政策性</w:t>
      </w:r>
      <w:r>
        <w:rPr>
          <w:rFonts w:hint="eastAsia" w:ascii="宋体" w:hAnsi="宋体" w:eastAsia="宋体" w:cs="宋体"/>
          <w:b/>
          <w:color w:val="auto"/>
          <w:kern w:val="0"/>
          <w:sz w:val="24"/>
          <w:highlight w:val="none"/>
          <w:lang w:val="en-US" w:bidi="ar"/>
        </w:rPr>
        <w:t>优惠条</w:t>
      </w:r>
      <w:r>
        <w:rPr>
          <w:rFonts w:hint="eastAsia" w:ascii="宋体" w:hAnsi="宋体" w:eastAsia="宋体" w:cs="宋体"/>
          <w:b/>
          <w:color w:val="auto"/>
          <w:kern w:val="0"/>
          <w:sz w:val="24"/>
          <w:highlight w:val="none"/>
          <w:lang w:bidi="ar"/>
        </w:rPr>
        <w:t>件</w:t>
      </w:r>
    </w:p>
    <w:p w14:paraId="670C6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供应商符合小型、微型企业或监狱企业、残疾人福利性单位条件的，其报价价格评审时将按相应比例进行扣除。</w:t>
      </w:r>
    </w:p>
    <w:p w14:paraId="52DB0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1.1</w:t>
      </w:r>
      <w:r>
        <w:rPr>
          <w:rFonts w:hint="eastAsia" w:ascii="宋体" w:hAnsi="宋体" w:eastAsia="宋体" w:cs="宋体"/>
          <w:color w:val="auto"/>
          <w:kern w:val="0"/>
          <w:sz w:val="24"/>
          <w:highlight w:val="none"/>
          <w:lang w:val="en-US" w:eastAsia="zh-CN" w:bidi="ar"/>
        </w:rPr>
        <w:t>根据</w:t>
      </w:r>
      <w:r>
        <w:rPr>
          <w:rFonts w:hint="eastAsia" w:ascii="宋体" w:hAnsi="宋体" w:eastAsia="宋体" w:cs="宋体"/>
          <w:color w:val="auto"/>
          <w:kern w:val="0"/>
          <w:sz w:val="24"/>
          <w:highlight w:val="none"/>
          <w:lang w:bidi="ar"/>
        </w:rPr>
        <w:t>&lt;关于印发《政府采购促进中小企业发展管理办法》的通知&gt;（财库〔2020〕46号）的规定，</w:t>
      </w:r>
      <w:r>
        <w:rPr>
          <w:rFonts w:hint="eastAsia" w:ascii="宋体" w:hAnsi="宋体" w:eastAsia="宋体" w:cs="宋体"/>
          <w:color w:val="auto"/>
          <w:sz w:val="24"/>
          <w:szCs w:val="24"/>
          <w:highlight w:val="none"/>
        </w:rPr>
        <w:t>在政府采购活动中，供应商提供的货物、工程或者服务符合下列情形的，享受中小企业扶持政策：</w:t>
      </w:r>
    </w:p>
    <w:p w14:paraId="07B80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14:paraId="07878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57D61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（三）在服务采购项目中，服务由中小企业承接，即提供服务的人员为中小企业依照《中华人民共和国劳动合同法》订立劳动合同的从业人员。</w:t>
      </w:r>
    </w:p>
    <w:p w14:paraId="77C436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在货物采购项目中，供应商提供的货物既有中小企业制造货物，也有大型企业制造货物的，不享受中小企业扶持政策。</w:t>
      </w:r>
    </w:p>
    <w:p w14:paraId="50CA5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8DD695D">
      <w:pPr>
        <w:spacing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中小企业划分标准详见《关于印发中小企业划型标准规定的通知》</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工信部联企业〔2011〕300号）</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但</w:t>
      </w:r>
      <w:r>
        <w:rPr>
          <w:rFonts w:hint="eastAsia" w:ascii="宋体" w:hAnsi="宋体" w:eastAsia="宋体" w:cs="宋体"/>
          <w:color w:val="auto"/>
          <w:sz w:val="24"/>
          <w:szCs w:val="24"/>
          <w:highlight w:val="none"/>
        </w:rPr>
        <w:t>与大企业的负责人为同一人，或者与大企业存在直接控股、管理关系的除外</w:t>
      </w: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szCs w:val="24"/>
          <w:highlight w:val="none"/>
        </w:rPr>
        <w:t>符合中小企业划分标准的个体工商户，在政府采购活动中视同中小企业。</w:t>
      </w:r>
    </w:p>
    <w:p w14:paraId="32918C19">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1.2</w:t>
      </w:r>
      <w:r>
        <w:rPr>
          <w:rFonts w:hint="eastAsia" w:ascii="宋体" w:hAnsi="宋体" w:eastAsia="宋体" w:cs="宋体"/>
          <w:color w:val="auto"/>
          <w:sz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55D5E1">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4"/>
          <w:szCs w:val="20"/>
          <w:highlight w:val="none"/>
          <w:lang w:bidi="ar"/>
        </w:rPr>
        <w:t>监狱企业参加政府采购活动时，视同小型、微型企业。</w:t>
      </w:r>
    </w:p>
    <w:p w14:paraId="7B2C84E1">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1.3残疾人福利性单位应当同时满足以下条件：</w:t>
      </w:r>
    </w:p>
    <w:p w14:paraId="0C9C8F86">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（1）安置的残疾人占本单位在职职工人数的比例不低于25%（含25%），并且安置的残疾人人数不少于10人（含10人）；</w:t>
      </w:r>
    </w:p>
    <w:p w14:paraId="09E250F7">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（2）依法与安置的每位残疾人签订了一年以上（含一年）的劳动合同或服务协议；</w:t>
      </w:r>
    </w:p>
    <w:p w14:paraId="7001BC72">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（3）为安置的每位残疾人按月足额缴纳了基本养老保险、基本医疗保险、失业保险、工伤保险和生育保险等社会保险费；</w:t>
      </w:r>
    </w:p>
    <w:p w14:paraId="0FB2CEA8">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（4）通过银行等金融机构向安置的每位残疾人，按月支付了不低于单位所在区县适用的经省级人民政府批准的月最低工资标准的工资；</w:t>
      </w:r>
    </w:p>
    <w:p w14:paraId="06D13C97">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（5）提供本单位制造的货物、承担的工程或者服务（以下简称产品），或者提供其他残疾人福利性单位制造的货物（不包括使用非残疾人福利性单位注册商标的货物）。</w:t>
      </w:r>
    </w:p>
    <w:p w14:paraId="3D94AEB6">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0DF1C2">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kern w:val="0"/>
          <w:sz w:val="24"/>
          <w:szCs w:val="20"/>
          <w:highlight w:val="none"/>
          <w:lang w:bidi="ar"/>
        </w:rPr>
        <w:t>参加政府采购活动时，视同小型、微型企业；</w:t>
      </w:r>
      <w:r>
        <w:rPr>
          <w:rFonts w:hint="eastAsia" w:ascii="宋体" w:hAnsi="宋体" w:eastAsia="宋体" w:cs="宋体"/>
          <w:color w:val="auto"/>
          <w:kern w:val="0"/>
          <w:sz w:val="24"/>
          <w:highlight w:val="none"/>
          <w:lang w:bidi="ar"/>
        </w:rPr>
        <w:t>残疾人福利性单位属于小型、微型企业的，不重复享受政策。</w:t>
      </w:r>
    </w:p>
    <w:p w14:paraId="222B126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w:t>
      </w:r>
      <w:r>
        <w:rPr>
          <w:rFonts w:hint="eastAsia" w:ascii="宋体" w:hAnsi="宋体" w:eastAsia="宋体" w:cs="宋体"/>
          <w:color w:val="auto"/>
          <w:kern w:val="0"/>
          <w:sz w:val="24"/>
          <w:highlight w:val="none"/>
          <w:lang w:bidi="ar"/>
        </w:rPr>
        <w:t>中小企业声明函、</w:t>
      </w:r>
      <w:r>
        <w:rPr>
          <w:rFonts w:hint="eastAsia" w:ascii="宋体" w:hAnsi="宋体" w:eastAsia="宋体" w:cs="宋体"/>
          <w:color w:val="auto"/>
          <w:sz w:val="24"/>
          <w:highlight w:val="none"/>
        </w:rPr>
        <w:t>残疾人福利性单位声明函或监狱证明，与事实不符的，依照《政府采购法》第七十七条的相关规定追究法律责任。</w:t>
      </w:r>
    </w:p>
    <w:p w14:paraId="76A6A964">
      <w:pPr>
        <w:spacing w:line="6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kern w:val="0"/>
          <w:sz w:val="24"/>
          <w:highlight w:val="none"/>
          <w:lang w:val="en-US" w:eastAsia="zh-CN" w:bidi="ar"/>
        </w:rPr>
        <w:t>3</w:t>
      </w:r>
      <w:r>
        <w:rPr>
          <w:rFonts w:hint="eastAsia" w:ascii="宋体" w:hAnsi="宋体" w:eastAsia="宋体" w:cs="宋体"/>
          <w:b/>
          <w:color w:val="auto"/>
          <w:kern w:val="0"/>
          <w:sz w:val="24"/>
          <w:highlight w:val="none"/>
          <w:lang w:eastAsia="zh-CN" w:bidi="ar"/>
        </w:rPr>
        <w:t>）</w:t>
      </w:r>
      <w:r>
        <w:rPr>
          <w:rFonts w:hint="eastAsia" w:ascii="宋体" w:hAnsi="宋体" w:eastAsia="宋体" w:cs="宋体"/>
          <w:b/>
          <w:color w:val="auto"/>
          <w:kern w:val="0"/>
          <w:sz w:val="24"/>
          <w:highlight w:val="none"/>
          <w:lang w:bidi="ar"/>
        </w:rPr>
        <w:t>政策性扣除比例：</w:t>
      </w:r>
    </w:p>
    <w:p w14:paraId="375B1AE4">
      <w:pPr>
        <w:spacing w:line="56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供应商符合小微型企业、监狱企业、残疾人福利性单位条件的，并提供中小企业声明函、残疾人福利性单位声明函或监狱企业证明，符合其中任意一种情形的，则在报价的基础上，按“报价×</w:t>
      </w:r>
      <w:r>
        <w:rPr>
          <w:rFonts w:hint="eastAsia" w:ascii="宋体" w:hAnsi="宋体" w:eastAsia="宋体" w:cs="宋体"/>
          <w:color w:val="auto"/>
          <w:kern w:val="0"/>
          <w:sz w:val="24"/>
          <w:highlight w:val="none"/>
          <w:lang w:val="en-US" w:eastAsia="zh-CN" w:bidi="ar"/>
        </w:rPr>
        <w:t>10</w:t>
      </w:r>
      <w:r>
        <w:rPr>
          <w:rFonts w:hint="eastAsia" w:ascii="宋体" w:hAnsi="宋体" w:eastAsia="宋体" w:cs="宋体"/>
          <w:color w:val="auto"/>
          <w:kern w:val="0"/>
          <w:sz w:val="24"/>
          <w:highlight w:val="none"/>
          <w:lang w:bidi="ar"/>
        </w:rPr>
        <w:t>%”进行价格扣除，以扣除后的价格参与评审；符合两种及以上情形的，不累加计算扣除价格。</w:t>
      </w:r>
    </w:p>
    <w:p w14:paraId="08B587E0">
      <w:pPr>
        <w:spacing w:line="600" w:lineRule="exact"/>
        <w:ind w:firstLine="482" w:firstLineChars="200"/>
        <w:rPr>
          <w:rFonts w:hint="eastAsia" w:ascii="宋体" w:hAnsi="宋体" w:eastAsia="宋体" w:cs="宋体"/>
          <w:b/>
          <w:color w:val="auto"/>
          <w:kern w:val="0"/>
          <w:sz w:val="24"/>
          <w:highlight w:val="none"/>
          <w:lang w:val="en-US" w:eastAsia="zh-CN" w:bidi="ar"/>
        </w:rPr>
      </w:pPr>
      <w:r>
        <w:rPr>
          <w:rFonts w:hint="eastAsia" w:ascii="宋体" w:hAnsi="宋体" w:eastAsia="宋体" w:cs="宋体"/>
          <w:b/>
          <w:color w:val="auto"/>
          <w:kern w:val="0"/>
          <w:sz w:val="24"/>
          <w:highlight w:val="none"/>
          <w:lang w:val="en-US" w:eastAsia="zh-CN" w:bidi="ar"/>
        </w:rPr>
        <w:t>4）信用融资政策</w:t>
      </w:r>
    </w:p>
    <w:p w14:paraId="7D085EF0">
      <w:pPr>
        <w:spacing w:line="560" w:lineRule="exact"/>
        <w:ind w:firstLine="480" w:firstLineChars="20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供应商如需信用融资，详见《陕西省财政厅关于印发&lt;陕西省中小企业政府采购信用融资办法&gt;的通知》（陕财办采【2018】23号）相关政策、业务流程、办理平台（http://www.ccgp-shaanxi.gov.cn/zcdservice/zcd/shanxi/）。</w:t>
      </w:r>
    </w:p>
    <w:p w14:paraId="199DB93C">
      <w:pPr>
        <w:spacing w:line="600" w:lineRule="exact"/>
        <w:ind w:firstLine="482" w:firstLineChars="200"/>
        <w:rPr>
          <w:rFonts w:hint="eastAsia" w:ascii="宋体" w:hAnsi="宋体" w:eastAsia="宋体" w:cs="宋体"/>
          <w:b/>
          <w:color w:val="auto"/>
          <w:kern w:val="0"/>
          <w:sz w:val="24"/>
          <w:highlight w:val="none"/>
          <w:lang w:val="en-US" w:eastAsia="zh-CN" w:bidi="ar"/>
        </w:rPr>
      </w:pPr>
      <w:r>
        <w:rPr>
          <w:rFonts w:hint="eastAsia" w:ascii="宋体" w:hAnsi="宋体" w:eastAsia="宋体" w:cs="宋体"/>
          <w:b/>
          <w:color w:val="auto"/>
          <w:kern w:val="0"/>
          <w:sz w:val="24"/>
          <w:highlight w:val="none"/>
          <w:lang w:val="en-US" w:eastAsia="zh-CN" w:bidi="ar"/>
        </w:rPr>
        <w:t>政府采购信用融资业务办理银行</w:t>
      </w:r>
    </w:p>
    <w:tbl>
      <w:tblPr>
        <w:tblStyle w:val="26"/>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49"/>
        <w:gridCol w:w="3673"/>
        <w:gridCol w:w="1202"/>
        <w:gridCol w:w="1580"/>
      </w:tblGrid>
      <w:tr w14:paraId="164C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B9B8B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149" w:type="dxa"/>
            <w:noWrap w:val="0"/>
            <w:vAlign w:val="center"/>
          </w:tcPr>
          <w:p w14:paraId="0911AB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73" w:type="dxa"/>
            <w:noWrap w:val="0"/>
            <w:vAlign w:val="center"/>
          </w:tcPr>
          <w:p w14:paraId="5C477E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1202" w:type="dxa"/>
            <w:noWrap w:val="0"/>
            <w:vAlign w:val="center"/>
          </w:tcPr>
          <w:p w14:paraId="3F9CEF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80" w:type="dxa"/>
            <w:noWrap w:val="0"/>
            <w:vAlign w:val="center"/>
          </w:tcPr>
          <w:p w14:paraId="2D26D9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i w:val="0"/>
                <w:caps w:val="0"/>
                <w:color w:val="auto"/>
                <w:spacing w:val="0"/>
                <w:kern w:val="0"/>
                <w:sz w:val="24"/>
                <w:szCs w:val="24"/>
                <w:highlight w:val="none"/>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7886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58217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149" w:type="dxa"/>
            <w:noWrap w:val="0"/>
            <w:vAlign w:val="center"/>
          </w:tcPr>
          <w:p w14:paraId="4C76F5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73" w:type="dxa"/>
            <w:noWrap w:val="0"/>
            <w:vAlign w:val="center"/>
          </w:tcPr>
          <w:p w14:paraId="56F6F2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1202" w:type="dxa"/>
            <w:noWrap w:val="0"/>
            <w:vAlign w:val="center"/>
          </w:tcPr>
          <w:p w14:paraId="7B46AA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80" w:type="dxa"/>
            <w:noWrap w:val="0"/>
            <w:vAlign w:val="center"/>
          </w:tcPr>
          <w:p w14:paraId="533B34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3C3E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D6325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149" w:type="dxa"/>
            <w:noWrap w:val="0"/>
            <w:vAlign w:val="center"/>
          </w:tcPr>
          <w:p w14:paraId="38BC6F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73" w:type="dxa"/>
            <w:noWrap w:val="0"/>
            <w:vAlign w:val="center"/>
          </w:tcPr>
          <w:p w14:paraId="4EBE39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1202" w:type="dxa"/>
            <w:noWrap w:val="0"/>
            <w:vAlign w:val="center"/>
          </w:tcPr>
          <w:p w14:paraId="77CEAB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80" w:type="dxa"/>
            <w:noWrap w:val="0"/>
            <w:vAlign w:val="center"/>
          </w:tcPr>
          <w:p w14:paraId="72F51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352C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48314B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149" w:type="dxa"/>
            <w:noWrap w:val="0"/>
            <w:vAlign w:val="center"/>
          </w:tcPr>
          <w:p w14:paraId="5C3172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73" w:type="dxa"/>
            <w:noWrap w:val="0"/>
            <w:vAlign w:val="center"/>
          </w:tcPr>
          <w:p w14:paraId="638651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1202" w:type="dxa"/>
            <w:noWrap w:val="0"/>
            <w:vAlign w:val="center"/>
          </w:tcPr>
          <w:p w14:paraId="1ADEA3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80" w:type="dxa"/>
            <w:noWrap w:val="0"/>
            <w:vAlign w:val="center"/>
          </w:tcPr>
          <w:p w14:paraId="12F5E1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73D0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496383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149" w:type="dxa"/>
            <w:noWrap w:val="0"/>
            <w:vAlign w:val="center"/>
          </w:tcPr>
          <w:p w14:paraId="2B59C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73" w:type="dxa"/>
            <w:noWrap w:val="0"/>
            <w:vAlign w:val="center"/>
          </w:tcPr>
          <w:p w14:paraId="74D3AC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1202" w:type="dxa"/>
            <w:noWrap w:val="0"/>
            <w:vAlign w:val="center"/>
          </w:tcPr>
          <w:p w14:paraId="6C7E89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80" w:type="dxa"/>
            <w:noWrap w:val="0"/>
            <w:vAlign w:val="center"/>
          </w:tcPr>
          <w:p w14:paraId="64739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6C74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78F6F0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149" w:type="dxa"/>
            <w:noWrap w:val="0"/>
            <w:vAlign w:val="center"/>
          </w:tcPr>
          <w:p w14:paraId="410692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73" w:type="dxa"/>
            <w:noWrap w:val="0"/>
            <w:vAlign w:val="center"/>
          </w:tcPr>
          <w:p w14:paraId="566B86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1202" w:type="dxa"/>
            <w:noWrap w:val="0"/>
            <w:vAlign w:val="center"/>
          </w:tcPr>
          <w:p w14:paraId="7E5987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80" w:type="dxa"/>
            <w:noWrap w:val="0"/>
            <w:vAlign w:val="center"/>
          </w:tcPr>
          <w:p w14:paraId="58ABCD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2BAA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803E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149" w:type="dxa"/>
            <w:noWrap w:val="0"/>
            <w:vAlign w:val="center"/>
          </w:tcPr>
          <w:p w14:paraId="71F9A0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73" w:type="dxa"/>
            <w:noWrap w:val="0"/>
            <w:vAlign w:val="center"/>
          </w:tcPr>
          <w:p w14:paraId="549FC7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1202" w:type="dxa"/>
            <w:noWrap w:val="0"/>
            <w:vAlign w:val="center"/>
          </w:tcPr>
          <w:p w14:paraId="170957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80" w:type="dxa"/>
            <w:noWrap w:val="0"/>
            <w:vAlign w:val="center"/>
          </w:tcPr>
          <w:p w14:paraId="39E6F8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348A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AB36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149" w:type="dxa"/>
            <w:noWrap w:val="0"/>
            <w:vAlign w:val="center"/>
          </w:tcPr>
          <w:p w14:paraId="6D5D43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73" w:type="dxa"/>
            <w:noWrap w:val="0"/>
            <w:vAlign w:val="center"/>
          </w:tcPr>
          <w:p w14:paraId="6E0D11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1202" w:type="dxa"/>
            <w:noWrap w:val="0"/>
            <w:vAlign w:val="center"/>
          </w:tcPr>
          <w:p w14:paraId="0355F2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80" w:type="dxa"/>
            <w:noWrap w:val="0"/>
            <w:vAlign w:val="center"/>
          </w:tcPr>
          <w:p w14:paraId="518AD9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057A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A0730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149" w:type="dxa"/>
            <w:noWrap w:val="0"/>
            <w:vAlign w:val="center"/>
          </w:tcPr>
          <w:p w14:paraId="6AAC95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73" w:type="dxa"/>
            <w:noWrap w:val="0"/>
            <w:vAlign w:val="center"/>
          </w:tcPr>
          <w:p w14:paraId="0A3D75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1202" w:type="dxa"/>
            <w:noWrap w:val="0"/>
            <w:vAlign w:val="center"/>
          </w:tcPr>
          <w:p w14:paraId="166A1B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80" w:type="dxa"/>
            <w:noWrap w:val="0"/>
            <w:vAlign w:val="center"/>
          </w:tcPr>
          <w:p w14:paraId="1D21F6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34C7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67D71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149" w:type="dxa"/>
            <w:noWrap w:val="0"/>
            <w:vAlign w:val="center"/>
          </w:tcPr>
          <w:p w14:paraId="1BB918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73" w:type="dxa"/>
            <w:noWrap w:val="0"/>
            <w:vAlign w:val="center"/>
          </w:tcPr>
          <w:p w14:paraId="61794E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1202" w:type="dxa"/>
            <w:noWrap w:val="0"/>
            <w:vAlign w:val="center"/>
          </w:tcPr>
          <w:p w14:paraId="5FCEB0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80" w:type="dxa"/>
            <w:noWrap w:val="0"/>
            <w:vAlign w:val="center"/>
          </w:tcPr>
          <w:p w14:paraId="3BEFB4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4E9E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B042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149" w:type="dxa"/>
            <w:noWrap w:val="0"/>
            <w:vAlign w:val="center"/>
          </w:tcPr>
          <w:p w14:paraId="71BF4E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73" w:type="dxa"/>
            <w:noWrap w:val="0"/>
            <w:vAlign w:val="center"/>
          </w:tcPr>
          <w:p w14:paraId="33ACFC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1202" w:type="dxa"/>
            <w:noWrap w:val="0"/>
            <w:vAlign w:val="center"/>
          </w:tcPr>
          <w:p w14:paraId="15A817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80" w:type="dxa"/>
            <w:noWrap w:val="0"/>
            <w:vAlign w:val="center"/>
          </w:tcPr>
          <w:p w14:paraId="27A7B9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6079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BCF1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149" w:type="dxa"/>
            <w:noWrap w:val="0"/>
            <w:vAlign w:val="center"/>
          </w:tcPr>
          <w:p w14:paraId="3A3ED4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73" w:type="dxa"/>
            <w:noWrap w:val="0"/>
            <w:vAlign w:val="center"/>
          </w:tcPr>
          <w:p w14:paraId="1A7F3C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1202" w:type="dxa"/>
            <w:noWrap w:val="0"/>
            <w:vAlign w:val="center"/>
          </w:tcPr>
          <w:p w14:paraId="4FF2F9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80" w:type="dxa"/>
            <w:noWrap w:val="0"/>
            <w:vAlign w:val="center"/>
          </w:tcPr>
          <w:p w14:paraId="2850C6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4EAF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0D2ADA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149" w:type="dxa"/>
            <w:noWrap w:val="0"/>
            <w:vAlign w:val="center"/>
          </w:tcPr>
          <w:p w14:paraId="1BA8CB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73" w:type="dxa"/>
            <w:noWrap w:val="0"/>
            <w:vAlign w:val="center"/>
          </w:tcPr>
          <w:p w14:paraId="0DCBC4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1202" w:type="dxa"/>
            <w:noWrap w:val="0"/>
            <w:vAlign w:val="center"/>
          </w:tcPr>
          <w:p w14:paraId="1C81B0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80" w:type="dxa"/>
            <w:noWrap w:val="0"/>
            <w:vAlign w:val="center"/>
          </w:tcPr>
          <w:p w14:paraId="429F95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35A3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DA02B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149" w:type="dxa"/>
            <w:noWrap w:val="0"/>
            <w:vAlign w:val="center"/>
          </w:tcPr>
          <w:p w14:paraId="5DC8C6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73" w:type="dxa"/>
            <w:noWrap w:val="0"/>
            <w:vAlign w:val="center"/>
          </w:tcPr>
          <w:p w14:paraId="36B8E8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1202" w:type="dxa"/>
            <w:noWrap w:val="0"/>
            <w:vAlign w:val="center"/>
          </w:tcPr>
          <w:p w14:paraId="61039A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80" w:type="dxa"/>
            <w:noWrap w:val="0"/>
            <w:vAlign w:val="center"/>
          </w:tcPr>
          <w:p w14:paraId="0BADF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46C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1E032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149" w:type="dxa"/>
            <w:noWrap w:val="0"/>
            <w:vAlign w:val="center"/>
          </w:tcPr>
          <w:p w14:paraId="1269E9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73" w:type="dxa"/>
            <w:noWrap w:val="0"/>
            <w:vAlign w:val="center"/>
          </w:tcPr>
          <w:p w14:paraId="783766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1202" w:type="dxa"/>
            <w:noWrap w:val="0"/>
            <w:vAlign w:val="center"/>
          </w:tcPr>
          <w:p w14:paraId="1AA658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80" w:type="dxa"/>
            <w:noWrap w:val="0"/>
            <w:vAlign w:val="center"/>
          </w:tcPr>
          <w:p w14:paraId="3705FB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0A20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421D8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149" w:type="dxa"/>
            <w:noWrap w:val="0"/>
            <w:vAlign w:val="center"/>
          </w:tcPr>
          <w:p w14:paraId="0CF103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73" w:type="dxa"/>
            <w:noWrap w:val="0"/>
            <w:vAlign w:val="center"/>
          </w:tcPr>
          <w:p w14:paraId="15C45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1202" w:type="dxa"/>
            <w:noWrap w:val="0"/>
            <w:vAlign w:val="center"/>
          </w:tcPr>
          <w:p w14:paraId="4DCD53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80" w:type="dxa"/>
            <w:noWrap w:val="0"/>
            <w:vAlign w:val="center"/>
          </w:tcPr>
          <w:p w14:paraId="0EAC37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16A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8BA26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149" w:type="dxa"/>
            <w:noWrap w:val="0"/>
            <w:vAlign w:val="center"/>
          </w:tcPr>
          <w:p w14:paraId="2E8114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73" w:type="dxa"/>
            <w:noWrap w:val="0"/>
            <w:vAlign w:val="center"/>
          </w:tcPr>
          <w:p w14:paraId="383D9D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1202" w:type="dxa"/>
            <w:noWrap w:val="0"/>
            <w:vAlign w:val="center"/>
          </w:tcPr>
          <w:p w14:paraId="46F09D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80" w:type="dxa"/>
            <w:noWrap w:val="0"/>
            <w:vAlign w:val="center"/>
          </w:tcPr>
          <w:p w14:paraId="795F68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1413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1D674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149" w:type="dxa"/>
            <w:noWrap w:val="0"/>
            <w:vAlign w:val="center"/>
          </w:tcPr>
          <w:p w14:paraId="6A1D62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73" w:type="dxa"/>
            <w:noWrap w:val="0"/>
            <w:vAlign w:val="center"/>
          </w:tcPr>
          <w:p w14:paraId="1B51E7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1202" w:type="dxa"/>
            <w:noWrap w:val="0"/>
            <w:vAlign w:val="center"/>
          </w:tcPr>
          <w:p w14:paraId="4C53E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80" w:type="dxa"/>
            <w:noWrap w:val="0"/>
            <w:vAlign w:val="center"/>
          </w:tcPr>
          <w:p w14:paraId="23FD21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643A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90284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149" w:type="dxa"/>
            <w:noWrap w:val="0"/>
            <w:vAlign w:val="center"/>
          </w:tcPr>
          <w:p w14:paraId="1263C0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73" w:type="dxa"/>
            <w:noWrap w:val="0"/>
            <w:vAlign w:val="center"/>
          </w:tcPr>
          <w:p w14:paraId="17A416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1202" w:type="dxa"/>
            <w:noWrap w:val="0"/>
            <w:vAlign w:val="center"/>
          </w:tcPr>
          <w:p w14:paraId="0C8A97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80" w:type="dxa"/>
            <w:noWrap w:val="0"/>
            <w:vAlign w:val="center"/>
          </w:tcPr>
          <w:p w14:paraId="1D77A9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7CE7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14C1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149" w:type="dxa"/>
            <w:noWrap w:val="0"/>
            <w:vAlign w:val="center"/>
          </w:tcPr>
          <w:p w14:paraId="45795B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73" w:type="dxa"/>
            <w:noWrap w:val="0"/>
            <w:vAlign w:val="center"/>
          </w:tcPr>
          <w:p w14:paraId="68DE80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1202" w:type="dxa"/>
            <w:noWrap w:val="0"/>
            <w:vAlign w:val="center"/>
          </w:tcPr>
          <w:p w14:paraId="71256A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80" w:type="dxa"/>
            <w:noWrap w:val="0"/>
            <w:vAlign w:val="center"/>
          </w:tcPr>
          <w:p w14:paraId="3BDF6F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auto"/>
                <w:spacing w:val="0"/>
                <w:kern w:val="0"/>
                <w:sz w:val="18"/>
                <w:szCs w:val="18"/>
                <w:highlight w:val="none"/>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r w14:paraId="05CA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5F5935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20</w:t>
            </w:r>
          </w:p>
        </w:tc>
        <w:tc>
          <w:tcPr>
            <w:tcW w:w="2149" w:type="dxa"/>
            <w:noWrap w:val="0"/>
            <w:vAlign w:val="center"/>
          </w:tcPr>
          <w:p w14:paraId="36678F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长安银行七里铺支行</w:t>
            </w:r>
          </w:p>
        </w:tc>
        <w:tc>
          <w:tcPr>
            <w:tcW w:w="3673" w:type="dxa"/>
            <w:noWrap w:val="0"/>
            <w:vAlign w:val="center"/>
          </w:tcPr>
          <w:p w14:paraId="5A682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南桥诚合大厦</w:t>
            </w:r>
          </w:p>
        </w:tc>
        <w:tc>
          <w:tcPr>
            <w:tcW w:w="1202" w:type="dxa"/>
            <w:noWrap w:val="0"/>
            <w:vAlign w:val="center"/>
          </w:tcPr>
          <w:p w14:paraId="50D204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 xml:space="preserve"> 孙婧</w:t>
            </w:r>
          </w:p>
        </w:tc>
        <w:tc>
          <w:tcPr>
            <w:tcW w:w="1580" w:type="dxa"/>
            <w:noWrap w:val="0"/>
            <w:vAlign w:val="center"/>
          </w:tcPr>
          <w:p w14:paraId="63430A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18809116650</w:t>
            </w:r>
          </w:p>
        </w:tc>
      </w:tr>
    </w:tbl>
    <w:p w14:paraId="4476EE05">
      <w:pPr>
        <w:pageBreakBefore w:val="0"/>
        <w:bidi w:val="0"/>
        <w:spacing w:line="4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政策提示：政府采购中标(成交)供应商可凭政府采购中标(成交)通知书或政府采购合同向金融机构提出融资申请。</w:t>
      </w:r>
    </w:p>
    <w:p w14:paraId="2C672E05">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bCs/>
          <w:color w:val="auto"/>
          <w:sz w:val="24"/>
          <w:szCs w:val="24"/>
          <w:highlight w:val="none"/>
        </w:rPr>
        <w:t>定标</w:t>
      </w:r>
    </w:p>
    <w:p w14:paraId="0407D70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3-1、定标程序</w:t>
      </w:r>
    </w:p>
    <w:p w14:paraId="7A902D78">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（1）评标委员会依据评标办法，经过初审、澄清、比较与评价等程序后，在最大限度满足招标文件实质性要求前提下进行综合评审，以评标总得分最高到低的顺序推荐3名以上中标候选人，并编写评标报告。</w:t>
      </w:r>
    </w:p>
    <w:p w14:paraId="57E00BEE">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在收到评标报告5个工作日内，从评审报告推荐的中标候选人中，以评标总分最高的供应商作为中标人，向采购代理机构出具《定标复函》；采购人逾期未确定中标单位且不提出异议的，视为确定评标报告推荐的评标得分最高的供应商为中标人。</w:t>
      </w:r>
    </w:p>
    <w:p w14:paraId="669602D7">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接到采购人的《定标复函》后，将中标结果在陕西省政府采购网上进行公告。公告发布1个工作日，其他供应商若有异议，按《政府采购法》第52条执行。若无异议，采购代理机构向中标单位发出中标通知书。</w:t>
      </w:r>
    </w:p>
    <w:p w14:paraId="6165DB44">
      <w:pPr>
        <w:pageBreakBefore w:val="0"/>
        <w:bidi w:val="0"/>
        <w:spacing w:line="460" w:lineRule="exact"/>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3-2、中标人确定后，采购人和采购代理机构对未中标原因不作任何解释，投标文件不予退还（含纸质及电子版文件）。</w:t>
      </w:r>
    </w:p>
    <w:p w14:paraId="3A2B7427">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七、中标通知</w:t>
      </w:r>
    </w:p>
    <w:p w14:paraId="605C09FD">
      <w:pPr>
        <w:pageBreakBefore w:val="0"/>
        <w:bidi w:val="0"/>
        <w:adjustRightInd w:val="0"/>
        <w:snapToGrid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采购代理机构向中标单位发出中标通知书。</w:t>
      </w:r>
    </w:p>
    <w:p w14:paraId="0073C08D">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八、合同</w:t>
      </w:r>
    </w:p>
    <w:p w14:paraId="4CA3FAAA">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1、中标人在收到中标通知书后</w:t>
      </w:r>
      <w:r>
        <w:rPr>
          <w:rFonts w:hint="eastAsia" w:ascii="宋体" w:hAnsi="宋体" w:eastAsia="宋体" w:cs="宋体"/>
          <w:color w:val="auto"/>
          <w:sz w:val="24"/>
          <w:szCs w:val="24"/>
          <w:highlight w:val="none"/>
          <w:lang w:val="en-US" w:eastAsia="zh-CN"/>
        </w:rPr>
        <w:t>十五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个日历日内，应按招标文件的要求与采购人签订合同。中标人因自身原因不按规定与采购人签订供货合同或者拒绝与采购人签订合同的，则采购人将废除授标，投标保证金不予退还。给采购人造成损失超过投标保证金额的，还应当对超过部分予以赔偿，并依法承担相应法律责任；</w:t>
      </w:r>
    </w:p>
    <w:p w14:paraId="71FD8CE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因不可抗力或者自身原因不能履行政府采购合同的，采购人可以与排位在中标供应商之后第一位的中标候选供应商签订政府采购合同，以此类推，也可以重新开展招标活动。因自身原因拒绝签订政府采购合同的中标人不得参加对该项目重新开展的招标活动。</w:t>
      </w:r>
    </w:p>
    <w:p w14:paraId="04AF042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3、中标通知书将是合同的重要组成部分。招标文件、中标人的投标文件及评议过程中有关的澄清文件均作为合同附件。</w:t>
      </w:r>
    </w:p>
    <w:p w14:paraId="2309C0CF">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中标人应按照合同约定履行义务，完成招标项目的供货，经采购人同意，中标人可以依法采取分包方式履行合同。分包部分为中标项目的部分非主体、非关键性工作。接受分包的供应商应当具备相应的资格条件，并不得再次分包。分包履行的，中标人就采购项目和分包项目向采购人负责，分包供应商就分包项目承担责任。</w:t>
      </w:r>
    </w:p>
    <w:p w14:paraId="4CBFE3B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5、采购人需追加与合同标的相同的货物或服务的，在不改变合同其他条款的前提下，可以与中标人协商签订补充合同，但所有补充合同的采购金额不得超过原合同采购金额的百分之十。</w:t>
      </w:r>
    </w:p>
    <w:p w14:paraId="5C343DF1">
      <w:pPr>
        <w:pageBreakBefore w:val="0"/>
        <w:bidi w:val="0"/>
        <w:spacing w:line="460" w:lineRule="exact"/>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九、招标服务费</w:t>
      </w:r>
    </w:p>
    <w:p w14:paraId="09C95ECD">
      <w:pPr>
        <w:pageBreakBefore w:val="0"/>
        <w:bidi w:val="0"/>
        <w:spacing w:line="460" w:lineRule="exact"/>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代理报酬按照《招标代理服务收费管理暂行办法》（计价格『2002』1980号）及《国家发展改革委关于降低部分建设项目收费标准规范收费行为等有关问题的通知》（发改价格[2011]534号）</w:t>
      </w:r>
      <w:r>
        <w:rPr>
          <w:rFonts w:hint="eastAsia" w:ascii="宋体" w:hAnsi="宋体" w:eastAsia="宋体" w:cs="宋体"/>
          <w:b w:val="0"/>
          <w:bCs/>
          <w:color w:val="auto"/>
          <w:sz w:val="24"/>
          <w:szCs w:val="24"/>
          <w:highlight w:val="none"/>
          <w:lang w:val="en-US" w:eastAsia="zh-CN"/>
        </w:rPr>
        <w:t>文件</w:t>
      </w:r>
      <w:r>
        <w:rPr>
          <w:rFonts w:hint="eastAsia" w:ascii="宋体" w:hAnsi="宋体" w:eastAsia="宋体" w:cs="宋体"/>
          <w:b w:val="0"/>
          <w:bCs/>
          <w:color w:val="auto"/>
          <w:sz w:val="24"/>
          <w:szCs w:val="24"/>
          <w:highlight w:val="none"/>
        </w:rPr>
        <w:t>规定</w:t>
      </w:r>
      <w:r>
        <w:rPr>
          <w:rFonts w:hint="eastAsia" w:ascii="宋体" w:hAnsi="宋体" w:eastAsia="宋体" w:cs="宋体"/>
          <w:b w:val="0"/>
          <w:bCs/>
          <w:color w:val="auto"/>
          <w:sz w:val="24"/>
          <w:szCs w:val="24"/>
          <w:highlight w:val="none"/>
          <w:lang w:val="en-US" w:eastAsia="zh-CN"/>
        </w:rPr>
        <w:t>收取，由中标人支付。</w:t>
      </w:r>
    </w:p>
    <w:p w14:paraId="096057DF">
      <w:pPr>
        <w:pageBreakBefore w:val="0"/>
        <w:bidi w:val="0"/>
        <w:spacing w:line="46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十、质疑</w:t>
      </w:r>
      <w:bookmarkStart w:id="53" w:name="OLE_LINK11"/>
    </w:p>
    <w:p w14:paraId="4A2F768D">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zh-CN" w:eastAsia="zh-CN" w:bidi="ar-SA"/>
        </w:rPr>
        <w:t>投标人认为采购文</w:t>
      </w:r>
      <w:bookmarkEnd w:id="53"/>
      <w:r>
        <w:rPr>
          <w:rFonts w:hint="eastAsia" w:ascii="宋体" w:hAnsi="宋体" w:eastAsia="宋体" w:cs="宋体"/>
          <w:bCs/>
          <w:color w:val="auto"/>
          <w:kern w:val="2"/>
          <w:sz w:val="24"/>
          <w:szCs w:val="24"/>
          <w:highlight w:val="none"/>
          <w:lang w:val="zh-CN" w:eastAsia="zh-CN" w:bidi="ar-SA"/>
        </w:rPr>
        <w:t>件、采购过程、中标结果使自己的权益受到损害的，可以在知道或者应</w:t>
      </w:r>
      <w:r>
        <w:rPr>
          <w:rFonts w:hint="eastAsia" w:ascii="宋体" w:hAnsi="宋体" w:eastAsia="宋体" w:cs="宋体"/>
          <w:bCs/>
          <w:color w:val="auto"/>
          <w:kern w:val="2"/>
          <w:sz w:val="24"/>
          <w:szCs w:val="24"/>
          <w:highlight w:val="none"/>
          <w:lang w:val="en-US" w:eastAsia="zh-CN" w:bidi="ar-SA"/>
        </w:rPr>
        <w:t>当知道</w:t>
      </w:r>
      <w:r>
        <w:rPr>
          <w:rFonts w:hint="eastAsia" w:ascii="宋体" w:hAnsi="宋体" w:eastAsia="宋体" w:cs="宋体"/>
          <w:bCs/>
          <w:color w:val="auto"/>
          <w:kern w:val="2"/>
          <w:sz w:val="24"/>
          <w:szCs w:val="24"/>
          <w:highlight w:val="none"/>
          <w:lang w:val="zh-CN" w:eastAsia="zh-CN" w:bidi="ar-SA"/>
        </w:rPr>
        <w:t xml:space="preserve">其权益受到损害之日起七个工作日内，以书面形式向采购代理机构提出（质疑函接收联系人、联系电话和通讯地址等详见招标公告）。 </w:t>
      </w:r>
    </w:p>
    <w:p w14:paraId="34739CD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zh-CN" w:eastAsia="zh-CN" w:bidi="ar-SA"/>
        </w:rPr>
        <w:t>质疑供应商法定代表人提交质疑的，须出具法定代表人资格证明书；委托代理人 提交质疑的，必须向其出具授权委托书，授权委托书应当载明代理人的姓名或者名称、代 理事项、具体权限、期限和相关事项，由法定代表人签字或者盖章，并加盖单位公章。</w:t>
      </w:r>
    </w:p>
    <w:p w14:paraId="679F9274">
      <w:pPr>
        <w:keepNext w:val="0"/>
        <w:keepLines w:val="0"/>
        <w:widowControl/>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质疑函应当包括下列内容： </w:t>
      </w:r>
    </w:p>
    <w:p w14:paraId="6305F4C7">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投标人的姓名或者名称、地址、邮编、联系人及联系电话；</w:t>
      </w:r>
    </w:p>
    <w:p w14:paraId="52412F91">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质疑项目的名称、编号； </w:t>
      </w:r>
    </w:p>
    <w:p w14:paraId="3D98CC29">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具体、明确的质疑事项和与质疑事项相关的请求； </w:t>
      </w:r>
    </w:p>
    <w:p w14:paraId="1ED2AF56">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事实依据； </w:t>
      </w:r>
    </w:p>
    <w:p w14:paraId="48953F73">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必要的法律依据；</w:t>
      </w:r>
    </w:p>
    <w:p w14:paraId="794000FE">
      <w:pPr>
        <w:keepNext w:val="0"/>
        <w:keepLines w:val="0"/>
        <w:widowControl/>
        <w:numPr>
          <w:ilvl w:val="0"/>
          <w:numId w:val="6"/>
        </w:numPr>
        <w:suppressLineNumbers w:val="0"/>
        <w:spacing w:line="360" w:lineRule="auto"/>
        <w:ind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提出质疑的日期。 </w:t>
      </w:r>
    </w:p>
    <w:p w14:paraId="6F9F5D10">
      <w:pPr>
        <w:keepNext w:val="0"/>
        <w:keepLines w:val="0"/>
        <w:widowControl/>
        <w:numPr>
          <w:ilvl w:val="0"/>
          <w:numId w:val="0"/>
        </w:numPr>
        <w:suppressLineNumbers w:val="0"/>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备注：投标人须在法定质疑期内一次性提出针对同一采购程序环节的质疑。</w:t>
      </w:r>
    </w:p>
    <w:p w14:paraId="635C4F5C">
      <w:pPr>
        <w:keepNext w:val="0"/>
        <w:keepLines w:val="0"/>
        <w:widowControl/>
        <w:numPr>
          <w:ilvl w:val="0"/>
          <w:numId w:val="0"/>
        </w:numPr>
        <w:suppressLineNumbers w:val="0"/>
        <w:spacing w:line="360" w:lineRule="auto"/>
        <w:ind w:leftChars="0" w:firstLine="480" w:firstLineChars="20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3、质疑有以下情形之一的，采购代理机构不予受理： </w:t>
      </w:r>
    </w:p>
    <w:p w14:paraId="75CDB8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（1）未按规定程序和渠道提出质疑的；</w:t>
      </w:r>
    </w:p>
    <w:p w14:paraId="5999D5A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（2）超过法定质疑期限的； </w:t>
      </w:r>
    </w:p>
    <w:p w14:paraId="5EEBE8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（3）书面质疑的形式和内容不符合上述要求的；</w:t>
      </w:r>
    </w:p>
    <w:p w14:paraId="6567EA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（4）提出的质疑事项已经明确答复的； </w:t>
      </w:r>
    </w:p>
    <w:p w14:paraId="486DC46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（5）法律法规规定的其他不予受理的条件。 </w:t>
      </w:r>
    </w:p>
    <w:p w14:paraId="3FA5F3A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（6）采购代理机构应当在收到质疑函后七个工作日内做出书面答复。答复内容同时通 知与处理结果有关的投标人，但答复内容不得涉及投标人 的商业秘密。</w:t>
      </w:r>
    </w:p>
    <w:p w14:paraId="6721F96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kern w:val="2"/>
          <w:sz w:val="24"/>
          <w:szCs w:val="24"/>
          <w:highlight w:val="none"/>
          <w:lang w:val="zh-CN" w:eastAsia="zh-CN" w:bidi="ar-SA"/>
        </w:rPr>
        <w:sectPr>
          <w:pgSz w:w="11900" w:h="16838"/>
          <w:pgMar w:top="1440" w:right="1349" w:bottom="1440" w:left="1349" w:header="0" w:footer="0" w:gutter="0"/>
          <w:pgBorders>
            <w:top w:val="none" w:sz="0" w:space="0"/>
            <w:left w:val="none" w:sz="0" w:space="0"/>
            <w:bottom w:val="none" w:sz="0" w:space="0"/>
            <w:right w:val="none" w:sz="0" w:space="0"/>
          </w:pgBorders>
          <w:pgNumType w:fmt="decimal"/>
          <w:cols w:equalWidth="0" w:num="1">
            <w:col w:w="9420"/>
          </w:cols>
        </w:sectPr>
      </w:pPr>
    </w:p>
    <w:p w14:paraId="4104E54D">
      <w:pPr>
        <w:keepNext w:val="0"/>
        <w:keepLines w:val="0"/>
        <w:pageBreakBefore w:val="0"/>
        <w:widowControl w:val="0"/>
        <w:numPr>
          <w:ilvl w:val="0"/>
          <w:numId w:val="7"/>
        </w:numPr>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lang w:val="en-US" w:eastAsia="zh-CN"/>
        </w:rPr>
      </w:pPr>
      <w:bookmarkStart w:id="54" w:name="_Toc4190"/>
      <w:bookmarkStart w:id="55" w:name="_Toc18520"/>
      <w:bookmarkStart w:id="56" w:name="_Toc11908"/>
      <w:r>
        <w:rPr>
          <w:rFonts w:hint="eastAsia" w:ascii="宋体" w:hAnsi="宋体" w:eastAsia="宋体" w:cs="宋体"/>
          <w:b/>
          <w:bCs/>
          <w:color w:val="auto"/>
          <w:sz w:val="28"/>
          <w:szCs w:val="32"/>
          <w:highlight w:val="none"/>
          <w:lang w:val="en-US" w:eastAsia="zh-CN"/>
        </w:rPr>
        <w:t>采购内容及要求</w:t>
      </w:r>
      <w:bookmarkEnd w:id="54"/>
      <w:bookmarkEnd w:id="55"/>
      <w:bookmarkEnd w:id="56"/>
    </w:p>
    <w:p w14:paraId="2516E3C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57" w:name="_Toc28609"/>
      <w:r>
        <w:rPr>
          <w:rFonts w:hint="eastAsia" w:ascii="宋体" w:hAnsi="宋体" w:eastAsia="宋体" w:cs="宋体"/>
          <w:b/>
          <w:bCs/>
          <w:color w:val="auto"/>
          <w:sz w:val="24"/>
          <w:szCs w:val="24"/>
          <w:highlight w:val="none"/>
          <w:lang w:val="en-US" w:eastAsia="zh-CN"/>
        </w:rPr>
        <w:t>采购内容</w:t>
      </w:r>
    </w:p>
    <w:p w14:paraId="00CBF4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一标包：延安市宝塔区第五中学肉类食材采购及营养改善计划采购项目；</w:t>
      </w:r>
    </w:p>
    <w:p w14:paraId="6168C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二标包：延安市宝塔区第五中学蔬菜类食材采购及营养改善计划采购项目；</w:t>
      </w:r>
    </w:p>
    <w:p w14:paraId="1456A5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三标包：延安市宝塔区第五中学米、面、油、五谷杂粮、水果等食材采购及营养改善计划项目；</w:t>
      </w:r>
    </w:p>
    <w:p w14:paraId="35EE49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标包：延安市宝塔区第五中学鸡蛋、牛奶、调料、干货等食材采购及营养改善计划项目</w:t>
      </w:r>
      <w:r>
        <w:rPr>
          <w:rFonts w:hint="eastAsia" w:ascii="宋体" w:hAnsi="宋体" w:cs="宋体"/>
          <w:color w:val="auto"/>
          <w:sz w:val="24"/>
          <w:szCs w:val="24"/>
          <w:highlight w:val="none"/>
          <w:lang w:val="en-US" w:eastAsia="zh-CN"/>
        </w:rPr>
        <w:t>；</w:t>
      </w:r>
    </w:p>
    <w:p w14:paraId="0C2265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具体内容以实际供应产品和数量为准。</w:t>
      </w:r>
    </w:p>
    <w:p w14:paraId="21E173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要求</w:t>
      </w:r>
    </w:p>
    <w:p w14:paraId="1F1C3C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w:t>
      </w:r>
    </w:p>
    <w:p w14:paraId="5F285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2、交货地点：</w:t>
      </w:r>
      <w:r>
        <w:rPr>
          <w:rFonts w:hint="eastAsia" w:ascii="宋体" w:hAnsi="宋体" w:eastAsia="宋体" w:cs="宋体"/>
          <w:color w:val="auto"/>
          <w:sz w:val="24"/>
          <w:szCs w:val="24"/>
          <w:highlight w:val="none"/>
          <w:lang w:val="en-US" w:eastAsia="zh-CN"/>
        </w:rPr>
        <w:t>延安市宝塔区第五中学</w:t>
      </w:r>
    </w:p>
    <w:p w14:paraId="45A0A5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val="en-US" w:eastAsia="zh-CN"/>
        </w:rPr>
        <w:t>合格，且符合国家及行业相关标准。</w:t>
      </w:r>
    </w:p>
    <w:p w14:paraId="49C6C8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三、服务要求</w:t>
      </w:r>
    </w:p>
    <w:p w14:paraId="7F2101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lang w:val="en-US" w:eastAsia="zh-CN" w:bidi="ar-SA"/>
        </w:rPr>
        <w:t>1、</w:t>
      </w:r>
      <w:r>
        <w:rPr>
          <w:rFonts w:hint="eastAsia" w:ascii="宋体" w:hAnsi="宋体" w:eastAsia="宋体" w:cs="宋体"/>
          <w:bCs/>
          <w:color w:val="auto"/>
          <w:sz w:val="24"/>
          <w:szCs w:val="24"/>
          <w:highlight w:val="none"/>
          <w:lang w:val="en-US" w:eastAsia="zh-CN"/>
        </w:rPr>
        <w:t>供应商供应产品必须符合国家相关标准和强制性规定要求，为质量合格产品。不采购转基因食品或利用转基因食品原料加工的成品。食品原料的食品安全指标应符合相应食品安全国家标准的规定，分等分级的质量指标不低于国家有关食品质量标准的中位数水平，如质量或规格等级划分为 1、2、3、4、5 或大（L）、 中（M）、小（S）的，应选择 1、2 、3或大（L）、中（M）等级。标签明示信息、标签标识应符合GB7718、GB28050等要求。 预包装类食品原料应具有SC标记。</w:t>
      </w:r>
    </w:p>
    <w:p w14:paraId="5FDAAF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szCs w:val="24"/>
          <w:highlight w:val="none"/>
          <w:lang w:val="en-US" w:eastAsia="zh-CN"/>
        </w:rPr>
        <w:t>供应商供应所有食品均应符合《中华人民共和国食品安全法》的标准所规定的要求及国家及当地最新卫生、食品部门颁发的相关标准。</w:t>
      </w:r>
    </w:p>
    <w:p w14:paraId="5A8822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lang w:val="en-US" w:eastAsia="zh-CN" w:bidi="ar-SA"/>
        </w:rPr>
        <w:t>3、</w:t>
      </w:r>
      <w:r>
        <w:rPr>
          <w:rFonts w:hint="eastAsia" w:ascii="宋体" w:hAnsi="宋体" w:eastAsia="宋体" w:cs="宋体"/>
          <w:bCs/>
          <w:color w:val="auto"/>
          <w:sz w:val="24"/>
          <w:szCs w:val="24"/>
          <w:highlight w:val="none"/>
          <w:lang w:val="en-US" w:eastAsia="zh-CN"/>
        </w:rPr>
        <w:t>供应商供应所有产品必须符合国家的相关标准与要求，并在配送时按要求提供产品所涉及的《食品生产许可证》、《生猪定点屠宰证》和《动物防疫条件合格证》等国家强制规定材料，不得提供转基因食品或利用转基因食品原料加工的成品，投标人所供产品达到相关食品卫生安全规定，国家有出台新的更高标准的，以新的更高标准为准，保证所供产品配送到被服务单位时的质量、卫生和安全。</w:t>
      </w:r>
    </w:p>
    <w:p w14:paraId="04107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red"/>
          <w:lang w:val="en-US" w:eastAsia="zh-CN"/>
        </w:rPr>
      </w:pPr>
      <w:r>
        <w:rPr>
          <w:rFonts w:hint="default" w:ascii="宋体" w:hAnsi="宋体" w:eastAsia="宋体" w:cs="宋体"/>
          <w:bCs/>
          <w:color w:val="auto"/>
          <w:kern w:val="2"/>
          <w:sz w:val="24"/>
          <w:szCs w:val="24"/>
          <w:lang w:val="en-US" w:eastAsia="zh-CN" w:bidi="ar-SA"/>
        </w:rPr>
        <w:t>4、</w:t>
      </w:r>
      <w:r>
        <w:rPr>
          <w:rFonts w:hint="eastAsia" w:ascii="宋体" w:hAnsi="宋体" w:eastAsia="宋体" w:cs="宋体"/>
          <w:bCs/>
          <w:color w:val="auto"/>
          <w:sz w:val="24"/>
          <w:szCs w:val="24"/>
          <w:highlight w:val="none"/>
          <w:lang w:val="en-US" w:eastAsia="zh-CN"/>
        </w:rPr>
        <w:t>本项目推行质量责任终身制，成交供应商所供产品如发生质量事故，除承担采购人相应直接经济损失和法律责任，还须承担采购人由此造成的合理间接经济损失。 成交供应商必须对每批次供应的产品提供有效的检验报告、合格证明。</w:t>
      </w:r>
    </w:p>
    <w:tbl>
      <w:tblPr>
        <w:tblStyle w:val="25"/>
        <w:tblW w:w="9272" w:type="dxa"/>
        <w:tblInd w:w="-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948"/>
        <w:gridCol w:w="7346"/>
      </w:tblGrid>
      <w:tr w14:paraId="3489A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926" w:type="dxa"/>
            <w:gridSpan w:val="2"/>
            <w:tcBorders>
              <w:top w:val="single" w:color="000000" w:sz="8" w:space="0"/>
              <w:left w:val="single" w:color="000000" w:sz="8" w:space="0"/>
              <w:bottom w:val="single" w:color="000000" w:sz="4" w:space="0"/>
              <w:right w:val="single" w:color="000000" w:sz="4" w:space="0"/>
            </w:tcBorders>
            <w:noWrap w:val="0"/>
            <w:tcMar>
              <w:top w:w="0" w:type="dxa"/>
              <w:left w:w="0" w:type="dxa"/>
              <w:bottom w:w="0" w:type="dxa"/>
              <w:right w:w="0" w:type="dxa"/>
            </w:tcMar>
            <w:vAlign w:val="center"/>
          </w:tcPr>
          <w:p w14:paraId="0F782ECA">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产品种类</w:t>
            </w:r>
          </w:p>
        </w:tc>
        <w:tc>
          <w:tcPr>
            <w:tcW w:w="7346" w:type="dxa"/>
            <w:tcBorders>
              <w:top w:val="single" w:color="000000" w:sz="8" w:space="0"/>
              <w:left w:val="nil"/>
              <w:bottom w:val="single" w:color="000000" w:sz="4" w:space="0"/>
              <w:right w:val="single" w:color="000000" w:sz="8" w:space="0"/>
            </w:tcBorders>
            <w:noWrap w:val="0"/>
            <w:tcMar>
              <w:top w:w="0" w:type="dxa"/>
              <w:left w:w="0" w:type="dxa"/>
              <w:bottom w:w="0" w:type="dxa"/>
              <w:right w:w="0" w:type="dxa"/>
            </w:tcMar>
            <w:vAlign w:val="center"/>
          </w:tcPr>
          <w:p w14:paraId="17FFDBEC">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质量标准要求（餐料质量标准要求）</w:t>
            </w:r>
          </w:p>
        </w:tc>
      </w:tr>
      <w:tr w14:paraId="46D5D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8" w:type="dxa"/>
            <w:vMerge w:val="restart"/>
            <w:tcBorders>
              <w:top w:val="nil"/>
              <w:left w:val="single" w:color="000000" w:sz="8" w:space="0"/>
              <w:bottom w:val="single" w:color="000000" w:sz="4" w:space="0"/>
              <w:right w:val="single" w:color="000000" w:sz="4" w:space="0"/>
            </w:tcBorders>
            <w:noWrap w:val="0"/>
            <w:tcMar>
              <w:top w:w="0" w:type="dxa"/>
              <w:left w:w="0" w:type="dxa"/>
              <w:bottom w:w="0" w:type="dxa"/>
              <w:right w:w="0" w:type="dxa"/>
            </w:tcMar>
            <w:vAlign w:val="center"/>
          </w:tcPr>
          <w:p w14:paraId="616D5B13">
            <w:pPr>
              <w:pStyle w:val="8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粮食类</w:t>
            </w:r>
          </w:p>
        </w:tc>
        <w:tc>
          <w:tcPr>
            <w:tcW w:w="948"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2B5A73D5">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大米</w:t>
            </w:r>
          </w:p>
        </w:tc>
        <w:tc>
          <w:tcPr>
            <w:tcW w:w="7346" w:type="dxa"/>
            <w:tcBorders>
              <w:top w:val="nil"/>
              <w:left w:val="nil"/>
              <w:bottom w:val="single" w:color="000000" w:sz="4" w:space="0"/>
              <w:right w:val="single" w:color="000000" w:sz="8" w:space="0"/>
            </w:tcBorders>
            <w:noWrap w:val="0"/>
            <w:tcMar>
              <w:top w:w="0" w:type="dxa"/>
              <w:left w:w="0" w:type="dxa"/>
              <w:bottom w:w="0" w:type="dxa"/>
              <w:right w:w="0" w:type="dxa"/>
            </w:tcMar>
            <w:vAlign w:val="center"/>
          </w:tcPr>
          <w:p w14:paraId="7EFDAE6E">
            <w:pPr>
              <w:pStyle w:val="85"/>
              <w:spacing w:line="360" w:lineRule="auto"/>
              <w:ind w:right="9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1.大米原产地：</w:t>
            </w:r>
            <w:r>
              <w:rPr>
                <w:rFonts w:hint="eastAsia" w:ascii="宋体" w:hAnsi="宋体" w:eastAsia="宋体" w:cs="宋体"/>
                <w:sz w:val="24"/>
                <w:szCs w:val="24"/>
                <w:highlight w:val="none"/>
                <w:lang w:val="en-US" w:eastAsia="zh-CN"/>
              </w:rPr>
              <w:t>国产</w:t>
            </w:r>
            <w:r>
              <w:rPr>
                <w:rFonts w:hint="eastAsia" w:ascii="宋体" w:hAnsi="宋体" w:eastAsia="宋体" w:cs="宋体"/>
                <w:sz w:val="24"/>
                <w:szCs w:val="24"/>
                <w:highlight w:val="none"/>
              </w:rPr>
              <w:t>；</w:t>
            </w:r>
          </w:p>
          <w:p w14:paraId="7144BE97">
            <w:pPr>
              <w:pStyle w:val="85"/>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2.品级：粳米。</w:t>
            </w:r>
          </w:p>
          <w:p w14:paraId="0507A6B7">
            <w:pPr>
              <w:pStyle w:val="85"/>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sz w:val="24"/>
                <w:szCs w:val="24"/>
                <w:highlight w:val="none"/>
                <w:lang w:val="en-US" w:eastAsia="zh-CN"/>
              </w:rPr>
              <w:t>1、具有固有色泽和香味，无污染、无虫害，色泽、气味、口味正常，无异味或霉味（霉变)，无虫蛙结块挂丝或杂质异物等；</w:t>
            </w:r>
          </w:p>
          <w:p w14:paraId="1E3C0499">
            <w:pPr>
              <w:pStyle w:val="85"/>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2、产品标明加工厂名称、品名、生产日期、保持期或保存期,供货时的剩余保质期不少于三分之二。</w:t>
            </w:r>
          </w:p>
        </w:tc>
      </w:tr>
      <w:tr w14:paraId="1CB74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978" w:type="dxa"/>
            <w:vMerge w:val="continue"/>
            <w:tcBorders>
              <w:top w:val="nil"/>
              <w:left w:val="single" w:color="000000" w:sz="8" w:space="0"/>
              <w:bottom w:val="single" w:color="000000" w:sz="4" w:space="0"/>
              <w:right w:val="single" w:color="000000" w:sz="4" w:space="0"/>
            </w:tcBorders>
            <w:noWrap w:val="0"/>
            <w:vAlign w:val="center"/>
          </w:tcPr>
          <w:p w14:paraId="5D8D896A">
            <w:pPr>
              <w:jc w:val="center"/>
              <w:rPr>
                <w:rFonts w:hint="eastAsia" w:ascii="宋体" w:hAnsi="宋体" w:eastAsia="宋体" w:cs="宋体"/>
                <w:sz w:val="24"/>
                <w:szCs w:val="24"/>
                <w:highlight w:val="none"/>
              </w:rPr>
            </w:pPr>
          </w:p>
        </w:tc>
        <w:tc>
          <w:tcPr>
            <w:tcW w:w="948"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41D0D5C5">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面粉</w:t>
            </w:r>
          </w:p>
        </w:tc>
        <w:tc>
          <w:tcPr>
            <w:tcW w:w="7346" w:type="dxa"/>
            <w:tcBorders>
              <w:top w:val="nil"/>
              <w:left w:val="nil"/>
              <w:bottom w:val="single" w:color="000000" w:sz="4" w:space="0"/>
              <w:right w:val="single" w:color="000000" w:sz="8" w:space="0"/>
            </w:tcBorders>
            <w:noWrap w:val="0"/>
            <w:tcMar>
              <w:top w:w="0" w:type="dxa"/>
              <w:left w:w="0" w:type="dxa"/>
              <w:bottom w:w="0" w:type="dxa"/>
              <w:right w:w="0" w:type="dxa"/>
            </w:tcMar>
            <w:vAlign w:val="center"/>
          </w:tcPr>
          <w:p w14:paraId="5DD7D923">
            <w:pPr>
              <w:pStyle w:val="85"/>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质量达标，</w:t>
            </w:r>
            <w:r>
              <w:rPr>
                <w:rFonts w:hint="eastAsia" w:ascii="宋体" w:hAnsi="宋体" w:eastAsia="宋体" w:cs="宋体"/>
                <w:sz w:val="24"/>
                <w:szCs w:val="24"/>
                <w:highlight w:val="none"/>
                <w:lang w:val="en-US" w:eastAsia="zh-CN"/>
              </w:rPr>
              <w:t>在质保期内，</w:t>
            </w:r>
            <w:r>
              <w:rPr>
                <w:rFonts w:hint="eastAsia" w:ascii="宋体" w:hAnsi="宋体" w:eastAsia="宋体" w:cs="宋体"/>
                <w:sz w:val="24"/>
                <w:szCs w:val="24"/>
                <w:highlight w:val="none"/>
              </w:rPr>
              <w:t>所提供产品必须具有资质的检验机构出具的产品合格证明</w:t>
            </w:r>
            <w:r>
              <w:rPr>
                <w:rFonts w:hint="eastAsia" w:ascii="宋体" w:hAnsi="宋体" w:eastAsia="宋体" w:cs="宋体"/>
                <w:sz w:val="24"/>
                <w:szCs w:val="24"/>
                <w:highlight w:val="none"/>
                <w:lang w:val="en-US" w:eastAsia="zh-CN"/>
              </w:rPr>
              <w:t>和</w:t>
            </w:r>
            <w:r>
              <w:rPr>
                <w:rFonts w:hint="eastAsia" w:ascii="宋体" w:hAnsi="宋体" w:cs="宋体"/>
                <w:sz w:val="24"/>
                <w:szCs w:val="24"/>
                <w:highlight w:val="none"/>
                <w:lang w:val="en-US" w:eastAsia="zh-CN"/>
              </w:rPr>
              <w:t>食品</w:t>
            </w:r>
            <w:r>
              <w:rPr>
                <w:rFonts w:hint="eastAsia" w:ascii="宋体" w:hAnsi="宋体" w:eastAsia="宋体" w:cs="宋体"/>
                <w:sz w:val="24"/>
                <w:szCs w:val="24"/>
                <w:highlight w:val="none"/>
                <w:lang w:val="en-US" w:eastAsia="zh-CN"/>
              </w:rPr>
              <w:t>生产许可证。</w:t>
            </w:r>
            <w:r>
              <w:rPr>
                <w:rFonts w:hint="eastAsia" w:ascii="宋体" w:hAnsi="宋体" w:eastAsia="宋体" w:cs="宋体"/>
                <w:sz w:val="24"/>
                <w:szCs w:val="24"/>
                <w:highlight w:val="none"/>
              </w:rPr>
              <w:t>无结块，色泽正，味道香醇，出厂日期不超过3个月</w:t>
            </w:r>
          </w:p>
          <w:p w14:paraId="3D4C851F">
            <w:pPr>
              <w:pStyle w:val="85"/>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sz w:val="24"/>
                <w:szCs w:val="24"/>
                <w:highlight w:val="none"/>
                <w:lang w:val="en-US" w:eastAsia="zh-CN"/>
              </w:rPr>
              <w:t>1、标明商品名称，规格、 生产商、产地、 生产日期、保质期或保存期；</w:t>
            </w:r>
          </w:p>
          <w:p w14:paraId="76345020">
            <w:pPr>
              <w:pStyle w:val="85"/>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2、要新鲜、色泽呈现乳白或微黄色、 手感细腻、颗粒均匀、有自然浓郁的麦香味、手抓后自然流出、松开手后不成团。制成的产品如馒头有麦香味，香甜入口不粘牙。</w:t>
            </w:r>
          </w:p>
        </w:tc>
      </w:tr>
      <w:tr w14:paraId="607BA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nil"/>
              <w:left w:val="single" w:color="000000" w:sz="8" w:space="0"/>
              <w:right w:val="single" w:color="000000" w:sz="4" w:space="0"/>
            </w:tcBorders>
            <w:noWrap w:val="0"/>
            <w:tcMar>
              <w:top w:w="0" w:type="dxa"/>
              <w:left w:w="0" w:type="dxa"/>
              <w:bottom w:w="0" w:type="dxa"/>
              <w:right w:w="0" w:type="dxa"/>
            </w:tcMar>
            <w:vAlign w:val="center"/>
          </w:tcPr>
          <w:p w14:paraId="6D50B8F4">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肉  类</w:t>
            </w:r>
          </w:p>
          <w:p w14:paraId="3A65810A">
            <w:pPr>
              <w:pStyle w:val="8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（每批次需随附检验检疫报告）</w:t>
            </w:r>
          </w:p>
          <w:p w14:paraId="19CD4266">
            <w:pPr>
              <w:pStyle w:val="85"/>
              <w:jc w:val="center"/>
              <w:rPr>
                <w:rFonts w:hint="default" w:ascii="宋体" w:hAnsi="宋体" w:eastAsia="宋体" w:cs="宋体"/>
                <w:sz w:val="24"/>
                <w:szCs w:val="24"/>
                <w:highlight w:val="none"/>
                <w:lang w:val="en-US" w:eastAsia="zh-CN"/>
              </w:rPr>
            </w:pPr>
          </w:p>
        </w:tc>
        <w:tc>
          <w:tcPr>
            <w:tcW w:w="948" w:type="dxa"/>
            <w:tcBorders>
              <w:top w:val="nil"/>
              <w:left w:val="nil"/>
              <w:bottom w:val="single" w:color="000000" w:sz="4" w:space="0"/>
              <w:right w:val="single" w:color="000000" w:sz="4" w:space="0"/>
            </w:tcBorders>
            <w:noWrap w:val="0"/>
            <w:tcMar>
              <w:top w:w="0" w:type="dxa"/>
              <w:left w:w="0" w:type="dxa"/>
              <w:bottom w:w="0" w:type="dxa"/>
              <w:right w:w="0" w:type="dxa"/>
            </w:tcMar>
            <w:vAlign w:val="center"/>
          </w:tcPr>
          <w:p w14:paraId="132AFFF1">
            <w:pPr>
              <w:pStyle w:val="8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肉</w:t>
            </w:r>
            <w:r>
              <w:rPr>
                <w:rFonts w:hint="eastAsia" w:ascii="宋体" w:hAnsi="宋体" w:eastAsia="宋体" w:cs="宋体"/>
                <w:sz w:val="24"/>
                <w:szCs w:val="24"/>
                <w:highlight w:val="none"/>
                <w:lang w:val="en-US" w:eastAsia="zh-CN"/>
              </w:rPr>
              <w:t>类</w:t>
            </w:r>
          </w:p>
        </w:tc>
        <w:tc>
          <w:tcPr>
            <w:tcW w:w="7346" w:type="dxa"/>
            <w:tcBorders>
              <w:top w:val="nil"/>
              <w:left w:val="nil"/>
              <w:bottom w:val="single" w:color="auto" w:sz="4" w:space="0"/>
              <w:right w:val="single" w:color="000000" w:sz="8" w:space="0"/>
            </w:tcBorders>
            <w:noWrap w:val="0"/>
            <w:tcMar>
              <w:top w:w="0" w:type="dxa"/>
              <w:left w:w="0" w:type="dxa"/>
              <w:bottom w:w="0" w:type="dxa"/>
              <w:right w:w="0" w:type="dxa"/>
            </w:tcMar>
            <w:vAlign w:val="top"/>
          </w:tcPr>
          <w:p w14:paraId="39CE576B">
            <w:pPr>
              <w:pStyle w:val="8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冷鲜畜禽肉的食品安全指标应符合 GB 2707最新标</w:t>
            </w:r>
            <w:r>
              <w:rPr>
                <w:rFonts w:hint="eastAsia" w:ascii="宋体" w:hAnsi="宋体" w:eastAsia="宋体" w:cs="宋体"/>
                <w:sz w:val="24"/>
                <w:szCs w:val="24"/>
                <w:highlight w:val="none"/>
                <w:lang w:eastAsia="zh-CN"/>
              </w:rPr>
              <w:t>准</w:t>
            </w:r>
            <w:r>
              <w:rPr>
                <w:rFonts w:hint="eastAsia" w:ascii="宋体" w:hAnsi="宋体" w:eastAsia="宋体" w:cs="宋体"/>
                <w:sz w:val="24"/>
                <w:szCs w:val="24"/>
                <w:highlight w:val="none"/>
              </w:rPr>
              <w:t>的规定，国家有定点屠宰、检验检疫要求的品种，应来自于定点屠宰厂出品、有国家规定的动物产品检疫合格证明及验讫印章、肉品品质检验合格证明及验讫印章（随每批次供货时按批次提供）。</w:t>
            </w:r>
          </w:p>
        </w:tc>
      </w:tr>
      <w:tr w14:paraId="707DAC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978" w:type="dxa"/>
            <w:vMerge w:val="continue"/>
            <w:tcBorders>
              <w:left w:val="single" w:color="000000" w:sz="8" w:space="0"/>
              <w:bottom w:val="single" w:color="000000" w:sz="4" w:space="0"/>
              <w:right w:val="single" w:color="000000" w:sz="4" w:space="0"/>
            </w:tcBorders>
            <w:noWrap w:val="0"/>
            <w:vAlign w:val="top"/>
          </w:tcPr>
          <w:p w14:paraId="28C9DE4D">
            <w:pPr>
              <w:rPr>
                <w:rFonts w:hint="eastAsia" w:ascii="宋体" w:hAnsi="宋体" w:eastAsia="宋体" w:cs="宋体"/>
                <w:sz w:val="24"/>
                <w:szCs w:val="24"/>
                <w:highlight w:val="none"/>
              </w:rPr>
            </w:pPr>
          </w:p>
        </w:tc>
        <w:tc>
          <w:tcPr>
            <w:tcW w:w="948" w:type="dxa"/>
            <w:tcBorders>
              <w:top w:val="nil"/>
              <w:left w:val="nil"/>
              <w:bottom w:val="single" w:color="000000" w:sz="4" w:space="0"/>
              <w:right w:val="single" w:color="auto" w:sz="4" w:space="0"/>
            </w:tcBorders>
            <w:noWrap w:val="0"/>
            <w:tcMar>
              <w:top w:w="0" w:type="dxa"/>
              <w:left w:w="0" w:type="dxa"/>
              <w:bottom w:w="0" w:type="dxa"/>
              <w:right w:w="0" w:type="dxa"/>
            </w:tcMar>
            <w:vAlign w:val="center"/>
          </w:tcPr>
          <w:p w14:paraId="25DBDD59">
            <w:pPr>
              <w:pStyle w:val="8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食用油</w:t>
            </w:r>
          </w:p>
        </w:tc>
        <w:tc>
          <w:tcPr>
            <w:tcW w:w="7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59850D9D">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非转基因产品。</w:t>
            </w:r>
            <w:r>
              <w:rPr>
                <w:rFonts w:hint="eastAsia" w:ascii="宋体" w:hAnsi="宋体" w:eastAsia="宋体" w:cs="宋体"/>
                <w:sz w:val="24"/>
                <w:szCs w:val="24"/>
                <w:highlight w:val="none"/>
                <w:lang w:val="en-US" w:eastAsia="zh-CN"/>
              </w:rPr>
              <w:t>在保质期内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食品中污染物限量标准应符合国家标准GB2762-2017、GB2761-2017，即预包装原料必须为原公司（厂）生产的全新产品，符合国家相关规定的质量标准、环保标准、技术参数和规格要求，所提供产品必须具有资质的检验机构出具的产品合格证明</w:t>
            </w:r>
            <w:r>
              <w:rPr>
                <w:rFonts w:hint="eastAsia" w:ascii="宋体" w:hAnsi="宋体" w:eastAsia="宋体" w:cs="宋体"/>
                <w:sz w:val="24"/>
                <w:szCs w:val="24"/>
                <w:highlight w:val="none"/>
                <w:lang w:val="en-US" w:eastAsia="zh-CN"/>
              </w:rPr>
              <w:t>和</w:t>
            </w:r>
            <w:r>
              <w:rPr>
                <w:rFonts w:hint="eastAsia" w:ascii="宋体" w:hAnsi="宋体" w:cs="宋体"/>
                <w:sz w:val="24"/>
                <w:szCs w:val="24"/>
                <w:highlight w:val="none"/>
                <w:lang w:val="en-US" w:eastAsia="zh-CN"/>
              </w:rPr>
              <w:t>食品</w:t>
            </w:r>
            <w:r>
              <w:rPr>
                <w:rFonts w:hint="eastAsia" w:ascii="宋体" w:hAnsi="宋体" w:eastAsia="宋体" w:cs="宋体"/>
                <w:sz w:val="24"/>
                <w:szCs w:val="24"/>
                <w:highlight w:val="none"/>
                <w:lang w:val="en-US" w:eastAsia="zh-CN"/>
              </w:rPr>
              <w:t>生产许可证。</w:t>
            </w:r>
          </w:p>
          <w:p w14:paraId="20FA2155">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sz w:val="24"/>
                <w:szCs w:val="24"/>
                <w:highlight w:val="none"/>
                <w:lang w:val="en-US" w:eastAsia="zh-CN"/>
              </w:rPr>
              <w:t>：1、符合GB1535-2003标准，气味口感好，不得检出溶剂残留，酸值小于0.2%，过氧化值小于5.商标整齐，嘴码正确，密封不渗漏</w:t>
            </w:r>
          </w:p>
          <w:p w14:paraId="2AAF8F60">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2、外包装完好，标明品名、厂名、重量、生产日期、保质期或保存期、执行标准，剩余保质期不少于三分二，具有产品合格证。</w:t>
            </w:r>
          </w:p>
          <w:p w14:paraId="0B603529">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大豆油具有正常植物油的色泽、透明度、气味和滋味，无焦臭、酸败等其他异味。</w:t>
            </w:r>
          </w:p>
          <w:p w14:paraId="167AD6F8">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3、气味、滋味：具有固定的气味和滋味，无异味；</w:t>
            </w:r>
          </w:p>
          <w:p w14:paraId="5FB5C556">
            <w:pPr>
              <w:pStyle w:val="8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4、不得混有其他食用油或非食用油；</w:t>
            </w:r>
          </w:p>
        </w:tc>
      </w:tr>
      <w:tr w14:paraId="5D8F6B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978" w:type="dxa"/>
            <w:tcBorders>
              <w:left w:val="single" w:color="000000" w:sz="8" w:space="0"/>
              <w:bottom w:val="single" w:color="auto" w:sz="4" w:space="0"/>
              <w:right w:val="single" w:color="000000" w:sz="4" w:space="0"/>
            </w:tcBorders>
            <w:noWrap w:val="0"/>
            <w:vAlign w:val="top"/>
          </w:tcPr>
          <w:p w14:paraId="0BE2403F">
            <w:pPr>
              <w:rPr>
                <w:rFonts w:hint="eastAsia" w:ascii="宋体" w:hAnsi="宋体" w:eastAsia="宋体" w:cs="宋体"/>
                <w:kern w:val="0"/>
                <w:sz w:val="24"/>
                <w:szCs w:val="24"/>
                <w:highlight w:val="none"/>
                <w:lang w:val="en-US" w:eastAsia="zh-CN"/>
              </w:rPr>
            </w:pPr>
          </w:p>
          <w:p w14:paraId="0BED3D4E">
            <w:pPr>
              <w:rPr>
                <w:rFonts w:hint="eastAsia" w:ascii="宋体" w:hAnsi="宋体" w:eastAsia="宋体" w:cs="宋体"/>
                <w:kern w:val="0"/>
                <w:sz w:val="24"/>
                <w:szCs w:val="24"/>
                <w:highlight w:val="none"/>
                <w:lang w:val="en-US" w:eastAsia="zh-CN"/>
              </w:rPr>
            </w:pPr>
          </w:p>
          <w:p w14:paraId="0E6EF3B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蔬菜加工品</w:t>
            </w:r>
          </w:p>
        </w:tc>
        <w:tc>
          <w:tcPr>
            <w:tcW w:w="948"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6CEE756D">
            <w:pPr>
              <w:pStyle w:val="85"/>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蔬菜</w:t>
            </w:r>
          </w:p>
        </w:tc>
        <w:tc>
          <w:tcPr>
            <w:tcW w:w="7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5289D675">
            <w:pPr>
              <w:pageBreakBefore w:val="0"/>
              <w:kinsoku/>
              <w:overflowPunct/>
              <w:topLinePunct w:val="0"/>
              <w:bidi w:val="0"/>
              <w:spacing w:beforeLines="0"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1、蔬菜类产品保证新鲜、水分充足、无异味、无霉烂变质。中标人必须对每次配送的蔬菜瓜果提供农药残留抽样检测报告。</w:t>
            </w:r>
          </w:p>
          <w:p w14:paraId="60CF6A66">
            <w:pPr>
              <w:pageBreakBefore w:val="0"/>
              <w:kinsoku/>
              <w:overflowPunct/>
              <w:topLinePunct w:val="0"/>
              <w:bidi w:val="0"/>
              <w:spacing w:beforeLines="0"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2、蔬菜必须为新鲜时令蔬菜，符合国家《农酸笋、茄子、番茄、萝 产品安全质量无公害蔬菜安全要求》、 《食品中卜、胡萝卜、洋葱、背 污染限量》、《食品中农药最大残留限量》等采购人的质量要求，所供蔬菜必须经过粗加菜、 食用率达95%以上。</w:t>
            </w:r>
          </w:p>
          <w:p w14:paraId="4987BCDF">
            <w:pPr>
              <w:pageBreakBefore w:val="0"/>
              <w:kinsoku/>
              <w:overflowPunct/>
              <w:topLinePunct w:val="0"/>
              <w:bidi w:val="0"/>
              <w:spacing w:beforeLines="0"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sz w:val="24"/>
                <w:szCs w:val="24"/>
                <w:highlight w:val="none"/>
                <w:lang w:val="en-US" w:eastAsia="zh-CN"/>
              </w:rPr>
              <w:t>考虑到蔬菜瓜果品种采购的特殊性，要求中标人实际供应的瓜果类品种及数量与采购方订单要求相差不能超过10%，叶菜类的单个品种数量及叶菜总数量与采购方订单要求相差不能超过20%。实际采购时如因天气问题导致某些叶菜类品种的数最和质量难以满足订单要求， 中标人必须能保证提供丰富的蔬菜瓜果品种</w:t>
            </w:r>
            <w:r>
              <w:rPr>
                <w:rFonts w:hint="eastAsia" w:ascii="宋体" w:hAnsi="宋体" w:cs="宋体"/>
                <w:sz w:val="24"/>
                <w:szCs w:val="24"/>
                <w:highlight w:val="none"/>
                <w:lang w:val="en-US" w:eastAsia="zh-CN"/>
              </w:rPr>
              <w:t>供</w:t>
            </w:r>
            <w:r>
              <w:rPr>
                <w:rFonts w:hint="eastAsia" w:ascii="宋体" w:hAnsi="宋体" w:eastAsia="宋体" w:cs="宋体"/>
                <w:sz w:val="24"/>
                <w:szCs w:val="24"/>
                <w:highlight w:val="none"/>
                <w:lang w:val="en-US" w:eastAsia="zh-CN"/>
              </w:rPr>
              <w:t>采购方选择, 在经采购方同意可视实际情况采购同等性质、同等价位的好菜代替。各品种数量超出规定的部分由配送商带回，不纳入结算，短缺的部份由配送商负责按采购方要求补足。</w:t>
            </w:r>
          </w:p>
        </w:tc>
      </w:tr>
      <w:tr w14:paraId="5A6E3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7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A8C1175">
            <w:pPr>
              <w:pStyle w:val="8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干货、</w:t>
            </w:r>
            <w:r>
              <w:rPr>
                <w:rFonts w:hint="eastAsia" w:ascii="宋体" w:hAnsi="宋体" w:eastAsia="宋体" w:cs="宋体"/>
                <w:sz w:val="24"/>
                <w:szCs w:val="24"/>
                <w:highlight w:val="none"/>
                <w:lang w:val="en-US" w:eastAsia="zh-CN"/>
              </w:rPr>
              <w:t>调味品</w:t>
            </w:r>
          </w:p>
        </w:tc>
        <w:tc>
          <w:tcPr>
            <w:tcW w:w="9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FE5EBC5">
            <w:pPr>
              <w:pStyle w:val="8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干货、调料</w:t>
            </w:r>
          </w:p>
        </w:tc>
        <w:tc>
          <w:tcPr>
            <w:tcW w:w="7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501CE8">
            <w:pPr>
              <w:pageBreakBefore w:val="0"/>
              <w:kinsoku/>
              <w:overflowPunct/>
              <w:topLinePunct w:val="0"/>
              <w:bidi w:val="0"/>
              <w:spacing w:beforeLines="0"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外包装完好，标明品名、厂名、重量、生产日期、保质期或保存期、执行标准，剩余保质期不少于三分二，具有产品合格证。</w:t>
            </w:r>
          </w:p>
        </w:tc>
      </w:tr>
      <w:tr w14:paraId="2C283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7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4F0077FF">
            <w:pPr>
              <w:spacing w:line="360" w:lineRule="auto"/>
              <w:jc w:val="center"/>
              <w:rPr>
                <w:rFonts w:hint="eastAsia" w:ascii="宋体" w:hAnsi="宋体" w:eastAsia="宋体" w:cs="宋体"/>
                <w:kern w:val="0"/>
                <w:sz w:val="24"/>
                <w:szCs w:val="24"/>
                <w:lang w:val="en-US" w:eastAsia="zh-CN"/>
              </w:rPr>
            </w:pPr>
          </w:p>
          <w:p w14:paraId="41D16520">
            <w:pPr>
              <w:spacing w:line="360" w:lineRule="auto"/>
              <w:jc w:val="center"/>
              <w:rPr>
                <w:rFonts w:hint="eastAsia" w:ascii="宋体" w:hAnsi="宋体" w:eastAsia="宋体" w:cs="宋体"/>
                <w:kern w:val="0"/>
                <w:sz w:val="24"/>
                <w:szCs w:val="24"/>
                <w:lang w:val="en-US" w:eastAsia="zh-CN"/>
              </w:rPr>
            </w:pPr>
          </w:p>
          <w:p w14:paraId="22522990">
            <w:pPr>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rPr>
              <w:t>蛋类</w:t>
            </w:r>
          </w:p>
        </w:tc>
        <w:tc>
          <w:tcPr>
            <w:tcW w:w="9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CDFD048">
            <w:pPr>
              <w:pStyle w:val="8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rPr>
              <w:t>鸡蛋</w:t>
            </w:r>
          </w:p>
        </w:tc>
        <w:tc>
          <w:tcPr>
            <w:tcW w:w="7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45FD89FB">
            <w:pPr>
              <w:pageBreakBefore w:val="0"/>
              <w:kinsoku/>
              <w:overflowPunct/>
              <w:topLinePunct w:val="0"/>
              <w:bidi w:val="0"/>
              <w:spacing w:beforeLines="0" w:line="360" w:lineRule="auto"/>
              <w:ind w:firstLine="48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鲜蛋的食品安全指标应符合 GB 2749-2015（或最新标准）的规定，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检测）验讫标识。保证新鲜、清洁、无破损；外壳坚固完整，色泽自然有光泽。</w:t>
            </w:r>
          </w:p>
        </w:tc>
      </w:tr>
      <w:tr w14:paraId="52235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7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F712A1">
            <w:pPr>
              <w:pStyle w:val="85"/>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rPr>
              <w:t>奶</w:t>
            </w:r>
            <w:r>
              <w:rPr>
                <w:rFonts w:hint="eastAsia" w:ascii="宋体" w:hAnsi="宋体" w:eastAsia="宋体" w:cs="宋体"/>
                <w:sz w:val="24"/>
                <w:szCs w:val="24"/>
                <w:lang w:val="en-US" w:eastAsia="zh-CN"/>
              </w:rPr>
              <w:t>类</w:t>
            </w:r>
          </w:p>
        </w:tc>
        <w:tc>
          <w:tcPr>
            <w:tcW w:w="94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DDD4DC">
            <w:pPr>
              <w:pStyle w:val="8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牛奶和酸奶</w:t>
            </w:r>
          </w:p>
        </w:tc>
        <w:tc>
          <w:tcPr>
            <w:tcW w:w="734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0DF0DD">
            <w:pPr>
              <w:pageBreakBefore w:val="0"/>
              <w:kinsoku/>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不得提供复原奶和奶饮品，所提供学生食用奶的能量、蛋白质、 脂肪、碳水化合物等符合国家食品</w:t>
            </w:r>
            <w:r>
              <w:rPr>
                <w:rFonts w:hint="eastAsia" w:ascii="宋体" w:hAnsi="宋体" w:eastAsia="宋体" w:cs="宋体"/>
                <w:sz w:val="24"/>
                <w:szCs w:val="24"/>
                <w:lang w:val="en-US" w:eastAsia="zh-CN"/>
              </w:rPr>
              <w:t>安全</w:t>
            </w:r>
            <w:r>
              <w:rPr>
                <w:rFonts w:hint="eastAsia" w:ascii="宋体" w:hAnsi="宋体" w:eastAsia="宋体" w:cs="宋体"/>
                <w:sz w:val="24"/>
                <w:szCs w:val="24"/>
              </w:rPr>
              <w:t>标准</w:t>
            </w:r>
            <w:r>
              <w:rPr>
                <w:rFonts w:hint="eastAsia" w:ascii="宋体" w:hAnsi="宋体" w:eastAsia="宋体" w:cs="宋体"/>
                <w:sz w:val="24"/>
                <w:szCs w:val="24"/>
                <w:lang w:val="en-US" w:eastAsia="zh-CN"/>
              </w:rPr>
              <w:t>规定</w:t>
            </w:r>
            <w:r>
              <w:rPr>
                <w:rFonts w:hint="eastAsia" w:ascii="宋体" w:hAnsi="宋体" w:eastAsia="宋体" w:cs="宋体"/>
                <w:sz w:val="24"/>
                <w:szCs w:val="24"/>
              </w:rPr>
              <w:t>。 采用环保包装。 产品保质期距出厂日期</w:t>
            </w:r>
            <w:r>
              <w:rPr>
                <w:rFonts w:hint="eastAsia" w:ascii="宋体" w:hAnsi="宋体" w:eastAsia="宋体" w:cs="宋体"/>
                <w:sz w:val="24"/>
                <w:szCs w:val="24"/>
                <w:lang w:val="en-US" w:eastAsia="zh-CN"/>
              </w:rPr>
              <w:t>3</w:t>
            </w:r>
            <w:r>
              <w:rPr>
                <w:rFonts w:hint="eastAsia" w:ascii="宋体" w:hAnsi="宋体" w:eastAsia="宋体" w:cs="宋体"/>
                <w:sz w:val="24"/>
                <w:szCs w:val="24"/>
              </w:rPr>
              <w:t>0天以内。所提供产品必须具有资质的检验机构出具的产品合格证明</w:t>
            </w:r>
            <w:r>
              <w:rPr>
                <w:rFonts w:hint="eastAsia" w:ascii="宋体" w:hAnsi="宋体" w:eastAsia="宋体" w:cs="宋体"/>
                <w:sz w:val="24"/>
                <w:szCs w:val="24"/>
                <w:lang w:val="en-US" w:eastAsia="zh-CN"/>
              </w:rPr>
              <w:t>和</w:t>
            </w:r>
            <w:r>
              <w:rPr>
                <w:rFonts w:hint="eastAsia" w:ascii="宋体" w:hAnsi="宋体" w:cs="宋体"/>
                <w:sz w:val="24"/>
                <w:szCs w:val="24"/>
                <w:lang w:val="en-US" w:eastAsia="zh-CN"/>
              </w:rPr>
              <w:t>食品生产许可证</w:t>
            </w:r>
            <w:r>
              <w:rPr>
                <w:rFonts w:hint="eastAsia" w:ascii="宋体" w:hAnsi="宋体" w:eastAsia="宋体" w:cs="宋体"/>
                <w:sz w:val="24"/>
                <w:szCs w:val="24"/>
              </w:rPr>
              <w:t>。</w:t>
            </w:r>
          </w:p>
        </w:tc>
      </w:tr>
    </w:tbl>
    <w:p w14:paraId="61A1E3E0">
      <w:pPr>
        <w:spacing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各标包具体供货产品以实际供货内容为准，所有产品质量、保质期均须符合国家及行业相关标准。</w:t>
      </w:r>
    </w:p>
    <w:p w14:paraId="4C8326BC">
      <w:pPr>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2、以上所有食材、食物的检验（或检测）报告、合格证明</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食品生产许可证等相关证件均在每批次配送时提供。</w:t>
      </w:r>
    </w:p>
    <w:p w14:paraId="1A639F66">
      <w:pPr>
        <w:spacing w:line="200" w:lineRule="exact"/>
        <w:rPr>
          <w:rFonts w:hint="eastAsia" w:ascii="宋体" w:hAnsi="宋体" w:eastAsia="宋体" w:cs="宋体"/>
          <w:color w:val="auto"/>
          <w:sz w:val="20"/>
          <w:szCs w:val="20"/>
          <w:highlight w:val="none"/>
        </w:rPr>
      </w:pPr>
    </w:p>
    <w:bookmarkEnd w:id="57"/>
    <w:p w14:paraId="224164F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kern w:val="2"/>
          <w:sz w:val="24"/>
          <w:szCs w:val="24"/>
          <w:lang w:val="en-US" w:eastAsia="zh-CN" w:bidi="ar-SA"/>
        </w:rPr>
      </w:pPr>
      <w:bookmarkStart w:id="58" w:name="_Toc167712840"/>
      <w:bookmarkStart w:id="59" w:name="_Toc167715235"/>
      <w:bookmarkStart w:id="60" w:name="_Toc167714038"/>
      <w:r>
        <w:rPr>
          <w:rFonts w:hint="eastAsia" w:ascii="宋体" w:hAnsi="宋体" w:eastAsia="宋体" w:cs="宋体"/>
          <w:b/>
          <w:bCs/>
          <w:kern w:val="2"/>
          <w:sz w:val="24"/>
          <w:szCs w:val="24"/>
          <w:lang w:val="en-US" w:eastAsia="zh-CN" w:bidi="ar-SA"/>
        </w:rPr>
        <w:t>四、配送时间及要求</w:t>
      </w:r>
    </w:p>
    <w:p w14:paraId="4E31D87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1.配送时间：供应商应按照采购人要求及时将所需食品配送到位。</w:t>
      </w:r>
    </w:p>
    <w:p w14:paraId="642DB4F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配送方式：供应商指定1名联络人（联络及配送人员须提供健康证），采购人每天下午17：00前将次日食品需求清单电话、微信小程序或邮箱通知供应商。供应商按照需求清单及相关要求，将所需产品准时送至配送地点。供应商送货时需附经公司盖章的副食品送货机打清单。指定联络人组织食堂验收人员按照产品质量标准要求，对照需求清单组织产品验收，经验收合格后，在供应商提供的送货清单上签字盖章确认。送货清单一式两份，双方各留存一份，用于月底清算配送费用，配送人员需有相应的配送业务经历，便于业务沟通。</w:t>
      </w:r>
    </w:p>
    <w:p w14:paraId="1D1586AE">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3.配送要求：</w:t>
      </w:r>
    </w:p>
    <w:p w14:paraId="5C20543E">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（1）若供应商不能按时、按质、按量供货，导致采购单位无法正常供应伙食的，采购人有权自行采购同等质量的货物，由此造成的经济损失和责任均由供应商承担，并承担违约责任。</w:t>
      </w:r>
    </w:p>
    <w:p w14:paraId="4CBAF7DC">
      <w:pPr>
        <w:pStyle w:val="85"/>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（2）供应商应针对本招标项目提供物流配送、车辆数量、人员安排等服务方案，肉蛋奶有冷链冷藏运输机制。</w:t>
      </w:r>
    </w:p>
    <w:p w14:paraId="12DAF079">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（3）肉类等产品必须具有动物检验检疫合格证明或化验单。</w:t>
      </w:r>
    </w:p>
    <w:p w14:paraId="6EA8E46A">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）供应商对提供的所有副食品必须在供货清单上加盖单位公章。</w:t>
      </w:r>
    </w:p>
    <w:p w14:paraId="4265E3E4">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）供应商负责供货产品的食品安全，必须做到来源可溯。</w:t>
      </w:r>
    </w:p>
    <w:p w14:paraId="7B8A2C4E">
      <w:pPr>
        <w:pStyle w:val="85"/>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）因产品质量问题出现安全事故，供应方应在2 小时内到达现场处理，主动做好协调、救援、安抚、善后等工作。若出现群体呕吐、腹泻等其他情况，经相关职能部门或机构检测确系产品质量问题导致的，由供应商负全责，采购方有权终止合同，且履约保证金不退还，所造成的一切经济损失和法律责任由供应方自行承担。</w:t>
      </w:r>
    </w:p>
    <w:p w14:paraId="66DE0A72">
      <w:pPr>
        <w:pStyle w:val="85"/>
        <w:pageBreakBefore w:val="0"/>
        <w:kinsoku/>
        <w:wordWrap/>
        <w:overflowPunct/>
        <w:topLinePunct w:val="0"/>
        <w:autoSpaceDE/>
        <w:autoSpaceDN/>
        <w:bidi w:val="0"/>
        <w:spacing w:line="360" w:lineRule="auto"/>
        <w:ind w:firstLine="56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）供应方主要负责人和相关主管人员必须到现场指导、处理，慰问，做好安抚工作和善后处理，并承担一切责任和产生的一切费用，若供应商不能按时缴纳所需费用，则在所交的履约保证金中支付。</w:t>
      </w:r>
    </w:p>
    <w:p w14:paraId="055AF2BE">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）售后服务</w:t>
      </w:r>
    </w:p>
    <w:p w14:paraId="503E39D3">
      <w:pPr>
        <w:pStyle w:val="85"/>
        <w:pageBreakBefore w:val="0"/>
        <w:kinsoku/>
        <w:wordWrap/>
        <w:overflowPunct/>
        <w:topLinePunct w:val="0"/>
        <w:autoSpaceDE/>
        <w:autoSpaceDN/>
        <w:bidi w:val="0"/>
        <w:spacing w:line="360" w:lineRule="auto"/>
        <w:ind w:firstLine="56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供应商整个运输过程应科学合理，运输必须采用符合卫生要求的外包装和运载工具，并且要保持清洁和定期消毒，车厢内无不良气味、异味。运达指定地点后积极配合采购人验收人员进行验收。</w:t>
      </w:r>
    </w:p>
    <w:p w14:paraId="03295483">
      <w:pPr>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bookmarkEnd w:id="58"/>
      <w:bookmarkEnd w:id="59"/>
      <w:bookmarkEnd w:id="60"/>
      <w:r>
        <w:rPr>
          <w:rFonts w:hint="eastAsia" w:ascii="宋体" w:hAnsi="宋体" w:eastAsia="宋体" w:cs="宋体"/>
          <w:b/>
          <w:bCs/>
          <w:kern w:val="2"/>
          <w:sz w:val="24"/>
          <w:szCs w:val="24"/>
          <w:lang w:val="en-US" w:eastAsia="zh-CN" w:bidi="ar-SA"/>
        </w:rPr>
        <w:t>货款结算：</w:t>
      </w:r>
    </w:p>
    <w:p w14:paraId="182D81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bookmarkStart w:id="61" w:name="_Toc167712842"/>
      <w:bookmarkEnd w:id="61"/>
      <w:bookmarkStart w:id="62" w:name="_Toc167715237"/>
      <w:bookmarkEnd w:id="62"/>
      <w:bookmarkStart w:id="63" w:name="_Toc167714040"/>
      <w:bookmarkEnd w:id="63"/>
      <w:bookmarkStart w:id="64" w:name="_Toc167715238"/>
      <w:bookmarkStart w:id="65" w:name="_Toc167714041"/>
      <w:bookmarkStart w:id="66" w:name="_Toc167712843"/>
      <w:r>
        <w:rPr>
          <w:rFonts w:hint="eastAsia" w:ascii="宋体" w:hAnsi="宋体" w:eastAsia="宋体" w:cs="宋体"/>
          <w:b w:val="0"/>
          <w:bCs w:val="0"/>
          <w:color w:val="auto"/>
          <w:kern w:val="2"/>
          <w:sz w:val="24"/>
          <w:szCs w:val="24"/>
          <w:lang w:val="en-US" w:eastAsia="zh-CN" w:bidi="ar-SA"/>
        </w:rPr>
        <w:t>按实结算。</w:t>
      </w:r>
    </w:p>
    <w:p w14:paraId="4A611C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结算价=实际供货总价*[1+(投标报价-最高限价)/最高限价*100%]</w:t>
      </w:r>
    </w:p>
    <w:p w14:paraId="5105D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基本结算形式为先送货后付款，按月结算，营养改善计划资金根据专项资金到账情况结算，供应商根据供应量开具正式税票，统一对公户转账支付，不得现金支付。</w:t>
      </w:r>
    </w:p>
    <w:p w14:paraId="1B11A375">
      <w:pPr>
        <w:pStyle w:val="5"/>
        <w:pageBreakBefore w:val="0"/>
        <w:kinsoku/>
        <w:wordWrap/>
        <w:overflowPunct/>
        <w:topLinePunct w:val="0"/>
        <w:autoSpaceDE/>
        <w:autoSpaceDN/>
        <w:bidi w:val="0"/>
        <w:spacing w:before="0"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bCs/>
          <w:color w:val="auto"/>
          <w:kern w:val="2"/>
          <w:sz w:val="24"/>
          <w:szCs w:val="24"/>
          <w:lang w:val="en-US" w:eastAsia="zh-CN" w:bidi="ar-SA"/>
        </w:rPr>
        <w:t xml:space="preserve"> 六、食材定价：</w:t>
      </w:r>
    </w:p>
    <w:p w14:paraId="0CFCD2A8">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 xml:space="preserve">    1、定价原则。遵循市场价格走势，遵照招标文件定价办法，公平、公正、公开、透明、质优价廉，不得高于同时期该产品的市场均价。</w:t>
      </w:r>
    </w:p>
    <w:p w14:paraId="2191C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2、程序</w:t>
      </w:r>
    </w:p>
    <w:p w14:paraId="0F4822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(1）市场均价可由学校组织相关人员进行询价。</w:t>
      </w:r>
      <w:r>
        <w:rPr>
          <w:rFonts w:hint="eastAsia" w:ascii="宋体" w:hAnsi="宋体" w:cs="宋体"/>
          <w:b w:val="0"/>
          <w:bCs w:val="0"/>
          <w:kern w:val="2"/>
          <w:sz w:val="24"/>
          <w:szCs w:val="24"/>
          <w:lang w:val="en-US" w:eastAsia="zh-CN" w:bidi="ar-SA"/>
        </w:rPr>
        <w:t>采购人确定食材供应目录，采购人</w:t>
      </w:r>
      <w:r>
        <w:rPr>
          <w:rFonts w:hint="eastAsia" w:ascii="宋体" w:hAnsi="宋体" w:eastAsia="宋体" w:cs="宋体"/>
          <w:b w:val="0"/>
          <w:bCs w:val="0"/>
          <w:kern w:val="2"/>
          <w:sz w:val="24"/>
          <w:szCs w:val="24"/>
          <w:lang w:val="en-US" w:eastAsia="zh-CN" w:bidi="ar-SA"/>
        </w:rPr>
        <w:t>将食材供应目录提交询价小组，询价小组由学校至少两名成员组成。供应商根据确定的食材供应目录提供拟供应价格清单。</w:t>
      </w:r>
    </w:p>
    <w:p w14:paraId="51ED0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组织询价。询价小组成员依据确定的食材供应目录独立开展询价活动。询价范围原则上为延安市宝塔区域内大型超市或集贸市场货品零售价（至少3家价格）。价格标准为食材零售价，特价和促销商品除外不做参考，临期食材价格不做参考。必要时可参考周边县区及网络销售平台价格。</w:t>
      </w:r>
    </w:p>
    <w:p w14:paraId="0EC24932">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（3)组织定价。询价结束后根据食材询价的平均价作为定价基数，</w:t>
      </w:r>
      <w:r>
        <w:rPr>
          <w:rFonts w:hint="eastAsia" w:ascii="宋体" w:hAnsi="宋体" w:cs="宋体"/>
          <w:b w:val="0"/>
          <w:bCs w:val="0"/>
          <w:kern w:val="2"/>
          <w:sz w:val="24"/>
          <w:szCs w:val="24"/>
          <w:lang w:val="en-US" w:eastAsia="zh-CN" w:bidi="ar-SA"/>
        </w:rPr>
        <w:t>供应商在定价基数范围内进行报价，以此报价作为执行价格</w:t>
      </w:r>
      <w:r>
        <w:rPr>
          <w:rFonts w:hint="eastAsia" w:ascii="宋体" w:hAnsi="宋体" w:eastAsia="宋体" w:cs="宋体"/>
          <w:b w:val="0"/>
          <w:bCs w:val="0"/>
          <w:kern w:val="2"/>
          <w:sz w:val="24"/>
          <w:szCs w:val="24"/>
          <w:lang w:val="en-US" w:eastAsia="zh-CN" w:bidi="ar-SA"/>
        </w:rPr>
        <w:t>。</w:t>
      </w:r>
    </w:p>
    <w:p w14:paraId="7CA74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、询价周期</w:t>
      </w:r>
    </w:p>
    <w:p w14:paraId="0D513A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米、面、油、肉、蛋、奶原则上每学期询价1次（开学前一周组织询价），询价完成后在价格执行期内如单一品种连续15日单价涨跌大于5%，学校或供应商提出单一品种调价申请可启动询价程序。价格涨跌小于5%食材不予询价。</w:t>
      </w:r>
    </w:p>
    <w:bookmarkEnd w:id="64"/>
    <w:bookmarkEnd w:id="65"/>
    <w:bookmarkEnd w:id="66"/>
    <w:p w14:paraId="7656B08F">
      <w:pPr>
        <w:pStyle w:val="2"/>
        <w:keepNext/>
        <w:keepLines/>
        <w:pageBreakBefore w:val="0"/>
        <w:widowControl w:val="0"/>
        <w:kinsoku/>
        <w:wordWrap/>
        <w:overflowPunct/>
        <w:topLinePunct w:val="0"/>
        <w:autoSpaceDE/>
        <w:autoSpaceDN/>
        <w:bidi w:val="0"/>
        <w:adjustRightInd/>
        <w:snapToGrid/>
        <w:spacing w:line="460" w:lineRule="exact"/>
        <w:ind w:firstLine="2008" w:firstLineChars="500"/>
        <w:jc w:val="both"/>
        <w:textAlignment w:val="auto"/>
        <w:outlineLvl w:val="9"/>
        <w:rPr>
          <w:rFonts w:hint="eastAsia" w:ascii="宋体" w:hAnsi="宋体" w:eastAsia="宋体" w:cs="宋体"/>
          <w:sz w:val="40"/>
          <w:szCs w:val="40"/>
        </w:rPr>
        <w:sectPr>
          <w:footerReference r:id="rId6" w:type="default"/>
          <w:pgSz w:w="11906" w:h="16838"/>
          <w:pgMar w:top="1559" w:right="1125"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54C94DC3">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bookmarkStart w:id="67" w:name="_Toc1011"/>
      <w:bookmarkStart w:id="68" w:name="_Toc2100"/>
      <w:r>
        <w:rPr>
          <w:rFonts w:hint="eastAsia" w:ascii="宋体" w:hAnsi="宋体" w:eastAsia="宋体" w:cs="宋体"/>
          <w:b/>
          <w:color w:val="auto"/>
          <w:sz w:val="32"/>
          <w:szCs w:val="32"/>
          <w:highlight w:val="none"/>
        </w:rPr>
        <w:t>第四部分</w:t>
      </w:r>
      <w:r>
        <w:rPr>
          <w:rFonts w:hint="eastAsia" w:ascii="宋体" w:hAnsi="宋体" w:eastAsia="宋体" w:cs="宋体"/>
          <w:color w:val="auto"/>
          <w:highlight w:val="none"/>
        </w:rPr>
        <w:t xml:space="preserve">  </w:t>
      </w:r>
      <w:r>
        <w:rPr>
          <w:rFonts w:hint="eastAsia" w:ascii="宋体" w:hAnsi="宋体" w:eastAsia="宋体" w:cs="宋体"/>
          <w:b/>
          <w:color w:val="auto"/>
          <w:sz w:val="32"/>
          <w:szCs w:val="32"/>
          <w:highlight w:val="none"/>
        </w:rPr>
        <w:t>采购合同</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仅供参考</w:t>
      </w:r>
      <w:r>
        <w:rPr>
          <w:rFonts w:hint="eastAsia" w:ascii="宋体" w:hAnsi="宋体" w:eastAsia="宋体" w:cs="宋体"/>
          <w:b/>
          <w:color w:val="auto"/>
          <w:sz w:val="32"/>
          <w:szCs w:val="32"/>
          <w:highlight w:val="none"/>
          <w:lang w:eastAsia="zh-CN"/>
        </w:rPr>
        <w:t>）</w:t>
      </w:r>
      <w:bookmarkEnd w:id="67"/>
      <w:bookmarkEnd w:id="68"/>
    </w:p>
    <w:p w14:paraId="41F859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一、合同协议书</w:t>
      </w:r>
    </w:p>
    <w:p w14:paraId="5EBCC93D">
      <w:pPr>
        <w:spacing w:line="560" w:lineRule="exact"/>
        <w:ind w:right="210" w:rightChars="10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《中华人民共和国政府采购法实施条例》，</w:t>
      </w:r>
      <w:r>
        <w:rPr>
          <w:rFonts w:hint="eastAsia" w:ascii="宋体" w:hAnsi="宋体" w:eastAsia="宋体" w:cs="宋体"/>
          <w:kern w:val="0"/>
          <w:sz w:val="24"/>
          <w:szCs w:val="24"/>
          <w:u w:val="single"/>
          <w:lang w:val="en-US" w:eastAsia="zh-CN"/>
        </w:rPr>
        <w:t>延安市宝塔区</w:t>
      </w:r>
      <w:r>
        <w:rPr>
          <w:rFonts w:hint="eastAsia" w:ascii="宋体" w:hAnsi="宋体" w:cs="宋体"/>
          <w:kern w:val="0"/>
          <w:sz w:val="24"/>
          <w:szCs w:val="24"/>
          <w:u w:val="single"/>
          <w:lang w:val="en-US" w:eastAsia="zh-CN"/>
        </w:rPr>
        <w:t>第五中学</w:t>
      </w:r>
      <w:r>
        <w:rPr>
          <w:rFonts w:hint="eastAsia" w:ascii="宋体" w:hAnsi="宋体" w:eastAsia="宋体" w:cs="宋体"/>
          <w:kern w:val="0"/>
          <w:sz w:val="24"/>
          <w:szCs w:val="24"/>
          <w:u w:val="none"/>
          <w:lang w:val="en-US" w:eastAsia="zh-CN"/>
        </w:rPr>
        <w:t>（以下简称“甲方”）</w:t>
      </w:r>
      <w:r>
        <w:rPr>
          <w:rFonts w:hint="eastAsia" w:ascii="宋体" w:hAnsi="宋体" w:eastAsia="宋体" w:cs="宋体"/>
          <w:kern w:val="0"/>
          <w:sz w:val="24"/>
          <w:szCs w:val="24"/>
        </w:rPr>
        <w:t>通过公开招标</w:t>
      </w:r>
      <w:r>
        <w:rPr>
          <w:rFonts w:hint="eastAsia" w:ascii="宋体" w:hAnsi="宋体" w:eastAsia="宋体" w:cs="宋体"/>
          <w:kern w:val="0"/>
          <w:sz w:val="24"/>
          <w:szCs w:val="24"/>
          <w:lang w:eastAsia="zh-CN"/>
        </w:rPr>
        <w:t>与</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中标供应商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w:t>
      </w:r>
      <w:r>
        <w:rPr>
          <w:rFonts w:hint="eastAsia" w:ascii="宋体" w:hAnsi="宋体" w:eastAsia="宋体" w:cs="宋体"/>
          <w:kern w:val="0"/>
          <w:sz w:val="24"/>
          <w:szCs w:val="24"/>
          <w:u w:val="none"/>
          <w:lang w:val="en-US" w:eastAsia="zh-CN"/>
        </w:rPr>
        <w:t>以下简称“乙方”</w:t>
      </w:r>
      <w:r>
        <w:rPr>
          <w:rFonts w:hint="eastAsia" w:ascii="宋体" w:hAnsi="宋体" w:eastAsia="宋体" w:cs="宋体"/>
          <w:kern w:val="0"/>
          <w:sz w:val="24"/>
          <w:szCs w:val="24"/>
          <w:u w:val="none"/>
          <w:lang w:eastAsia="zh-CN"/>
        </w:rPr>
        <w:t>）</w:t>
      </w:r>
      <w:r>
        <w:rPr>
          <w:rFonts w:hint="eastAsia" w:ascii="宋体" w:hAnsi="宋体" w:eastAsia="宋体" w:cs="宋体"/>
          <w:kern w:val="0"/>
          <w:sz w:val="24"/>
          <w:szCs w:val="24"/>
          <w:lang w:eastAsia="zh-CN"/>
        </w:rPr>
        <w:t>签订了</w:t>
      </w: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eastAsia="zh-CN"/>
        </w:rPr>
        <w:t>标包名称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none"/>
          <w:lang w:eastAsia="zh-CN"/>
        </w:rPr>
        <w:t>采购合同</w:t>
      </w:r>
      <w:r>
        <w:rPr>
          <w:rFonts w:hint="eastAsia" w:ascii="宋体" w:hAnsi="宋体" w:eastAsia="宋体" w:cs="宋体"/>
          <w:kern w:val="0"/>
          <w:sz w:val="24"/>
          <w:szCs w:val="24"/>
        </w:rPr>
        <w:t>。</w:t>
      </w:r>
    </w:p>
    <w:p w14:paraId="14F3FDFC">
      <w:pPr>
        <w:spacing w:line="560" w:lineRule="exact"/>
        <w:ind w:firstLine="480" w:firstLineChars="200"/>
        <w:rPr>
          <w:rFonts w:hint="eastAsia" w:ascii="宋体" w:hAnsi="宋体" w:eastAsia="宋体" w:cs="宋体"/>
          <w:sz w:val="24"/>
          <w:szCs w:val="24"/>
        </w:rPr>
      </w:pPr>
      <w:bookmarkStart w:id="69" w:name="_Toc194663916"/>
      <w:bookmarkStart w:id="70" w:name="_Toc193126879"/>
      <w:bookmarkStart w:id="71" w:name="_Toc188808831"/>
      <w:bookmarkStart w:id="72" w:name="_Toc193187095"/>
      <w:r>
        <w:rPr>
          <w:rFonts w:hint="eastAsia" w:ascii="宋体" w:hAnsi="宋体" w:eastAsia="宋体" w:cs="宋体"/>
          <w:sz w:val="24"/>
          <w:szCs w:val="24"/>
        </w:rPr>
        <w:t>本合同在此声明如下：</w:t>
      </w:r>
    </w:p>
    <w:p w14:paraId="1D528DB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1、本合同中的词语和术语的含义与合同条款中定义的相同。</w:t>
      </w:r>
    </w:p>
    <w:p w14:paraId="6313AC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2、下述文件是本合同的一部分，并与本合同一起阅读和解释：</w:t>
      </w:r>
    </w:p>
    <w:p w14:paraId="19B36EEC">
      <w:pPr>
        <w:spacing w:line="56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1）合同条款</w:t>
      </w:r>
    </w:p>
    <w:p w14:paraId="489093C9">
      <w:pPr>
        <w:spacing w:line="56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6DE05599">
      <w:pPr>
        <w:spacing w:line="56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）招标文件</w:t>
      </w:r>
    </w:p>
    <w:p w14:paraId="3F961998">
      <w:pPr>
        <w:spacing w:line="560" w:lineRule="exact"/>
        <w:ind w:firstLine="600" w:firstLineChars="25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）投标文件</w:t>
      </w:r>
    </w:p>
    <w:p w14:paraId="27C120A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3、考虑到</w:t>
      </w:r>
      <w:r>
        <w:rPr>
          <w:rFonts w:hint="eastAsia" w:ascii="宋体" w:hAnsi="宋体" w:eastAsia="宋体" w:cs="宋体"/>
          <w:sz w:val="24"/>
          <w:szCs w:val="24"/>
          <w:lang w:eastAsia="zh-CN"/>
        </w:rPr>
        <w:t>甲方</w:t>
      </w:r>
      <w:r>
        <w:rPr>
          <w:rFonts w:hint="eastAsia" w:ascii="宋体" w:hAnsi="宋体" w:eastAsia="宋体" w:cs="宋体"/>
          <w:sz w:val="24"/>
          <w:szCs w:val="24"/>
        </w:rPr>
        <w:t>将按照本合同向</w:t>
      </w:r>
      <w:r>
        <w:rPr>
          <w:rFonts w:hint="eastAsia" w:ascii="宋体" w:hAnsi="宋体" w:eastAsia="宋体" w:cs="宋体"/>
          <w:sz w:val="24"/>
          <w:szCs w:val="24"/>
          <w:lang w:eastAsia="zh-CN"/>
        </w:rPr>
        <w:t>乙</w:t>
      </w:r>
      <w:r>
        <w:rPr>
          <w:rFonts w:hint="eastAsia" w:ascii="宋体" w:hAnsi="宋体" w:eastAsia="宋体" w:cs="宋体"/>
          <w:sz w:val="24"/>
          <w:szCs w:val="24"/>
        </w:rPr>
        <w:t>方支付货款，</w:t>
      </w:r>
      <w:r>
        <w:rPr>
          <w:rFonts w:hint="eastAsia" w:ascii="宋体" w:hAnsi="宋体" w:eastAsia="宋体" w:cs="宋体"/>
          <w:sz w:val="24"/>
          <w:szCs w:val="24"/>
          <w:lang w:eastAsia="zh-CN"/>
        </w:rPr>
        <w:t>乙</w:t>
      </w:r>
      <w:r>
        <w:rPr>
          <w:rFonts w:hint="eastAsia" w:ascii="宋体" w:hAnsi="宋体" w:eastAsia="宋体" w:cs="宋体"/>
          <w:sz w:val="24"/>
          <w:szCs w:val="24"/>
        </w:rPr>
        <w:t>方在此保证全部按照合同的规定向</w:t>
      </w:r>
      <w:r>
        <w:rPr>
          <w:rFonts w:hint="eastAsia" w:ascii="宋体" w:hAnsi="宋体" w:eastAsia="宋体" w:cs="宋体"/>
          <w:sz w:val="24"/>
          <w:szCs w:val="24"/>
          <w:lang w:eastAsia="zh-CN"/>
        </w:rPr>
        <w:t>甲</w:t>
      </w:r>
      <w:r>
        <w:rPr>
          <w:rFonts w:hint="eastAsia" w:ascii="宋体" w:hAnsi="宋体" w:eastAsia="宋体" w:cs="宋体"/>
          <w:sz w:val="24"/>
          <w:szCs w:val="24"/>
        </w:rPr>
        <w:t>方提供货物，并修补缺陷。</w:t>
      </w:r>
    </w:p>
    <w:p w14:paraId="76B3303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4、考虑到</w:t>
      </w:r>
      <w:r>
        <w:rPr>
          <w:rFonts w:hint="eastAsia" w:ascii="宋体" w:hAnsi="宋体" w:eastAsia="宋体" w:cs="宋体"/>
          <w:sz w:val="24"/>
          <w:szCs w:val="24"/>
          <w:lang w:eastAsia="zh-CN"/>
        </w:rPr>
        <w:t>乙</w:t>
      </w:r>
      <w:r>
        <w:rPr>
          <w:rFonts w:hint="eastAsia" w:ascii="宋体" w:hAnsi="宋体" w:eastAsia="宋体" w:cs="宋体"/>
          <w:sz w:val="24"/>
          <w:szCs w:val="24"/>
        </w:rPr>
        <w:t>方提供的货物并修补缺陷，</w:t>
      </w:r>
      <w:r>
        <w:rPr>
          <w:rFonts w:hint="eastAsia" w:ascii="宋体" w:hAnsi="宋体" w:eastAsia="宋体" w:cs="宋体"/>
          <w:sz w:val="24"/>
          <w:szCs w:val="24"/>
          <w:lang w:eastAsia="zh-CN"/>
        </w:rPr>
        <w:t>甲</w:t>
      </w:r>
      <w:r>
        <w:rPr>
          <w:rFonts w:hint="eastAsia" w:ascii="宋体" w:hAnsi="宋体" w:eastAsia="宋体" w:cs="宋体"/>
          <w:sz w:val="24"/>
          <w:szCs w:val="24"/>
        </w:rPr>
        <w:t>方在此保证按照合同规定的时间和方式向</w:t>
      </w:r>
      <w:r>
        <w:rPr>
          <w:rFonts w:hint="eastAsia" w:ascii="宋体" w:hAnsi="宋体" w:eastAsia="宋体" w:cs="宋体"/>
          <w:sz w:val="24"/>
          <w:szCs w:val="24"/>
          <w:lang w:eastAsia="zh-CN"/>
        </w:rPr>
        <w:t>乙</w:t>
      </w:r>
      <w:r>
        <w:rPr>
          <w:rFonts w:hint="eastAsia" w:ascii="宋体" w:hAnsi="宋体" w:eastAsia="宋体" w:cs="宋体"/>
          <w:sz w:val="24"/>
          <w:szCs w:val="24"/>
        </w:rPr>
        <w:t>方支付合同价或其他按合同规定应支付的金额。</w:t>
      </w:r>
    </w:p>
    <w:p w14:paraId="4499560A">
      <w:pPr>
        <w:spacing w:line="56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5、付款方式：</w:t>
      </w:r>
    </w:p>
    <w:p w14:paraId="0879A17E">
      <w:pPr>
        <w:adjustRightInd w:val="0"/>
        <w:snapToGrid w:val="0"/>
        <w:spacing w:line="56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按招标价格以配送学校每月实际用量据实结算，每月结算一次，如遇特殊情况顺延，因乙方手续不齐全或其它缘故，逾期未能结算的，将放置下一个结算日期结算。</w:t>
      </w:r>
    </w:p>
    <w:p w14:paraId="3D0AB58A">
      <w:pPr>
        <w:adjustRightInd w:val="0"/>
        <w:snapToGrid w:val="0"/>
        <w:spacing w:line="560" w:lineRule="exact"/>
        <w:ind w:firstLine="480" w:firstLineChars="200"/>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6、结算方式：按实结算。</w:t>
      </w:r>
    </w:p>
    <w:p w14:paraId="31DD1549">
      <w:pPr>
        <w:adjustRightInd w:val="0"/>
        <w:snapToGrid w:val="0"/>
        <w:spacing w:line="560" w:lineRule="exact"/>
        <w:ind w:firstLine="480" w:firstLineChars="200"/>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结算价=实际供货总价*[1+(投标报价-最高限价)/最高限价*100%]</w:t>
      </w:r>
    </w:p>
    <w:p w14:paraId="6CD88346">
      <w:pPr>
        <w:adjustRightInd w:val="0"/>
        <w:snapToGrid w:val="0"/>
        <w:spacing w:line="560" w:lineRule="exact"/>
        <w:ind w:firstLine="480" w:firstLineChars="200"/>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产品定价原则：不得高于同时期该产品的市场平均价。</w:t>
      </w:r>
    </w:p>
    <w:p w14:paraId="20ACCCCF">
      <w:pPr>
        <w:adjustRightInd w:val="0"/>
        <w:snapToGrid w:val="0"/>
        <w:spacing w:line="56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合同履行期限</w:t>
      </w:r>
      <w:r>
        <w:rPr>
          <w:rFonts w:hint="eastAsia" w:ascii="宋体" w:hAnsi="宋体" w:eastAsia="宋体" w:cs="宋体"/>
          <w:sz w:val="24"/>
          <w:szCs w:val="24"/>
        </w:rPr>
        <w:t>：</w:t>
      </w:r>
    </w:p>
    <w:p w14:paraId="7884DEF7">
      <w:pPr>
        <w:adjustRightInd w:val="0"/>
        <w:snapToGrid w:val="0"/>
        <w:spacing w:line="560" w:lineRule="exact"/>
        <w:ind w:firstLine="840" w:firstLineChars="350"/>
        <w:rPr>
          <w:rFonts w:hint="eastAsia" w:ascii="宋体" w:hAnsi="宋体" w:eastAsia="宋体" w:cs="宋体"/>
          <w:sz w:val="24"/>
          <w:szCs w:val="24"/>
          <w:u w:val="single"/>
        </w:rPr>
      </w:pPr>
      <w:r>
        <w:rPr>
          <w:rFonts w:hint="eastAsia" w:ascii="宋体" w:hAnsi="宋体" w:eastAsia="宋体" w:cs="宋体"/>
          <w:sz w:val="24"/>
          <w:szCs w:val="24"/>
        </w:rPr>
        <w:t xml:space="preserve">交货地点： </w:t>
      </w:r>
    </w:p>
    <w:p w14:paraId="3F4CDEEB">
      <w:pPr>
        <w:adjustRightInd w:val="0"/>
        <w:snapToGrid w:val="0"/>
        <w:spacing w:line="56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、本合同一式肆份，其中</w:t>
      </w:r>
      <w:r>
        <w:rPr>
          <w:rFonts w:hint="eastAsia" w:ascii="宋体" w:hAnsi="宋体" w:eastAsia="宋体" w:cs="宋体"/>
          <w:sz w:val="24"/>
          <w:szCs w:val="24"/>
          <w:lang w:eastAsia="zh-CN"/>
        </w:rPr>
        <w:t>甲</w:t>
      </w:r>
      <w:r>
        <w:rPr>
          <w:rFonts w:hint="eastAsia" w:ascii="宋体" w:hAnsi="宋体" w:eastAsia="宋体" w:cs="宋体"/>
          <w:sz w:val="24"/>
          <w:szCs w:val="24"/>
        </w:rPr>
        <w:t>方贰份，</w:t>
      </w:r>
      <w:r>
        <w:rPr>
          <w:rFonts w:hint="eastAsia" w:ascii="宋体" w:hAnsi="宋体" w:eastAsia="宋体" w:cs="宋体"/>
          <w:sz w:val="24"/>
          <w:szCs w:val="24"/>
          <w:lang w:eastAsia="zh-CN"/>
        </w:rPr>
        <w:t>乙</w:t>
      </w:r>
      <w:r>
        <w:rPr>
          <w:rFonts w:hint="eastAsia" w:ascii="宋体" w:hAnsi="宋体" w:eastAsia="宋体" w:cs="宋体"/>
          <w:sz w:val="24"/>
          <w:szCs w:val="24"/>
        </w:rPr>
        <w:t>方贰份。</w:t>
      </w:r>
    </w:p>
    <w:p w14:paraId="6DC5A9E8">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、本合同由</w:t>
      </w:r>
      <w:r>
        <w:rPr>
          <w:rFonts w:hint="eastAsia" w:ascii="宋体" w:hAnsi="宋体" w:eastAsia="宋体" w:cs="宋体"/>
          <w:kern w:val="0"/>
          <w:sz w:val="24"/>
          <w:szCs w:val="24"/>
          <w:lang w:eastAsia="zh-CN"/>
        </w:rPr>
        <w:t>甲乙</w:t>
      </w:r>
      <w:r>
        <w:rPr>
          <w:rFonts w:hint="eastAsia" w:ascii="宋体" w:hAnsi="宋体" w:eastAsia="宋体" w:cs="宋体"/>
          <w:kern w:val="0"/>
          <w:sz w:val="24"/>
          <w:szCs w:val="24"/>
        </w:rPr>
        <w:t>双方共同签字盖章，自</w:t>
      </w:r>
      <w:r>
        <w:rPr>
          <w:rFonts w:hint="eastAsia" w:ascii="宋体" w:hAnsi="宋体" w:eastAsia="宋体" w:cs="宋体"/>
          <w:kern w:val="0"/>
          <w:sz w:val="24"/>
          <w:szCs w:val="24"/>
          <w:lang w:eastAsia="zh-CN"/>
        </w:rPr>
        <w:t>双</w:t>
      </w:r>
      <w:r>
        <w:rPr>
          <w:rFonts w:hint="eastAsia" w:ascii="宋体" w:hAnsi="宋体" w:eastAsia="宋体" w:cs="宋体"/>
          <w:kern w:val="0"/>
          <w:sz w:val="24"/>
          <w:szCs w:val="24"/>
        </w:rPr>
        <w:t>方签字盖章之日起生效。</w:t>
      </w:r>
    </w:p>
    <w:tbl>
      <w:tblPr>
        <w:tblStyle w:val="25"/>
        <w:tblpPr w:leftFromText="180" w:rightFromText="180" w:vertAnchor="text" w:horzAnchor="margin" w:tblpX="519" w:tblpY="58"/>
        <w:tblOverlap w:val="never"/>
        <w:tblW w:w="0" w:type="auto"/>
        <w:tblInd w:w="0" w:type="dxa"/>
        <w:tblLayout w:type="fixed"/>
        <w:tblCellMar>
          <w:top w:w="0" w:type="dxa"/>
          <w:left w:w="108" w:type="dxa"/>
          <w:bottom w:w="0" w:type="dxa"/>
          <w:right w:w="108" w:type="dxa"/>
        </w:tblCellMar>
      </w:tblPr>
      <w:tblGrid>
        <w:gridCol w:w="4151"/>
        <w:gridCol w:w="3788"/>
      </w:tblGrid>
      <w:tr w14:paraId="28892EA0">
        <w:tblPrEx>
          <w:tblCellMar>
            <w:top w:w="0" w:type="dxa"/>
            <w:left w:w="108" w:type="dxa"/>
            <w:bottom w:w="0" w:type="dxa"/>
            <w:right w:w="108" w:type="dxa"/>
          </w:tblCellMar>
        </w:tblPrEx>
        <w:trPr>
          <w:trHeight w:val="90" w:hRule="atLeast"/>
        </w:trPr>
        <w:tc>
          <w:tcPr>
            <w:tcW w:w="4151" w:type="dxa"/>
            <w:noWrap w:val="0"/>
            <w:tcMar>
              <w:top w:w="113" w:type="dxa"/>
              <w:left w:w="113" w:type="dxa"/>
              <w:bottom w:w="113" w:type="dxa"/>
              <w:right w:w="113" w:type="dxa"/>
            </w:tcMar>
            <w:vAlign w:val="top"/>
          </w:tcPr>
          <w:p w14:paraId="1A15F829">
            <w:pPr>
              <w:autoSpaceDE w:val="0"/>
              <w:autoSpaceDN w:val="0"/>
              <w:spacing w:line="560" w:lineRule="exact"/>
              <w:ind w:left="210" w:leftChars="100"/>
              <w:rPr>
                <w:rFonts w:hint="eastAsia" w:ascii="宋体" w:hAnsi="宋体" w:eastAsia="宋体" w:cs="宋体"/>
                <w:sz w:val="24"/>
                <w:szCs w:val="24"/>
                <w:u w:val="single"/>
              </w:rPr>
            </w:pPr>
            <w:r>
              <w:rPr>
                <w:rFonts w:hint="eastAsia" w:ascii="宋体" w:hAnsi="宋体" w:eastAsia="宋体" w:cs="宋体"/>
                <w:sz w:val="24"/>
                <w:szCs w:val="24"/>
                <w:lang w:eastAsia="zh-CN"/>
              </w:rPr>
              <w:t>甲</w:t>
            </w:r>
            <w:r>
              <w:rPr>
                <w:rFonts w:hint="eastAsia" w:ascii="宋体" w:hAnsi="宋体" w:eastAsia="宋体" w:cs="宋体"/>
                <w:sz w:val="24"/>
                <w:szCs w:val="24"/>
              </w:rPr>
              <w:t>方名称：</w:t>
            </w:r>
            <w:r>
              <w:rPr>
                <w:rFonts w:hint="eastAsia" w:ascii="宋体" w:hAnsi="宋体" w:eastAsia="宋体" w:cs="宋体"/>
                <w:sz w:val="24"/>
                <w:szCs w:val="24"/>
                <w:u w:val="single"/>
              </w:rPr>
              <w:t xml:space="preserve">        </w:t>
            </w:r>
          </w:p>
          <w:p w14:paraId="2003511B">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37676014">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14:paraId="63730B8E">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04D5AE8D">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32A72250">
            <w:pPr>
              <w:autoSpaceDE w:val="0"/>
              <w:autoSpaceDN w:val="0"/>
              <w:spacing w:line="560" w:lineRule="exact"/>
              <w:ind w:left="210" w:leftChars="100"/>
              <w:rPr>
                <w:rFonts w:hint="eastAsia" w:ascii="宋体" w:hAnsi="宋体" w:eastAsia="宋体" w:cs="宋体"/>
                <w:sz w:val="24"/>
                <w:szCs w:val="24"/>
              </w:rPr>
            </w:pPr>
          </w:p>
          <w:p w14:paraId="6998C6A5">
            <w:pPr>
              <w:autoSpaceDE w:val="0"/>
              <w:autoSpaceDN w:val="0"/>
              <w:spacing w:line="560" w:lineRule="exact"/>
              <w:ind w:left="210" w:leftChars="100"/>
              <w:rPr>
                <w:rFonts w:hint="eastAsia" w:ascii="宋体" w:hAnsi="宋体" w:eastAsia="宋体" w:cs="宋体"/>
                <w:sz w:val="24"/>
                <w:szCs w:val="24"/>
              </w:rPr>
            </w:pPr>
          </w:p>
          <w:p w14:paraId="5CAF5D39">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代表签字：</w:t>
            </w:r>
            <w:r>
              <w:rPr>
                <w:rFonts w:hint="eastAsia" w:ascii="宋体" w:hAnsi="宋体" w:eastAsia="宋体" w:cs="宋体"/>
                <w:sz w:val="24"/>
                <w:szCs w:val="24"/>
                <w:u w:val="single"/>
              </w:rPr>
              <w:t xml:space="preserve">        </w:t>
            </w:r>
          </w:p>
          <w:p w14:paraId="59CC68B5">
            <w:pPr>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盖章：</w:t>
            </w:r>
          </w:p>
          <w:p w14:paraId="28FA8FB1">
            <w:pPr>
              <w:autoSpaceDE w:val="0"/>
              <w:autoSpaceDN w:val="0"/>
              <w:spacing w:line="560" w:lineRule="exact"/>
              <w:rPr>
                <w:rFonts w:hint="eastAsia" w:ascii="宋体" w:hAnsi="宋体" w:eastAsia="宋体" w:cs="宋体"/>
                <w:sz w:val="24"/>
                <w:szCs w:val="24"/>
              </w:rPr>
            </w:pPr>
          </w:p>
          <w:p w14:paraId="1FA7B95D">
            <w:pPr>
              <w:autoSpaceDE w:val="0"/>
              <w:autoSpaceDN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年  月  日      </w:t>
            </w:r>
          </w:p>
          <w:p w14:paraId="32B815F3">
            <w:pPr>
              <w:autoSpaceDE w:val="0"/>
              <w:autoSpaceDN w:val="0"/>
              <w:spacing w:line="560" w:lineRule="exact"/>
              <w:rPr>
                <w:rFonts w:hint="eastAsia" w:ascii="宋体" w:hAnsi="宋体" w:eastAsia="宋体" w:cs="宋体"/>
                <w:sz w:val="24"/>
                <w:szCs w:val="24"/>
              </w:rPr>
            </w:pPr>
          </w:p>
        </w:tc>
        <w:tc>
          <w:tcPr>
            <w:tcW w:w="3788" w:type="dxa"/>
            <w:noWrap w:val="0"/>
            <w:tcMar>
              <w:top w:w="113" w:type="dxa"/>
              <w:left w:w="113" w:type="dxa"/>
              <w:bottom w:w="113" w:type="dxa"/>
              <w:right w:w="113" w:type="dxa"/>
            </w:tcMar>
            <w:vAlign w:val="top"/>
          </w:tcPr>
          <w:p w14:paraId="2D211DE4">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lang w:eastAsia="zh-CN"/>
              </w:rPr>
              <w:t>乙</w:t>
            </w:r>
            <w:r>
              <w:rPr>
                <w:rFonts w:hint="eastAsia" w:ascii="宋体" w:hAnsi="宋体" w:eastAsia="宋体" w:cs="宋体"/>
                <w:sz w:val="24"/>
                <w:szCs w:val="24"/>
              </w:rPr>
              <w:t>方名称：</w:t>
            </w:r>
            <w:r>
              <w:rPr>
                <w:rFonts w:hint="eastAsia" w:ascii="宋体" w:hAnsi="宋体" w:eastAsia="宋体" w:cs="宋体"/>
                <w:sz w:val="24"/>
                <w:szCs w:val="24"/>
                <w:u w:val="single"/>
              </w:rPr>
              <w:t xml:space="preserve">        </w:t>
            </w:r>
          </w:p>
          <w:p w14:paraId="64D7B08D">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7A68E9A4">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14:paraId="33C53E6B">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04399780">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459FD92B">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p>
          <w:p w14:paraId="57C5CF16">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14:paraId="5C239959">
            <w:pPr>
              <w:autoSpaceDE w:val="0"/>
              <w:autoSpaceDN w:val="0"/>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代表签字：</w:t>
            </w:r>
          </w:p>
          <w:p w14:paraId="5785DD13">
            <w:pPr>
              <w:spacing w:line="560" w:lineRule="exact"/>
              <w:ind w:left="210" w:leftChars="100"/>
              <w:rPr>
                <w:rFonts w:hint="eastAsia" w:ascii="宋体" w:hAnsi="宋体" w:eastAsia="宋体" w:cs="宋体"/>
                <w:sz w:val="24"/>
                <w:szCs w:val="24"/>
              </w:rPr>
            </w:pPr>
            <w:r>
              <w:rPr>
                <w:rFonts w:hint="eastAsia" w:ascii="宋体" w:hAnsi="宋体" w:eastAsia="宋体" w:cs="宋体"/>
                <w:sz w:val="24"/>
                <w:szCs w:val="24"/>
              </w:rPr>
              <w:t>盖章：</w:t>
            </w:r>
          </w:p>
          <w:p w14:paraId="276C14A9">
            <w:pPr>
              <w:spacing w:line="560" w:lineRule="exact"/>
              <w:ind w:left="210" w:leftChars="100"/>
              <w:rPr>
                <w:rFonts w:hint="eastAsia" w:ascii="宋体" w:hAnsi="宋体" w:eastAsia="宋体" w:cs="宋体"/>
                <w:sz w:val="24"/>
                <w:szCs w:val="24"/>
              </w:rPr>
            </w:pPr>
          </w:p>
          <w:p w14:paraId="7CB365C8">
            <w:pPr>
              <w:spacing w:line="560" w:lineRule="exact"/>
              <w:ind w:left="210" w:leftChars="100" w:firstLine="1680" w:firstLineChars="700"/>
              <w:rPr>
                <w:rFonts w:hint="eastAsia" w:ascii="宋体" w:hAnsi="宋体" w:eastAsia="宋体" w:cs="宋体"/>
                <w:sz w:val="24"/>
                <w:szCs w:val="24"/>
              </w:rPr>
            </w:pPr>
            <w:r>
              <w:rPr>
                <w:rFonts w:hint="eastAsia" w:ascii="宋体" w:hAnsi="宋体" w:eastAsia="宋体" w:cs="宋体"/>
                <w:sz w:val="24"/>
                <w:szCs w:val="24"/>
              </w:rPr>
              <w:t>年  月  日</w:t>
            </w:r>
          </w:p>
        </w:tc>
      </w:tr>
      <w:bookmarkEnd w:id="69"/>
      <w:bookmarkEnd w:id="70"/>
      <w:bookmarkEnd w:id="71"/>
      <w:bookmarkEnd w:id="72"/>
    </w:tbl>
    <w:p w14:paraId="1FC58B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二、合同条款</w:t>
      </w:r>
    </w:p>
    <w:p w14:paraId="58723A95">
      <w:pPr>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定义</w:t>
      </w:r>
    </w:p>
    <w:p w14:paraId="2120D41C">
      <w:pPr>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本合同下列术语应解释为：</w:t>
      </w:r>
    </w:p>
    <w:p w14:paraId="2B189AD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“合同”系指买卖双方签署的、合同格式中载明的</w:t>
      </w:r>
      <w:r>
        <w:rPr>
          <w:rFonts w:hint="eastAsia" w:ascii="宋体" w:hAnsi="宋体" w:eastAsia="宋体" w:cs="宋体"/>
          <w:sz w:val="24"/>
          <w:szCs w:val="24"/>
          <w:lang w:eastAsia="zh-CN"/>
        </w:rPr>
        <w:t>甲乙</w:t>
      </w:r>
      <w:r>
        <w:rPr>
          <w:rFonts w:hint="eastAsia" w:ascii="宋体" w:hAnsi="宋体" w:eastAsia="宋体" w:cs="宋体"/>
          <w:sz w:val="24"/>
          <w:szCs w:val="24"/>
        </w:rPr>
        <w:t>双方所达成的协议，包括所有的附件、附录和招标文件所提到的构成合同的所有文件。</w:t>
      </w:r>
    </w:p>
    <w:p w14:paraId="42E8EE3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“合同价”系指根据本合同规定</w:t>
      </w:r>
      <w:r>
        <w:rPr>
          <w:rFonts w:hint="eastAsia" w:ascii="宋体" w:hAnsi="宋体" w:eastAsia="宋体" w:cs="宋体"/>
          <w:sz w:val="24"/>
          <w:szCs w:val="24"/>
          <w:lang w:eastAsia="zh-CN"/>
        </w:rPr>
        <w:t>乙</w:t>
      </w:r>
      <w:r>
        <w:rPr>
          <w:rFonts w:hint="eastAsia" w:ascii="宋体" w:hAnsi="宋体" w:eastAsia="宋体" w:cs="宋体"/>
          <w:sz w:val="24"/>
          <w:szCs w:val="24"/>
        </w:rPr>
        <w:t>方在正确地完全履行合同义务后</w:t>
      </w:r>
      <w:r>
        <w:rPr>
          <w:rFonts w:hint="eastAsia" w:ascii="宋体" w:hAnsi="宋体" w:eastAsia="宋体" w:cs="宋体"/>
          <w:sz w:val="24"/>
          <w:szCs w:val="24"/>
          <w:lang w:eastAsia="zh-CN"/>
        </w:rPr>
        <w:t>甲</w:t>
      </w:r>
      <w:r>
        <w:rPr>
          <w:rFonts w:hint="eastAsia" w:ascii="宋体" w:hAnsi="宋体" w:eastAsia="宋体" w:cs="宋体"/>
          <w:sz w:val="24"/>
          <w:szCs w:val="24"/>
        </w:rPr>
        <w:t>方应支付给</w:t>
      </w:r>
      <w:r>
        <w:rPr>
          <w:rFonts w:hint="eastAsia" w:ascii="宋体" w:hAnsi="宋体" w:eastAsia="宋体" w:cs="宋体"/>
          <w:sz w:val="24"/>
          <w:szCs w:val="24"/>
          <w:lang w:eastAsia="zh-CN"/>
        </w:rPr>
        <w:t>乙</w:t>
      </w:r>
      <w:r>
        <w:rPr>
          <w:rFonts w:hint="eastAsia" w:ascii="宋体" w:hAnsi="宋体" w:eastAsia="宋体" w:cs="宋体"/>
          <w:sz w:val="24"/>
          <w:szCs w:val="24"/>
        </w:rPr>
        <w:t>方的价款。</w:t>
      </w:r>
    </w:p>
    <w:p w14:paraId="57761CC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“货物”系指</w:t>
      </w:r>
      <w:r>
        <w:rPr>
          <w:rFonts w:hint="eastAsia" w:ascii="宋体" w:hAnsi="宋体" w:eastAsia="宋体" w:cs="宋体"/>
          <w:sz w:val="24"/>
          <w:szCs w:val="24"/>
          <w:lang w:eastAsia="zh-CN"/>
        </w:rPr>
        <w:t>乙</w:t>
      </w:r>
      <w:r>
        <w:rPr>
          <w:rFonts w:hint="eastAsia" w:ascii="宋体" w:hAnsi="宋体" w:eastAsia="宋体" w:cs="宋体"/>
          <w:sz w:val="24"/>
          <w:szCs w:val="24"/>
        </w:rPr>
        <w:t>方根据本合同规定须向</w:t>
      </w:r>
      <w:r>
        <w:rPr>
          <w:rFonts w:hint="eastAsia" w:ascii="宋体" w:hAnsi="宋体" w:eastAsia="宋体" w:cs="宋体"/>
          <w:sz w:val="24"/>
          <w:szCs w:val="24"/>
          <w:lang w:eastAsia="zh-CN"/>
        </w:rPr>
        <w:t>甲</w:t>
      </w:r>
      <w:r>
        <w:rPr>
          <w:rFonts w:hint="eastAsia" w:ascii="宋体" w:hAnsi="宋体" w:eastAsia="宋体" w:cs="宋体"/>
          <w:sz w:val="24"/>
          <w:szCs w:val="24"/>
        </w:rPr>
        <w:t>方提供的一切产品、部件或其它材料。</w:t>
      </w:r>
    </w:p>
    <w:p w14:paraId="76C8112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“服务”系指根据本合同规定</w:t>
      </w:r>
      <w:r>
        <w:rPr>
          <w:rFonts w:hint="eastAsia" w:ascii="宋体" w:hAnsi="宋体" w:eastAsia="宋体" w:cs="宋体"/>
          <w:sz w:val="24"/>
          <w:szCs w:val="24"/>
          <w:lang w:eastAsia="zh-CN"/>
        </w:rPr>
        <w:t>乙</w:t>
      </w:r>
      <w:r>
        <w:rPr>
          <w:rFonts w:hint="eastAsia" w:ascii="宋体" w:hAnsi="宋体" w:eastAsia="宋体" w:cs="宋体"/>
          <w:sz w:val="24"/>
          <w:szCs w:val="24"/>
        </w:rPr>
        <w:t>方承担与供货有关的辅助服务如运输、保险以及其它的伴随服务，例如合同中规定</w:t>
      </w:r>
      <w:r>
        <w:rPr>
          <w:rFonts w:hint="eastAsia" w:ascii="宋体" w:hAnsi="宋体" w:eastAsia="宋体" w:cs="宋体"/>
          <w:sz w:val="24"/>
          <w:szCs w:val="24"/>
          <w:lang w:eastAsia="zh-CN"/>
        </w:rPr>
        <w:t>乙</w:t>
      </w:r>
      <w:r>
        <w:rPr>
          <w:rFonts w:hint="eastAsia" w:ascii="宋体" w:hAnsi="宋体" w:eastAsia="宋体" w:cs="宋体"/>
          <w:sz w:val="24"/>
          <w:szCs w:val="24"/>
        </w:rPr>
        <w:t>方应承担的其它义务。</w:t>
      </w:r>
    </w:p>
    <w:p w14:paraId="2CDF9AA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kern w:val="0"/>
          <w:sz w:val="24"/>
          <w:szCs w:val="24"/>
        </w:rPr>
        <w:t>项目现场”系指本合同项下</w:t>
      </w:r>
      <w:r>
        <w:rPr>
          <w:rFonts w:hint="eastAsia" w:ascii="宋体" w:hAnsi="宋体" w:eastAsia="宋体" w:cs="宋体"/>
          <w:kern w:val="0"/>
          <w:sz w:val="24"/>
          <w:szCs w:val="24"/>
          <w:lang w:eastAsia="zh-CN"/>
        </w:rPr>
        <w:t>配送</w:t>
      </w:r>
      <w:r>
        <w:rPr>
          <w:rFonts w:hint="eastAsia" w:ascii="宋体" w:hAnsi="宋体" w:eastAsia="宋体" w:cs="宋体"/>
          <w:kern w:val="0"/>
          <w:sz w:val="24"/>
          <w:szCs w:val="24"/>
        </w:rPr>
        <w:t>的场地。</w:t>
      </w:r>
    </w:p>
    <w:p w14:paraId="176491F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“合同条款”系指本合同条款。</w:t>
      </w:r>
    </w:p>
    <w:p w14:paraId="5A5E80E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甲</w:t>
      </w:r>
      <w:r>
        <w:rPr>
          <w:rFonts w:hint="eastAsia" w:ascii="宋体" w:hAnsi="宋体" w:eastAsia="宋体" w:cs="宋体"/>
          <w:sz w:val="24"/>
          <w:szCs w:val="24"/>
        </w:rPr>
        <w:t>方”是指购买货物的单位。</w:t>
      </w:r>
    </w:p>
    <w:p w14:paraId="78B23C8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乙</w:t>
      </w:r>
      <w:r>
        <w:rPr>
          <w:rFonts w:hint="eastAsia" w:ascii="宋体" w:hAnsi="宋体" w:eastAsia="宋体" w:cs="宋体"/>
          <w:sz w:val="24"/>
          <w:szCs w:val="24"/>
        </w:rPr>
        <w:t>方”是指提供本合同内的货物的法人或其他组织即中标人。</w:t>
      </w:r>
    </w:p>
    <w:p w14:paraId="0B6B744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“天”指日历天数。</w:t>
      </w:r>
    </w:p>
    <w:p w14:paraId="32B34AA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适用性</w:t>
      </w:r>
    </w:p>
    <w:p w14:paraId="133F1EA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本合同条款适用于没有被本项目招标文件规定条款、</w:t>
      </w:r>
      <w:r>
        <w:rPr>
          <w:rFonts w:hint="eastAsia" w:ascii="宋体" w:hAnsi="宋体" w:eastAsia="宋体" w:cs="宋体"/>
          <w:sz w:val="24"/>
          <w:szCs w:val="24"/>
          <w:lang w:eastAsia="zh-CN"/>
        </w:rPr>
        <w:t>乙方</w:t>
      </w:r>
      <w:r>
        <w:rPr>
          <w:rFonts w:hint="eastAsia" w:ascii="宋体" w:hAnsi="宋体" w:eastAsia="宋体" w:cs="宋体"/>
          <w:sz w:val="24"/>
          <w:szCs w:val="24"/>
        </w:rPr>
        <w:t>的投标文件承诺条款所取代的范围。</w:t>
      </w:r>
    </w:p>
    <w:p w14:paraId="531E848C">
      <w:pPr>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sz w:val="24"/>
          <w:szCs w:val="24"/>
        </w:rPr>
        <w:t>使用合同文件和资料</w:t>
      </w:r>
    </w:p>
    <w:p w14:paraId="4642B4B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.1</w:t>
      </w:r>
      <w:r>
        <w:rPr>
          <w:rFonts w:hint="eastAsia" w:ascii="宋体" w:hAnsi="宋体" w:eastAsia="宋体" w:cs="宋体"/>
          <w:sz w:val="24"/>
          <w:szCs w:val="24"/>
        </w:rPr>
        <w:t>没有</w:t>
      </w:r>
      <w:r>
        <w:rPr>
          <w:rFonts w:hint="eastAsia" w:ascii="宋体" w:hAnsi="宋体" w:eastAsia="宋体" w:cs="宋体"/>
          <w:sz w:val="24"/>
          <w:szCs w:val="24"/>
          <w:lang w:eastAsia="zh-CN"/>
        </w:rPr>
        <w:t>甲</w:t>
      </w:r>
      <w:r>
        <w:rPr>
          <w:rFonts w:hint="eastAsia" w:ascii="宋体" w:hAnsi="宋体" w:eastAsia="宋体" w:cs="宋体"/>
          <w:sz w:val="24"/>
          <w:szCs w:val="24"/>
        </w:rPr>
        <w:t>方事先书面同意，</w:t>
      </w:r>
      <w:r>
        <w:rPr>
          <w:rFonts w:hint="eastAsia" w:ascii="宋体" w:hAnsi="宋体" w:eastAsia="宋体" w:cs="宋体"/>
          <w:sz w:val="24"/>
          <w:szCs w:val="24"/>
          <w:lang w:eastAsia="zh-CN"/>
        </w:rPr>
        <w:t>乙</w:t>
      </w:r>
      <w:r>
        <w:rPr>
          <w:rFonts w:hint="eastAsia" w:ascii="宋体" w:hAnsi="宋体" w:eastAsia="宋体" w:cs="宋体"/>
          <w:sz w:val="24"/>
          <w:szCs w:val="24"/>
        </w:rPr>
        <w:t>方不得将</w:t>
      </w:r>
      <w:r>
        <w:rPr>
          <w:rFonts w:hint="eastAsia" w:ascii="宋体" w:hAnsi="宋体" w:eastAsia="宋体" w:cs="宋体"/>
          <w:sz w:val="24"/>
          <w:szCs w:val="24"/>
          <w:lang w:eastAsia="zh-CN"/>
        </w:rPr>
        <w:t>甲</w:t>
      </w:r>
      <w:r>
        <w:rPr>
          <w:rFonts w:hint="eastAsia" w:ascii="宋体" w:hAnsi="宋体" w:eastAsia="宋体" w:cs="宋体"/>
          <w:sz w:val="24"/>
          <w:szCs w:val="24"/>
        </w:rPr>
        <w:t>方或代表</w:t>
      </w:r>
      <w:r>
        <w:rPr>
          <w:rFonts w:hint="eastAsia" w:ascii="宋体" w:hAnsi="宋体" w:eastAsia="宋体" w:cs="宋体"/>
          <w:sz w:val="24"/>
          <w:szCs w:val="24"/>
          <w:lang w:eastAsia="zh-CN"/>
        </w:rPr>
        <w:t>甲</w:t>
      </w:r>
      <w:r>
        <w:rPr>
          <w:rFonts w:hint="eastAsia" w:ascii="宋体" w:hAnsi="宋体" w:eastAsia="宋体" w:cs="宋体"/>
          <w:sz w:val="24"/>
          <w:szCs w:val="24"/>
        </w:rPr>
        <w:t>方提供的有关合同或任何合同条文、规格、计划或资料提供给与履行本合同无关的任何其他人，即使向与履行本合同有关的人员提供，也应注意保密并限于履行合同必须的范围。</w:t>
      </w:r>
    </w:p>
    <w:p w14:paraId="0595717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没有</w:t>
      </w:r>
      <w:r>
        <w:rPr>
          <w:rFonts w:hint="eastAsia" w:ascii="宋体" w:hAnsi="宋体" w:eastAsia="宋体" w:cs="宋体"/>
          <w:sz w:val="24"/>
          <w:szCs w:val="24"/>
          <w:lang w:eastAsia="zh-CN"/>
        </w:rPr>
        <w:t>甲</w:t>
      </w:r>
      <w:r>
        <w:rPr>
          <w:rFonts w:hint="eastAsia" w:ascii="宋体" w:hAnsi="宋体" w:eastAsia="宋体" w:cs="宋体"/>
          <w:sz w:val="24"/>
          <w:szCs w:val="24"/>
        </w:rPr>
        <w:t>方事先书面同意，除了履行本合同之外，</w:t>
      </w:r>
      <w:r>
        <w:rPr>
          <w:rFonts w:hint="eastAsia" w:ascii="宋体" w:hAnsi="宋体" w:eastAsia="宋体" w:cs="宋体"/>
          <w:sz w:val="24"/>
          <w:szCs w:val="24"/>
          <w:lang w:eastAsia="zh-CN"/>
        </w:rPr>
        <w:t>乙</w:t>
      </w:r>
      <w:r>
        <w:rPr>
          <w:rFonts w:hint="eastAsia" w:ascii="宋体" w:hAnsi="宋体" w:eastAsia="宋体" w:cs="宋体"/>
          <w:sz w:val="24"/>
          <w:szCs w:val="24"/>
        </w:rPr>
        <w:t>方不应使用合同条款所列举的任何文件和资料。</w:t>
      </w:r>
    </w:p>
    <w:p w14:paraId="5D46DE1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除了合同本身以外，合同条款所列举的任何文件是</w:t>
      </w:r>
      <w:r>
        <w:rPr>
          <w:rFonts w:hint="eastAsia" w:ascii="宋体" w:hAnsi="宋体" w:eastAsia="宋体" w:cs="宋体"/>
          <w:sz w:val="24"/>
          <w:szCs w:val="24"/>
          <w:lang w:eastAsia="zh-CN"/>
        </w:rPr>
        <w:t>甲</w:t>
      </w:r>
      <w:r>
        <w:rPr>
          <w:rFonts w:hint="eastAsia" w:ascii="宋体" w:hAnsi="宋体" w:eastAsia="宋体" w:cs="宋体"/>
          <w:sz w:val="24"/>
          <w:szCs w:val="24"/>
        </w:rPr>
        <w:t>方的财产。如果</w:t>
      </w:r>
      <w:r>
        <w:rPr>
          <w:rFonts w:hint="eastAsia" w:ascii="宋体" w:hAnsi="宋体" w:eastAsia="宋体" w:cs="宋体"/>
          <w:sz w:val="24"/>
          <w:szCs w:val="24"/>
          <w:lang w:eastAsia="zh-CN"/>
        </w:rPr>
        <w:t>甲</w:t>
      </w:r>
      <w:r>
        <w:rPr>
          <w:rFonts w:hint="eastAsia" w:ascii="宋体" w:hAnsi="宋体" w:eastAsia="宋体" w:cs="宋体"/>
          <w:sz w:val="24"/>
          <w:szCs w:val="24"/>
        </w:rPr>
        <w:t>方有要求，</w:t>
      </w:r>
      <w:r>
        <w:rPr>
          <w:rFonts w:hint="eastAsia" w:ascii="宋体" w:hAnsi="宋体" w:eastAsia="宋体" w:cs="宋体"/>
          <w:sz w:val="24"/>
          <w:szCs w:val="24"/>
          <w:lang w:eastAsia="zh-CN"/>
        </w:rPr>
        <w:t>乙</w:t>
      </w:r>
      <w:r>
        <w:rPr>
          <w:rFonts w:hint="eastAsia" w:ascii="宋体" w:hAnsi="宋体" w:eastAsia="宋体" w:cs="宋体"/>
          <w:sz w:val="24"/>
          <w:szCs w:val="24"/>
        </w:rPr>
        <w:t>方在完成合同后应将这些文件及全部复制件还给</w:t>
      </w:r>
      <w:r>
        <w:rPr>
          <w:rFonts w:hint="eastAsia" w:ascii="宋体" w:hAnsi="宋体" w:eastAsia="宋体" w:cs="宋体"/>
          <w:sz w:val="24"/>
          <w:szCs w:val="24"/>
          <w:lang w:eastAsia="zh-CN"/>
        </w:rPr>
        <w:t>甲方</w:t>
      </w:r>
      <w:r>
        <w:rPr>
          <w:rFonts w:hint="eastAsia" w:ascii="宋体" w:hAnsi="宋体" w:eastAsia="宋体" w:cs="宋体"/>
          <w:sz w:val="24"/>
          <w:szCs w:val="24"/>
        </w:rPr>
        <w:t>。</w:t>
      </w:r>
    </w:p>
    <w:p w14:paraId="27E2A83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4.包装、</w:t>
      </w:r>
      <w:r>
        <w:rPr>
          <w:rFonts w:hint="eastAsia" w:ascii="宋体" w:hAnsi="宋体" w:eastAsia="宋体" w:cs="宋体"/>
          <w:sz w:val="24"/>
          <w:szCs w:val="24"/>
        </w:rPr>
        <w:t>运输</w:t>
      </w:r>
    </w:p>
    <w:p w14:paraId="5FD60556">
      <w:pPr>
        <w:spacing w:line="640" w:lineRule="exact"/>
        <w:ind w:firstLine="480" w:firstLineChars="200"/>
        <w:outlineLvl w:val="1"/>
        <w:rPr>
          <w:rFonts w:hint="eastAsia" w:ascii="宋体" w:hAnsi="宋体" w:eastAsia="宋体" w:cs="宋体"/>
          <w:b w:val="0"/>
          <w:bCs/>
          <w:sz w:val="24"/>
          <w:szCs w:val="24"/>
        </w:rPr>
      </w:pPr>
      <w:r>
        <w:rPr>
          <w:rFonts w:hint="eastAsia" w:ascii="宋体" w:hAnsi="宋体" w:cs="宋体"/>
          <w:b w:val="0"/>
          <w:bCs/>
          <w:sz w:val="24"/>
          <w:szCs w:val="24"/>
          <w:lang w:val="en-US" w:eastAsia="zh-CN"/>
        </w:rPr>
        <w:t>4.1</w:t>
      </w:r>
      <w:r>
        <w:rPr>
          <w:rFonts w:hint="eastAsia" w:ascii="宋体" w:hAnsi="宋体" w:eastAsia="宋体" w:cs="宋体"/>
          <w:b w:val="0"/>
          <w:bCs/>
          <w:sz w:val="24"/>
          <w:szCs w:val="24"/>
        </w:rPr>
        <w:t>包装：应采取防潮、防晒、防腐蚀、防震动及防止其它损坏的必要措施。中标人应承担由于其包装或防护措施不妥而引起的货物锈蚀、损坏和丢失等任何损失造成的责任或费用。</w:t>
      </w:r>
    </w:p>
    <w:p w14:paraId="17AE8234">
      <w:pPr>
        <w:spacing w:line="640" w:lineRule="exact"/>
        <w:ind w:firstLine="480" w:firstLineChars="200"/>
        <w:outlineLvl w:val="1"/>
        <w:rPr>
          <w:rFonts w:hint="eastAsia" w:ascii="宋体" w:hAnsi="宋体" w:eastAsia="宋体" w:cs="宋体"/>
          <w:b w:val="0"/>
          <w:bCs/>
          <w:sz w:val="24"/>
          <w:szCs w:val="24"/>
        </w:rPr>
      </w:pPr>
      <w:r>
        <w:rPr>
          <w:rFonts w:hint="eastAsia" w:ascii="宋体" w:hAnsi="宋体" w:cs="宋体"/>
          <w:b w:val="0"/>
          <w:bCs/>
          <w:sz w:val="24"/>
          <w:szCs w:val="24"/>
          <w:lang w:val="en-US" w:eastAsia="zh-CN"/>
        </w:rPr>
        <w:t>4.2</w:t>
      </w:r>
      <w:r>
        <w:rPr>
          <w:rFonts w:hint="eastAsia" w:ascii="宋体" w:hAnsi="宋体" w:eastAsia="宋体" w:cs="宋体"/>
          <w:b w:val="0"/>
          <w:bCs/>
          <w:sz w:val="24"/>
          <w:szCs w:val="24"/>
        </w:rPr>
        <w:t>运输：选择运输风险小、运费低、距离短的运输路线。运杂费一次包死在总价内，包括生产厂到配送地点所需的装卸、运输（含保险费）、现场保管费、二次倒运费等费用。</w:t>
      </w:r>
    </w:p>
    <w:p w14:paraId="05263DD6">
      <w:pPr>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质量保证</w:t>
      </w:r>
    </w:p>
    <w:p w14:paraId="465F2F33">
      <w:pPr>
        <w:spacing w:line="640" w:lineRule="exact"/>
        <w:ind w:firstLine="480" w:firstLineChars="200"/>
        <w:outlineLvl w:val="1"/>
        <w:rPr>
          <w:rFonts w:hint="eastAsia" w:ascii="宋体" w:hAnsi="宋体" w:eastAsia="宋体" w:cs="宋体"/>
          <w:b w:val="0"/>
          <w:bCs/>
          <w:sz w:val="24"/>
          <w:szCs w:val="24"/>
        </w:rPr>
      </w:pPr>
      <w:r>
        <w:rPr>
          <w:rFonts w:hint="eastAsia" w:ascii="宋体" w:hAnsi="宋体" w:cs="宋体"/>
          <w:b w:val="0"/>
          <w:bCs/>
          <w:sz w:val="24"/>
          <w:szCs w:val="24"/>
          <w:lang w:val="en-US" w:eastAsia="zh-CN"/>
        </w:rPr>
        <w:t>5.1</w:t>
      </w:r>
      <w:r>
        <w:rPr>
          <w:rFonts w:hint="eastAsia" w:ascii="宋体" w:hAnsi="宋体" w:eastAsia="宋体" w:cs="宋体"/>
          <w:b w:val="0"/>
          <w:bCs/>
          <w:sz w:val="24"/>
          <w:szCs w:val="24"/>
        </w:rPr>
        <w:t>中标人承诺的质保期起始时间为生产之日起。</w:t>
      </w:r>
    </w:p>
    <w:p w14:paraId="4E494A03">
      <w:pPr>
        <w:spacing w:line="640" w:lineRule="exact"/>
        <w:ind w:firstLine="480" w:firstLineChars="200"/>
        <w:outlineLvl w:val="1"/>
        <w:rPr>
          <w:rFonts w:hint="eastAsia" w:ascii="宋体" w:hAnsi="宋体" w:eastAsia="宋体" w:cs="宋体"/>
          <w:b w:val="0"/>
          <w:bCs/>
          <w:sz w:val="24"/>
          <w:szCs w:val="24"/>
        </w:rPr>
      </w:pPr>
      <w:r>
        <w:rPr>
          <w:rFonts w:hint="eastAsia" w:ascii="宋体" w:hAnsi="宋体" w:cs="宋体"/>
          <w:b w:val="0"/>
          <w:bCs/>
          <w:sz w:val="24"/>
          <w:szCs w:val="24"/>
          <w:lang w:val="en-US" w:eastAsia="zh-CN"/>
        </w:rPr>
        <w:t>5.2</w:t>
      </w:r>
      <w:r>
        <w:rPr>
          <w:rFonts w:hint="eastAsia" w:ascii="宋体" w:hAnsi="宋体" w:eastAsia="宋体" w:cs="宋体"/>
          <w:b w:val="0"/>
          <w:bCs/>
          <w:sz w:val="24"/>
          <w:szCs w:val="24"/>
        </w:rPr>
        <w:t>所有产品质量必须符合国家有关规范</w:t>
      </w:r>
      <w:r>
        <w:rPr>
          <w:rFonts w:hint="eastAsia" w:ascii="宋体" w:hAnsi="宋体" w:eastAsia="宋体" w:cs="宋体"/>
          <w:b w:val="0"/>
          <w:bCs/>
          <w:sz w:val="24"/>
          <w:szCs w:val="24"/>
          <w:lang w:val="en-US" w:eastAsia="zh-CN"/>
        </w:rPr>
        <w:t>及标准</w:t>
      </w:r>
      <w:r>
        <w:rPr>
          <w:rFonts w:hint="eastAsia" w:ascii="宋体" w:hAnsi="宋体" w:eastAsia="宋体" w:cs="宋体"/>
          <w:b w:val="0"/>
          <w:bCs/>
          <w:sz w:val="24"/>
          <w:szCs w:val="24"/>
        </w:rPr>
        <w:t>。</w:t>
      </w:r>
    </w:p>
    <w:p w14:paraId="337B38CE">
      <w:pPr>
        <w:spacing w:line="640" w:lineRule="exact"/>
        <w:ind w:firstLine="480" w:firstLineChars="200"/>
        <w:outlineLvl w:val="1"/>
        <w:rPr>
          <w:rFonts w:hint="eastAsia" w:ascii="宋体" w:hAnsi="宋体" w:eastAsia="宋体" w:cs="宋体"/>
          <w:b w:val="0"/>
          <w:bCs/>
          <w:sz w:val="24"/>
          <w:szCs w:val="24"/>
        </w:rPr>
      </w:pPr>
      <w:r>
        <w:rPr>
          <w:rFonts w:hint="eastAsia" w:ascii="宋体" w:hAnsi="宋体" w:cs="宋体"/>
          <w:b w:val="0"/>
          <w:bCs/>
          <w:sz w:val="24"/>
          <w:szCs w:val="24"/>
          <w:lang w:val="en-US" w:eastAsia="zh-CN"/>
        </w:rPr>
        <w:t>5.3</w:t>
      </w:r>
      <w:r>
        <w:rPr>
          <w:rFonts w:hint="eastAsia" w:ascii="宋体" w:hAnsi="宋体" w:eastAsia="宋体" w:cs="宋体"/>
          <w:b w:val="0"/>
          <w:bCs/>
          <w:sz w:val="24"/>
          <w:szCs w:val="24"/>
        </w:rPr>
        <w:t>质保期出现的质量问题由中标人负责解决并承担所有费用。</w:t>
      </w:r>
    </w:p>
    <w:p w14:paraId="23CAA8C3">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索赔</w:t>
      </w:r>
    </w:p>
    <w:p w14:paraId="72876495">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w:t>
      </w: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乙</w:t>
      </w:r>
      <w:r>
        <w:rPr>
          <w:rFonts w:hint="eastAsia" w:ascii="宋体" w:hAnsi="宋体" w:eastAsia="宋体" w:cs="宋体"/>
          <w:kern w:val="0"/>
          <w:sz w:val="24"/>
          <w:szCs w:val="24"/>
        </w:rPr>
        <w:t>方对偏差负有责任，而</w:t>
      </w:r>
      <w:r>
        <w:rPr>
          <w:rFonts w:hint="eastAsia" w:ascii="宋体" w:hAnsi="宋体" w:eastAsia="宋体" w:cs="宋体"/>
          <w:kern w:val="0"/>
          <w:sz w:val="24"/>
          <w:szCs w:val="24"/>
          <w:lang w:eastAsia="zh-CN"/>
        </w:rPr>
        <w:t>甲</w:t>
      </w:r>
      <w:r>
        <w:rPr>
          <w:rFonts w:hint="eastAsia" w:ascii="宋体" w:hAnsi="宋体" w:eastAsia="宋体" w:cs="宋体"/>
          <w:kern w:val="0"/>
          <w:sz w:val="24"/>
          <w:szCs w:val="24"/>
        </w:rPr>
        <w:t>方在验收和质量保证期内提出了索赔，</w:t>
      </w:r>
      <w:r>
        <w:rPr>
          <w:rFonts w:hint="eastAsia" w:ascii="宋体" w:hAnsi="宋体" w:eastAsia="宋体" w:cs="宋体"/>
          <w:kern w:val="0"/>
          <w:sz w:val="24"/>
          <w:szCs w:val="24"/>
          <w:lang w:eastAsia="zh-CN"/>
        </w:rPr>
        <w:t>乙</w:t>
      </w:r>
      <w:r>
        <w:rPr>
          <w:rFonts w:hint="eastAsia" w:ascii="宋体" w:hAnsi="宋体" w:eastAsia="宋体" w:cs="宋体"/>
          <w:kern w:val="0"/>
          <w:sz w:val="24"/>
          <w:szCs w:val="24"/>
        </w:rPr>
        <w:t>方应按照</w:t>
      </w:r>
      <w:r>
        <w:rPr>
          <w:rFonts w:hint="eastAsia" w:ascii="宋体" w:hAnsi="宋体" w:eastAsia="宋体" w:cs="宋体"/>
          <w:kern w:val="0"/>
          <w:sz w:val="24"/>
          <w:szCs w:val="24"/>
          <w:lang w:eastAsia="zh-CN"/>
        </w:rPr>
        <w:t>甲</w:t>
      </w:r>
      <w:r>
        <w:rPr>
          <w:rFonts w:hint="eastAsia" w:ascii="宋体" w:hAnsi="宋体" w:eastAsia="宋体" w:cs="宋体"/>
          <w:kern w:val="0"/>
          <w:sz w:val="24"/>
          <w:szCs w:val="24"/>
        </w:rPr>
        <w:t>方同意的下列一种或几种方式结合起来解决索赔事宜：</w:t>
      </w:r>
    </w:p>
    <w:p w14:paraId="2B2F70E6">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同意退货并用合同规定的货币将货款退还给</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，并承担由此发生的一切损失和费用，包括利息、银行手续费、运费、保险费、检验费、仓储费、装卸费以及为看管和保护退回货物所需的其它必要费用。</w:t>
      </w:r>
    </w:p>
    <w:p w14:paraId="1C539AE9">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6.2</w:t>
      </w:r>
      <w:r>
        <w:rPr>
          <w:rFonts w:hint="eastAsia" w:ascii="宋体" w:hAnsi="宋体" w:eastAsia="宋体" w:cs="宋体"/>
          <w:kern w:val="0"/>
          <w:sz w:val="24"/>
          <w:szCs w:val="24"/>
        </w:rPr>
        <w:t>如果在</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发出索赔通知后三十（30）天内，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未作答复，上述索赔应视为已被</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接受。如</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未能在</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发出索赔通知后三十（30）天内或</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同意的延长期限内，按照</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同意的上述规定的任何一种方法解决索赔事宜，</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将从未付货款或从</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交纳的履约保证金中扣回索赔金额。若索赔金额超过未付货款或履约保证金的，</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必须用已收货款进行弥补。</w:t>
      </w:r>
    </w:p>
    <w:p w14:paraId="62EEA3E1">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合同修改</w:t>
      </w:r>
    </w:p>
    <w:p w14:paraId="0D74A2FA">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除了合同条款的情况，不应对合同条款进行任何变更或修改，除非双方同意并签订书面的合同修改书。</w:t>
      </w:r>
    </w:p>
    <w:p w14:paraId="38C3F4F3">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转让</w:t>
      </w:r>
    </w:p>
    <w:p w14:paraId="71168D76">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未经</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事先书面同意，</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不得部分转让或全部转让其应履行的合同义务。</w:t>
      </w:r>
    </w:p>
    <w:p w14:paraId="411565EC">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履约延误</w:t>
      </w:r>
    </w:p>
    <w:p w14:paraId="59548800">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应按照</w:t>
      </w:r>
      <w:r>
        <w:rPr>
          <w:rFonts w:hint="eastAsia" w:ascii="宋体" w:hAnsi="宋体" w:eastAsia="宋体" w:cs="宋体"/>
          <w:kern w:val="0"/>
          <w:sz w:val="24"/>
          <w:szCs w:val="24"/>
          <w:lang w:eastAsia="zh-CN"/>
        </w:rPr>
        <w:t>合同协议书</w:t>
      </w:r>
      <w:r>
        <w:rPr>
          <w:rFonts w:hint="eastAsia" w:ascii="宋体" w:hAnsi="宋体" w:eastAsia="宋体" w:cs="宋体"/>
          <w:kern w:val="0"/>
          <w:sz w:val="24"/>
          <w:szCs w:val="24"/>
        </w:rPr>
        <w:t>中规定的交货时间交货和提供服务。</w:t>
      </w:r>
    </w:p>
    <w:p w14:paraId="33E41662">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9.2</w:t>
      </w:r>
      <w:r>
        <w:rPr>
          <w:rFonts w:hint="eastAsia" w:ascii="宋体" w:hAnsi="宋体" w:eastAsia="宋体" w:cs="宋体"/>
          <w:kern w:val="0"/>
          <w:sz w:val="24"/>
          <w:szCs w:val="24"/>
        </w:rPr>
        <w:t>在履行合同过程中，如果</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遇到妨碍按时交货和提供服务的情况时，应及时以书面形式将拖延的事实、可能拖延的时间和原因通知</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在收到</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通知后，应尽快对情况进行评价，并确定是否同意延长交货时间以及是否收取误期赔偿费。延期应通过修改合同的方式由双方认可。</w:t>
      </w:r>
    </w:p>
    <w:p w14:paraId="2A30D5B2">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9.3</w:t>
      </w:r>
      <w:r>
        <w:rPr>
          <w:rFonts w:hint="eastAsia" w:ascii="宋体" w:hAnsi="宋体" w:eastAsia="宋体" w:cs="宋体"/>
          <w:kern w:val="0"/>
          <w:sz w:val="24"/>
          <w:szCs w:val="24"/>
        </w:rPr>
        <w:t>除合同条款规定的情况外,除非拖延是根据合同条款规定取得同意而不收取误期赔偿费之外，</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延误交货，将按合同条款第1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条的规定被收取误期赔偿费。</w:t>
      </w:r>
    </w:p>
    <w:p w14:paraId="38FA456B">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验收</w:t>
      </w:r>
    </w:p>
    <w:p w14:paraId="73C1454E">
      <w:pPr>
        <w:adjustRightInd w:val="0"/>
        <w:snapToGrid w:val="0"/>
        <w:spacing w:line="460" w:lineRule="exact"/>
        <w:ind w:firstLine="470" w:firstLineChars="196"/>
        <w:rPr>
          <w:rFonts w:hint="eastAsia" w:ascii="宋体" w:hAnsi="宋体" w:eastAsia="宋体" w:cs="宋体"/>
          <w:sz w:val="24"/>
          <w:szCs w:val="24"/>
        </w:rPr>
      </w:pPr>
      <w:r>
        <w:rPr>
          <w:rFonts w:hint="eastAsia" w:ascii="宋体" w:hAnsi="宋体" w:eastAsia="宋体" w:cs="宋体"/>
          <w:i w:val="0"/>
          <w:iCs w:val="0"/>
          <w:color w:val="auto"/>
          <w:kern w:val="0"/>
          <w:sz w:val="24"/>
          <w:szCs w:val="24"/>
          <w:highlight w:val="none"/>
          <w:u w:val="none"/>
          <w:lang w:val="en-US" w:eastAsia="zh-CN" w:bidi="ar"/>
        </w:rPr>
        <w:t>按照质量标准进行验收、同批次的检验报告、检疫证明以及合格证应随货同期到达；收货人、配送人双方签字为准</w:t>
      </w:r>
      <w:r>
        <w:rPr>
          <w:rFonts w:hint="eastAsia" w:ascii="宋体" w:hAnsi="宋体" w:eastAsia="宋体" w:cs="宋体"/>
          <w:sz w:val="24"/>
          <w:szCs w:val="24"/>
        </w:rPr>
        <w:t>。</w:t>
      </w:r>
    </w:p>
    <w:p w14:paraId="0B3F99EB">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误期赔偿费</w:t>
      </w:r>
    </w:p>
    <w:p w14:paraId="672BFD58">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如果</w:t>
      </w:r>
      <w:r>
        <w:rPr>
          <w:rFonts w:hint="eastAsia" w:ascii="宋体" w:hAnsi="宋体" w:eastAsia="宋体" w:cs="宋体"/>
          <w:sz w:val="24"/>
          <w:szCs w:val="24"/>
          <w:lang w:eastAsia="zh-CN"/>
        </w:rPr>
        <w:t>乙方</w:t>
      </w:r>
      <w:r>
        <w:rPr>
          <w:rFonts w:hint="eastAsia" w:ascii="宋体" w:hAnsi="宋体" w:eastAsia="宋体" w:cs="宋体"/>
          <w:sz w:val="24"/>
          <w:szCs w:val="24"/>
        </w:rPr>
        <w:t>没有按照合同规定的时间交货和提供服务，</w:t>
      </w:r>
      <w:r>
        <w:rPr>
          <w:rFonts w:hint="eastAsia" w:ascii="宋体" w:hAnsi="宋体" w:eastAsia="宋体" w:cs="宋体"/>
          <w:sz w:val="24"/>
          <w:szCs w:val="24"/>
          <w:lang w:eastAsia="zh-CN"/>
        </w:rPr>
        <w:t>甲方</w:t>
      </w:r>
      <w:r>
        <w:rPr>
          <w:rFonts w:hint="eastAsia" w:ascii="宋体" w:hAnsi="宋体" w:eastAsia="宋体" w:cs="宋体"/>
          <w:sz w:val="24"/>
          <w:szCs w:val="24"/>
        </w:rPr>
        <w:t>应在不影响</w:t>
      </w:r>
      <w:r>
        <w:rPr>
          <w:rFonts w:hint="eastAsia" w:ascii="宋体" w:hAnsi="宋体" w:eastAsia="宋体" w:cs="宋体"/>
          <w:kern w:val="0"/>
          <w:sz w:val="24"/>
          <w:szCs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可考虑根据合同条款规定终止合同。</w:t>
      </w:r>
    </w:p>
    <w:p w14:paraId="09909D8A">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违约终止合同</w:t>
      </w:r>
    </w:p>
    <w:p w14:paraId="284916F7">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违约而采取的任何补救措施不受影响的情况下，</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可向</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发出书面违约通知书，提出终止部分或全部合同：</w:t>
      </w:r>
    </w:p>
    <w:p w14:paraId="5096CD5A">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12.2</w:t>
      </w: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未能在合同规定的期限内或</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根据合同条款第1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.2条的规定同意延长的期限内提供部分或全部货物；或</w:t>
      </w:r>
      <w:r>
        <w:rPr>
          <w:rFonts w:hint="eastAsia" w:ascii="宋体" w:hAnsi="宋体" w:eastAsia="宋体" w:cs="宋体"/>
          <w:sz w:val="24"/>
          <w:szCs w:val="24"/>
        </w:rPr>
        <w:t>误期赔偿费达到最高限额。</w:t>
      </w:r>
    </w:p>
    <w:p w14:paraId="3891402C">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12.3</w:t>
      </w: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未能履行合同规定的其它任何义务。</w:t>
      </w:r>
    </w:p>
    <w:p w14:paraId="1E040A11">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12.4</w:t>
      </w: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认为</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在本合同的竞争和实施过程中有腐败和欺诈行为。为此目的，定义下述条件：</w:t>
      </w:r>
    </w:p>
    <w:p w14:paraId="4296A191">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“腐败行为”是指提供、给予、接受或索取任何有价值的物品来影响</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在采购过程或合同实施过程中的行为。</w:t>
      </w:r>
    </w:p>
    <w:p w14:paraId="5088F749">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“欺诈行为”是指为了影响采购过程或合同实施过程而谎报或隐瞒事实，损害</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利益的行为。</w:t>
      </w:r>
    </w:p>
    <w:p w14:paraId="48CE398F">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12.5</w:t>
      </w: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根据上述的规定，终止了全部或部分合同，</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可以依其认为适当的条件和方法购买与未交货物类似的货物或服务，</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应承担</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因购买类似货物或服务而产生的额外支出。但是，</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应继续执行合同中未终止的部分。</w:t>
      </w:r>
    </w:p>
    <w:p w14:paraId="7BA32D76">
      <w:pPr>
        <w:tabs>
          <w:tab w:val="left" w:pos="5700"/>
        </w:tabs>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不可抗力</w:t>
      </w:r>
      <w:r>
        <w:rPr>
          <w:rFonts w:hint="eastAsia" w:ascii="宋体" w:hAnsi="宋体" w:eastAsia="宋体" w:cs="宋体"/>
          <w:kern w:val="0"/>
          <w:sz w:val="24"/>
          <w:szCs w:val="24"/>
        </w:rPr>
        <w:tab/>
      </w:r>
    </w:p>
    <w:p w14:paraId="662BE4FF">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14:paraId="1B84F30C">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14:paraId="2FE62266">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因合同一方迟延履行合同后发生不可抗力的，不能免除迟延履行方的相应责任。</w:t>
      </w:r>
    </w:p>
    <w:p w14:paraId="061D6DED">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因破产而终止合同</w:t>
      </w:r>
    </w:p>
    <w:p w14:paraId="671A1962">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如果</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破产或无清偿能力，</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可在任何时候以书面形式通知</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，提出终止合同而不给</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补偿。该合同的终止将不损害或影响</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已经采取或将要采取的任何行动或补救措施的权力。</w:t>
      </w:r>
    </w:p>
    <w:p w14:paraId="08AC2A64">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因</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的便利而终止合同</w:t>
      </w:r>
    </w:p>
    <w:p w14:paraId="44AE9C27">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15.1</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可在任何时候出于自身的便利向</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发出书面通知全部或部分终止合同，终止通知应明确该终止合同是出于</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的便利，并明确合同终止的程度，以及终止的生效日期。</w:t>
      </w:r>
    </w:p>
    <w:p w14:paraId="7BD84558">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15.2</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收到终止通知后三十（30）天内已完成并准备装运的货物，</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应按原合同价格和条款予以接收，对于剩下的货物，</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可：</w:t>
      </w:r>
    </w:p>
    <w:p w14:paraId="7083BBC5">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15.2.1</w:t>
      </w:r>
      <w:r>
        <w:rPr>
          <w:rFonts w:hint="eastAsia" w:ascii="宋体" w:hAnsi="宋体" w:eastAsia="宋体" w:cs="宋体"/>
          <w:kern w:val="0"/>
          <w:sz w:val="24"/>
          <w:szCs w:val="24"/>
        </w:rPr>
        <w:t>仅对部分货物按照原来的合同价格和条款予以接受；</w:t>
      </w:r>
    </w:p>
    <w:p w14:paraId="0E3EADD0">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15.2.2</w:t>
      </w:r>
      <w:r>
        <w:rPr>
          <w:rFonts w:hint="eastAsia" w:ascii="宋体" w:hAnsi="宋体" w:eastAsia="宋体" w:cs="宋体"/>
          <w:kern w:val="0"/>
          <w:sz w:val="24"/>
          <w:szCs w:val="24"/>
        </w:rPr>
        <w:t>取消对所剩货物的采购，并按双方商定的金额向</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支付部分完成的货物和与货物有关的服务以及</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以前已采购的材料和部件的费用。</w:t>
      </w:r>
    </w:p>
    <w:p w14:paraId="01A95815">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争议的解决</w:t>
      </w:r>
    </w:p>
    <w:p w14:paraId="736ACDB0">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因执行本合同所发生的或与本合同有关的一切争议,双方应通过友好协商解决。如果协商开始后六十（60）天还不能解决，双方可依以下一种方式解决：</w:t>
      </w:r>
    </w:p>
    <w:p w14:paraId="5F03256C">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17.1</w:t>
      </w:r>
      <w:r>
        <w:rPr>
          <w:rFonts w:hint="eastAsia" w:ascii="宋体" w:hAnsi="宋体" w:eastAsia="宋体" w:cs="宋体"/>
          <w:kern w:val="0"/>
          <w:sz w:val="24"/>
          <w:szCs w:val="24"/>
        </w:rPr>
        <w:t>双方达成仲裁协议，向约定的仲裁委员会申请仲裁。</w:t>
      </w:r>
    </w:p>
    <w:p w14:paraId="5266C21B">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17.2</w:t>
      </w:r>
      <w:r>
        <w:rPr>
          <w:rFonts w:hint="eastAsia" w:ascii="宋体" w:hAnsi="宋体" w:eastAsia="宋体" w:cs="宋体"/>
          <w:kern w:val="0"/>
          <w:sz w:val="24"/>
          <w:szCs w:val="24"/>
        </w:rPr>
        <w:t>向有管辖权的人民法院起诉。</w:t>
      </w:r>
    </w:p>
    <w:p w14:paraId="4FD7B8A1">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18.</w:t>
      </w:r>
      <w:r>
        <w:rPr>
          <w:rFonts w:hint="eastAsia" w:ascii="宋体" w:hAnsi="宋体" w:eastAsia="宋体" w:cs="宋体"/>
          <w:kern w:val="0"/>
          <w:sz w:val="24"/>
          <w:szCs w:val="24"/>
        </w:rPr>
        <w:t>适用法律</w:t>
      </w:r>
    </w:p>
    <w:p w14:paraId="69CE43CE">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本合同应按照中华人民共和国的现行法律进行解释。</w:t>
      </w:r>
    </w:p>
    <w:p w14:paraId="5A163398">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通知</w:t>
      </w:r>
    </w:p>
    <w:p w14:paraId="6E906AC8">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19.1</w:t>
      </w:r>
      <w:r>
        <w:rPr>
          <w:rFonts w:hint="eastAsia" w:ascii="宋体" w:hAnsi="宋体" w:eastAsia="宋体" w:cs="宋体"/>
          <w:kern w:val="0"/>
          <w:sz w:val="24"/>
          <w:szCs w:val="24"/>
        </w:rPr>
        <w:t>本合同一方给对方的通知应用书面形式送到合同专用条款中规定的对方的地址。传真要经书面确认。</w:t>
      </w:r>
    </w:p>
    <w:p w14:paraId="4760B5D3">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w:t>
      </w:r>
      <w:r>
        <w:rPr>
          <w:rFonts w:hint="eastAsia" w:ascii="宋体" w:hAnsi="宋体" w:eastAsia="宋体" w:cs="宋体"/>
          <w:kern w:val="0"/>
          <w:sz w:val="24"/>
          <w:szCs w:val="24"/>
        </w:rPr>
        <w:t>通知以送到日期或通知书的生效日期为生效日期，两者中以晚的一个日期为准。</w:t>
      </w:r>
    </w:p>
    <w:p w14:paraId="7012C3BA">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税款</w:t>
      </w:r>
    </w:p>
    <w:p w14:paraId="52EAC187">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0.1</w:t>
      </w:r>
      <w:r>
        <w:rPr>
          <w:rFonts w:hint="eastAsia" w:ascii="宋体" w:hAnsi="宋体" w:eastAsia="宋体" w:cs="宋体"/>
          <w:kern w:val="0"/>
          <w:sz w:val="24"/>
          <w:szCs w:val="24"/>
        </w:rPr>
        <w:t>按照中华人民共和国税法和有关部门的规定，</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需交纳的与本合同有关的一切税费均应由</w:t>
      </w:r>
      <w:r>
        <w:rPr>
          <w:rFonts w:hint="eastAsia" w:ascii="宋体" w:hAnsi="宋体" w:eastAsia="宋体" w:cs="宋体"/>
          <w:kern w:val="0"/>
          <w:sz w:val="24"/>
          <w:szCs w:val="24"/>
          <w:lang w:eastAsia="zh-CN"/>
        </w:rPr>
        <w:t>甲方</w:t>
      </w:r>
      <w:r>
        <w:rPr>
          <w:rFonts w:hint="eastAsia" w:ascii="宋体" w:hAnsi="宋体" w:eastAsia="宋体" w:cs="宋体"/>
          <w:kern w:val="0"/>
          <w:sz w:val="24"/>
          <w:szCs w:val="24"/>
        </w:rPr>
        <w:t>负担。</w:t>
      </w:r>
    </w:p>
    <w:p w14:paraId="0BB85CB5">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按照中华人民共和国税法和有关部门的规定，</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需交纳的与本合同有关的一切税费均应由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负担。</w:t>
      </w:r>
    </w:p>
    <w:p w14:paraId="5F413A21">
      <w:pPr>
        <w:autoSpaceDN w:val="0"/>
        <w:adjustRightIn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合同生效</w:t>
      </w:r>
    </w:p>
    <w:p w14:paraId="578AD29D">
      <w:pPr>
        <w:adjustRightInd w:val="0"/>
        <w:snapToGrid w:val="0"/>
        <w:spacing w:line="480" w:lineRule="exact"/>
        <w:ind w:firstLine="480" w:firstLineChars="200"/>
        <w:rPr>
          <w:rFonts w:hint="eastAsia" w:ascii="宋体" w:hAnsi="宋体" w:eastAsia="宋体" w:cs="宋体"/>
          <w:kern w:val="0"/>
          <w:szCs w:val="24"/>
        </w:rPr>
      </w:pPr>
      <w:r>
        <w:rPr>
          <w:rFonts w:hint="eastAsia" w:ascii="宋体" w:hAnsi="宋体" w:eastAsia="宋体" w:cs="宋体"/>
          <w:kern w:val="0"/>
          <w:sz w:val="24"/>
          <w:szCs w:val="24"/>
        </w:rPr>
        <w:t>本合同由买卖双方共同签字盖章之日起生效。</w:t>
      </w:r>
    </w:p>
    <w:p w14:paraId="4D303009">
      <w:pPr>
        <w:pStyle w:val="37"/>
        <w:rPr>
          <w:rFonts w:hint="eastAsia" w:ascii="宋体" w:hAnsi="宋体" w:eastAsia="宋体" w:cs="宋体"/>
          <w:color w:val="auto"/>
          <w:sz w:val="24"/>
          <w:highlight w:val="none"/>
        </w:rPr>
      </w:pPr>
    </w:p>
    <w:p w14:paraId="472F6BCB">
      <w:pPr>
        <w:pStyle w:val="4"/>
        <w:outlineLvl w:val="9"/>
        <w:rPr>
          <w:rFonts w:hint="eastAsia" w:ascii="宋体" w:hAnsi="宋体" w:eastAsia="宋体" w:cs="宋体"/>
          <w:color w:val="auto"/>
          <w:sz w:val="24"/>
          <w:highlight w:val="none"/>
        </w:rPr>
      </w:pPr>
    </w:p>
    <w:p w14:paraId="5221F1F9">
      <w:pPr>
        <w:pageBreakBefore w:val="0"/>
        <w:bidi w:val="0"/>
        <w:spacing w:line="274" w:lineRule="exact"/>
        <w:ind w:left="60"/>
        <w:outlineLvl w:val="9"/>
        <w:rPr>
          <w:rFonts w:hint="eastAsia" w:ascii="宋体" w:hAnsi="宋体" w:eastAsia="宋体" w:cs="宋体"/>
          <w:b/>
          <w:bCs/>
          <w:color w:val="auto"/>
          <w:sz w:val="24"/>
          <w:szCs w:val="24"/>
          <w:highlight w:val="none"/>
        </w:rPr>
      </w:pPr>
    </w:p>
    <w:p w14:paraId="5547180C">
      <w:pPr>
        <w:pageBreakBefore w:val="0"/>
        <w:bidi w:val="0"/>
        <w:spacing w:line="274" w:lineRule="exact"/>
        <w:ind w:left="60"/>
        <w:outlineLvl w:val="9"/>
        <w:rPr>
          <w:rFonts w:hint="eastAsia" w:ascii="宋体" w:hAnsi="宋体" w:eastAsia="宋体" w:cs="宋体"/>
          <w:color w:val="auto"/>
          <w:sz w:val="20"/>
          <w:szCs w:val="20"/>
          <w:highlight w:val="none"/>
        </w:rPr>
      </w:pPr>
      <w:r>
        <w:rPr>
          <w:rFonts w:hint="eastAsia" w:ascii="宋体" w:hAnsi="宋体" w:eastAsia="宋体" w:cs="宋体"/>
          <w:b/>
          <w:bCs/>
          <w:color w:val="auto"/>
          <w:sz w:val="24"/>
          <w:szCs w:val="24"/>
          <w:highlight w:val="none"/>
        </w:rPr>
        <w:t>备注：本合同条款仅供参考，具体事宜</w:t>
      </w:r>
      <w:r>
        <w:rPr>
          <w:rFonts w:hint="eastAsia" w:ascii="宋体" w:hAnsi="宋体"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rPr>
        <w:t>后双方友好协商确定。</w:t>
      </w:r>
    </w:p>
    <w:p w14:paraId="2ED21F0C">
      <w:pPr>
        <w:pageBreakBefore w:val="0"/>
        <w:bidi w:val="0"/>
        <w:outlineLvl w:val="9"/>
        <w:rPr>
          <w:rFonts w:hint="eastAsia" w:ascii="宋体" w:hAnsi="宋体" w:eastAsia="宋体" w:cs="宋体"/>
          <w:color w:val="auto"/>
          <w:highlight w:val="none"/>
        </w:rPr>
        <w:sectPr>
          <w:pgSz w:w="11900" w:h="16838"/>
          <w:pgMar w:top="1440" w:right="1046" w:bottom="1134" w:left="1440" w:header="0" w:footer="0" w:gutter="0"/>
          <w:pgBorders>
            <w:top w:val="none" w:sz="0" w:space="0"/>
            <w:left w:val="none" w:sz="0" w:space="0"/>
            <w:bottom w:val="none" w:sz="0" w:space="0"/>
            <w:right w:val="none" w:sz="0" w:space="0"/>
          </w:pgBorders>
          <w:pgNumType w:fmt="decimal"/>
          <w:cols w:equalWidth="0" w:num="1">
            <w:col w:w="9420"/>
          </w:cols>
          <w:rtlGutter w:val="0"/>
          <w:docGrid w:linePitch="0" w:charSpace="0"/>
        </w:sectPr>
      </w:pPr>
    </w:p>
    <w:p w14:paraId="66567C9C">
      <w:pPr>
        <w:pageBreakBefore w:val="0"/>
        <w:bidi w:val="0"/>
        <w:spacing w:line="274" w:lineRule="exact"/>
        <w:ind w:left="60"/>
        <w:outlineLvl w:val="9"/>
        <w:rPr>
          <w:rFonts w:hint="eastAsia" w:ascii="宋体" w:hAnsi="宋体" w:eastAsia="宋体" w:cs="宋体"/>
          <w:b/>
          <w:bCs/>
          <w:color w:val="auto"/>
          <w:sz w:val="24"/>
          <w:szCs w:val="24"/>
          <w:highlight w:val="none"/>
        </w:rPr>
      </w:pPr>
    </w:p>
    <w:p w14:paraId="6BFC7EE9">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bCs/>
          <w:color w:val="auto"/>
          <w:sz w:val="28"/>
          <w:szCs w:val="32"/>
          <w:highlight w:val="none"/>
        </w:rPr>
      </w:pPr>
      <w:bookmarkStart w:id="73" w:name="_Toc8944"/>
      <w:bookmarkStart w:id="74" w:name="_Toc23054"/>
      <w:bookmarkStart w:id="75" w:name="_Toc13042"/>
      <w:r>
        <w:rPr>
          <w:rFonts w:hint="eastAsia" w:ascii="宋体" w:hAnsi="宋体" w:eastAsia="宋体" w:cs="宋体"/>
          <w:b/>
          <w:bCs/>
          <w:color w:val="auto"/>
          <w:sz w:val="28"/>
          <w:szCs w:val="32"/>
          <w:highlight w:val="none"/>
        </w:rPr>
        <w:t>第</w:t>
      </w:r>
      <w:r>
        <w:rPr>
          <w:rFonts w:hint="eastAsia" w:ascii="宋体" w:hAnsi="宋体" w:eastAsia="宋体" w:cs="宋体"/>
          <w:b/>
          <w:bCs/>
          <w:color w:val="auto"/>
          <w:sz w:val="28"/>
          <w:szCs w:val="32"/>
          <w:highlight w:val="none"/>
          <w:lang w:val="en-US" w:eastAsia="zh-CN"/>
        </w:rPr>
        <w:t>五</w:t>
      </w:r>
      <w:r>
        <w:rPr>
          <w:rFonts w:hint="eastAsia" w:ascii="宋体" w:hAnsi="宋体" w:eastAsia="宋体" w:cs="宋体"/>
          <w:b/>
          <w:bCs/>
          <w:color w:val="auto"/>
          <w:sz w:val="28"/>
          <w:szCs w:val="32"/>
          <w:highlight w:val="none"/>
        </w:rPr>
        <w:t>部分  投标文件格式</w:t>
      </w:r>
      <w:bookmarkEnd w:id="73"/>
      <w:bookmarkEnd w:id="74"/>
      <w:bookmarkEnd w:id="75"/>
    </w:p>
    <w:p w14:paraId="52575EE1">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1、提供的投标文件格式，起到样式作用，编制投标文件前，请详细阅读招标文件，理解文件中的每一项要求。</w:t>
      </w:r>
    </w:p>
    <w:p w14:paraId="1470B83B">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2、投标文件的编制应按照样本格式提供的内容，做出逐一明确的答复；供应商认为有必要，还可以做其它补充说明。</w:t>
      </w:r>
    </w:p>
    <w:p w14:paraId="2E40A90D">
      <w:pPr>
        <w:pageBreakBefore w:val="0"/>
        <w:bidi w:val="0"/>
        <w:spacing w:line="4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3、全部编制完成，并加盖印章后，按规定分别装订成册。</w:t>
      </w:r>
    </w:p>
    <w:p w14:paraId="1D6335FF">
      <w:pPr>
        <w:pageBreakBefore w:val="0"/>
        <w:widowControl/>
        <w:bidi w:val="0"/>
        <w:spacing w:line="4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ECAF07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项目编号:HDCGDL-ZC2025-</w:t>
      </w:r>
      <w:r>
        <w:rPr>
          <w:rFonts w:hint="eastAsia" w:cs="宋体"/>
          <w:b/>
          <w:bCs/>
          <w:color w:val="auto"/>
          <w:sz w:val="28"/>
          <w:szCs w:val="28"/>
          <w:highlight w:val="none"/>
          <w:lang w:val="en-US" w:eastAsia="zh-CN"/>
        </w:rPr>
        <w:t>010</w:t>
      </w:r>
    </w:p>
    <w:p w14:paraId="2C003AF1">
      <w:pPr>
        <w:pageBreakBefore w:val="0"/>
        <w:bidi w:val="0"/>
        <w:spacing w:line="360" w:lineRule="atLeast"/>
        <w:ind w:firstLine="6746" w:firstLineChars="2400"/>
        <w:outlineLvl w:val="9"/>
        <w:rPr>
          <w:rFonts w:hint="eastAsia" w:ascii="宋体" w:hAnsi="宋体" w:eastAsia="宋体" w:cs="宋体"/>
          <w:color w:val="auto"/>
          <w:sz w:val="52"/>
          <w:szCs w:val="52"/>
          <w:highlight w:val="none"/>
        </w:rPr>
      </w:pPr>
      <w:r>
        <w:rPr>
          <w:rFonts w:hint="eastAsia" w:ascii="宋体" w:hAnsi="宋体" w:eastAsia="宋体" w:cs="宋体"/>
          <w:b/>
          <w:color w:val="auto"/>
          <w:sz w:val="28"/>
          <w:szCs w:val="28"/>
          <w:highlight w:val="none"/>
        </w:rPr>
        <w:t>（正本或副本）</w:t>
      </w:r>
    </w:p>
    <w:p w14:paraId="3D177F8F">
      <w:pPr>
        <w:pageBreakBefore w:val="0"/>
        <w:bidi w:val="0"/>
        <w:spacing w:line="880" w:lineRule="exact"/>
        <w:jc w:val="center"/>
        <w:outlineLvl w:val="9"/>
        <w:rPr>
          <w:rFonts w:hint="eastAsia" w:ascii="宋体" w:hAnsi="宋体" w:eastAsia="宋体" w:cs="宋体"/>
          <w:b/>
          <w:color w:val="auto"/>
          <w:spacing w:val="4"/>
          <w:sz w:val="72"/>
          <w:szCs w:val="72"/>
          <w:highlight w:val="none"/>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延安市宝塔区第五中学2025年度食堂食材采购及营养改善计划采购项目（</w:t>
      </w:r>
      <w:r>
        <w:rPr>
          <w:rFonts w:hint="eastAsia" w:ascii="宋体" w:hAnsi="宋体" w:eastAsia="宋体" w:cs="宋体"/>
          <w:b/>
          <w:bCs/>
          <w:i w:val="0"/>
          <w:iCs w:val="0"/>
          <w:caps w:val="0"/>
          <w:color w:val="auto"/>
          <w:spacing w:val="0"/>
          <w:kern w:val="0"/>
          <w:sz w:val="28"/>
          <w:szCs w:val="28"/>
          <w:highlight w:val="none"/>
          <w:u w:val="single"/>
          <w:shd w:val="clear" w:color="auto" w:fill="FFFFFF"/>
          <w:lang w:val="en-US" w:eastAsia="zh-CN" w:bidi="ar"/>
        </w:rPr>
        <w:t xml:space="preserve">    </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标包）</w:t>
      </w:r>
    </w:p>
    <w:p w14:paraId="1926D4CB">
      <w:pPr>
        <w:pageBreakBefore w:val="0"/>
        <w:bidi w:val="0"/>
        <w:spacing w:line="880" w:lineRule="exact"/>
        <w:jc w:val="center"/>
        <w:outlineLvl w:val="9"/>
        <w:rPr>
          <w:rFonts w:hint="eastAsia" w:ascii="宋体" w:hAnsi="宋体" w:eastAsia="宋体" w:cs="宋体"/>
          <w:b/>
          <w:color w:val="auto"/>
          <w:spacing w:val="4"/>
          <w:sz w:val="72"/>
          <w:szCs w:val="72"/>
          <w:highlight w:val="none"/>
        </w:rPr>
      </w:pPr>
    </w:p>
    <w:p w14:paraId="2715B9E9">
      <w:pPr>
        <w:pageBreakBefore w:val="0"/>
        <w:bidi w:val="0"/>
        <w:spacing w:line="880" w:lineRule="exact"/>
        <w:jc w:val="center"/>
        <w:outlineLvl w:val="9"/>
        <w:rPr>
          <w:rFonts w:hint="eastAsia" w:ascii="宋体" w:hAnsi="宋体" w:eastAsia="宋体" w:cs="宋体"/>
          <w:b/>
          <w:color w:val="auto"/>
          <w:spacing w:val="4"/>
          <w:sz w:val="72"/>
          <w:szCs w:val="72"/>
          <w:highlight w:val="none"/>
        </w:rPr>
      </w:pPr>
      <w:r>
        <w:rPr>
          <w:rFonts w:hint="eastAsia" w:ascii="宋体" w:hAnsi="宋体" w:eastAsia="宋体" w:cs="宋体"/>
          <w:b/>
          <w:color w:val="auto"/>
          <w:spacing w:val="4"/>
          <w:sz w:val="72"/>
          <w:szCs w:val="72"/>
          <w:highlight w:val="none"/>
        </w:rPr>
        <w:t>投 标 文 件</w:t>
      </w:r>
    </w:p>
    <w:p w14:paraId="6594CACC">
      <w:pPr>
        <w:pStyle w:val="7"/>
        <w:rPr>
          <w:rFonts w:hint="eastAsia" w:ascii="宋体" w:hAnsi="宋体" w:eastAsia="宋体" w:cs="宋体"/>
          <w:color w:val="auto"/>
          <w:highlight w:val="none"/>
        </w:rPr>
      </w:pPr>
    </w:p>
    <w:p w14:paraId="282A0FBD">
      <w:pPr>
        <w:pageBreakBefore w:val="0"/>
        <w:bidi w:val="0"/>
        <w:spacing w:line="240" w:lineRule="auto"/>
        <w:ind w:firstLine="2811" w:firstLineChars="1000"/>
        <w:outlineLvl w:val="9"/>
        <w:rPr>
          <w:rFonts w:hint="eastAsia" w:ascii="宋体" w:hAnsi="宋体" w:eastAsia="宋体" w:cs="宋体"/>
          <w:b/>
          <w:bCs/>
          <w:color w:val="auto"/>
          <w:sz w:val="28"/>
          <w:szCs w:val="28"/>
          <w:highlight w:val="none"/>
        </w:rPr>
      </w:pPr>
    </w:p>
    <w:p w14:paraId="18C97D6B">
      <w:pPr>
        <w:pageBreakBefore w:val="0"/>
        <w:bidi w:val="0"/>
        <w:spacing w:line="540" w:lineRule="exact"/>
        <w:outlineLvl w:val="9"/>
        <w:rPr>
          <w:rFonts w:hint="eastAsia" w:ascii="宋体" w:hAnsi="宋体" w:eastAsia="宋体" w:cs="宋体"/>
          <w:b/>
          <w:bCs/>
          <w:color w:val="auto"/>
          <w:spacing w:val="20"/>
          <w:sz w:val="32"/>
          <w:szCs w:val="32"/>
          <w:highlight w:val="none"/>
        </w:rPr>
      </w:pPr>
    </w:p>
    <w:p w14:paraId="0832BC2C">
      <w:pPr>
        <w:pStyle w:val="23"/>
        <w:pageBreakBefore w:val="0"/>
        <w:bidi w:val="0"/>
        <w:outlineLvl w:val="9"/>
        <w:rPr>
          <w:rFonts w:hint="eastAsia" w:ascii="宋体" w:hAnsi="宋体" w:eastAsia="宋体" w:cs="宋体"/>
          <w:color w:val="auto"/>
          <w:highlight w:val="none"/>
        </w:rPr>
      </w:pPr>
    </w:p>
    <w:p w14:paraId="2ABBFBB8">
      <w:pPr>
        <w:pStyle w:val="23"/>
        <w:pageBreakBefore w:val="0"/>
        <w:bidi w:val="0"/>
        <w:outlineLvl w:val="9"/>
        <w:rPr>
          <w:rFonts w:hint="eastAsia" w:ascii="宋体" w:hAnsi="宋体" w:eastAsia="宋体" w:cs="宋体"/>
          <w:color w:val="auto"/>
          <w:highlight w:val="none"/>
        </w:rPr>
      </w:pPr>
    </w:p>
    <w:p w14:paraId="689C561C">
      <w:pPr>
        <w:pStyle w:val="24"/>
        <w:pageBreakBefore w:val="0"/>
        <w:bidi w:val="0"/>
        <w:outlineLvl w:val="9"/>
        <w:rPr>
          <w:rFonts w:hint="eastAsia" w:ascii="宋体" w:hAnsi="宋体" w:eastAsia="宋体" w:cs="宋体"/>
          <w:color w:val="auto"/>
          <w:highlight w:val="none"/>
        </w:rPr>
      </w:pPr>
    </w:p>
    <w:p w14:paraId="14A813A2">
      <w:pPr>
        <w:pageBreakBefore w:val="0"/>
        <w:bidi w:val="0"/>
        <w:outlineLvl w:val="9"/>
        <w:rPr>
          <w:rFonts w:hint="eastAsia" w:ascii="宋体" w:hAnsi="宋体" w:eastAsia="宋体" w:cs="宋体"/>
          <w:color w:val="auto"/>
          <w:highlight w:val="none"/>
        </w:rPr>
      </w:pPr>
    </w:p>
    <w:p w14:paraId="4EA5203C">
      <w:pPr>
        <w:pStyle w:val="10"/>
        <w:pageBreakBefore w:val="0"/>
        <w:bidi w:val="0"/>
        <w:outlineLvl w:val="9"/>
        <w:rPr>
          <w:rFonts w:hint="eastAsia" w:ascii="宋体" w:hAnsi="宋体" w:eastAsia="宋体" w:cs="宋体"/>
          <w:color w:val="auto"/>
          <w:highlight w:val="none"/>
        </w:rPr>
      </w:pPr>
    </w:p>
    <w:p w14:paraId="5C3D2E07">
      <w:pPr>
        <w:pStyle w:val="23"/>
        <w:pageBreakBefore w:val="0"/>
        <w:bidi w:val="0"/>
        <w:ind w:firstLine="0"/>
        <w:outlineLvl w:val="9"/>
        <w:rPr>
          <w:rFonts w:hint="eastAsia" w:ascii="宋体" w:hAnsi="宋体" w:eastAsia="宋体" w:cs="宋体"/>
          <w:color w:val="auto"/>
          <w:highlight w:val="none"/>
        </w:rPr>
      </w:pPr>
    </w:p>
    <w:p w14:paraId="2B5CFD31">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投   标  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（盖单位公章）</w:t>
      </w:r>
    </w:p>
    <w:p w14:paraId="19A01722">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法定代表人或</w:t>
      </w:r>
    </w:p>
    <w:p w14:paraId="7497A5A4">
      <w:pPr>
        <w:pageBreakBefore w:val="0"/>
        <w:bidi w:val="0"/>
        <w:spacing w:line="540" w:lineRule="exact"/>
        <w:ind w:firstLine="167" w:firstLineChars="49"/>
        <w:outlineLvl w:val="9"/>
        <w:rPr>
          <w:rFonts w:hint="eastAsia" w:ascii="宋体" w:hAnsi="宋体" w:eastAsia="宋体" w:cs="宋体"/>
          <w:b/>
          <w:bCs/>
          <w:color w:val="auto"/>
          <w:spacing w:val="20"/>
          <w:sz w:val="30"/>
          <w:szCs w:val="30"/>
          <w:highlight w:val="none"/>
        </w:rPr>
      </w:pPr>
      <w:r>
        <w:rPr>
          <w:rFonts w:hint="eastAsia" w:ascii="宋体" w:hAnsi="宋体" w:eastAsia="宋体" w:cs="宋体"/>
          <w:b/>
          <w:bCs/>
          <w:color w:val="auto"/>
          <w:spacing w:val="20"/>
          <w:sz w:val="30"/>
          <w:szCs w:val="30"/>
          <w:highlight w:val="none"/>
        </w:rPr>
        <w:t>其委托代理人：</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 xml:space="preserve"> （签字或盖章）</w:t>
      </w:r>
    </w:p>
    <w:p w14:paraId="19F00D35">
      <w:pPr>
        <w:pageBreakBefore w:val="0"/>
        <w:bidi w:val="0"/>
        <w:spacing w:line="540" w:lineRule="exact"/>
        <w:ind w:firstLine="167" w:firstLineChars="49"/>
        <w:outlineLvl w:val="9"/>
        <w:rPr>
          <w:rFonts w:hint="eastAsia" w:ascii="宋体" w:hAnsi="宋体" w:eastAsia="宋体" w:cs="宋体"/>
          <w:b/>
          <w:color w:val="auto"/>
          <w:sz w:val="44"/>
          <w:szCs w:val="44"/>
          <w:highlight w:val="none"/>
        </w:rPr>
      </w:pPr>
      <w:r>
        <w:rPr>
          <w:rFonts w:hint="eastAsia" w:ascii="宋体" w:hAnsi="宋体" w:eastAsia="宋体" w:cs="宋体"/>
          <w:b/>
          <w:bCs/>
          <w:color w:val="auto"/>
          <w:spacing w:val="20"/>
          <w:sz w:val="30"/>
          <w:szCs w:val="30"/>
          <w:highlight w:val="none"/>
        </w:rPr>
        <w:t>日       期：</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年</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月</w:t>
      </w:r>
      <w:r>
        <w:rPr>
          <w:rFonts w:hint="eastAsia" w:ascii="宋体" w:hAnsi="宋体" w:eastAsia="宋体" w:cs="宋体"/>
          <w:b/>
          <w:bCs/>
          <w:color w:val="auto"/>
          <w:spacing w:val="20"/>
          <w:sz w:val="30"/>
          <w:szCs w:val="30"/>
          <w:highlight w:val="none"/>
          <w:u w:val="single"/>
        </w:rPr>
        <w:t xml:space="preserve">    </w:t>
      </w:r>
      <w:r>
        <w:rPr>
          <w:rFonts w:hint="eastAsia" w:ascii="宋体" w:hAnsi="宋体" w:eastAsia="宋体" w:cs="宋体"/>
          <w:b/>
          <w:bCs/>
          <w:color w:val="auto"/>
          <w:spacing w:val="20"/>
          <w:sz w:val="30"/>
          <w:szCs w:val="30"/>
          <w:highlight w:val="none"/>
        </w:rPr>
        <w:t>日</w:t>
      </w:r>
    </w:p>
    <w:p w14:paraId="3A01CD43">
      <w:pPr>
        <w:pageBreakBefore w:val="0"/>
        <w:bidi w:val="0"/>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67E72FD8">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目     录</w:t>
      </w:r>
    </w:p>
    <w:p w14:paraId="0E841442">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rPr>
        <w:t>投标函</w:t>
      </w:r>
    </w:p>
    <w:p w14:paraId="1A655371">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开标一览表</w:t>
      </w:r>
    </w:p>
    <w:p w14:paraId="36887064">
      <w:pPr>
        <w:keepNext w:val="0"/>
        <w:keepLines w:val="0"/>
        <w:pageBreakBefore w:val="0"/>
        <w:widowControl w:val="0"/>
        <w:kinsoku/>
        <w:wordWrap/>
        <w:overflowPunct/>
        <w:topLinePunct w:val="0"/>
        <w:autoSpaceDE/>
        <w:autoSpaceDN/>
        <w:bidi w:val="0"/>
        <w:adjustRightInd/>
        <w:snapToGrid/>
        <w:spacing w:line="360" w:lineRule="auto"/>
        <w:ind w:right="0" w:firstLine="602" w:firstLineChars="200"/>
        <w:jc w:val="both"/>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三、投标保证金交纳凭证</w:t>
      </w:r>
    </w:p>
    <w:p w14:paraId="114DCDC1">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lang w:eastAsia="zh-CN"/>
        </w:rPr>
        <w:t>服务响应</w:t>
      </w:r>
      <w:r>
        <w:rPr>
          <w:rFonts w:hint="eastAsia" w:ascii="宋体" w:hAnsi="宋体" w:eastAsia="宋体" w:cs="宋体"/>
          <w:b/>
          <w:color w:val="auto"/>
          <w:sz w:val="30"/>
          <w:szCs w:val="30"/>
          <w:highlight w:val="none"/>
        </w:rPr>
        <w:t>偏离表</w:t>
      </w:r>
    </w:p>
    <w:p w14:paraId="1D6F91FA">
      <w:pPr>
        <w:keepNext w:val="0"/>
        <w:keepLines w:val="0"/>
        <w:pageBreakBefore w:val="0"/>
        <w:widowControl w:val="0"/>
        <w:kinsoku/>
        <w:wordWrap/>
        <w:overflowPunct/>
        <w:topLinePunct w:val="0"/>
        <w:autoSpaceDE/>
        <w:autoSpaceDN/>
        <w:bidi w:val="0"/>
        <w:adjustRightInd/>
        <w:snapToGrid/>
        <w:spacing w:line="360" w:lineRule="auto"/>
        <w:ind w:left="0" w:leftChars="0" w:right="0" w:firstLine="601" w:firstLineChars="187"/>
        <w:jc w:val="both"/>
        <w:textAlignment w:val="auto"/>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五、</w:t>
      </w:r>
      <w:r>
        <w:rPr>
          <w:rFonts w:hint="eastAsia" w:ascii="宋体" w:hAnsi="宋体" w:eastAsia="宋体" w:cs="宋体"/>
          <w:b/>
          <w:color w:val="auto"/>
          <w:sz w:val="32"/>
          <w:szCs w:val="21"/>
          <w:highlight w:val="none"/>
        </w:rPr>
        <w:t>合同主要条款响应说明</w:t>
      </w:r>
    </w:p>
    <w:p w14:paraId="161EBCB9">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法定代表人证明书与授权书</w:t>
      </w:r>
    </w:p>
    <w:p w14:paraId="1A8D058B">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资格证明资料</w:t>
      </w:r>
    </w:p>
    <w:p w14:paraId="508E2B7B">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技术方案</w:t>
      </w:r>
    </w:p>
    <w:p w14:paraId="3433A11B">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商务方案</w:t>
      </w:r>
    </w:p>
    <w:p w14:paraId="37A0922A">
      <w:pPr>
        <w:pStyle w:val="13"/>
        <w:keepNext w:val="0"/>
        <w:keepLines w:val="0"/>
        <w:pageBreakBefore w:val="0"/>
        <w:widowControl w:val="0"/>
        <w:kinsoku/>
        <w:wordWrap/>
        <w:overflowPunct/>
        <w:topLinePunct w:val="0"/>
        <w:autoSpaceDE/>
        <w:autoSpaceDN/>
        <w:bidi w:val="0"/>
        <w:adjustRightInd/>
        <w:snapToGrid/>
        <w:spacing w:line="360" w:lineRule="auto"/>
        <w:ind w:right="0" w:firstLine="602" w:firstLineChars="200"/>
        <w:textAlignment w:val="auto"/>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十、其他资料</w:t>
      </w:r>
    </w:p>
    <w:p w14:paraId="76E1919F">
      <w:pPr>
        <w:pageBreakBefore w:val="0"/>
        <w:bidi w:val="0"/>
        <w:outlineLvl w:val="9"/>
        <w:rPr>
          <w:rFonts w:hint="eastAsia" w:ascii="宋体" w:hAnsi="宋体" w:eastAsia="宋体" w:cs="宋体"/>
          <w:b/>
          <w:color w:val="auto"/>
          <w:sz w:val="32"/>
          <w:szCs w:val="32"/>
          <w:highlight w:val="none"/>
        </w:rPr>
      </w:pPr>
    </w:p>
    <w:p w14:paraId="2570D90A">
      <w:pPr>
        <w:pageBreakBefore w:val="0"/>
        <w:bidi w:val="0"/>
        <w:spacing w:line="440" w:lineRule="exact"/>
        <w:jc w:val="center"/>
        <w:outlineLvl w:val="9"/>
        <w:rPr>
          <w:rFonts w:hint="eastAsia" w:ascii="宋体" w:hAnsi="宋体" w:eastAsia="宋体" w:cs="宋体"/>
          <w:b/>
          <w:color w:val="auto"/>
          <w:sz w:val="32"/>
          <w:szCs w:val="32"/>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28852F35">
      <w:pPr>
        <w:pageBreakBefore w:val="0"/>
        <w:bidi w:val="0"/>
        <w:spacing w:line="44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投标函</w:t>
      </w:r>
    </w:p>
    <w:p w14:paraId="47D89865">
      <w:pPr>
        <w:pageBreakBefore w:val="0"/>
        <w:bidi w:val="0"/>
        <w:spacing w:line="440" w:lineRule="exact"/>
        <w:jc w:val="center"/>
        <w:outlineLvl w:val="9"/>
        <w:rPr>
          <w:rFonts w:hint="eastAsia" w:ascii="宋体" w:hAnsi="宋体" w:eastAsia="宋体" w:cs="宋体"/>
          <w:b/>
          <w:color w:val="auto"/>
          <w:sz w:val="2"/>
          <w:szCs w:val="32"/>
          <w:highlight w:val="none"/>
        </w:rPr>
      </w:pPr>
    </w:p>
    <w:p w14:paraId="1B00FD5D">
      <w:pPr>
        <w:pageBreakBefore w:val="0"/>
        <w:kinsoku w:val="0"/>
        <w:bidi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延安市宝塔区</w:t>
      </w:r>
      <w:r>
        <w:rPr>
          <w:rFonts w:hint="eastAsia" w:ascii="宋体" w:hAnsi="宋体" w:cs="宋体"/>
          <w:color w:val="auto"/>
          <w:sz w:val="24"/>
          <w:highlight w:val="none"/>
          <w:lang w:val="en-US" w:eastAsia="zh-CN"/>
        </w:rPr>
        <w:t>第五中学</w:t>
      </w:r>
      <w:r>
        <w:rPr>
          <w:rFonts w:hint="eastAsia" w:ascii="宋体" w:hAnsi="宋体" w:eastAsia="宋体" w:cs="宋体"/>
          <w:color w:val="auto"/>
          <w:sz w:val="24"/>
          <w:highlight w:val="none"/>
        </w:rPr>
        <w:t>：</w:t>
      </w:r>
    </w:p>
    <w:p w14:paraId="4A2BB2E0">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p>
    <w:p w14:paraId="1179AF46">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我公司收到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招标文件，经详细研究，决定参加本次投标活动为此，我方郑重声明以下几点，并愿负法律责任。</w:t>
      </w:r>
    </w:p>
    <w:p w14:paraId="08BBCA0C">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1.按照招标文件中的一切要求，提供完全满足采购需求的</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和全面技术、售后服务保障；</w:t>
      </w:r>
    </w:p>
    <w:p w14:paraId="2F4D3387">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2.如若中标，将根据招标文件的要求、投标文件及承诺条件，全面签约并履行合同规定的责任和义务；</w:t>
      </w:r>
    </w:p>
    <w:p w14:paraId="121E19E3">
      <w:pPr>
        <w:pageBreakBefore w:val="0"/>
        <w:bidi w:val="0"/>
        <w:spacing w:line="500" w:lineRule="exact"/>
        <w:ind w:firstLine="480" w:firstLineChars="200"/>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3.我方提交的投标文件共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份，其中正本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份，及电子版投标文件（U盘</w:t>
      </w:r>
      <w:r>
        <w:rPr>
          <w:rFonts w:hint="eastAsia" w:ascii="宋体" w:hAnsi="宋体" w:cs="宋体"/>
          <w:color w:val="auto"/>
          <w:sz w:val="24"/>
          <w:highlight w:val="none"/>
          <w:lang w:val="en-US" w:eastAsia="zh-CN"/>
        </w:rPr>
        <w:t>或光盘</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cs="宋体"/>
          <w:color w:val="auto"/>
          <w:sz w:val="24"/>
          <w:highlight w:val="none"/>
          <w:lang w:eastAsia="zh-CN"/>
        </w:rPr>
        <w:t>。</w:t>
      </w:r>
    </w:p>
    <w:p w14:paraId="650679EC">
      <w:pPr>
        <w:pageBreakBefore w:val="0"/>
        <w:bidi w:val="0"/>
        <w:spacing w:line="50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份；</w:t>
      </w:r>
    </w:p>
    <w:p w14:paraId="1730B1ED">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.我方已详细阅读和核实全部招标文件内容，完全理解并同意放弃提出含糊不清和误解问题的权力；</w:t>
      </w:r>
    </w:p>
    <w:p w14:paraId="5FA88D50">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.同意提供贵方要求的与本次招标有关的任何证明资料；</w:t>
      </w:r>
    </w:p>
    <w:p w14:paraId="51E16849">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.我方的投标文件在</w:t>
      </w:r>
      <w:r>
        <w:rPr>
          <w:rFonts w:hint="eastAsia" w:ascii="宋体" w:hAnsi="宋体" w:eastAsia="宋体" w:cs="宋体"/>
          <w:color w:val="auto"/>
          <w:sz w:val="24"/>
          <w:highlight w:val="none"/>
          <w:lang w:eastAsia="zh-CN"/>
        </w:rPr>
        <w:t>递交投标文件截止之日起</w:t>
      </w:r>
      <w:r>
        <w:rPr>
          <w:rFonts w:hint="eastAsia" w:ascii="宋体" w:hAnsi="宋体" w:eastAsia="宋体" w:cs="宋体"/>
          <w:color w:val="auto"/>
          <w:sz w:val="24"/>
          <w:highlight w:val="none"/>
        </w:rPr>
        <w:t>计算有效</w:t>
      </w:r>
      <w:r>
        <w:rPr>
          <w:rFonts w:hint="eastAsia" w:ascii="宋体" w:hAnsi="宋体" w:eastAsia="宋体" w:cs="宋体"/>
          <w:color w:val="auto"/>
          <w:sz w:val="24"/>
          <w:highlight w:val="none"/>
          <w:lang w:val="en-US" w:eastAsia="zh-CN"/>
        </w:rPr>
        <w:t>期</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日历</w:t>
      </w:r>
      <w:r>
        <w:rPr>
          <w:rFonts w:hint="eastAsia" w:ascii="宋体" w:hAnsi="宋体" w:eastAsia="宋体" w:cs="宋体"/>
          <w:color w:val="auto"/>
          <w:sz w:val="24"/>
          <w:highlight w:val="none"/>
        </w:rPr>
        <w:t>天；</w:t>
      </w:r>
    </w:p>
    <w:p w14:paraId="63EFA609">
      <w:pPr>
        <w:pageBreakBefore w:val="0"/>
        <w:kinsoku w:val="0"/>
        <w:bidi w:val="0"/>
        <w:spacing w:line="44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.所有关于本次投标的函电，请按下列地址、方式联系：</w:t>
      </w:r>
    </w:p>
    <w:p w14:paraId="44B2BB9B">
      <w:pPr>
        <w:pageBreakBefore w:val="0"/>
        <w:kinsoku w:val="0"/>
        <w:bidi w:val="0"/>
        <w:spacing w:line="440" w:lineRule="exact"/>
        <w:ind w:firstLine="840"/>
        <w:outlineLvl w:val="9"/>
        <w:rPr>
          <w:rFonts w:hint="eastAsia" w:ascii="宋体" w:hAnsi="宋体" w:eastAsia="宋体" w:cs="宋体"/>
          <w:color w:val="auto"/>
          <w:sz w:val="24"/>
          <w:highlight w:val="none"/>
        </w:rPr>
      </w:pPr>
    </w:p>
    <w:p w14:paraId="42B51496">
      <w:pPr>
        <w:pageBreakBefore w:val="0"/>
        <w:kinsoku w:val="0"/>
        <w:bidi w:val="0"/>
        <w:spacing w:line="440" w:lineRule="exact"/>
        <w:ind w:firstLine="8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1CEA1F63">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219B79E">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p>
    <w:p w14:paraId="4FA8FA06">
      <w:pPr>
        <w:pageBreakBefore w:val="0"/>
        <w:kinsoku w:val="0"/>
        <w:bidi w:val="0"/>
        <w:spacing w:line="440" w:lineRule="exact"/>
        <w:ind w:firstLine="84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u w:val="single"/>
        </w:rPr>
        <w:t xml:space="preserve">                        </w:t>
      </w:r>
    </w:p>
    <w:p w14:paraId="4FC14440">
      <w:pPr>
        <w:pageBreakBefore w:val="0"/>
        <w:kinsoku w:val="0"/>
        <w:bidi w:val="0"/>
        <w:spacing w:line="440" w:lineRule="exact"/>
        <w:ind w:firstLine="570"/>
        <w:outlineLvl w:val="9"/>
        <w:rPr>
          <w:rFonts w:hint="eastAsia" w:ascii="宋体" w:hAnsi="宋体" w:eastAsia="宋体" w:cs="宋体"/>
          <w:color w:val="auto"/>
          <w:sz w:val="24"/>
          <w:highlight w:val="none"/>
        </w:rPr>
      </w:pPr>
    </w:p>
    <w:p w14:paraId="6BB55BA4">
      <w:pPr>
        <w:pageBreakBefore w:val="0"/>
        <w:kinsoku w:val="0"/>
        <w:bidi w:val="0"/>
        <w:spacing w:line="440" w:lineRule="exact"/>
        <w:ind w:firstLine="808" w:firstLineChars="33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p>
    <w:p w14:paraId="0EBA7CA8">
      <w:pPr>
        <w:pageBreakBefore w:val="0"/>
        <w:kinsoku w:val="0"/>
        <w:bidi w:val="0"/>
        <w:spacing w:line="440" w:lineRule="exact"/>
        <w:ind w:firstLine="570"/>
        <w:outlineLvl w:val="9"/>
        <w:rPr>
          <w:rFonts w:hint="eastAsia" w:ascii="宋体" w:hAnsi="宋体" w:eastAsia="宋体" w:cs="宋体"/>
          <w:color w:val="auto"/>
          <w:sz w:val="24"/>
          <w:highlight w:val="none"/>
        </w:rPr>
      </w:pPr>
    </w:p>
    <w:p w14:paraId="582D93FB">
      <w:pPr>
        <w:pageBreakBefore w:val="0"/>
        <w:kinsoku w:val="0"/>
        <w:bidi w:val="0"/>
        <w:spacing w:line="440" w:lineRule="exact"/>
        <w:ind w:firstLine="808" w:firstLineChars="337"/>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法定代表人/被授权人（签字或盖章）：</w:t>
      </w:r>
      <w:r>
        <w:rPr>
          <w:rFonts w:hint="eastAsia" w:ascii="宋体" w:hAnsi="宋体" w:eastAsia="宋体" w:cs="宋体"/>
          <w:color w:val="auto"/>
          <w:sz w:val="24"/>
          <w:highlight w:val="none"/>
          <w:u w:val="single"/>
        </w:rPr>
        <w:t xml:space="preserve">                </w:t>
      </w:r>
    </w:p>
    <w:p w14:paraId="4CE6F1C4">
      <w:pPr>
        <w:pageBreakBefore w:val="0"/>
        <w:kinsoku w:val="0"/>
        <w:bidi w:val="0"/>
        <w:spacing w:line="440" w:lineRule="exact"/>
        <w:outlineLvl w:val="9"/>
        <w:rPr>
          <w:rFonts w:hint="eastAsia" w:ascii="宋体" w:hAnsi="宋体" w:eastAsia="宋体" w:cs="宋体"/>
          <w:color w:val="auto"/>
          <w:sz w:val="24"/>
          <w:highlight w:val="none"/>
          <w:u w:val="single"/>
        </w:rPr>
      </w:pPr>
    </w:p>
    <w:p w14:paraId="49D93CD6">
      <w:pPr>
        <w:pageBreakBefore w:val="0"/>
        <w:kinsoku w:val="0"/>
        <w:bidi w:val="0"/>
        <w:spacing w:line="440" w:lineRule="exact"/>
        <w:ind w:firstLine="57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48CE00B">
      <w:pPr>
        <w:pageBreakBefore w:val="0"/>
        <w:bidi w:val="0"/>
        <w:spacing w:line="360" w:lineRule="atLeast"/>
        <w:outlineLvl w:val="9"/>
        <w:rPr>
          <w:rFonts w:hint="eastAsia" w:ascii="宋体" w:hAnsi="宋体" w:eastAsia="宋体" w:cs="宋体"/>
          <w:color w:val="auto"/>
          <w:sz w:val="24"/>
          <w:highlight w:val="none"/>
        </w:rPr>
        <w:sectPr>
          <w:pgSz w:w="11906" w:h="16838"/>
          <w:pgMar w:top="1559" w:right="1134" w:bottom="1020" w:left="1321" w:header="851" w:footer="992" w:gutter="0"/>
          <w:pgBorders>
            <w:top w:val="none" w:sz="0" w:space="0"/>
            <w:left w:val="none" w:sz="0" w:space="0"/>
            <w:bottom w:val="none" w:sz="0" w:space="0"/>
            <w:right w:val="none" w:sz="0" w:space="0"/>
          </w:pgBorders>
          <w:pgNumType w:fmt="decimal"/>
          <w:cols w:space="0" w:num="1"/>
          <w:docGrid w:type="lines" w:linePitch="315" w:charSpace="0"/>
        </w:sectPr>
      </w:pPr>
    </w:p>
    <w:p w14:paraId="41BA98A1">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开标一览表</w:t>
      </w:r>
    </w:p>
    <w:p w14:paraId="43A79E5C">
      <w:pPr>
        <w:pageBreakBefore w:val="0"/>
        <w:kinsoku w:val="0"/>
        <w:bidi w:val="0"/>
        <w:spacing w:line="500" w:lineRule="exact"/>
        <w:outlineLvl w:val="9"/>
        <w:rPr>
          <w:rFonts w:hint="eastAsia" w:ascii="宋体" w:hAnsi="宋体" w:eastAsia="宋体" w:cs="宋体"/>
          <w:color w:val="auto"/>
          <w:highlight w:val="none"/>
        </w:rPr>
      </w:pPr>
    </w:p>
    <w:p w14:paraId="18B5A431">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F0AAD91">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1D929A7">
      <w:pPr>
        <w:pageBreakBefore w:val="0"/>
        <w:kinsoku w:val="0"/>
        <w:bidi w:val="0"/>
        <w:spacing w:line="500" w:lineRule="exact"/>
        <w:ind w:firstLine="120" w:firstLineChars="5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标包：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单位：元</w:t>
      </w:r>
    </w:p>
    <w:tbl>
      <w:tblPr>
        <w:tblStyle w:val="2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2505"/>
        <w:gridCol w:w="1975"/>
        <w:gridCol w:w="2627"/>
      </w:tblGrid>
      <w:tr w14:paraId="0946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jc w:val="center"/>
        </w:trPr>
        <w:tc>
          <w:tcPr>
            <w:tcW w:w="2643" w:type="dxa"/>
            <w:tcBorders>
              <w:tl2br w:val="single" w:color="auto" w:sz="4" w:space="0"/>
            </w:tcBorders>
          </w:tcPr>
          <w:p w14:paraId="3F9CBC9D">
            <w:pPr>
              <w:pageBreakBefore w:val="0"/>
              <w:kinsoku w:val="0"/>
              <w:bidi w:val="0"/>
              <w:spacing w:line="500" w:lineRule="exact"/>
              <w:ind w:firstLine="1200" w:firstLineChars="5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报价内容</w:t>
            </w:r>
          </w:p>
          <w:p w14:paraId="1E498F2D">
            <w:pPr>
              <w:pageBreakBefore w:val="0"/>
              <w:kinsoku w:val="0"/>
              <w:bidi w:val="0"/>
              <w:spacing w:line="500" w:lineRule="exact"/>
              <w:outlineLvl w:val="9"/>
              <w:rPr>
                <w:rFonts w:hint="eastAsia" w:ascii="宋体" w:hAnsi="宋体" w:eastAsia="宋体" w:cs="宋体"/>
                <w:color w:val="auto"/>
                <w:sz w:val="24"/>
                <w:highlight w:val="none"/>
              </w:rPr>
            </w:pPr>
          </w:p>
          <w:p w14:paraId="5D37F1F2">
            <w:pPr>
              <w:pageBreakBefore w:val="0"/>
              <w:kinsoku w:val="0"/>
              <w:bidi w:val="0"/>
              <w:spacing w:line="50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供应商名称</w:t>
            </w:r>
          </w:p>
        </w:tc>
        <w:tc>
          <w:tcPr>
            <w:tcW w:w="2505" w:type="dxa"/>
            <w:vAlign w:val="center"/>
          </w:tcPr>
          <w:p w14:paraId="351F60EC">
            <w:pPr>
              <w:pageBreakBefore w:val="0"/>
              <w:kinsoku w:val="0"/>
              <w:bidi w:val="0"/>
              <w:spacing w:line="500" w:lineRule="exac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投标总</w:t>
            </w:r>
            <w:r>
              <w:rPr>
                <w:rFonts w:hint="eastAsia" w:ascii="宋体" w:hAnsi="宋体" w:eastAsia="宋体" w:cs="宋体"/>
                <w:color w:val="auto"/>
                <w:sz w:val="24"/>
                <w:highlight w:val="none"/>
              </w:rPr>
              <w:t>报价</w:t>
            </w:r>
          </w:p>
        </w:tc>
        <w:tc>
          <w:tcPr>
            <w:tcW w:w="1975" w:type="dxa"/>
            <w:vAlign w:val="center"/>
          </w:tcPr>
          <w:p w14:paraId="79BC100D">
            <w:pPr>
              <w:pageBreakBefore w:val="0"/>
              <w:kinsoku w:val="0"/>
              <w:bidi w:val="0"/>
              <w:spacing w:line="500" w:lineRule="exact"/>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p>
        </w:tc>
        <w:tc>
          <w:tcPr>
            <w:tcW w:w="2627" w:type="dxa"/>
            <w:vAlign w:val="center"/>
          </w:tcPr>
          <w:p w14:paraId="297CE4E7">
            <w:pPr>
              <w:pageBreakBefore w:val="0"/>
              <w:kinsoku w:val="0"/>
              <w:bidi w:val="0"/>
              <w:spacing w:line="500" w:lineRule="exact"/>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r>
      <w:tr w14:paraId="0EA9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643" w:type="dxa"/>
            <w:vAlign w:val="center"/>
          </w:tcPr>
          <w:p w14:paraId="464E2729">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2505" w:type="dxa"/>
            <w:vAlign w:val="center"/>
          </w:tcPr>
          <w:p w14:paraId="250B8F31">
            <w:pPr>
              <w:pageBreakBefore w:val="0"/>
              <w:kinsoku w:val="0"/>
              <w:bidi w:val="0"/>
              <w:spacing w:line="500" w:lineRule="exact"/>
              <w:jc w:val="both"/>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大写：</w:t>
            </w:r>
          </w:p>
          <w:p w14:paraId="24BBA9BB">
            <w:pPr>
              <w:pStyle w:val="7"/>
              <w:ind w:left="0" w:leftChars="0" w:firstLine="0" w:firstLineChars="0"/>
              <w:rPr>
                <w:rFonts w:hint="eastAsia"/>
                <w:lang w:eastAsia="zh-CN"/>
              </w:rPr>
            </w:pPr>
            <w:r>
              <w:rPr>
                <w:rFonts w:hint="eastAsia" w:ascii="宋体" w:hAnsi="宋体" w:cs="宋体"/>
                <w:color w:val="auto"/>
                <w:sz w:val="24"/>
                <w:highlight w:val="none"/>
                <w:lang w:eastAsia="zh-CN"/>
              </w:rPr>
              <w:t>小写：</w:t>
            </w:r>
          </w:p>
        </w:tc>
        <w:tc>
          <w:tcPr>
            <w:tcW w:w="1975" w:type="dxa"/>
            <w:vAlign w:val="center"/>
          </w:tcPr>
          <w:p w14:paraId="44DEB2B9">
            <w:pPr>
              <w:pageBreakBefore w:val="0"/>
              <w:kinsoku w:val="0"/>
              <w:bidi w:val="0"/>
              <w:spacing w:line="500" w:lineRule="exact"/>
              <w:jc w:val="center"/>
              <w:outlineLvl w:val="9"/>
              <w:rPr>
                <w:rFonts w:hint="eastAsia" w:ascii="宋体" w:hAnsi="宋体" w:eastAsia="宋体" w:cs="宋体"/>
                <w:color w:val="auto"/>
                <w:sz w:val="24"/>
                <w:highlight w:val="none"/>
              </w:rPr>
            </w:pPr>
          </w:p>
        </w:tc>
        <w:tc>
          <w:tcPr>
            <w:tcW w:w="2627" w:type="dxa"/>
            <w:vAlign w:val="center"/>
          </w:tcPr>
          <w:p w14:paraId="7667817C">
            <w:pPr>
              <w:pageBreakBefore w:val="0"/>
              <w:kinsoku w:val="0"/>
              <w:bidi w:val="0"/>
              <w:spacing w:line="500" w:lineRule="exact"/>
              <w:jc w:val="center"/>
              <w:outlineLvl w:val="9"/>
              <w:rPr>
                <w:rFonts w:hint="eastAsia" w:ascii="宋体" w:hAnsi="宋体" w:eastAsia="宋体" w:cs="宋体"/>
                <w:color w:val="auto"/>
                <w:sz w:val="24"/>
                <w:highlight w:val="none"/>
              </w:rPr>
            </w:pPr>
          </w:p>
        </w:tc>
      </w:tr>
    </w:tbl>
    <w:p w14:paraId="0E7939E7">
      <w:pPr>
        <w:pageBreakBefore w:val="0"/>
        <w:kinsoku w:val="0"/>
        <w:bidi w:val="0"/>
        <w:spacing w:line="500" w:lineRule="exac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注：投标报价不作为结算价，最终结算价根据实际供货量按</w:t>
      </w:r>
      <w:r>
        <w:rPr>
          <w:rFonts w:hint="eastAsia" w:ascii="宋体" w:hAnsi="宋体" w:cs="宋体"/>
          <w:color w:val="auto"/>
          <w:sz w:val="24"/>
          <w:highlight w:val="none"/>
          <w:lang w:eastAsia="zh-CN"/>
        </w:rPr>
        <w:t>实</w:t>
      </w:r>
      <w:r>
        <w:rPr>
          <w:rFonts w:hint="eastAsia" w:ascii="宋体" w:hAnsi="宋体" w:eastAsia="宋体" w:cs="宋体"/>
          <w:color w:val="auto"/>
          <w:sz w:val="24"/>
          <w:highlight w:val="none"/>
          <w:lang w:eastAsia="zh-CN"/>
        </w:rPr>
        <w:t>结算。</w:t>
      </w:r>
    </w:p>
    <w:p w14:paraId="40C22863">
      <w:pPr>
        <w:pageBreakBefore w:val="0"/>
        <w:kinsoku w:val="0"/>
        <w:bidi w:val="0"/>
        <w:spacing w:line="500" w:lineRule="exact"/>
        <w:outlineLvl w:val="9"/>
        <w:rPr>
          <w:rFonts w:hint="eastAsia" w:ascii="宋体" w:hAnsi="宋体" w:eastAsia="宋体" w:cs="宋体"/>
          <w:color w:val="auto"/>
          <w:sz w:val="24"/>
          <w:highlight w:val="none"/>
          <w:lang w:eastAsia="zh-CN"/>
        </w:rPr>
      </w:pPr>
    </w:p>
    <w:p w14:paraId="444CE3E7">
      <w:pPr>
        <w:pageBreakBefore w:val="0"/>
        <w:kinsoku w:val="0"/>
        <w:bidi w:val="0"/>
        <w:spacing w:line="500" w:lineRule="exact"/>
        <w:ind w:firstLine="3120" w:firstLineChars="13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575EB82">
      <w:pPr>
        <w:pageBreakBefore w:val="0"/>
        <w:kinsoku w:val="0"/>
        <w:bidi w:val="0"/>
        <w:spacing w:line="500" w:lineRule="exact"/>
        <w:ind w:firstLine="3120" w:firstLineChars="1300"/>
        <w:outlineLvl w:val="9"/>
        <w:rPr>
          <w:rFonts w:hint="eastAsia" w:ascii="宋体" w:hAnsi="宋体" w:eastAsia="宋体" w:cs="宋体"/>
          <w:color w:val="auto"/>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val="en-US" w:eastAsia="zh-CN"/>
        </w:rPr>
        <w:t>日</w:t>
      </w:r>
      <w:r>
        <w:rPr>
          <w:rFonts w:hint="eastAsia" w:ascii="宋体" w:hAnsi="宋体" w:eastAsia="宋体" w:cs="宋体"/>
          <w:color w:val="auto"/>
          <w:sz w:val="24"/>
          <w:highlight w:val="none"/>
        </w:rPr>
        <w:br w:type="page"/>
      </w:r>
    </w:p>
    <w:p w14:paraId="38C1D6E6">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b/>
          <w:color w:val="auto"/>
          <w:sz w:val="32"/>
          <w:highlight w:val="none"/>
          <w:lang w:val="en-US" w:eastAsia="zh-CN"/>
        </w:rPr>
        <w:t>三、</w:t>
      </w:r>
      <w:r>
        <w:rPr>
          <w:rFonts w:hint="eastAsia" w:ascii="宋体" w:hAnsi="宋体" w:eastAsia="宋体" w:cs="宋体"/>
          <w:b/>
          <w:color w:val="auto"/>
          <w:sz w:val="32"/>
          <w:szCs w:val="21"/>
          <w:highlight w:val="none"/>
          <w:lang w:val="en-US" w:eastAsia="zh-CN"/>
        </w:rPr>
        <w:t>投标保证金交纳凭证</w:t>
      </w:r>
    </w:p>
    <w:p w14:paraId="75DCA0A9">
      <w:pPr>
        <w:pageBreakBefore w:val="0"/>
        <w:kinsoku w:val="0"/>
        <w:bidi w:val="0"/>
        <w:spacing w:line="500" w:lineRule="exact"/>
        <w:jc w:val="center"/>
        <w:outlineLvl w:val="9"/>
        <w:rPr>
          <w:rFonts w:hint="eastAsia" w:ascii="宋体" w:hAnsi="宋体" w:eastAsia="宋体" w:cs="宋体"/>
          <w:b/>
          <w:color w:val="auto"/>
          <w:sz w:val="32"/>
          <w:highlight w:val="none"/>
          <w:lang w:val="en-US" w:eastAsia="zh-CN"/>
        </w:rPr>
      </w:pPr>
      <w:bookmarkStart w:id="76" w:name="OLE_LINK6"/>
      <w:r>
        <w:rPr>
          <w:rFonts w:hint="eastAsia" w:ascii="宋体" w:hAnsi="宋体" w:eastAsia="宋体" w:cs="宋体"/>
          <w:b/>
          <w:color w:val="auto"/>
          <w:sz w:val="32"/>
          <w:highlight w:val="none"/>
          <w:lang w:val="en-US" w:eastAsia="zh-CN"/>
        </w:rPr>
        <w:t>四、</w:t>
      </w:r>
      <w:r>
        <w:rPr>
          <w:rFonts w:hint="eastAsia" w:ascii="宋体" w:hAnsi="宋体" w:cs="宋体"/>
          <w:b/>
          <w:color w:val="auto"/>
          <w:sz w:val="32"/>
          <w:highlight w:val="none"/>
          <w:lang w:val="en-US" w:eastAsia="zh-CN"/>
        </w:rPr>
        <w:t>技术</w:t>
      </w:r>
      <w:r>
        <w:rPr>
          <w:rFonts w:hint="eastAsia" w:ascii="宋体" w:hAnsi="宋体" w:eastAsia="宋体" w:cs="宋体"/>
          <w:b/>
          <w:color w:val="auto"/>
          <w:sz w:val="32"/>
          <w:highlight w:val="none"/>
          <w:lang w:val="en-US" w:eastAsia="zh-CN"/>
        </w:rPr>
        <w:t>响应偏离表</w:t>
      </w:r>
    </w:p>
    <w:bookmarkEnd w:id="76"/>
    <w:p w14:paraId="52221F16">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6C9801">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616C7E68">
      <w:pPr>
        <w:pageBreakBefore w:val="0"/>
        <w:kinsoku w:val="0"/>
        <w:bidi w:val="0"/>
        <w:spacing w:line="500" w:lineRule="exact"/>
        <w:ind w:left="99" w:leftChars="47" w:firstLine="0" w:firstLineChars="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标包：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6A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35E3DE68">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宋体" w:hAnsi="宋体" w:eastAsia="宋体" w:cs="宋体"/>
                <w:sz w:val="21"/>
                <w:szCs w:val="21"/>
                <w:highlight w:val="none"/>
              </w:rPr>
            </w:pPr>
            <w:bookmarkStart w:id="77" w:name="_Toc22859"/>
            <w:bookmarkStart w:id="78" w:name="_Toc32204"/>
            <w:bookmarkStart w:id="79" w:name="_Toc27032"/>
            <w:bookmarkStart w:id="80" w:name="_Toc32036"/>
            <w:r>
              <w:rPr>
                <w:rFonts w:hint="eastAsia" w:ascii="宋体" w:hAnsi="宋体" w:eastAsia="宋体" w:cs="宋体"/>
                <w:sz w:val="21"/>
                <w:szCs w:val="21"/>
                <w:highlight w:val="none"/>
              </w:rPr>
              <w:t>序号</w:t>
            </w:r>
            <w:bookmarkEnd w:id="77"/>
            <w:bookmarkEnd w:id="78"/>
            <w:bookmarkEnd w:id="79"/>
            <w:bookmarkEnd w:id="80"/>
          </w:p>
        </w:tc>
        <w:tc>
          <w:tcPr>
            <w:tcW w:w="2658" w:type="dxa"/>
            <w:noWrap w:val="0"/>
            <w:vAlign w:val="center"/>
          </w:tcPr>
          <w:p w14:paraId="21E4BFA2">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内容及要求</w:t>
            </w:r>
          </w:p>
        </w:tc>
        <w:tc>
          <w:tcPr>
            <w:tcW w:w="2759" w:type="dxa"/>
            <w:noWrap w:val="0"/>
            <w:vAlign w:val="center"/>
          </w:tcPr>
          <w:p w14:paraId="4839ECC6">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宋体" w:hAnsi="宋体" w:eastAsia="宋体" w:cs="宋体"/>
                <w:sz w:val="21"/>
                <w:szCs w:val="21"/>
                <w:highlight w:val="none"/>
              </w:rPr>
            </w:pPr>
            <w:bookmarkStart w:id="81" w:name="_Toc14290"/>
            <w:bookmarkStart w:id="82" w:name="_Toc7585"/>
            <w:bookmarkStart w:id="83" w:name="_Toc25281"/>
            <w:bookmarkStart w:id="84" w:name="_Toc20997"/>
            <w:r>
              <w:rPr>
                <w:rFonts w:hint="eastAsia" w:ascii="宋体" w:hAnsi="宋体" w:eastAsia="宋体" w:cs="宋体"/>
                <w:sz w:val="21"/>
                <w:szCs w:val="21"/>
                <w:highlight w:val="none"/>
              </w:rPr>
              <w:t>响应情况</w:t>
            </w:r>
            <w:bookmarkEnd w:id="81"/>
            <w:bookmarkEnd w:id="82"/>
            <w:bookmarkEnd w:id="83"/>
            <w:bookmarkEnd w:id="84"/>
          </w:p>
        </w:tc>
        <w:tc>
          <w:tcPr>
            <w:tcW w:w="2067" w:type="dxa"/>
            <w:noWrap w:val="0"/>
            <w:vAlign w:val="center"/>
          </w:tcPr>
          <w:p w14:paraId="72289BC9">
            <w:pPr>
              <w:pageBreakBefore w:val="0"/>
              <w:tabs>
                <w:tab w:val="left" w:pos="6300"/>
              </w:tabs>
              <w:kinsoku/>
              <w:overflowPunct/>
              <w:topLinePunct w:val="0"/>
              <w:bidi w:val="0"/>
              <w:snapToGrid w:val="0"/>
              <w:spacing w:beforeLines="0" w:line="240" w:lineRule="auto"/>
              <w:ind w:left="0" w:leftChars="0" w:firstLine="0" w:firstLineChars="0"/>
              <w:jc w:val="center"/>
              <w:textAlignment w:val="auto"/>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偏离情况</w:t>
            </w:r>
          </w:p>
        </w:tc>
      </w:tr>
      <w:tr w14:paraId="7433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A1BDAC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6D7EFB7A">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1322EAC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616F223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2773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37A35E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5C81B4FE">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3709899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1EAFD6BE">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6EE9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430FB9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3E8BDA2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5408148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00BEE34A">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5E9E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1A8F86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28774EB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1DF6C37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05C9810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36D7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05583F">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291E35B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3D99CCD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34DF810B">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716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8C6BD2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3EE406D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4B077FE8">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532D2F3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44DA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A8A4A41">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719FD405">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33FEFBD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6671B134">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57E3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D02A1AC">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10AFCD77">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4D259F7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13E1B2E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r w14:paraId="72B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9F201F9">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658" w:type="dxa"/>
            <w:noWrap w:val="0"/>
            <w:vAlign w:val="center"/>
          </w:tcPr>
          <w:p w14:paraId="46BAABB0">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759" w:type="dxa"/>
            <w:noWrap w:val="0"/>
            <w:vAlign w:val="center"/>
          </w:tcPr>
          <w:p w14:paraId="300644E3">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c>
          <w:tcPr>
            <w:tcW w:w="2067" w:type="dxa"/>
            <w:noWrap w:val="0"/>
            <w:vAlign w:val="center"/>
          </w:tcPr>
          <w:p w14:paraId="7E066E22">
            <w:pPr>
              <w:pageBreakBefore w:val="0"/>
              <w:tabs>
                <w:tab w:val="left" w:pos="6300"/>
              </w:tabs>
              <w:kinsoku/>
              <w:overflowPunct/>
              <w:topLinePunct w:val="0"/>
              <w:bidi w:val="0"/>
              <w:snapToGrid w:val="0"/>
              <w:spacing w:beforeLines="0" w:line="240" w:lineRule="auto"/>
              <w:ind w:firstLine="420"/>
              <w:jc w:val="center"/>
              <w:textAlignment w:val="auto"/>
              <w:outlineLvl w:val="9"/>
              <w:rPr>
                <w:rFonts w:hint="eastAsia" w:ascii="宋体" w:hAnsi="宋体" w:eastAsia="宋体" w:cs="宋体"/>
                <w:sz w:val="21"/>
                <w:szCs w:val="21"/>
                <w:highlight w:val="none"/>
              </w:rPr>
            </w:pPr>
          </w:p>
        </w:tc>
      </w:tr>
    </w:tbl>
    <w:p w14:paraId="11394C3E">
      <w:pPr>
        <w:pageBreakBefore w:val="0"/>
        <w:autoSpaceDE w:val="0"/>
        <w:autoSpaceDN w:val="0"/>
        <w:bidi w:val="0"/>
        <w:adjustRightInd w:val="0"/>
        <w:spacing w:line="360" w:lineRule="auto"/>
        <w:ind w:firstLine="42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 w:val="24"/>
          <w:highlight w:val="none"/>
        </w:rPr>
        <w:t>请按项目的</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，逐条对应招标文件的“</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内容及要求”，认真填写本表。偏离情况填写：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eastAsia="宋体" w:cs="宋体"/>
          <w:color w:val="auto"/>
          <w:sz w:val="24"/>
          <w:highlight w:val="none"/>
        </w:rPr>
        <w:t>，偏离说明对偏离情况做出详细说明</w:t>
      </w:r>
      <w:r>
        <w:rPr>
          <w:rFonts w:hint="eastAsia" w:ascii="宋体" w:hAnsi="宋体" w:eastAsia="宋体" w:cs="宋体"/>
          <w:color w:val="auto"/>
          <w:sz w:val="24"/>
          <w:highlight w:val="none"/>
          <w:lang w:val="en-US" w:eastAsia="zh-CN"/>
        </w:rPr>
        <w:t>。如果不填写</w:t>
      </w:r>
      <w:r>
        <w:rPr>
          <w:rFonts w:hint="eastAsia" w:ascii="宋体" w:hAnsi="宋体" w:cs="宋体"/>
          <w:color w:val="auto"/>
          <w:sz w:val="24"/>
          <w:highlight w:val="none"/>
          <w:lang w:val="en-US" w:eastAsia="zh-CN"/>
        </w:rPr>
        <w:t>此表</w:t>
      </w:r>
      <w:r>
        <w:rPr>
          <w:rFonts w:hint="eastAsia" w:ascii="宋体" w:hAnsi="宋体" w:eastAsia="宋体" w:cs="宋体"/>
          <w:color w:val="auto"/>
          <w:sz w:val="24"/>
          <w:highlight w:val="none"/>
          <w:lang w:val="en-US" w:eastAsia="zh-CN"/>
        </w:rPr>
        <w:t>，则默认为无偏离。</w:t>
      </w:r>
    </w:p>
    <w:p w14:paraId="347FCBBC">
      <w:pPr>
        <w:pageBreakBefore w:val="0"/>
        <w:bidi w:val="0"/>
        <w:spacing w:line="480" w:lineRule="exact"/>
        <w:outlineLvl w:val="9"/>
        <w:rPr>
          <w:rFonts w:hint="eastAsia" w:ascii="宋体" w:hAnsi="宋体" w:eastAsia="宋体" w:cs="宋体"/>
          <w:color w:val="auto"/>
          <w:szCs w:val="21"/>
          <w:highlight w:val="none"/>
        </w:rPr>
      </w:pPr>
    </w:p>
    <w:p w14:paraId="58E339DE">
      <w:pPr>
        <w:pageBreakBefore w:val="0"/>
        <w:bidi w:val="0"/>
        <w:spacing w:line="480" w:lineRule="exact"/>
        <w:outlineLvl w:val="9"/>
        <w:rPr>
          <w:rFonts w:hint="eastAsia" w:ascii="宋体" w:hAnsi="宋体" w:eastAsia="宋体" w:cs="宋体"/>
          <w:color w:val="auto"/>
          <w:szCs w:val="21"/>
          <w:highlight w:val="none"/>
        </w:rPr>
      </w:pPr>
    </w:p>
    <w:p w14:paraId="56FBD5CB">
      <w:pPr>
        <w:pStyle w:val="13"/>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3C7468">
      <w:pPr>
        <w:pStyle w:val="13"/>
        <w:pageBreakBefore w:val="0"/>
        <w:bidi w:val="0"/>
        <w:ind w:firstLine="480"/>
        <w:outlineLvl w:val="9"/>
        <w:rPr>
          <w:rFonts w:hint="eastAsia" w:ascii="宋体" w:hAnsi="宋体" w:eastAsia="宋体" w:cs="宋体"/>
          <w:color w:val="auto"/>
          <w:sz w:val="24"/>
          <w:szCs w:val="24"/>
          <w:highlight w:val="none"/>
        </w:rPr>
      </w:pPr>
    </w:p>
    <w:p w14:paraId="19C91A72">
      <w:pPr>
        <w:pStyle w:val="13"/>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2DF0B901">
      <w:pPr>
        <w:pStyle w:val="23"/>
        <w:pageBreakBefore w:val="0"/>
        <w:bidi w:val="0"/>
        <w:outlineLvl w:val="9"/>
        <w:rPr>
          <w:rFonts w:hint="eastAsia" w:ascii="宋体" w:hAnsi="宋体" w:eastAsia="宋体" w:cs="宋体"/>
          <w:color w:val="auto"/>
          <w:highlight w:val="none"/>
        </w:rPr>
      </w:pPr>
    </w:p>
    <w:p w14:paraId="613D05E4">
      <w:pPr>
        <w:pageBreakBefore w:val="0"/>
        <w:bidi w:val="0"/>
        <w:spacing w:line="360" w:lineRule="atLeast"/>
        <w:jc w:val="center"/>
        <w:outlineLvl w:val="9"/>
        <w:rPr>
          <w:rFonts w:hint="eastAsia" w:ascii="宋体" w:hAnsi="宋体" w:eastAsia="宋体" w:cs="宋体"/>
          <w:b/>
          <w:color w:val="auto"/>
          <w:sz w:val="32"/>
          <w:szCs w:val="32"/>
          <w:highlight w:val="none"/>
        </w:rPr>
      </w:pPr>
    </w:p>
    <w:p w14:paraId="7BC04702">
      <w:pPr>
        <w:pageBreakBefore w:val="0"/>
        <w:bidi w:val="0"/>
        <w:spacing w:line="360" w:lineRule="atLeast"/>
        <w:jc w:val="center"/>
        <w:outlineLvl w:val="9"/>
        <w:rPr>
          <w:rFonts w:hint="eastAsia" w:ascii="宋体" w:hAnsi="宋体" w:eastAsia="宋体" w:cs="宋体"/>
          <w:b/>
          <w:color w:val="auto"/>
          <w:sz w:val="32"/>
          <w:szCs w:val="32"/>
          <w:highlight w:val="none"/>
        </w:rPr>
      </w:pPr>
    </w:p>
    <w:p w14:paraId="6407222C">
      <w:pPr>
        <w:pageBreakBefore w:val="0"/>
        <w:bidi w:val="0"/>
        <w:spacing w:line="360" w:lineRule="atLeast"/>
        <w:jc w:val="center"/>
        <w:outlineLvl w:val="9"/>
        <w:rPr>
          <w:rFonts w:hint="eastAsia" w:ascii="宋体" w:hAnsi="宋体" w:eastAsia="宋体" w:cs="宋体"/>
          <w:b/>
          <w:color w:val="auto"/>
          <w:sz w:val="32"/>
          <w:szCs w:val="32"/>
          <w:highlight w:val="none"/>
        </w:rPr>
      </w:pPr>
    </w:p>
    <w:p w14:paraId="5781E4A7">
      <w:pPr>
        <w:pStyle w:val="15"/>
        <w:pageBreakBefore w:val="0"/>
        <w:bidi w:val="0"/>
        <w:outlineLvl w:val="9"/>
        <w:rPr>
          <w:rFonts w:hint="eastAsia" w:ascii="宋体" w:hAnsi="宋体" w:eastAsia="宋体" w:cs="宋体"/>
          <w:color w:val="auto"/>
          <w:highlight w:val="none"/>
        </w:rPr>
        <w:sectPr>
          <w:headerReference r:id="rId8" w:type="first"/>
          <w:footerReference r:id="rId10" w:type="first"/>
          <w:headerReference r:id="rId7" w:type="default"/>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1FCA1B7">
      <w:pPr>
        <w:pageBreakBefore w:val="0"/>
        <w:bidi w:val="0"/>
        <w:adjustRightInd w:val="0"/>
        <w:snapToGrid w:val="0"/>
        <w:spacing w:line="360" w:lineRule="auto"/>
        <w:jc w:val="center"/>
        <w:outlineLvl w:val="9"/>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lang w:val="en-US" w:eastAsia="zh-CN"/>
        </w:rPr>
        <w:t>五、</w:t>
      </w:r>
      <w:r>
        <w:rPr>
          <w:rFonts w:hint="eastAsia" w:ascii="宋体" w:hAnsi="宋体" w:eastAsia="宋体" w:cs="宋体"/>
          <w:b/>
          <w:color w:val="auto"/>
          <w:sz w:val="32"/>
          <w:szCs w:val="21"/>
          <w:highlight w:val="none"/>
        </w:rPr>
        <w:t>合同主要条款响应说明</w:t>
      </w:r>
    </w:p>
    <w:p w14:paraId="2EFD18BD">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0CE970A">
      <w:pPr>
        <w:pageBreakBefore w:val="0"/>
        <w:kinsoku w:val="0"/>
        <w:bidi w:val="0"/>
        <w:spacing w:line="500" w:lineRule="exact"/>
        <w:ind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14:paraId="082AEF90">
      <w:pPr>
        <w:pageBreakBefore w:val="0"/>
        <w:kinsoku w:val="0"/>
        <w:bidi w:val="0"/>
        <w:spacing w:line="540" w:lineRule="exact"/>
        <w:ind w:left="0" w:leftChars="0" w:firstLine="120" w:firstLineChars="5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eastAsia="zh-CN"/>
        </w:rPr>
        <w:t>标包：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32"/>
          <w:szCs w:val="32"/>
          <w:highlight w:val="none"/>
        </w:rPr>
        <w:t xml:space="preserve">                        </w:t>
      </w:r>
    </w:p>
    <w:tbl>
      <w:tblPr>
        <w:tblStyle w:val="2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010F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B54B2FD">
            <w:pPr>
              <w:pageBreakBefore w:val="0"/>
              <w:bidi w:val="0"/>
              <w:spacing w:line="560" w:lineRule="exact"/>
              <w:ind w:right="-168" w:rightChars="-80" w:firstLine="120" w:firstLineChars="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vAlign w:val="center"/>
          </w:tcPr>
          <w:p w14:paraId="3C0583F6">
            <w:pPr>
              <w:pageBreakBefore w:val="0"/>
              <w:bidi w:val="0"/>
              <w:spacing w:line="560" w:lineRule="exact"/>
              <w:ind w:right="-168" w:rightChars="-8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vAlign w:val="center"/>
          </w:tcPr>
          <w:p w14:paraId="32EB7C57">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vAlign w:val="center"/>
          </w:tcPr>
          <w:p w14:paraId="769C566B">
            <w:pPr>
              <w:pageBreakBefore w:val="0"/>
              <w:bidi w:val="0"/>
              <w:spacing w:line="560" w:lineRule="exact"/>
              <w:ind w:right="-168" w:rightChars="-80"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14:paraId="53EB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0DF348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132C24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646277E3">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37CEBA77">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4E67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C2F3E0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6178B49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4E3F2A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F54A32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6002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D67A0D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BF56A0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592B99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3DC166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1AE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09F02B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4EDE08B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E6E763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1CC3945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628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BE14E3B">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8A7802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110B1E9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A7FB0E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D1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E5A23A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1879483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762E79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9F84E0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5243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65694DE">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02D924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7377612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1E45F38">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2B60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F7E846C">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71957994">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144449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5C33823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D78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91E72A5">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C1EDBD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0466B27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6965B6E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02C2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C2D438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D2ACBC7">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3053B8E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587F890">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7CBF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87E3C3E">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5E5E15BD">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E318E41">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26FFC55A">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r w14:paraId="371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CD02B82">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451" w:type="dxa"/>
            <w:vAlign w:val="center"/>
          </w:tcPr>
          <w:p w14:paraId="2BE9FB99">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3015" w:type="dxa"/>
            <w:vAlign w:val="center"/>
          </w:tcPr>
          <w:p w14:paraId="511D2CDF">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c>
          <w:tcPr>
            <w:tcW w:w="1881" w:type="dxa"/>
            <w:vAlign w:val="center"/>
          </w:tcPr>
          <w:p w14:paraId="0690B146">
            <w:pPr>
              <w:pageBreakBefore w:val="0"/>
              <w:bidi w:val="0"/>
              <w:spacing w:line="560" w:lineRule="exact"/>
              <w:ind w:right="-168" w:rightChars="-80"/>
              <w:jc w:val="center"/>
              <w:outlineLvl w:val="9"/>
              <w:rPr>
                <w:rFonts w:hint="eastAsia" w:ascii="宋体" w:hAnsi="宋体" w:eastAsia="宋体" w:cs="宋体"/>
                <w:color w:val="auto"/>
                <w:sz w:val="24"/>
                <w:highlight w:val="none"/>
              </w:rPr>
            </w:pPr>
          </w:p>
        </w:tc>
      </w:tr>
    </w:tbl>
    <w:p w14:paraId="63F4CB27">
      <w:pPr>
        <w:pageBreakBefore w:val="0"/>
        <w:autoSpaceDE w:val="0"/>
        <w:autoSpaceDN w:val="0"/>
        <w:bidi w:val="0"/>
        <w:adjustRightIn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061A4103">
      <w:pPr>
        <w:pageBreakBefore w:val="0"/>
        <w:autoSpaceDE w:val="0"/>
        <w:autoSpaceDN w:val="0"/>
        <w:bidi w:val="0"/>
        <w:adjustRightIn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1、投标文件根据第四部分合同主要条款如实填写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响应说明填写：</w:t>
      </w:r>
      <w:r>
        <w:rPr>
          <w:rFonts w:hint="eastAsia" w:ascii="宋体" w:hAnsi="宋体" w:eastAsia="宋体" w:cs="宋体"/>
          <w:color w:val="auto"/>
          <w:sz w:val="24"/>
          <w:highlight w:val="none"/>
          <w:lang w:val="en-US" w:eastAsia="zh-CN"/>
        </w:rPr>
        <w:t>正偏离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负偏离、无偏离</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如果不填写</w:t>
      </w:r>
      <w:r>
        <w:rPr>
          <w:rFonts w:hint="eastAsia" w:ascii="宋体" w:hAnsi="宋体" w:cs="宋体"/>
          <w:color w:val="auto"/>
          <w:sz w:val="24"/>
          <w:highlight w:val="none"/>
          <w:lang w:val="en-US" w:eastAsia="zh-CN"/>
        </w:rPr>
        <w:t>此表</w:t>
      </w:r>
      <w:r>
        <w:rPr>
          <w:rFonts w:hint="eastAsia" w:ascii="宋体" w:hAnsi="宋体" w:eastAsia="宋体" w:cs="宋体"/>
          <w:color w:val="auto"/>
          <w:sz w:val="24"/>
          <w:highlight w:val="none"/>
          <w:lang w:val="en-US" w:eastAsia="zh-CN"/>
        </w:rPr>
        <w:t>，则默认为无偏离</w:t>
      </w:r>
      <w:r>
        <w:rPr>
          <w:rFonts w:hint="eastAsia" w:ascii="宋体" w:hAnsi="宋体" w:eastAsia="宋体" w:cs="宋体"/>
          <w:color w:val="auto"/>
          <w:sz w:val="24"/>
          <w:highlight w:val="none"/>
        </w:rPr>
        <w:t>。</w:t>
      </w:r>
    </w:p>
    <w:p w14:paraId="6F9939FA">
      <w:pPr>
        <w:pStyle w:val="13"/>
        <w:pageBreakBefore w:val="0"/>
        <w:bidi w:val="0"/>
        <w:ind w:firstLine="480"/>
        <w:outlineLvl w:val="9"/>
        <w:rPr>
          <w:rFonts w:hint="eastAsia" w:ascii="宋体" w:hAnsi="宋体" w:eastAsia="宋体" w:cs="宋体"/>
          <w:color w:val="auto"/>
          <w:sz w:val="24"/>
          <w:szCs w:val="24"/>
          <w:highlight w:val="none"/>
        </w:rPr>
      </w:pPr>
    </w:p>
    <w:p w14:paraId="32B75AA1">
      <w:pPr>
        <w:pStyle w:val="13"/>
        <w:pageBreakBefore w:val="0"/>
        <w:bidi w:val="0"/>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E06F40">
      <w:pPr>
        <w:pStyle w:val="13"/>
        <w:pageBreakBefore w:val="0"/>
        <w:bidi w:val="0"/>
        <w:ind w:firstLine="480"/>
        <w:outlineLvl w:val="9"/>
        <w:rPr>
          <w:rFonts w:hint="eastAsia" w:ascii="宋体" w:hAnsi="宋体" w:eastAsia="宋体" w:cs="宋体"/>
          <w:color w:val="auto"/>
          <w:sz w:val="24"/>
          <w:szCs w:val="24"/>
          <w:highlight w:val="none"/>
        </w:rPr>
      </w:pPr>
    </w:p>
    <w:p w14:paraId="7747FC33">
      <w:pPr>
        <w:pStyle w:val="13"/>
        <w:pageBreakBefore w:val="0"/>
        <w:bidi w:val="0"/>
        <w:ind w:firstLine="48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rPr>
        <w:t xml:space="preserve">                                                        </w:t>
      </w:r>
    </w:p>
    <w:p w14:paraId="0053A978">
      <w:pPr>
        <w:pStyle w:val="23"/>
        <w:pageBreakBefore w:val="0"/>
        <w:bidi w:val="0"/>
        <w:outlineLvl w:val="9"/>
        <w:rPr>
          <w:rFonts w:hint="eastAsia" w:ascii="宋体" w:hAnsi="宋体" w:eastAsia="宋体" w:cs="宋体"/>
          <w:color w:val="auto"/>
          <w:highlight w:val="none"/>
        </w:rPr>
      </w:pPr>
    </w:p>
    <w:p w14:paraId="0A86E536">
      <w:pPr>
        <w:pageBreakBefore w:val="0"/>
        <w:bidi w:val="0"/>
        <w:spacing w:line="360" w:lineRule="atLeast"/>
        <w:jc w:val="center"/>
        <w:outlineLvl w:val="9"/>
        <w:rPr>
          <w:rFonts w:hint="eastAsia" w:ascii="宋体" w:hAnsi="宋体" w:eastAsia="宋体" w:cs="宋体"/>
          <w:b/>
          <w:color w:val="auto"/>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CE167BF">
      <w:pPr>
        <w:pageBreakBefore w:val="0"/>
        <w:bidi w:val="0"/>
        <w:spacing w:line="360" w:lineRule="atLeas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bookmarkStart w:id="85" w:name="OLE_LINK2"/>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val="en-US" w:eastAsia="zh-CN"/>
        </w:rPr>
        <w:t>身份</w:t>
      </w:r>
      <w:r>
        <w:rPr>
          <w:rFonts w:hint="eastAsia" w:ascii="宋体" w:hAnsi="宋体" w:eastAsia="宋体" w:cs="宋体"/>
          <w:b/>
          <w:color w:val="auto"/>
          <w:sz w:val="32"/>
          <w:szCs w:val="32"/>
          <w:highlight w:val="none"/>
        </w:rPr>
        <w:t>证明与授权</w:t>
      </w:r>
      <w:r>
        <w:rPr>
          <w:rFonts w:hint="eastAsia" w:ascii="宋体" w:hAnsi="宋体" w:eastAsia="宋体" w:cs="宋体"/>
          <w:b/>
          <w:color w:val="auto"/>
          <w:sz w:val="32"/>
          <w:szCs w:val="32"/>
          <w:highlight w:val="none"/>
          <w:lang w:val="en-US" w:eastAsia="zh-CN"/>
        </w:rPr>
        <w:t>委托</w:t>
      </w:r>
      <w:r>
        <w:rPr>
          <w:rFonts w:hint="eastAsia" w:ascii="宋体" w:hAnsi="宋体" w:eastAsia="宋体" w:cs="宋体"/>
          <w:b/>
          <w:color w:val="auto"/>
          <w:sz w:val="32"/>
          <w:szCs w:val="32"/>
          <w:highlight w:val="none"/>
        </w:rPr>
        <w:t>书</w:t>
      </w:r>
    </w:p>
    <w:p w14:paraId="1962D0E9">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5081FB51">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法定代表人</w:t>
      </w:r>
      <w:r>
        <w:rPr>
          <w:rFonts w:hint="eastAsia" w:ascii="宋体" w:hAnsi="宋体" w:eastAsia="宋体" w:cs="宋体"/>
          <w:b/>
          <w:color w:val="auto"/>
          <w:kern w:val="0"/>
          <w:sz w:val="32"/>
          <w:szCs w:val="32"/>
          <w:highlight w:val="none"/>
          <w:lang w:val="en-US" w:eastAsia="zh-CN"/>
        </w:rPr>
        <w:t>身份</w:t>
      </w:r>
      <w:r>
        <w:rPr>
          <w:rFonts w:hint="eastAsia" w:ascii="宋体" w:hAnsi="宋体" w:eastAsia="宋体" w:cs="宋体"/>
          <w:b/>
          <w:color w:val="auto"/>
          <w:kern w:val="0"/>
          <w:sz w:val="32"/>
          <w:szCs w:val="32"/>
          <w:highlight w:val="none"/>
        </w:rPr>
        <w:t>证明</w:t>
      </w:r>
    </w:p>
    <w:p w14:paraId="28F9F751">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09071DCF">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170B221B">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thick"/>
        </w:rPr>
        <w:t>.</w:t>
      </w:r>
    </w:p>
    <w:p w14:paraId="0D180608">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F188826">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29269AB4">
      <w:pPr>
        <w:pageBreakBefore w:val="0"/>
        <w:bidi w:val="0"/>
        <w:spacing w:line="560" w:lineRule="exact"/>
        <w:ind w:firstLine="307" w:firstLineChars="128"/>
        <w:outlineLvl w:val="9"/>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16C11AC">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4A1151B7">
      <w:pPr>
        <w:pageBreakBefore w:val="0"/>
        <w:bidi w:val="0"/>
        <w:spacing w:line="560" w:lineRule="exact"/>
        <w:ind w:firstLine="307" w:firstLineChars="12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645866">
      <w:pPr>
        <w:pageBreakBefore w:val="0"/>
        <w:bidi w:val="0"/>
        <w:spacing w:line="56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（后附法定代表人身份证正反面）</w:t>
      </w:r>
    </w:p>
    <w:p w14:paraId="6FC1D5DB">
      <w:pPr>
        <w:pStyle w:val="23"/>
        <w:pageBreakBefore w:val="0"/>
        <w:bidi w:val="0"/>
        <w:outlineLvl w:val="9"/>
        <w:rPr>
          <w:rFonts w:hint="eastAsia" w:ascii="宋体" w:hAnsi="宋体" w:eastAsia="宋体" w:cs="宋体"/>
          <w:color w:val="auto"/>
          <w:highlight w:val="none"/>
        </w:rPr>
      </w:pPr>
    </w:p>
    <w:tbl>
      <w:tblPr>
        <w:tblStyle w:val="25"/>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130"/>
      </w:tblGrid>
      <w:tr w14:paraId="0C9D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14:paraId="0A86759F">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130" w:type="dxa"/>
            <w:shd w:val="clear" w:color="auto" w:fill="E0E0E0"/>
            <w:vAlign w:val="center"/>
          </w:tcPr>
          <w:p w14:paraId="043B2B31">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r>
    </w:tbl>
    <w:p w14:paraId="41FDE871">
      <w:pPr>
        <w:pageBreakBefore w:val="0"/>
        <w:autoSpaceDE w:val="0"/>
        <w:autoSpaceDN w:val="0"/>
        <w:bidi w:val="0"/>
        <w:adjustRightInd w:val="0"/>
        <w:jc w:val="center"/>
        <w:outlineLvl w:val="9"/>
        <w:rPr>
          <w:rFonts w:hint="eastAsia" w:ascii="宋体" w:hAnsi="宋体" w:eastAsia="宋体" w:cs="宋体"/>
          <w:color w:val="auto"/>
          <w:sz w:val="24"/>
          <w:highlight w:val="none"/>
        </w:rPr>
      </w:pPr>
    </w:p>
    <w:p w14:paraId="3F4C9272">
      <w:pPr>
        <w:pageBreakBefore w:val="0"/>
        <w:autoSpaceDE w:val="0"/>
        <w:autoSpaceDN w:val="0"/>
        <w:bidi w:val="0"/>
        <w:adjustRightInd w:val="0"/>
        <w:jc w:val="center"/>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rPr>
        <w:t xml:space="preserve">                   投    标    人</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（盖单位公章）</w:t>
      </w:r>
    </w:p>
    <w:p w14:paraId="7B7FCF08">
      <w:pPr>
        <w:pageBreakBefore w:val="0"/>
        <w:autoSpaceDE w:val="0"/>
        <w:autoSpaceDN w:val="0"/>
        <w:bidi w:val="0"/>
        <w:adjustRightInd w:val="0"/>
        <w:outlineLvl w:val="9"/>
        <w:rPr>
          <w:rFonts w:hint="eastAsia" w:ascii="宋体" w:hAnsi="宋体" w:eastAsia="宋体" w:cs="宋体"/>
          <w:color w:val="auto"/>
          <w:sz w:val="24"/>
          <w:highlight w:val="none"/>
          <w:lang w:val="zh-CN"/>
        </w:rPr>
      </w:pPr>
    </w:p>
    <w:p w14:paraId="5BBB64E8">
      <w:pPr>
        <w:pageBreakBefore w:val="0"/>
        <w:autoSpaceDE w:val="0"/>
        <w:autoSpaceDN w:val="0"/>
        <w:bidi w:val="0"/>
        <w:adjustRightInd w:val="0"/>
        <w:ind w:firstLine="2400" w:firstLineChars="1000"/>
        <w:outlineLvl w:val="9"/>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val="zh-CN"/>
        </w:rPr>
        <w:t>）</w:t>
      </w:r>
    </w:p>
    <w:p w14:paraId="25644FDB">
      <w:pPr>
        <w:pageBreakBefore w:val="0"/>
        <w:autoSpaceDE w:val="0"/>
        <w:autoSpaceDN w:val="0"/>
        <w:bidi w:val="0"/>
        <w:adjustRightInd w:val="0"/>
        <w:jc w:val="right"/>
        <w:outlineLvl w:val="9"/>
        <w:rPr>
          <w:rFonts w:hint="eastAsia" w:ascii="宋体" w:hAnsi="宋体" w:eastAsia="宋体" w:cs="宋体"/>
          <w:color w:val="auto"/>
          <w:sz w:val="24"/>
          <w:highlight w:val="none"/>
        </w:rPr>
      </w:pPr>
    </w:p>
    <w:p w14:paraId="61F610F0">
      <w:pPr>
        <w:pageBreakBefore w:val="0"/>
        <w:bidi w:val="0"/>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日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 xml:space="preserve"> 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7DA5EC8E">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34FF99CD">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52DA3C64">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110B26A">
      <w:pPr>
        <w:pageBreakBefore w:val="0"/>
        <w:tabs>
          <w:tab w:val="left" w:pos="210"/>
        </w:tabs>
        <w:bidi w:val="0"/>
        <w:spacing w:line="320" w:lineRule="exact"/>
        <w:jc w:val="center"/>
        <w:outlineLvl w:val="9"/>
        <w:rPr>
          <w:rFonts w:hint="eastAsia" w:ascii="宋体" w:hAnsi="宋体" w:eastAsia="宋体" w:cs="宋体"/>
          <w:b/>
          <w:color w:val="auto"/>
          <w:kern w:val="0"/>
          <w:sz w:val="32"/>
          <w:szCs w:val="32"/>
          <w:highlight w:val="none"/>
        </w:rPr>
      </w:pPr>
    </w:p>
    <w:p w14:paraId="064141EA">
      <w:pPr>
        <w:pageBreakBefore w:val="0"/>
        <w:tabs>
          <w:tab w:val="left" w:pos="210"/>
        </w:tabs>
        <w:bidi w:val="0"/>
        <w:spacing w:line="240" w:lineRule="auto"/>
        <w:jc w:val="center"/>
        <w:outlineLvl w:val="9"/>
        <w:rPr>
          <w:rFonts w:hint="eastAsia" w:ascii="宋体" w:hAnsi="宋体" w:eastAsia="宋体" w:cs="宋体"/>
          <w:color w:val="auto"/>
          <w:spacing w:val="-6"/>
          <w:sz w:val="24"/>
          <w:highlight w:val="none"/>
        </w:rPr>
      </w:pPr>
      <w:r>
        <w:rPr>
          <w:rFonts w:hint="eastAsia" w:ascii="宋体" w:hAnsi="宋体" w:eastAsia="宋体" w:cs="宋体"/>
          <w:b/>
          <w:color w:val="auto"/>
          <w:kern w:val="0"/>
          <w:sz w:val="32"/>
          <w:szCs w:val="32"/>
          <w:highlight w:val="none"/>
        </w:rPr>
        <w:t>法定代表人授权委托书</w:t>
      </w:r>
    </w:p>
    <w:p w14:paraId="45A9AF8B">
      <w:pPr>
        <w:pStyle w:val="13"/>
        <w:pageBreakBefore w:val="0"/>
        <w:bidi w:val="0"/>
        <w:spacing w:line="50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延安市宝塔区</w:t>
      </w:r>
      <w:r>
        <w:rPr>
          <w:rFonts w:hint="eastAsia" w:hAnsi="宋体" w:cs="宋体"/>
          <w:color w:val="auto"/>
          <w:sz w:val="24"/>
          <w:szCs w:val="24"/>
          <w:highlight w:val="none"/>
          <w:lang w:val="en-US" w:eastAsia="zh-CN"/>
        </w:rPr>
        <w:t>第五中学</w:t>
      </w:r>
      <w:r>
        <w:rPr>
          <w:rFonts w:hint="eastAsia" w:ascii="宋体" w:hAnsi="宋体" w:eastAsia="宋体" w:cs="宋体"/>
          <w:color w:val="auto"/>
          <w:sz w:val="24"/>
          <w:szCs w:val="24"/>
          <w:highlight w:val="none"/>
        </w:rPr>
        <w:t>：</w:t>
      </w:r>
    </w:p>
    <w:p w14:paraId="676C7FF5">
      <w:pPr>
        <w:pStyle w:val="13"/>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single"/>
        </w:rPr>
        <w:t xml:space="preserve"> 工商行政管理局名称）之（委托单位全称） </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u w:val="single"/>
        </w:rPr>
        <w:t>（姓名、性别）</w:t>
      </w:r>
      <w:r>
        <w:rPr>
          <w:rFonts w:hint="eastAsia" w:ascii="宋体" w:hAnsi="宋体" w:eastAsia="宋体" w:cs="宋体"/>
          <w:color w:val="auto"/>
          <w:sz w:val="24"/>
          <w:szCs w:val="24"/>
          <w:highlight w:val="none"/>
        </w:rPr>
        <w:t>授权</w:t>
      </w:r>
      <w:r>
        <w:rPr>
          <w:rFonts w:hint="eastAsia" w:ascii="宋体" w:hAnsi="宋体" w:eastAsia="宋体" w:cs="宋体"/>
          <w:color w:val="auto"/>
          <w:sz w:val="24"/>
          <w:highlight w:val="none"/>
        </w:rPr>
        <w:t>本公司的</w:t>
      </w:r>
      <w:r>
        <w:rPr>
          <w:rFonts w:hint="eastAsia" w:ascii="宋体" w:hAnsi="宋体" w:eastAsia="宋体" w:cs="宋体"/>
          <w:color w:val="auto"/>
          <w:sz w:val="24"/>
          <w:szCs w:val="24"/>
          <w:highlight w:val="none"/>
          <w:u w:val="single"/>
        </w:rPr>
        <w:t>（被授权人姓名、性别、职务）</w:t>
      </w:r>
      <w:r>
        <w:rPr>
          <w:rFonts w:hint="eastAsia" w:ascii="宋体" w:hAnsi="宋体" w:eastAsia="宋体" w:cs="宋体"/>
          <w:color w:val="auto"/>
          <w:sz w:val="24"/>
          <w:szCs w:val="24"/>
          <w:highlight w:val="none"/>
        </w:rPr>
        <w:t>为合法代理人，就贵方组织的有关</w:t>
      </w:r>
      <w:r>
        <w:rPr>
          <w:rFonts w:hint="eastAsia" w:ascii="宋体" w:hAnsi="宋体" w:eastAsia="宋体" w:cs="宋体"/>
          <w:color w:val="auto"/>
          <w:sz w:val="24"/>
          <w:szCs w:val="24"/>
          <w:highlight w:val="none"/>
          <w:u w:val="single"/>
        </w:rPr>
        <w:t>（招标项目名称</w:t>
      </w:r>
      <w:r>
        <w:rPr>
          <w:rFonts w:hint="eastAsia" w:ascii="宋体" w:hAnsi="宋体" w:eastAsia="宋体" w:cs="宋体"/>
          <w:color w:val="auto"/>
          <w:sz w:val="24"/>
          <w:szCs w:val="24"/>
          <w:highlight w:val="none"/>
          <w:u w:val="single"/>
          <w:lang w:eastAsia="zh-CN"/>
        </w:rPr>
        <w:t>及标包</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）的投标、洽谈、执行等具体事务，签署全部有关投标文件、文书、协议、合同，本公司对被授权人在本项目中的签名承担全部法律责任。</w:t>
      </w:r>
    </w:p>
    <w:p w14:paraId="4C6BE564">
      <w:pPr>
        <w:pStyle w:val="13"/>
        <w:pageBreakBefore w:val="0"/>
        <w:bidi w:val="0"/>
        <w:spacing w:line="500" w:lineRule="exact"/>
        <w:ind w:left="-120" w:leftChars="-57"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本授权书自签发日期起计算有效期为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u w:val="none"/>
        </w:rPr>
        <w:t xml:space="preserve">天 </w:t>
      </w:r>
      <w:r>
        <w:rPr>
          <w:rFonts w:hint="eastAsia" w:ascii="宋体" w:hAnsi="宋体" w:eastAsia="宋体" w:cs="宋体"/>
          <w:color w:val="auto"/>
          <w:sz w:val="24"/>
          <w:szCs w:val="24"/>
          <w:highlight w:val="none"/>
        </w:rPr>
        <w:t>。</w:t>
      </w:r>
    </w:p>
    <w:p w14:paraId="0BC7F247">
      <w:pPr>
        <w:pStyle w:val="13"/>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14:paraId="5F6A097B">
      <w:pPr>
        <w:pStyle w:val="13"/>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F0D85A3">
      <w:pPr>
        <w:pStyle w:val="13"/>
        <w:pageBreakBefore w:val="0"/>
        <w:bidi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7825B6D">
      <w:pPr>
        <w:pStyle w:val="13"/>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p>
    <w:p w14:paraId="32CDD24F">
      <w:pPr>
        <w:pStyle w:val="13"/>
        <w:pageBreakBefore w:val="0"/>
        <w:bidi w:val="0"/>
        <w:spacing w:line="500" w:lineRule="exact"/>
        <w:ind w:firstLine="960" w:firstLineChars="4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434CA003">
      <w:pPr>
        <w:pStyle w:val="13"/>
        <w:pageBreakBefore w:val="0"/>
        <w:bidi w:val="0"/>
        <w:spacing w:line="500" w:lineRule="exact"/>
        <w:ind w:firstLine="2760" w:firstLineChars="1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法定代表人/被授权人身份证复印件</w:t>
      </w:r>
    </w:p>
    <w:tbl>
      <w:tblPr>
        <w:tblStyle w:val="25"/>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834"/>
        <w:gridCol w:w="4833"/>
      </w:tblGrid>
      <w:tr w14:paraId="1833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4834" w:type="dxa"/>
            <w:shd w:val="clear" w:color="auto" w:fill="E0E0E0"/>
            <w:vAlign w:val="center"/>
          </w:tcPr>
          <w:p w14:paraId="3EF1C517">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25AE260C">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r w14:paraId="3FAB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834" w:type="dxa"/>
            <w:shd w:val="clear" w:color="auto" w:fill="E0E0E0"/>
            <w:vAlign w:val="center"/>
          </w:tcPr>
          <w:p w14:paraId="11274F93">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法定代表人身份证复印件</w:t>
            </w:r>
          </w:p>
        </w:tc>
        <w:tc>
          <w:tcPr>
            <w:tcW w:w="4833" w:type="dxa"/>
            <w:shd w:val="clear" w:color="auto" w:fill="E0E0E0"/>
            <w:vAlign w:val="center"/>
          </w:tcPr>
          <w:p w14:paraId="60240660">
            <w:pPr>
              <w:pStyle w:val="13"/>
              <w:pageBreakBefore w:val="0"/>
              <w:bidi w:val="0"/>
              <w:snapToGrid w:val="0"/>
              <w:spacing w:line="500" w:lineRule="exact"/>
              <w:jc w:val="center"/>
              <w:outlineLvl w:val="9"/>
              <w:rPr>
                <w:rFonts w:hint="eastAsia" w:ascii="宋体" w:hAnsi="宋体" w:eastAsia="宋体" w:cs="宋体"/>
                <w:color w:val="auto"/>
                <w:sz w:val="24"/>
                <w:szCs w:val="24"/>
                <w:highlight w:val="none"/>
                <w:shd w:val="pct10" w:color="auto" w:fill="FFFFFF"/>
              </w:rPr>
            </w:pPr>
            <w:r>
              <w:rPr>
                <w:rFonts w:hint="eastAsia" w:ascii="宋体" w:hAnsi="宋体" w:eastAsia="宋体" w:cs="宋体"/>
                <w:color w:val="auto"/>
                <w:sz w:val="24"/>
                <w:szCs w:val="24"/>
                <w:highlight w:val="none"/>
                <w:shd w:val="pct10" w:color="auto" w:fill="FFFFFF"/>
              </w:rPr>
              <w:t>被授权人身份证复印件</w:t>
            </w:r>
          </w:p>
        </w:tc>
      </w:tr>
    </w:tbl>
    <w:p w14:paraId="6436DBD6">
      <w:pPr>
        <w:pStyle w:val="13"/>
        <w:pageBreakBefore w:val="0"/>
        <w:bidi w:val="0"/>
        <w:spacing w:line="5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118FE36">
      <w:pPr>
        <w:pStyle w:val="13"/>
        <w:pageBreakBefore w:val="0"/>
        <w:bidi w:val="0"/>
        <w:spacing w:line="460" w:lineRule="exact"/>
        <w:ind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1．本授权书有效期自开标大会之日计算不得少于九十</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rPr>
        <w:t>天。</w:t>
      </w:r>
    </w:p>
    <w:p w14:paraId="0CBBBC37">
      <w:pPr>
        <w:pStyle w:val="13"/>
        <w:pageBreakBefore w:val="0"/>
        <w:bidi w:val="0"/>
        <w:spacing w:line="460" w:lineRule="exact"/>
        <w:ind w:firstLine="720" w:firstLineChars="300"/>
        <w:outlineLvl w:val="9"/>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2．授权书内容填写要明确，文字要工整清楚，涂改无效。</w:t>
      </w:r>
      <w:bookmarkEnd w:id="85"/>
    </w:p>
    <w:p w14:paraId="1CFC14C9">
      <w:pPr>
        <w:pageBreakBefore w:val="0"/>
        <w:bidi w:val="0"/>
        <w:ind w:firstLine="64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投标人</w:t>
      </w:r>
      <w:r>
        <w:rPr>
          <w:rFonts w:hint="eastAsia" w:ascii="宋体" w:hAnsi="宋体" w:eastAsia="宋体" w:cs="宋体"/>
          <w:b/>
          <w:color w:val="auto"/>
          <w:sz w:val="32"/>
          <w:szCs w:val="32"/>
          <w:highlight w:val="none"/>
          <w:lang w:val="en-US" w:eastAsia="zh-CN"/>
        </w:rPr>
        <w:t>资格证明资料</w:t>
      </w:r>
    </w:p>
    <w:p w14:paraId="20B2123B">
      <w:pPr>
        <w:spacing w:before="190" w:line="225" w:lineRule="auto"/>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lang w:val="en-US" w:eastAsia="zh-CN"/>
        </w:rPr>
        <w:t>一</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基本资格条件：投标人符合《政府采购法》第二十二条规定条件的承诺函</w:t>
      </w:r>
    </w:p>
    <w:p w14:paraId="3E03E608">
      <w:pPr>
        <w:spacing w:before="199" w:line="226"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w:t>
      </w:r>
      <w:r>
        <w:rPr>
          <w:rFonts w:hint="eastAsia" w:ascii="宋体" w:hAnsi="宋体" w:cs="宋体"/>
          <w:color w:val="auto"/>
          <w:kern w:val="2"/>
          <w:sz w:val="24"/>
          <w:szCs w:val="24"/>
          <w:highlight w:val="none"/>
          <w:lang w:val="en-US" w:eastAsia="zh-CN" w:bidi="ar-SA"/>
        </w:rPr>
        <w:t>华鼎工程咨询集团有限公司</w:t>
      </w:r>
    </w:p>
    <w:p w14:paraId="41B2782B">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12"/>
          <w:sz w:val="24"/>
          <w:szCs w:val="24"/>
        </w:rPr>
        <w:t>本公司</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(公司名称) 参加</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(项目名称</w:t>
      </w:r>
      <w:r>
        <w:rPr>
          <w:rFonts w:hint="eastAsia" w:ascii="宋体" w:hAnsi="宋体" w:eastAsia="宋体" w:cs="宋体"/>
          <w:spacing w:val="6"/>
          <w:sz w:val="24"/>
          <w:szCs w:val="24"/>
          <w:lang w:eastAsia="zh-CN"/>
        </w:rPr>
        <w:t>及标包</w:t>
      </w:r>
      <w:r>
        <w:rPr>
          <w:rFonts w:hint="eastAsia" w:ascii="宋体" w:hAnsi="宋体" w:eastAsia="宋体" w:cs="宋体"/>
          <w:spacing w:val="6"/>
          <w:sz w:val="24"/>
          <w:szCs w:val="24"/>
        </w:rPr>
        <w:t xml:space="preserve">) </w:t>
      </w:r>
      <w:r>
        <w:rPr>
          <w:rFonts w:hint="eastAsia" w:ascii="宋体" w:hAnsi="宋体" w:eastAsia="宋体" w:cs="宋体"/>
          <w:color w:val="auto"/>
          <w:kern w:val="2"/>
          <w:sz w:val="24"/>
          <w:szCs w:val="24"/>
          <w:highlight w:val="none"/>
          <w:lang w:val="en-US" w:eastAsia="zh-CN" w:bidi="ar-SA"/>
        </w:rPr>
        <w:t>的招标活动，现承诺：</w:t>
      </w:r>
    </w:p>
    <w:p w14:paraId="4BF681D4">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我公司满足政府采购法第二十二条关于投标人的资格要求：</w:t>
      </w:r>
    </w:p>
    <w:p w14:paraId="1B0DF79F">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（1）具有独立承担民事责任的能力；</w:t>
      </w:r>
    </w:p>
    <w:p w14:paraId="37AED9A6">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（2）具有良好的商业信誉和健全的财务会计制度；</w:t>
      </w:r>
    </w:p>
    <w:p w14:paraId="2F44D77F">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（3）具有履行合同所必需的设备和专业技术能力；</w:t>
      </w:r>
    </w:p>
    <w:p w14:paraId="12109D48">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（4）有依法缴纳税收和社会保障资金的良好记录；</w:t>
      </w:r>
    </w:p>
    <w:p w14:paraId="68B8E191">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（5）参加政府采购活动前三年内，在经营活动中没有重大违法记录；</w:t>
      </w:r>
    </w:p>
    <w:p w14:paraId="09FDE4FB">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（6）法律、行政法规规定的其他条件。</w:t>
      </w:r>
    </w:p>
    <w:p w14:paraId="7A91FD05">
      <w:pPr>
        <w:spacing w:before="199" w:line="360" w:lineRule="auto"/>
        <w:ind w:left="6"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同时也满足本项目法律法规规定关于投标人的其他资格性条件，未参与本采购项目前期咨询论证，不属于禁止参加投标的投标人。</w:t>
      </w:r>
    </w:p>
    <w:p w14:paraId="22347711">
      <w:pPr>
        <w:spacing w:before="199" w:line="360" w:lineRule="auto"/>
        <w:ind w:left="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如违反以上承诺，本公司愿承担一切法律责任。</w:t>
      </w:r>
    </w:p>
    <w:p w14:paraId="7B6558DB">
      <w:pPr>
        <w:spacing w:line="299" w:lineRule="auto"/>
        <w:rPr>
          <w:rFonts w:hint="eastAsia" w:ascii="宋体" w:hAnsi="宋体" w:eastAsia="宋体" w:cs="宋体"/>
          <w:sz w:val="24"/>
          <w:szCs w:val="24"/>
        </w:rPr>
      </w:pPr>
    </w:p>
    <w:p w14:paraId="3ED98D71">
      <w:pPr>
        <w:spacing w:line="300" w:lineRule="auto"/>
        <w:rPr>
          <w:rFonts w:hint="eastAsia" w:ascii="宋体" w:hAnsi="宋体" w:eastAsia="宋体" w:cs="宋体"/>
          <w:sz w:val="24"/>
          <w:szCs w:val="24"/>
        </w:rPr>
      </w:pPr>
    </w:p>
    <w:p w14:paraId="78308B5E">
      <w:pPr>
        <w:spacing w:before="76" w:line="350" w:lineRule="auto"/>
        <w:ind w:left="472"/>
        <w:rPr>
          <w:rFonts w:hint="eastAsia" w:ascii="宋体" w:hAnsi="宋体" w:eastAsia="宋体" w:cs="宋体"/>
          <w:sz w:val="24"/>
          <w:szCs w:val="24"/>
        </w:rPr>
      </w:pPr>
      <w:r>
        <w:rPr>
          <w:rFonts w:hint="eastAsia" w:ascii="宋体" w:hAnsi="宋体" w:eastAsia="宋体" w:cs="宋体"/>
          <w:spacing w:val="-8"/>
          <w:sz w:val="24"/>
          <w:szCs w:val="24"/>
        </w:rPr>
        <w:t>供</w:t>
      </w:r>
      <w:r>
        <w:rPr>
          <w:rFonts w:hint="eastAsia" w:ascii="宋体" w:hAnsi="宋体" w:eastAsia="宋体" w:cs="宋体"/>
          <w:spacing w:val="-5"/>
          <w:sz w:val="24"/>
          <w:szCs w:val="24"/>
        </w:rPr>
        <w:t>应商 (盖章 ) ：</w:t>
      </w:r>
      <w:r>
        <w:rPr>
          <w:rFonts w:hint="eastAsia" w:ascii="宋体" w:hAnsi="宋体" w:eastAsia="宋体" w:cs="宋体"/>
          <w:sz w:val="24"/>
          <w:szCs w:val="24"/>
          <w:u w:val="single" w:color="auto"/>
        </w:rPr>
        <w:t xml:space="preserve">                      </w:t>
      </w:r>
    </w:p>
    <w:p w14:paraId="0E0733AA">
      <w:pPr>
        <w:spacing w:before="1" w:line="292" w:lineRule="auto"/>
        <w:ind w:left="485"/>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定代表人/被授权人 (签字</w:t>
      </w:r>
      <w:r>
        <w:rPr>
          <w:rFonts w:hint="eastAsia" w:ascii="宋体" w:hAnsi="宋体" w:eastAsia="宋体" w:cs="宋体"/>
          <w:spacing w:val="6"/>
          <w:sz w:val="24"/>
          <w:szCs w:val="24"/>
          <w:lang w:eastAsia="zh-CN"/>
        </w:rPr>
        <w:t>或盖章</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u w:val="none" w:color="auto"/>
        </w:rPr>
        <w:t>：</w:t>
      </w:r>
      <w:r>
        <w:rPr>
          <w:rFonts w:hint="eastAsia" w:ascii="宋体" w:hAnsi="宋体" w:eastAsia="宋体" w:cs="宋体"/>
          <w:sz w:val="24"/>
          <w:szCs w:val="24"/>
          <w:u w:val="single" w:color="auto"/>
        </w:rPr>
        <w:t xml:space="preserve">        </w:t>
      </w:r>
    </w:p>
    <w:p w14:paraId="5FBE7117">
      <w:pPr>
        <w:spacing w:before="159" w:line="225"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      年    月    日</w:t>
      </w:r>
    </w:p>
    <w:p w14:paraId="60A91614">
      <w:pPr>
        <w:rPr>
          <w:rFonts w:hint="eastAsia" w:ascii="宋体" w:hAnsi="宋体" w:eastAsia="宋体" w:cs="宋体"/>
          <w:sz w:val="24"/>
          <w:szCs w:val="24"/>
        </w:rPr>
        <w:sectPr>
          <w:footerReference r:id="rId11" w:type="default"/>
          <w:pgSz w:w="11906" w:h="16839"/>
          <w:pgMar w:top="1536" w:right="1345" w:bottom="1228" w:left="1430" w:header="0" w:footer="1068" w:gutter="0"/>
          <w:pgNumType w:fmt="decimal"/>
          <w:cols w:space="720" w:num="1"/>
        </w:sectPr>
      </w:pPr>
    </w:p>
    <w:p w14:paraId="79DAD83A">
      <w:pPr>
        <w:pStyle w:val="7"/>
        <w:ind w:left="0" w:leftChars="0" w:firstLine="0" w:firstLineChars="0"/>
        <w:rPr>
          <w:rFonts w:hint="eastAsia"/>
          <w:lang w:val="en-US" w:eastAsia="zh-CN"/>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lang w:val="en-US" w:eastAsia="zh-CN"/>
        </w:rPr>
        <w:t>一</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8"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cs="宋体"/>
          <w:spacing w:val="8"/>
          <w:sz w:val="24"/>
          <w:szCs w:val="24"/>
          <w:lang w:eastAsia="zh-CN"/>
          <w14:textOutline w14:w="4358" w14:cap="sq" w14:cmpd="sng">
            <w14:solidFill>
              <w14:srgbClr w14:val="000000"/>
            </w14:solidFill>
            <w14:prstDash w14:val="solid"/>
            <w14:bevel/>
          </w14:textOutline>
        </w:rPr>
        <w:t>特定</w:t>
      </w:r>
      <w:r>
        <w:rPr>
          <w:rFonts w:hint="eastAsia" w:ascii="宋体" w:hAnsi="宋体" w:eastAsia="宋体" w:cs="宋体"/>
          <w:spacing w:val="8"/>
          <w:sz w:val="24"/>
          <w:szCs w:val="24"/>
          <w14:textOutline w14:w="4358" w14:cap="sq" w14:cmpd="sng">
            <w14:solidFill>
              <w14:srgbClr w14:val="000000"/>
            </w14:solidFill>
            <w14:prstDash w14:val="solid"/>
            <w14:bevel/>
          </w14:textOutline>
        </w:rPr>
        <w:t>资格条件</w:t>
      </w:r>
    </w:p>
    <w:p w14:paraId="23C47901">
      <w:pPr>
        <w:pStyle w:val="8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①供应商具有独立承担民事责任能力的法人或其他组织，提供合法有效的统一社会信用代码的营业执照（年度报告）或事业单位法人证书等国家规定的相关证明，开户许可证（或基本存款账户信息）；</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②法定代表人授权书（附法定代表人身份证复印件）及被授权人身份证原件；（法定代表人直接参加只须提供法定代表人身份证）；</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③投标人须具有效的食品经营许可证（或食品生产许可证或食品经营许可备案登记证）及陕西省生鲜肉经营备案表）；</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④供应商应出具参加政府采购活动前3年内，在经营活动中无重大违法记录的书面声明；</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⑤提供2023年经会计师事务所审计的财务审计报告或近三个月内银行出具的资信证明；          </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⑥提供2024年1月1日至今至少1个月依法缴纳税收的相关材料,依法免税或无须缴纳税收的投标人，应提供相应证明文件；</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⑦提供2024年1月1日至今至少1个月的社保机构开具的社会保险参保缴费情况证明，单据或证明上应有社保机构的公章,依法不需要缴纳社会保障资金的投标人应提供相关证明文件；</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⑧供应商不得为“中国执行信息公开网”列入失信被执行人名单的供应商，不得为“信用中国”网列入重大税收违法失信主体名单的供应商，不得为中国政府采购网政府采购严重违法失信行为记录名单中被财政部门禁止参加政府采购活动的供应商（以上内容提供承诺书）；</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⑨单位负责人为同一人或者存在控股、管理关系的不同供应商，不得同时参加本项目同一合同包的采购活动。</w:t>
      </w:r>
    </w:p>
    <w:p w14:paraId="51C312A6">
      <w:pPr>
        <w:pStyle w:val="85"/>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color w:val="auto"/>
          <w:kern w:val="2"/>
          <w:sz w:val="24"/>
          <w:szCs w:val="24"/>
          <w:highlight w:val="none"/>
          <w:lang w:val="en-US" w:eastAsia="zh-CN" w:bidi="ar-SA"/>
        </w:rPr>
      </w:pPr>
    </w:p>
    <w:p w14:paraId="53644B9F">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7FE53939">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47AD7081">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09FFF14B">
      <w:pPr>
        <w:pageBreakBefore w:val="0"/>
        <w:bidi w:val="0"/>
        <w:spacing w:line="360" w:lineRule="atLeast"/>
        <w:ind w:right="84" w:rightChars="40"/>
        <w:jc w:val="center"/>
        <w:outlineLvl w:val="9"/>
        <w:rPr>
          <w:rFonts w:hint="eastAsia" w:ascii="宋体" w:hAnsi="宋体" w:eastAsia="宋体" w:cs="宋体"/>
          <w:b/>
          <w:color w:val="auto"/>
          <w:sz w:val="32"/>
          <w:szCs w:val="32"/>
          <w:highlight w:val="none"/>
          <w:lang w:val="en-US" w:eastAsia="zh-CN"/>
        </w:rPr>
      </w:pPr>
    </w:p>
    <w:p w14:paraId="3720D6F1">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70525F6A">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533CE1AF">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551AC047">
      <w:pPr>
        <w:pageBreakBefore w:val="0"/>
        <w:bidi w:val="0"/>
        <w:spacing w:line="360" w:lineRule="atLeast"/>
        <w:jc w:val="center"/>
        <w:outlineLvl w:val="9"/>
        <w:rPr>
          <w:rFonts w:hint="eastAsia" w:ascii="宋体" w:hAnsi="宋体" w:eastAsia="宋体" w:cs="宋体"/>
          <w:b/>
          <w:color w:val="auto"/>
          <w:sz w:val="32"/>
          <w:szCs w:val="32"/>
          <w:highlight w:val="none"/>
          <w:lang w:val="en-US" w:eastAsia="zh-CN"/>
        </w:rPr>
      </w:pPr>
    </w:p>
    <w:p w14:paraId="706C7B67">
      <w:pPr>
        <w:pageBreakBefore w:val="0"/>
        <w:bidi w:val="0"/>
        <w:spacing w:line="360" w:lineRule="atLeast"/>
        <w:ind w:firstLine="3534" w:firstLineChars="1100"/>
        <w:jc w:val="both"/>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rPr>
        <w:t>技术方案</w:t>
      </w:r>
    </w:p>
    <w:p w14:paraId="73B26DD7">
      <w:pPr>
        <w:pageBreakBefore w:val="0"/>
        <w:bidi w:val="0"/>
        <w:outlineLvl w:val="9"/>
        <w:rPr>
          <w:rFonts w:hint="eastAsia" w:ascii="宋体" w:hAnsi="宋体" w:eastAsia="宋体" w:cs="宋体"/>
          <w:color w:val="auto"/>
          <w:sz w:val="10"/>
          <w:highlight w:val="none"/>
        </w:rPr>
      </w:pPr>
    </w:p>
    <w:p w14:paraId="17686040">
      <w:pPr>
        <w:pStyle w:val="51"/>
        <w:pageBreakBefore w:val="0"/>
        <w:numPr>
          <w:ilvl w:val="0"/>
          <w:numId w:val="0"/>
        </w:numPr>
        <w:bidi w:val="0"/>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格式自定，参照招标文件《评标</w:t>
      </w:r>
      <w:r>
        <w:rPr>
          <w:rFonts w:hint="eastAsia" w:ascii="宋体" w:hAnsi="宋体" w:eastAsia="宋体" w:cs="宋体"/>
          <w:color w:val="auto"/>
          <w:highlight w:val="none"/>
          <w:lang w:eastAsia="zh-CN"/>
        </w:rPr>
        <w:t>办法</w:t>
      </w:r>
      <w:r>
        <w:rPr>
          <w:rFonts w:hint="eastAsia" w:ascii="宋体" w:hAnsi="宋体" w:eastAsia="宋体" w:cs="宋体"/>
          <w:color w:val="auto"/>
          <w:highlight w:val="none"/>
        </w:rPr>
        <w:t>》各条款的要求，结合《</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内容及要求》编制投标方案，内容应包括</w:t>
      </w:r>
      <w:r>
        <w:rPr>
          <w:rFonts w:hint="eastAsia" w:ascii="宋体" w:hAnsi="宋体" w:eastAsia="宋体" w:cs="宋体"/>
          <w:color w:val="auto"/>
          <w:highlight w:val="none"/>
          <w:lang w:val="en-US" w:eastAsia="zh-CN"/>
        </w:rPr>
        <w:t>供货及配送</w:t>
      </w:r>
      <w:r>
        <w:rPr>
          <w:rFonts w:hint="eastAsia" w:ascii="宋体" w:hAnsi="宋体" w:eastAsia="宋体" w:cs="宋体"/>
          <w:color w:val="auto"/>
          <w:highlight w:val="none"/>
          <w:lang w:eastAsia="zh-CN"/>
        </w:rPr>
        <w:t>方案、</w:t>
      </w:r>
      <w:r>
        <w:rPr>
          <w:rFonts w:hint="eastAsia" w:ascii="宋体" w:hAnsi="宋体" w:eastAsia="宋体" w:cs="宋体"/>
          <w:color w:val="auto"/>
          <w:szCs w:val="21"/>
          <w:highlight w:val="none"/>
          <w:lang w:eastAsia="zh-CN"/>
        </w:rPr>
        <w:t>质量保证、</w:t>
      </w:r>
      <w:r>
        <w:rPr>
          <w:rFonts w:hint="eastAsia" w:ascii="宋体" w:hAnsi="宋体" w:eastAsia="宋体" w:cs="宋体"/>
          <w:color w:val="auto"/>
          <w:szCs w:val="21"/>
          <w:highlight w:val="none"/>
          <w:lang w:val="en-US" w:eastAsia="zh-CN"/>
        </w:rPr>
        <w:t>突发应急预案、</w:t>
      </w:r>
      <w:r>
        <w:rPr>
          <w:rFonts w:hint="eastAsia" w:ascii="宋体" w:hAnsi="宋体" w:eastAsia="宋体" w:cs="宋体"/>
          <w:color w:val="auto"/>
          <w:spacing w:val="0"/>
          <w:szCs w:val="21"/>
          <w:highlight w:val="none"/>
          <w:lang w:val="en-US" w:eastAsia="zh-CN"/>
        </w:rPr>
        <w:t>食品卫生、防腐保鲜措施、售后服务承诺</w:t>
      </w:r>
      <w:r>
        <w:rPr>
          <w:rFonts w:hint="eastAsia" w:ascii="宋体" w:hAnsi="宋体" w:eastAsia="宋体" w:cs="宋体"/>
          <w:color w:val="auto"/>
          <w:highlight w:val="none"/>
        </w:rPr>
        <w:t>等。包括但不限于以下内容：</w:t>
      </w:r>
    </w:p>
    <w:p w14:paraId="5A82FE0E">
      <w:pPr>
        <w:pStyle w:val="51"/>
        <w:pageBreakBefore w:val="0"/>
        <w:bidi w:val="0"/>
        <w:outlineLvl w:val="9"/>
        <w:rPr>
          <w:rFonts w:hint="eastAsia" w:ascii="宋体" w:hAnsi="宋体" w:eastAsia="宋体" w:cs="宋体"/>
          <w:color w:val="auto"/>
          <w:highlight w:val="none"/>
        </w:rPr>
      </w:pPr>
    </w:p>
    <w:p w14:paraId="15297ECB">
      <w:pPr>
        <w:pStyle w:val="51"/>
        <w:pageBreakBefore w:val="0"/>
        <w:numPr>
          <w:ilvl w:val="0"/>
          <w:numId w:val="9"/>
        </w:numPr>
        <w:bidi w:val="0"/>
        <w:outlineLvl w:val="9"/>
        <w:rPr>
          <w:rFonts w:hint="eastAsia" w:ascii="宋体" w:hAnsi="宋体" w:eastAsia="宋体" w:cs="宋体"/>
          <w:color w:val="auto"/>
          <w:szCs w:val="21"/>
          <w:highlight w:val="none"/>
          <w:lang w:eastAsia="zh-CN"/>
        </w:rPr>
      </w:pPr>
      <w:r>
        <w:rPr>
          <w:rFonts w:hint="eastAsia" w:ascii="宋体" w:hAnsi="宋体" w:eastAsia="宋体" w:cs="宋体"/>
          <w:color w:val="auto"/>
          <w:spacing w:val="0"/>
          <w:szCs w:val="21"/>
          <w:highlight w:val="none"/>
          <w:lang w:val="en-US" w:eastAsia="zh-CN"/>
        </w:rPr>
        <w:t>供货及配送</w:t>
      </w:r>
      <w:r>
        <w:rPr>
          <w:rFonts w:hint="eastAsia" w:ascii="宋体" w:hAnsi="宋体" w:eastAsia="宋体" w:cs="宋体"/>
          <w:color w:val="auto"/>
          <w:spacing w:val="0"/>
          <w:szCs w:val="21"/>
          <w:highlight w:val="none"/>
          <w:lang w:eastAsia="zh-CN"/>
        </w:rPr>
        <w:t>方案</w:t>
      </w:r>
    </w:p>
    <w:p w14:paraId="11C9C2F6">
      <w:pPr>
        <w:pStyle w:val="51"/>
        <w:pageBreakBefore w:val="0"/>
        <w:numPr>
          <w:ilvl w:val="0"/>
          <w:numId w:val="9"/>
        </w:numPr>
        <w:bidi w:val="0"/>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质量保证</w:t>
      </w:r>
    </w:p>
    <w:p w14:paraId="302AEAF1">
      <w:pPr>
        <w:pStyle w:val="51"/>
        <w:pageBreakBefore w:val="0"/>
        <w:numPr>
          <w:ilvl w:val="0"/>
          <w:numId w:val="9"/>
        </w:numPr>
        <w:bidi w:val="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突发应急预案</w:t>
      </w:r>
    </w:p>
    <w:p w14:paraId="3F142EA3">
      <w:pPr>
        <w:pStyle w:val="51"/>
        <w:pageBreakBefore w:val="0"/>
        <w:numPr>
          <w:ilvl w:val="0"/>
          <w:numId w:val="9"/>
        </w:numPr>
        <w:bidi w:val="0"/>
        <w:outlineLvl w:val="9"/>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食品卫生、防腐保鲜措施</w:t>
      </w:r>
    </w:p>
    <w:p w14:paraId="4E2738D2">
      <w:pPr>
        <w:pStyle w:val="51"/>
        <w:pageBreakBefore w:val="0"/>
        <w:numPr>
          <w:ilvl w:val="0"/>
          <w:numId w:val="9"/>
        </w:numPr>
        <w:bidi w:val="0"/>
        <w:outlineLvl w:val="9"/>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lang w:val="en-US" w:eastAsia="zh-CN"/>
        </w:rPr>
        <w:t>售后服务承诺</w:t>
      </w:r>
    </w:p>
    <w:p w14:paraId="350B890E">
      <w:pPr>
        <w:pStyle w:val="15"/>
        <w:rPr>
          <w:rFonts w:hint="eastAsia" w:ascii="宋体" w:hAnsi="宋体" w:eastAsia="宋体" w:cs="宋体"/>
          <w:b/>
          <w:color w:val="auto"/>
          <w:sz w:val="32"/>
          <w:szCs w:val="32"/>
          <w:highlight w:val="none"/>
          <w:lang w:val="en-US" w:eastAsia="zh-CN"/>
        </w:rPr>
      </w:pPr>
    </w:p>
    <w:p w14:paraId="4AEEC0FD">
      <w:pPr>
        <w:rPr>
          <w:rFonts w:hint="eastAsia" w:ascii="宋体" w:hAnsi="宋体" w:eastAsia="宋体" w:cs="宋体"/>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1CF12FE5">
      <w:pPr>
        <w:pageBreakBefore w:val="0"/>
        <w:overflowPunct w:val="0"/>
        <w:topLinePunct/>
        <w:bidi w:val="0"/>
        <w:snapToGrid w:val="0"/>
        <w:spacing w:line="600" w:lineRule="auto"/>
        <w:ind w:left="840" w:leftChars="400" w:firstLine="2409" w:firstLineChars="750"/>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商务方案</w:t>
      </w:r>
    </w:p>
    <w:p w14:paraId="58920670">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w:t>
      </w:r>
      <w:r>
        <w:rPr>
          <w:rFonts w:hint="eastAsia" w:ascii="宋体" w:hAnsi="宋体" w:eastAsia="宋体" w:cs="宋体"/>
          <w:color w:val="auto"/>
          <w:sz w:val="24"/>
          <w:highlight w:val="none"/>
          <w:lang w:val="en-US" w:eastAsia="zh-CN"/>
        </w:rPr>
        <w:t>实力</w:t>
      </w:r>
      <w:r>
        <w:rPr>
          <w:rFonts w:hint="eastAsia" w:ascii="宋体" w:hAnsi="宋体" w:eastAsia="宋体" w:cs="宋体"/>
          <w:color w:val="auto"/>
          <w:sz w:val="24"/>
          <w:highlight w:val="none"/>
        </w:rPr>
        <w:t>；</w:t>
      </w:r>
    </w:p>
    <w:p w14:paraId="6727621B">
      <w:pPr>
        <w:pStyle w:val="7"/>
        <w:spacing w:line="360" w:lineRule="auto"/>
        <w:rPr>
          <w:rFonts w:hint="default"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w:t>
      </w:r>
      <w:r>
        <w:rPr>
          <w:rFonts w:hint="eastAsia" w:ascii="宋体" w:hAnsi="宋体" w:cs="宋体"/>
          <w:color w:val="auto"/>
          <w:kern w:val="2"/>
          <w:sz w:val="24"/>
          <w:szCs w:val="22"/>
          <w:highlight w:val="none"/>
          <w:lang w:val="en-US" w:eastAsia="zh-CN" w:bidi="ar-SA"/>
        </w:rPr>
        <w:t xml:space="preserve"> </w:t>
      </w:r>
      <w:r>
        <w:rPr>
          <w:rFonts w:hint="eastAsia" w:ascii="宋体" w:hAnsi="宋体" w:eastAsia="宋体" w:cs="宋体"/>
          <w:color w:val="auto"/>
          <w:kern w:val="2"/>
          <w:sz w:val="24"/>
          <w:szCs w:val="22"/>
          <w:highlight w:val="none"/>
          <w:lang w:val="en-US" w:eastAsia="zh-CN" w:bidi="ar-SA"/>
        </w:rPr>
        <w:t>配送车辆；</w:t>
      </w:r>
    </w:p>
    <w:p w14:paraId="0174AED1">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）业绩；</w:t>
      </w:r>
    </w:p>
    <w:p w14:paraId="3B05DEB4">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）有必要说明的商务事宜。</w:t>
      </w:r>
    </w:p>
    <w:p w14:paraId="5589958B">
      <w:pPr>
        <w:pStyle w:val="15"/>
        <w:pageBreakBefore w:val="0"/>
        <w:bidi w:val="0"/>
        <w:outlineLvl w:val="9"/>
        <w:rPr>
          <w:rFonts w:hint="eastAsia" w:ascii="宋体" w:hAnsi="宋体" w:eastAsia="宋体" w:cs="宋体"/>
          <w:color w:val="auto"/>
          <w:highlight w:val="none"/>
        </w:rPr>
      </w:pPr>
    </w:p>
    <w:p w14:paraId="72945797">
      <w:pPr>
        <w:pageBreakBefore w:val="0"/>
        <w:bidi w:val="0"/>
        <w:spacing w:line="440" w:lineRule="exact"/>
        <w:ind w:firstLine="480" w:firstLineChars="200"/>
        <w:outlineLvl w:val="9"/>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br w:type="page"/>
      </w:r>
    </w:p>
    <w:p w14:paraId="2EF88FFD">
      <w:pPr>
        <w:pageBreakBefore w:val="0"/>
        <w:bidi w:val="0"/>
        <w:spacing w:line="360" w:lineRule="atLeas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十、</w:t>
      </w:r>
      <w:r>
        <w:rPr>
          <w:rFonts w:hint="eastAsia" w:ascii="宋体" w:hAnsi="宋体" w:eastAsia="宋体" w:cs="宋体"/>
          <w:b/>
          <w:color w:val="auto"/>
          <w:sz w:val="32"/>
          <w:szCs w:val="32"/>
          <w:highlight w:val="none"/>
        </w:rPr>
        <w:t xml:space="preserve">  </w:t>
      </w:r>
      <w:bookmarkStart w:id="90" w:name="_GoBack"/>
      <w:r>
        <w:rPr>
          <w:rFonts w:hint="eastAsia" w:ascii="宋体" w:hAnsi="宋体" w:eastAsia="宋体" w:cs="宋体"/>
          <w:b/>
          <w:bCs/>
          <w:color w:val="auto"/>
          <w:sz w:val="32"/>
          <w:szCs w:val="32"/>
          <w:highlight w:val="none"/>
          <w:lang w:val="en-US" w:eastAsia="zh-CN"/>
        </w:rPr>
        <w:t>其他资料</w:t>
      </w:r>
    </w:p>
    <w:p w14:paraId="247D9E91">
      <w:pPr>
        <w:pageBreakBefore w:val="0"/>
        <w:numPr>
          <w:ilvl w:val="0"/>
          <w:numId w:val="0"/>
        </w:numPr>
        <w:bidi w:val="0"/>
        <w:spacing w:line="440" w:lineRule="exact"/>
        <w:jc w:val="center"/>
        <w:outlineLvl w:val="9"/>
        <w:rPr>
          <w:rFonts w:hint="eastAsia" w:ascii="宋体" w:hAnsi="宋体" w:eastAsia="宋体" w:cs="宋体"/>
          <w:b/>
          <w:bCs/>
          <w:color w:val="auto"/>
          <w:kern w:val="0"/>
          <w:sz w:val="28"/>
          <w:szCs w:val="28"/>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61B39E8F">
      <w:pPr>
        <w:spacing w:before="100" w:beforeAutospacing="1" w:after="120" w:afterLines="50" w:line="360" w:lineRule="auto"/>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bCs/>
          <w:color w:val="auto"/>
          <w:kern w:val="0"/>
          <w:sz w:val="28"/>
          <w:szCs w:val="28"/>
          <w:highlight w:val="none"/>
          <w:lang w:val="en-US" w:eastAsia="zh-CN"/>
        </w:rPr>
        <w:t>1、</w:t>
      </w:r>
      <w:bookmarkStart w:id="86" w:name="_Toc26990"/>
      <w:bookmarkStart w:id="87" w:name="_Toc32499"/>
      <w:r>
        <w:rPr>
          <w:rFonts w:hint="eastAsia" w:ascii="宋体" w:hAnsi="宋体" w:eastAsia="宋体" w:cs="宋体"/>
          <w:b/>
          <w:color w:val="auto"/>
          <w:kern w:val="0"/>
          <w:sz w:val="32"/>
          <w:szCs w:val="32"/>
          <w:highlight w:val="none"/>
          <w:lang w:bidi="ar"/>
        </w:rPr>
        <w:t>中小企业声明函（货物）</w:t>
      </w:r>
    </w:p>
    <w:p w14:paraId="5A72B745">
      <w:pPr>
        <w:spacing w:before="100" w:beforeAutospacing="1" w:after="156" w:afterLines="50" w:line="360" w:lineRule="auto"/>
        <w:ind w:firstLine="480" w:firstLineChars="200"/>
        <w:outlineLvl w:val="0"/>
        <w:rPr>
          <w:rFonts w:hint="eastAsia" w:ascii="宋体" w:hAnsi="宋体" w:eastAsia="宋体" w:cs="宋体"/>
          <w:color w:val="auto"/>
          <w:sz w:val="24"/>
          <w:szCs w:val="24"/>
          <w:highlight w:val="none"/>
        </w:rPr>
      </w:pPr>
      <w:bookmarkStart w:id="88" w:name="_Toc27539"/>
      <w:bookmarkStart w:id="89" w:name="_Toc16979"/>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联合体</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采购活动，提供的货物全部由符合政策要求的中小企业制造。相关企业的具体情况如下：</w:t>
      </w:r>
      <w:bookmarkEnd w:id="88"/>
      <w:bookmarkEnd w:id="89"/>
      <w:r>
        <w:rPr>
          <w:rFonts w:hint="eastAsia" w:ascii="宋体" w:hAnsi="宋体" w:eastAsia="宋体" w:cs="宋体"/>
          <w:color w:val="auto"/>
          <w:sz w:val="24"/>
          <w:szCs w:val="24"/>
          <w:highlight w:val="none"/>
        </w:rPr>
        <w:t xml:space="preserve"> </w:t>
      </w:r>
    </w:p>
    <w:p w14:paraId="11FB1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，属于（中型企业、小型企业、微型企业）；</w:t>
      </w:r>
    </w:p>
    <w:p w14:paraId="3A97163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2、（标的名称） ，属于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 xml:space="preserve"> 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万元，资产总额为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万元，属于（中型企业、小型 企业、微型企业）；</w:t>
      </w:r>
    </w:p>
    <w:p w14:paraId="1CCF64F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w:t>
      </w:r>
    </w:p>
    <w:p w14:paraId="2EFF836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 本企业对上述声明内容的真实性负责。如有虚假，将依法承担相应责任。</w:t>
      </w:r>
      <w:r>
        <w:rPr>
          <w:rFonts w:hint="eastAsia" w:ascii="宋体" w:hAnsi="宋体" w:eastAsia="宋体" w:cs="宋体"/>
          <w:color w:val="auto"/>
          <w:sz w:val="24"/>
          <w:szCs w:val="24"/>
          <w:highlight w:val="none"/>
        </w:rPr>
        <w:t xml:space="preserve"> </w:t>
      </w:r>
    </w:p>
    <w:p w14:paraId="4EEA2612">
      <w:pPr>
        <w:tabs>
          <w:tab w:val="left" w:pos="486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DE160CA">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77245128">
      <w:pPr>
        <w:tabs>
          <w:tab w:val="left" w:pos="1620"/>
          <w:tab w:val="left" w:pos="1800"/>
        </w:tabs>
        <w:spacing w:line="500" w:lineRule="exact"/>
        <w:rPr>
          <w:rFonts w:hint="eastAsia" w:ascii="宋体" w:hAnsi="宋体" w:eastAsia="宋体" w:cs="宋体"/>
          <w:color w:val="auto"/>
          <w:kern w:val="0"/>
          <w:sz w:val="24"/>
          <w:highlight w:val="none"/>
          <w:lang w:val="en-US" w:eastAsia="zh-CN" w:bidi="ar"/>
        </w:rPr>
      </w:pPr>
    </w:p>
    <w:p w14:paraId="77B3F909">
      <w:pPr>
        <w:tabs>
          <w:tab w:val="left" w:pos="1620"/>
          <w:tab w:val="left" w:pos="1800"/>
        </w:tabs>
        <w:spacing w:line="500" w:lineRule="exact"/>
        <w:ind w:firstLine="5040" w:firstLineChars="2100"/>
        <w:rPr>
          <w:rFonts w:hint="eastAsia" w:ascii="宋体" w:hAnsi="宋体" w:eastAsia="宋体" w:cs="宋体"/>
          <w:color w:val="auto"/>
          <w:highlight w:val="none"/>
        </w:rPr>
      </w:pPr>
      <w:r>
        <w:rPr>
          <w:rFonts w:hint="eastAsia" w:ascii="宋体" w:hAnsi="宋体" w:eastAsia="宋体" w:cs="宋体"/>
          <w:color w:val="auto"/>
          <w:kern w:val="0"/>
          <w:sz w:val="24"/>
          <w:highlight w:val="none"/>
          <w:lang w:val="en-US" w:eastAsia="zh-CN" w:bidi="ar"/>
        </w:rPr>
        <w:t>企业</w:t>
      </w:r>
      <w:r>
        <w:rPr>
          <w:rFonts w:hint="eastAsia" w:ascii="宋体" w:hAnsi="宋体" w:eastAsia="宋体" w:cs="宋体"/>
          <w:color w:val="auto"/>
          <w:kern w:val="0"/>
          <w:sz w:val="24"/>
          <w:highlight w:val="none"/>
          <w:lang w:bidi="ar"/>
        </w:rPr>
        <w:t>名称（公章）：</w:t>
      </w:r>
    </w:p>
    <w:p w14:paraId="28230CAB">
      <w:pPr>
        <w:tabs>
          <w:tab w:val="left" w:pos="1620"/>
          <w:tab w:val="left" w:pos="1800"/>
        </w:tabs>
        <w:spacing w:line="500" w:lineRule="exact"/>
        <w:rPr>
          <w:rFonts w:hint="eastAsia" w:ascii="宋体" w:hAnsi="宋体" w:eastAsia="宋体" w:cs="宋体"/>
          <w:color w:val="auto"/>
          <w:highlight w:val="none"/>
          <w:u w:val="single"/>
        </w:rPr>
      </w:pPr>
      <w:r>
        <w:rPr>
          <w:rFonts w:hint="eastAsia" w:ascii="宋体" w:hAnsi="宋体" w:eastAsia="宋体" w:cs="宋体"/>
          <w:color w:val="auto"/>
          <w:kern w:val="0"/>
          <w:sz w:val="24"/>
          <w:highlight w:val="none"/>
          <w:lang w:bidi="ar"/>
        </w:rPr>
        <w:t xml:space="preserve">                                            日   期：</w:t>
      </w:r>
    </w:p>
    <w:p w14:paraId="5D28529A">
      <w:pPr>
        <w:tabs>
          <w:tab w:val="left" w:pos="1620"/>
          <w:tab w:val="left" w:pos="1800"/>
        </w:tabs>
        <w:spacing w:line="500" w:lineRule="exact"/>
        <w:rPr>
          <w:rFonts w:hint="eastAsia" w:ascii="宋体" w:hAnsi="宋体" w:eastAsia="宋体" w:cs="宋体"/>
          <w:b/>
          <w:color w:val="auto"/>
          <w:szCs w:val="21"/>
          <w:highlight w:val="none"/>
        </w:rPr>
      </w:pPr>
    </w:p>
    <w:p w14:paraId="7218E5EB">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5391D00F">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0039D30D">
      <w:pPr>
        <w:spacing w:line="500" w:lineRule="exact"/>
        <w:ind w:firstLine="480" w:firstLineChars="200"/>
        <w:rPr>
          <w:rFonts w:hint="eastAsia" w:ascii="宋体" w:hAnsi="宋体" w:eastAsia="宋体" w:cs="宋体"/>
          <w:color w:val="auto"/>
          <w:kern w:val="0"/>
          <w:sz w:val="24"/>
          <w:szCs w:val="21"/>
          <w:highlight w:val="none"/>
          <w:lang w:val="en-US" w:eastAsia="zh-CN" w:bidi="ar"/>
        </w:rPr>
      </w:pPr>
    </w:p>
    <w:p w14:paraId="4AB84603">
      <w:pPr>
        <w:spacing w:line="50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1"/>
          <w:highlight w:val="none"/>
          <w:lang w:val="en-US" w:eastAsia="zh-CN" w:bidi="ar"/>
        </w:rPr>
        <w:t>注：从业人员、营业收入、资产总额填报上一年度数据，无上一年度数据的新成立企业可不填报。</w:t>
      </w:r>
    </w:p>
    <w:p w14:paraId="66B5F5C6">
      <w:pPr>
        <w:tabs>
          <w:tab w:val="left" w:pos="1620"/>
          <w:tab w:val="left" w:pos="1800"/>
        </w:tabs>
        <w:spacing w:line="500" w:lineRule="exact"/>
        <w:ind w:firstLine="480"/>
        <w:rPr>
          <w:rFonts w:hint="eastAsia" w:ascii="宋体" w:hAnsi="宋体" w:eastAsia="宋体" w:cs="宋体"/>
          <w:color w:val="auto"/>
          <w:kern w:val="0"/>
          <w:sz w:val="24"/>
          <w:highlight w:val="none"/>
          <w:lang w:bidi="ar"/>
        </w:rPr>
      </w:pPr>
    </w:p>
    <w:p w14:paraId="3A6CB17E">
      <w:pPr>
        <w:pageBreakBefore w:val="0"/>
        <w:tabs>
          <w:tab w:val="left" w:pos="1755"/>
        </w:tabs>
        <w:bidi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pacing w:val="6"/>
          <w:sz w:val="30"/>
          <w:szCs w:val="30"/>
          <w:highlight w:val="none"/>
        </w:rPr>
        <w:br w:type="page"/>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w:t>
      </w:r>
      <w:bookmarkEnd w:id="86"/>
      <w:bookmarkEnd w:id="87"/>
      <w:r>
        <w:rPr>
          <w:rFonts w:hint="eastAsia" w:ascii="宋体" w:hAnsi="宋体" w:eastAsia="宋体" w:cs="宋体"/>
          <w:b/>
          <w:color w:val="auto"/>
          <w:kern w:val="0"/>
          <w:sz w:val="28"/>
          <w:szCs w:val="28"/>
          <w:highlight w:val="none"/>
          <w:lang w:val="zh-CN"/>
        </w:rPr>
        <w:t>残疾人福利性单位声明函（非</w:t>
      </w:r>
      <w:r>
        <w:rPr>
          <w:rFonts w:hint="eastAsia" w:ascii="宋体" w:hAnsi="宋体" w:eastAsia="宋体" w:cs="宋体"/>
          <w:b/>
          <w:bCs/>
          <w:color w:val="auto"/>
          <w:sz w:val="28"/>
          <w:szCs w:val="28"/>
          <w:highlight w:val="none"/>
        </w:rPr>
        <w:t>残疾人福利企业</w:t>
      </w:r>
      <w:r>
        <w:rPr>
          <w:rFonts w:hint="eastAsia" w:ascii="宋体" w:hAnsi="宋体" w:eastAsia="宋体" w:cs="宋体"/>
          <w:b/>
          <w:color w:val="auto"/>
          <w:kern w:val="0"/>
          <w:sz w:val="28"/>
          <w:szCs w:val="28"/>
          <w:highlight w:val="none"/>
          <w:lang w:val="zh-CN"/>
        </w:rPr>
        <w:t>不</w:t>
      </w:r>
      <w:r>
        <w:rPr>
          <w:rFonts w:hint="eastAsia" w:ascii="宋体" w:hAnsi="宋体" w:eastAsia="宋体" w:cs="宋体"/>
          <w:b/>
          <w:bCs/>
          <w:color w:val="auto"/>
          <w:kern w:val="0"/>
          <w:sz w:val="28"/>
          <w:szCs w:val="28"/>
          <w:highlight w:val="none"/>
        </w:rPr>
        <w:t>填写</w:t>
      </w:r>
      <w:r>
        <w:rPr>
          <w:rFonts w:hint="eastAsia" w:ascii="宋体" w:hAnsi="宋体" w:eastAsia="宋体" w:cs="宋体"/>
          <w:b/>
          <w:color w:val="auto"/>
          <w:kern w:val="0"/>
          <w:sz w:val="28"/>
          <w:szCs w:val="28"/>
          <w:highlight w:val="none"/>
          <w:lang w:val="zh-CN"/>
        </w:rPr>
        <w:t>）</w:t>
      </w:r>
    </w:p>
    <w:p w14:paraId="7B04B65D">
      <w:pPr>
        <w:pageBreakBefore w:val="0"/>
        <w:bidi w:val="0"/>
        <w:spacing w:line="360" w:lineRule="auto"/>
        <w:outlineLvl w:val="9"/>
        <w:rPr>
          <w:rFonts w:hint="eastAsia" w:ascii="宋体" w:hAnsi="宋体" w:eastAsia="宋体" w:cs="宋体"/>
          <w:b/>
          <w:color w:val="auto"/>
          <w:spacing w:val="6"/>
          <w:sz w:val="32"/>
          <w:szCs w:val="32"/>
          <w:highlight w:val="none"/>
          <w:shd w:val="pct10" w:color="auto" w:fill="FFFFFF"/>
        </w:rPr>
      </w:pPr>
    </w:p>
    <w:p w14:paraId="46AD5D4A">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5B69070">
      <w:pPr>
        <w:pageBreakBefore w:val="0"/>
        <w:bidi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D7814FA">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7C3A5179">
      <w:pPr>
        <w:pageBreakBefore w:val="0"/>
        <w:bidi w:val="0"/>
        <w:spacing w:line="360" w:lineRule="auto"/>
        <w:ind w:firstLine="480" w:firstLineChars="200"/>
        <w:outlineLvl w:val="9"/>
        <w:rPr>
          <w:rFonts w:hint="eastAsia" w:ascii="宋体" w:hAnsi="宋体" w:eastAsia="宋体" w:cs="宋体"/>
          <w:color w:val="auto"/>
          <w:sz w:val="24"/>
          <w:highlight w:val="none"/>
        </w:rPr>
      </w:pPr>
    </w:p>
    <w:p w14:paraId="17194DE9">
      <w:pPr>
        <w:pageBreakBefore w:val="0"/>
        <w:tabs>
          <w:tab w:val="left" w:pos="4860"/>
          <w:tab w:val="left" w:pos="8040"/>
          <w:tab w:val="left" w:pos="8160"/>
        </w:tabs>
        <w:bidi w:val="0"/>
        <w:spacing w:line="360" w:lineRule="auto"/>
        <w:ind w:right="862" w:firstLine="480" w:firstLineChars="200"/>
        <w:jc w:val="cente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单位名称（盖章）：</w:t>
      </w:r>
      <w:r>
        <w:rPr>
          <w:rFonts w:hint="eastAsia" w:ascii="宋体" w:hAnsi="宋体" w:eastAsia="宋体" w:cs="宋体"/>
          <w:color w:val="auto"/>
          <w:sz w:val="24"/>
          <w:highlight w:val="none"/>
          <w:u w:val="single"/>
        </w:rPr>
        <w:t xml:space="preserve">                   </w:t>
      </w:r>
    </w:p>
    <w:p w14:paraId="2EF453A3">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94AB335">
      <w:pPr>
        <w:pageBreakBefore w:val="0"/>
        <w:tabs>
          <w:tab w:val="left" w:pos="4860"/>
        </w:tabs>
        <w:bidi w:val="0"/>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29FCB2C">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33CA51FD">
      <w:pPr>
        <w:pageBreakBefore w:val="0"/>
        <w:bidi w:val="0"/>
        <w:spacing w:line="360" w:lineRule="auto"/>
        <w:ind w:firstLine="506" w:firstLineChars="200"/>
        <w:outlineLvl w:val="9"/>
        <w:rPr>
          <w:rFonts w:hint="eastAsia" w:ascii="宋体" w:hAnsi="宋体" w:eastAsia="宋体" w:cs="宋体"/>
          <w:b/>
          <w:color w:val="auto"/>
          <w:spacing w:val="6"/>
          <w:sz w:val="24"/>
          <w:highlight w:val="none"/>
          <w:shd w:val="pct10" w:color="auto" w:fill="FFFFFF"/>
        </w:rPr>
      </w:pPr>
    </w:p>
    <w:p w14:paraId="642E04FF">
      <w:pPr>
        <w:pageBreakBefore w:val="0"/>
        <w:kinsoku w:val="0"/>
        <w:bidi w:val="0"/>
        <w:spacing w:line="360" w:lineRule="auto"/>
        <w:ind w:firstLine="480" w:firstLineChars="20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eastAsia="宋体" w:cs="宋体"/>
          <w:color w:val="auto"/>
          <w:kern w:val="0"/>
          <w:sz w:val="24"/>
          <w:highlight w:val="none"/>
          <w:lang w:val="zh-CN"/>
        </w:rPr>
        <w:t>备注：投标人提供的《残疾人福利性单位声明函》必须真实有效，如果被举报经查实出具虚假声明函的，将被取消投标资格，并按有关规定予以处理。</w:t>
      </w:r>
    </w:p>
    <w:p w14:paraId="726134EF">
      <w:pPr>
        <w:pStyle w:val="10"/>
        <w:widowControl/>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spacing w:val="6"/>
          <w:sz w:val="32"/>
          <w:szCs w:val="32"/>
          <w:highlight w:val="none"/>
        </w:rPr>
        <w:t>监狱企业证明</w:t>
      </w:r>
    </w:p>
    <w:p w14:paraId="5401C339">
      <w:pPr>
        <w:pStyle w:val="10"/>
        <w:widowControl/>
        <w:rPr>
          <w:rFonts w:hint="eastAsia" w:ascii="宋体" w:hAnsi="宋体" w:eastAsia="宋体" w:cs="宋体"/>
          <w:b/>
          <w:color w:val="auto"/>
          <w:spacing w:val="6"/>
          <w:sz w:val="32"/>
          <w:szCs w:val="32"/>
          <w:highlight w:val="none"/>
        </w:rPr>
      </w:pPr>
    </w:p>
    <w:p w14:paraId="69D4FEA8">
      <w:pPr>
        <w:pStyle w:val="10"/>
        <w:widowControl/>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注：由省级及以上监狱管理局、戒毒管理局出具。格式自拟。</w:t>
      </w:r>
    </w:p>
    <w:p w14:paraId="1C5B1AD8">
      <w:pPr>
        <w:pStyle w:val="10"/>
        <w:widowControl/>
        <w:rPr>
          <w:rFonts w:hint="eastAsia" w:ascii="宋体" w:hAnsi="宋体" w:eastAsia="宋体" w:cs="宋体"/>
          <w:color w:val="auto"/>
          <w:szCs w:val="24"/>
          <w:highlight w:val="none"/>
        </w:rPr>
      </w:pPr>
    </w:p>
    <w:p w14:paraId="5A5EB1CE">
      <w:pPr>
        <w:pStyle w:val="10"/>
        <w:widowControl/>
        <w:rPr>
          <w:rFonts w:hint="eastAsia" w:ascii="宋体" w:hAnsi="宋体" w:eastAsia="宋体" w:cs="宋体"/>
          <w:color w:val="auto"/>
          <w:highlight w:val="none"/>
        </w:rPr>
      </w:pPr>
    </w:p>
    <w:p w14:paraId="662003C0">
      <w:pPr>
        <w:pStyle w:val="10"/>
        <w:widowControl/>
        <w:rPr>
          <w:rFonts w:hint="eastAsia" w:ascii="宋体" w:hAnsi="宋体" w:eastAsia="宋体" w:cs="宋体"/>
          <w:color w:val="auto"/>
          <w:highlight w:val="none"/>
        </w:rPr>
      </w:pPr>
    </w:p>
    <w:p w14:paraId="29080D82">
      <w:pPr>
        <w:rPr>
          <w:rFonts w:hint="eastAsia" w:ascii="宋体" w:hAnsi="宋体" w:eastAsia="宋体" w:cs="宋体"/>
          <w:color w:val="auto"/>
          <w:highlight w:val="none"/>
        </w:rPr>
      </w:pPr>
    </w:p>
    <w:p w14:paraId="1C75AE91">
      <w:pPr>
        <w:pageBreakBefore w:val="0"/>
        <w:bidi w:val="0"/>
        <w:spacing w:line="200" w:lineRule="exact"/>
        <w:outlineLvl w:val="9"/>
        <w:rPr>
          <w:rFonts w:hint="eastAsia" w:ascii="宋体" w:hAnsi="宋体" w:eastAsia="宋体" w:cs="宋体"/>
          <w:color w:val="auto"/>
          <w:sz w:val="20"/>
          <w:szCs w:val="20"/>
          <w:highlight w:val="none"/>
        </w:rPr>
      </w:pPr>
    </w:p>
    <w:p w14:paraId="4C0772A3">
      <w:pPr>
        <w:pageBreakBefore w:val="0"/>
        <w:bidi w:val="0"/>
        <w:spacing w:line="200" w:lineRule="exact"/>
        <w:outlineLvl w:val="9"/>
        <w:rPr>
          <w:rFonts w:hint="eastAsia" w:ascii="宋体" w:hAnsi="宋体" w:eastAsia="宋体" w:cs="宋体"/>
          <w:color w:val="auto"/>
          <w:sz w:val="20"/>
          <w:szCs w:val="20"/>
          <w:highlight w:val="none"/>
        </w:rPr>
      </w:pPr>
    </w:p>
    <w:p w14:paraId="6B02C413">
      <w:pPr>
        <w:pageBreakBefore w:val="0"/>
        <w:tabs>
          <w:tab w:val="left" w:pos="520"/>
        </w:tabs>
        <w:bidi w:val="0"/>
        <w:spacing w:line="274" w:lineRule="exact"/>
        <w:ind w:left="60"/>
        <w:outlineLvl w:val="9"/>
        <w:rPr>
          <w:rFonts w:hint="eastAsia" w:ascii="宋体" w:hAnsi="宋体" w:eastAsia="宋体" w:cs="宋体"/>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57DAFF7E">
      <w:pPr>
        <w:spacing w:before="1"/>
        <w:ind w:right="0"/>
        <w:jc w:val="center"/>
        <w:rPr>
          <w:rFonts w:hint="eastAsia" w:ascii="宋体" w:hAnsi="宋体" w:eastAsia="宋体" w:cs="宋体"/>
          <w:b/>
          <w:sz w:val="30"/>
        </w:rPr>
      </w:pPr>
      <w:r>
        <w:rPr>
          <w:rFonts w:hint="eastAsia" w:ascii="宋体" w:hAnsi="宋体" w:eastAsia="宋体" w:cs="宋体"/>
          <w:b/>
          <w:sz w:val="30"/>
          <w:lang w:val="en-US" w:eastAsia="zh-CN"/>
        </w:rPr>
        <w:t>4、</w:t>
      </w:r>
      <w:r>
        <w:rPr>
          <w:rFonts w:hint="eastAsia" w:ascii="宋体" w:hAnsi="宋体" w:eastAsia="宋体" w:cs="宋体"/>
          <w:b/>
          <w:sz w:val="30"/>
        </w:rPr>
        <w:t>信用</w:t>
      </w:r>
      <w:r>
        <w:rPr>
          <w:rFonts w:hint="eastAsia" w:ascii="宋体" w:hAnsi="宋体" w:eastAsia="宋体" w:cs="宋体"/>
          <w:b/>
          <w:sz w:val="30"/>
          <w:lang w:eastAsia="zh-CN"/>
        </w:rPr>
        <w:t>承诺书</w:t>
      </w:r>
      <w:r>
        <w:rPr>
          <w:rFonts w:hint="eastAsia" w:ascii="宋体" w:hAnsi="宋体" w:eastAsia="宋体" w:cs="宋体"/>
          <w:b/>
          <w:sz w:val="30"/>
        </w:rPr>
        <w:t>（格式）</w:t>
      </w:r>
    </w:p>
    <w:p w14:paraId="4E075B9A">
      <w:pPr>
        <w:pStyle w:val="10"/>
        <w:spacing w:before="70"/>
        <w:rPr>
          <w:rFonts w:hint="eastAsia" w:ascii="宋体" w:hAnsi="宋体" w:eastAsia="宋体" w:cs="宋体"/>
        </w:rPr>
      </w:pPr>
    </w:p>
    <w:p w14:paraId="1BFE9C84">
      <w:pPr>
        <w:pStyle w:val="10"/>
        <w:keepNext w:val="0"/>
        <w:keepLines w:val="0"/>
        <w:pageBreakBefore w:val="0"/>
        <w:widowControl w:val="0"/>
        <w:kinsoku/>
        <w:wordWrap/>
        <w:overflowPunct/>
        <w:topLinePunct w:val="0"/>
        <w:autoSpaceDE/>
        <w:autoSpaceDN/>
        <w:bidi w:val="0"/>
        <w:adjustRightInd/>
        <w:snapToGrid/>
        <w:spacing w:before="70" w:line="4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延安市宝塔区</w:t>
      </w:r>
      <w:r>
        <w:rPr>
          <w:rFonts w:hint="eastAsia" w:ascii="宋体" w:hAnsi="宋体" w:cs="宋体"/>
          <w:sz w:val="24"/>
          <w:szCs w:val="24"/>
          <w:lang w:val="en-US" w:eastAsia="zh-CN"/>
        </w:rPr>
        <w:t>第五中学</w:t>
      </w:r>
      <w:r>
        <w:rPr>
          <w:rFonts w:hint="eastAsia" w:ascii="宋体" w:hAnsi="宋体" w:eastAsia="宋体" w:cs="宋体"/>
          <w:sz w:val="24"/>
          <w:szCs w:val="24"/>
        </w:rPr>
        <w:t>：</w:t>
      </w:r>
    </w:p>
    <w:p w14:paraId="0B7E2EA2">
      <w:pPr>
        <w:pStyle w:val="10"/>
        <w:keepNext w:val="0"/>
        <w:keepLines w:val="0"/>
        <w:pageBreakBefore w:val="0"/>
        <w:widowControl w:val="0"/>
        <w:tabs>
          <w:tab w:val="left" w:pos="6315"/>
          <w:tab w:val="left" w:pos="7280"/>
        </w:tabs>
        <w:kinsoku/>
        <w:wordWrap/>
        <w:overflowPunct/>
        <w:topLinePunct w:val="0"/>
        <w:autoSpaceDE/>
        <w:autoSpaceDN/>
        <w:bidi w:val="0"/>
        <w:adjustRightInd/>
        <w:snapToGrid/>
        <w:spacing w:before="40" w:line="420" w:lineRule="exact"/>
        <w:ind w:right="741" w:firstLine="568"/>
        <w:textAlignment w:val="auto"/>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及标包</w:t>
      </w:r>
      <w:r>
        <w:rPr>
          <w:rFonts w:hint="eastAsia" w:ascii="宋体" w:hAnsi="宋体" w:eastAsia="宋体" w:cs="宋体"/>
          <w:sz w:val="24"/>
          <w:szCs w:val="24"/>
          <w:u w:val="single"/>
        </w:rPr>
        <w:t>》</w:t>
      </w:r>
      <w:r>
        <w:rPr>
          <w:rFonts w:hint="eastAsia" w:ascii="宋体" w:hAnsi="宋体" w:eastAsia="宋体" w:cs="宋体"/>
          <w:sz w:val="24"/>
          <w:szCs w:val="24"/>
        </w:rPr>
        <w:t xml:space="preserve">（项目编号： </w:t>
      </w:r>
      <w:r>
        <w:rPr>
          <w:rFonts w:hint="eastAsia" w:ascii="宋体" w:hAnsi="宋体" w:eastAsia="宋体" w:cs="宋体"/>
          <w:sz w:val="24"/>
          <w:szCs w:val="24"/>
        </w:rPr>
        <w:tab/>
      </w:r>
      <w:r>
        <w:rPr>
          <w:rFonts w:hint="eastAsia" w:ascii="宋体" w:hAnsi="宋体" w:eastAsia="宋体" w:cs="宋体"/>
          <w:sz w:val="24"/>
          <w:szCs w:val="24"/>
        </w:rPr>
        <w:t>）的供应商，在此郑重声明：</w:t>
      </w:r>
    </w:p>
    <w:p w14:paraId="2B1AC479">
      <w:pPr>
        <w:pStyle w:val="10"/>
        <w:keepNext w:val="0"/>
        <w:keepLines w:val="0"/>
        <w:pageBreakBefore w:val="0"/>
        <w:widowControl w:val="0"/>
        <w:tabs>
          <w:tab w:val="left" w:pos="6315"/>
          <w:tab w:val="left" w:pos="7280"/>
        </w:tabs>
        <w:kinsoku/>
        <w:wordWrap/>
        <w:overflowPunct/>
        <w:topLinePunct w:val="0"/>
        <w:autoSpaceDE/>
        <w:autoSpaceDN/>
        <w:bidi w:val="0"/>
        <w:adjustRightInd/>
        <w:snapToGrid/>
        <w:spacing w:before="40" w:line="420" w:lineRule="exact"/>
        <w:ind w:right="741" w:firstLine="568"/>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.我方</w:t>
      </w:r>
      <w:r>
        <w:rPr>
          <w:rFonts w:hint="eastAsia" w:ascii="宋体" w:hAnsi="宋体" w:eastAsia="宋体" w:cs="宋体"/>
          <w:w w:val="100"/>
          <w:sz w:val="24"/>
          <w:szCs w:val="24"/>
          <w:u w:val="single"/>
        </w:rPr>
        <w:t xml:space="preserve"> </w:t>
      </w:r>
      <w:r>
        <w:rPr>
          <w:rFonts w:hint="eastAsia" w:ascii="宋体" w:hAnsi="宋体" w:cs="宋体"/>
          <w:w w:val="100"/>
          <w:sz w:val="24"/>
          <w:szCs w:val="24"/>
          <w:u w:val="single"/>
          <w:lang w:val="en-US" w:eastAsia="zh-CN"/>
        </w:rPr>
        <w:t xml:space="preserve">           </w:t>
      </w:r>
      <w:r>
        <w:rPr>
          <w:rFonts w:hint="eastAsia" w:ascii="宋体" w:hAnsi="宋体" w:eastAsia="宋体" w:cs="宋体"/>
          <w:sz w:val="24"/>
          <w:szCs w:val="24"/>
        </w:rPr>
        <w:t xml:space="preserve"> （填“未被列入”</w:t>
      </w:r>
      <w:r>
        <w:rPr>
          <w:rFonts w:hint="eastAsia" w:ascii="宋体" w:hAnsi="宋体" w:eastAsia="宋体" w:cs="宋体"/>
          <w:spacing w:val="1"/>
          <w:w w:val="100"/>
          <w:sz w:val="24"/>
          <w:szCs w:val="24"/>
        </w:rPr>
        <w:t>或“被列入”</w:t>
      </w:r>
      <w:r>
        <w:rPr>
          <w:rFonts w:hint="eastAsia" w:ascii="宋体" w:hAnsi="宋体" w:eastAsia="宋体" w:cs="宋体"/>
          <w:spacing w:val="1"/>
          <w:w w:val="100"/>
          <w:sz w:val="24"/>
          <w:szCs w:val="24"/>
          <w:lang w:eastAsia="zh-CN"/>
        </w:rPr>
        <w:t>）</w:t>
      </w:r>
      <w:r>
        <w:rPr>
          <w:rFonts w:hint="eastAsia" w:ascii="宋体" w:hAnsi="宋体" w:eastAsia="宋体" w:cs="宋体"/>
          <w:color w:val="auto"/>
          <w:kern w:val="2"/>
          <w:sz w:val="24"/>
          <w:szCs w:val="24"/>
          <w:highlight w:val="none"/>
          <w:lang w:val="en-US" w:eastAsia="zh-CN" w:bidi="ar-SA"/>
        </w:rPr>
        <w:t>中国执行信息公开网失信被执行人名单</w:t>
      </w:r>
      <w:r>
        <w:rPr>
          <w:rFonts w:hint="eastAsia" w:ascii="宋体" w:hAnsi="宋体" w:eastAsia="宋体" w:cs="宋体"/>
          <w:w w:val="100"/>
          <w:sz w:val="24"/>
          <w:szCs w:val="24"/>
        </w:rPr>
        <w:t>。</w:t>
      </w:r>
    </w:p>
    <w:p w14:paraId="0F7E586F">
      <w:pPr>
        <w:pStyle w:val="10"/>
        <w:keepNext w:val="0"/>
        <w:keepLines w:val="0"/>
        <w:pageBreakBefore w:val="0"/>
        <w:widowControl w:val="0"/>
        <w:tabs>
          <w:tab w:val="left" w:pos="2852"/>
        </w:tabs>
        <w:kinsoku/>
        <w:wordWrap/>
        <w:overflowPunct/>
        <w:topLinePunct w:val="0"/>
        <w:autoSpaceDE/>
        <w:autoSpaceDN/>
        <w:bidi w:val="0"/>
        <w:adjustRightInd/>
        <w:snapToGrid/>
        <w:spacing w:before="143" w:line="420" w:lineRule="exact"/>
        <w:ind w:right="741"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pacing w:val="0"/>
          <w:w w:val="100"/>
          <w:sz w:val="24"/>
          <w:szCs w:val="24"/>
          <w:lang w:val="en-US" w:eastAsia="zh-CN"/>
        </w:rPr>
        <w:t>2</w:t>
      </w:r>
      <w:r>
        <w:rPr>
          <w:rFonts w:hint="eastAsia" w:ascii="宋体" w:hAnsi="宋体" w:eastAsia="宋体" w:cs="宋体"/>
          <w:spacing w:val="0"/>
          <w:w w:val="100"/>
          <w:sz w:val="24"/>
          <w:szCs w:val="24"/>
        </w:rPr>
        <w:t>.</w:t>
      </w:r>
      <w:r>
        <w:rPr>
          <w:rFonts w:hint="eastAsia" w:ascii="宋体" w:hAnsi="宋体" w:eastAsia="宋体" w:cs="宋体"/>
          <w:spacing w:val="1"/>
          <w:w w:val="100"/>
          <w:sz w:val="24"/>
          <w:szCs w:val="24"/>
        </w:rPr>
        <w:t>我</w:t>
      </w:r>
      <w:r>
        <w:rPr>
          <w:rFonts w:hint="eastAsia" w:ascii="宋体" w:hAnsi="宋体" w:eastAsia="宋体" w:cs="宋体"/>
          <w:spacing w:val="2"/>
          <w:w w:val="100"/>
          <w:sz w:val="24"/>
          <w:szCs w:val="24"/>
        </w:rPr>
        <w:t>方</w:t>
      </w:r>
      <w:r>
        <w:rPr>
          <w:rFonts w:hint="eastAsia" w:ascii="宋体" w:hAnsi="宋体" w:eastAsia="宋体" w:cs="宋体"/>
          <w:w w:val="100"/>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pacing w:val="1"/>
          <w:w w:val="100"/>
          <w:sz w:val="24"/>
          <w:szCs w:val="24"/>
        </w:rPr>
        <w:t>（填“未被列入”或“被列入”</w:t>
      </w:r>
      <w:r>
        <w:rPr>
          <w:rFonts w:hint="eastAsia" w:ascii="宋体" w:hAnsi="宋体" w:eastAsia="宋体" w:cs="宋体"/>
          <w:spacing w:val="1"/>
          <w:w w:val="100"/>
          <w:sz w:val="24"/>
          <w:szCs w:val="24"/>
          <w:lang w:eastAsia="zh-CN"/>
        </w:rPr>
        <w:t>）</w:t>
      </w:r>
      <w:r>
        <w:rPr>
          <w:rFonts w:hint="eastAsia" w:ascii="宋体" w:hAnsi="宋体" w:eastAsia="宋体" w:cs="宋体"/>
          <w:color w:val="auto"/>
          <w:kern w:val="2"/>
          <w:sz w:val="24"/>
          <w:szCs w:val="24"/>
          <w:highlight w:val="none"/>
          <w:lang w:val="en-US" w:eastAsia="zh-CN" w:bidi="ar-SA"/>
        </w:rPr>
        <w:t>信用中国网重大税收违法失信主体名单。</w:t>
      </w:r>
    </w:p>
    <w:p w14:paraId="578C81C4">
      <w:pPr>
        <w:pStyle w:val="10"/>
        <w:keepNext w:val="0"/>
        <w:keepLines w:val="0"/>
        <w:pageBreakBefore w:val="0"/>
        <w:widowControl w:val="0"/>
        <w:tabs>
          <w:tab w:val="left" w:pos="2852"/>
        </w:tabs>
        <w:kinsoku/>
        <w:wordWrap/>
        <w:overflowPunct/>
        <w:topLinePunct w:val="0"/>
        <w:autoSpaceDE/>
        <w:autoSpaceDN/>
        <w:bidi w:val="0"/>
        <w:adjustRightInd/>
        <w:snapToGrid/>
        <w:spacing w:before="1" w:line="420" w:lineRule="exact"/>
        <w:ind w:right="74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w:t>
      </w:r>
      <w:r>
        <w:rPr>
          <w:rFonts w:hint="eastAsia" w:ascii="宋体" w:hAnsi="宋体" w:eastAsia="宋体" w:cs="宋体"/>
          <w:color w:val="auto"/>
          <w:spacing w:val="1"/>
          <w:w w:val="100"/>
          <w:sz w:val="24"/>
          <w:szCs w:val="24"/>
        </w:rPr>
        <w:t>我</w:t>
      </w:r>
      <w:r>
        <w:rPr>
          <w:rFonts w:hint="eastAsia" w:ascii="宋体" w:hAnsi="宋体" w:eastAsia="宋体" w:cs="宋体"/>
          <w:color w:val="auto"/>
          <w:spacing w:val="2"/>
          <w:w w:val="100"/>
          <w:sz w:val="24"/>
          <w:szCs w:val="24"/>
        </w:rPr>
        <w:t>方</w:t>
      </w:r>
      <w:r>
        <w:rPr>
          <w:rFonts w:hint="eastAsia" w:ascii="宋体" w:hAnsi="宋体" w:eastAsia="宋体" w:cs="宋体"/>
          <w:color w:val="auto"/>
          <w:w w:val="100"/>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w w:val="100"/>
          <w:sz w:val="24"/>
          <w:szCs w:val="24"/>
        </w:rPr>
        <w:t>（填“未被列入”或“被列入”</w:t>
      </w:r>
      <w:r>
        <w:rPr>
          <w:rFonts w:hint="eastAsia" w:ascii="宋体" w:hAnsi="宋体" w:eastAsia="宋体" w:cs="宋体"/>
          <w:color w:val="auto"/>
          <w:spacing w:val="1"/>
          <w:w w:val="100"/>
          <w:sz w:val="24"/>
          <w:szCs w:val="24"/>
          <w:lang w:eastAsia="zh-CN"/>
        </w:rPr>
        <w:t>）</w:t>
      </w:r>
      <w:r>
        <w:rPr>
          <w:rFonts w:hint="eastAsia" w:ascii="宋体" w:hAnsi="宋体" w:eastAsia="宋体" w:cs="宋体"/>
          <w:color w:val="auto"/>
          <w:kern w:val="2"/>
          <w:sz w:val="24"/>
          <w:szCs w:val="24"/>
          <w:highlight w:val="none"/>
          <w:lang w:val="en-US" w:eastAsia="zh-CN" w:bidi="ar-SA"/>
        </w:rPr>
        <w:t>中国政府采购网政府采购严重违法失信行为记录名单（被财政部门禁止参加政府采购活动）</w:t>
      </w:r>
      <w:r>
        <w:rPr>
          <w:rFonts w:hint="eastAsia" w:ascii="宋体" w:hAnsi="宋体" w:eastAsia="宋体" w:cs="宋体"/>
          <w:color w:val="auto"/>
          <w:sz w:val="24"/>
          <w:szCs w:val="24"/>
        </w:rPr>
        <w:t>。</w:t>
      </w:r>
    </w:p>
    <w:p w14:paraId="24356472">
      <w:pPr>
        <w:pStyle w:val="10"/>
        <w:keepNext w:val="0"/>
        <w:keepLines w:val="0"/>
        <w:pageBreakBefore w:val="0"/>
        <w:widowControl w:val="0"/>
        <w:kinsoku/>
        <w:wordWrap/>
        <w:overflowPunct/>
        <w:topLinePunct w:val="0"/>
        <w:autoSpaceDE/>
        <w:autoSpaceDN/>
        <w:bidi w:val="0"/>
        <w:adjustRightInd/>
        <w:snapToGrid/>
        <w:spacing w:line="420" w:lineRule="exact"/>
        <w:ind w:right="746" w:firstLine="568"/>
        <w:textAlignment w:val="auto"/>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w:t>
      </w:r>
      <w:r>
        <w:rPr>
          <w:rFonts w:hint="eastAsia" w:ascii="宋体" w:hAnsi="宋体" w:eastAsia="宋体" w:cs="宋体"/>
          <w:sz w:val="24"/>
          <w:szCs w:val="24"/>
          <w:lang w:eastAsia="zh-CN"/>
        </w:rPr>
        <w:t>中华人民共和国</w:t>
      </w:r>
      <w:r>
        <w:rPr>
          <w:rFonts w:hint="eastAsia" w:ascii="宋体" w:hAnsi="宋体" w:eastAsia="宋体" w:cs="宋体"/>
          <w:sz w:val="24"/>
          <w:szCs w:val="24"/>
        </w:rPr>
        <w:t>政府采购法》有关“提供虚假材料的规定”接受处罚。</w:t>
      </w:r>
    </w:p>
    <w:p w14:paraId="56B262D8">
      <w:pPr>
        <w:pStyle w:val="10"/>
        <w:ind w:left="1004"/>
        <w:rPr>
          <w:rFonts w:hint="eastAsia" w:ascii="宋体" w:hAnsi="宋体" w:eastAsia="宋体" w:cs="宋体"/>
          <w:sz w:val="24"/>
          <w:szCs w:val="24"/>
        </w:rPr>
      </w:pPr>
    </w:p>
    <w:p w14:paraId="341D81D8">
      <w:pPr>
        <w:pStyle w:val="10"/>
        <w:ind w:left="1004"/>
        <w:rPr>
          <w:rFonts w:hint="eastAsia" w:ascii="宋体" w:hAnsi="宋体" w:eastAsia="宋体" w:cs="宋体"/>
          <w:sz w:val="24"/>
          <w:szCs w:val="24"/>
        </w:rPr>
      </w:pPr>
      <w:r>
        <w:rPr>
          <w:rFonts w:hint="eastAsia" w:ascii="宋体" w:hAnsi="宋体" w:eastAsia="宋体" w:cs="宋体"/>
          <w:sz w:val="24"/>
          <w:szCs w:val="24"/>
        </w:rPr>
        <w:t>特此声明。</w:t>
      </w:r>
    </w:p>
    <w:p w14:paraId="5620BBE1">
      <w:pPr>
        <w:pStyle w:val="10"/>
        <w:tabs>
          <w:tab w:val="left" w:pos="6397"/>
          <w:tab w:val="left" w:pos="6963"/>
          <w:tab w:val="left" w:pos="7530"/>
        </w:tabs>
        <w:spacing w:before="140" w:line="333" w:lineRule="auto"/>
        <w:ind w:left="4981" w:right="2169" w:hanging="286"/>
        <w:rPr>
          <w:rFonts w:hint="eastAsia" w:ascii="宋体" w:hAnsi="宋体" w:eastAsia="宋体" w:cs="宋体"/>
          <w:sz w:val="21"/>
          <w:szCs w:val="21"/>
        </w:rPr>
      </w:pPr>
    </w:p>
    <w:p w14:paraId="58B12A84">
      <w:pPr>
        <w:pStyle w:val="13"/>
        <w:pageBreakBefore w:val="0"/>
        <w:bidi w:val="0"/>
        <w:ind w:firstLine="3902" w:firstLineChars="162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91638C">
      <w:pPr>
        <w:pStyle w:val="13"/>
        <w:pageBreakBefore w:val="0"/>
        <w:bidi w:val="0"/>
        <w:ind w:firstLine="480"/>
        <w:outlineLvl w:val="9"/>
        <w:rPr>
          <w:rFonts w:hint="eastAsia" w:ascii="宋体" w:hAnsi="宋体" w:eastAsia="宋体" w:cs="宋体"/>
          <w:color w:val="auto"/>
          <w:sz w:val="24"/>
          <w:szCs w:val="24"/>
          <w:highlight w:val="none"/>
        </w:rPr>
      </w:pPr>
    </w:p>
    <w:p w14:paraId="157F6358">
      <w:pPr>
        <w:pStyle w:val="10"/>
        <w:tabs>
          <w:tab w:val="left" w:pos="6397"/>
          <w:tab w:val="left" w:pos="6963"/>
          <w:tab w:val="left" w:pos="7530"/>
        </w:tabs>
        <w:spacing w:before="140" w:line="333" w:lineRule="auto"/>
        <w:ind w:right="2169" w:firstLine="3990" w:firstLineChars="190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1480FAFF">
      <w:pPr>
        <w:pStyle w:val="10"/>
        <w:jc w:val="center"/>
        <w:rPr>
          <w:rFonts w:hint="eastAsia" w:ascii="宋体" w:hAnsi="宋体" w:eastAsia="宋体" w:cs="宋体"/>
          <w:b/>
          <w:color w:val="auto"/>
          <w:kern w:val="0"/>
          <w:sz w:val="28"/>
          <w:szCs w:val="28"/>
          <w:highlight w:val="none"/>
          <w:lang w:val="en-US" w:eastAsia="zh-CN" w:bidi="ar-SA"/>
        </w:rPr>
        <w:sectPr>
          <w:headerReference r:id="rId13" w:type="first"/>
          <w:footerReference r:id="rId15" w:type="first"/>
          <w:headerReference r:id="rId12" w:type="default"/>
          <w:foot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0EEC0F18">
      <w:pPr>
        <w:pStyle w:val="10"/>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5、供应商认为需要的其他资料</w:t>
      </w:r>
    </w:p>
    <w:p w14:paraId="6837A72F">
      <w:pPr>
        <w:pageBreakBefore w:val="0"/>
        <w:tabs>
          <w:tab w:val="left" w:pos="520"/>
        </w:tabs>
        <w:bidi w:val="0"/>
        <w:spacing w:line="274" w:lineRule="exact"/>
        <w:ind w:left="60"/>
        <w:outlineLvl w:val="9"/>
        <w:rPr>
          <w:rFonts w:hint="eastAsia" w:ascii="宋体" w:hAnsi="宋体" w:eastAsia="宋体" w:cs="宋体"/>
          <w:color w:val="auto"/>
          <w:highlight w:val="none"/>
        </w:rPr>
      </w:pPr>
    </w:p>
    <w:bookmarkEnd w:id="90"/>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A219">
    <w:pPr>
      <w:pStyle w:val="1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B90D">
    <w:pPr>
      <w:pStyle w:val="17"/>
      <w:tabs>
        <w:tab w:val="left" w:pos="169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2624455</wp:posOffset>
              </wp:positionH>
              <wp:positionV relativeFrom="paragraph">
                <wp:posOffset>-798830</wp:posOffset>
              </wp:positionV>
              <wp:extent cx="226695" cy="1276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26695" cy="127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E17A0">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6.65pt;margin-top:-62.9pt;height:10.05pt;width:17.85pt;mso-position-horizontal-relative:margin;z-index:251659264;mso-width-relative:page;mso-height-relative:page;" filled="f" stroked="f" coordsize="21600,21600" o:gfxdata="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mmmZdsAAAANAQAADwAAAAAAAAABACAAAAAiAAAAZHJzL2Rv&#10;d25yZXYueG1sUEsBAhQAFAAAAAgAh07iQJeWujA3AgAAYwQAAA4AAAAAAAAAAQAgAAAAKgEAAGRy&#10;cy9lMm9Eb2MueG1sUEsFBgAAAAAGAAYAWQEAANMFAAAAAA==&#10;">
              <v:fill on="f" focussize="0,0"/>
              <v:stroke on="f" weight="0.5pt"/>
              <v:imagedata o:title=""/>
              <o:lock v:ext="edit" aspectratio="f"/>
              <v:textbox inset="0mm,0mm,0mm,0mm">
                <w:txbxContent>
                  <w:p w14:paraId="6C2E17A0">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3097">
    <w:pPr>
      <w:pStyle w:val="17"/>
      <w:tabs>
        <w:tab w:val="left" w:pos="169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posOffset>2444115</wp:posOffset>
              </wp:positionH>
              <wp:positionV relativeFrom="paragraph">
                <wp:posOffset>113030</wp:posOffset>
              </wp:positionV>
              <wp:extent cx="264160"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7A35B">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2.45pt;margin-top:8.9pt;height:15.7pt;width:20.8pt;mso-position-horizontal-relative:margin;z-index:251664384;mso-width-relative:page;mso-height-relative:page;" filled="f" stroked="f" coordsize="21600,21600" o:gfxdata="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E/FzYAAAACQEAAA8AAAAAAAAAAQAgAAAAIgAAAGRycy9kb3ducmV2&#10;LnhtbFBLAQIUABQAAAAIAIdO4kCPlli1NQIAAGEEAAAOAAAAAAAAAAEAIAAAACcBAABkcnMvZTJv&#10;RG9jLnhtbFBLBQYAAAAABgAGAFkBAADOBQAAAAA=&#10;">
              <v:fill on="f" focussize="0,0"/>
              <v:stroke on="f" weight="0.5pt"/>
              <v:imagedata o:title=""/>
              <o:lock v:ext="edit" aspectratio="f"/>
              <v:textbox inset="0mm,0mm,0mm,0mm">
                <w:txbxContent>
                  <w:p w14:paraId="1147A35B">
                    <w:pPr>
                      <w:pStyle w:val="17"/>
                    </w:pPr>
                    <w:r>
                      <w:fldChar w:fldCharType="begin"/>
                    </w:r>
                    <w:r>
                      <w:instrText xml:space="preserve"> PAGE  \* MERGEFORMAT </w:instrText>
                    </w:r>
                    <w:r>
                      <w:fldChar w:fldCharType="separate"/>
                    </w:r>
                    <w:r>
                      <w:t>4</w:t>
                    </w:r>
                    <w:r>
                      <w:fldChar w:fldCharType="end"/>
                    </w:r>
                  </w:p>
                </w:txbxContent>
              </v:textbox>
            </v:shape>
          </w:pict>
        </mc:Fallback>
      </mc:AlternateContent>
    </w:r>
  </w:p>
  <w:p w14:paraId="538520D3">
    <w:pPr>
      <w:pStyle w:val="17"/>
      <w:tabs>
        <w:tab w:val="left" w:pos="1699"/>
        <w:tab w:val="clear" w:pos="4153"/>
      </w:tabs>
    </w:pPr>
  </w:p>
  <w:p w14:paraId="1F6BD4EF">
    <w:pPr>
      <w:pStyle w:val="17"/>
      <w:tabs>
        <w:tab w:val="left" w:pos="1699"/>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9A2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1B998">
                          <w:pPr>
                            <w:pStyle w:val="1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161B998">
                    <w:pPr>
                      <w:pStyle w:val="1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DC805">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DDCC1">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ADDCC1">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C7C6">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16AF">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47B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EA947B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04A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82D53">
                          <w:pPr>
                            <w:pStyle w:val="1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1C82D53">
                    <w:pPr>
                      <w:pStyle w:val="1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10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134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685F">
    <w:pPr>
      <w:pBdr>
        <w:bottom w:val="none" w:color="auto" w:sz="0" w:space="1"/>
      </w:pBdr>
      <w:spacing w:line="460" w:lineRule="exact"/>
      <w:jc w:val="left"/>
      <w:rPr>
        <w:highlight w:val="lightGray"/>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49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5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905AD"/>
    <w:multiLevelType w:val="singleLevel"/>
    <w:tmpl w:val="8F6905AD"/>
    <w:lvl w:ilvl="0" w:tentative="0">
      <w:start w:val="9"/>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53208E"/>
    <w:multiLevelType w:val="singleLevel"/>
    <w:tmpl w:val="0053208E"/>
    <w:lvl w:ilvl="0" w:tentative="0">
      <w:start w:val="2"/>
      <w:numFmt w:val="decimal"/>
      <w:suff w:val="nothing"/>
      <w:lvlText w:val="%1）"/>
      <w:lvlJc w:val="left"/>
    </w:lvl>
  </w:abstractNum>
  <w:abstractNum w:abstractNumId="3">
    <w:nsid w:val="0C34AE71"/>
    <w:multiLevelType w:val="singleLevel"/>
    <w:tmpl w:val="0C34AE71"/>
    <w:lvl w:ilvl="0" w:tentative="0">
      <w:start w:val="1"/>
      <w:numFmt w:val="chineseCounting"/>
      <w:suff w:val="nothing"/>
      <w:lvlText w:val="%1、"/>
      <w:lvlJc w:val="left"/>
      <w:rPr>
        <w:rFonts w:hint="eastAsia"/>
      </w:rPr>
    </w:lvl>
  </w:abstractNum>
  <w:abstractNum w:abstractNumId="4">
    <w:nsid w:val="25BA7971"/>
    <w:multiLevelType w:val="singleLevel"/>
    <w:tmpl w:val="25BA7971"/>
    <w:lvl w:ilvl="0" w:tentative="0">
      <w:start w:val="3"/>
      <w:numFmt w:val="chineseCounting"/>
      <w:suff w:val="space"/>
      <w:lvlText w:val="第%1部分"/>
      <w:lvlJc w:val="left"/>
      <w:rPr>
        <w:rFonts w:hint="eastAsia"/>
      </w:rPr>
    </w:lvl>
  </w:abstractNum>
  <w:abstractNum w:abstractNumId="5">
    <w:nsid w:val="3D081B1E"/>
    <w:multiLevelType w:val="singleLevel"/>
    <w:tmpl w:val="3D081B1E"/>
    <w:lvl w:ilvl="0" w:tentative="0">
      <w:start w:val="1"/>
      <w:numFmt w:val="decimal"/>
      <w:suff w:val="nothing"/>
      <w:lvlText w:val="%1、"/>
      <w:lvlJc w:val="left"/>
    </w:lvl>
  </w:abstractNum>
  <w:abstractNum w:abstractNumId="6">
    <w:nsid w:val="6F7B8B79"/>
    <w:multiLevelType w:val="singleLevel"/>
    <w:tmpl w:val="6F7B8B79"/>
    <w:lvl w:ilvl="0" w:tentative="0">
      <w:start w:val="1"/>
      <w:numFmt w:val="decimal"/>
      <w:suff w:val="nothing"/>
      <w:lvlText w:val="（%1）"/>
      <w:lvlJc w:val="left"/>
    </w:lvl>
  </w:abstractNum>
  <w:abstractNum w:abstractNumId="7">
    <w:nsid w:val="7AE66C40"/>
    <w:multiLevelType w:val="singleLevel"/>
    <w:tmpl w:val="7AE66C40"/>
    <w:lvl w:ilvl="0" w:tentative="0">
      <w:start w:val="1"/>
      <w:numFmt w:val="decimal"/>
      <w:suff w:val="nothing"/>
      <w:lvlText w:val="%1、"/>
      <w:lvlJc w:val="left"/>
    </w:lvl>
  </w:abstractNum>
  <w:abstractNum w:abstractNumId="8">
    <w:nsid w:val="7FA10B9B"/>
    <w:multiLevelType w:val="singleLevel"/>
    <w:tmpl w:val="7FA10B9B"/>
    <w:lvl w:ilvl="0" w:tentative="0">
      <w:start w:val="1"/>
      <w:numFmt w:val="decimal"/>
      <w:suff w:val="nothing"/>
      <w:lvlText w:val="（%1）"/>
      <w:lvlJc w:val="left"/>
    </w:lvl>
  </w:abstractNum>
  <w:num w:numId="1">
    <w:abstractNumId w:val="7"/>
  </w:num>
  <w:num w:numId="2">
    <w:abstractNumId w:val="6"/>
  </w:num>
  <w:num w:numId="3">
    <w:abstractNumId w:val="0"/>
  </w:num>
  <w:num w:numId="4">
    <w:abstractNumId w:val="1"/>
  </w:num>
  <w:num w:numId="5">
    <w:abstractNumId w:val="2"/>
  </w:num>
  <w:num w:numId="6">
    <w:abstractNumId w:val="8"/>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GE3MDAyMWRhZjZlNWY3MTQwYjRkNjE1MWIxNGQifQ=="/>
  </w:docVars>
  <w:rsids>
    <w:rsidRoot w:val="159D1B49"/>
    <w:rsid w:val="000E2DB7"/>
    <w:rsid w:val="00184B07"/>
    <w:rsid w:val="003B501F"/>
    <w:rsid w:val="00647456"/>
    <w:rsid w:val="006E53EB"/>
    <w:rsid w:val="00743B73"/>
    <w:rsid w:val="008878D1"/>
    <w:rsid w:val="00964140"/>
    <w:rsid w:val="009C512B"/>
    <w:rsid w:val="00B06633"/>
    <w:rsid w:val="00B7342B"/>
    <w:rsid w:val="00C2263B"/>
    <w:rsid w:val="00C7016B"/>
    <w:rsid w:val="00D27337"/>
    <w:rsid w:val="00E62D8D"/>
    <w:rsid w:val="02963DFC"/>
    <w:rsid w:val="02BB72C4"/>
    <w:rsid w:val="036F4C87"/>
    <w:rsid w:val="048A306B"/>
    <w:rsid w:val="048C3C3C"/>
    <w:rsid w:val="051544AA"/>
    <w:rsid w:val="05372775"/>
    <w:rsid w:val="057A7831"/>
    <w:rsid w:val="064230E0"/>
    <w:rsid w:val="067349C1"/>
    <w:rsid w:val="07172730"/>
    <w:rsid w:val="07464042"/>
    <w:rsid w:val="075259FC"/>
    <w:rsid w:val="07762E80"/>
    <w:rsid w:val="07CE2990"/>
    <w:rsid w:val="07F57B8E"/>
    <w:rsid w:val="082B7BE2"/>
    <w:rsid w:val="083A2FAD"/>
    <w:rsid w:val="09A127BA"/>
    <w:rsid w:val="0A0A496A"/>
    <w:rsid w:val="0A12592D"/>
    <w:rsid w:val="0A2E7419"/>
    <w:rsid w:val="0AE85176"/>
    <w:rsid w:val="0B9F0D16"/>
    <w:rsid w:val="0BB377CC"/>
    <w:rsid w:val="0C2F32F7"/>
    <w:rsid w:val="0C6F24CE"/>
    <w:rsid w:val="0C747D08"/>
    <w:rsid w:val="0D8622EA"/>
    <w:rsid w:val="0DA815B3"/>
    <w:rsid w:val="0DB02216"/>
    <w:rsid w:val="0E4365EF"/>
    <w:rsid w:val="0E601E8E"/>
    <w:rsid w:val="0E686F94"/>
    <w:rsid w:val="0EA70E63"/>
    <w:rsid w:val="0EA77ABC"/>
    <w:rsid w:val="0EC20452"/>
    <w:rsid w:val="0F22503C"/>
    <w:rsid w:val="0F7F5791"/>
    <w:rsid w:val="0FE32D76"/>
    <w:rsid w:val="0FF603DB"/>
    <w:rsid w:val="104856E5"/>
    <w:rsid w:val="105F301A"/>
    <w:rsid w:val="10694477"/>
    <w:rsid w:val="1141535A"/>
    <w:rsid w:val="11537A88"/>
    <w:rsid w:val="121F5211"/>
    <w:rsid w:val="126209FA"/>
    <w:rsid w:val="12721769"/>
    <w:rsid w:val="12966365"/>
    <w:rsid w:val="12A83E03"/>
    <w:rsid w:val="12AA3D0B"/>
    <w:rsid w:val="12DD5B34"/>
    <w:rsid w:val="131C20FE"/>
    <w:rsid w:val="13E23111"/>
    <w:rsid w:val="147606DF"/>
    <w:rsid w:val="14E90F00"/>
    <w:rsid w:val="158E72E0"/>
    <w:rsid w:val="159D1B49"/>
    <w:rsid w:val="15A92CBF"/>
    <w:rsid w:val="15E6711C"/>
    <w:rsid w:val="1615189D"/>
    <w:rsid w:val="16A70313"/>
    <w:rsid w:val="16C1613D"/>
    <w:rsid w:val="16EE795F"/>
    <w:rsid w:val="16F2701E"/>
    <w:rsid w:val="170577C3"/>
    <w:rsid w:val="177122FD"/>
    <w:rsid w:val="17827CD1"/>
    <w:rsid w:val="17997E8E"/>
    <w:rsid w:val="17D824D8"/>
    <w:rsid w:val="17F83137"/>
    <w:rsid w:val="18147845"/>
    <w:rsid w:val="183D3240"/>
    <w:rsid w:val="189045FF"/>
    <w:rsid w:val="190D329D"/>
    <w:rsid w:val="196E6AA4"/>
    <w:rsid w:val="19DD5940"/>
    <w:rsid w:val="1A9D7FC6"/>
    <w:rsid w:val="1AD34A0E"/>
    <w:rsid w:val="1B446693"/>
    <w:rsid w:val="1B472D0D"/>
    <w:rsid w:val="1B6B1EB2"/>
    <w:rsid w:val="1BBB5543"/>
    <w:rsid w:val="1BE1339B"/>
    <w:rsid w:val="1C3D1686"/>
    <w:rsid w:val="1CD679D5"/>
    <w:rsid w:val="1CDC640B"/>
    <w:rsid w:val="1CEE1080"/>
    <w:rsid w:val="1D232A04"/>
    <w:rsid w:val="1D3D339A"/>
    <w:rsid w:val="1D577B5E"/>
    <w:rsid w:val="1D6C577D"/>
    <w:rsid w:val="1D9B4C90"/>
    <w:rsid w:val="1DBE6C94"/>
    <w:rsid w:val="1DED2AB9"/>
    <w:rsid w:val="1F0C571A"/>
    <w:rsid w:val="1F78690B"/>
    <w:rsid w:val="1F8224CE"/>
    <w:rsid w:val="1F896038"/>
    <w:rsid w:val="1FAC4B04"/>
    <w:rsid w:val="1FB2044B"/>
    <w:rsid w:val="20270A5D"/>
    <w:rsid w:val="20313C05"/>
    <w:rsid w:val="205E1FA5"/>
    <w:rsid w:val="209F4BA5"/>
    <w:rsid w:val="20CE7B78"/>
    <w:rsid w:val="21635AC5"/>
    <w:rsid w:val="2181130E"/>
    <w:rsid w:val="21CD1190"/>
    <w:rsid w:val="22152567"/>
    <w:rsid w:val="22394A78"/>
    <w:rsid w:val="22635651"/>
    <w:rsid w:val="228757E3"/>
    <w:rsid w:val="22FD334F"/>
    <w:rsid w:val="231D5BEF"/>
    <w:rsid w:val="233701DC"/>
    <w:rsid w:val="235E7FED"/>
    <w:rsid w:val="23893ABD"/>
    <w:rsid w:val="238C0BD7"/>
    <w:rsid w:val="23A24F50"/>
    <w:rsid w:val="24BE74B6"/>
    <w:rsid w:val="24E5281F"/>
    <w:rsid w:val="24F062C8"/>
    <w:rsid w:val="251247D8"/>
    <w:rsid w:val="252728D9"/>
    <w:rsid w:val="25B51813"/>
    <w:rsid w:val="25DF54EA"/>
    <w:rsid w:val="25F22DB2"/>
    <w:rsid w:val="26190E48"/>
    <w:rsid w:val="261A6C39"/>
    <w:rsid w:val="263E440B"/>
    <w:rsid w:val="27EC5BFD"/>
    <w:rsid w:val="27FB5854"/>
    <w:rsid w:val="282C486D"/>
    <w:rsid w:val="28397580"/>
    <w:rsid w:val="28931F81"/>
    <w:rsid w:val="28B20005"/>
    <w:rsid w:val="292D216D"/>
    <w:rsid w:val="29334076"/>
    <w:rsid w:val="29C117AF"/>
    <w:rsid w:val="2A0B436D"/>
    <w:rsid w:val="2A13783A"/>
    <w:rsid w:val="2A6936BF"/>
    <w:rsid w:val="2A88034A"/>
    <w:rsid w:val="2A8D0269"/>
    <w:rsid w:val="2A9D0E6D"/>
    <w:rsid w:val="2AB47FA8"/>
    <w:rsid w:val="2AE81A43"/>
    <w:rsid w:val="2B3335A4"/>
    <w:rsid w:val="2B9A5B7B"/>
    <w:rsid w:val="2BC41856"/>
    <w:rsid w:val="2C613C1D"/>
    <w:rsid w:val="2C620BC7"/>
    <w:rsid w:val="2C8A2DBD"/>
    <w:rsid w:val="2D242255"/>
    <w:rsid w:val="2D903330"/>
    <w:rsid w:val="2E6B52F2"/>
    <w:rsid w:val="2E7C28D5"/>
    <w:rsid w:val="2FAE2B60"/>
    <w:rsid w:val="308905D5"/>
    <w:rsid w:val="30AD7C75"/>
    <w:rsid w:val="30B959D8"/>
    <w:rsid w:val="310452EE"/>
    <w:rsid w:val="3159659D"/>
    <w:rsid w:val="317A3384"/>
    <w:rsid w:val="320F75A3"/>
    <w:rsid w:val="321E1C91"/>
    <w:rsid w:val="325D3E6B"/>
    <w:rsid w:val="32B2578B"/>
    <w:rsid w:val="32E62111"/>
    <w:rsid w:val="32FA5B5D"/>
    <w:rsid w:val="335E2B99"/>
    <w:rsid w:val="33F6070F"/>
    <w:rsid w:val="3471147A"/>
    <w:rsid w:val="34A76875"/>
    <w:rsid w:val="350318F6"/>
    <w:rsid w:val="35883EBC"/>
    <w:rsid w:val="35C5113D"/>
    <w:rsid w:val="35C87C7D"/>
    <w:rsid w:val="367779DB"/>
    <w:rsid w:val="369B33E0"/>
    <w:rsid w:val="36BC2E5F"/>
    <w:rsid w:val="37073A30"/>
    <w:rsid w:val="370D1FF0"/>
    <w:rsid w:val="37715184"/>
    <w:rsid w:val="37821CDD"/>
    <w:rsid w:val="38111141"/>
    <w:rsid w:val="39B40F1A"/>
    <w:rsid w:val="39E8264D"/>
    <w:rsid w:val="3A231E3E"/>
    <w:rsid w:val="3A414072"/>
    <w:rsid w:val="3A4C20E6"/>
    <w:rsid w:val="3AF07D53"/>
    <w:rsid w:val="3BA26D92"/>
    <w:rsid w:val="3BE92C13"/>
    <w:rsid w:val="3BFC64A2"/>
    <w:rsid w:val="3C6A41F3"/>
    <w:rsid w:val="3D116F41"/>
    <w:rsid w:val="3D91318F"/>
    <w:rsid w:val="3E563C23"/>
    <w:rsid w:val="3E7323B2"/>
    <w:rsid w:val="3EC87E82"/>
    <w:rsid w:val="3F035D9A"/>
    <w:rsid w:val="3F5F0DF3"/>
    <w:rsid w:val="3F9E2732"/>
    <w:rsid w:val="406D12A6"/>
    <w:rsid w:val="40B66992"/>
    <w:rsid w:val="40D61E5B"/>
    <w:rsid w:val="4117383C"/>
    <w:rsid w:val="41573FCC"/>
    <w:rsid w:val="4226071D"/>
    <w:rsid w:val="42C407F7"/>
    <w:rsid w:val="436B215F"/>
    <w:rsid w:val="43B65AD0"/>
    <w:rsid w:val="43D742F8"/>
    <w:rsid w:val="44047A2D"/>
    <w:rsid w:val="4433274D"/>
    <w:rsid w:val="44B05540"/>
    <w:rsid w:val="44D2432D"/>
    <w:rsid w:val="45EA0A45"/>
    <w:rsid w:val="46464936"/>
    <w:rsid w:val="46B5206F"/>
    <w:rsid w:val="47BE4F54"/>
    <w:rsid w:val="47EA0F5F"/>
    <w:rsid w:val="48007DC3"/>
    <w:rsid w:val="48476C35"/>
    <w:rsid w:val="48517B76"/>
    <w:rsid w:val="488658D7"/>
    <w:rsid w:val="48951D84"/>
    <w:rsid w:val="49A26997"/>
    <w:rsid w:val="4A2C7215"/>
    <w:rsid w:val="4A391290"/>
    <w:rsid w:val="4A3E237C"/>
    <w:rsid w:val="4A4A44F3"/>
    <w:rsid w:val="4A7C74DF"/>
    <w:rsid w:val="4AA439E5"/>
    <w:rsid w:val="4AA46683"/>
    <w:rsid w:val="4B231FE2"/>
    <w:rsid w:val="4B2A63DE"/>
    <w:rsid w:val="4B77072E"/>
    <w:rsid w:val="4BB413BE"/>
    <w:rsid w:val="4BDB290C"/>
    <w:rsid w:val="4C10746C"/>
    <w:rsid w:val="4C883D82"/>
    <w:rsid w:val="4D534390"/>
    <w:rsid w:val="4DC511B0"/>
    <w:rsid w:val="4E6525CD"/>
    <w:rsid w:val="4E866B7B"/>
    <w:rsid w:val="4E8862BB"/>
    <w:rsid w:val="4EBB71D7"/>
    <w:rsid w:val="4EC033FE"/>
    <w:rsid w:val="4EC86A38"/>
    <w:rsid w:val="4EEB0A1E"/>
    <w:rsid w:val="4F517FB5"/>
    <w:rsid w:val="4F7C5E20"/>
    <w:rsid w:val="50224635"/>
    <w:rsid w:val="50375244"/>
    <w:rsid w:val="50455C1A"/>
    <w:rsid w:val="5097572C"/>
    <w:rsid w:val="5099655E"/>
    <w:rsid w:val="513D338D"/>
    <w:rsid w:val="515911B2"/>
    <w:rsid w:val="51827AA0"/>
    <w:rsid w:val="52F006DB"/>
    <w:rsid w:val="530B16F1"/>
    <w:rsid w:val="5349478E"/>
    <w:rsid w:val="534C3D5B"/>
    <w:rsid w:val="53622163"/>
    <w:rsid w:val="53643DAF"/>
    <w:rsid w:val="53A84EA1"/>
    <w:rsid w:val="53E576A0"/>
    <w:rsid w:val="542A7306"/>
    <w:rsid w:val="54F17F9E"/>
    <w:rsid w:val="556B5770"/>
    <w:rsid w:val="556C25BE"/>
    <w:rsid w:val="5625333F"/>
    <w:rsid w:val="568B45C4"/>
    <w:rsid w:val="56BD4320"/>
    <w:rsid w:val="56D31D46"/>
    <w:rsid w:val="5721520A"/>
    <w:rsid w:val="57424697"/>
    <w:rsid w:val="579E562B"/>
    <w:rsid w:val="584634F1"/>
    <w:rsid w:val="587A3D1D"/>
    <w:rsid w:val="5932798A"/>
    <w:rsid w:val="59356FA0"/>
    <w:rsid w:val="59D04678"/>
    <w:rsid w:val="59D95071"/>
    <w:rsid w:val="5B1A62BF"/>
    <w:rsid w:val="5B2F51AC"/>
    <w:rsid w:val="5B3C46B5"/>
    <w:rsid w:val="5BAA047C"/>
    <w:rsid w:val="5BEA2363"/>
    <w:rsid w:val="5BF27270"/>
    <w:rsid w:val="5C401F83"/>
    <w:rsid w:val="5C5E240A"/>
    <w:rsid w:val="5C6962F2"/>
    <w:rsid w:val="5CA442C0"/>
    <w:rsid w:val="5D1624F6"/>
    <w:rsid w:val="5D3A4C25"/>
    <w:rsid w:val="5D690594"/>
    <w:rsid w:val="5D6F0D72"/>
    <w:rsid w:val="5E1D21B1"/>
    <w:rsid w:val="5E7220EE"/>
    <w:rsid w:val="5E916AC6"/>
    <w:rsid w:val="5F182F9A"/>
    <w:rsid w:val="5F32387D"/>
    <w:rsid w:val="5F3758C0"/>
    <w:rsid w:val="5F9235E9"/>
    <w:rsid w:val="60191AD5"/>
    <w:rsid w:val="60D72195"/>
    <w:rsid w:val="60EE2060"/>
    <w:rsid w:val="614B50AB"/>
    <w:rsid w:val="61665F49"/>
    <w:rsid w:val="61811507"/>
    <w:rsid w:val="61953432"/>
    <w:rsid w:val="619A2C39"/>
    <w:rsid w:val="621023F8"/>
    <w:rsid w:val="624435A2"/>
    <w:rsid w:val="62FF66F4"/>
    <w:rsid w:val="63503692"/>
    <w:rsid w:val="63666773"/>
    <w:rsid w:val="63F17328"/>
    <w:rsid w:val="64281C7B"/>
    <w:rsid w:val="642B0762"/>
    <w:rsid w:val="647B624F"/>
    <w:rsid w:val="647D6468"/>
    <w:rsid w:val="65046C98"/>
    <w:rsid w:val="65466F75"/>
    <w:rsid w:val="659B647C"/>
    <w:rsid w:val="65FF07B9"/>
    <w:rsid w:val="661257D6"/>
    <w:rsid w:val="66255300"/>
    <w:rsid w:val="66541B60"/>
    <w:rsid w:val="66CF6BCA"/>
    <w:rsid w:val="66D85CCE"/>
    <w:rsid w:val="685A261F"/>
    <w:rsid w:val="688C12C1"/>
    <w:rsid w:val="68964036"/>
    <w:rsid w:val="68ED228A"/>
    <w:rsid w:val="691D47F4"/>
    <w:rsid w:val="69473E89"/>
    <w:rsid w:val="694C4D55"/>
    <w:rsid w:val="69932F63"/>
    <w:rsid w:val="69B111DF"/>
    <w:rsid w:val="69C40849"/>
    <w:rsid w:val="69C83CEA"/>
    <w:rsid w:val="69DB153D"/>
    <w:rsid w:val="69E260B9"/>
    <w:rsid w:val="6BB56BB0"/>
    <w:rsid w:val="6C3C4515"/>
    <w:rsid w:val="6C667EDD"/>
    <w:rsid w:val="6C692E30"/>
    <w:rsid w:val="6CA85626"/>
    <w:rsid w:val="6CB77F1C"/>
    <w:rsid w:val="6CE71B82"/>
    <w:rsid w:val="6DA36034"/>
    <w:rsid w:val="6DD644F6"/>
    <w:rsid w:val="6E423939"/>
    <w:rsid w:val="6E6C5BA9"/>
    <w:rsid w:val="6E8A7F82"/>
    <w:rsid w:val="6EB72172"/>
    <w:rsid w:val="6EC770A6"/>
    <w:rsid w:val="6EDC3D95"/>
    <w:rsid w:val="6F3C77AF"/>
    <w:rsid w:val="6F532AF4"/>
    <w:rsid w:val="70460196"/>
    <w:rsid w:val="7058059C"/>
    <w:rsid w:val="70B60D1C"/>
    <w:rsid w:val="70D30392"/>
    <w:rsid w:val="71657384"/>
    <w:rsid w:val="717D0A9D"/>
    <w:rsid w:val="7198714F"/>
    <w:rsid w:val="71DD6E25"/>
    <w:rsid w:val="71FB2F69"/>
    <w:rsid w:val="727809F2"/>
    <w:rsid w:val="733B6704"/>
    <w:rsid w:val="73BE3DC8"/>
    <w:rsid w:val="73CD1EF7"/>
    <w:rsid w:val="73FB6AF8"/>
    <w:rsid w:val="7400051E"/>
    <w:rsid w:val="742E643A"/>
    <w:rsid w:val="74A72748"/>
    <w:rsid w:val="755F0853"/>
    <w:rsid w:val="76237B25"/>
    <w:rsid w:val="76522B87"/>
    <w:rsid w:val="76571F4C"/>
    <w:rsid w:val="76C67B1E"/>
    <w:rsid w:val="76CF3B9A"/>
    <w:rsid w:val="76D44D84"/>
    <w:rsid w:val="77664B3C"/>
    <w:rsid w:val="779D043A"/>
    <w:rsid w:val="77DE4BA4"/>
    <w:rsid w:val="77F16440"/>
    <w:rsid w:val="78444CA7"/>
    <w:rsid w:val="7879264D"/>
    <w:rsid w:val="79637216"/>
    <w:rsid w:val="798E2128"/>
    <w:rsid w:val="79D83097"/>
    <w:rsid w:val="7A10700A"/>
    <w:rsid w:val="7AB17FAC"/>
    <w:rsid w:val="7AF002AC"/>
    <w:rsid w:val="7B633FF7"/>
    <w:rsid w:val="7BE23547"/>
    <w:rsid w:val="7BED5CFD"/>
    <w:rsid w:val="7C0B1FBD"/>
    <w:rsid w:val="7CCB239A"/>
    <w:rsid w:val="7D1D5117"/>
    <w:rsid w:val="7E155542"/>
    <w:rsid w:val="7F6A241A"/>
    <w:rsid w:val="7F73248E"/>
    <w:rsid w:val="7FA43923"/>
    <w:rsid w:val="7FC42AB3"/>
    <w:rsid w:val="7FF07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6">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1"/>
    <w:pPr>
      <w:spacing w:line="300" w:lineRule="auto"/>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qFormat/>
    <w:uiPriority w:val="0"/>
    <w:pPr>
      <w:spacing w:after="120"/>
    </w:pPr>
  </w:style>
  <w:style w:type="paragraph" w:styleId="11">
    <w:name w:val="Body Text Indent"/>
    <w:basedOn w:val="1"/>
    <w:next w:val="12"/>
    <w:qFormat/>
    <w:uiPriority w:val="0"/>
    <w:pPr>
      <w:spacing w:before="100" w:beforeAutospacing="1" w:after="120"/>
      <w:ind w:left="200" w:leftChars="200"/>
    </w:pPr>
  </w:style>
  <w:style w:type="paragraph" w:styleId="12">
    <w:name w:val="envelope return"/>
    <w:basedOn w:val="1"/>
    <w:qFormat/>
    <w:uiPriority w:val="0"/>
    <w:pPr>
      <w:widowControl/>
      <w:adjustRightInd w:val="0"/>
      <w:snapToGrid w:val="0"/>
      <w:spacing w:after="200"/>
      <w:jc w:val="left"/>
    </w:pPr>
    <w:rPr>
      <w:rFonts w:ascii="Arial" w:hAnsi="Arial" w:eastAsia="微软雅黑"/>
      <w:kern w:val="0"/>
      <w:sz w:val="22"/>
    </w:rPr>
  </w:style>
  <w:style w:type="paragraph" w:styleId="13">
    <w:name w:val="Plain Text"/>
    <w:basedOn w:val="1"/>
    <w:qFormat/>
    <w:uiPriority w:val="99"/>
    <w:rPr>
      <w:rFonts w:ascii="宋体" w:hAnsi="Courier New" w:cs="Courier New"/>
      <w:szCs w:val="21"/>
    </w:rPr>
  </w:style>
  <w:style w:type="paragraph" w:styleId="14">
    <w:name w:val="Date"/>
    <w:basedOn w:val="1"/>
    <w:next w:val="1"/>
    <w:qFormat/>
    <w:uiPriority w:val="0"/>
    <w:rPr>
      <w:rFonts w:ascii="Copperplate Gothic Bold" w:hAnsi="Copperplate Gothic Bold"/>
      <w:sz w:val="32"/>
    </w:rPr>
  </w:style>
  <w:style w:type="paragraph" w:styleId="15">
    <w:name w:val="Body Text Indent 2"/>
    <w:basedOn w:val="1"/>
    <w:next w:val="1"/>
    <w:qFormat/>
    <w:uiPriority w:val="0"/>
    <w:pPr>
      <w:ind w:left="1260"/>
    </w:pPr>
    <w:rPr>
      <w:szCs w:val="24"/>
    </w:rPr>
  </w:style>
  <w:style w:type="paragraph" w:styleId="16">
    <w:name w:val="Balloon Text"/>
    <w:basedOn w:val="1"/>
    <w:link w:val="42"/>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19">
    <w:name w:val="toc 1"/>
    <w:basedOn w:val="1"/>
    <w:next w:val="1"/>
    <w:qFormat/>
    <w:uiPriority w:val="39"/>
    <w:pPr>
      <w:widowControl/>
      <w:spacing w:after="100" w:line="276" w:lineRule="auto"/>
      <w:jc w:val="left"/>
    </w:pPr>
    <w:rPr>
      <w:kern w:val="0"/>
      <w:sz w:val="22"/>
    </w:rPr>
  </w:style>
  <w:style w:type="paragraph" w:styleId="20">
    <w:name w:val="toc 2"/>
    <w:basedOn w:val="1"/>
    <w:next w:val="1"/>
    <w:qFormat/>
    <w:uiPriority w:val="39"/>
    <w:pPr>
      <w:widowControl/>
      <w:spacing w:after="100" w:line="276" w:lineRule="auto"/>
      <w:ind w:left="220"/>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23">
    <w:name w:val="Body Text First Indent"/>
    <w:basedOn w:val="10"/>
    <w:next w:val="24"/>
    <w:qFormat/>
    <w:uiPriority w:val="0"/>
    <w:pPr>
      <w:ind w:firstLine="420" w:firstLineChars="100"/>
    </w:pPr>
    <w:rPr>
      <w:rFonts w:eastAsia="仿宋_GB2312"/>
      <w:sz w:val="28"/>
    </w:rPr>
  </w:style>
  <w:style w:type="paragraph" w:styleId="24">
    <w:name w:val="Body Text First Indent 2"/>
    <w:basedOn w:val="11"/>
    <w:next w:val="1"/>
    <w:semiHidden/>
    <w:qFormat/>
    <w:uiPriority w:val="0"/>
    <w:pPr>
      <w:ind w:firstLine="420" w:firstLineChars="200"/>
    </w:pPr>
    <w:rPr>
      <w:rFonts w:eastAsia="宋?"/>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000000"/>
      <w:u w:val="none"/>
    </w:rPr>
  </w:style>
  <w:style w:type="character" w:styleId="31">
    <w:name w:val="HTML Definition"/>
    <w:basedOn w:val="27"/>
    <w:qFormat/>
    <w:uiPriority w:val="0"/>
  </w:style>
  <w:style w:type="character" w:styleId="32">
    <w:name w:val="HTML Variable"/>
    <w:basedOn w:val="27"/>
    <w:qFormat/>
    <w:uiPriority w:val="0"/>
  </w:style>
  <w:style w:type="character" w:styleId="33">
    <w:name w:val="Hyperlink"/>
    <w:basedOn w:val="27"/>
    <w:qFormat/>
    <w:uiPriority w:val="99"/>
    <w:rPr>
      <w:color w:val="0000FF"/>
      <w:u w:val="single"/>
    </w:rPr>
  </w:style>
  <w:style w:type="character" w:styleId="34">
    <w:name w:val="HTML Code"/>
    <w:basedOn w:val="27"/>
    <w:qFormat/>
    <w:uiPriority w:val="0"/>
    <w:rPr>
      <w:rFonts w:ascii="Courier New" w:hAnsi="Courier New"/>
      <w:sz w:val="20"/>
    </w:rPr>
  </w:style>
  <w:style w:type="character" w:styleId="35">
    <w:name w:val="HTML Cite"/>
    <w:basedOn w:val="27"/>
    <w:qFormat/>
    <w:uiPriority w:val="0"/>
  </w:style>
  <w:style w:type="paragraph" w:customStyle="1" w:styleId="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w:basedOn w:val="1"/>
    <w:next w:val="4"/>
    <w:qFormat/>
    <w:uiPriority w:val="0"/>
    <w:pPr>
      <w:widowControl/>
      <w:spacing w:after="160" w:afterLines="0" w:line="240" w:lineRule="exact"/>
      <w:jc w:val="left"/>
    </w:pPr>
    <w:rPr>
      <w:szCs w:val="20"/>
    </w:rPr>
  </w:style>
  <w:style w:type="paragraph" w:customStyle="1" w:styleId="38">
    <w:name w:val="默认段落字体 Para Char Char Char Char Char Char Char Char Char1 Char Char Char Char"/>
    <w:basedOn w:val="1"/>
    <w:qFormat/>
    <w:uiPriority w:val="0"/>
    <w:pPr>
      <w:adjustRightInd w:val="0"/>
      <w:spacing w:line="312" w:lineRule="atLeast"/>
    </w:pPr>
    <w:rPr>
      <w:szCs w:val="24"/>
    </w:rPr>
  </w:style>
  <w:style w:type="paragraph" w:customStyle="1" w:styleId="3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p15"/>
    <w:basedOn w:val="1"/>
    <w:qFormat/>
    <w:uiPriority w:val="99"/>
    <w:pPr>
      <w:widowControl/>
    </w:pPr>
    <w:rPr>
      <w:rFonts w:ascii="Times New Roman" w:hAnsi="Times New Roman" w:cs="Times New Roman"/>
      <w:kern w:val="0"/>
      <w:szCs w:val="21"/>
    </w:rPr>
  </w:style>
  <w:style w:type="paragraph" w:styleId="41">
    <w:name w:val="List Paragraph"/>
    <w:basedOn w:val="1"/>
    <w:qFormat/>
    <w:uiPriority w:val="34"/>
    <w:pPr>
      <w:ind w:firstLine="420" w:firstLineChars="200"/>
    </w:pPr>
  </w:style>
  <w:style w:type="character" w:customStyle="1" w:styleId="42">
    <w:name w:val="批注框文本 Char"/>
    <w:basedOn w:val="27"/>
    <w:link w:val="16"/>
    <w:qFormat/>
    <w:uiPriority w:val="0"/>
    <w:rPr>
      <w:rFonts w:cs="宋体"/>
      <w:kern w:val="2"/>
      <w:sz w:val="18"/>
      <w:szCs w:val="18"/>
    </w:rPr>
  </w:style>
  <w:style w:type="character" w:customStyle="1" w:styleId="43">
    <w:name w:val="font11"/>
    <w:basedOn w:val="27"/>
    <w:qFormat/>
    <w:uiPriority w:val="0"/>
    <w:rPr>
      <w:rFonts w:hint="eastAsia" w:ascii="宋体" w:hAnsi="宋体" w:eastAsia="宋体" w:cs="宋体"/>
      <w:color w:val="000000"/>
      <w:sz w:val="28"/>
      <w:szCs w:val="28"/>
      <w:u w:val="none"/>
    </w:rPr>
  </w:style>
  <w:style w:type="character" w:customStyle="1" w:styleId="44">
    <w:name w:val="font01"/>
    <w:basedOn w:val="27"/>
    <w:qFormat/>
    <w:uiPriority w:val="0"/>
    <w:rPr>
      <w:rFonts w:ascii="宋体" w:hAnsi="宋体" w:eastAsia="宋体" w:cs="宋体"/>
      <w:color w:val="000000"/>
      <w:sz w:val="28"/>
      <w:szCs w:val="28"/>
      <w:u w:val="none"/>
    </w:rPr>
  </w:style>
  <w:style w:type="paragraph" w:customStyle="1" w:styleId="45">
    <w:name w:val="Table Paragraph"/>
    <w:basedOn w:val="1"/>
    <w:qFormat/>
    <w:uiPriority w:val="1"/>
    <w:rPr>
      <w:rFonts w:ascii="宋体" w:hAnsi="宋体"/>
      <w:lang w:val="zh-CN" w:bidi="zh-CN"/>
    </w:rPr>
  </w:style>
  <w:style w:type="paragraph" w:customStyle="1" w:styleId="46">
    <w:name w:val="title15"/>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4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8">
    <w:name w:val="Plain Text1"/>
    <w:basedOn w:val="1"/>
    <w:qFormat/>
    <w:uiPriority w:val="99"/>
    <w:rPr>
      <w:rFonts w:ascii="宋体" w:hAnsi="Courier New"/>
    </w:rPr>
  </w:style>
  <w:style w:type="paragraph" w:customStyle="1" w:styleId="49">
    <w:name w:val="09正文_wh"/>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50">
    <w:name w:val="正文缩进1"/>
    <w:basedOn w:val="1"/>
    <w:qFormat/>
    <w:uiPriority w:val="0"/>
    <w:pPr>
      <w:ind w:firstLine="420" w:firstLineChars="200"/>
    </w:pPr>
  </w:style>
  <w:style w:type="paragraph" w:customStyle="1" w:styleId="51">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font41"/>
    <w:basedOn w:val="27"/>
    <w:qFormat/>
    <w:uiPriority w:val="0"/>
    <w:rPr>
      <w:rFonts w:hint="default" w:ascii="Times New Roman" w:hAnsi="Times New Roman" w:cs="Times New Roman"/>
      <w:color w:val="000000"/>
      <w:sz w:val="21"/>
      <w:szCs w:val="21"/>
      <w:u w:val="none"/>
    </w:rPr>
  </w:style>
  <w:style w:type="character" w:customStyle="1" w:styleId="54">
    <w:name w:val="font91"/>
    <w:basedOn w:val="27"/>
    <w:qFormat/>
    <w:uiPriority w:val="0"/>
    <w:rPr>
      <w:rFonts w:ascii="宋体" w:hAnsi="宋体" w:eastAsia="宋体" w:cs="宋体"/>
      <w:color w:val="000000"/>
      <w:sz w:val="20"/>
      <w:szCs w:val="20"/>
      <w:u w:val="none"/>
    </w:rPr>
  </w:style>
  <w:style w:type="character" w:customStyle="1" w:styleId="55">
    <w:name w:val="font71"/>
    <w:basedOn w:val="27"/>
    <w:qFormat/>
    <w:uiPriority w:val="0"/>
    <w:rPr>
      <w:rFonts w:hint="eastAsia" w:ascii="宋体" w:hAnsi="宋体" w:eastAsia="宋体" w:cs="宋体"/>
      <w:color w:val="000000"/>
      <w:sz w:val="22"/>
      <w:szCs w:val="22"/>
      <w:u w:val="none"/>
    </w:rPr>
  </w:style>
  <w:style w:type="character" w:customStyle="1" w:styleId="56">
    <w:name w:val="font81"/>
    <w:basedOn w:val="27"/>
    <w:qFormat/>
    <w:uiPriority w:val="0"/>
    <w:rPr>
      <w:rFonts w:ascii="Arial" w:hAnsi="Arial" w:cs="Arial"/>
      <w:color w:val="000000"/>
      <w:sz w:val="22"/>
      <w:szCs w:val="22"/>
      <w:u w:val="none"/>
    </w:rPr>
  </w:style>
  <w:style w:type="character" w:customStyle="1" w:styleId="57">
    <w:name w:val="font31"/>
    <w:basedOn w:val="27"/>
    <w:qFormat/>
    <w:uiPriority w:val="0"/>
    <w:rPr>
      <w:rFonts w:hint="eastAsia" w:ascii="宋体" w:hAnsi="宋体" w:eastAsia="宋体" w:cs="宋体"/>
      <w:color w:val="000000"/>
      <w:sz w:val="22"/>
      <w:szCs w:val="22"/>
      <w:u w:val="none"/>
    </w:rPr>
  </w:style>
  <w:style w:type="character" w:customStyle="1" w:styleId="58">
    <w:name w:val="font21"/>
    <w:basedOn w:val="27"/>
    <w:qFormat/>
    <w:uiPriority w:val="0"/>
    <w:rPr>
      <w:rFonts w:hint="eastAsia" w:ascii="宋体" w:hAnsi="宋体" w:eastAsia="宋体" w:cs="宋体"/>
      <w:color w:val="000000"/>
      <w:sz w:val="21"/>
      <w:szCs w:val="21"/>
      <w:u w:val="none"/>
    </w:rPr>
  </w:style>
  <w:style w:type="paragraph" w:customStyle="1" w:styleId="5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0">
    <w:name w:val="BodyText"/>
    <w:basedOn w:val="1"/>
    <w:next w:val="1"/>
    <w:qFormat/>
    <w:uiPriority w:val="0"/>
    <w:pPr>
      <w:spacing w:after="120"/>
      <w:jc w:val="both"/>
      <w:textAlignment w:val="baseline"/>
    </w:pPr>
    <w:rPr>
      <w:kern w:val="2"/>
      <w:sz w:val="21"/>
      <w:szCs w:val="24"/>
      <w:lang w:val="en-US" w:eastAsia="zh-CN" w:bidi="ar-SA"/>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Body 1"/>
    <w:autoRedefine/>
    <w:qFormat/>
    <w:uiPriority w:val="0"/>
    <w:pPr>
      <w:outlineLvl w:val="0"/>
    </w:pPr>
    <w:rPr>
      <w:rFonts w:ascii="Helvetica" w:hAnsi="Helvetica" w:eastAsia="Arial Unicode MS" w:cs="Times New Roman"/>
      <w:b/>
      <w:color w:val="000000"/>
      <w:u w:val="none" w:color="000000"/>
      <w:lang w:val="en-US" w:eastAsia="zh-CN" w:bidi="ar-SA"/>
    </w:rPr>
  </w:style>
  <w:style w:type="paragraph" w:customStyle="1" w:styleId="63">
    <w:name w:val="表格"/>
    <w:basedOn w:val="1"/>
    <w:autoRedefine/>
    <w:qFormat/>
    <w:uiPriority w:val="0"/>
    <w:pPr>
      <w:spacing w:line="400" w:lineRule="exact"/>
    </w:pPr>
    <w:rPr>
      <w:sz w:val="24"/>
      <w:szCs w:val="24"/>
    </w:rPr>
  </w:style>
  <w:style w:type="character" w:customStyle="1" w:styleId="64">
    <w:name w:val="tabg"/>
    <w:basedOn w:val="27"/>
    <w:qFormat/>
    <w:uiPriority w:val="0"/>
    <w:rPr>
      <w:color w:val="FFFFFF"/>
      <w:sz w:val="27"/>
      <w:szCs w:val="27"/>
    </w:rPr>
  </w:style>
  <w:style w:type="character" w:customStyle="1" w:styleId="65">
    <w:name w:val="hover14"/>
    <w:basedOn w:val="27"/>
    <w:qFormat/>
    <w:uiPriority w:val="0"/>
    <w:rPr>
      <w:color w:val="025291"/>
    </w:rPr>
  </w:style>
  <w:style w:type="character" w:customStyle="1" w:styleId="66">
    <w:name w:val="font"/>
    <w:basedOn w:val="27"/>
    <w:qFormat/>
    <w:uiPriority w:val="0"/>
  </w:style>
  <w:style w:type="character" w:customStyle="1" w:styleId="67">
    <w:name w:val="font1"/>
    <w:basedOn w:val="27"/>
    <w:qFormat/>
    <w:uiPriority w:val="0"/>
  </w:style>
  <w:style w:type="character" w:customStyle="1" w:styleId="68">
    <w:name w:val="font_gjgzk"/>
    <w:basedOn w:val="27"/>
    <w:qFormat/>
    <w:uiPriority w:val="0"/>
  </w:style>
  <w:style w:type="character" w:customStyle="1" w:styleId="69">
    <w:name w:val="on4"/>
    <w:basedOn w:val="27"/>
    <w:qFormat/>
    <w:uiPriority w:val="0"/>
    <w:rPr>
      <w:color w:val="FFFFFF"/>
      <w:shd w:val="clear" w:fill="0B67A6"/>
    </w:rPr>
  </w:style>
  <w:style w:type="character" w:customStyle="1" w:styleId="70">
    <w:name w:val="on5"/>
    <w:basedOn w:val="27"/>
    <w:qFormat/>
    <w:uiPriority w:val="0"/>
    <w:rPr>
      <w:b/>
      <w:bCs/>
      <w:color w:val="015293"/>
    </w:rPr>
  </w:style>
  <w:style w:type="character" w:customStyle="1" w:styleId="71">
    <w:name w:val="active&gt;i"/>
    <w:basedOn w:val="27"/>
    <w:qFormat/>
    <w:uiPriority w:val="0"/>
  </w:style>
  <w:style w:type="character" w:customStyle="1" w:styleId="72">
    <w:name w:val="place"/>
    <w:basedOn w:val="27"/>
    <w:qFormat/>
    <w:uiPriority w:val="0"/>
    <w:rPr>
      <w:rFonts w:ascii="微软雅黑" w:hAnsi="微软雅黑" w:eastAsia="微软雅黑" w:cs="微软雅黑"/>
      <w:color w:val="888888"/>
      <w:sz w:val="25"/>
      <w:szCs w:val="25"/>
    </w:rPr>
  </w:style>
  <w:style w:type="character" w:customStyle="1" w:styleId="73">
    <w:name w:val="place1"/>
    <w:basedOn w:val="27"/>
    <w:qFormat/>
    <w:uiPriority w:val="0"/>
  </w:style>
  <w:style w:type="character" w:customStyle="1" w:styleId="74">
    <w:name w:val="place2"/>
    <w:basedOn w:val="27"/>
    <w:qFormat/>
    <w:uiPriority w:val="0"/>
  </w:style>
  <w:style w:type="character" w:customStyle="1" w:styleId="75">
    <w:name w:val="place3"/>
    <w:basedOn w:val="27"/>
    <w:qFormat/>
    <w:uiPriority w:val="0"/>
  </w:style>
  <w:style w:type="character" w:customStyle="1" w:styleId="76">
    <w:name w:val="bg02"/>
    <w:basedOn w:val="27"/>
    <w:qFormat/>
    <w:uiPriority w:val="0"/>
  </w:style>
  <w:style w:type="character" w:customStyle="1" w:styleId="77">
    <w:name w:val="bg01"/>
    <w:basedOn w:val="27"/>
    <w:qFormat/>
    <w:uiPriority w:val="0"/>
  </w:style>
  <w:style w:type="character" w:customStyle="1" w:styleId="78">
    <w:name w:val="font-zyygwj"/>
    <w:basedOn w:val="27"/>
    <w:qFormat/>
    <w:uiPriority w:val="0"/>
  </w:style>
  <w:style w:type="character" w:customStyle="1" w:styleId="79">
    <w:name w:val="font-zyygwj1"/>
    <w:basedOn w:val="27"/>
    <w:qFormat/>
    <w:uiPriority w:val="0"/>
  </w:style>
  <w:style w:type="character" w:customStyle="1" w:styleId="80">
    <w:name w:val="noline"/>
    <w:basedOn w:val="27"/>
    <w:qFormat/>
    <w:uiPriority w:val="0"/>
  </w:style>
  <w:style w:type="character" w:customStyle="1" w:styleId="81">
    <w:name w:val="laypage_curr"/>
    <w:basedOn w:val="27"/>
    <w:qFormat/>
    <w:uiPriority w:val="0"/>
    <w:rPr>
      <w:color w:val="FFFDF4"/>
      <w:sz w:val="42"/>
      <w:szCs w:val="42"/>
      <w:shd w:val="clear" w:fill="0B67A6"/>
    </w:rPr>
  </w:style>
  <w:style w:type="character" w:customStyle="1" w:styleId="82">
    <w:name w:val="on"/>
    <w:basedOn w:val="27"/>
    <w:qFormat/>
    <w:uiPriority w:val="0"/>
    <w:rPr>
      <w:b/>
      <w:bCs/>
      <w:color w:val="015293"/>
    </w:rPr>
  </w:style>
  <w:style w:type="character" w:customStyle="1" w:styleId="83">
    <w:name w:val="on1"/>
    <w:basedOn w:val="27"/>
    <w:qFormat/>
    <w:uiPriority w:val="0"/>
    <w:rPr>
      <w:color w:val="FFFFFF"/>
      <w:shd w:val="clear" w:fill="0B67A6"/>
    </w:rPr>
  </w:style>
  <w:style w:type="character" w:customStyle="1" w:styleId="84">
    <w:name w:val="hover15"/>
    <w:basedOn w:val="27"/>
    <w:qFormat/>
    <w:uiPriority w:val="0"/>
    <w:rPr>
      <w:color w:val="025291"/>
    </w:rPr>
  </w:style>
  <w:style w:type="paragraph" w:customStyle="1" w:styleId="85">
    <w:name w:val="null3"/>
    <w:qFormat/>
    <w:uiPriority w:val="0"/>
    <w:rPr>
      <w:rFonts w:hint="eastAsia" w:ascii="Calibri" w:hAnsi="Calibri" w:eastAsia="宋体" w:cs="Times New Roman"/>
      <w:lang w:val="en-US" w:eastAsia="zh-Hans"/>
    </w:rPr>
  </w:style>
  <w:style w:type="paragraph" w:customStyle="1" w:styleId="86">
    <w:name w:val="_Style 8"/>
    <w:basedOn w:val="1"/>
    <w:next w:val="1"/>
    <w:qFormat/>
    <w:uiPriority w:val="0"/>
    <w:pPr>
      <w:pBdr>
        <w:top w:val="single" w:color="auto" w:sz="6" w:space="1"/>
      </w:pBdr>
      <w:jc w:val="center"/>
    </w:pPr>
    <w:rPr>
      <w:rFonts w:ascii="Arial" w:eastAsia="宋体"/>
      <w:vanish/>
      <w:sz w:val="16"/>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20627</Words>
  <Characters>21811</Characters>
  <Lines>224</Lines>
  <Paragraphs>63</Paragraphs>
  <TotalTime>15</TotalTime>
  <ScaleCrop>false</ScaleCrop>
  <LinksUpToDate>false</LinksUpToDate>
  <CharactersWithSpaces>22138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2020-07-10T02:16:00Z</dcterms:created>
  <dc:creator>Administrator</dc:creator>
  <cp:lastModifiedBy>NTKO</cp:lastModifiedBy>
  <cp:lastPrinted>2022-10-31T04:30:00Z</cp:lastPrinted>
  <dcterms:modified xsi:type="dcterms:W3CDTF">2025-03-04T08:26:01Z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0C733ABD37FB4D59B876ED262224F03B_13</vt:lpwstr>
  </property>
  <property fmtid="{D5CDD505-2E9C-101B-9397-08002B2CF9AE}" pid="4" name="KSOTemplateDocerSaveRecord">
    <vt:lpwstr>eyJoZGlkIjoiNDEwNGE3MDAyMWRhZjZlNWY3MTQwYjRkNjE1MWIxNGQiLCJ1c2VySWQiOiI2Mzk0NjYzMjYifQ==</vt:lpwstr>
  </property>
</Properties>
</file>