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F5F39">
      <w:pPr>
        <w:pStyle w:val="6"/>
        <w:spacing w:line="480" w:lineRule="exact"/>
        <w:jc w:val="center"/>
        <w:rPr>
          <w:rFonts w:hint="eastAsia" w:ascii="宋体" w:hAnsi="宋体" w:eastAsia="宋体" w:cs="宋体"/>
        </w:rPr>
      </w:pPr>
      <w:r>
        <w:rPr>
          <w:rFonts w:hint="eastAsia" w:ascii="宋体" w:hAnsi="宋体" w:eastAsia="宋体" w:cs="宋体"/>
          <w:b/>
          <w:sz w:val="36"/>
        </w:rPr>
        <w:t>商洛市中医医院门诊楼配套建设地下人防工程基坑开挖项目竞争性磋商公告</w:t>
      </w:r>
    </w:p>
    <w:p w14:paraId="54996608">
      <w:pPr>
        <w:pStyle w:val="6"/>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47054A66">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门诊楼配套建设地下人防工程基坑开挖项目采购项目的潜在供应商应在陕西省商洛市商州区江滨北路公园天下商铺11栋2层综合办公室获取采购文件，并于 2025年04月</w:t>
      </w:r>
      <w:r>
        <w:rPr>
          <w:rFonts w:hint="eastAsia" w:ascii="宋体" w:hAnsi="宋体" w:eastAsia="宋体" w:cs="宋体"/>
          <w:sz w:val="24"/>
          <w:szCs w:val="24"/>
          <w:lang w:val="en-US" w:eastAsia="zh-CN"/>
        </w:rPr>
        <w:t>14</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14</w:t>
      </w:r>
      <w:r>
        <w:rPr>
          <w:rFonts w:hint="eastAsia" w:ascii="宋体" w:hAnsi="宋体" w:eastAsia="宋体" w:cs="宋体"/>
          <w:sz w:val="24"/>
          <w:szCs w:val="24"/>
        </w:rPr>
        <w:t>时30分 （北京时间）前提交响应文件。</w:t>
      </w:r>
    </w:p>
    <w:p w14:paraId="6C75E352">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0642C2D">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项目编号：SXJB-SZQ-2025009</w:t>
      </w:r>
    </w:p>
    <w:p w14:paraId="24B036A1">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项目名称：门诊楼配套建设地下人防工程基坑开挖项目</w:t>
      </w:r>
    </w:p>
    <w:p w14:paraId="715BFE23">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采购方式：竞争性磋商</w:t>
      </w:r>
    </w:p>
    <w:p w14:paraId="7D2A1226">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预算金额：1,000,876.15元</w:t>
      </w:r>
    </w:p>
    <w:p w14:paraId="78934E3A">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采购需求：</w:t>
      </w:r>
    </w:p>
    <w:p w14:paraId="20B91BF5">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合同包1(商洛市中医医院门诊楼配套建设地下人防工程基坑开挖项目):</w:t>
      </w:r>
    </w:p>
    <w:p w14:paraId="6E42D3A8">
      <w:pPr>
        <w:pStyle w:val="6"/>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合同包预算金额：1,000,876.15元</w:t>
      </w:r>
    </w:p>
    <w:p w14:paraId="266512D4">
      <w:pPr>
        <w:pStyle w:val="6"/>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合同包最高限价：1,000,876.15元</w:t>
      </w:r>
    </w:p>
    <w:tbl>
      <w:tblPr>
        <w:tblStyle w:val="4"/>
        <w:tblW w:w="100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5"/>
        <w:gridCol w:w="1500"/>
        <w:gridCol w:w="1204"/>
        <w:gridCol w:w="1352"/>
        <w:gridCol w:w="1555"/>
        <w:gridCol w:w="1686"/>
        <w:gridCol w:w="1685"/>
      </w:tblGrid>
      <w:tr w14:paraId="6A086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5" w:type="dxa"/>
          </w:tcPr>
          <w:p w14:paraId="18B4691B">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品目号</w:t>
            </w:r>
          </w:p>
        </w:tc>
        <w:tc>
          <w:tcPr>
            <w:tcW w:w="1500" w:type="dxa"/>
          </w:tcPr>
          <w:p w14:paraId="5593F781">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品目名称</w:t>
            </w:r>
          </w:p>
        </w:tc>
        <w:tc>
          <w:tcPr>
            <w:tcW w:w="1204" w:type="dxa"/>
          </w:tcPr>
          <w:p w14:paraId="296A2D8A">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采购标的</w:t>
            </w:r>
          </w:p>
        </w:tc>
        <w:tc>
          <w:tcPr>
            <w:tcW w:w="1352" w:type="dxa"/>
          </w:tcPr>
          <w:p w14:paraId="4B9AFF2E">
            <w:pPr>
              <w:pStyle w:val="6"/>
              <w:spacing w:line="240" w:lineRule="auto"/>
              <w:jc w:val="center"/>
              <w:rPr>
                <w:rFonts w:hint="eastAsia" w:ascii="宋体" w:hAnsi="宋体" w:eastAsia="宋体" w:cs="宋体"/>
                <w:sz w:val="22"/>
                <w:szCs w:val="22"/>
              </w:rPr>
            </w:pPr>
            <w:r>
              <w:rPr>
                <w:rFonts w:hint="eastAsia" w:ascii="宋体" w:hAnsi="宋体" w:eastAsia="宋体" w:cs="宋体"/>
                <w:sz w:val="22"/>
                <w:szCs w:val="22"/>
              </w:rPr>
              <w:t>数量（单位）</w:t>
            </w:r>
          </w:p>
        </w:tc>
        <w:tc>
          <w:tcPr>
            <w:tcW w:w="1555" w:type="dxa"/>
          </w:tcPr>
          <w:p w14:paraId="530A524B">
            <w:pPr>
              <w:pStyle w:val="6"/>
              <w:spacing w:line="240" w:lineRule="auto"/>
              <w:jc w:val="center"/>
              <w:rPr>
                <w:rFonts w:hint="eastAsia" w:ascii="宋体" w:hAnsi="宋体" w:eastAsia="宋体" w:cs="宋体"/>
                <w:sz w:val="22"/>
                <w:szCs w:val="22"/>
              </w:rPr>
            </w:pPr>
            <w:r>
              <w:rPr>
                <w:rFonts w:hint="eastAsia" w:ascii="宋体" w:hAnsi="宋体" w:eastAsia="宋体" w:cs="宋体"/>
                <w:sz w:val="22"/>
                <w:szCs w:val="22"/>
              </w:rPr>
              <w:t>技术规格、参数及要求</w:t>
            </w:r>
          </w:p>
        </w:tc>
        <w:tc>
          <w:tcPr>
            <w:tcW w:w="1686" w:type="dxa"/>
          </w:tcPr>
          <w:p w14:paraId="6D62719E">
            <w:pPr>
              <w:pStyle w:val="6"/>
              <w:spacing w:line="240" w:lineRule="auto"/>
              <w:jc w:val="center"/>
              <w:rPr>
                <w:rFonts w:hint="eastAsia" w:ascii="宋体" w:hAnsi="宋体" w:eastAsia="宋体" w:cs="宋体"/>
                <w:sz w:val="22"/>
                <w:szCs w:val="22"/>
              </w:rPr>
            </w:pPr>
            <w:r>
              <w:rPr>
                <w:rFonts w:hint="eastAsia" w:ascii="宋体" w:hAnsi="宋体" w:eastAsia="宋体" w:cs="宋体"/>
                <w:sz w:val="22"/>
                <w:szCs w:val="22"/>
              </w:rPr>
              <w:t>品目预算(元)</w:t>
            </w:r>
          </w:p>
        </w:tc>
        <w:tc>
          <w:tcPr>
            <w:tcW w:w="1685" w:type="dxa"/>
          </w:tcPr>
          <w:p w14:paraId="602A3E8B">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最高限价(元)</w:t>
            </w:r>
          </w:p>
        </w:tc>
      </w:tr>
      <w:tr w14:paraId="2E268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trPr>
        <w:tc>
          <w:tcPr>
            <w:tcW w:w="1095" w:type="dxa"/>
            <w:vAlign w:val="center"/>
          </w:tcPr>
          <w:p w14:paraId="4C00471F">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1-1</w:t>
            </w:r>
          </w:p>
        </w:tc>
        <w:tc>
          <w:tcPr>
            <w:tcW w:w="1500" w:type="dxa"/>
            <w:vAlign w:val="center"/>
          </w:tcPr>
          <w:p w14:paraId="6081D05E">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土石方工程</w:t>
            </w:r>
          </w:p>
        </w:tc>
        <w:tc>
          <w:tcPr>
            <w:tcW w:w="1204" w:type="dxa"/>
            <w:vAlign w:val="center"/>
          </w:tcPr>
          <w:p w14:paraId="498FDA06">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土方工程</w:t>
            </w:r>
          </w:p>
        </w:tc>
        <w:tc>
          <w:tcPr>
            <w:tcW w:w="1352" w:type="dxa"/>
            <w:vAlign w:val="center"/>
          </w:tcPr>
          <w:p w14:paraId="2EC1A712">
            <w:pPr>
              <w:pStyle w:val="6"/>
              <w:spacing w:line="240" w:lineRule="auto"/>
              <w:jc w:val="center"/>
              <w:rPr>
                <w:rFonts w:hint="eastAsia" w:ascii="宋体" w:hAnsi="宋体" w:eastAsia="宋体" w:cs="宋体"/>
                <w:sz w:val="22"/>
                <w:szCs w:val="22"/>
              </w:rPr>
            </w:pPr>
            <w:r>
              <w:rPr>
                <w:rFonts w:hint="eastAsia" w:ascii="宋体" w:hAnsi="宋体" w:eastAsia="宋体" w:cs="宋体"/>
                <w:sz w:val="22"/>
                <w:szCs w:val="22"/>
              </w:rPr>
              <w:t>1(个)</w:t>
            </w:r>
          </w:p>
        </w:tc>
        <w:tc>
          <w:tcPr>
            <w:tcW w:w="1555" w:type="dxa"/>
            <w:vAlign w:val="center"/>
          </w:tcPr>
          <w:p w14:paraId="25FE36D1">
            <w:pPr>
              <w:pStyle w:val="6"/>
              <w:spacing w:line="240" w:lineRule="auto"/>
              <w:jc w:val="center"/>
              <w:rPr>
                <w:rFonts w:hint="eastAsia" w:ascii="宋体" w:hAnsi="宋体" w:eastAsia="宋体" w:cs="宋体"/>
                <w:sz w:val="22"/>
                <w:szCs w:val="22"/>
              </w:rPr>
            </w:pPr>
            <w:r>
              <w:rPr>
                <w:rFonts w:hint="eastAsia" w:ascii="宋体" w:hAnsi="宋体" w:eastAsia="宋体" w:cs="宋体"/>
                <w:sz w:val="22"/>
                <w:szCs w:val="22"/>
              </w:rPr>
              <w:t>详见采购文件</w:t>
            </w:r>
          </w:p>
        </w:tc>
        <w:tc>
          <w:tcPr>
            <w:tcW w:w="1686" w:type="dxa"/>
            <w:vAlign w:val="center"/>
          </w:tcPr>
          <w:p w14:paraId="22279E20">
            <w:pPr>
              <w:pStyle w:val="6"/>
              <w:spacing w:line="240" w:lineRule="auto"/>
              <w:jc w:val="center"/>
              <w:rPr>
                <w:rFonts w:hint="eastAsia" w:ascii="宋体" w:hAnsi="宋体" w:eastAsia="宋体" w:cs="宋体"/>
                <w:sz w:val="22"/>
                <w:szCs w:val="22"/>
              </w:rPr>
            </w:pPr>
            <w:r>
              <w:rPr>
                <w:rFonts w:hint="eastAsia" w:ascii="宋体" w:hAnsi="宋体" w:eastAsia="宋体" w:cs="宋体"/>
                <w:sz w:val="22"/>
                <w:szCs w:val="22"/>
              </w:rPr>
              <w:t>1,000,876.15</w:t>
            </w:r>
          </w:p>
        </w:tc>
        <w:tc>
          <w:tcPr>
            <w:tcW w:w="1685" w:type="dxa"/>
            <w:vAlign w:val="center"/>
          </w:tcPr>
          <w:p w14:paraId="5D3532A1">
            <w:pPr>
              <w:pStyle w:val="6"/>
              <w:spacing w:line="360" w:lineRule="auto"/>
              <w:jc w:val="center"/>
              <w:rPr>
                <w:rFonts w:hint="eastAsia" w:ascii="宋体" w:hAnsi="宋体" w:eastAsia="宋体" w:cs="宋体"/>
                <w:sz w:val="22"/>
                <w:szCs w:val="22"/>
              </w:rPr>
            </w:pPr>
            <w:r>
              <w:rPr>
                <w:rFonts w:hint="eastAsia" w:ascii="宋体" w:hAnsi="宋体" w:eastAsia="宋体" w:cs="宋体"/>
                <w:sz w:val="22"/>
                <w:szCs w:val="22"/>
              </w:rPr>
              <w:t>1,000,876.15</w:t>
            </w:r>
          </w:p>
        </w:tc>
      </w:tr>
    </w:tbl>
    <w:p w14:paraId="3CA40319">
      <w:pPr>
        <w:pStyle w:val="6"/>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3032047A">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合同履行期限：自合同签订之日起30日历天</w:t>
      </w:r>
    </w:p>
    <w:p w14:paraId="254F156D">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10B0C39">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10A1B2B4">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8A105C4">
      <w:pPr>
        <w:pStyle w:val="6"/>
        <w:spacing w:line="360" w:lineRule="auto"/>
        <w:rPr>
          <w:rFonts w:hint="eastAsia" w:ascii="宋体" w:hAnsi="宋体" w:eastAsia="宋体" w:cs="宋体"/>
          <w:sz w:val="24"/>
          <w:szCs w:val="24"/>
        </w:rPr>
      </w:pPr>
      <w:r>
        <w:rPr>
          <w:rFonts w:hint="eastAsia" w:ascii="宋体" w:hAnsi="宋体" w:eastAsia="宋体" w:cs="宋体"/>
          <w:sz w:val="24"/>
          <w:szCs w:val="24"/>
        </w:rPr>
        <w:t>合同包1(商洛市中医医院门诊楼配套建设地下人防工程基坑开挖项目)落实政府采购政策需满足的资格要求如下:</w:t>
      </w:r>
    </w:p>
    <w:p w14:paraId="70D046F7">
      <w:pPr>
        <w:pStyle w:val="6"/>
        <w:spacing w:line="360" w:lineRule="auto"/>
        <w:ind w:left="480"/>
        <w:rPr>
          <w:rFonts w:hint="eastAsia" w:ascii="宋体" w:hAnsi="宋体" w:eastAsia="宋体" w:cs="宋体"/>
          <w:sz w:val="24"/>
          <w:szCs w:val="24"/>
        </w:rPr>
      </w:pPr>
      <w:r>
        <w:rPr>
          <w:rFonts w:hint="eastAsia" w:ascii="宋体" w:hAnsi="宋体" w:eastAsia="宋体" w:cs="宋体"/>
          <w:sz w:val="24"/>
          <w:szCs w:val="24"/>
        </w:rPr>
        <w:t>①《政府采购促进中小企业发展管理办法》（财库〔2020〕46号）；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②《陕西省财政厅关于进一步加大政府采购支持中小企业力度的通知》（财库〔2022〕19号）；</w:t>
      </w:r>
    </w:p>
    <w:p w14:paraId="31A46B96">
      <w:pPr>
        <w:pStyle w:val="6"/>
        <w:spacing w:line="360" w:lineRule="auto"/>
        <w:ind w:left="480"/>
        <w:rPr>
          <w:rFonts w:hint="eastAsia" w:ascii="宋体" w:hAnsi="宋体" w:eastAsia="宋体" w:cs="宋体"/>
          <w:sz w:val="24"/>
          <w:szCs w:val="24"/>
        </w:rPr>
      </w:pPr>
      <w:r>
        <w:rPr>
          <w:rFonts w:hint="eastAsia" w:ascii="宋体" w:hAnsi="宋体" w:eastAsia="宋体" w:cs="宋体"/>
          <w:sz w:val="24"/>
          <w:szCs w:val="24"/>
        </w:rPr>
        <w:t>③《财政部司法部关于政府采购支持监狱企业发展有关问题的通知》（财库〔2014〕68号）；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④《财政部发展改革委生态环境部市场监管总局关于调整优化节能产品、环境标志产品政府采购执行机制的通知》（财库〔2019〕9号）；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⑤《三部门联合发布关于促进残疾人就业政府采购政策的通知》（财库〔2017〕141号）；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⑥《陕西省中小企业政府采购信用融资办法》（陕财办采〔2018〕23号）；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⑦《财政部农业农村部国家乡村振兴局关于运用政府采购政策支持乡村产业振兴的通知》（财库〔2021〕19号）；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⑧《陕西省财政厅关于进一步加强政府绿色采购有关问题的通知》陕财办采〔2021〕29号；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⑨《商品包装政府采购需求标准（试行）》和《快递包装政府采购需求标准（试行）》（财办库〔2020〕123号）；</w:t>
      </w:r>
      <w:r>
        <w:rPr>
          <w:rFonts w:hint="eastAsia" w:ascii="宋体" w:hAnsi="宋体" w:eastAsia="宋体" w:cs="宋体"/>
          <w:sz w:val="24"/>
          <w:szCs w:val="24"/>
        </w:rPr>
        <w:br w:type="textWrapping"/>
      </w:r>
      <w:r>
        <w:rPr>
          <w:rFonts w:hint="eastAsia" w:ascii="宋体" w:hAnsi="宋体" w:eastAsia="宋体" w:cs="宋体"/>
          <w:sz w:val="24"/>
          <w:szCs w:val="24"/>
        </w:rPr>
        <w:t>⑩《政府采购支持绿色建材促进建筑品质提升政策项目实施指南》的通知（财库〔2023〕52号）及《关于扩大政府采购支持绿色建材促进建筑品质提升政策实施范围的通知》（财库〔2022〕35号）；</w:t>
      </w:r>
      <w:r>
        <w:rPr>
          <w:rFonts w:hint="eastAsia" w:ascii="宋体" w:hAnsi="宋体" w:eastAsia="宋体" w:cs="宋体"/>
          <w:sz w:val="24"/>
          <w:szCs w:val="24"/>
        </w:rPr>
        <w:br w:type="textWrapping"/>
      </w:r>
      <w:r>
        <w:rPr>
          <w:rFonts w:hint="eastAsia" w:ascii="宋体" w:hAnsi="宋体" w:eastAsia="宋体" w:cs="宋体"/>
          <w:sz w:val="24"/>
          <w:szCs w:val="24"/>
        </w:rPr>
        <w:t>⑪如有最新颁布的政府采购政策，按最新的文件执行；</w:t>
      </w:r>
    </w:p>
    <w:p w14:paraId="2E9B73C9">
      <w:pPr>
        <w:pStyle w:val="6"/>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F21A3BE">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合同包1(商洛市中医医院门诊楼配套建设地下人防工程基坑开挖项目)特定资格要求如下:</w:t>
      </w:r>
    </w:p>
    <w:p w14:paraId="30312DDA">
      <w:pPr>
        <w:pStyle w:val="6"/>
        <w:numPr>
          <w:ilvl w:val="0"/>
          <w:numId w:val="0"/>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应具有独立承担民事责任的能力的企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提供2023年或2024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（3）提供具有履行合同所必需的设备和专业技术能力的承诺；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（4）提供2024年1月以来任意3个月依法缴纳税收和社会保障资金证明材料，依法免税或不需要缴纳社会保障资金证明的供应商提供相关部门出具的证明文件；</w:t>
      </w:r>
      <w:r>
        <w:rPr>
          <w:rFonts w:hint="eastAsia" w:ascii="宋体" w:hAnsi="宋体" w:eastAsia="宋体" w:cs="宋体"/>
          <w:sz w:val="24"/>
          <w:szCs w:val="24"/>
        </w:rPr>
        <w:br w:type="textWrapping"/>
      </w:r>
      <w:r>
        <w:rPr>
          <w:rFonts w:hint="eastAsia" w:ascii="宋体" w:hAnsi="宋体" w:eastAsia="宋体" w:cs="宋体"/>
          <w:sz w:val="24"/>
          <w:szCs w:val="24"/>
        </w:rPr>
        <w:t>（5）提供参加政府采购活动前3年内在经营活动中没有重大违法记录的书面声明；</w:t>
      </w:r>
    </w:p>
    <w:p w14:paraId="2A9C6B2C">
      <w:pPr>
        <w:pStyle w:val="6"/>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6）供应商法定代表人授权代表参加磋商的须出示法定代表人授权委托书（附法定代表人及委托人身份证复印件）及被授权委托人身份证原件，法定代表人参加磋商的须提供法定代表人身份证明书及身份证原件；</w:t>
      </w:r>
      <w:r>
        <w:rPr>
          <w:rFonts w:hint="eastAsia" w:ascii="宋体" w:hAnsi="宋体" w:eastAsia="宋体" w:cs="宋体"/>
          <w:sz w:val="24"/>
          <w:szCs w:val="24"/>
        </w:rPr>
        <w:br w:type="textWrapping"/>
      </w:r>
      <w:r>
        <w:rPr>
          <w:rFonts w:hint="eastAsia" w:ascii="宋体" w:hAnsi="宋体" w:eastAsia="宋体" w:cs="宋体"/>
          <w:sz w:val="24"/>
          <w:szCs w:val="24"/>
        </w:rPr>
        <w:t>（7）供应商须具备相关行政主管部门核发的建筑工程施工总承包三级（含三级）及以上资质，具备有效的安全生产许可证，并在人员、设备、资金等方面具备履约本项目的施工能力；</w:t>
      </w:r>
      <w:r>
        <w:rPr>
          <w:rFonts w:hint="eastAsia" w:ascii="宋体" w:hAnsi="宋体" w:eastAsia="宋体" w:cs="宋体"/>
          <w:sz w:val="24"/>
          <w:szCs w:val="24"/>
        </w:rPr>
        <w:br w:type="textWrapping"/>
      </w:r>
      <w:r>
        <w:rPr>
          <w:rFonts w:hint="eastAsia" w:ascii="宋体" w:hAnsi="宋体" w:eastAsia="宋体" w:cs="宋体"/>
          <w:sz w:val="24"/>
          <w:szCs w:val="24"/>
        </w:rPr>
        <w:t>（8）拟派项目经理具备建筑工程二级（含二级）及以上注册建造师资格和有效的安全生产考核合格证书，且未担任其它在建工程的项目经理；</w:t>
      </w:r>
      <w:r>
        <w:rPr>
          <w:rFonts w:hint="eastAsia" w:ascii="宋体" w:hAnsi="宋体" w:eastAsia="宋体" w:cs="宋体"/>
          <w:sz w:val="24"/>
          <w:szCs w:val="24"/>
        </w:rPr>
        <w:br w:type="textWrapping"/>
      </w:r>
      <w:r>
        <w:rPr>
          <w:rFonts w:hint="eastAsia" w:ascii="宋体" w:hAnsi="宋体" w:eastAsia="宋体" w:cs="宋体"/>
          <w:sz w:val="24"/>
          <w:szCs w:val="24"/>
        </w:rPr>
        <w:t>（9）供应商资质及项目经理基本信息应在“陕西建设网（http://js.shaanxi.gov.cn/）陕西省建筑市场监管与诚信信息发布平台”可查询或在“陕西省住房和城乡建设厅（http：//js.shaanxi.gov.cn/）”可查询。（提供查询截图并加盖鲜红公章）；</w:t>
      </w:r>
      <w:r>
        <w:rPr>
          <w:rFonts w:hint="eastAsia" w:ascii="宋体" w:hAnsi="宋体" w:eastAsia="宋体" w:cs="宋体"/>
          <w:sz w:val="24"/>
          <w:szCs w:val="24"/>
        </w:rPr>
        <w:br w:type="textWrapping"/>
      </w:r>
      <w:r>
        <w:rPr>
          <w:rFonts w:hint="eastAsia" w:ascii="宋体" w:hAnsi="宋体" w:eastAsia="宋体" w:cs="宋体"/>
          <w:sz w:val="24"/>
          <w:szCs w:val="24"/>
        </w:rPr>
        <w:t>（10）供应商的信用记录须符合财库[2016]125号文《财政部关于在政府采购活动中查询及使用信用记录有关问题的通知》的规定。供应商被“信用中国”网站列入失信被执行人和重大税收违法失信主体名单的,被“中国政府采购网”网站列入政府采购严重违法失信名单的，不得参加本项目的磋商；</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（11）本项目不接受联合体磋商，不允许分包，供应商须提供《非联合体不分包投标声明》，视为独立磋商不分包。</w:t>
      </w:r>
    </w:p>
    <w:p w14:paraId="09304908">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27914F41">
      <w:pPr>
        <w:pStyle w:val="6"/>
        <w:spacing w:line="360" w:lineRule="auto"/>
        <w:ind w:left="239" w:leftChars="114" w:firstLine="0" w:firstLineChars="0"/>
        <w:rPr>
          <w:rFonts w:hint="eastAsia" w:ascii="宋体" w:hAnsi="宋体" w:eastAsia="宋体" w:cs="宋体"/>
          <w:sz w:val="24"/>
          <w:szCs w:val="24"/>
        </w:rPr>
      </w:pPr>
      <w:r>
        <w:rPr>
          <w:rFonts w:hint="eastAsia" w:ascii="宋体" w:hAnsi="宋体" w:eastAsia="宋体" w:cs="宋体"/>
          <w:sz w:val="24"/>
          <w:szCs w:val="24"/>
        </w:rPr>
        <w:t>时间： 2025年04月0</w:t>
      </w:r>
      <w:r>
        <w:rPr>
          <w:rFonts w:hint="eastAsia" w:ascii="宋体" w:hAnsi="宋体" w:eastAsia="宋体" w:cs="宋体"/>
          <w:sz w:val="24"/>
          <w:szCs w:val="24"/>
          <w:lang w:val="en-US" w:eastAsia="zh-CN"/>
        </w:rPr>
        <w:t>2</w:t>
      </w:r>
      <w:r>
        <w:rPr>
          <w:rFonts w:hint="eastAsia" w:ascii="宋体" w:hAnsi="宋体" w:eastAsia="宋体" w:cs="宋体"/>
          <w:sz w:val="24"/>
          <w:szCs w:val="24"/>
        </w:rPr>
        <w:t>日 至 2025年04月0</w:t>
      </w:r>
      <w:r>
        <w:rPr>
          <w:rFonts w:hint="eastAsia" w:ascii="宋体" w:hAnsi="宋体" w:eastAsia="宋体" w:cs="宋体"/>
          <w:sz w:val="24"/>
          <w:szCs w:val="24"/>
          <w:lang w:val="en-US" w:eastAsia="zh-CN"/>
        </w:rPr>
        <w:t>9</w:t>
      </w:r>
      <w:r>
        <w:rPr>
          <w:rFonts w:hint="eastAsia" w:ascii="宋体" w:hAnsi="宋体" w:eastAsia="宋体" w:cs="宋体"/>
          <w:sz w:val="24"/>
          <w:szCs w:val="24"/>
        </w:rPr>
        <w:t>日 ，每天上午 09:00:00 至 12:00:00 ，下午 14:00:00 至 18:00:00 （北京时间）</w:t>
      </w:r>
    </w:p>
    <w:p w14:paraId="5004EE48">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途径：陕西省商洛市商州区江滨北路公园天下商铺11栋2层综合办公室</w:t>
      </w:r>
    </w:p>
    <w:p w14:paraId="4DBDEFD2">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方式：现场获取</w:t>
      </w:r>
    </w:p>
    <w:p w14:paraId="6D7D9DC9">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售价：500元</w:t>
      </w:r>
    </w:p>
    <w:p w14:paraId="6E103135">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90303CA">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截止时间：2025年04月1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14</w:t>
      </w:r>
      <w:r>
        <w:rPr>
          <w:rFonts w:hint="eastAsia" w:ascii="宋体" w:hAnsi="宋体" w:eastAsia="宋体" w:cs="宋体"/>
          <w:sz w:val="24"/>
          <w:szCs w:val="24"/>
        </w:rPr>
        <w:t>时30分00秒 （北京时间）</w:t>
      </w:r>
    </w:p>
    <w:p w14:paraId="191B5507">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地点：陕西省商洛市商州区江滨北路公园天下商铺11栋2层会议室</w:t>
      </w:r>
    </w:p>
    <w:p w14:paraId="734358CF">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7B86FA04">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时间：2025年04月1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14</w:t>
      </w:r>
      <w:r>
        <w:rPr>
          <w:rFonts w:hint="eastAsia" w:ascii="宋体" w:hAnsi="宋体" w:eastAsia="宋体" w:cs="宋体"/>
          <w:sz w:val="24"/>
          <w:szCs w:val="24"/>
        </w:rPr>
        <w:t>时30分00秒 （北京时间）</w:t>
      </w:r>
    </w:p>
    <w:p w14:paraId="7AFB9409">
      <w:pPr>
        <w:pStyle w:val="6"/>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地点：陕西省商洛市商州区江滨北路公园天下商铺11栋2层</w:t>
      </w:r>
    </w:p>
    <w:p w14:paraId="3663CD88">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221B08B">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3789B7B4">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C7C7670">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凡有意向的供应商，请携带单位介绍信、法人授权委托书（附法人及被委托人身份证复印件），被委托人身份证原件及单位为其缴纳的近三个月社会保证资金证明、法人领取文件须携带法人证明及身份证原件、营业执照，以上资料加盖公章的清晰复印件一套至陕西省商洛市商州区江滨北路公园天下商铺11栋2楼综合办公室获取竞争性磋商文件。</w:t>
      </w:r>
    </w:p>
    <w:p w14:paraId="210A3ED7">
      <w:pPr>
        <w:pStyle w:val="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2.各供应商须按照《陕西省财政厅关于政府采购供应商注册登记有关事项的通知》的要求，通过陕西省政府采购网（http://www.ccgp-shaanxi.gov.cn/）注册登记加入陕西省政府采购供应商库。</w:t>
      </w:r>
    </w:p>
    <w:p w14:paraId="51C8023C">
      <w:pPr>
        <w:pStyle w:val="6"/>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3.与采购人存在利害关系可能影响采购公正性的供应商，不得参加磋商。单位负责人为同一人或存在控股、管理关系的不同单位，不得同时参加本项目同一合同包的磋商，否则，相关投标均无效。</w:t>
      </w:r>
    </w:p>
    <w:p w14:paraId="35B76E55">
      <w:pPr>
        <w:pStyle w:val="6"/>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bookmarkStart w:id="0" w:name="_GoBack"/>
      <w:bookmarkEnd w:id="0"/>
    </w:p>
    <w:p w14:paraId="18FEB2D3">
      <w:pPr>
        <w:pStyle w:val="6"/>
        <w:spacing w:line="360" w:lineRule="auto"/>
        <w:ind w:firstLine="241" w:firstLineChars="100"/>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4F368C2">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名称：商洛市中医医院</w:t>
      </w:r>
    </w:p>
    <w:p w14:paraId="071AE715">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地址：商洛市北新街 148 号</w:t>
      </w:r>
    </w:p>
    <w:p w14:paraId="78C8B2B5">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联系方式：13991485188</w:t>
      </w:r>
    </w:p>
    <w:p w14:paraId="4CDB991F">
      <w:pPr>
        <w:pStyle w:val="6"/>
        <w:spacing w:line="360" w:lineRule="auto"/>
        <w:ind w:firstLine="241" w:firstLineChars="100"/>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111C247F">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名称：陕西省九标项目管理有限责任公司</w:t>
      </w:r>
    </w:p>
    <w:p w14:paraId="008CD980">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地址：陕西省商洛市商州区江滨北路公园天下商铺11栋2层</w:t>
      </w:r>
    </w:p>
    <w:p w14:paraId="4FF59FEC">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联系方式：0914-2335089</w:t>
      </w:r>
    </w:p>
    <w:p w14:paraId="79B8C652">
      <w:pPr>
        <w:pStyle w:val="6"/>
        <w:spacing w:line="360" w:lineRule="auto"/>
        <w:ind w:firstLine="241" w:firstLineChars="100"/>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42B5F6C">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项目联系人：陈利娜</w:t>
      </w:r>
    </w:p>
    <w:p w14:paraId="6544A971">
      <w:pPr>
        <w:pStyle w:val="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电话：0914-2335089</w:t>
      </w:r>
    </w:p>
    <w:p w14:paraId="1B5DBB7D">
      <w:pPr>
        <w:pStyle w:val="6"/>
        <w:spacing w:line="360" w:lineRule="auto"/>
        <w:ind w:firstLine="4800" w:firstLineChars="2000"/>
        <w:jc w:val="both"/>
        <w:rPr>
          <w:rFonts w:hint="eastAsia" w:ascii="宋体" w:hAnsi="宋体" w:eastAsia="宋体" w:cs="宋体"/>
          <w:sz w:val="24"/>
          <w:szCs w:val="24"/>
        </w:rPr>
      </w:pPr>
      <w:r>
        <w:rPr>
          <w:rFonts w:hint="eastAsia" w:ascii="宋体" w:hAnsi="宋体" w:eastAsia="宋体" w:cs="宋体"/>
          <w:sz w:val="24"/>
          <w:szCs w:val="24"/>
        </w:rPr>
        <w:t>陕西省九标项目管理有限责任公司</w:t>
      </w:r>
      <w:r>
        <w:rPr>
          <w:rFonts w:hint="eastAsia" w:ascii="宋体" w:hAnsi="宋体" w:eastAsia="宋体" w:cs="宋体"/>
          <w:sz w:val="24"/>
          <w:szCs w:val="24"/>
        </w:rPr>
        <w:br w:type="textWrapping"/>
      </w:r>
    </w:p>
    <w:p w14:paraId="6C5032A2">
      <w:pPr>
        <w:pStyle w:val="6"/>
        <w:spacing w:line="360" w:lineRule="auto"/>
        <w:rPr>
          <w:rFonts w:hint="eastAsia" w:ascii="宋体" w:hAnsi="宋体" w:eastAsia="宋体" w:cs="宋体"/>
          <w:sz w:val="24"/>
          <w:szCs w:val="24"/>
          <w:lang w:val="en-US" w:eastAsia="zh-Hans"/>
        </w:rPr>
      </w:pPr>
    </w:p>
    <w:sectPr>
      <w:footerReference r:id="rId3" w:type="default"/>
      <w:pgSz w:w="11906" w:h="16838"/>
      <w:pgMar w:top="1440" w:right="1236" w:bottom="1440" w:left="123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105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217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217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71814AE"/>
    <w:rsid w:val="08474BBF"/>
    <w:rsid w:val="0B2823DD"/>
    <w:rsid w:val="0BFE3636"/>
    <w:rsid w:val="0C05627A"/>
    <w:rsid w:val="0FF705D0"/>
    <w:rsid w:val="14FC0436"/>
    <w:rsid w:val="177F50ED"/>
    <w:rsid w:val="193D062A"/>
    <w:rsid w:val="1EAF02C7"/>
    <w:rsid w:val="25CB1E8B"/>
    <w:rsid w:val="347D07F4"/>
    <w:rsid w:val="35845BB2"/>
    <w:rsid w:val="466C691A"/>
    <w:rsid w:val="48BB57F8"/>
    <w:rsid w:val="48C742DC"/>
    <w:rsid w:val="4CE04DAC"/>
    <w:rsid w:val="53B52B8D"/>
    <w:rsid w:val="58843DB0"/>
    <w:rsid w:val="69877444"/>
    <w:rsid w:val="736D76AA"/>
    <w:rsid w:val="74B35591"/>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2494</Words>
  <Characters>2824</Characters>
  <Lines>0</Lines>
  <Paragraphs>0</Paragraphs>
  <TotalTime>23</TotalTime>
  <ScaleCrop>false</ScaleCrop>
  <LinksUpToDate>false</LinksUpToDate>
  <CharactersWithSpaces>2857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止</cp:lastModifiedBy>
  <dcterms:modified xsi:type="dcterms:W3CDTF">2025-04-01T09:09:53Z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eyJoZGlkIjoiY2NiMTlmMDE4MzRlNzY5NjBlMzJiM2I3MmNhMzZmZGUiLCJ1c2VySWQiOiIxMTU0MzIwMDAwIn0=</vt:lpwstr>
  </property>
  <property fmtid="{D5CDD505-2E9C-101B-9397-08002B2CF9AE}" pid="4" name="ICV">
    <vt:lpwstr>7AAC8E94B87947CD94046215DB157B51_12</vt:lpwstr>
  </property>
</Properties>
</file>