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62" w:rsidRDefault="00290A62" w:rsidP="00290A62">
      <w:pPr>
        <w:pStyle w:val="null3"/>
        <w:jc w:val="center"/>
        <w:outlineLvl w:val="1"/>
        <w:rPr>
          <w:rFonts w:hint="default"/>
        </w:rPr>
      </w:pPr>
      <w:bookmarkStart w:id="0" w:name="OLE_LINK71"/>
      <w:bookmarkStart w:id="1" w:name="OLE_LINK72"/>
      <w:r>
        <w:rPr>
          <w:b/>
          <w:sz w:val="36"/>
        </w:rPr>
        <w:t>第三章 磋商项目技术、服务、商务及其他要求</w:t>
      </w:r>
    </w:p>
    <w:p w:rsidR="00290A62" w:rsidRDefault="00290A62" w:rsidP="00290A62">
      <w:pPr>
        <w:pStyle w:val="null3"/>
        <w:ind w:firstLine="480"/>
        <w:rPr>
          <w:rFonts w:hint="default"/>
        </w:rPr>
      </w:pPr>
      <w:r>
        <w:t>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:rsidR="00290A62" w:rsidRDefault="00290A62" w:rsidP="00290A62">
      <w:pPr>
        <w:pStyle w:val="null3"/>
        <w:outlineLvl w:val="2"/>
        <w:rPr>
          <w:rFonts w:hint="default"/>
        </w:rPr>
      </w:pPr>
      <w:r>
        <w:rPr>
          <w:b/>
          <w:sz w:val="28"/>
        </w:rPr>
        <w:t>3.1采购项目概况</w:t>
      </w:r>
    </w:p>
    <w:p w:rsidR="00290A62" w:rsidRDefault="00290A62" w:rsidP="00290A62">
      <w:r>
        <w:rPr>
          <w:rFonts w:hint="eastAsia"/>
        </w:rPr>
        <w:t>2025“塔吉克斯坦文化日”组织保障服务项目</w:t>
      </w:r>
    </w:p>
    <w:p w:rsidR="00290A62" w:rsidRDefault="00290A62" w:rsidP="00290A62">
      <w:pPr>
        <w:pStyle w:val="null3"/>
        <w:outlineLvl w:val="2"/>
        <w:rPr>
          <w:rFonts w:hint="default"/>
        </w:rPr>
      </w:pPr>
      <w:r>
        <w:rPr>
          <w:b/>
          <w:sz w:val="28"/>
        </w:rPr>
        <w:t>3.2服务内容及服务要求</w:t>
      </w:r>
    </w:p>
    <w:p w:rsidR="00290A62" w:rsidRDefault="00290A62" w:rsidP="00290A62">
      <w:pPr>
        <w:pStyle w:val="null3"/>
        <w:outlineLvl w:val="3"/>
        <w:rPr>
          <w:rFonts w:hint="default"/>
        </w:rPr>
      </w:pPr>
      <w:r>
        <w:rPr>
          <w:b/>
          <w:sz w:val="24"/>
        </w:rPr>
        <w:t>3.2.1服务内容</w:t>
      </w:r>
    </w:p>
    <w:p w:rsidR="00290A62" w:rsidRDefault="00290A62" w:rsidP="00290A62">
      <w:pPr>
        <w:pStyle w:val="null3"/>
        <w:rPr>
          <w:rFonts w:hint="default"/>
        </w:rPr>
      </w:pPr>
      <w:r>
        <w:t>采购包1：</w:t>
      </w:r>
    </w:p>
    <w:p w:rsidR="00290A62" w:rsidRDefault="00290A62" w:rsidP="00290A62">
      <w:pPr>
        <w:pStyle w:val="null3"/>
        <w:rPr>
          <w:rFonts w:hint="default"/>
        </w:rPr>
      </w:pPr>
      <w:r>
        <w:t xml:space="preserve">采购包预算金额（元）: </w:t>
      </w:r>
      <w:bookmarkStart w:id="2" w:name="OLE_LINK5"/>
      <w:bookmarkStart w:id="3" w:name="OLE_LINK6"/>
      <w:r>
        <w:rPr>
          <w:rFonts w:hint="default"/>
        </w:rPr>
        <w:t>644500.00</w:t>
      </w:r>
      <w:bookmarkEnd w:id="2"/>
      <w:bookmarkEnd w:id="3"/>
    </w:p>
    <w:p w:rsidR="00290A62" w:rsidRDefault="00290A62" w:rsidP="00290A62">
      <w:pPr>
        <w:pStyle w:val="null3"/>
        <w:rPr>
          <w:rFonts w:hint="default"/>
        </w:rPr>
      </w:pPr>
      <w:r>
        <w:t xml:space="preserve">采购包最高限价（元）: </w:t>
      </w:r>
      <w:r>
        <w:rPr>
          <w:rFonts w:hint="default"/>
        </w:rPr>
        <w:t>644500.00</w:t>
      </w:r>
    </w:p>
    <w:p w:rsidR="00290A62" w:rsidRDefault="00290A62" w:rsidP="00290A62">
      <w:pPr>
        <w:pStyle w:val="null3"/>
        <w:rPr>
          <w:rFonts w:hint="default"/>
        </w:rPr>
      </w:pPr>
      <w:r>
        <w:t>供应商报价不允许超过标的金额</w:t>
      </w:r>
    </w:p>
    <w:p w:rsidR="00290A62" w:rsidRDefault="00290A62" w:rsidP="00290A62">
      <w:pPr>
        <w:pStyle w:val="null3"/>
        <w:rPr>
          <w:rFonts w:hint="default"/>
        </w:rPr>
      </w:pPr>
      <w:r>
        <w:t>（招单价的）供应商报价不允许超过标的单价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1"/>
        <w:gridCol w:w="1253"/>
        <w:gridCol w:w="611"/>
        <w:gridCol w:w="1103"/>
        <w:gridCol w:w="636"/>
        <w:gridCol w:w="987"/>
        <w:gridCol w:w="786"/>
        <w:gridCol w:w="786"/>
        <w:gridCol w:w="786"/>
        <w:gridCol w:w="777"/>
      </w:tblGrid>
      <w:tr w:rsidR="00290A62" w:rsidTr="00290A62">
        <w:tc>
          <w:tcPr>
            <w:tcW w:w="350" w:type="pct"/>
          </w:tcPr>
          <w:p w:rsidR="00290A62" w:rsidRDefault="00290A62" w:rsidP="00B6331B">
            <w:pPr>
              <w:pStyle w:val="null3"/>
              <w:rPr>
                <w:rFonts w:hint="default"/>
              </w:rPr>
            </w:pPr>
            <w:r>
              <w:t>序号</w:t>
            </w:r>
          </w:p>
        </w:tc>
        <w:tc>
          <w:tcPr>
            <w:tcW w:w="754" w:type="pct"/>
          </w:tcPr>
          <w:p w:rsidR="00290A62" w:rsidRDefault="00290A62" w:rsidP="00B6331B">
            <w:pPr>
              <w:pStyle w:val="null3"/>
              <w:rPr>
                <w:rFonts w:hint="default"/>
              </w:rPr>
            </w:pPr>
            <w:r>
              <w:t>标的名称</w:t>
            </w:r>
          </w:p>
        </w:tc>
        <w:tc>
          <w:tcPr>
            <w:tcW w:w="368" w:type="pct"/>
          </w:tcPr>
          <w:p w:rsidR="00290A62" w:rsidRDefault="00290A62" w:rsidP="00B6331B">
            <w:pPr>
              <w:pStyle w:val="null3"/>
              <w:rPr>
                <w:rFonts w:hint="default"/>
              </w:rPr>
            </w:pPr>
            <w:r>
              <w:t>数量</w:t>
            </w:r>
          </w:p>
        </w:tc>
        <w:tc>
          <w:tcPr>
            <w:tcW w:w="664" w:type="pct"/>
          </w:tcPr>
          <w:p w:rsidR="00290A62" w:rsidRDefault="00290A62" w:rsidP="00B6331B">
            <w:pPr>
              <w:pStyle w:val="null3"/>
              <w:rPr>
                <w:rFonts w:hint="default"/>
              </w:rPr>
            </w:pPr>
            <w:r>
              <w:t>标的金额 （元）</w:t>
            </w:r>
            <w:bookmarkStart w:id="4" w:name="_GoBack"/>
            <w:bookmarkEnd w:id="4"/>
          </w:p>
        </w:tc>
        <w:tc>
          <w:tcPr>
            <w:tcW w:w="383" w:type="pct"/>
          </w:tcPr>
          <w:p w:rsidR="00290A62" w:rsidRDefault="00290A62" w:rsidP="00B6331B">
            <w:pPr>
              <w:pStyle w:val="null3"/>
              <w:rPr>
                <w:rFonts w:hint="default"/>
              </w:rPr>
            </w:pPr>
            <w:r>
              <w:t>计量单位</w:t>
            </w:r>
          </w:p>
        </w:tc>
        <w:tc>
          <w:tcPr>
            <w:tcW w:w="594" w:type="pct"/>
          </w:tcPr>
          <w:p w:rsidR="00290A62" w:rsidRDefault="00290A62" w:rsidP="00B6331B">
            <w:pPr>
              <w:pStyle w:val="null3"/>
              <w:rPr>
                <w:rFonts w:hint="default"/>
              </w:rPr>
            </w:pPr>
            <w:r>
              <w:t>所属行业</w:t>
            </w:r>
          </w:p>
        </w:tc>
        <w:tc>
          <w:tcPr>
            <w:tcW w:w="473" w:type="pct"/>
          </w:tcPr>
          <w:p w:rsidR="00290A62" w:rsidRDefault="00290A62" w:rsidP="00B6331B">
            <w:pPr>
              <w:pStyle w:val="null3"/>
              <w:rPr>
                <w:rFonts w:hint="default"/>
              </w:rPr>
            </w:pPr>
            <w:r>
              <w:t>是否核心产品</w:t>
            </w:r>
          </w:p>
        </w:tc>
        <w:tc>
          <w:tcPr>
            <w:tcW w:w="473" w:type="pct"/>
          </w:tcPr>
          <w:p w:rsidR="00290A62" w:rsidRDefault="00290A62" w:rsidP="00B6331B">
            <w:pPr>
              <w:pStyle w:val="null3"/>
              <w:rPr>
                <w:rFonts w:hint="default"/>
              </w:rPr>
            </w:pPr>
            <w:r>
              <w:t>是否允许进口产品</w:t>
            </w:r>
          </w:p>
        </w:tc>
        <w:tc>
          <w:tcPr>
            <w:tcW w:w="473" w:type="pct"/>
          </w:tcPr>
          <w:p w:rsidR="00290A62" w:rsidRDefault="00290A62" w:rsidP="00B6331B">
            <w:pPr>
              <w:pStyle w:val="null3"/>
              <w:rPr>
                <w:rFonts w:hint="default"/>
              </w:rPr>
            </w:pPr>
            <w:r>
              <w:t>是否属于节能产品</w:t>
            </w:r>
          </w:p>
        </w:tc>
        <w:tc>
          <w:tcPr>
            <w:tcW w:w="468" w:type="pct"/>
          </w:tcPr>
          <w:p w:rsidR="00290A62" w:rsidRDefault="00290A62" w:rsidP="00B6331B">
            <w:pPr>
              <w:pStyle w:val="null3"/>
              <w:rPr>
                <w:rFonts w:hint="default"/>
              </w:rPr>
            </w:pPr>
            <w:r>
              <w:t>是否属于环境标志产品</w:t>
            </w:r>
          </w:p>
        </w:tc>
      </w:tr>
      <w:tr w:rsidR="00290A62" w:rsidTr="00290A62">
        <w:tc>
          <w:tcPr>
            <w:tcW w:w="350" w:type="pct"/>
          </w:tcPr>
          <w:p w:rsidR="00290A62" w:rsidRDefault="00290A62" w:rsidP="00B6331B">
            <w:pPr>
              <w:pStyle w:val="null3"/>
              <w:rPr>
                <w:rFonts w:hint="default"/>
              </w:rPr>
            </w:pPr>
            <w:r>
              <w:t>1</w:t>
            </w:r>
          </w:p>
        </w:tc>
        <w:tc>
          <w:tcPr>
            <w:tcW w:w="754" w:type="pct"/>
          </w:tcPr>
          <w:p w:rsidR="00290A62" w:rsidRDefault="00290A62" w:rsidP="00B6331B">
            <w:pPr>
              <w:pStyle w:val="null3"/>
              <w:rPr>
                <w:rFonts w:hint="default"/>
              </w:rPr>
            </w:pPr>
            <w:r>
              <w:rPr>
                <w:lang w:eastAsia="zh-CN"/>
              </w:rPr>
              <w:t>其他商务服务</w:t>
            </w:r>
          </w:p>
        </w:tc>
        <w:tc>
          <w:tcPr>
            <w:tcW w:w="368" w:type="pct"/>
          </w:tcPr>
          <w:p w:rsidR="00290A62" w:rsidRDefault="00290A62" w:rsidP="00B6331B">
            <w:pPr>
              <w:pStyle w:val="null3"/>
              <w:jc w:val="right"/>
              <w:rPr>
                <w:rFonts w:hint="default"/>
              </w:rPr>
            </w:pPr>
            <w:r>
              <w:t>1.00</w:t>
            </w:r>
          </w:p>
        </w:tc>
        <w:tc>
          <w:tcPr>
            <w:tcW w:w="664" w:type="pct"/>
          </w:tcPr>
          <w:p w:rsidR="00290A62" w:rsidRDefault="00290A62" w:rsidP="00B6331B">
            <w:pPr>
              <w:pStyle w:val="null3"/>
              <w:jc w:val="right"/>
              <w:rPr>
                <w:rFonts w:hint="default"/>
              </w:rPr>
            </w:pPr>
            <w:bookmarkStart w:id="5" w:name="OLE_LINK119"/>
            <w:r>
              <w:rPr>
                <w:rFonts w:hint="default"/>
              </w:rPr>
              <w:t>644500.00</w:t>
            </w:r>
            <w:bookmarkEnd w:id="5"/>
          </w:p>
        </w:tc>
        <w:tc>
          <w:tcPr>
            <w:tcW w:w="383" w:type="pct"/>
          </w:tcPr>
          <w:p w:rsidR="00290A62" w:rsidRDefault="00290A62" w:rsidP="00B6331B">
            <w:pPr>
              <w:pStyle w:val="null3"/>
              <w:rPr>
                <w:rFonts w:hint="default"/>
              </w:rPr>
            </w:pPr>
            <w:r>
              <w:t>项</w:t>
            </w:r>
          </w:p>
        </w:tc>
        <w:tc>
          <w:tcPr>
            <w:tcW w:w="594" w:type="pct"/>
          </w:tcPr>
          <w:p w:rsidR="00290A62" w:rsidRDefault="00290A62" w:rsidP="00B6331B">
            <w:pPr>
              <w:pStyle w:val="null3"/>
              <w:rPr>
                <w:rFonts w:hint="default"/>
              </w:rPr>
            </w:pPr>
            <w:r>
              <w:rPr>
                <w:lang w:eastAsia="zh-CN"/>
              </w:rPr>
              <w:t>商务服务</w:t>
            </w:r>
          </w:p>
        </w:tc>
        <w:tc>
          <w:tcPr>
            <w:tcW w:w="473" w:type="pct"/>
          </w:tcPr>
          <w:p w:rsidR="00290A62" w:rsidRDefault="00290A62" w:rsidP="00B6331B">
            <w:pPr>
              <w:pStyle w:val="null3"/>
              <w:rPr>
                <w:rFonts w:hint="default"/>
              </w:rPr>
            </w:pPr>
            <w:r>
              <w:t>否</w:t>
            </w:r>
          </w:p>
        </w:tc>
        <w:tc>
          <w:tcPr>
            <w:tcW w:w="473" w:type="pct"/>
          </w:tcPr>
          <w:p w:rsidR="00290A62" w:rsidRDefault="00290A62" w:rsidP="00B6331B">
            <w:pPr>
              <w:pStyle w:val="null3"/>
              <w:rPr>
                <w:rFonts w:hint="default"/>
              </w:rPr>
            </w:pPr>
            <w:r>
              <w:t>否</w:t>
            </w:r>
          </w:p>
        </w:tc>
        <w:tc>
          <w:tcPr>
            <w:tcW w:w="473" w:type="pct"/>
          </w:tcPr>
          <w:p w:rsidR="00290A62" w:rsidRDefault="00290A62" w:rsidP="00B6331B">
            <w:pPr>
              <w:pStyle w:val="null3"/>
              <w:rPr>
                <w:rFonts w:hint="default"/>
              </w:rPr>
            </w:pPr>
            <w:r>
              <w:t>否</w:t>
            </w:r>
          </w:p>
        </w:tc>
        <w:tc>
          <w:tcPr>
            <w:tcW w:w="468" w:type="pct"/>
          </w:tcPr>
          <w:p w:rsidR="00290A62" w:rsidRDefault="00290A62" w:rsidP="00B6331B">
            <w:pPr>
              <w:pStyle w:val="null3"/>
              <w:rPr>
                <w:rFonts w:hint="default"/>
              </w:rPr>
            </w:pPr>
            <w:r>
              <w:t>否</w:t>
            </w:r>
          </w:p>
        </w:tc>
      </w:tr>
    </w:tbl>
    <w:p w:rsidR="00290A62" w:rsidRDefault="00290A62" w:rsidP="00290A62">
      <w:pPr>
        <w:pStyle w:val="null3"/>
        <w:outlineLvl w:val="2"/>
        <w:rPr>
          <w:rFonts w:hint="default"/>
        </w:rPr>
      </w:pPr>
      <w:r>
        <w:rPr>
          <w:b/>
          <w:sz w:val="28"/>
        </w:rPr>
        <w:t>3.2.2服务要求</w:t>
      </w:r>
    </w:p>
    <w:p w:rsidR="00290A62" w:rsidRDefault="00290A62" w:rsidP="00290A62">
      <w:pPr>
        <w:pStyle w:val="null3"/>
        <w:rPr>
          <w:rFonts w:hint="default"/>
        </w:rPr>
      </w:pPr>
      <w:r>
        <w:t>采购包1：</w:t>
      </w:r>
    </w:p>
    <w:p w:rsidR="00290A62" w:rsidRDefault="00290A62" w:rsidP="00290A62">
      <w:pPr>
        <w:pStyle w:val="null3"/>
        <w:rPr>
          <w:rFonts w:hint="default"/>
        </w:rPr>
      </w:pPr>
      <w:r>
        <w:t>供应商报价不允许超过标的金额</w:t>
      </w:r>
    </w:p>
    <w:p w:rsidR="00290A62" w:rsidRDefault="00290A62" w:rsidP="00290A62">
      <w:pPr>
        <w:pStyle w:val="null3"/>
        <w:rPr>
          <w:rFonts w:hint="default"/>
        </w:rPr>
      </w:pPr>
      <w:r>
        <w:t>（招单价的）供应商报价不允许超过标的单价</w:t>
      </w:r>
    </w:p>
    <w:p w:rsidR="00290A62" w:rsidRDefault="00290A62" w:rsidP="00290A62">
      <w:pPr>
        <w:pStyle w:val="null3"/>
        <w:ind w:firstLine="480"/>
        <w:rPr>
          <w:rFonts w:hint="default"/>
        </w:rPr>
      </w:pPr>
      <w:r>
        <w:t>标的名称：</w:t>
      </w:r>
      <w:bookmarkStart w:id="6" w:name="OLE_LINK118"/>
      <w:r>
        <w:t>2025“塔吉克斯坦文化日”组织保障服务项目</w:t>
      </w:r>
      <w:bookmarkEnd w:id="6"/>
    </w:p>
    <w:tbl>
      <w:tblPr>
        <w:tblW w:w="932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601"/>
        <w:gridCol w:w="8045"/>
      </w:tblGrid>
      <w:tr w:rsidR="00290A62" w:rsidRPr="00895492" w:rsidTr="00B6331B">
        <w:tc>
          <w:tcPr>
            <w:tcW w:w="676" w:type="dxa"/>
          </w:tcPr>
          <w:p w:rsidR="00290A62" w:rsidRPr="00895492" w:rsidRDefault="00290A62" w:rsidP="00B6331B">
            <w:pPr>
              <w:pStyle w:val="null3"/>
              <w:spacing w:line="276" w:lineRule="auto"/>
              <w:rPr>
                <w:rFonts w:hint="default"/>
              </w:rPr>
            </w:pPr>
            <w:bookmarkStart w:id="7" w:name="OLE_LINK123"/>
            <w:bookmarkStart w:id="8" w:name="OLE_LINK124"/>
            <w:r w:rsidRPr="00895492">
              <w:t>参数性质</w:t>
            </w:r>
          </w:p>
        </w:tc>
        <w:tc>
          <w:tcPr>
            <w:tcW w:w="601" w:type="dxa"/>
          </w:tcPr>
          <w:p w:rsidR="00290A62" w:rsidRPr="00895492" w:rsidRDefault="00290A62" w:rsidP="00B6331B">
            <w:pPr>
              <w:pStyle w:val="null3"/>
              <w:spacing w:line="276" w:lineRule="auto"/>
              <w:rPr>
                <w:rFonts w:hint="default"/>
              </w:rPr>
            </w:pPr>
            <w:r w:rsidRPr="00895492">
              <w:t>序号</w:t>
            </w:r>
          </w:p>
        </w:tc>
        <w:tc>
          <w:tcPr>
            <w:tcW w:w="8045" w:type="dxa"/>
          </w:tcPr>
          <w:p w:rsidR="00290A62" w:rsidRPr="00895492" w:rsidRDefault="00290A62" w:rsidP="00B6331B">
            <w:pPr>
              <w:pStyle w:val="null3"/>
              <w:spacing w:line="276" w:lineRule="auto"/>
              <w:rPr>
                <w:rFonts w:hint="default"/>
              </w:rPr>
            </w:pPr>
            <w:r w:rsidRPr="00895492">
              <w:t xml:space="preserve"> 技术参数与性能指标</w:t>
            </w:r>
          </w:p>
        </w:tc>
      </w:tr>
      <w:tr w:rsidR="00290A62" w:rsidRPr="00895492" w:rsidTr="00B6331B">
        <w:tc>
          <w:tcPr>
            <w:tcW w:w="676" w:type="dxa"/>
          </w:tcPr>
          <w:p w:rsidR="00290A62" w:rsidRPr="00895492" w:rsidRDefault="00290A62" w:rsidP="00B6331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290A62" w:rsidRPr="00895492" w:rsidRDefault="00290A62" w:rsidP="00B6331B">
            <w:pPr>
              <w:pStyle w:val="null3"/>
              <w:spacing w:line="276" w:lineRule="auto"/>
              <w:rPr>
                <w:rFonts w:hint="default"/>
                <w:lang w:eastAsia="zh-CN"/>
              </w:rPr>
            </w:pPr>
            <w:r w:rsidRPr="00895492">
              <w:rPr>
                <w:lang w:eastAsia="zh-CN"/>
              </w:rPr>
              <w:t>1</w:t>
            </w:r>
          </w:p>
        </w:tc>
        <w:tc>
          <w:tcPr>
            <w:tcW w:w="8045" w:type="dxa"/>
          </w:tcPr>
          <w:p w:rsidR="00290A62" w:rsidRPr="00895492" w:rsidRDefault="00290A62" w:rsidP="00B6331B">
            <w:pPr>
              <w:spacing w:line="276" w:lineRule="auto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  <w:lang w:bidi="ar"/>
              </w:rPr>
              <w:t>一、项目概况</w:t>
            </w:r>
          </w:p>
          <w:p w:rsidR="00290A62" w:rsidRPr="00895492" w:rsidRDefault="00290A62" w:rsidP="00B6331B">
            <w:pPr>
              <w:spacing w:line="276" w:lineRule="auto"/>
              <w:rPr>
                <w:rFonts w:ascii="宋体" w:eastAsia="宋体" w:hAnsi="宋体" w:cs="仿宋_GB2312"/>
                <w:bCs/>
                <w:sz w:val="20"/>
                <w:szCs w:val="20"/>
              </w:rPr>
            </w:pPr>
            <w:r w:rsidRPr="00384AA3">
              <w:rPr>
                <w:rFonts w:ascii="宋体" w:eastAsia="宋体" w:hAnsi="宋体" w:cs="仿宋_GB2312" w:hint="eastAsia"/>
                <w:bCs/>
                <w:sz w:val="20"/>
                <w:szCs w:val="20"/>
                <w:lang w:bidi="ar"/>
              </w:rPr>
              <w:t>2025年中塔两国文化和旅游领域交流合作重点项目“塔吉克斯坦文化日”活动，将于4月在陕西省文化馆曲江馆区剧场举办，内容包括文艺演出、民族手工艺展、民族服装展、图片及画展等。塔方团队演职人员60人。塔方在陕时间三天，第一天排练，第二天展演，第三天撤场，供应商根据塔方实际展演时间提供保障服务。</w:t>
            </w:r>
          </w:p>
        </w:tc>
      </w:tr>
      <w:tr w:rsidR="00290A62" w:rsidRPr="00895492" w:rsidTr="00B6331B">
        <w:tc>
          <w:tcPr>
            <w:tcW w:w="676" w:type="dxa"/>
          </w:tcPr>
          <w:p w:rsidR="00290A62" w:rsidRPr="00895492" w:rsidRDefault="00290A62" w:rsidP="00B6331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1" w:type="dxa"/>
          </w:tcPr>
          <w:p w:rsidR="00290A62" w:rsidRPr="00895492" w:rsidRDefault="00290A62" w:rsidP="00B6331B">
            <w:pPr>
              <w:pStyle w:val="null3"/>
              <w:spacing w:line="276" w:lineRule="auto"/>
              <w:rPr>
                <w:rFonts w:hint="default"/>
                <w:lang w:eastAsia="zh-CN"/>
              </w:rPr>
            </w:pPr>
            <w:r w:rsidRPr="00895492">
              <w:rPr>
                <w:lang w:eastAsia="zh-CN"/>
              </w:rPr>
              <w:t>2</w:t>
            </w:r>
          </w:p>
        </w:tc>
        <w:tc>
          <w:tcPr>
            <w:tcW w:w="8045" w:type="dxa"/>
          </w:tcPr>
          <w:p w:rsidR="00290A62" w:rsidRPr="003B5E17" w:rsidRDefault="00290A62" w:rsidP="00B6331B">
            <w:pPr>
              <w:spacing w:line="276" w:lineRule="auto"/>
              <w:rPr>
                <w:rFonts w:asciiTheme="minorEastAsia" w:hAnsiTheme="minorEastAsia" w:cs="仿宋_GB2312"/>
                <w:b/>
                <w:bCs/>
                <w:sz w:val="20"/>
                <w:szCs w:val="20"/>
              </w:rPr>
            </w:pPr>
            <w:r w:rsidRPr="003B5E17">
              <w:rPr>
                <w:rFonts w:asciiTheme="minorEastAsia" w:hAnsiTheme="minorEastAsia" w:cs="仿宋_GB2312" w:hint="eastAsia"/>
                <w:b/>
                <w:bCs/>
                <w:sz w:val="20"/>
                <w:szCs w:val="20"/>
              </w:rPr>
              <w:t>二、服务内容及要求</w:t>
            </w:r>
          </w:p>
          <w:p w:rsidR="00290A62" w:rsidRDefault="00290A62" w:rsidP="00B6331B">
            <w:pPr>
              <w:pStyle w:val="a7"/>
              <w:spacing w:line="276" w:lineRule="auto"/>
              <w:ind w:firstLine="0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3B5E17">
              <w:rPr>
                <w:rFonts w:asciiTheme="minorEastAsia" w:eastAsiaTheme="minorEastAsia" w:hAnsiTheme="minorEastAsia" w:cs="宋体" w:hint="eastAsia"/>
                <w:sz w:val="20"/>
              </w:rPr>
              <w:t>现征集供应商负责</w:t>
            </w:r>
            <w:r w:rsidRPr="003B5E17">
              <w:rPr>
                <w:rFonts w:asciiTheme="minorEastAsia" w:eastAsiaTheme="minorEastAsia" w:hAnsiTheme="minorEastAsia" w:hint="eastAsia"/>
                <w:sz w:val="20"/>
              </w:rPr>
              <w:t>2025“塔吉克斯坦文化日”组织保障服务</w:t>
            </w:r>
            <w:r w:rsidRPr="003B5E17">
              <w:rPr>
                <w:rFonts w:asciiTheme="minorEastAsia" w:eastAsiaTheme="minorEastAsia" w:hAnsiTheme="minorEastAsia" w:cs="宋体" w:hint="eastAsia"/>
                <w:sz w:val="20"/>
              </w:rPr>
              <w:t>，项目具体要求包括不限于如下事项：</w:t>
            </w:r>
          </w:p>
          <w:p w:rsidR="00290A62" w:rsidRDefault="00290A62" w:rsidP="00B6331B">
            <w:pPr>
              <w:pStyle w:val="a7"/>
              <w:spacing w:line="276" w:lineRule="auto"/>
              <w:ind w:firstLine="0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3B5E17">
              <w:rPr>
                <w:rFonts w:asciiTheme="minorEastAsia" w:eastAsiaTheme="minorEastAsia" w:hAnsiTheme="minorEastAsia" w:cs="宋体" w:hint="eastAsia"/>
                <w:sz w:val="20"/>
              </w:rPr>
              <w:t>1.制定组织保障总体方案，保障活动顺利实施。</w:t>
            </w:r>
          </w:p>
          <w:p w:rsidR="00290A62" w:rsidRDefault="00290A62" w:rsidP="00B6331B">
            <w:pPr>
              <w:pStyle w:val="a7"/>
              <w:spacing w:line="276" w:lineRule="auto"/>
              <w:ind w:firstLine="0"/>
              <w:rPr>
                <w:rFonts w:asciiTheme="minorEastAsia" w:eastAsiaTheme="minorEastAsia" w:hAnsiTheme="minorEastAsia"/>
                <w:sz w:val="20"/>
              </w:rPr>
            </w:pPr>
            <w:r w:rsidRPr="003B5E17">
              <w:rPr>
                <w:rFonts w:asciiTheme="minorEastAsia" w:eastAsiaTheme="minorEastAsia" w:hAnsiTheme="minorEastAsia" w:cs="宋体" w:hint="eastAsia"/>
                <w:sz w:val="20"/>
              </w:rPr>
              <w:t>2.</w:t>
            </w:r>
            <w:r w:rsidRPr="003B5E17">
              <w:rPr>
                <w:rFonts w:asciiTheme="minorEastAsia" w:eastAsiaTheme="minorEastAsia" w:hAnsiTheme="minorEastAsia" w:hint="eastAsia"/>
                <w:sz w:val="20"/>
              </w:rPr>
              <w:t>负责塔方团队在陕期间食宿行安排。</w:t>
            </w:r>
          </w:p>
          <w:p w:rsidR="00290A62" w:rsidRDefault="00290A62" w:rsidP="00B6331B">
            <w:pPr>
              <w:pStyle w:val="a7"/>
              <w:spacing w:line="276" w:lineRule="auto"/>
              <w:ind w:firstLine="0"/>
              <w:rPr>
                <w:rFonts w:asciiTheme="minorEastAsia" w:eastAsiaTheme="minorEastAsia" w:hAnsiTheme="minorEastAsia"/>
                <w:sz w:val="20"/>
              </w:rPr>
            </w:pPr>
            <w:r w:rsidRPr="003B5E17">
              <w:rPr>
                <w:rFonts w:asciiTheme="minorEastAsia" w:eastAsiaTheme="minorEastAsia" w:hAnsiTheme="minorEastAsia" w:hint="eastAsia"/>
                <w:sz w:val="20"/>
              </w:rPr>
              <w:lastRenderedPageBreak/>
              <w:t>3.负责视效设计制作。</w:t>
            </w:r>
          </w:p>
          <w:p w:rsidR="00290A62" w:rsidRDefault="00290A62" w:rsidP="00B6331B">
            <w:pPr>
              <w:pStyle w:val="a7"/>
              <w:spacing w:line="276" w:lineRule="auto"/>
              <w:ind w:firstLine="0"/>
              <w:rPr>
                <w:rFonts w:asciiTheme="minorEastAsia" w:eastAsiaTheme="minorEastAsia" w:hAnsiTheme="minorEastAsia"/>
                <w:sz w:val="20"/>
              </w:rPr>
            </w:pPr>
            <w:r w:rsidRPr="003B5E17">
              <w:rPr>
                <w:rFonts w:asciiTheme="minorEastAsia" w:eastAsiaTheme="minorEastAsia" w:hAnsiTheme="minorEastAsia" w:hint="eastAsia"/>
                <w:sz w:val="20"/>
              </w:rPr>
              <w:t>4.负责演出设备和展陈设备提供。</w:t>
            </w:r>
          </w:p>
          <w:p w:rsidR="00290A62" w:rsidRDefault="00290A62" w:rsidP="00B6331B">
            <w:pPr>
              <w:pStyle w:val="a7"/>
              <w:spacing w:line="276" w:lineRule="auto"/>
              <w:ind w:firstLine="0"/>
              <w:rPr>
                <w:rFonts w:asciiTheme="minorEastAsia" w:eastAsiaTheme="minorEastAsia" w:hAnsiTheme="minorEastAsia"/>
                <w:sz w:val="20"/>
              </w:rPr>
            </w:pPr>
            <w:r w:rsidRPr="003B5E17">
              <w:rPr>
                <w:rFonts w:asciiTheme="minorEastAsia" w:eastAsiaTheme="minorEastAsia" w:hAnsiTheme="minorEastAsia" w:hint="eastAsia"/>
                <w:sz w:val="20"/>
              </w:rPr>
              <w:t>5.负责氛围营造工作。</w:t>
            </w:r>
          </w:p>
          <w:p w:rsidR="00290A62" w:rsidRDefault="00290A62" w:rsidP="00B6331B">
            <w:pPr>
              <w:pStyle w:val="a7"/>
              <w:spacing w:line="276" w:lineRule="auto"/>
              <w:ind w:firstLine="0"/>
              <w:rPr>
                <w:rFonts w:asciiTheme="minorEastAsia" w:eastAsiaTheme="minorEastAsia" w:hAnsiTheme="minorEastAsia"/>
                <w:sz w:val="20"/>
              </w:rPr>
            </w:pPr>
            <w:r w:rsidRPr="003B5E17">
              <w:rPr>
                <w:rFonts w:asciiTheme="minorEastAsia" w:eastAsiaTheme="minorEastAsia" w:hAnsiTheme="minorEastAsia" w:hint="eastAsia"/>
                <w:sz w:val="20"/>
              </w:rPr>
              <w:t>6.负责翻译服务。</w:t>
            </w:r>
          </w:p>
          <w:p w:rsidR="00290A62" w:rsidRDefault="00290A62" w:rsidP="00B6331B">
            <w:pPr>
              <w:pStyle w:val="a7"/>
              <w:spacing w:line="276" w:lineRule="auto"/>
              <w:ind w:firstLine="0"/>
              <w:rPr>
                <w:rFonts w:asciiTheme="minorEastAsia" w:eastAsiaTheme="minorEastAsia" w:hAnsiTheme="minorEastAsia"/>
                <w:sz w:val="20"/>
              </w:rPr>
            </w:pPr>
            <w:r w:rsidRPr="003B5E17">
              <w:rPr>
                <w:rFonts w:asciiTheme="minorEastAsia" w:eastAsiaTheme="minorEastAsia" w:hAnsiTheme="minorEastAsia" w:hint="eastAsia"/>
                <w:sz w:val="20"/>
              </w:rPr>
              <w:t>7.负责演出及展陈的后勤保障、安全保障、媒体宣传等工作。</w:t>
            </w:r>
          </w:p>
          <w:p w:rsidR="00290A62" w:rsidRDefault="00290A62" w:rsidP="00B6331B">
            <w:pPr>
              <w:pStyle w:val="a7"/>
              <w:spacing w:line="276" w:lineRule="auto"/>
              <w:ind w:firstLine="0"/>
              <w:rPr>
                <w:rFonts w:asciiTheme="minorEastAsia" w:eastAsiaTheme="minorEastAsia" w:hAnsiTheme="minorEastAsia"/>
                <w:sz w:val="20"/>
              </w:rPr>
            </w:pPr>
            <w:r w:rsidRPr="003B5E17">
              <w:rPr>
                <w:rFonts w:asciiTheme="minorEastAsia" w:eastAsiaTheme="minorEastAsia" w:hAnsiTheme="minorEastAsia" w:hint="eastAsia"/>
                <w:sz w:val="20"/>
              </w:rPr>
              <w:t>8</w:t>
            </w:r>
            <w:r w:rsidRPr="003B5E17">
              <w:rPr>
                <w:rFonts w:asciiTheme="minorEastAsia" w:eastAsiaTheme="minorEastAsia" w:hAnsiTheme="minorEastAsia"/>
                <w:sz w:val="20"/>
              </w:rPr>
              <w:t>.活动总结，音视频的留存等。</w:t>
            </w:r>
          </w:p>
          <w:p w:rsidR="00290A62" w:rsidRPr="003B5E17" w:rsidRDefault="00290A62" w:rsidP="00B6331B">
            <w:pPr>
              <w:pStyle w:val="a7"/>
              <w:spacing w:line="276" w:lineRule="auto"/>
              <w:ind w:firstLine="0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3B5E17">
              <w:rPr>
                <w:rFonts w:asciiTheme="minorEastAsia" w:eastAsiaTheme="minorEastAsia" w:hAnsiTheme="minorEastAsia"/>
                <w:sz w:val="20"/>
              </w:rPr>
              <w:t>9.</w:t>
            </w:r>
            <w:r w:rsidRPr="003B5E17">
              <w:rPr>
                <w:rFonts w:asciiTheme="minorEastAsia" w:eastAsiaTheme="minorEastAsia" w:hAnsiTheme="minorEastAsia" w:hint="eastAsia"/>
                <w:sz w:val="20"/>
              </w:rPr>
              <w:t>其他有利于活动开展，采购方和中标方共同协商同意的事项。</w:t>
            </w:r>
          </w:p>
        </w:tc>
      </w:tr>
      <w:bookmarkEnd w:id="0"/>
      <w:bookmarkEnd w:id="1"/>
      <w:bookmarkEnd w:id="7"/>
      <w:bookmarkEnd w:id="8"/>
    </w:tbl>
    <w:p w:rsidR="00A86D43" w:rsidRPr="00290A62" w:rsidRDefault="00A86D43"/>
    <w:sectPr w:rsidR="00A86D43" w:rsidRPr="00290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1B3" w:rsidRDefault="00D251B3" w:rsidP="00290A62">
      <w:r>
        <w:separator/>
      </w:r>
    </w:p>
  </w:endnote>
  <w:endnote w:type="continuationSeparator" w:id="0">
    <w:p w:rsidR="00D251B3" w:rsidRDefault="00D251B3" w:rsidP="0029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1B3" w:rsidRDefault="00D251B3" w:rsidP="00290A62">
      <w:r>
        <w:separator/>
      </w:r>
    </w:p>
  </w:footnote>
  <w:footnote w:type="continuationSeparator" w:id="0">
    <w:p w:rsidR="00D251B3" w:rsidRDefault="00D251B3" w:rsidP="00290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A8"/>
    <w:rsid w:val="00290A62"/>
    <w:rsid w:val="007006A8"/>
    <w:rsid w:val="00A86D43"/>
    <w:rsid w:val="00D2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E16E49-7FC1-48AE-9E12-F1F1333B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A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0A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0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0A62"/>
    <w:rPr>
      <w:sz w:val="18"/>
      <w:szCs w:val="18"/>
    </w:rPr>
  </w:style>
  <w:style w:type="paragraph" w:styleId="a7">
    <w:name w:val="Normal Indent"/>
    <w:basedOn w:val="a"/>
    <w:link w:val="a8"/>
    <w:qFormat/>
    <w:rsid w:val="00290A62"/>
    <w:pPr>
      <w:autoSpaceDE w:val="0"/>
      <w:autoSpaceDN w:val="0"/>
      <w:adjustRightInd w:val="0"/>
      <w:ind w:firstLine="420"/>
      <w:jc w:val="left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null3">
    <w:name w:val="null3"/>
    <w:hidden/>
    <w:qFormat/>
    <w:rsid w:val="00290A62"/>
    <w:rPr>
      <w:rFonts w:hint="eastAsia"/>
      <w:kern w:val="0"/>
      <w:sz w:val="20"/>
      <w:szCs w:val="20"/>
      <w:lang w:eastAsia="zh-Hans"/>
    </w:rPr>
  </w:style>
  <w:style w:type="character" w:customStyle="1" w:styleId="a8">
    <w:name w:val="正文缩进 字符"/>
    <w:link w:val="a7"/>
    <w:qFormat/>
    <w:rsid w:val="00290A62"/>
    <w:rPr>
      <w:rFonts w:ascii="宋体" w:eastAsia="宋体" w:hAnsi="Calibri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741</Characters>
  <Application>Microsoft Office Word</Application>
  <DocSecurity>0</DocSecurity>
  <Lines>6</Lines>
  <Paragraphs>1</Paragraphs>
  <ScaleCrop>false</ScaleCrop>
  <Company>P R C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2025-04-03T08:04:00Z</dcterms:created>
  <dcterms:modified xsi:type="dcterms:W3CDTF">2025-04-03T08:05:00Z</dcterms:modified>
</cp:coreProperties>
</file>