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92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45"/>
        <w:gridCol w:w="8464"/>
      </w:tblGrid>
      <w:tr w14:paraId="1CB322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5" w:type="dxa"/>
          </w:tcPr>
          <w:p w14:paraId="46EA9EB6">
            <w:pPr>
              <w:pStyle w:val="4"/>
              <w:jc w:val="center"/>
              <w:rPr>
                <w:sz w:val="24"/>
                <w:szCs w:val="24"/>
              </w:rPr>
            </w:pPr>
            <w:r>
              <w:rPr>
                <w:rFonts w:ascii="仿宋_GB2312" w:hAnsi="仿宋_GB2312" w:eastAsia="仿宋_GB2312" w:cs="仿宋_GB2312"/>
                <w:sz w:val="24"/>
                <w:szCs w:val="24"/>
              </w:rPr>
              <w:t>技术要求名称</w:t>
            </w:r>
          </w:p>
        </w:tc>
        <w:tc>
          <w:tcPr>
            <w:tcW w:w="8464" w:type="dxa"/>
          </w:tcPr>
          <w:p w14:paraId="05B1C947">
            <w:pPr>
              <w:pStyle w:val="4"/>
              <w:jc w:val="center"/>
              <w:rPr>
                <w:sz w:val="24"/>
                <w:szCs w:val="24"/>
              </w:rPr>
            </w:pPr>
            <w:r>
              <w:rPr>
                <w:rFonts w:ascii="仿宋_GB2312" w:hAnsi="仿宋_GB2312" w:eastAsia="仿宋_GB2312" w:cs="仿宋_GB2312"/>
                <w:sz w:val="24"/>
                <w:szCs w:val="24"/>
              </w:rPr>
              <w:t>技术参数与性能指标</w:t>
            </w:r>
          </w:p>
        </w:tc>
      </w:tr>
      <w:tr w14:paraId="45C611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5" w:type="dxa"/>
          </w:tcPr>
          <w:p w14:paraId="71D46848">
            <w:pPr>
              <w:pStyle w:val="4"/>
              <w:rPr>
                <w:sz w:val="24"/>
                <w:szCs w:val="24"/>
              </w:rPr>
            </w:pPr>
            <w:r>
              <w:rPr>
                <w:rFonts w:ascii="仿宋_GB2312" w:hAnsi="仿宋_GB2312" w:eastAsia="仿宋_GB2312" w:cs="仿宋_GB2312"/>
                <w:sz w:val="24"/>
                <w:szCs w:val="24"/>
              </w:rPr>
              <w:t>工程量清单编制说明</w:t>
            </w:r>
          </w:p>
        </w:tc>
        <w:tc>
          <w:tcPr>
            <w:tcW w:w="8464" w:type="dxa"/>
          </w:tcPr>
          <w:p w14:paraId="5146F8E8">
            <w:pPr>
              <w:pStyle w:val="4"/>
              <w:jc w:val="center"/>
              <w:rPr>
                <w:sz w:val="24"/>
                <w:szCs w:val="24"/>
              </w:rPr>
            </w:pPr>
            <w:r>
              <w:rPr>
                <w:rFonts w:ascii="仿宋_GB2312" w:hAnsi="仿宋_GB2312" w:eastAsia="仿宋_GB2312" w:cs="仿宋_GB2312"/>
                <w:b/>
                <w:sz w:val="24"/>
                <w:szCs w:val="24"/>
              </w:rPr>
              <w:t>工程量清单编制说明</w:t>
            </w:r>
          </w:p>
          <w:p w14:paraId="344E69F5">
            <w:pPr>
              <w:pStyle w:val="4"/>
              <w:ind w:left="360"/>
              <w:jc w:val="both"/>
              <w:rPr>
                <w:sz w:val="24"/>
                <w:szCs w:val="24"/>
              </w:rPr>
            </w:pPr>
            <w:r>
              <w:rPr>
                <w:rFonts w:ascii="仿宋_GB2312" w:hAnsi="仿宋_GB2312" w:eastAsia="仿宋_GB2312" w:cs="仿宋_GB2312"/>
                <w:b/>
                <w:sz w:val="24"/>
                <w:szCs w:val="24"/>
              </w:rPr>
              <w:t>一、工程概况</w:t>
            </w:r>
          </w:p>
          <w:p w14:paraId="53BDF547">
            <w:pPr>
              <w:pStyle w:val="4"/>
              <w:ind w:firstLine="560"/>
              <w:jc w:val="both"/>
              <w:rPr>
                <w:sz w:val="24"/>
                <w:szCs w:val="24"/>
              </w:rPr>
            </w:pPr>
            <w:r>
              <w:rPr>
                <w:rFonts w:ascii="仿宋_GB2312" w:hAnsi="仿宋_GB2312" w:eastAsia="仿宋_GB2312" w:cs="仿宋_GB2312"/>
                <w:sz w:val="24"/>
                <w:szCs w:val="24"/>
              </w:rPr>
              <w:t>项目名称：安康铁路运输检察院办案和专业技术用房(一期)顶管工程</w:t>
            </w:r>
          </w:p>
          <w:p w14:paraId="030AFDB7">
            <w:pPr>
              <w:pStyle w:val="4"/>
              <w:ind w:firstLine="560"/>
              <w:jc w:val="left"/>
              <w:rPr>
                <w:sz w:val="24"/>
                <w:szCs w:val="24"/>
              </w:rPr>
            </w:pPr>
            <w:r>
              <w:rPr>
                <w:rFonts w:ascii="仿宋_GB2312" w:hAnsi="仿宋_GB2312" w:eastAsia="仿宋_GB2312" w:cs="仿宋_GB2312"/>
                <w:sz w:val="24"/>
                <w:szCs w:val="24"/>
              </w:rPr>
              <w:t>工程地址：本工程位于陕西省安康市汉滨区江北大道80号。</w:t>
            </w:r>
          </w:p>
          <w:p w14:paraId="1881D451">
            <w:pPr>
              <w:pStyle w:val="4"/>
              <w:ind w:firstLine="560"/>
              <w:jc w:val="both"/>
              <w:rPr>
                <w:sz w:val="24"/>
                <w:szCs w:val="24"/>
              </w:rPr>
            </w:pPr>
            <w:r>
              <w:rPr>
                <w:rFonts w:ascii="仿宋_GB2312" w:hAnsi="仿宋_GB2312" w:eastAsia="仿宋_GB2312" w:cs="仿宋_GB2312"/>
                <w:sz w:val="24"/>
                <w:szCs w:val="24"/>
              </w:rPr>
              <w:t>工程内容：该项目包含顶管、工作井、接收井、检查井、管道敷设等。</w:t>
            </w:r>
          </w:p>
          <w:p w14:paraId="03152C25">
            <w:pPr>
              <w:pStyle w:val="4"/>
              <w:ind w:left="360"/>
              <w:jc w:val="both"/>
              <w:rPr>
                <w:sz w:val="24"/>
                <w:szCs w:val="24"/>
              </w:rPr>
            </w:pPr>
            <w:r>
              <w:rPr>
                <w:rFonts w:ascii="仿宋_GB2312" w:hAnsi="仿宋_GB2312" w:eastAsia="仿宋_GB2312" w:cs="仿宋_GB2312"/>
                <w:b/>
                <w:sz w:val="24"/>
                <w:szCs w:val="24"/>
              </w:rPr>
              <w:t>二、编制范围</w:t>
            </w:r>
          </w:p>
          <w:p w14:paraId="1C2E4152">
            <w:pPr>
              <w:pStyle w:val="4"/>
              <w:ind w:left="210" w:firstLine="560"/>
              <w:rPr>
                <w:sz w:val="24"/>
                <w:szCs w:val="24"/>
              </w:rPr>
            </w:pPr>
            <w:r>
              <w:rPr>
                <w:rFonts w:ascii="仿宋_GB2312" w:hAnsi="仿宋_GB2312" w:eastAsia="仿宋_GB2312" w:cs="仿宋_GB2312"/>
                <w:sz w:val="24"/>
                <w:szCs w:val="24"/>
              </w:rPr>
              <w:t>本工程编制范围为安康铁路运输检察院办案和专业技术用房(一期)图纸包含的所有内容，包括顶管、工作井、接收井、检查井、管道敷设等，具体内容详见设计图纸和工程量清单。</w:t>
            </w:r>
          </w:p>
          <w:p w14:paraId="755BD4C5">
            <w:pPr>
              <w:pStyle w:val="4"/>
              <w:ind w:left="360"/>
              <w:jc w:val="both"/>
              <w:rPr>
                <w:sz w:val="24"/>
                <w:szCs w:val="24"/>
              </w:rPr>
            </w:pPr>
            <w:r>
              <w:rPr>
                <w:rFonts w:ascii="仿宋_GB2312" w:hAnsi="仿宋_GB2312" w:eastAsia="仿宋_GB2312" w:cs="仿宋_GB2312"/>
                <w:b/>
                <w:sz w:val="24"/>
                <w:szCs w:val="24"/>
              </w:rPr>
              <w:t>三、编制依据</w:t>
            </w:r>
          </w:p>
          <w:p w14:paraId="3731EFEE">
            <w:pPr>
              <w:pStyle w:val="4"/>
              <w:numPr>
                <w:ilvl w:val="0"/>
                <w:numId w:val="1"/>
              </w:numPr>
              <w:jc w:val="both"/>
              <w:rPr>
                <w:sz w:val="24"/>
                <w:szCs w:val="24"/>
              </w:rPr>
            </w:pPr>
            <w:r>
              <w:rPr>
                <w:rFonts w:ascii="仿宋_GB2312" w:hAnsi="仿宋_GB2312" w:eastAsia="仿宋_GB2312" w:cs="仿宋_GB2312"/>
                <w:sz w:val="24"/>
                <w:szCs w:val="24"/>
              </w:rPr>
              <w:t>《安康铁路运输检察院办案和专业技术用房(一期)》图纸；</w:t>
            </w:r>
          </w:p>
          <w:p w14:paraId="0E82A1C8">
            <w:pPr>
              <w:pStyle w:val="4"/>
              <w:numPr>
                <w:ilvl w:val="0"/>
                <w:numId w:val="1"/>
              </w:numPr>
              <w:jc w:val="both"/>
              <w:rPr>
                <w:sz w:val="24"/>
                <w:szCs w:val="24"/>
              </w:rPr>
            </w:pPr>
            <w:r>
              <w:rPr>
                <w:rFonts w:ascii="仿宋_GB2312" w:hAnsi="仿宋_GB2312" w:eastAsia="仿宋_GB2312" w:cs="仿宋_GB2312"/>
                <w:sz w:val="24"/>
                <w:szCs w:val="24"/>
              </w:rPr>
              <w:t>《陕西省建设工程工程量清单计价规则》（2009）；《陕西省建筑、安装、工程消耗量定额》（2004）；《陕西省建设工程消耗量定额（2004）补充定额》（2009）；</w:t>
            </w:r>
          </w:p>
          <w:p w14:paraId="33324294">
            <w:pPr>
              <w:pStyle w:val="4"/>
              <w:numPr>
                <w:ilvl w:val="0"/>
                <w:numId w:val="1"/>
              </w:numPr>
              <w:jc w:val="both"/>
              <w:rPr>
                <w:sz w:val="24"/>
                <w:szCs w:val="24"/>
              </w:rPr>
            </w:pPr>
            <w:r>
              <w:rPr>
                <w:rFonts w:ascii="仿宋_GB2312" w:hAnsi="仿宋_GB2312" w:eastAsia="仿宋_GB2312" w:cs="仿宋_GB2312"/>
                <w:sz w:val="24"/>
                <w:szCs w:val="24"/>
              </w:rPr>
              <w:t>扬尘治理专项措施费执行陕建发[2017]270号《关于增加建设工程扬尘治理专项措施费及综合人工单价调整的通知》；</w:t>
            </w:r>
          </w:p>
          <w:p w14:paraId="2EB34124">
            <w:pPr>
              <w:pStyle w:val="4"/>
              <w:numPr>
                <w:ilvl w:val="0"/>
                <w:numId w:val="1"/>
              </w:numPr>
              <w:jc w:val="both"/>
              <w:rPr>
                <w:sz w:val="24"/>
                <w:szCs w:val="24"/>
              </w:rPr>
            </w:pPr>
            <w:r>
              <w:rPr>
                <w:rFonts w:ascii="仿宋_GB2312" w:hAnsi="仿宋_GB2312" w:eastAsia="仿宋_GB2312" w:cs="仿宋_GB2312"/>
                <w:sz w:val="24"/>
                <w:szCs w:val="24"/>
              </w:rPr>
              <w:t>税率执行陕建发〔2019〕45号《关于调整我省建设工程计价依据的通知》；</w:t>
            </w:r>
          </w:p>
          <w:p w14:paraId="0075D609">
            <w:pPr>
              <w:pStyle w:val="4"/>
              <w:numPr>
                <w:ilvl w:val="0"/>
                <w:numId w:val="1"/>
              </w:numPr>
              <w:jc w:val="both"/>
              <w:rPr>
                <w:sz w:val="24"/>
                <w:szCs w:val="24"/>
              </w:rPr>
            </w:pPr>
            <w:r>
              <w:rPr>
                <w:rFonts w:ascii="仿宋_GB2312" w:hAnsi="仿宋_GB2312" w:eastAsia="仿宋_GB2312" w:cs="仿宋_GB2312"/>
                <w:sz w:val="24"/>
                <w:szCs w:val="24"/>
              </w:rPr>
              <w:t>建筑工人实名制管理费执行陕建发〔2019〕1246号《关于发布我省落实建筑工人实名制管理计价依据的通知》；</w:t>
            </w:r>
          </w:p>
          <w:p w14:paraId="01373865">
            <w:pPr>
              <w:pStyle w:val="4"/>
              <w:numPr>
                <w:ilvl w:val="0"/>
                <w:numId w:val="1"/>
              </w:numPr>
              <w:jc w:val="both"/>
              <w:rPr>
                <w:sz w:val="24"/>
                <w:szCs w:val="24"/>
              </w:rPr>
            </w:pPr>
            <w:r>
              <w:rPr>
                <w:rFonts w:ascii="仿宋_GB2312" w:hAnsi="仿宋_GB2312" w:eastAsia="仿宋_GB2312" w:cs="仿宋_GB2312"/>
                <w:sz w:val="24"/>
                <w:szCs w:val="24"/>
              </w:rPr>
              <w:t>建筑施工安全生产责任保险费率执行陕建发（2020）1097号《关于建筑施工安全生产责任保险费用计价的通知》；</w:t>
            </w:r>
          </w:p>
          <w:p w14:paraId="1E242E6F">
            <w:pPr>
              <w:pStyle w:val="4"/>
              <w:numPr>
                <w:ilvl w:val="0"/>
                <w:numId w:val="1"/>
              </w:numPr>
              <w:jc w:val="both"/>
              <w:rPr>
                <w:sz w:val="24"/>
                <w:szCs w:val="24"/>
              </w:rPr>
            </w:pPr>
            <w:r>
              <w:rPr>
                <w:rFonts w:ascii="仿宋_GB2312" w:hAnsi="仿宋_GB2312" w:eastAsia="仿宋_GB2312" w:cs="仿宋_GB2312"/>
                <w:sz w:val="24"/>
                <w:szCs w:val="24"/>
              </w:rPr>
              <w:t>执行陕建发[2021]1021号《陕西省住房和城乡建设厅关于全省统一停止收缴建筑业劳保费用的通知》，养老保险不再扣除；</w:t>
            </w:r>
          </w:p>
          <w:p w14:paraId="5C2CF54C">
            <w:pPr>
              <w:pStyle w:val="4"/>
              <w:numPr>
                <w:ilvl w:val="0"/>
                <w:numId w:val="1"/>
              </w:numPr>
              <w:jc w:val="both"/>
              <w:rPr>
                <w:sz w:val="24"/>
                <w:szCs w:val="24"/>
              </w:rPr>
            </w:pPr>
            <w:r>
              <w:rPr>
                <w:rFonts w:ascii="仿宋_GB2312" w:hAnsi="仿宋_GB2312" w:eastAsia="仿宋_GB2312" w:cs="仿宋_GB2312"/>
                <w:sz w:val="24"/>
                <w:szCs w:val="24"/>
              </w:rPr>
              <w:t>相关的标准图集、文件及技术资料；</w:t>
            </w:r>
          </w:p>
          <w:p w14:paraId="2450668D">
            <w:pPr>
              <w:pStyle w:val="4"/>
              <w:numPr>
                <w:ilvl w:val="0"/>
                <w:numId w:val="1"/>
              </w:numPr>
              <w:jc w:val="both"/>
              <w:rPr>
                <w:sz w:val="24"/>
                <w:szCs w:val="24"/>
              </w:rPr>
            </w:pPr>
            <w:r>
              <w:rPr>
                <w:rFonts w:ascii="仿宋_GB2312" w:hAnsi="仿宋_GB2312" w:eastAsia="仿宋_GB2312" w:cs="仿宋_GB2312"/>
                <w:sz w:val="24"/>
                <w:szCs w:val="24"/>
              </w:rPr>
              <w:t>与本项目相适应的常规施工组织设计。</w:t>
            </w:r>
          </w:p>
          <w:p w14:paraId="5A811162">
            <w:pPr>
              <w:pStyle w:val="4"/>
              <w:ind w:left="360"/>
              <w:jc w:val="both"/>
              <w:rPr>
                <w:sz w:val="24"/>
                <w:szCs w:val="24"/>
              </w:rPr>
            </w:pPr>
            <w:r>
              <w:rPr>
                <w:rFonts w:ascii="仿宋_GB2312" w:hAnsi="仿宋_GB2312" w:eastAsia="仿宋_GB2312" w:cs="仿宋_GB2312"/>
                <w:b/>
                <w:sz w:val="24"/>
                <w:szCs w:val="24"/>
              </w:rPr>
              <w:t>四、其他说明</w:t>
            </w:r>
          </w:p>
          <w:p w14:paraId="1694E3B7">
            <w:pPr>
              <w:pStyle w:val="4"/>
              <w:ind w:left="210" w:firstLine="327"/>
              <w:jc w:val="both"/>
              <w:rPr>
                <w:sz w:val="24"/>
                <w:szCs w:val="24"/>
              </w:rPr>
            </w:pPr>
            <w:r>
              <w:rPr>
                <w:rFonts w:ascii="仿宋_GB2312" w:hAnsi="仿宋_GB2312" w:eastAsia="仿宋_GB2312" w:cs="仿宋_GB2312"/>
                <w:sz w:val="24"/>
                <w:szCs w:val="24"/>
              </w:rPr>
              <w:t>1.本项目暂列金3.00万元计入；</w:t>
            </w:r>
          </w:p>
          <w:p w14:paraId="11C9EB3D">
            <w:pPr>
              <w:pStyle w:val="4"/>
              <w:ind w:left="210" w:firstLine="327"/>
              <w:jc w:val="both"/>
              <w:rPr>
                <w:sz w:val="24"/>
                <w:szCs w:val="24"/>
              </w:rPr>
            </w:pPr>
            <w:r>
              <w:rPr>
                <w:rFonts w:ascii="仿宋_GB2312" w:hAnsi="仿宋_GB2312" w:eastAsia="仿宋_GB2312" w:cs="仿宋_GB2312"/>
                <w:sz w:val="24"/>
                <w:szCs w:val="24"/>
              </w:rPr>
              <w:t>2.垃圾外运暂按运距7km考虑；</w:t>
            </w:r>
          </w:p>
          <w:p w14:paraId="223EFB4A">
            <w:pPr>
              <w:pStyle w:val="4"/>
              <w:ind w:left="210" w:firstLine="327"/>
              <w:jc w:val="both"/>
              <w:rPr>
                <w:sz w:val="24"/>
                <w:szCs w:val="24"/>
              </w:rPr>
            </w:pPr>
            <w:r>
              <w:rPr>
                <w:rFonts w:ascii="仿宋_GB2312" w:hAnsi="仿宋_GB2312" w:eastAsia="仿宋_GB2312" w:cs="仿宋_GB2312"/>
                <w:sz w:val="24"/>
                <w:szCs w:val="24"/>
              </w:rPr>
              <w:t>3.编制软件采用广联达云计价平台GCCP6.0计价，版本号6.4100.23.122。</w:t>
            </w:r>
            <w:r>
              <w:rPr>
                <w:rFonts w:ascii="仿宋_GB2312" w:hAnsi="仿宋_GB2312" w:eastAsia="仿宋_GB2312" w:cs="仿宋_GB2312"/>
                <w:sz w:val="24"/>
                <w:szCs w:val="24"/>
              </w:rPr>
              <w:t xml:space="preserve"> </w:t>
            </w:r>
          </w:p>
        </w:tc>
      </w:tr>
      <w:tr w14:paraId="653D59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5" w:type="dxa"/>
          </w:tcPr>
          <w:p w14:paraId="747C3598">
            <w:pPr>
              <w:pStyle w:val="4"/>
              <w:rPr>
                <w:sz w:val="24"/>
                <w:szCs w:val="24"/>
              </w:rPr>
            </w:pPr>
            <w:r>
              <w:rPr>
                <w:rFonts w:ascii="仿宋_GB2312" w:hAnsi="仿宋_GB2312" w:eastAsia="仿宋_GB2312" w:cs="仿宋_GB2312"/>
                <w:sz w:val="24"/>
                <w:szCs w:val="24"/>
              </w:rPr>
              <w:t>工程量清单</w:t>
            </w:r>
          </w:p>
        </w:tc>
        <w:tc>
          <w:tcPr>
            <w:tcW w:w="8464" w:type="dxa"/>
          </w:tcPr>
          <w:p w14:paraId="798DC91B">
            <w:pPr>
              <w:pStyle w:val="4"/>
              <w:rPr>
                <w:sz w:val="24"/>
                <w:szCs w:val="24"/>
              </w:rPr>
            </w:pPr>
            <w:r>
              <w:rPr>
                <w:sz w:val="24"/>
                <w:szCs w:val="24"/>
              </w:rPr>
              <w:drawing>
                <wp:inline distT="0" distB="0" distL="0" distR="0">
                  <wp:extent cx="1181100" cy="1669415"/>
                  <wp:effectExtent l="0" t="0" r="0" b="6985"/>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1181100" cy="1669781"/>
                          </a:xfrm>
                          <a:prstGeom prst="rect">
                            <a:avLst/>
                          </a:prstGeom>
                        </pic:spPr>
                      </pic:pic>
                    </a:graphicData>
                  </a:graphic>
                </wp:inline>
              </w:drawing>
            </w:r>
            <w:r>
              <w:rPr>
                <w:sz w:val="24"/>
                <w:szCs w:val="24"/>
              </w:rPr>
              <w:drawing>
                <wp:inline distT="0" distB="0" distL="0" distR="0">
                  <wp:extent cx="1181100" cy="1669415"/>
                  <wp:effectExtent l="0" t="0" r="0" b="6985"/>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5"/>
                          <a:stretch>
                            <a:fillRect/>
                          </a:stretch>
                        </pic:blipFill>
                        <pic:spPr>
                          <a:xfrm>
                            <a:off x="0" y="0"/>
                            <a:ext cx="1181100" cy="1669781"/>
                          </a:xfrm>
                          <a:prstGeom prst="rect">
                            <a:avLst/>
                          </a:prstGeom>
                        </pic:spPr>
                      </pic:pic>
                    </a:graphicData>
                  </a:graphic>
                </wp:inline>
              </w:drawing>
            </w:r>
            <w:r>
              <w:rPr>
                <w:sz w:val="24"/>
                <w:szCs w:val="24"/>
              </w:rPr>
              <w:drawing>
                <wp:inline distT="0" distB="0" distL="0" distR="0">
                  <wp:extent cx="1181100" cy="1669415"/>
                  <wp:effectExtent l="0" t="0" r="0" b="6985"/>
                  <wp:docPr id="3" name="Drawing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1"/>
                          </pic:cNvPicPr>
                        </pic:nvPicPr>
                        <pic:blipFill>
                          <a:blip r:embed="rId6"/>
                          <a:stretch>
                            <a:fillRect/>
                          </a:stretch>
                        </pic:blipFill>
                        <pic:spPr>
                          <a:xfrm>
                            <a:off x="0" y="0"/>
                            <a:ext cx="1181100" cy="1669781"/>
                          </a:xfrm>
                          <a:prstGeom prst="rect">
                            <a:avLst/>
                          </a:prstGeom>
                        </pic:spPr>
                      </pic:pic>
                    </a:graphicData>
                  </a:graphic>
                </wp:inline>
              </w:drawing>
            </w:r>
            <w:r>
              <w:rPr>
                <w:sz w:val="24"/>
                <w:szCs w:val="24"/>
              </w:rPr>
              <w:drawing>
                <wp:inline distT="0" distB="0" distL="0" distR="0">
                  <wp:extent cx="1181100" cy="1669415"/>
                  <wp:effectExtent l="0" t="0" r="0" b="6985"/>
                  <wp:docPr id="4" name="Drawing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img"/>
                          <pic:cNvPicPr>
                            <a:picLocks noChangeAspect="1"/>
                          </pic:cNvPicPr>
                        </pic:nvPicPr>
                        <pic:blipFill>
                          <a:blip r:embed="rId7"/>
                          <a:stretch>
                            <a:fillRect/>
                          </a:stretch>
                        </pic:blipFill>
                        <pic:spPr>
                          <a:xfrm>
                            <a:off x="0" y="0"/>
                            <a:ext cx="1181100" cy="1669781"/>
                          </a:xfrm>
                          <a:prstGeom prst="rect">
                            <a:avLst/>
                          </a:prstGeom>
                        </pic:spPr>
                      </pic:pic>
                    </a:graphicData>
                  </a:graphic>
                </wp:inline>
              </w:drawing>
            </w:r>
            <w:r>
              <w:rPr>
                <w:sz w:val="24"/>
                <w:szCs w:val="24"/>
              </w:rPr>
              <w:drawing>
                <wp:inline distT="0" distB="0" distL="0" distR="0">
                  <wp:extent cx="1181100" cy="1669415"/>
                  <wp:effectExtent l="0" t="0" r="0" b="6985"/>
                  <wp:docPr id="5" name="Drawing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img"/>
                          <pic:cNvPicPr>
                            <a:picLocks noChangeAspect="1"/>
                          </pic:cNvPicPr>
                        </pic:nvPicPr>
                        <pic:blipFill>
                          <a:blip r:embed="rId8"/>
                          <a:stretch>
                            <a:fillRect/>
                          </a:stretch>
                        </pic:blipFill>
                        <pic:spPr>
                          <a:xfrm>
                            <a:off x="0" y="0"/>
                            <a:ext cx="1181100" cy="1669781"/>
                          </a:xfrm>
                          <a:prstGeom prst="rect">
                            <a:avLst/>
                          </a:prstGeom>
                        </pic:spPr>
                      </pic:pic>
                    </a:graphicData>
                  </a:graphic>
                </wp:inline>
              </w:drawing>
            </w:r>
            <w:r>
              <w:rPr>
                <w:sz w:val="24"/>
                <w:szCs w:val="24"/>
              </w:rPr>
              <w:drawing>
                <wp:inline distT="0" distB="0" distL="0" distR="0">
                  <wp:extent cx="1181100" cy="1669415"/>
                  <wp:effectExtent l="0" t="0" r="0" b="6985"/>
                  <wp:docPr id="6" name="Drawing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img"/>
                          <pic:cNvPicPr>
                            <a:picLocks noChangeAspect="1"/>
                          </pic:cNvPicPr>
                        </pic:nvPicPr>
                        <pic:blipFill>
                          <a:blip r:embed="rId9"/>
                          <a:stretch>
                            <a:fillRect/>
                          </a:stretch>
                        </pic:blipFill>
                        <pic:spPr>
                          <a:xfrm>
                            <a:off x="0" y="0"/>
                            <a:ext cx="1181100" cy="1669781"/>
                          </a:xfrm>
                          <a:prstGeom prst="rect">
                            <a:avLst/>
                          </a:prstGeom>
                        </pic:spPr>
                      </pic:pic>
                    </a:graphicData>
                  </a:graphic>
                </wp:inline>
              </w:drawing>
            </w:r>
            <w:r>
              <w:rPr>
                <w:sz w:val="24"/>
                <w:szCs w:val="24"/>
              </w:rPr>
              <w:drawing>
                <wp:inline distT="0" distB="0" distL="0" distR="0">
                  <wp:extent cx="1181100" cy="1669415"/>
                  <wp:effectExtent l="0" t="0" r="0" b="6985"/>
                  <wp:docPr id="7" name="Drawing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img"/>
                          <pic:cNvPicPr>
                            <a:picLocks noChangeAspect="1"/>
                          </pic:cNvPicPr>
                        </pic:nvPicPr>
                        <pic:blipFill>
                          <a:blip r:embed="rId10"/>
                          <a:stretch>
                            <a:fillRect/>
                          </a:stretch>
                        </pic:blipFill>
                        <pic:spPr>
                          <a:xfrm>
                            <a:off x="0" y="0"/>
                            <a:ext cx="1181100" cy="1669781"/>
                          </a:xfrm>
                          <a:prstGeom prst="rect">
                            <a:avLst/>
                          </a:prstGeom>
                        </pic:spPr>
                      </pic:pic>
                    </a:graphicData>
                  </a:graphic>
                </wp:inline>
              </w:drawing>
            </w:r>
          </w:p>
        </w:tc>
      </w:tr>
    </w:tbl>
    <w:p w14:paraId="0621B2F8">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decimal"/>
      <w:lvlText w:val="%1."/>
      <w:lvlJc w:val="left"/>
      <w:pPr>
        <w:ind w:left="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F6641"/>
    <w:rsid w:val="0E90676B"/>
    <w:rsid w:val="137D56B1"/>
    <w:rsid w:val="3F772F52"/>
    <w:rsid w:val="526D2D9A"/>
    <w:rsid w:val="5C1014A6"/>
    <w:rsid w:val="62570027"/>
    <w:rsid w:val="65055B18"/>
    <w:rsid w:val="681F231B"/>
    <w:rsid w:val="69FF1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1955</Words>
  <Characters>2197</Characters>
  <Lines>0</Lines>
  <Paragraphs>0</Paragraphs>
  <TotalTime>0</TotalTime>
  <ScaleCrop>false</ScaleCrop>
  <LinksUpToDate>false</LinksUpToDate>
  <CharactersWithSpaces>2202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2025-03-27T06:08:00Z</dcterms:created>
  <dc:creator>Administrator</dc:creator>
  <cp:lastModifiedBy>Fernweh</cp:lastModifiedBy>
  <dcterms:modified xsi:type="dcterms:W3CDTF">2025-04-10T10:28:34Z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eyJoZGlkIjoiYWE2YmFmNjRlODRjNTdhZjczZmIxYmNiNDAzZTI0ODAiLCJ1c2VySWQiOiIyMDMzODM5NzcifQ==</vt:lpwstr>
  </property>
  <property fmtid="{D5CDD505-2E9C-101B-9397-08002B2CF9AE}" pid="4" name="ICV">
    <vt:lpwstr>AA6EC51273A74B13A1C18EDFFEE12B2B_13</vt:lpwstr>
  </property>
</Properties>
</file>