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A67AD">
      <w:pPr>
        <w:pStyle w:val="5"/>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center"/>
        <w:textAlignment w:val="auto"/>
        <w:rPr>
          <w:rFonts w:hint="eastAsia" w:ascii="宋体" w:hAnsi="宋体" w:eastAsia="宋体" w:cs="宋体"/>
          <w:b/>
          <w:bCs/>
          <w:kern w:val="2"/>
          <w:sz w:val="44"/>
          <w:szCs w:val="44"/>
          <w:lang w:val="en-US" w:eastAsia="zh-CN"/>
        </w:rPr>
      </w:pPr>
      <w:bookmarkStart w:id="1" w:name="_GoBack"/>
      <w:r>
        <w:rPr>
          <w:rFonts w:hint="eastAsia" w:ascii="宋体" w:hAnsi="宋体" w:eastAsia="宋体" w:cs="宋体"/>
          <w:b/>
          <w:bCs/>
          <w:kern w:val="2"/>
          <w:sz w:val="44"/>
          <w:szCs w:val="44"/>
          <w:lang w:val="en-US" w:eastAsia="zh-CN"/>
        </w:rPr>
        <w:t>采购需求</w:t>
      </w:r>
    </w:p>
    <w:p w14:paraId="4A037CA9">
      <w:pPr>
        <w:keepNext w:val="0"/>
        <w:keepLines w:val="0"/>
        <w:pageBreakBefore w:val="0"/>
        <w:kinsoku/>
        <w:wordWrap/>
        <w:overflowPunct/>
        <w:topLinePunct w:val="0"/>
        <w:bidi w:val="0"/>
        <w:adjustRightInd w:val="0"/>
        <w:snapToGrid w:val="0"/>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0DEA6A9A">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国家《网络安全法》《中华人民共和国密码法》《中华人民共和国计算机信息系统安全保护条例》（国务院令第147号）、《商用密码应用安全性评估管理办法（试行）》等相关文件要求，西安市地方志办公室决定对西安市地情资料数据库开展商用密码应用安全性评估（简称“密评”）。</w:t>
      </w:r>
    </w:p>
    <w:p w14:paraId="24C46E11">
      <w:pPr>
        <w:keepNext w:val="0"/>
        <w:keepLines w:val="0"/>
        <w:pageBreakBefore w:val="0"/>
        <w:kinsoku/>
        <w:wordWrap/>
        <w:overflowPunct/>
        <w:topLinePunct w:val="0"/>
        <w:bidi w:val="0"/>
        <w:adjustRightInd w:val="0"/>
        <w:snapToGrid w:val="0"/>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二、服务内容</w:t>
      </w:r>
    </w:p>
    <w:p w14:paraId="6B57E6B5">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依据国家密码测评标准体系的要求，对升级改版后的西安市地情资料数据库开展商用密码应用安全性评估。</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4"/>
        <w:gridCol w:w="1756"/>
      </w:tblGrid>
      <w:tr w14:paraId="4755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pct"/>
            <w:noWrap w:val="0"/>
            <w:vAlign w:val="center"/>
          </w:tcPr>
          <w:p w14:paraId="45250968">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系统名称</w:t>
            </w:r>
          </w:p>
        </w:tc>
        <w:tc>
          <w:tcPr>
            <w:tcW w:w="1030" w:type="pct"/>
            <w:noWrap w:val="0"/>
            <w:vAlign w:val="center"/>
          </w:tcPr>
          <w:p w14:paraId="74648BC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等级</w:t>
            </w:r>
          </w:p>
        </w:tc>
      </w:tr>
      <w:tr w14:paraId="570B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pct"/>
            <w:noWrap w:val="0"/>
            <w:vAlign w:val="top"/>
          </w:tcPr>
          <w:p w14:paraId="787BD500">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西安市地情资料数据库</w:t>
            </w:r>
          </w:p>
        </w:tc>
        <w:tc>
          <w:tcPr>
            <w:tcW w:w="1030" w:type="pct"/>
            <w:noWrap w:val="0"/>
            <w:vAlign w:val="center"/>
          </w:tcPr>
          <w:p w14:paraId="1F97AA5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三级</w:t>
            </w:r>
          </w:p>
        </w:tc>
      </w:tr>
    </w:tbl>
    <w:p w14:paraId="10902D26">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仿宋_GB2312" w:hAnsi="仿宋_GB2312" w:eastAsia="仿宋_GB2312" w:cs="仿宋_GB2312"/>
          <w:b/>
          <w:bCs/>
          <w:color w:val="000000"/>
          <w:sz w:val="32"/>
          <w:szCs w:val="32"/>
          <w:lang w:val="en-US" w:eastAsia="zh-CN" w:bidi="zh-TW"/>
        </w:rPr>
      </w:pPr>
      <w:r>
        <w:rPr>
          <w:rFonts w:hint="eastAsia" w:ascii="仿宋_GB2312" w:hAnsi="仿宋_GB2312" w:eastAsia="仿宋_GB2312" w:cs="仿宋_GB2312"/>
          <w:b/>
          <w:bCs/>
          <w:color w:val="000000"/>
          <w:sz w:val="32"/>
          <w:szCs w:val="32"/>
          <w:lang w:val="en-US" w:eastAsia="zh-CN" w:bidi="zh-TW"/>
        </w:rPr>
        <w:t>三、技术要求</w:t>
      </w:r>
    </w:p>
    <w:p w14:paraId="48D3FFD5">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依据《信息系统密码应用基本要求》（GB/T 39786-2021）、《信息系统密码应用测评要求》</w:t>
      </w:r>
      <w:r>
        <w:rPr>
          <w:rFonts w:hint="default" w:ascii="仿宋_GB2312" w:hAnsi="仿宋_GB2312" w:eastAsia="仿宋_GB2312" w:cs="仿宋_GB2312"/>
          <w:b w:val="0"/>
          <w:bCs w:val="0"/>
          <w:sz w:val="32"/>
          <w:szCs w:val="32"/>
          <w:lang w:val="en-US" w:eastAsia="zh-CN"/>
        </w:rPr>
        <w:t>（GM/T 0115-2021）、</w:t>
      </w:r>
      <w:r>
        <w:rPr>
          <w:rFonts w:hint="eastAsia" w:ascii="仿宋_GB2312" w:hAnsi="仿宋_GB2312" w:eastAsia="仿宋_GB2312" w:cs="仿宋_GB2312"/>
          <w:b w:val="0"/>
          <w:bCs w:val="0"/>
          <w:sz w:val="32"/>
          <w:szCs w:val="32"/>
          <w:lang w:val="en-US" w:eastAsia="zh-CN"/>
        </w:rPr>
        <w:t>《信息系统密码应用测评过程指南》</w:t>
      </w:r>
      <w:r>
        <w:rPr>
          <w:rFonts w:hint="default" w:ascii="仿宋_GB2312" w:hAnsi="仿宋_GB2312" w:eastAsia="仿宋_GB2312" w:cs="仿宋_GB2312"/>
          <w:b w:val="0"/>
          <w:bCs w:val="0"/>
          <w:sz w:val="32"/>
          <w:szCs w:val="32"/>
          <w:lang w:val="en-US" w:eastAsia="zh-CN"/>
        </w:rPr>
        <w:t>（GM/T 0116-2021）</w:t>
      </w:r>
      <w:r>
        <w:rPr>
          <w:rFonts w:hint="eastAsia" w:ascii="仿宋_GB2312" w:hAnsi="仿宋_GB2312" w:eastAsia="仿宋_GB2312" w:cs="仿宋_GB2312"/>
          <w:b w:val="0"/>
          <w:bCs w:val="0"/>
          <w:sz w:val="32"/>
          <w:szCs w:val="32"/>
          <w:lang w:val="en-US" w:eastAsia="zh-CN"/>
        </w:rPr>
        <w:t>等国家关于信息系统安全等级保护的相关标准和规范要求，密评工作包含测评准备活动、方案编制活动、现场测评活动、分析与报告编制活动等内容，具体工作为以下步骤：</w:t>
      </w:r>
    </w:p>
    <w:p w14:paraId="7FF55A7A">
      <w:pPr>
        <w:keepNext w:val="0"/>
        <w:keepLines w:val="0"/>
        <w:pageBreakBefore w:val="0"/>
        <w:kinsoku/>
        <w:wordWrap/>
        <w:overflowPunct/>
        <w:topLinePunct w:val="0"/>
        <w:bidi w:val="0"/>
        <w:adjustRightInd w:val="0"/>
        <w:snapToGrid w:val="0"/>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（一）测评准备活动</w:t>
      </w:r>
    </w:p>
    <w:p w14:paraId="287B9F75">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了解被测系统的详细情况，准备测评工具，为编制测评方案做好准备。</w:t>
      </w:r>
    </w:p>
    <w:p w14:paraId="171B089B">
      <w:pPr>
        <w:keepNext w:val="0"/>
        <w:keepLines w:val="0"/>
        <w:pageBreakBefore w:val="0"/>
        <w:kinsoku/>
        <w:wordWrap/>
        <w:overflowPunct/>
        <w:topLinePunct w:val="0"/>
        <w:bidi w:val="0"/>
        <w:adjustRightInd w:val="0"/>
        <w:snapToGrid w:val="0"/>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（二）方案编制活动</w:t>
      </w:r>
    </w:p>
    <w:p w14:paraId="36E7C68C">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确定与被测系统相适应的测评对象、测评指标及测评内容等，形成测评方案，为实施现场测评提供依据。</w:t>
      </w:r>
    </w:p>
    <w:p w14:paraId="456BA75F">
      <w:pPr>
        <w:keepNext w:val="0"/>
        <w:keepLines w:val="0"/>
        <w:pageBreakBefore w:val="0"/>
        <w:kinsoku/>
        <w:wordWrap/>
        <w:overflowPunct/>
        <w:topLinePunct w:val="0"/>
        <w:bidi w:val="0"/>
        <w:adjustRightInd w:val="0"/>
        <w:snapToGrid w:val="0"/>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（三）现场测评活动</w:t>
      </w:r>
    </w:p>
    <w:p w14:paraId="22FEF921">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按照测评方案的总体要求，分步实施所有测评项目，包括单项测评、测评单元和整体测评等方面，以了解系统的真实保护情况，获取足够证据，发现系统存在的密码应用安全性问题。</w:t>
      </w:r>
    </w:p>
    <w:p w14:paraId="49405B38">
      <w:pPr>
        <w:keepNext w:val="0"/>
        <w:keepLines w:val="0"/>
        <w:pageBreakBefore w:val="0"/>
        <w:kinsoku/>
        <w:wordWrap/>
        <w:overflowPunct/>
        <w:topLinePunct w:val="0"/>
        <w:bidi w:val="0"/>
        <w:adjustRightInd w:val="0"/>
        <w:snapToGrid w:val="0"/>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（四）分析与报告编制活动</w:t>
      </w:r>
    </w:p>
    <w:p w14:paraId="13E06566">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根据现场测评结果和《信息系统密码应用基本要求》等文件的有关要求，分析被测系统面临的风险，从而给出测评结论，形成测评报告文本。</w:t>
      </w:r>
    </w:p>
    <w:p w14:paraId="3737D2C8">
      <w:pPr>
        <w:keepNext w:val="0"/>
        <w:keepLines w:val="0"/>
        <w:pageBreakBefore w:val="0"/>
        <w:numPr>
          <w:ilvl w:val="0"/>
          <w:numId w:val="1"/>
        </w:numPr>
        <w:kinsoku/>
        <w:wordWrap/>
        <w:overflowPunct/>
        <w:topLinePunct w:val="0"/>
        <w:bidi w:val="0"/>
        <w:adjustRightInd w:val="0"/>
        <w:snapToGrid w:val="0"/>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整改咨询活动</w:t>
      </w:r>
    </w:p>
    <w:p w14:paraId="10B38110">
      <w:pPr>
        <w:keepNext w:val="0"/>
        <w:keepLines w:val="0"/>
        <w:pageBreakBefore w:val="0"/>
        <w:numPr>
          <w:ilvl w:val="0"/>
          <w:numId w:val="0"/>
        </w:numPr>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以测评发现的问题为重点，编写信息系统密评整改建议；在西安市地方志办公室依据测评报告中的整改建议开展密码建设整改工作时，提供建设整改相关的咨询服务。</w:t>
      </w:r>
    </w:p>
    <w:p w14:paraId="48CEF4DD">
      <w:pPr>
        <w:keepNext w:val="0"/>
        <w:keepLines w:val="0"/>
        <w:pageBreakBefore w:val="0"/>
        <w:kinsoku/>
        <w:wordWrap/>
        <w:overflowPunct/>
        <w:topLinePunct w:val="0"/>
        <w:bidi w:val="0"/>
        <w:snapToGrid w:val="0"/>
        <w:spacing w:line="576" w:lineRule="exact"/>
        <w:textAlignment w:val="auto"/>
        <w:rPr>
          <w:rFonts w:hint="eastAsia" w:ascii="仿宋_GB2312" w:hAnsi="仿宋_GB2312" w:eastAsia="仿宋_GB2312" w:cs="仿宋_GB2312"/>
          <w:b/>
          <w:bCs/>
          <w:color w:val="000000"/>
          <w:sz w:val="32"/>
          <w:szCs w:val="32"/>
          <w:highlight w:val="none"/>
          <w:lang w:bidi="zh-TW"/>
        </w:rPr>
      </w:pPr>
      <w:r>
        <w:rPr>
          <w:rFonts w:hint="eastAsia" w:ascii="仿宋_GB2312" w:hAnsi="仿宋_GB2312" w:eastAsia="仿宋_GB2312" w:cs="仿宋_GB2312"/>
          <w:b/>
          <w:bCs/>
          <w:color w:val="000000"/>
          <w:sz w:val="32"/>
          <w:szCs w:val="32"/>
          <w:highlight w:val="none"/>
          <w:lang w:val="en-US" w:eastAsia="zh-CN" w:bidi="zh-TW"/>
        </w:rPr>
        <w:t>四</w:t>
      </w:r>
      <w:r>
        <w:rPr>
          <w:rFonts w:hint="eastAsia" w:ascii="仿宋_GB2312" w:hAnsi="仿宋_GB2312" w:eastAsia="仿宋_GB2312" w:cs="仿宋_GB2312"/>
          <w:b/>
          <w:bCs/>
          <w:color w:val="000000"/>
          <w:sz w:val="32"/>
          <w:szCs w:val="32"/>
          <w:highlight w:val="none"/>
          <w:lang w:bidi="zh-TW"/>
        </w:rPr>
        <w:t>、服务要求</w:t>
      </w:r>
    </w:p>
    <w:p w14:paraId="7ABA9239">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（一）测评阶段服务要求</w:t>
      </w:r>
    </w:p>
    <w:p w14:paraId="74FB287E">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1、服务内容保证</w:t>
      </w:r>
    </w:p>
    <w:p w14:paraId="29C3BEF6">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依据《中华人民共和国密码法》《商用密码应用安全性评估管理办法（试行）》等国家关于密码应用安全性评估的相关标准和规范要求，为西安市地情资料数据库中涉及密码应用技术、产品和服务的网络和应用的合规性、正确性、有效性进行评估，包括物理和环境安全、网络和通信安全、设备和计算安全、应用和数据安全、管理制度、人员管理、建设运行和应急处置等方面，通过测评项目的实施，根据被测信息系统安全状况，给出测评结果并提出改进建议，以确保被测信息系统达到《信息系统密码应用基本要求》的要求，为其信息资产安全和业务持续稳定运行提供保障。</w:t>
      </w:r>
    </w:p>
    <w:p w14:paraId="480C2574">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2、服务质量保证</w:t>
      </w:r>
    </w:p>
    <w:p w14:paraId="005E1A16">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0" w:firstLineChars="200"/>
        <w:jc w:val="both"/>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根据质量体系要求建立科学的质量保证体系，从人员配备、工具保障以及科学的测评方法论、工作过程等多方面保证项目实施过程的质量。通过“测评准备--方案编制--现场测评--编制测评报告”4个环节严格执行，供应商应详细描述本次项目的整体测评实施方案，包括项目概述、密评方案、测试过程中需使用测试设备清单、时间安排、阶段性文档提交和验收标准等，并在重要环节进行文档评审，保证报告结论准确性。</w:t>
      </w:r>
    </w:p>
    <w:p w14:paraId="726C3F83">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highlight w:val="none"/>
          <w:lang w:val="zh-CN" w:eastAsia="zh-CN"/>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lang w:val="zh-CN" w:eastAsia="zh-CN"/>
        </w:rPr>
        <w:t>测评工具配备</w:t>
      </w:r>
    </w:p>
    <w:p w14:paraId="051AB5FD">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密评工作过程中配备专用密评工具，可实现对数字证书合规性等进行测评，供应商应提供工具采购证明材料。</w:t>
      </w:r>
    </w:p>
    <w:p w14:paraId="1E9053BB">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highlight w:val="none"/>
          <w:lang w:val="zh-CN" w:eastAsia="zh-CN"/>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lang w:val="zh-CN" w:eastAsia="zh-CN"/>
        </w:rPr>
        <w:t>测评人员配备</w:t>
      </w:r>
    </w:p>
    <w:p w14:paraId="2B3CDE4D">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密评人员不少于2人，项目负责人与项目组成员要求具备“商用密码应用安全性评估人员测评能力考核合格证书”和注册信息安全专业人员</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eastAsia="zh-CN"/>
        </w:rPr>
        <w:t>密码技术专家资质；配备项目质量负责人，要求质量负责人具有中级及以上测评师证书。</w:t>
      </w:r>
    </w:p>
    <w:p w14:paraId="74791837">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（二）整改咨询阶段服务要求</w:t>
      </w:r>
    </w:p>
    <w:p w14:paraId="428CBECE">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自合同签订之日起1年内，供应商应配合采购人开展密码应用安全整改工作，对整改工作提出规划和建议，整改过程中对整改结果进行测评。</w:t>
      </w:r>
    </w:p>
    <w:p w14:paraId="46DB76C5">
      <w:pPr>
        <w:pStyle w:val="10"/>
        <w:keepNext w:val="0"/>
        <w:keepLines w:val="0"/>
        <w:pageBreakBefore w:val="0"/>
        <w:widowControl w:val="0"/>
        <w:tabs>
          <w:tab w:val="left" w:pos="1301"/>
        </w:tabs>
        <w:kinsoku/>
        <w:wordWrap/>
        <w:overflowPunct/>
        <w:topLinePunct w:val="0"/>
        <w:autoSpaceDE w:val="0"/>
        <w:autoSpaceDN w:val="0"/>
        <w:bidi w:val="0"/>
        <w:adjustRightInd/>
        <w:snapToGrid w:val="0"/>
        <w:spacing w:line="576" w:lineRule="exact"/>
        <w:ind w:left="0" w:leftChars="0" w:right="0" w:rightChars="0"/>
        <w:textAlignment w:val="auto"/>
        <w:rPr>
          <w:rFonts w:hint="eastAsia" w:ascii="仿宋_GB2312" w:hAnsi="仿宋_GB2312" w:eastAsia="仿宋_GB2312" w:cs="仿宋_GB2312"/>
          <w:b/>
          <w:color w:val="000000"/>
          <w:sz w:val="32"/>
          <w:szCs w:val="32"/>
          <w:highlight w:val="none"/>
          <w:lang w:val="zh-CN" w:bidi="zh-CN"/>
        </w:rPr>
      </w:pPr>
      <w:r>
        <w:rPr>
          <w:rFonts w:hint="eastAsia" w:ascii="仿宋_GB2312" w:hAnsi="仿宋_GB2312" w:eastAsia="仿宋_GB2312" w:cs="仿宋_GB2312"/>
          <w:b/>
          <w:color w:val="000000"/>
          <w:sz w:val="32"/>
          <w:szCs w:val="32"/>
          <w:highlight w:val="none"/>
          <w:lang w:val="en-US" w:bidi="zh-CN"/>
        </w:rPr>
        <w:t>（三）</w:t>
      </w:r>
      <w:r>
        <w:rPr>
          <w:rFonts w:hint="eastAsia" w:ascii="仿宋_GB2312" w:hAnsi="仿宋_GB2312" w:eastAsia="仿宋_GB2312" w:cs="仿宋_GB2312"/>
          <w:b/>
          <w:color w:val="000000"/>
          <w:sz w:val="32"/>
          <w:szCs w:val="32"/>
          <w:highlight w:val="none"/>
          <w:lang w:val="zh-CN" w:bidi="zh-CN"/>
        </w:rPr>
        <w:t>其它服务要求</w:t>
      </w:r>
    </w:p>
    <w:p w14:paraId="3AE2BA9E">
      <w:pPr>
        <w:pStyle w:val="10"/>
        <w:keepNext w:val="0"/>
        <w:keepLines w:val="0"/>
        <w:pageBreakBefore w:val="0"/>
        <w:widowControl w:val="0"/>
        <w:tabs>
          <w:tab w:val="left" w:pos="1301"/>
        </w:tabs>
        <w:kinsoku/>
        <w:wordWrap/>
        <w:overflowPunct/>
        <w:topLinePunct w:val="0"/>
        <w:autoSpaceDE w:val="0"/>
        <w:autoSpaceDN w:val="0"/>
        <w:bidi w:val="0"/>
        <w:adjustRightInd/>
        <w:snapToGrid w:val="0"/>
        <w:spacing w:line="576" w:lineRule="exact"/>
        <w:ind w:left="0" w:leftChars="0" w:right="0" w:rightChars="0"/>
        <w:textAlignment w:val="auto"/>
        <w:rPr>
          <w:rFonts w:hint="eastAsia" w:ascii="仿宋_GB2312" w:hAnsi="仿宋_GB2312" w:eastAsia="仿宋_GB2312" w:cs="仿宋_GB2312"/>
          <w:b/>
          <w:bCs/>
          <w:color w:val="000000"/>
          <w:spacing w:val="-1"/>
          <w:sz w:val="32"/>
          <w:szCs w:val="32"/>
          <w:highlight w:val="none"/>
        </w:rPr>
      </w:pPr>
      <w:r>
        <w:rPr>
          <w:rFonts w:hint="eastAsia" w:ascii="仿宋_GB2312" w:hAnsi="仿宋_GB2312" w:eastAsia="仿宋_GB2312" w:cs="仿宋_GB2312"/>
          <w:b/>
          <w:bCs/>
          <w:color w:val="000000"/>
          <w:spacing w:val="-1"/>
          <w:sz w:val="32"/>
          <w:szCs w:val="32"/>
          <w:highlight w:val="none"/>
          <w:lang w:val="en-US" w:eastAsia="zh-CN"/>
        </w:rPr>
        <w:t>1.</w:t>
      </w:r>
      <w:r>
        <w:rPr>
          <w:rFonts w:hint="eastAsia" w:ascii="仿宋_GB2312" w:hAnsi="仿宋_GB2312" w:eastAsia="仿宋_GB2312" w:cs="仿宋_GB2312"/>
          <w:b/>
          <w:bCs/>
          <w:color w:val="000000"/>
          <w:spacing w:val="-1"/>
          <w:sz w:val="32"/>
          <w:szCs w:val="32"/>
          <w:highlight w:val="none"/>
        </w:rPr>
        <w:t>配合检查服务</w:t>
      </w:r>
    </w:p>
    <w:p w14:paraId="2E12F6F6">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合同签订之日起1年内，供应商应协助采购人响应网信部门、密码管理部门、公安机关、审计机构、单位内部以及第三方机构针对信息系统安全和密码应用安全的检查工作。服务内容包括协助客户准备、完善各类资料文档，配合检查过程中的答疑及技术支持及其他现场检查的响应。</w:t>
      </w:r>
    </w:p>
    <w:p w14:paraId="47BFCE71">
      <w:pPr>
        <w:pStyle w:val="10"/>
        <w:keepNext w:val="0"/>
        <w:keepLines w:val="0"/>
        <w:pageBreakBefore w:val="0"/>
        <w:widowControl w:val="0"/>
        <w:tabs>
          <w:tab w:val="left" w:pos="1301"/>
        </w:tabs>
        <w:kinsoku/>
        <w:wordWrap/>
        <w:overflowPunct/>
        <w:topLinePunct w:val="0"/>
        <w:autoSpaceDE w:val="0"/>
        <w:autoSpaceDN w:val="0"/>
        <w:bidi w:val="0"/>
        <w:adjustRightInd/>
        <w:snapToGrid w:val="0"/>
        <w:spacing w:line="576" w:lineRule="exact"/>
        <w:ind w:left="0" w:leftChars="0" w:right="0" w:rightChars="0"/>
        <w:textAlignment w:val="auto"/>
        <w:rPr>
          <w:rFonts w:hint="eastAsia" w:ascii="仿宋_GB2312" w:hAnsi="仿宋_GB2312" w:eastAsia="仿宋_GB2312" w:cs="仿宋_GB2312"/>
          <w:b/>
          <w:bCs/>
          <w:color w:val="000000"/>
          <w:spacing w:val="-1"/>
          <w:sz w:val="32"/>
          <w:szCs w:val="32"/>
          <w:highlight w:val="none"/>
        </w:rPr>
      </w:pPr>
      <w:r>
        <w:rPr>
          <w:rFonts w:hint="eastAsia" w:ascii="仿宋_GB2312" w:hAnsi="仿宋_GB2312" w:eastAsia="仿宋_GB2312" w:cs="仿宋_GB2312"/>
          <w:b/>
          <w:bCs/>
          <w:color w:val="000000"/>
          <w:spacing w:val="-1"/>
          <w:sz w:val="32"/>
          <w:szCs w:val="32"/>
          <w:highlight w:val="none"/>
          <w:lang w:val="en-US" w:eastAsia="zh-CN"/>
        </w:rPr>
        <w:t>2.</w:t>
      </w:r>
      <w:r>
        <w:rPr>
          <w:rFonts w:hint="eastAsia" w:ascii="仿宋_GB2312" w:hAnsi="仿宋_GB2312" w:eastAsia="仿宋_GB2312" w:cs="仿宋_GB2312"/>
          <w:b/>
          <w:bCs/>
          <w:color w:val="000000"/>
          <w:spacing w:val="-1"/>
          <w:sz w:val="32"/>
          <w:szCs w:val="32"/>
          <w:highlight w:val="none"/>
        </w:rPr>
        <w:t>电话支持服务</w:t>
      </w:r>
    </w:p>
    <w:p w14:paraId="5D3E1409">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合同签订之日起1年内，供应商应提供7×24小时电话支持服务，解答采购人在使用过程中遇到的问题，及时提出解决问题的建议和操作方法。电话响应时间不超过10分钟，到达现场时间不超过2小时，解决问题不超过24小时。</w:t>
      </w:r>
    </w:p>
    <w:p w14:paraId="38A28E8B">
      <w:pPr>
        <w:pStyle w:val="10"/>
        <w:keepNext w:val="0"/>
        <w:keepLines w:val="0"/>
        <w:pageBreakBefore w:val="0"/>
        <w:widowControl w:val="0"/>
        <w:tabs>
          <w:tab w:val="left" w:pos="1301"/>
        </w:tabs>
        <w:kinsoku/>
        <w:wordWrap/>
        <w:overflowPunct/>
        <w:topLinePunct w:val="0"/>
        <w:autoSpaceDE w:val="0"/>
        <w:autoSpaceDN w:val="0"/>
        <w:bidi w:val="0"/>
        <w:adjustRightInd/>
        <w:snapToGrid w:val="0"/>
        <w:spacing w:line="576" w:lineRule="exact"/>
        <w:ind w:left="0" w:leftChars="0" w:right="0" w:rightChars="0"/>
        <w:textAlignment w:val="auto"/>
        <w:rPr>
          <w:rFonts w:hint="eastAsia" w:ascii="仿宋_GB2312" w:hAnsi="仿宋_GB2312" w:eastAsia="仿宋_GB2312" w:cs="仿宋_GB2312"/>
          <w:b/>
          <w:bCs/>
          <w:color w:val="000000"/>
          <w:spacing w:val="-1"/>
          <w:sz w:val="32"/>
          <w:szCs w:val="32"/>
          <w:highlight w:val="none"/>
        </w:rPr>
      </w:pPr>
      <w:r>
        <w:rPr>
          <w:rFonts w:hint="eastAsia" w:ascii="仿宋_GB2312" w:hAnsi="仿宋_GB2312" w:eastAsia="仿宋_GB2312" w:cs="仿宋_GB2312"/>
          <w:b/>
          <w:bCs/>
          <w:color w:val="000000"/>
          <w:spacing w:val="-1"/>
          <w:sz w:val="32"/>
          <w:szCs w:val="32"/>
          <w:highlight w:val="none"/>
          <w:lang w:val="en-US" w:eastAsia="zh-CN"/>
        </w:rPr>
        <w:t>3.</w:t>
      </w:r>
      <w:r>
        <w:rPr>
          <w:rFonts w:hint="eastAsia" w:ascii="仿宋_GB2312" w:hAnsi="仿宋_GB2312" w:eastAsia="仿宋_GB2312" w:cs="仿宋_GB2312"/>
          <w:b/>
          <w:bCs/>
          <w:color w:val="000000"/>
          <w:spacing w:val="-1"/>
          <w:sz w:val="32"/>
          <w:szCs w:val="32"/>
          <w:highlight w:val="none"/>
        </w:rPr>
        <w:t>技术咨询服务</w:t>
      </w:r>
    </w:p>
    <w:p w14:paraId="4058A886">
      <w:pPr>
        <w:keepNext w:val="0"/>
        <w:keepLines w:val="0"/>
        <w:pageBreakBefore w:val="0"/>
        <w:kinsoku/>
        <w:wordWrap/>
        <w:overflowPunct/>
        <w:topLinePunct w:val="0"/>
        <w:bidi w:val="0"/>
        <w:snapToGrid w:val="0"/>
        <w:spacing w:line="576" w:lineRule="exact"/>
        <w:ind w:firstLine="640" w:firstLineChars="200"/>
        <w:textAlignment w:val="auto"/>
        <w:rPr>
          <w:rFonts w:hint="eastAsia" w:ascii="宋体" w:hAnsi="宋体" w:cs="宋体"/>
          <w:b w:val="0"/>
          <w:bCs w:val="0"/>
          <w:color w:val="000000"/>
          <w:sz w:val="24"/>
          <w:szCs w:val="24"/>
          <w:highlight w:val="none"/>
          <w:lang w:val="en-US" w:eastAsia="zh-CN" w:bidi="zh-TW"/>
        </w:rPr>
      </w:pPr>
      <w:r>
        <w:rPr>
          <w:rFonts w:hint="eastAsia" w:ascii="仿宋_GB2312" w:hAnsi="仿宋_GB2312" w:eastAsia="仿宋_GB2312" w:cs="仿宋_GB2312"/>
          <w:b w:val="0"/>
          <w:bCs w:val="0"/>
          <w:color w:val="000000"/>
          <w:sz w:val="32"/>
          <w:szCs w:val="32"/>
          <w:highlight w:val="none"/>
          <w:lang w:val="en-US" w:eastAsia="zh-CN"/>
        </w:rPr>
        <w:t>自合同签订之日起1年内，供应商应为采购人提供技术咨询服务，包括信息系统整改建设咨询服务以及其他相关安全咨询服务，一旦接到采购人的服务请求，技术服务工程师应立即开始提供服务，帮助采购人解决信息安全相关技术问题，全面配合做好业务系统全保障工作。</w:t>
      </w:r>
    </w:p>
    <w:p w14:paraId="0796345E">
      <w:pPr>
        <w:keepNext w:val="0"/>
        <w:keepLines w:val="0"/>
        <w:pageBreakBefore w:val="0"/>
        <w:kinsoku/>
        <w:wordWrap/>
        <w:overflowPunct/>
        <w:topLinePunct w:val="0"/>
        <w:bidi w:val="0"/>
        <w:snapToGrid w:val="0"/>
        <w:spacing w:line="576" w:lineRule="exact"/>
        <w:textAlignment w:val="auto"/>
        <w:rPr>
          <w:rFonts w:hint="eastAsia" w:ascii="仿宋_GB2312" w:hAnsi="仿宋_GB2312" w:eastAsia="仿宋_GB2312" w:cs="仿宋_GB2312"/>
          <w:b/>
          <w:bCs/>
          <w:color w:val="000000"/>
          <w:sz w:val="32"/>
          <w:szCs w:val="32"/>
          <w:highlight w:val="none"/>
          <w:lang w:bidi="zh-TW"/>
        </w:rPr>
      </w:pPr>
      <w:r>
        <w:rPr>
          <w:rFonts w:hint="eastAsia" w:ascii="仿宋_GB2312" w:hAnsi="仿宋_GB2312" w:eastAsia="仿宋_GB2312" w:cs="仿宋_GB2312"/>
          <w:b/>
          <w:bCs/>
          <w:color w:val="000000"/>
          <w:sz w:val="32"/>
          <w:szCs w:val="32"/>
          <w:highlight w:val="none"/>
          <w:lang w:val="en-US" w:eastAsia="zh-CN" w:bidi="zh-TW"/>
        </w:rPr>
        <w:t>五、</w:t>
      </w:r>
      <w:r>
        <w:rPr>
          <w:rFonts w:hint="eastAsia" w:ascii="仿宋_GB2312" w:hAnsi="仿宋_GB2312" w:eastAsia="仿宋_GB2312" w:cs="仿宋_GB2312"/>
          <w:b/>
          <w:bCs/>
          <w:color w:val="000000"/>
          <w:sz w:val="32"/>
          <w:szCs w:val="32"/>
          <w:highlight w:val="none"/>
          <w:lang w:bidi="zh-TW"/>
        </w:rPr>
        <w:t>商务要求</w:t>
      </w:r>
    </w:p>
    <w:p w14:paraId="34AA5B59">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（一）服务期限</w:t>
      </w:r>
    </w:p>
    <w:p w14:paraId="70717800">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在签订合同后90个工作日内完成测评工作，在通过验收后提供一年的质保服务。</w:t>
      </w:r>
    </w:p>
    <w:p w14:paraId="5048AB21">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说明：初次测评完成后，如测评结果未达标，供应商须出具整改建议并协助有关方做好整改。整改完成后进行复评，直至测评达到要求。</w:t>
      </w:r>
    </w:p>
    <w:p w14:paraId="5431077B">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（二）款项结算</w:t>
      </w:r>
    </w:p>
    <w:p w14:paraId="7A1A8E71">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合同签订生效后一个月内支付合同总价款的50%。测评服务完成并提交成果报告后进行验收。验收合格后，一个月内支付合同总价款的50%。</w:t>
      </w:r>
    </w:p>
    <w:p w14:paraId="6754B7AF">
      <w:pPr>
        <w:keepNext w:val="0"/>
        <w:keepLines w:val="0"/>
        <w:pageBreakBefore w:val="0"/>
        <w:kinsoku/>
        <w:wordWrap/>
        <w:overflowPunct/>
        <w:topLinePunct w:val="0"/>
        <w:bidi w:val="0"/>
        <w:snapToGrid w:val="0"/>
        <w:spacing w:line="576" w:lineRule="exact"/>
        <w:textAlignment w:val="auto"/>
        <w:rPr>
          <w:rFonts w:hint="eastAsia" w:ascii="仿宋_GB2312" w:hAnsi="仿宋_GB2312" w:eastAsia="仿宋_GB2312" w:cs="仿宋_GB2312"/>
          <w:b/>
          <w:bCs/>
          <w:color w:val="000000"/>
          <w:sz w:val="32"/>
          <w:szCs w:val="32"/>
          <w:highlight w:val="none"/>
          <w:lang w:bidi="zh-TW"/>
        </w:rPr>
      </w:pPr>
      <w:r>
        <w:rPr>
          <w:rFonts w:hint="eastAsia" w:ascii="仿宋_GB2312" w:hAnsi="仿宋_GB2312" w:eastAsia="仿宋_GB2312" w:cs="仿宋_GB2312"/>
          <w:b/>
          <w:bCs/>
          <w:color w:val="000000"/>
          <w:sz w:val="32"/>
          <w:szCs w:val="32"/>
          <w:highlight w:val="none"/>
          <w:lang w:val="en-US" w:eastAsia="zh-CN" w:bidi="zh-TW"/>
        </w:rPr>
        <w:t>六</w:t>
      </w:r>
      <w:r>
        <w:rPr>
          <w:rFonts w:hint="eastAsia" w:ascii="仿宋_GB2312" w:hAnsi="仿宋_GB2312" w:eastAsia="仿宋_GB2312" w:cs="仿宋_GB2312"/>
          <w:b/>
          <w:bCs/>
          <w:color w:val="000000"/>
          <w:sz w:val="32"/>
          <w:szCs w:val="32"/>
          <w:highlight w:val="none"/>
          <w:lang w:bidi="zh-TW"/>
        </w:rPr>
        <w:t>、其他</w:t>
      </w:r>
    </w:p>
    <w:p w14:paraId="47C73991">
      <w:pPr>
        <w:keepNext w:val="0"/>
        <w:keepLines w:val="0"/>
        <w:pageBreakBefore w:val="0"/>
        <w:kinsoku/>
        <w:wordWrap/>
        <w:overflowPunct/>
        <w:topLinePunct w:val="0"/>
        <w:bidi w:val="0"/>
        <w:snapToGrid w:val="0"/>
        <w:spacing w:line="576" w:lineRule="exact"/>
        <w:ind w:firstLine="643" w:firstLineChars="200"/>
        <w:textAlignment w:val="auto"/>
        <w:rPr>
          <w:rFonts w:hint="eastAsia" w:ascii="仿宋_GB2312" w:hAnsi="仿宋_GB2312" w:eastAsia="仿宋_GB2312" w:cs="仿宋_GB2312"/>
          <w:b/>
          <w:bCs/>
          <w:color w:val="000000"/>
          <w:sz w:val="32"/>
          <w:szCs w:val="32"/>
          <w:highlight w:val="none"/>
          <w:lang w:val="en-US" w:eastAsia="zh-CN" w:bidi="zh-TW"/>
        </w:rPr>
      </w:pPr>
      <w:r>
        <w:rPr>
          <w:rFonts w:hint="eastAsia" w:ascii="仿宋_GB2312" w:hAnsi="仿宋_GB2312" w:eastAsia="仿宋_GB2312" w:cs="仿宋_GB2312"/>
          <w:b/>
          <w:bCs/>
          <w:color w:val="000000"/>
          <w:sz w:val="32"/>
          <w:szCs w:val="32"/>
          <w:highlight w:val="none"/>
          <w:lang w:val="en-US" w:eastAsia="zh-CN" w:bidi="zh-TW"/>
        </w:rPr>
        <w:t>（一）成果交付要求</w:t>
      </w:r>
    </w:p>
    <w:p w14:paraId="438E1461">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在本次测评项目完成后，供应商须出具《商用密码应用安全性评估报告》，整理项目过程中所有相关的过程文档，提交西安市地方志办公室。</w:t>
      </w:r>
    </w:p>
    <w:p w14:paraId="66B0836F">
      <w:pPr>
        <w:keepNext w:val="0"/>
        <w:keepLines w:val="0"/>
        <w:pageBreakBefore w:val="0"/>
        <w:kinsoku/>
        <w:wordWrap/>
        <w:overflowPunct/>
        <w:topLinePunct w:val="0"/>
        <w:bidi w:val="0"/>
        <w:snapToGrid w:val="0"/>
        <w:spacing w:line="576" w:lineRule="exac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 xml:space="preserve">  </w:t>
      </w:r>
      <w:r>
        <w:rPr>
          <w:rFonts w:hint="eastAsia" w:ascii="仿宋_GB2312" w:hAnsi="仿宋_GB2312" w:eastAsia="仿宋_GB2312" w:cs="仿宋_GB2312"/>
          <w:b/>
          <w:bCs/>
          <w:color w:val="000000"/>
          <w:sz w:val="32"/>
          <w:szCs w:val="32"/>
          <w:highlight w:val="none"/>
          <w:lang w:val="en-US" w:eastAsia="zh-CN"/>
        </w:rPr>
        <w:t xml:space="preserve">  </w:t>
      </w:r>
      <w:bookmarkStart w:id="0" w:name="_Toc285531235"/>
      <w:bookmarkEnd w:id="0"/>
      <w:r>
        <w:rPr>
          <w:rFonts w:hint="eastAsia" w:ascii="仿宋_GB2312" w:hAnsi="仿宋_GB2312" w:eastAsia="仿宋_GB2312" w:cs="仿宋_GB2312"/>
          <w:b/>
          <w:bCs/>
          <w:color w:val="000000"/>
          <w:sz w:val="32"/>
          <w:szCs w:val="32"/>
          <w:highlight w:val="none"/>
          <w:lang w:val="en-US" w:eastAsia="zh-CN"/>
        </w:rPr>
        <w:t>（二）违约责任</w:t>
      </w:r>
    </w:p>
    <w:p w14:paraId="42B6AAB6">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1.按《中华人民共和国民法典》中的相关条款执行。</w:t>
      </w:r>
    </w:p>
    <w:p w14:paraId="123FFED0">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2.未按合同要求提供的设备质量不能满足合同技术要求，采购人有权终止合同并对供应商的违约行为进行追究。</w:t>
      </w:r>
    </w:p>
    <w:p w14:paraId="6D442442">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3.供应商不能按期完成工作任务，须按采购人已支付金额的双倍返还于采购人，作为赔偿。如因采购人原因导致工作任务不能按计划完成，供应商不用承担赔偿责任。</w:t>
      </w:r>
    </w:p>
    <w:p w14:paraId="6444F357">
      <w:pPr>
        <w:keepNext w:val="0"/>
        <w:keepLines w:val="0"/>
        <w:pageBreakBefore w:val="0"/>
        <w:kinsoku/>
        <w:wordWrap/>
        <w:overflowPunct/>
        <w:topLinePunct w:val="0"/>
        <w:bidi w:val="0"/>
        <w:snapToGrid w:val="0"/>
        <w:spacing w:line="576" w:lineRule="exact"/>
        <w:textAlignment w:val="auto"/>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89765"/>
    <w:multiLevelType w:val="singleLevel"/>
    <w:tmpl w:val="F938976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70B8A"/>
    <w:rsid w:val="3E1E037D"/>
    <w:rsid w:val="543E3EC1"/>
    <w:rsid w:val="656C55A9"/>
    <w:rsid w:val="70113CA5"/>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
    <w:qFormat/>
    <w:uiPriority w:val="0"/>
    <w:pPr>
      <w:keepNext/>
      <w:spacing w:line="700" w:lineRule="exact"/>
      <w:jc w:val="center"/>
      <w:outlineLvl w:val="0"/>
    </w:pPr>
    <w:rPr>
      <w:rFonts w:ascii="黑体" w:hAnsi="黑体" w:eastAsia="宋体"/>
      <w:b/>
      <w:sz w:val="44"/>
    </w:rPr>
  </w:style>
  <w:style w:type="paragraph" w:styleId="4">
    <w:name w:val="heading 2"/>
    <w:basedOn w:val="1"/>
    <w:next w:val="1"/>
    <w:link w:val="9"/>
    <w:semiHidden/>
    <w:unhideWhenUsed/>
    <w:qFormat/>
    <w:uiPriority w:val="0"/>
    <w:pPr>
      <w:keepNext/>
      <w:spacing w:line="700" w:lineRule="exact"/>
      <w:outlineLvl w:val="1"/>
    </w:pPr>
    <w:rPr>
      <w:rFonts w:ascii="黑体" w:hAnsi="黑体" w:eastAsia="宋体"/>
      <w:b/>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kern w:val="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标题 1 Char"/>
    <w:link w:val="3"/>
    <w:qFormat/>
    <w:uiPriority w:val="0"/>
    <w:rPr>
      <w:rFonts w:ascii="黑体" w:hAnsi="黑体" w:eastAsia="宋体"/>
      <w:b/>
      <w:sz w:val="44"/>
    </w:rPr>
  </w:style>
  <w:style w:type="character" w:customStyle="1" w:styleId="9">
    <w:name w:val="标题 2 Char"/>
    <w:link w:val="4"/>
    <w:qFormat/>
    <w:uiPriority w:val="0"/>
    <w:rPr>
      <w:rFonts w:ascii="黑体" w:hAnsi="黑体" w:eastAsia="宋体"/>
      <w:b/>
      <w:sz w:val="44"/>
    </w:rPr>
  </w:style>
  <w:style w:type="paragraph" w:customStyle="1" w:styleId="10">
    <w:name w:val="列表段落2"/>
    <w:basedOn w:val="1"/>
    <w:qFormat/>
    <w:uiPriority w:val="99"/>
    <w:pPr>
      <w:autoSpaceDE/>
      <w:autoSpaceDN/>
      <w:ind w:firstLine="420" w:firstLineChars="200"/>
      <w:jc w:val="both"/>
    </w:pPr>
    <w:rPr>
      <w:rFonts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Words>
  <Characters>258</Characters>
  <Lines>0</Lines>
  <Paragraphs>0</Paragraphs>
  <TotalTime>0</TotalTime>
  <ScaleCrop>false</ScaleCrop>
  <LinksUpToDate>false</LinksUpToDate>
  <CharactersWithSpaces>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123</cp:lastModifiedBy>
  <dcterms:modified xsi:type="dcterms:W3CDTF">2025-04-23T07:16:47Z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