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OLE_LINK9"/>
      <w:r>
        <w:rPr>
          <w:rFonts w:hint="eastAsia"/>
          <w:sz w:val="28"/>
          <w:szCs w:val="28"/>
        </w:rPr>
        <w:t>政府采购项目</w:t>
      </w:r>
    </w:p>
    <w:p>
      <w:pPr>
        <w:adjustRightInd w:val="0"/>
        <w:snapToGrid w:val="0"/>
        <w:spacing w:line="360" w:lineRule="auto"/>
        <w:jc w:val="left"/>
        <w:rPr>
          <w:rFonts w:ascii="宋体" w:hAnsi="宋体" w:cs="宋体"/>
          <w:b/>
          <w:bCs/>
          <w:sz w:val="30"/>
        </w:rPr>
      </w:pPr>
      <w:r>
        <w:rPr>
          <w:rFonts w:hint="eastAsia" w:ascii="宋体" w:hAnsi="宋体" w:cs="宋体"/>
          <w:b/>
          <w:sz w:val="30"/>
        </w:rPr>
        <w:t>项目编号：</w:t>
      </w:r>
      <w:r>
        <w:rPr>
          <w:rFonts w:hint="eastAsia" w:ascii="宋体" w:hAnsi="宋体" w:cs="宋体"/>
          <w:b/>
          <w:bCs/>
          <w:kern w:val="0"/>
          <w:sz w:val="24"/>
          <w:szCs w:val="24"/>
        </w:rPr>
        <w:t>SXWZ2025ZB-ETYY-127</w:t>
      </w:r>
    </w:p>
    <w:p>
      <w:pPr>
        <w:adjustRightInd w:val="0"/>
        <w:snapToGrid w:val="0"/>
        <w:spacing w:line="360" w:lineRule="auto"/>
        <w:rPr>
          <w:rFonts w:ascii="宋体" w:hAnsi="宋体" w:cs="宋体"/>
          <w:b/>
          <w:sz w:val="44"/>
          <w:szCs w:val="44"/>
        </w:rPr>
      </w:pPr>
    </w:p>
    <w:p>
      <w:pPr>
        <w:pStyle w:val="6"/>
        <w:spacing w:line="960" w:lineRule="auto"/>
        <w:jc w:val="center"/>
      </w:pPr>
      <w:r>
        <w:rPr>
          <w:rFonts w:hint="eastAsia" w:ascii="宋体" w:hAnsi="宋体" w:cs="宋体"/>
          <w:b/>
          <w:sz w:val="48"/>
          <w:szCs w:val="48"/>
        </w:rPr>
        <w:t>西安市儿童医院西门院区门诊楼及住院二部楼顶发光字拆除设计安装项目</w:t>
      </w:r>
    </w:p>
    <w:p>
      <w:pPr>
        <w:pStyle w:val="6"/>
      </w:pP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61312" behindDoc="1" locked="0" layoutInCell="1" allowOverlap="1">
            <wp:simplePos x="0" y="0"/>
            <wp:positionH relativeFrom="column">
              <wp:posOffset>1568450</wp:posOffset>
            </wp:positionH>
            <wp:positionV relativeFrom="paragraph">
              <wp:posOffset>305435</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9"/>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人：西安市儿童医院</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二〇二五年五月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18"/>
        <w:tabs>
          <w:tab w:val="right" w:leader="dot" w:pos="8306"/>
        </w:tabs>
        <w:spacing w:line="360" w:lineRule="auto"/>
        <w:jc w:val="center"/>
        <w:rPr>
          <w:rFonts w:ascii="宋体" w:hAnsi="宋体" w:cs="宋体"/>
          <w:b/>
          <w:bCs/>
          <w:sz w:val="40"/>
          <w:szCs w:val="40"/>
        </w:rPr>
      </w:pPr>
      <w:r>
        <w:rPr>
          <w:rFonts w:hint="eastAsia" w:ascii="宋体" w:hAnsi="宋体" w:cs="宋体"/>
          <w:b/>
          <w:bCs/>
          <w:sz w:val="40"/>
          <w:szCs w:val="40"/>
        </w:rPr>
        <w:t>目  录</w:t>
      </w:r>
    </w:p>
    <w:p>
      <w:pPr>
        <w:pStyle w:val="18"/>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fldChar w:fldCharType="begin"/>
      </w:r>
      <w:r>
        <w:instrText xml:space="preserve"> HYPERLINK \l "_Toc683" </w:instrText>
      </w:r>
      <w:r>
        <w:fldChar w:fldCharType="separate"/>
      </w:r>
      <w:r>
        <w:rPr>
          <w:rFonts w:hint="eastAsia" w:ascii="宋体" w:hAnsi="宋体" w:cs="宋体"/>
        </w:rPr>
        <w:t>第一部分 竞争性磋商公告</w:t>
      </w:r>
      <w:r>
        <w:tab/>
      </w:r>
      <w:r>
        <w:fldChar w:fldCharType="begin"/>
      </w:r>
      <w:r>
        <w:instrText xml:space="preserve"> PAGEREF _Toc683 \h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"_Toc13198" </w:instrText>
      </w:r>
      <w:r>
        <w:fldChar w:fldCharType="separate"/>
      </w:r>
      <w:r>
        <w:rPr>
          <w:rFonts w:hint="eastAsia" w:ascii="宋体" w:hAnsi="宋体" w:cs="宋体"/>
        </w:rPr>
        <w:t>第二部分 供应商须知前附表</w:t>
      </w:r>
      <w:r>
        <w:tab/>
      </w:r>
      <w:r>
        <w:fldChar w:fldCharType="begin"/>
      </w:r>
      <w:r>
        <w:instrText xml:space="preserve"> PAGEREF _Toc13198 \h </w:instrText>
      </w:r>
      <w:r>
        <w:fldChar w:fldCharType="separate"/>
      </w:r>
      <w:r>
        <w:t>4</w:t>
      </w:r>
      <w:r>
        <w:fldChar w:fldCharType="end"/>
      </w:r>
      <w:r>
        <w:fldChar w:fldCharType="end"/>
      </w:r>
    </w:p>
    <w:p>
      <w:pPr>
        <w:pStyle w:val="18"/>
        <w:tabs>
          <w:tab w:val="right" w:leader="dot" w:pos="8306"/>
        </w:tabs>
      </w:pPr>
      <w:r>
        <w:fldChar w:fldCharType="begin"/>
      </w:r>
      <w:r>
        <w:instrText xml:space="preserve"> HYPERLINK \l "_Toc6416" </w:instrText>
      </w:r>
      <w:r>
        <w:fldChar w:fldCharType="separate"/>
      </w:r>
      <w:r>
        <w:rPr>
          <w:rFonts w:hint="eastAsia" w:ascii="宋体" w:hAnsi="宋体" w:cs="宋体"/>
        </w:rPr>
        <w:t>第三部分 供应商须知</w:t>
      </w:r>
      <w:r>
        <w:tab/>
      </w:r>
      <w:r>
        <w:fldChar w:fldCharType="begin"/>
      </w:r>
      <w:r>
        <w:instrText xml:space="preserve"> PAGEREF _Toc6416 \h </w:instrText>
      </w:r>
      <w:r>
        <w:fldChar w:fldCharType="separate"/>
      </w:r>
      <w:r>
        <w:t>8</w:t>
      </w:r>
      <w:r>
        <w:fldChar w:fldCharType="end"/>
      </w:r>
      <w:r>
        <w:fldChar w:fldCharType="end"/>
      </w:r>
    </w:p>
    <w:p>
      <w:pPr>
        <w:pStyle w:val="20"/>
        <w:tabs>
          <w:tab w:val="right" w:leader="dot" w:pos="8306"/>
        </w:tabs>
      </w:pPr>
      <w:r>
        <w:fldChar w:fldCharType="begin"/>
      </w:r>
      <w:r>
        <w:instrText xml:space="preserve"> HYPERLINK \l "_Toc19641" </w:instrText>
      </w:r>
      <w:r>
        <w:fldChar w:fldCharType="separate"/>
      </w:r>
      <w:r>
        <w:rPr>
          <w:rFonts w:hint="eastAsia" w:ascii="宋体" w:hAnsi="宋体"/>
          <w:bCs/>
          <w:kern w:val="0"/>
          <w:szCs w:val="28"/>
        </w:rPr>
        <w:t xml:space="preserve">一、 </w:t>
      </w:r>
      <w:r>
        <w:rPr>
          <w:rFonts w:hint="eastAsia" w:ascii="宋体" w:hAnsi="宋体" w:cs="宋体"/>
          <w:bCs/>
          <w:kern w:val="0"/>
          <w:szCs w:val="28"/>
        </w:rPr>
        <w:t>总则</w:t>
      </w:r>
      <w:r>
        <w:tab/>
      </w:r>
      <w:r>
        <w:fldChar w:fldCharType="begin"/>
      </w:r>
      <w:r>
        <w:instrText xml:space="preserve"> PAGEREF _Toc19641 \h </w:instrText>
      </w:r>
      <w:r>
        <w:fldChar w:fldCharType="separate"/>
      </w:r>
      <w:r>
        <w:t>8</w:t>
      </w:r>
      <w:r>
        <w:fldChar w:fldCharType="end"/>
      </w:r>
      <w:r>
        <w:fldChar w:fldCharType="end"/>
      </w:r>
    </w:p>
    <w:p>
      <w:pPr>
        <w:pStyle w:val="20"/>
        <w:tabs>
          <w:tab w:val="right" w:leader="dot" w:pos="8306"/>
        </w:tabs>
      </w:pPr>
      <w:r>
        <w:fldChar w:fldCharType="begin"/>
      </w:r>
      <w:r>
        <w:instrText xml:space="preserve"> HYPERLINK \l "_Toc24355" </w:instrText>
      </w:r>
      <w:r>
        <w:fldChar w:fldCharType="separate"/>
      </w:r>
      <w:r>
        <w:rPr>
          <w:rFonts w:hint="eastAsia" w:ascii="宋体" w:hAnsi="宋体"/>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_Toc24355 \h </w:instrText>
      </w:r>
      <w:r>
        <w:fldChar w:fldCharType="separate"/>
      </w:r>
      <w:r>
        <w:t>11</w:t>
      </w:r>
      <w:r>
        <w:fldChar w:fldCharType="end"/>
      </w:r>
      <w:r>
        <w:fldChar w:fldCharType="end"/>
      </w:r>
    </w:p>
    <w:p>
      <w:pPr>
        <w:pStyle w:val="20"/>
        <w:tabs>
          <w:tab w:val="right" w:leader="dot" w:pos="8306"/>
        </w:tabs>
      </w:pPr>
      <w:r>
        <w:fldChar w:fldCharType="begin"/>
      </w:r>
      <w:r>
        <w:instrText xml:space="preserve"> HYPERLINK \l "_Toc9507" </w:instrText>
      </w:r>
      <w:r>
        <w:fldChar w:fldCharType="separate"/>
      </w:r>
      <w:r>
        <w:rPr>
          <w:rFonts w:hint="eastAsia" w:ascii="宋体" w:hAnsi="宋体"/>
          <w:bCs/>
          <w:kern w:val="0"/>
          <w:szCs w:val="28"/>
        </w:rPr>
        <w:t xml:space="preserve">三、 </w:t>
      </w:r>
      <w:r>
        <w:rPr>
          <w:rFonts w:hint="eastAsia" w:ascii="宋体" w:hAnsi="宋体" w:cs="宋体"/>
          <w:bCs/>
          <w:kern w:val="0"/>
          <w:szCs w:val="28"/>
        </w:rPr>
        <w:t>磋商响应文件</w:t>
      </w:r>
      <w:r>
        <w:tab/>
      </w:r>
      <w:r>
        <w:fldChar w:fldCharType="begin"/>
      </w:r>
      <w:r>
        <w:instrText xml:space="preserve"> PAGEREF _Toc9507 \h </w:instrText>
      </w:r>
      <w:r>
        <w:fldChar w:fldCharType="separate"/>
      </w:r>
      <w:r>
        <w:t>13</w:t>
      </w:r>
      <w:r>
        <w:fldChar w:fldCharType="end"/>
      </w:r>
      <w:r>
        <w:fldChar w:fldCharType="end"/>
      </w:r>
    </w:p>
    <w:p>
      <w:pPr>
        <w:pStyle w:val="20"/>
        <w:tabs>
          <w:tab w:val="right" w:leader="dot" w:pos="8306"/>
        </w:tabs>
      </w:pPr>
      <w:r>
        <w:fldChar w:fldCharType="begin"/>
      </w:r>
      <w:r>
        <w:instrText xml:space="preserve"> HYPERLINK \l "_Toc18306" </w:instrText>
      </w:r>
      <w:r>
        <w:fldChar w:fldCharType="separate"/>
      </w:r>
      <w:r>
        <w:rPr>
          <w:rFonts w:hint="eastAsia" w:ascii="宋体" w:hAnsi="宋体"/>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_Toc18306 \h </w:instrText>
      </w:r>
      <w:r>
        <w:fldChar w:fldCharType="separate"/>
      </w:r>
      <w:r>
        <w:t>16</w:t>
      </w:r>
      <w:r>
        <w:fldChar w:fldCharType="end"/>
      </w:r>
      <w:r>
        <w:fldChar w:fldCharType="end"/>
      </w:r>
    </w:p>
    <w:p>
      <w:pPr>
        <w:pStyle w:val="20"/>
        <w:tabs>
          <w:tab w:val="right" w:leader="dot" w:pos="8306"/>
        </w:tabs>
      </w:pPr>
      <w:r>
        <w:fldChar w:fldCharType="begin"/>
      </w:r>
      <w:r>
        <w:instrText xml:space="preserve"> HYPERLINK \l "_Toc1052" </w:instrText>
      </w:r>
      <w:r>
        <w:fldChar w:fldCharType="separate"/>
      </w:r>
      <w:r>
        <w:rPr>
          <w:rFonts w:hint="eastAsia" w:ascii="宋体" w:hAnsi="宋体"/>
          <w:bCs/>
          <w:kern w:val="0"/>
          <w:szCs w:val="28"/>
        </w:rPr>
        <w:t xml:space="preserve">五、 </w:t>
      </w:r>
      <w:r>
        <w:rPr>
          <w:rFonts w:hint="eastAsia" w:ascii="宋体" w:hAnsi="宋体" w:cs="宋体"/>
          <w:bCs/>
          <w:kern w:val="0"/>
          <w:szCs w:val="28"/>
        </w:rPr>
        <w:t>磋商、评审、定标</w:t>
      </w:r>
      <w:r>
        <w:tab/>
      </w:r>
      <w:r>
        <w:fldChar w:fldCharType="begin"/>
      </w:r>
      <w:r>
        <w:instrText xml:space="preserve"> PAGEREF _Toc1052 \h </w:instrText>
      </w:r>
      <w:r>
        <w:fldChar w:fldCharType="separate"/>
      </w:r>
      <w:r>
        <w:t>16</w:t>
      </w:r>
      <w:r>
        <w:fldChar w:fldCharType="end"/>
      </w:r>
      <w:r>
        <w:fldChar w:fldCharType="end"/>
      </w:r>
    </w:p>
    <w:p>
      <w:pPr>
        <w:pStyle w:val="20"/>
        <w:tabs>
          <w:tab w:val="right" w:leader="dot" w:pos="8306"/>
        </w:tabs>
      </w:pPr>
      <w:r>
        <w:fldChar w:fldCharType="begin"/>
      </w:r>
      <w:r>
        <w:instrText xml:space="preserve"> HYPERLINK \l "_Toc682" </w:instrText>
      </w:r>
      <w:r>
        <w:fldChar w:fldCharType="separate"/>
      </w:r>
      <w:r>
        <w:rPr>
          <w:rFonts w:hint="eastAsia"/>
        </w:rPr>
        <w:t>六、 履约验收</w:t>
      </w:r>
      <w:r>
        <w:tab/>
      </w:r>
      <w:r>
        <w:fldChar w:fldCharType="begin"/>
      </w:r>
      <w:r>
        <w:instrText xml:space="preserve"> PAGEREF _Toc682 \h </w:instrText>
      </w:r>
      <w:r>
        <w:fldChar w:fldCharType="separate"/>
      </w:r>
      <w:r>
        <w:t>20</w:t>
      </w:r>
      <w:r>
        <w:fldChar w:fldCharType="end"/>
      </w:r>
      <w:r>
        <w:fldChar w:fldCharType="end"/>
      </w:r>
    </w:p>
    <w:p>
      <w:pPr>
        <w:pStyle w:val="20"/>
        <w:tabs>
          <w:tab w:val="right" w:leader="dot" w:pos="8306"/>
        </w:tabs>
      </w:pPr>
      <w:r>
        <w:fldChar w:fldCharType="begin"/>
      </w:r>
      <w:r>
        <w:instrText xml:space="preserve"> HYPERLINK \l "_Toc21663" </w:instrText>
      </w:r>
      <w:r>
        <w:fldChar w:fldCharType="separate"/>
      </w:r>
      <w:r>
        <w:rPr>
          <w:rFonts w:hint="eastAsia" w:ascii="宋体" w:hAnsi="宋体" w:cs="宋体"/>
          <w:bCs/>
          <w:kern w:val="0"/>
          <w:szCs w:val="28"/>
        </w:rPr>
        <w:t>七、签订合同</w:t>
      </w:r>
      <w:r>
        <w:tab/>
      </w:r>
      <w:r>
        <w:fldChar w:fldCharType="begin"/>
      </w:r>
      <w:r>
        <w:instrText xml:space="preserve"> PAGEREF _Toc21663 \h </w:instrText>
      </w:r>
      <w:r>
        <w:fldChar w:fldCharType="separate"/>
      </w:r>
      <w:r>
        <w:t>20</w:t>
      </w:r>
      <w:r>
        <w:fldChar w:fldCharType="end"/>
      </w:r>
      <w:r>
        <w:fldChar w:fldCharType="end"/>
      </w:r>
    </w:p>
    <w:p>
      <w:pPr>
        <w:pStyle w:val="20"/>
        <w:tabs>
          <w:tab w:val="right" w:leader="dot" w:pos="8306"/>
        </w:tabs>
      </w:pPr>
      <w:r>
        <w:fldChar w:fldCharType="begin"/>
      </w:r>
      <w:r>
        <w:instrText xml:space="preserve"> HYPERLINK \l "_Toc30162" </w:instrText>
      </w:r>
      <w:r>
        <w:fldChar w:fldCharType="separate"/>
      </w:r>
      <w:r>
        <w:rPr>
          <w:rFonts w:hint="eastAsia" w:ascii="宋体" w:hAnsi="宋体" w:cs="宋体"/>
          <w:bCs/>
          <w:kern w:val="0"/>
          <w:szCs w:val="28"/>
        </w:rPr>
        <w:t>八、代理服务费</w:t>
      </w:r>
      <w:r>
        <w:tab/>
      </w:r>
      <w:r>
        <w:fldChar w:fldCharType="begin"/>
      </w:r>
      <w:r>
        <w:instrText xml:space="preserve"> PAGEREF _Toc30162 \h </w:instrText>
      </w:r>
      <w:r>
        <w:fldChar w:fldCharType="separate"/>
      </w:r>
      <w:r>
        <w:t>20</w:t>
      </w:r>
      <w:r>
        <w:fldChar w:fldCharType="end"/>
      </w:r>
      <w:r>
        <w:fldChar w:fldCharType="end"/>
      </w:r>
    </w:p>
    <w:p>
      <w:pPr>
        <w:pStyle w:val="20"/>
        <w:tabs>
          <w:tab w:val="right" w:leader="dot" w:pos="8306"/>
        </w:tabs>
      </w:pPr>
      <w:r>
        <w:fldChar w:fldCharType="begin"/>
      </w:r>
      <w:r>
        <w:instrText xml:space="preserve"> HYPERLINK \l "_Toc3379" </w:instrText>
      </w:r>
      <w:r>
        <w:fldChar w:fldCharType="separate"/>
      </w:r>
      <w:r>
        <w:rPr>
          <w:rFonts w:hint="eastAsia" w:ascii="宋体" w:hAnsi="宋体" w:cs="宋体"/>
          <w:bCs/>
          <w:kern w:val="0"/>
          <w:szCs w:val="28"/>
        </w:rPr>
        <w:t>九、质疑和投诉</w:t>
      </w:r>
      <w:r>
        <w:tab/>
      </w:r>
      <w:r>
        <w:fldChar w:fldCharType="begin"/>
      </w:r>
      <w:r>
        <w:instrText xml:space="preserve"> PAGEREF _Toc3379 \h </w:instrText>
      </w:r>
      <w:r>
        <w:fldChar w:fldCharType="separate"/>
      </w:r>
      <w:r>
        <w:t>21</w:t>
      </w:r>
      <w:r>
        <w:fldChar w:fldCharType="end"/>
      </w:r>
      <w:r>
        <w:fldChar w:fldCharType="end"/>
      </w:r>
    </w:p>
    <w:p>
      <w:pPr>
        <w:pStyle w:val="18"/>
        <w:tabs>
          <w:tab w:val="right" w:leader="dot" w:pos="8306"/>
        </w:tabs>
      </w:pPr>
      <w:r>
        <w:fldChar w:fldCharType="begin"/>
      </w:r>
      <w:r>
        <w:instrText xml:space="preserve"> HYPERLINK \l "_Toc21909" </w:instrText>
      </w:r>
      <w:r>
        <w:fldChar w:fldCharType="separate"/>
      </w:r>
      <w:r>
        <w:rPr>
          <w:rFonts w:hint="eastAsia"/>
        </w:rPr>
        <w:t>第四部分 评审标准</w:t>
      </w:r>
      <w:r>
        <w:tab/>
      </w:r>
      <w:r>
        <w:fldChar w:fldCharType="begin"/>
      </w:r>
      <w:r>
        <w:instrText xml:space="preserve"> PAGEREF _Toc21909 \h </w:instrText>
      </w:r>
      <w:r>
        <w:fldChar w:fldCharType="separate"/>
      </w:r>
      <w:r>
        <w:t>23</w:t>
      </w:r>
      <w:r>
        <w:fldChar w:fldCharType="end"/>
      </w:r>
      <w:r>
        <w:fldChar w:fldCharType="end"/>
      </w:r>
    </w:p>
    <w:p>
      <w:pPr>
        <w:pStyle w:val="18"/>
        <w:tabs>
          <w:tab w:val="right" w:leader="dot" w:pos="8306"/>
        </w:tabs>
      </w:pPr>
      <w:r>
        <w:fldChar w:fldCharType="begin"/>
      </w:r>
      <w:r>
        <w:instrText xml:space="preserve"> HYPERLINK \l "_Toc4751" </w:instrText>
      </w:r>
      <w:r>
        <w:fldChar w:fldCharType="separate"/>
      </w:r>
      <w:r>
        <w:rPr>
          <w:rFonts w:ascii="宋体" w:hAnsi="宋体" w:cs="宋体"/>
        </w:rPr>
        <w:t xml:space="preserve">第五部 </w:t>
      </w:r>
      <w:r>
        <w:rPr>
          <w:rFonts w:hint="eastAsia" w:ascii="宋体" w:hAnsi="宋体" w:cs="宋体"/>
        </w:rPr>
        <w:t>分 采购要求</w:t>
      </w:r>
      <w:r>
        <w:tab/>
      </w:r>
      <w:r>
        <w:fldChar w:fldCharType="begin"/>
      </w:r>
      <w:r>
        <w:instrText xml:space="preserve"> PAGEREF _Toc4751 \h </w:instrText>
      </w:r>
      <w:r>
        <w:fldChar w:fldCharType="separate"/>
      </w:r>
      <w:r>
        <w:t>28</w:t>
      </w:r>
      <w:r>
        <w:fldChar w:fldCharType="end"/>
      </w:r>
      <w:r>
        <w:fldChar w:fldCharType="end"/>
      </w:r>
    </w:p>
    <w:p>
      <w:pPr>
        <w:pStyle w:val="18"/>
        <w:tabs>
          <w:tab w:val="right" w:leader="dot" w:pos="8306"/>
        </w:tabs>
      </w:pPr>
      <w:r>
        <w:fldChar w:fldCharType="begin"/>
      </w:r>
      <w:r>
        <w:instrText xml:space="preserve"> HYPERLINK \l "_Toc5164" </w:instrText>
      </w:r>
      <w:r>
        <w:fldChar w:fldCharType="separate"/>
      </w:r>
      <w:r>
        <w:rPr>
          <w:rFonts w:hint="eastAsia"/>
        </w:rPr>
        <w:t xml:space="preserve">第六部分 </w:t>
      </w:r>
      <w:r>
        <w:t>合同专用条款</w:t>
      </w:r>
      <w:r>
        <w:tab/>
      </w:r>
      <w:r>
        <w:fldChar w:fldCharType="begin"/>
      </w:r>
      <w:r>
        <w:instrText xml:space="preserve"> PAGEREF _Toc5164 \h </w:instrText>
      </w:r>
      <w:r>
        <w:fldChar w:fldCharType="separate"/>
      </w:r>
      <w:r>
        <w:t>32</w:t>
      </w:r>
      <w:r>
        <w:fldChar w:fldCharType="end"/>
      </w:r>
      <w:r>
        <w:fldChar w:fldCharType="end"/>
      </w:r>
    </w:p>
    <w:p>
      <w:pPr>
        <w:pStyle w:val="20"/>
        <w:tabs>
          <w:tab w:val="right" w:leader="dot" w:pos="8306"/>
        </w:tabs>
      </w:pPr>
      <w:r>
        <w:fldChar w:fldCharType="begin"/>
      </w:r>
      <w:r>
        <w:instrText xml:space="preserve"> HYPERLINK \l "_Toc13543" </w:instrText>
      </w:r>
      <w:r>
        <w:fldChar w:fldCharType="separate"/>
      </w:r>
      <w:r>
        <w:rPr>
          <w:rFonts w:hint="eastAsia"/>
        </w:rPr>
        <w:t>（参考合同）</w:t>
      </w:r>
      <w:r>
        <w:tab/>
      </w:r>
      <w:r>
        <w:fldChar w:fldCharType="begin"/>
      </w:r>
      <w:r>
        <w:instrText xml:space="preserve"> PAGEREF _Toc13543 \h </w:instrText>
      </w:r>
      <w:r>
        <w:fldChar w:fldCharType="separate"/>
      </w:r>
      <w:r>
        <w:t>32</w:t>
      </w:r>
      <w:r>
        <w:fldChar w:fldCharType="end"/>
      </w:r>
      <w:r>
        <w:fldChar w:fldCharType="end"/>
      </w:r>
    </w:p>
    <w:p>
      <w:pPr>
        <w:pStyle w:val="18"/>
        <w:tabs>
          <w:tab w:val="right" w:leader="dot" w:pos="8306"/>
        </w:tabs>
      </w:pPr>
      <w:r>
        <w:fldChar w:fldCharType="begin"/>
      </w:r>
      <w:r>
        <w:instrText xml:space="preserve"> HYPERLINK \l "_Toc13426" </w:instrText>
      </w:r>
      <w:r>
        <w:fldChar w:fldCharType="separate"/>
      </w:r>
      <w:r>
        <w:rPr>
          <w:rFonts w:hint="eastAsia"/>
        </w:rPr>
        <w:t>第七部分 磋商响应文件格式</w:t>
      </w:r>
      <w:r>
        <w:tab/>
      </w:r>
      <w:r>
        <w:fldChar w:fldCharType="begin"/>
      </w:r>
      <w:r>
        <w:instrText xml:space="preserve"> PAGEREF _Toc13426 \h </w:instrText>
      </w:r>
      <w:r>
        <w:fldChar w:fldCharType="separate"/>
      </w:r>
      <w:r>
        <w:t>38</w:t>
      </w:r>
      <w:r>
        <w:fldChar w:fldCharType="end"/>
      </w:r>
      <w:r>
        <w:fldChar w:fldCharType="end"/>
      </w:r>
    </w:p>
    <w:p>
      <w:pPr>
        <w:pStyle w:val="20"/>
        <w:tabs>
          <w:tab w:val="right" w:leader="dot" w:pos="8306"/>
        </w:tabs>
      </w:pPr>
      <w:r>
        <w:fldChar w:fldCharType="begin"/>
      </w:r>
      <w:r>
        <w:instrText xml:space="preserve"> HYPERLINK \l "_Toc22865" </w:instrText>
      </w:r>
      <w:r>
        <w:fldChar w:fldCharType="separate"/>
      </w:r>
      <w:r>
        <w:rPr>
          <w:rFonts w:hint="eastAsia" w:ascii="宋体" w:hAnsi="宋体" w:cs="宋体"/>
        </w:rPr>
        <w:t>第一</w:t>
      </w:r>
      <w:r>
        <w:rPr>
          <w:rFonts w:hint="eastAsia" w:hAnsi="宋体" w:cs="宋体"/>
          <w:bCs/>
          <w:szCs w:val="28"/>
        </w:rPr>
        <w:t>章</w:t>
      </w:r>
      <w:r>
        <w:rPr>
          <w:rFonts w:hint="eastAsia" w:ascii="宋体" w:hAnsi="宋体" w:cs="宋体"/>
        </w:rPr>
        <w:t xml:space="preserve"> 响应函</w:t>
      </w:r>
      <w:r>
        <w:tab/>
      </w:r>
      <w:r>
        <w:fldChar w:fldCharType="begin"/>
      </w:r>
      <w:r>
        <w:instrText xml:space="preserve"> PAGEREF _Toc22865 \h </w:instrText>
      </w:r>
      <w:r>
        <w:fldChar w:fldCharType="separate"/>
      </w:r>
      <w:r>
        <w:t>40</w:t>
      </w:r>
      <w:r>
        <w:fldChar w:fldCharType="end"/>
      </w:r>
      <w:r>
        <w:fldChar w:fldCharType="end"/>
      </w:r>
    </w:p>
    <w:p>
      <w:pPr>
        <w:pStyle w:val="20"/>
        <w:tabs>
          <w:tab w:val="right" w:leader="dot" w:pos="8306"/>
        </w:tabs>
      </w:pPr>
      <w:r>
        <w:fldChar w:fldCharType="begin"/>
      </w:r>
      <w:r>
        <w:instrText xml:space="preserve"> HYPERLINK \l "_Toc26144" </w:instrText>
      </w:r>
      <w:r>
        <w:fldChar w:fldCharType="separate"/>
      </w:r>
      <w:r>
        <w:rPr>
          <w:rFonts w:hint="eastAsia" w:ascii="宋体" w:hAnsi="宋体" w:cs="宋体"/>
        </w:rPr>
        <w:t>第二</w:t>
      </w:r>
      <w:r>
        <w:rPr>
          <w:rFonts w:hint="eastAsia" w:hAnsi="宋体" w:cs="宋体"/>
          <w:bCs/>
          <w:szCs w:val="28"/>
        </w:rPr>
        <w:t>章</w:t>
      </w:r>
      <w:r>
        <w:rPr>
          <w:rFonts w:hint="eastAsia" w:ascii="宋体" w:hAnsi="宋体" w:cs="宋体"/>
        </w:rPr>
        <w:t xml:space="preserve"> 磋商一览表</w:t>
      </w:r>
      <w:r>
        <w:tab/>
      </w:r>
      <w:r>
        <w:fldChar w:fldCharType="begin"/>
      </w:r>
      <w:r>
        <w:instrText xml:space="preserve"> PAGEREF _Toc26144 \h </w:instrText>
      </w:r>
      <w:r>
        <w:fldChar w:fldCharType="separate"/>
      </w:r>
      <w:r>
        <w:t>41</w:t>
      </w:r>
      <w:r>
        <w:fldChar w:fldCharType="end"/>
      </w:r>
      <w:r>
        <w:fldChar w:fldCharType="end"/>
      </w:r>
    </w:p>
    <w:p>
      <w:pPr>
        <w:pStyle w:val="20"/>
        <w:tabs>
          <w:tab w:val="right" w:leader="dot" w:pos="8306"/>
        </w:tabs>
      </w:pPr>
      <w:r>
        <w:fldChar w:fldCharType="begin"/>
      </w:r>
      <w:r>
        <w:instrText xml:space="preserve"> HYPERLINK \l "_Toc23449" </w:instrText>
      </w:r>
      <w:r>
        <w:fldChar w:fldCharType="separate"/>
      </w:r>
      <w:r>
        <w:rPr>
          <w:rFonts w:hint="eastAsia" w:hAnsi="宋体" w:cs="宋体"/>
          <w:szCs w:val="32"/>
        </w:rPr>
        <w:t>第三章</w:t>
      </w:r>
      <w:r>
        <w:rPr>
          <w:rFonts w:hint="eastAsia"/>
          <w:szCs w:val="32"/>
        </w:rPr>
        <w:t xml:space="preserve">  分项报价表</w:t>
      </w:r>
      <w:r>
        <w:tab/>
      </w:r>
      <w:r>
        <w:fldChar w:fldCharType="begin"/>
      </w:r>
      <w:r>
        <w:instrText xml:space="preserve"> PAGEREF _Toc23449 \h </w:instrText>
      </w:r>
      <w:r>
        <w:fldChar w:fldCharType="separate"/>
      </w:r>
      <w:r>
        <w:t>42</w:t>
      </w:r>
      <w:r>
        <w:fldChar w:fldCharType="end"/>
      </w:r>
      <w:r>
        <w:fldChar w:fldCharType="end"/>
      </w:r>
    </w:p>
    <w:p>
      <w:pPr>
        <w:pStyle w:val="20"/>
        <w:tabs>
          <w:tab w:val="right" w:leader="dot" w:pos="8306"/>
        </w:tabs>
      </w:pPr>
      <w:r>
        <w:fldChar w:fldCharType="begin"/>
      </w:r>
      <w:r>
        <w:instrText xml:space="preserve"> HYPERLINK \l "_Toc15595" </w:instrText>
      </w:r>
      <w:r>
        <w:fldChar w:fldCharType="separate"/>
      </w:r>
      <w:r>
        <w:rPr>
          <w:rFonts w:hint="eastAsia" w:ascii="宋体" w:hAnsi="宋体" w:cs="宋体"/>
        </w:rPr>
        <w:t xml:space="preserve">第四章 </w:t>
      </w:r>
      <w:r>
        <w:rPr>
          <w:rFonts w:hint="eastAsia"/>
        </w:rPr>
        <w:t>商务和技术响应偏离表</w:t>
      </w:r>
      <w:r>
        <w:tab/>
      </w:r>
      <w:r>
        <w:fldChar w:fldCharType="begin"/>
      </w:r>
      <w:r>
        <w:instrText xml:space="preserve"> PAGEREF _Toc15595 \h </w:instrText>
      </w:r>
      <w:r>
        <w:fldChar w:fldCharType="separate"/>
      </w:r>
      <w:r>
        <w:t>43</w:t>
      </w:r>
      <w:r>
        <w:fldChar w:fldCharType="end"/>
      </w:r>
      <w:r>
        <w:fldChar w:fldCharType="end"/>
      </w:r>
    </w:p>
    <w:p>
      <w:pPr>
        <w:pStyle w:val="20"/>
        <w:tabs>
          <w:tab w:val="right" w:leader="dot" w:pos="8306"/>
        </w:tabs>
      </w:pPr>
      <w:r>
        <w:fldChar w:fldCharType="begin"/>
      </w:r>
      <w:r>
        <w:instrText xml:space="preserve"> HYPERLINK \l "_Toc21363" </w:instrText>
      </w:r>
      <w:r>
        <w:fldChar w:fldCharType="separate"/>
      </w:r>
      <w:r>
        <w:rPr>
          <w:rFonts w:hint="eastAsia" w:ascii="宋体" w:hAnsi="宋体" w:cs="宋体"/>
        </w:rPr>
        <w:t>第五</w:t>
      </w:r>
      <w:r>
        <w:rPr>
          <w:rFonts w:hint="eastAsia" w:hAnsi="宋体" w:cs="宋体"/>
          <w:bCs/>
          <w:szCs w:val="28"/>
        </w:rPr>
        <w:t xml:space="preserve">章 </w:t>
      </w:r>
      <w:r>
        <w:rPr>
          <w:rFonts w:hint="eastAsia" w:ascii="宋体" w:hAnsi="宋体" w:cs="宋体"/>
        </w:rPr>
        <w:t>供应商资质要求</w:t>
      </w:r>
      <w:r>
        <w:tab/>
      </w:r>
      <w:r>
        <w:fldChar w:fldCharType="begin"/>
      </w:r>
      <w:r>
        <w:instrText xml:space="preserve"> PAGEREF _Toc21363 \h </w:instrText>
      </w:r>
      <w:r>
        <w:fldChar w:fldCharType="separate"/>
      </w:r>
      <w:r>
        <w:t>45</w:t>
      </w:r>
      <w:r>
        <w:fldChar w:fldCharType="end"/>
      </w:r>
      <w:r>
        <w:fldChar w:fldCharType="end"/>
      </w:r>
    </w:p>
    <w:p>
      <w:pPr>
        <w:pStyle w:val="20"/>
        <w:tabs>
          <w:tab w:val="right" w:leader="dot" w:pos="8306"/>
        </w:tabs>
      </w:pPr>
      <w:r>
        <w:fldChar w:fldCharType="begin"/>
      </w:r>
      <w:r>
        <w:instrText xml:space="preserve"> HYPERLINK \l "_Toc9864" </w:instrText>
      </w:r>
      <w:r>
        <w:fldChar w:fldCharType="separate"/>
      </w:r>
      <w:r>
        <w:rPr>
          <w:rFonts w:hint="eastAsia" w:ascii="宋体" w:hAnsi="宋体"/>
          <w:szCs w:val="36"/>
        </w:rPr>
        <w:t>第六章 服务方案</w:t>
      </w:r>
      <w:r>
        <w:tab/>
      </w:r>
      <w:r>
        <w:fldChar w:fldCharType="begin"/>
      </w:r>
      <w:r>
        <w:instrText xml:space="preserve"> PAGEREF _Toc9864 \h </w:instrText>
      </w:r>
      <w:r>
        <w:fldChar w:fldCharType="separate"/>
      </w:r>
      <w:r>
        <w:t>53</w:t>
      </w:r>
      <w:r>
        <w:fldChar w:fldCharType="end"/>
      </w:r>
      <w:r>
        <w:fldChar w:fldCharType="end"/>
      </w:r>
    </w:p>
    <w:p>
      <w:pPr>
        <w:pStyle w:val="20"/>
        <w:tabs>
          <w:tab w:val="right" w:leader="dot" w:pos="8306"/>
        </w:tabs>
      </w:pPr>
      <w:r>
        <w:fldChar w:fldCharType="begin"/>
      </w:r>
      <w:r>
        <w:instrText xml:space="preserve"> HYPERLINK \l "_Toc2615" </w:instrText>
      </w:r>
      <w:r>
        <w:fldChar w:fldCharType="separate"/>
      </w:r>
      <w:r>
        <w:rPr>
          <w:rFonts w:hint="eastAsia" w:ascii="宋体" w:hAnsi="宋体"/>
          <w:szCs w:val="30"/>
        </w:rPr>
        <w:t>第七章 供应商类似项目业绩一览表</w:t>
      </w:r>
      <w:r>
        <w:tab/>
      </w:r>
      <w:r>
        <w:fldChar w:fldCharType="begin"/>
      </w:r>
      <w:r>
        <w:instrText xml:space="preserve"> PAGEREF _Toc2615 \h </w:instrText>
      </w:r>
      <w:r>
        <w:fldChar w:fldCharType="separate"/>
      </w:r>
      <w:r>
        <w:t>54</w:t>
      </w:r>
      <w:r>
        <w:fldChar w:fldCharType="end"/>
      </w:r>
      <w:r>
        <w:fldChar w:fldCharType="end"/>
      </w:r>
    </w:p>
    <w:p>
      <w:pPr>
        <w:pStyle w:val="20"/>
        <w:tabs>
          <w:tab w:val="right" w:leader="dot" w:pos="8306"/>
        </w:tabs>
      </w:pPr>
      <w:r>
        <w:fldChar w:fldCharType="begin"/>
      </w:r>
      <w:r>
        <w:instrText xml:space="preserve"> HYPERLINK \l "_Toc22055" </w:instrText>
      </w:r>
      <w:r>
        <w:fldChar w:fldCharType="separate"/>
      </w:r>
      <w:r>
        <w:rPr>
          <w:rFonts w:hint="eastAsia" w:ascii="宋体" w:hAnsi="宋体" w:cs="宋体"/>
        </w:rPr>
        <w:t>第八</w:t>
      </w:r>
      <w:r>
        <w:rPr>
          <w:rFonts w:hint="eastAsia" w:hAnsi="宋体" w:cs="宋体"/>
          <w:bCs/>
          <w:szCs w:val="28"/>
        </w:rPr>
        <w:t>章</w:t>
      </w:r>
      <w:r>
        <w:rPr>
          <w:rFonts w:hint="eastAsia" w:ascii="宋体" w:hAnsi="宋体" w:cs="宋体"/>
        </w:rPr>
        <w:t xml:space="preserve"> 供应商认为有必要说明的其他问题</w:t>
      </w:r>
      <w:r>
        <w:tab/>
      </w:r>
      <w:r>
        <w:fldChar w:fldCharType="begin"/>
      </w:r>
      <w:r>
        <w:instrText xml:space="preserve"> PAGEREF _Toc22055 \h </w:instrText>
      </w:r>
      <w:r>
        <w:fldChar w:fldCharType="separate"/>
      </w:r>
      <w:r>
        <w:t>55</w:t>
      </w:r>
      <w:r>
        <w:fldChar w:fldCharType="end"/>
      </w:r>
      <w:r>
        <w:fldChar w:fldCharType="end"/>
      </w:r>
    </w:p>
    <w:p>
      <w:pPr>
        <w:pStyle w:val="20"/>
        <w:tabs>
          <w:tab w:val="right" w:leader="dot" w:pos="8306"/>
        </w:tabs>
      </w:pPr>
      <w:r>
        <w:fldChar w:fldCharType="begin"/>
      </w:r>
      <w:r>
        <w:instrText xml:space="preserve"> HYPERLINK \l "_Toc31442" </w:instrText>
      </w:r>
      <w:r>
        <w:fldChar w:fldCharType="separate"/>
      </w:r>
      <w:r>
        <w:rPr>
          <w:rFonts w:hint="eastAsia" w:ascii="宋体" w:hAnsi="宋体" w:cs="宋体"/>
        </w:rPr>
        <w:t>第九</w:t>
      </w:r>
      <w:r>
        <w:rPr>
          <w:rFonts w:hint="eastAsia" w:hAnsi="宋体" w:cs="宋体"/>
          <w:bCs/>
          <w:szCs w:val="28"/>
        </w:rPr>
        <w:t>章</w:t>
      </w:r>
      <w:r>
        <w:rPr>
          <w:rFonts w:hint="eastAsia" w:ascii="宋体" w:hAnsi="宋体" w:cs="宋体"/>
        </w:rPr>
        <w:t xml:space="preserve"> 供应商承诺书</w:t>
      </w:r>
      <w:r>
        <w:tab/>
      </w:r>
      <w:r>
        <w:fldChar w:fldCharType="begin"/>
      </w:r>
      <w:r>
        <w:instrText xml:space="preserve"> PAGEREF _Toc31442 \h </w:instrText>
      </w:r>
      <w:r>
        <w:fldChar w:fldCharType="separate"/>
      </w:r>
      <w:r>
        <w:t>56</w:t>
      </w:r>
      <w:r>
        <w:fldChar w:fldCharType="end"/>
      </w:r>
      <w:r>
        <w:fldChar w:fldCharType="end"/>
      </w:r>
    </w:p>
    <w:p>
      <w:pPr>
        <w:pStyle w:val="20"/>
        <w:tabs>
          <w:tab w:val="right" w:leader="dot" w:pos="8306"/>
        </w:tabs>
      </w:pPr>
      <w:r>
        <w:fldChar w:fldCharType="begin"/>
      </w:r>
      <w:r>
        <w:instrText xml:space="preserve"> HYPERLINK \l "_Toc27409" </w:instrText>
      </w:r>
      <w:r>
        <w:fldChar w:fldCharType="separate"/>
      </w:r>
      <w:r>
        <w:rPr>
          <w:rFonts w:hint="eastAsia" w:ascii="宋体" w:hAnsi="宋体" w:cs="宋体"/>
        </w:rPr>
        <w:t>附件一：封袋正面标识式样</w:t>
      </w:r>
      <w:r>
        <w:tab/>
      </w:r>
      <w:r>
        <w:fldChar w:fldCharType="begin"/>
      </w:r>
      <w:r>
        <w:instrText xml:space="preserve"> PAGEREF _Toc27409 \h </w:instrText>
      </w:r>
      <w:r>
        <w:fldChar w:fldCharType="separate"/>
      </w:r>
      <w:r>
        <w:t>59</w:t>
      </w:r>
      <w:r>
        <w:fldChar w:fldCharType="end"/>
      </w:r>
      <w:r>
        <w:fldChar w:fldCharType="end"/>
      </w:r>
    </w:p>
    <w:p>
      <w:pPr>
        <w:pStyle w:val="20"/>
        <w:tabs>
          <w:tab w:val="right" w:leader="dot" w:pos="8306"/>
        </w:tabs>
      </w:pPr>
      <w:r>
        <w:fldChar w:fldCharType="begin"/>
      </w:r>
      <w:r>
        <w:instrText xml:space="preserve"> HYPERLINK \l "_Toc22654" </w:instrText>
      </w:r>
      <w:r>
        <w:fldChar w:fldCharType="separate"/>
      </w:r>
      <w:r>
        <w:rPr>
          <w:rFonts w:hint="eastAsia" w:ascii="宋体" w:hAnsi="宋体" w:cs="宋体"/>
        </w:rPr>
        <w:t>附件二、中小企业申明</w:t>
      </w:r>
      <w:r>
        <w:tab/>
      </w:r>
      <w:r>
        <w:fldChar w:fldCharType="begin"/>
      </w:r>
      <w:r>
        <w:instrText xml:space="preserve"> PAGEREF _Toc22654 \h </w:instrText>
      </w:r>
      <w:r>
        <w:fldChar w:fldCharType="separate"/>
      </w:r>
      <w:r>
        <w:t>61</w:t>
      </w:r>
      <w:r>
        <w:fldChar w:fldCharType="end"/>
      </w:r>
      <w:r>
        <w:fldChar w:fldCharType="end"/>
      </w:r>
    </w:p>
    <w:p>
      <w:pPr>
        <w:pStyle w:val="20"/>
        <w:tabs>
          <w:tab w:val="right" w:leader="dot" w:pos="8306"/>
        </w:tabs>
      </w:pPr>
      <w:r>
        <w:fldChar w:fldCharType="begin"/>
      </w:r>
      <w:r>
        <w:instrText xml:space="preserve"> HYPERLINK \l "_Toc2789" </w:instrText>
      </w:r>
      <w:r>
        <w:fldChar w:fldCharType="separate"/>
      </w:r>
      <w:r>
        <w:rPr>
          <w:rFonts w:hint="eastAsia"/>
        </w:rPr>
        <w:t>附件三、残疾人福利性单位声明</w:t>
      </w:r>
      <w:r>
        <w:tab/>
      </w:r>
      <w:r>
        <w:fldChar w:fldCharType="begin"/>
      </w:r>
      <w:r>
        <w:instrText xml:space="preserve"> PAGEREF _Toc2789 \h </w:instrText>
      </w:r>
      <w:r>
        <w:fldChar w:fldCharType="separate"/>
      </w:r>
      <w:r>
        <w:t>62</w:t>
      </w:r>
      <w:r>
        <w:fldChar w:fldCharType="end"/>
      </w:r>
      <w:r>
        <w:fldChar w:fldCharType="end"/>
      </w:r>
    </w:p>
    <w:p>
      <w:pPr>
        <w:pStyle w:val="20"/>
        <w:tabs>
          <w:tab w:val="right" w:leader="dot" w:pos="8306"/>
        </w:tabs>
      </w:pPr>
      <w:r>
        <w:fldChar w:fldCharType="begin"/>
      </w:r>
      <w:r>
        <w:instrText xml:space="preserve"> HYPERLINK \l "_Toc9240" </w:instrText>
      </w:r>
      <w:r>
        <w:fldChar w:fldCharType="separate"/>
      </w:r>
      <w:r>
        <w:rPr>
          <w:rFonts w:hint="eastAsia"/>
        </w:rPr>
        <w:t>附件四、监狱企业证明文件</w:t>
      </w:r>
      <w:r>
        <w:tab/>
      </w:r>
      <w:r>
        <w:fldChar w:fldCharType="begin"/>
      </w:r>
      <w:r>
        <w:instrText xml:space="preserve"> PAGEREF _Toc9240 \h </w:instrText>
      </w:r>
      <w:r>
        <w:fldChar w:fldCharType="separate"/>
      </w:r>
      <w:r>
        <w:t>63</w:t>
      </w:r>
      <w:r>
        <w:fldChar w:fldCharType="end"/>
      </w:r>
      <w:r>
        <w:fldChar w:fldCharType="end"/>
      </w:r>
    </w:p>
    <w:p>
      <w:pPr>
        <w:pStyle w:val="20"/>
        <w:tabs>
          <w:tab w:val="right" w:leader="dot" w:pos="8306"/>
        </w:tabs>
      </w:pPr>
      <w:r>
        <w:fldChar w:fldCharType="begin"/>
      </w:r>
      <w:r>
        <w:instrText xml:space="preserve"> HYPERLINK \l "_Toc9721" </w:instrText>
      </w:r>
      <w:r>
        <w:fldChar w:fldCharType="separate"/>
      </w:r>
      <w:r>
        <w:rPr>
          <w:rFonts w:hint="eastAsia" w:ascii="宋体" w:hAnsi="宋体" w:cs="宋体"/>
        </w:rPr>
        <w:t>附件五、“节能产品”，“环境标志产品”证明材料</w:t>
      </w:r>
      <w:r>
        <w:tab/>
      </w:r>
      <w:r>
        <w:fldChar w:fldCharType="begin"/>
      </w:r>
      <w:r>
        <w:instrText xml:space="preserve"> PAGEREF _Toc9721 \h </w:instrText>
      </w:r>
      <w:r>
        <w:fldChar w:fldCharType="separate"/>
      </w:r>
      <w:r>
        <w:t>63</w:t>
      </w:r>
      <w:r>
        <w:fldChar w:fldCharType="end"/>
      </w:r>
      <w:r>
        <w:fldChar w:fldCharType="end"/>
      </w:r>
    </w:p>
    <w:p>
      <w:pPr>
        <w:pStyle w:val="20"/>
        <w:tabs>
          <w:tab w:val="right" w:leader="dot" w:pos="8306"/>
        </w:tabs>
      </w:pPr>
      <w:r>
        <w:fldChar w:fldCharType="begin"/>
      </w:r>
      <w:r>
        <w:instrText xml:space="preserve"> HYPERLINK \l "_Toc23515" </w:instrText>
      </w:r>
      <w:r>
        <w:fldChar w:fldCharType="separate"/>
      </w:r>
      <w:r>
        <w:rPr>
          <w:rFonts w:hint="eastAsia"/>
        </w:rPr>
        <w:t>附件六、质疑函范本</w:t>
      </w:r>
      <w:r>
        <w:tab/>
      </w:r>
      <w:r>
        <w:fldChar w:fldCharType="begin"/>
      </w:r>
      <w:r>
        <w:instrText xml:space="preserve"> PAGEREF _Toc23515 \h </w:instrText>
      </w:r>
      <w:r>
        <w:fldChar w:fldCharType="separate"/>
      </w:r>
      <w:r>
        <w:t>64</w:t>
      </w:r>
      <w:r>
        <w:fldChar w:fldCharType="end"/>
      </w:r>
      <w:r>
        <w:fldChar w:fldCharType="end"/>
      </w:r>
    </w:p>
    <w:p>
      <w:pPr>
        <w:rPr>
          <w:sz w:val="24"/>
          <w:szCs w:val="24"/>
        </w:rPr>
        <w:sectPr>
          <w:footerReference r:id="rId6" w:type="default"/>
          <w:pgSz w:w="11906" w:h="16838"/>
          <w:pgMar w:top="1440" w:right="1800" w:bottom="1440" w:left="1800" w:header="851" w:footer="992" w:gutter="0"/>
          <w:pgNumType w:start="1"/>
          <w:cols w:space="720" w:num="1"/>
          <w:docGrid w:type="lines" w:linePitch="312" w:charSpace="0"/>
        </w:sectPr>
      </w:pPr>
      <w:r>
        <w:rPr>
          <w:szCs w:val="24"/>
        </w:rPr>
        <w:fldChar w:fldCharType="end"/>
      </w:r>
    </w:p>
    <w:p>
      <w:pPr>
        <w:pStyle w:val="2"/>
        <w:rPr>
          <w:rFonts w:ascii="宋体" w:hAnsi="宋体" w:cs="宋体"/>
        </w:rPr>
      </w:pPr>
      <w:bookmarkStart w:id="1" w:name="_Toc683"/>
      <w:bookmarkStart w:id="2" w:name="_Toc26575"/>
      <w:bookmarkStart w:id="3" w:name="_Toc27511"/>
      <w:bookmarkStart w:id="4" w:name="_Toc27507"/>
      <w:r>
        <w:rPr>
          <w:rFonts w:hint="eastAsia" w:ascii="宋体" w:hAnsi="宋体" w:cs="宋体"/>
        </w:rPr>
        <w:t>第一部分 竞争性磋商公告</w:t>
      </w:r>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市儿童医院的委托，经政府采购管理部门批准，就西安市儿童医院西门院区门诊楼及住院二部楼顶发光字拆除设计安装项目进行竞争性磋商，欢迎符合资格条件的、有能力提供本次项目所需货物、服务或工程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仿宋_GB2312"/>
          <w:color w:val="000000"/>
          <w:sz w:val="24"/>
          <w:szCs w:val="24"/>
        </w:rPr>
        <w:t>西安市儿童医院西门院区门诊楼及住院二部楼顶发光字拆除设计安装项目</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项目编号：SXWZ2025ZB-ETYY-127</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5" w:name="OLE_LINK2"/>
      <w:r>
        <w:rPr>
          <w:rFonts w:hint="eastAsia" w:ascii="宋体" w:hAnsi="宋体" w:cs="宋体"/>
          <w:kern w:val="0"/>
          <w:sz w:val="24"/>
          <w:szCs w:val="24"/>
        </w:rPr>
        <w:t>采购人名称：西安市儿童医院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址：陕西省西安市西举院巷69号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联系方式：029-87692082</w:t>
      </w:r>
    </w:p>
    <w:bookmarkEnd w:id="5"/>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1505室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6"/>
        <w:spacing w:line="360" w:lineRule="auto"/>
        <w:ind w:firstLine="960" w:firstLineChars="400"/>
        <w:rPr>
          <w:rFonts w:ascii="宋体" w:hAnsi="宋体" w:cs="宋体"/>
          <w:kern w:val="0"/>
          <w:sz w:val="24"/>
          <w:szCs w:val="24"/>
        </w:rPr>
      </w:pPr>
      <w:r>
        <w:rPr>
          <w:rFonts w:hint="eastAsia" w:ascii="宋体" w:hAnsi="宋体" w:cs="宋体"/>
          <w:kern w:val="0"/>
          <w:sz w:val="24"/>
          <w:szCs w:val="24"/>
        </w:rPr>
        <w:t>采购内容：</w:t>
      </w:r>
      <w:r>
        <w:rPr>
          <w:rFonts w:hint="eastAsia" w:ascii="宋体" w:hAnsi="宋体" w:cs="仿宋_GB2312"/>
          <w:color w:val="000000"/>
          <w:sz w:val="24"/>
          <w:szCs w:val="24"/>
        </w:rPr>
        <w:t>西门院区门诊楼及住院二部楼顶发光字拆除设计安装</w:t>
      </w:r>
    </w:p>
    <w:p>
      <w:pPr>
        <w:pStyle w:val="6"/>
        <w:spacing w:line="360" w:lineRule="auto"/>
        <w:ind w:firstLine="960" w:firstLineChars="400"/>
        <w:rPr>
          <w:rFonts w:ascii="宋体" w:hAnsi="宋体" w:cs="宋体"/>
          <w:sz w:val="24"/>
          <w:szCs w:val="24"/>
        </w:rPr>
      </w:pPr>
      <w:r>
        <w:rPr>
          <w:rFonts w:hint="eastAsia" w:ascii="宋体" w:hAnsi="宋体" w:cs="宋体"/>
          <w:kern w:val="0"/>
          <w:sz w:val="24"/>
          <w:szCs w:val="24"/>
        </w:rPr>
        <w:t>采购预算/最高限价：298000.00</w:t>
      </w:r>
      <w:r>
        <w:rPr>
          <w:rFonts w:hint="eastAsia" w:ascii="宋体" w:hAnsi="宋体" w:cs="宋体"/>
          <w:sz w:val="24"/>
          <w:szCs w:val="24"/>
        </w:rPr>
        <w:t>元</w:t>
      </w:r>
    </w:p>
    <w:p>
      <w:pPr>
        <w:pStyle w:val="6"/>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6"/>
        <w:spacing w:line="360" w:lineRule="auto"/>
        <w:ind w:firstLine="960" w:firstLineChars="400"/>
        <w:rPr>
          <w:rFonts w:ascii="宋体" w:hAnsi="宋体" w:cs="宋体"/>
          <w:kern w:val="0"/>
          <w:sz w:val="24"/>
          <w:szCs w:val="24"/>
        </w:rPr>
      </w:pPr>
      <w:r>
        <w:rPr>
          <w:rFonts w:hint="eastAsia" w:ascii="宋体" w:hAnsi="宋体" w:cs="宋体"/>
          <w:sz w:val="24"/>
          <w:szCs w:val="24"/>
        </w:rPr>
        <w:t xml:space="preserve">项目性质：财政性资金 </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供应商资格要求：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left="63"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left="63" w:leftChars="0" w:firstLine="567" w:firstLineChars="0"/>
        <w:jc w:val="left"/>
      </w:pPr>
      <w:r>
        <w:rPr>
          <w:rFonts w:hint="eastAsia" w:ascii="宋体" w:hAnsi="宋体" w:cs="宋体"/>
          <w:bCs/>
          <w:kern w:val="0"/>
          <w:sz w:val="24"/>
          <w:szCs w:val="24"/>
        </w:rPr>
        <w:t>非法定代表人参加投标的，须提供法定代表人授权委托书及被授权人身份证；法定代表人参加投标时,只须提供法定代表人身份证原件；</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已缴存的2024年6月至今，任意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税收缴纳证明：提供已缴纳的2024年6月至今，任意一个月的纳税证明或完税证明；依法免税的单位应提供相关证明材料；</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财务状况证明：提供2023年度或2024年度的财务审计报告或在开标日期前六个月内其基本开户银行出具的资信证明；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w:t>
      </w:r>
      <w:r>
        <w:rPr>
          <w:rFonts w:hint="eastAsia" w:ascii="宋体" w:hAnsi="宋体" w:cs="宋体"/>
          <w:kern w:val="0"/>
          <w:sz w:val="24"/>
          <w:szCs w:val="24"/>
        </w:rPr>
        <w:t>的书面声明</w:t>
      </w:r>
      <w:r>
        <w:rPr>
          <w:rFonts w:hint="eastAsia" w:ascii="宋体" w:hAnsi="宋体" w:cs="宋体"/>
          <w:bCs/>
          <w:kern w:val="0"/>
          <w:sz w:val="24"/>
          <w:szCs w:val="24"/>
        </w:rPr>
        <w:t>；</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2、《财政部司法部关于政府采购支持监狱企业发展有关问题的通知》（财库〔2014〕68号）；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7、《西安市政府采购信用担保及信用融资工作实施方案（试行）》（市财发〔2014〕167）；</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8、其他需要落实的政府采购政策；</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kern w:val="0"/>
          <w:sz w:val="24"/>
          <w:szCs w:val="24"/>
        </w:rPr>
        <w:t>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16</w:t>
      </w:r>
      <w:r>
        <w:rPr>
          <w:rFonts w:hint="eastAsia" w:ascii="宋体" w:hAnsi="宋体" w:cs="宋体"/>
          <w:kern w:val="0"/>
          <w:sz w:val="24"/>
          <w:szCs w:val="24"/>
        </w:rPr>
        <w:t>日至2025年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日止。</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2、发售地点：西安市雁塔区唐延路35号旺座现代城C座2502室。</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3、文件售价：¥0元/套。谢绝邮寄。</w:t>
      </w:r>
    </w:p>
    <w:p>
      <w:pPr>
        <w:widowControl/>
        <w:wordWrap w:val="0"/>
        <w:snapToGrid w:val="0"/>
        <w:spacing w:line="360" w:lineRule="auto"/>
        <w:ind w:right="-199" w:rightChars="-95" w:firstLine="480" w:firstLineChars="200"/>
        <w:jc w:val="left"/>
        <w:rPr>
          <w:rFonts w:ascii="宋体" w:hAnsi="宋体" w:cs="宋体"/>
          <w:kern w:val="0"/>
          <w:sz w:val="24"/>
          <w:szCs w:val="24"/>
        </w:rPr>
      </w:pPr>
      <w:r>
        <w:rPr>
          <w:rFonts w:hint="eastAsia" w:asciiTheme="minorEastAsia" w:hAnsiTheme="minorEastAsia" w:cstheme="minorEastAsia"/>
          <w:kern w:val="0"/>
          <w:sz w:val="24"/>
          <w:szCs w:val="24"/>
        </w:rPr>
        <w:t>注：（1）供应商领取标书时，请携带单位介绍信及经办人身份证原件及复印件加盖公章</w:t>
      </w:r>
      <w:r>
        <w:rPr>
          <w:rFonts w:hint="eastAsia" w:ascii="宋体" w:hAnsi="宋体" w:cs="宋体"/>
          <w:kern w:val="0"/>
          <w:sz w:val="24"/>
          <w:szCs w:val="24"/>
        </w:rPr>
        <w:t xml:space="preserve">。（2）请供应商按照《陕西省财政厅关于政府采购供应商注册登记有关事项的通知》中的要求，通过陕西省政府采购网（http://www.ccgp-shaanxi.gov.cn/）注册登记加入陕西省政府采购供应商库。 </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1、磋商响应文件递交截止时间：2025年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日14:30</w:t>
      </w:r>
    </w:p>
    <w:p>
      <w:pPr>
        <w:widowControl/>
        <w:tabs>
          <w:tab w:val="left" w:pos="0"/>
        </w:tabs>
        <w:wordWrap w:val="0"/>
        <w:snapToGrid w:val="0"/>
        <w:spacing w:line="36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rPr>
        <w:t>2、磋商时间：2025年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日14:30</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3、磋商地点：西安市莲湖区西关正街英达大厦1505会议室。</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1、采购项目联系人：</w:t>
      </w:r>
      <w:r>
        <w:rPr>
          <w:rFonts w:hint="eastAsia" w:asciiTheme="minorEastAsia" w:hAnsiTheme="minorEastAsia" w:cstheme="minorEastAsia"/>
          <w:kern w:val="0"/>
          <w:sz w:val="24"/>
          <w:szCs w:val="24"/>
        </w:rPr>
        <w:t>崔方明 许芳芳 刘嘉辉 陈晓航</w:t>
      </w:r>
    </w:p>
    <w:p>
      <w:pPr>
        <w:widowControl/>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联系方式（电话/传真）：029-88319689-8004</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Pr>
        <w:spacing w:line="360" w:lineRule="auto"/>
      </w:pP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 xml:space="preserve"> 2025年</w:t>
      </w:r>
      <w:r>
        <w:rPr>
          <w:rFonts w:hint="eastAsia" w:ascii="宋体" w:hAnsi="宋体" w:cs="宋体"/>
          <w:kern w:val="0"/>
          <w:sz w:val="24"/>
          <w:szCs w:val="24"/>
          <w:lang w:val="en-US" w:eastAsia="zh-CN"/>
        </w:rPr>
        <w:t xml:space="preserve"> 06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16  </w:t>
      </w:r>
      <w:r>
        <w:rPr>
          <w:rFonts w:hint="eastAsia" w:ascii="宋体" w:hAnsi="宋体" w:cs="宋体"/>
          <w:kern w:val="0"/>
          <w:sz w:val="24"/>
          <w:szCs w:val="24"/>
        </w:rPr>
        <w:t>日</w:t>
      </w:r>
    </w:p>
    <w:p>
      <w:pPr>
        <w:pStyle w:val="2"/>
        <w:keepLines w:val="0"/>
        <w:spacing w:line="312" w:lineRule="auto"/>
        <w:ind w:firstLine="562" w:firstLineChars="175"/>
        <w:rPr>
          <w:rFonts w:ascii="宋体" w:hAnsi="宋体" w:cs="宋体"/>
          <w:highlight w:val="yellow"/>
        </w:rPr>
        <w:sectPr>
          <w:footerReference r:id="rId7" w:type="default"/>
          <w:pgSz w:w="11906" w:h="16838"/>
          <w:pgMar w:top="1440" w:right="1286" w:bottom="1440" w:left="1800" w:header="851" w:footer="992" w:gutter="0"/>
          <w:pgNumType w:start="1"/>
          <w:cols w:space="720" w:num="1"/>
          <w:docGrid w:type="lines" w:linePitch="312" w:charSpace="0"/>
        </w:sectPr>
      </w:pPr>
    </w:p>
    <w:p>
      <w:pPr>
        <w:pStyle w:val="2"/>
        <w:rPr>
          <w:rFonts w:ascii="宋体" w:hAnsi="宋体" w:cs="宋体"/>
        </w:rPr>
      </w:pPr>
      <w:bookmarkStart w:id="6" w:name="_Toc31083"/>
      <w:bookmarkStart w:id="7" w:name="_Toc2880"/>
      <w:bookmarkStart w:id="8" w:name="_Toc13198"/>
      <w:bookmarkStart w:id="9" w:name="_Toc30089"/>
      <w:bookmarkStart w:id="10" w:name="_Toc438048787"/>
      <w:r>
        <w:rPr>
          <w:rFonts w:hint="eastAsia" w:ascii="宋体" w:hAnsi="宋体" w:cs="宋体"/>
        </w:rPr>
        <w:t>第二部分 供应商须知前附表</w:t>
      </w:r>
      <w:bookmarkEnd w:id="6"/>
      <w:bookmarkEnd w:id="7"/>
      <w:bookmarkEnd w:id="8"/>
      <w:bookmarkEnd w:id="9"/>
      <w:bookmarkEnd w:id="10"/>
    </w:p>
    <w:tbl>
      <w:tblPr>
        <w:tblStyle w:val="26"/>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780"/>
        <w:gridCol w:w="7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780"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641"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780"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西安市儿童医院西门院区门诊楼及住院二部楼顶发光字拆除设计安装项目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780"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641"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w:t>
            </w:r>
            <w:r>
              <w:rPr>
                <w:rFonts w:hint="eastAsia" w:ascii="宋体" w:hAnsi="宋体" w:cs="宋体"/>
                <w:kern w:val="0"/>
                <w:szCs w:val="21"/>
              </w:rPr>
              <w:t>西安市儿童医院</w:t>
            </w:r>
          </w:p>
          <w:p>
            <w:pPr>
              <w:widowControl/>
              <w:wordWrap w:val="0"/>
              <w:spacing w:line="360" w:lineRule="auto"/>
              <w:jc w:val="left"/>
              <w:rPr>
                <w:rFonts w:ascii="宋体" w:hAnsi="宋体" w:cs="宋体"/>
                <w:szCs w:val="21"/>
              </w:rPr>
            </w:pPr>
            <w:r>
              <w:rPr>
                <w:rFonts w:hint="eastAsia" w:ascii="宋体" w:hAnsi="宋体" w:cs="宋体"/>
                <w:szCs w:val="21"/>
              </w:rPr>
              <w:t>地    址：</w:t>
            </w:r>
            <w:r>
              <w:rPr>
                <w:rFonts w:hint="eastAsia" w:ascii="宋体" w:hAnsi="宋体" w:cs="宋体"/>
                <w:kern w:val="0"/>
                <w:szCs w:val="21"/>
              </w:rPr>
              <w:t>陕西省西安市西举院巷69号</w:t>
            </w:r>
          </w:p>
          <w:p>
            <w:pPr>
              <w:pStyle w:val="5"/>
              <w:rPr>
                <w:rFonts w:hint="default" w:ascii="宋体" w:hAnsi="宋体" w:cs="宋体"/>
                <w:b w:val="0"/>
                <w:sz w:val="21"/>
                <w:szCs w:val="21"/>
              </w:rPr>
            </w:pPr>
            <w:r>
              <w:rPr>
                <w:rFonts w:ascii="宋体" w:hAnsi="宋体" w:cs="宋体"/>
                <w:b w:val="0"/>
                <w:sz w:val="21"/>
                <w:szCs w:val="21"/>
              </w:rPr>
              <w:t>联系人：陆老师</w:t>
            </w:r>
          </w:p>
          <w:p>
            <w:pPr>
              <w:widowControl/>
              <w:wordWrap w:val="0"/>
              <w:spacing w:line="360" w:lineRule="auto"/>
              <w:jc w:val="left"/>
              <w:rPr>
                <w:rFonts w:ascii="宋体" w:hAnsi="宋体" w:cs="宋体"/>
                <w:szCs w:val="21"/>
              </w:rPr>
            </w:pPr>
            <w:r>
              <w:rPr>
                <w:rFonts w:hint="eastAsia" w:ascii="宋体" w:hAnsi="宋体" w:cs="宋体"/>
                <w:szCs w:val="21"/>
              </w:rPr>
              <w:t>联系方式：029-87692082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780"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 构</w:t>
            </w:r>
          </w:p>
        </w:tc>
        <w:tc>
          <w:tcPr>
            <w:tcW w:w="7641"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址：西安市莲湖区西关正街英达大厦1505室</w:t>
            </w:r>
          </w:p>
          <w:p>
            <w:pPr>
              <w:spacing w:line="360" w:lineRule="auto"/>
              <w:jc w:val="left"/>
              <w:rPr>
                <w:rFonts w:ascii="宋体" w:hAnsi="宋体" w:cs="宋体"/>
                <w:szCs w:val="21"/>
              </w:rPr>
            </w:pPr>
            <w:r>
              <w:rPr>
                <w:rFonts w:hint="eastAsia" w:ascii="宋体" w:hAnsi="宋体" w:cs="宋体"/>
                <w:szCs w:val="21"/>
              </w:rPr>
              <w:t>联   系   人：崔方明 许芳芳 刘嘉辉 陈晓航</w:t>
            </w:r>
          </w:p>
          <w:p>
            <w:pPr>
              <w:spacing w:line="360" w:lineRule="auto"/>
              <w:jc w:val="left"/>
              <w:rPr>
                <w:rFonts w:ascii="宋体" w:hAnsi="宋体" w:cs="宋体"/>
                <w:szCs w:val="21"/>
              </w:rPr>
            </w:pPr>
            <w:r>
              <w:rPr>
                <w:rFonts w:hint="eastAsia" w:ascii="宋体" w:hAnsi="宋体" w:cs="宋体"/>
                <w:szCs w:val="21"/>
              </w:rPr>
              <w:t>电        话：029-88319689-8004</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780" w:type="dxa"/>
            <w:vAlign w:val="center"/>
          </w:tcPr>
          <w:p>
            <w:pPr>
              <w:spacing w:line="360" w:lineRule="auto"/>
              <w:rPr>
                <w:rFonts w:ascii="宋体" w:hAnsi="宋体" w:cs="宋体"/>
                <w:szCs w:val="21"/>
              </w:rPr>
            </w:pPr>
            <w:r>
              <w:rPr>
                <w:rFonts w:hint="eastAsia" w:ascii="宋体" w:hAnsi="宋体" w:cs="宋体"/>
                <w:szCs w:val="21"/>
              </w:rPr>
              <w:t>联合体形式</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780"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780" w:type="dxa"/>
            <w:vAlign w:val="center"/>
          </w:tcPr>
          <w:p>
            <w:pPr>
              <w:spacing w:line="360" w:lineRule="auto"/>
              <w:rPr>
                <w:rFonts w:ascii="宋体" w:hAnsi="宋体" w:cs="宋体"/>
                <w:szCs w:val="21"/>
              </w:rPr>
            </w:pPr>
            <w:r>
              <w:rPr>
                <w:rFonts w:hint="eastAsia" w:ascii="宋体" w:hAnsi="宋体" w:cs="宋体"/>
                <w:szCs w:val="21"/>
              </w:rPr>
              <w:t>打 包</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本次采购不分包，供应商可根据自身的资质情况和经营范围对本项目进行磋商，不得自行分解或只对本次项目中的品目进行不完全磋商，任何不完全的磋商将按无效磋商处理。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780"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641"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780"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641" w:type="dxa"/>
          </w:tcPr>
          <w:p>
            <w:pPr>
              <w:spacing w:line="360" w:lineRule="auto"/>
              <w:jc w:val="left"/>
              <w:rPr>
                <w:szCs w:val="21"/>
              </w:rPr>
            </w:pPr>
            <w:r>
              <w:rPr>
                <w:rFonts w:hint="eastAsia"/>
              </w:rPr>
              <w:t>符</w:t>
            </w:r>
            <w:r>
              <w:rPr>
                <w:rFonts w:hint="eastAsia"/>
                <w:szCs w:val="21"/>
              </w:rPr>
              <w:t>合《中华人民共和国政府采购法》第二十二条规定，并提供以下材料：</w:t>
            </w:r>
          </w:p>
          <w:p>
            <w:pPr>
              <w:snapToGrid w:val="0"/>
              <w:spacing w:line="360" w:lineRule="auto"/>
              <w:ind w:right="273" w:rightChars="130" w:firstLine="420" w:firstLineChars="200"/>
              <w:jc w:val="left"/>
              <w:rPr>
                <w:szCs w:val="21"/>
              </w:rPr>
            </w:pPr>
            <w:r>
              <w:rPr>
                <w:rFonts w:hint="eastAsia"/>
                <w:szCs w:val="21"/>
              </w:rPr>
              <w:t>1、提供合格有效的法人或其他组织的营业执照等证明文件，自然人参与的提供其身份证原件；</w:t>
            </w:r>
            <w:r>
              <w:rPr>
                <w:rFonts w:hint="eastAsia" w:ascii="宋体" w:hAnsi="宋体"/>
                <w:b/>
                <w:bCs/>
                <w:szCs w:val="21"/>
              </w:rPr>
              <w:t>提供复印件加盖供应商鲜章；</w:t>
            </w:r>
          </w:p>
          <w:p>
            <w:pPr>
              <w:snapToGrid w:val="0"/>
              <w:spacing w:line="360" w:lineRule="auto"/>
              <w:ind w:right="273" w:rightChars="130" w:firstLine="420" w:firstLineChars="200"/>
              <w:jc w:val="left"/>
              <w:rPr>
                <w:szCs w:val="21"/>
              </w:rPr>
            </w:pPr>
            <w:r>
              <w:rPr>
                <w:rFonts w:hint="eastAsia"/>
                <w:szCs w:val="21"/>
              </w:rPr>
              <w:t>2、</w:t>
            </w:r>
            <w:r>
              <w:rPr>
                <w:rFonts w:hint="eastAsia" w:ascii="宋体" w:hAnsi="宋体"/>
                <w:b/>
                <w:bCs/>
                <w:szCs w:val="21"/>
              </w:rPr>
              <w:t>非法定代表人参加磋商的，须提供法定代表人授权委托书原件及被授权人身份证原件；法定代表人参加磋商时,只须提供法定代表人身份证原件；</w:t>
            </w:r>
          </w:p>
          <w:p>
            <w:pPr>
              <w:snapToGrid w:val="0"/>
              <w:spacing w:line="360" w:lineRule="auto"/>
              <w:ind w:right="273" w:rightChars="130" w:firstLine="420" w:firstLineChars="200"/>
              <w:jc w:val="left"/>
              <w:rPr>
                <w:szCs w:val="21"/>
              </w:rPr>
            </w:pPr>
            <w:r>
              <w:rPr>
                <w:rFonts w:hint="eastAsia"/>
                <w:szCs w:val="21"/>
              </w:rPr>
              <w:t>3、社会保障资金缴纳证明：提供已缴存的2024年6月至今，任意一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b/>
                <w:bCs/>
                <w:szCs w:val="21"/>
              </w:rPr>
              <w:t>提供复印件加盖供应商鲜章；</w:t>
            </w:r>
          </w:p>
          <w:p>
            <w:pPr>
              <w:snapToGrid w:val="0"/>
              <w:spacing w:line="360" w:lineRule="auto"/>
              <w:ind w:right="273" w:rightChars="130" w:firstLine="420" w:firstLineChars="200"/>
              <w:jc w:val="left"/>
              <w:rPr>
                <w:szCs w:val="21"/>
              </w:rPr>
            </w:pPr>
            <w:r>
              <w:rPr>
                <w:rFonts w:hint="eastAsia"/>
                <w:szCs w:val="21"/>
              </w:rPr>
              <w:t>4、税收缴纳证明：提供已缴纳的2024年6月至今，任意一个月的纳税证明或完税证明；依法免税的单位应提供相关证明材料；</w:t>
            </w:r>
            <w:r>
              <w:rPr>
                <w:rFonts w:hint="eastAsia" w:ascii="宋体" w:hAnsi="宋体"/>
                <w:b/>
                <w:bCs/>
                <w:szCs w:val="21"/>
              </w:rPr>
              <w:t>提供复印件加盖供应商鲜章；</w:t>
            </w:r>
          </w:p>
          <w:p>
            <w:pPr>
              <w:snapToGrid w:val="0"/>
              <w:spacing w:line="360" w:lineRule="auto"/>
              <w:ind w:right="273" w:rightChars="130" w:firstLine="420" w:firstLineChars="200"/>
              <w:jc w:val="left"/>
              <w:rPr>
                <w:szCs w:val="21"/>
              </w:rPr>
            </w:pPr>
            <w:r>
              <w:rPr>
                <w:rFonts w:hint="eastAsia"/>
                <w:szCs w:val="21"/>
              </w:rPr>
              <w:t>5、财务状况证明：提供2023年度或2024年度的财务审计报告或在开标日期前六个月内其基本开户银行出具的资信证明；</w:t>
            </w:r>
            <w:r>
              <w:rPr>
                <w:rFonts w:hint="eastAsia" w:ascii="宋体" w:hAnsi="宋体"/>
                <w:b/>
                <w:bCs/>
                <w:szCs w:val="21"/>
              </w:rPr>
              <w:t>提供复印件加盖供应商鲜章；</w:t>
            </w:r>
          </w:p>
          <w:p>
            <w:pPr>
              <w:snapToGrid w:val="0"/>
              <w:spacing w:line="360" w:lineRule="auto"/>
              <w:ind w:right="273" w:rightChars="130" w:firstLine="420" w:firstLineChars="200"/>
              <w:jc w:val="left"/>
              <w:rPr>
                <w:rFonts w:cstheme="minorBidi"/>
                <w:b/>
                <w:bCs/>
                <w:szCs w:val="20"/>
              </w:rPr>
            </w:pPr>
            <w:r>
              <w:rPr>
                <w:rFonts w:hint="eastAsia"/>
                <w:szCs w:val="21"/>
              </w:rPr>
              <w:t>6、</w:t>
            </w:r>
            <w:r>
              <w:rPr>
                <w:rFonts w:hint="eastAsia" w:asciiTheme="minorHAnsi" w:hAnsiTheme="minorHAnsi" w:eastAsiaTheme="minorEastAsia" w:cstheme="minorBidi"/>
                <w:szCs w:val="20"/>
              </w:rPr>
              <w:t>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r>
              <w:rPr>
                <w:rFonts w:hint="eastAsia" w:cstheme="minorBidi"/>
                <w:b/>
                <w:bCs/>
                <w:szCs w:val="20"/>
              </w:rPr>
              <w:t>提供声明原件，格式可参考招标文件第七部分投标文件相关格式；</w:t>
            </w:r>
          </w:p>
          <w:p>
            <w:pPr>
              <w:pStyle w:val="16"/>
              <w:spacing w:line="360" w:lineRule="auto"/>
              <w:rPr>
                <w:rFonts w:cstheme="minorBidi"/>
                <w:b/>
                <w:bCs/>
                <w:sz w:val="21"/>
                <w:szCs w:val="20"/>
              </w:rPr>
            </w:pPr>
            <w:r>
              <w:rPr>
                <w:rFonts w:hint="eastAsia" w:cstheme="minorBidi"/>
                <w:b/>
                <w:bCs/>
                <w:szCs w:val="20"/>
              </w:rPr>
              <w:t xml:space="preserve">    </w:t>
            </w:r>
            <w:r>
              <w:rPr>
                <w:rFonts w:hint="eastAsia" w:cstheme="minorBidi"/>
                <w:b/>
                <w:bCs/>
                <w:sz w:val="21"/>
                <w:szCs w:val="20"/>
              </w:rPr>
              <w:t xml:space="preserve"> </w:t>
            </w:r>
            <w:r>
              <w:rPr>
                <w:rFonts w:hint="eastAsia" w:cstheme="minorBidi"/>
                <w:b/>
                <w:bCs/>
                <w:sz w:val="21"/>
                <w:szCs w:val="20"/>
                <w:lang w:val="en-US" w:eastAsia="zh-CN"/>
              </w:rPr>
              <w:t>7</w:t>
            </w:r>
            <w:r>
              <w:rPr>
                <w:rFonts w:hint="eastAsia" w:cstheme="minorBidi"/>
                <w:b/>
                <w:bCs/>
                <w:sz w:val="21"/>
                <w:szCs w:val="20"/>
              </w:rPr>
              <w:t>、本项目不接受联合体磋商；</w:t>
            </w:r>
          </w:p>
          <w:p>
            <w:pPr>
              <w:pStyle w:val="6"/>
              <w:spacing w:line="360" w:lineRule="auto"/>
              <w:ind w:firstLine="422" w:firstLineChars="200"/>
              <w:rPr>
                <w:rFonts w:asciiTheme="minorEastAsia" w:hAnsiTheme="minorEastAsia" w:eastAsiaTheme="minorEastAsia" w:cstheme="minorEastAsia"/>
                <w:b/>
                <w:bCs/>
                <w:szCs w:val="21"/>
              </w:rPr>
            </w:pPr>
            <w:r>
              <w:rPr>
                <w:rFonts w:hint="eastAsia" w:asciiTheme="minorHAnsi" w:hAnsiTheme="minorHAnsi" w:eastAsiaTheme="minorEastAsia" w:cstheme="minorBidi"/>
                <w:b/>
                <w:bCs/>
              </w:rPr>
              <w:t>注：</w:t>
            </w: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处理。</w:t>
            </w:r>
          </w:p>
          <w:p>
            <w:pPr>
              <w:pStyle w:val="6"/>
              <w:spacing w:line="360" w:lineRule="auto"/>
              <w:ind w:firstLine="422" w:firstLineChars="200"/>
            </w:pPr>
            <w:r>
              <w:rPr>
                <w:rFonts w:cs="Calibri" w:eastAsiaTheme="minorEastAsia"/>
                <w:b/>
                <w:bCs/>
                <w:szCs w:val="21"/>
              </w:rPr>
              <w:t>②</w:t>
            </w:r>
            <w:r>
              <w:rPr>
                <w:rFonts w:hint="eastAsia" w:cs="Calibri" w:eastAsiaTheme="minorEastAsia"/>
                <w:b/>
                <w:bCs/>
                <w:szCs w:val="21"/>
              </w:rPr>
              <w:t>供应商</w:t>
            </w:r>
            <w:r>
              <w:rPr>
                <w:rFonts w:hint="eastAsia" w:asciiTheme="minorEastAsia" w:hAnsiTheme="minorEastAsia" w:eastAsiaTheme="minorEastAsia" w:cstheme="minorEastAsia"/>
                <w:b/>
                <w:bCs/>
                <w:szCs w:val="21"/>
              </w:rPr>
              <w:t>自行承担所提供原件及其复印件的真实性、合法性及有效性，由于</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未在响应文件中提供或所提供证明材料不合格的，将按无效响应处理。（如</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780"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保证金要求</w:t>
            </w:r>
          </w:p>
        </w:tc>
        <w:tc>
          <w:tcPr>
            <w:tcW w:w="7641" w:type="dxa"/>
          </w:tcPr>
          <w:p>
            <w:pPr>
              <w:spacing w:line="500" w:lineRule="exact"/>
              <w:ind w:firstLine="210" w:firstLineChars="100"/>
              <w:jc w:val="left"/>
              <w:rPr>
                <w:rFonts w:ascii="宋体" w:hAnsi="宋体" w:cs="宋体"/>
                <w:szCs w:val="21"/>
              </w:rPr>
            </w:pPr>
            <w:r>
              <w:rPr>
                <w:rFonts w:hint="eastAsia" w:ascii="宋体" w:hAnsi="宋体" w:cs="宋体"/>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780"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641"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780"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641"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9"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780"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641"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1" w:hRule="atLeast"/>
        </w:trPr>
        <w:tc>
          <w:tcPr>
            <w:tcW w:w="499" w:type="dxa"/>
            <w:vAlign w:val="center"/>
          </w:tcPr>
          <w:p>
            <w:pPr>
              <w:jc w:val="center"/>
              <w:rPr>
                <w:rFonts w:ascii="宋体" w:hAnsi="宋体" w:cs="宋体"/>
                <w:szCs w:val="21"/>
              </w:rPr>
            </w:pPr>
            <w:r>
              <w:rPr>
                <w:rFonts w:hint="eastAsia" w:ascii="宋体" w:hAnsi="宋体" w:cs="宋体"/>
                <w:szCs w:val="21"/>
              </w:rPr>
              <w:t>13</w:t>
            </w:r>
          </w:p>
        </w:tc>
        <w:tc>
          <w:tcPr>
            <w:tcW w:w="780" w:type="dxa"/>
            <w:vAlign w:val="center"/>
          </w:tcPr>
          <w:p>
            <w:pPr>
              <w:jc w:val="center"/>
              <w:rPr>
                <w:rFonts w:ascii="宋体" w:hAnsi="宋体" w:cs="宋体"/>
                <w:color w:val="000000"/>
                <w:szCs w:val="21"/>
              </w:rPr>
            </w:pPr>
            <w:r>
              <w:rPr>
                <w:rFonts w:hint="eastAsia" w:ascii="宋体" w:hAnsi="宋体" w:cs="宋体"/>
                <w:color w:val="000000"/>
                <w:szCs w:val="21"/>
              </w:rPr>
              <w:t>现场勘查</w:t>
            </w:r>
          </w:p>
        </w:tc>
        <w:tc>
          <w:tcPr>
            <w:tcW w:w="7641" w:type="dxa"/>
            <w:vAlign w:val="center"/>
          </w:tcPr>
          <w:p>
            <w:pPr>
              <w:pStyle w:val="5"/>
              <w:spacing w:line="360" w:lineRule="auto"/>
              <w:rPr>
                <w:rFonts w:hint="default" w:ascii="宋体" w:hAnsi="宋体" w:cs="宋体"/>
                <w:kern w:val="0"/>
                <w:sz w:val="24"/>
                <w:szCs w:val="24"/>
              </w:rPr>
            </w:pPr>
            <w:r>
              <w:rPr>
                <w:rFonts w:ascii="宋体" w:hAnsi="宋体" w:cs="宋体"/>
                <w:kern w:val="0"/>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14</w:t>
            </w:r>
          </w:p>
        </w:tc>
        <w:tc>
          <w:tcPr>
            <w:tcW w:w="780"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color w:val="000000"/>
                <w:szCs w:val="21"/>
              </w:rPr>
            </w:pPr>
            <w:r>
              <w:rPr>
                <w:rFonts w:hint="eastAsia" w:ascii="宋体" w:hAnsi="宋体" w:cs="宋体"/>
                <w:szCs w:val="21"/>
              </w:rPr>
              <w:t>保证金</w:t>
            </w:r>
          </w:p>
        </w:tc>
        <w:tc>
          <w:tcPr>
            <w:tcW w:w="7641"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15</w:t>
            </w:r>
          </w:p>
        </w:tc>
        <w:tc>
          <w:tcPr>
            <w:tcW w:w="780" w:type="dxa"/>
            <w:vAlign w:val="center"/>
          </w:tcPr>
          <w:p>
            <w:pPr>
              <w:spacing w:line="360" w:lineRule="auto"/>
              <w:jc w:val="left"/>
              <w:textAlignment w:val="baseline"/>
              <w:rPr>
                <w:rFonts w:ascii="宋体" w:hAnsi="宋体" w:cs="宋体"/>
                <w:color w:val="000000"/>
                <w:szCs w:val="21"/>
              </w:rPr>
            </w:pPr>
            <w:r>
              <w:rPr>
                <w:rFonts w:hint="eastAsia" w:ascii="宋体" w:hAnsi="宋体" w:cs="宋体"/>
                <w:szCs w:val="21"/>
              </w:rPr>
              <w:t>履约验收</w:t>
            </w:r>
          </w:p>
        </w:tc>
        <w:tc>
          <w:tcPr>
            <w:tcW w:w="7641" w:type="dxa"/>
            <w:vAlign w:val="center"/>
          </w:tcPr>
          <w:p>
            <w:pPr>
              <w:spacing w:line="360" w:lineRule="auto"/>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499" w:type="dxa"/>
            <w:vAlign w:val="center"/>
          </w:tcPr>
          <w:p>
            <w:pPr>
              <w:jc w:val="center"/>
              <w:rPr>
                <w:rFonts w:asciiTheme="minorEastAsia" w:hAnsiTheme="minorEastAsia" w:cstheme="minorEastAsia"/>
                <w:b/>
                <w:bCs/>
                <w:szCs w:val="21"/>
              </w:rPr>
            </w:pPr>
            <w:r>
              <w:rPr>
                <w:rFonts w:hint="eastAsia" w:ascii="宋体" w:hAnsi="宋体" w:cs="宋体"/>
                <w:szCs w:val="21"/>
              </w:rPr>
              <w:t>16</w:t>
            </w:r>
          </w:p>
        </w:tc>
        <w:tc>
          <w:tcPr>
            <w:tcW w:w="780" w:type="dxa"/>
            <w:vAlign w:val="center"/>
          </w:tcPr>
          <w:p>
            <w:pPr>
              <w:spacing w:line="360" w:lineRule="auto"/>
              <w:rPr>
                <w:rFonts w:ascii="宋体" w:hAnsi="宋体" w:cs="宋体"/>
                <w:b/>
                <w:bCs/>
                <w:szCs w:val="21"/>
              </w:rPr>
            </w:pPr>
            <w:r>
              <w:rPr>
                <w:rFonts w:hint="eastAsia" w:ascii="宋体" w:hAnsi="宋体" w:cs="宋体"/>
                <w:szCs w:val="21"/>
              </w:rPr>
              <w:t>项目性质</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☑非专门面向中小企业采购</w:t>
            </w:r>
          </w:p>
          <w:p>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 xml:space="preserve"> 10 </w:t>
            </w:r>
            <w:r>
              <w:rPr>
                <w:rFonts w:hint="eastAsia" w:ascii="宋体" w:hAnsi="宋体" w:cs="宋体"/>
                <w:szCs w:val="21"/>
              </w:rPr>
              <w:t>％(6％-10％)的扣除,用扣除后的价格参加评审。</w:t>
            </w:r>
          </w:p>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hAnsi="宋体" w:cs="宋体"/>
                <w:szCs w:val="21"/>
              </w:rPr>
            </w:pPr>
            <w:r>
              <w:rPr>
                <w:rFonts w:hint="eastAsia" w:ascii="宋体" w:hAnsi="宋体" w:cs="宋体"/>
                <w:szCs w:val="21"/>
              </w:rPr>
              <w:t>□专门面向中小企业采购</w:t>
            </w:r>
          </w:p>
          <w:p>
            <w:pPr>
              <w:spacing w:line="360" w:lineRule="auto"/>
              <w:jc w:val="left"/>
              <w:rPr>
                <w:rFonts w:ascii="宋体" w:hAnsi="宋体" w:cs="宋体"/>
                <w:b/>
                <w:bCs/>
                <w:szCs w:val="21"/>
              </w:rPr>
            </w:pPr>
            <w:r>
              <w:rPr>
                <w:rFonts w:hint="eastAsia" w:ascii="宋体" w:hAnsi="宋体" w:cs="宋体"/>
                <w:szCs w:val="21"/>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499" w:type="dxa"/>
            <w:vAlign w:val="center"/>
          </w:tcPr>
          <w:p>
            <w:pPr>
              <w:jc w:val="center"/>
              <w:rPr>
                <w:rFonts w:asciiTheme="minorEastAsia" w:hAnsiTheme="minorEastAsia" w:cstheme="minorEastAsia"/>
                <w:b/>
                <w:bCs/>
                <w:szCs w:val="21"/>
              </w:rPr>
            </w:pPr>
            <w:bookmarkStart w:id="11" w:name="_Toc19272"/>
            <w:bookmarkStart w:id="12" w:name="_Toc25094"/>
            <w:bookmarkStart w:id="13" w:name="_Toc26164"/>
            <w:r>
              <w:rPr>
                <w:rFonts w:hint="eastAsia" w:ascii="宋体" w:hAnsi="宋体" w:cs="宋体"/>
                <w:szCs w:val="21"/>
              </w:rPr>
              <w:t>17</w:t>
            </w:r>
          </w:p>
        </w:tc>
        <w:tc>
          <w:tcPr>
            <w:tcW w:w="780" w:type="dxa"/>
            <w:vAlign w:val="center"/>
          </w:tcPr>
          <w:p>
            <w:pPr>
              <w:spacing w:line="360" w:lineRule="auto"/>
              <w:jc w:val="center"/>
              <w:rPr>
                <w:rFonts w:ascii="宋体" w:hAnsi="宋体" w:cs="宋体"/>
                <w:b/>
                <w:bCs/>
                <w:szCs w:val="21"/>
              </w:rPr>
            </w:pPr>
            <w:r>
              <w:rPr>
                <w:rFonts w:hint="eastAsia" w:ascii="宋体" w:hAnsi="宋体" w:cs="宋体"/>
                <w:szCs w:val="21"/>
              </w:rPr>
              <w:t>政府采购融资政策</w:t>
            </w:r>
          </w:p>
        </w:tc>
        <w:tc>
          <w:tcPr>
            <w:tcW w:w="7641" w:type="dxa"/>
            <w:vAlign w:val="center"/>
          </w:tcPr>
          <w:p>
            <w:pPr>
              <w:spacing w:line="360" w:lineRule="auto"/>
              <w:rPr>
                <w:rFonts w:hAnsi="宋体" w:cs="宋体"/>
                <w:szCs w:val="21"/>
              </w:rPr>
            </w:pPr>
            <w:r>
              <w:rPr>
                <w:rFonts w:hint="eastAsia" w:hAnsi="宋体" w:cs="宋体"/>
                <w:szCs w:val="21"/>
              </w:rPr>
              <w:t>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hint="eastAsia" w:hAnsi="宋体" w:cs="宋体"/>
                <w:szCs w:val="21"/>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20"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http://xaczj.xa.gov.cn/zfcg/cgfg/5db9054565cbd804f69e97e0.html中《西安市财政局关于进一步做好政府采购信用担保及信用融资工作有关事宜的通知》）。</w:t>
            </w:r>
          </w:p>
          <w:p>
            <w:pPr>
              <w:spacing w:line="360" w:lineRule="auto"/>
              <w:rPr>
                <w:rFonts w:hAnsi="宋体" w:cs="宋体"/>
                <w:szCs w:val="21"/>
              </w:rPr>
            </w:pPr>
            <w:r>
              <w:rPr>
                <w:rFonts w:hint="eastAsia" w:hAnsi="宋体" w:cs="宋体"/>
                <w:szCs w:val="21"/>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hint="eastAsia" w:hAnsi="宋体" w:cs="宋体"/>
                <w:szCs w:val="21"/>
              </w:rPr>
              <w:drawing>
                <wp:inline distT="0" distB="0" distL="114300" distR="114300">
                  <wp:extent cx="190500" cy="142875"/>
                  <wp:effectExtent l="0" t="0" r="0"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20"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http://xaczj.xa.gov.cn/)政府采购专栏中查询了解。</w:t>
            </w:r>
          </w:p>
          <w:p>
            <w:pPr>
              <w:spacing w:line="360" w:lineRule="auto"/>
              <w:rPr>
                <w:rFonts w:ascii="宋体" w:hAnsi="宋体"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499" w:type="dxa"/>
            <w:vAlign w:val="center"/>
          </w:tcPr>
          <w:p>
            <w:pPr>
              <w:jc w:val="center"/>
              <w:rPr>
                <w:rFonts w:asciiTheme="minorEastAsia" w:hAnsiTheme="minorEastAsia" w:cstheme="minorEastAsia"/>
                <w:b/>
                <w:bCs/>
                <w:szCs w:val="21"/>
              </w:rPr>
            </w:pPr>
            <w:r>
              <w:rPr>
                <w:rFonts w:hint="eastAsia" w:ascii="宋体" w:hAnsi="宋体" w:cs="宋体"/>
                <w:szCs w:val="21"/>
              </w:rPr>
              <w:t>18</w:t>
            </w:r>
          </w:p>
        </w:tc>
        <w:tc>
          <w:tcPr>
            <w:tcW w:w="780" w:type="dxa"/>
            <w:vAlign w:val="center"/>
          </w:tcPr>
          <w:p>
            <w:pPr>
              <w:spacing w:line="360" w:lineRule="auto"/>
              <w:jc w:val="center"/>
              <w:rPr>
                <w:rFonts w:ascii="宋体" w:hAnsi="宋体" w:cs="宋体"/>
                <w:b/>
                <w:bCs/>
                <w:szCs w:val="21"/>
              </w:rPr>
            </w:pPr>
            <w:r>
              <w:rPr>
                <w:rFonts w:hint="eastAsia" w:ascii="宋体" w:hAnsi="宋体" w:cs="宋体"/>
                <w:color w:val="000000"/>
                <w:szCs w:val="21"/>
              </w:rPr>
              <w:t>弃标须知</w:t>
            </w:r>
          </w:p>
        </w:tc>
        <w:tc>
          <w:tcPr>
            <w:tcW w:w="7641" w:type="dxa"/>
            <w:vAlign w:val="center"/>
          </w:tcPr>
          <w:p>
            <w:pPr>
              <w:spacing w:line="360" w:lineRule="auto"/>
              <w:ind w:firstLine="420" w:firstLineChars="200"/>
              <w:jc w:val="left"/>
              <w:rPr>
                <w:rFonts w:ascii="宋体" w:hAnsi="宋体" w:cs="宋体"/>
                <w:b/>
                <w:bCs/>
                <w:szCs w:val="21"/>
              </w:rPr>
            </w:pPr>
            <w:r>
              <w:rPr>
                <w:rFonts w:hint="eastAsia" w:ascii="宋体" w:hAnsi="宋体" w:cs="宋体"/>
                <w:szCs w:val="21"/>
              </w:rPr>
              <w:t>根据市财函｛2021｝431号文第16条规定：供应商登记免费领取磋商响应文件的，如不参与项目磋商，应在递交磋商（或相应）文件截止时间前一日以书面形式告知招标代理机构。否则，招标代理机构可以向财政部门反应情况并提供佐证。供应商一年内累计出现三次该情形，将被监管部门记录为失信行为。</w:t>
            </w:r>
          </w:p>
        </w:tc>
      </w:tr>
    </w:tbl>
    <w:p>
      <w:pPr>
        <w:rPr>
          <w:rFonts w:ascii="宋体" w:hAnsi="宋体" w:cs="宋体"/>
        </w:rPr>
      </w:pPr>
      <w:r>
        <w:rPr>
          <w:rFonts w:hint="eastAsia" w:ascii="宋体" w:hAnsi="宋体" w:cs="宋体"/>
        </w:rPr>
        <w:br w:type="page"/>
      </w:r>
    </w:p>
    <w:p>
      <w:pPr>
        <w:pStyle w:val="2"/>
        <w:keepLines w:val="0"/>
        <w:ind w:firstLine="643" w:firstLineChars="200"/>
        <w:rPr>
          <w:rFonts w:ascii="宋体" w:hAnsi="宋体" w:cs="宋体"/>
        </w:rPr>
      </w:pPr>
      <w:bookmarkStart w:id="14" w:name="_Toc6416"/>
      <w:r>
        <w:rPr>
          <w:rFonts w:hint="eastAsia" w:ascii="宋体" w:hAnsi="宋体" w:cs="宋体"/>
        </w:rPr>
        <w:t>第三部分 供应商须知</w:t>
      </w:r>
      <w:bookmarkEnd w:id="11"/>
      <w:bookmarkEnd w:id="12"/>
      <w:bookmarkEnd w:id="13"/>
      <w:bookmarkEnd w:id="14"/>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5" w:name="_Toc19641"/>
      <w:bookmarkStart w:id="16" w:name="_Toc26739"/>
      <w:bookmarkStart w:id="17" w:name="_Toc12064"/>
      <w:bookmarkStart w:id="18" w:name="_Toc10909"/>
      <w:r>
        <w:rPr>
          <w:rFonts w:hint="eastAsia" w:ascii="宋体" w:hAnsi="宋体" w:cs="宋体"/>
          <w:b/>
          <w:bCs/>
          <w:kern w:val="0"/>
          <w:sz w:val="32"/>
          <w:szCs w:val="28"/>
        </w:rPr>
        <w:t>总则</w:t>
      </w:r>
      <w:bookmarkEnd w:id="15"/>
      <w:bookmarkEnd w:id="16"/>
      <w:bookmarkEnd w:id="17"/>
      <w:bookmarkEnd w:id="18"/>
    </w:p>
    <w:p>
      <w:pPr>
        <w:pStyle w:val="4"/>
        <w:numPr>
          <w:ilvl w:val="0"/>
          <w:numId w:val="4"/>
        </w:numPr>
        <w:ind w:firstLine="562" w:firstLineChars="200"/>
        <w:rPr>
          <w:rFonts w:ascii="宋体" w:hAnsi="宋体" w:cs="宋体"/>
        </w:rPr>
      </w:pPr>
      <w:bookmarkStart w:id="19" w:name="_Toc380336725"/>
      <w:bookmarkStart w:id="20" w:name="_Toc6742"/>
      <w:bookmarkStart w:id="21" w:name="_Toc9257"/>
      <w:bookmarkStart w:id="22" w:name="_Toc358364319"/>
      <w:r>
        <w:rPr>
          <w:rFonts w:hint="eastAsia" w:ascii="宋体" w:hAnsi="宋体" w:cs="宋体"/>
        </w:rPr>
        <w:t>适用范围</w:t>
      </w:r>
      <w:bookmarkEnd w:id="19"/>
      <w:bookmarkEnd w:id="20"/>
      <w:bookmarkEnd w:id="21"/>
      <w:bookmarkEnd w:id="22"/>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4"/>
        <w:numPr>
          <w:ilvl w:val="0"/>
          <w:numId w:val="4"/>
        </w:numPr>
        <w:ind w:firstLine="562" w:firstLineChars="200"/>
        <w:rPr>
          <w:rFonts w:ascii="宋体" w:hAnsi="宋体" w:cs="宋体"/>
        </w:rPr>
      </w:pPr>
      <w:bookmarkStart w:id="23" w:name="_Toc380336726"/>
      <w:bookmarkStart w:id="24" w:name="_Toc11287"/>
      <w:bookmarkStart w:id="25" w:name="_Toc7922"/>
      <w:bookmarkStart w:id="26" w:name="_Toc358364320"/>
      <w:r>
        <w:rPr>
          <w:rFonts w:hint="eastAsia" w:ascii="宋体" w:hAnsi="宋体" w:cs="宋体"/>
        </w:rPr>
        <w:t>定义</w:t>
      </w:r>
      <w:bookmarkEnd w:id="23"/>
      <w:bookmarkEnd w:id="24"/>
      <w:bookmarkEnd w:id="25"/>
      <w:bookmarkEnd w:id="26"/>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产品、产品等。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2.6“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4"/>
        <w:numPr>
          <w:ilvl w:val="0"/>
          <w:numId w:val="4"/>
        </w:numPr>
        <w:spacing w:line="500" w:lineRule="exact"/>
        <w:ind w:firstLine="562" w:firstLineChars="200"/>
        <w:rPr>
          <w:rFonts w:ascii="宋体" w:hAnsi="宋体" w:cs="宋体"/>
          <w:szCs w:val="28"/>
        </w:rPr>
      </w:pPr>
      <w:bookmarkStart w:id="27" w:name="_Toc358364321"/>
      <w:bookmarkStart w:id="28" w:name="_Toc380336727"/>
      <w:bookmarkStart w:id="29" w:name="_Toc17676"/>
      <w:bookmarkStart w:id="30" w:name="_Toc23781"/>
      <w:r>
        <w:rPr>
          <w:rFonts w:hint="eastAsia" w:ascii="宋体" w:hAnsi="宋体" w:cs="宋体"/>
          <w:szCs w:val="28"/>
        </w:rPr>
        <w:t>合格的</w:t>
      </w:r>
      <w:bookmarkEnd w:id="27"/>
      <w:bookmarkEnd w:id="28"/>
      <w:bookmarkEnd w:id="29"/>
      <w:bookmarkEnd w:id="30"/>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3.1具有实施本项目的履约能力，符合、承认并承诺履行本磋商文件各项规定的国内供应商。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pStyle w:val="4"/>
        <w:numPr>
          <w:ilvl w:val="0"/>
          <w:numId w:val="4"/>
        </w:numPr>
        <w:spacing w:line="500" w:lineRule="exact"/>
        <w:ind w:firstLine="562" w:firstLineChars="200"/>
        <w:rPr>
          <w:rFonts w:ascii="宋体" w:hAnsi="宋体" w:cs="宋体"/>
          <w:szCs w:val="28"/>
        </w:rPr>
      </w:pPr>
      <w:bookmarkStart w:id="31" w:name="_Toc358364322"/>
      <w:bookmarkStart w:id="32" w:name="_Toc380336728"/>
      <w:bookmarkStart w:id="33" w:name="_Toc540"/>
      <w:bookmarkStart w:id="34" w:name="_Toc22444"/>
      <w:r>
        <w:rPr>
          <w:rFonts w:hint="eastAsia" w:ascii="宋体" w:hAnsi="宋体" w:cs="宋体"/>
          <w:szCs w:val="28"/>
        </w:rPr>
        <w:t>费用</w:t>
      </w:r>
      <w:bookmarkEnd w:id="31"/>
      <w:bookmarkEnd w:id="32"/>
      <w:bookmarkEnd w:id="33"/>
      <w:bookmarkEnd w:id="34"/>
    </w:p>
    <w:p>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供应商应承担所有与准备和参加投标有关的费用，采购代理机构（或采购人)在任何情况下均无义务和责任承担这些费用。</w:t>
      </w:r>
    </w:p>
    <w:p>
      <w:pPr>
        <w:pStyle w:val="4"/>
        <w:numPr>
          <w:ilvl w:val="0"/>
          <w:numId w:val="4"/>
        </w:numPr>
        <w:spacing w:line="500" w:lineRule="exact"/>
        <w:ind w:firstLine="562" w:firstLineChars="200"/>
        <w:rPr>
          <w:rFonts w:ascii="宋体" w:hAnsi="宋体" w:cs="宋体"/>
          <w:szCs w:val="28"/>
        </w:rPr>
      </w:pPr>
      <w:r>
        <w:rPr>
          <w:rFonts w:hint="eastAsia" w:ascii="宋体" w:hAnsi="宋体" w:cs="宋体"/>
          <w:szCs w:val="28"/>
        </w:rPr>
        <w:t>采购进口产品</w:t>
      </w:r>
    </w:p>
    <w:p>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4"/>
        <w:numPr>
          <w:ilvl w:val="0"/>
          <w:numId w:val="4"/>
        </w:numPr>
        <w:spacing w:after="312" w:afterLines="100" w:line="500" w:lineRule="exact"/>
        <w:ind w:firstLine="562"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ascii="宋体" w:hAnsi="宋体" w:cs="宋体"/>
          <w:kern w:val="0"/>
          <w:sz w:val="24"/>
          <w:szCs w:val="24"/>
        </w:rPr>
      </w:pPr>
    </w:p>
    <w:p>
      <w:pPr>
        <w:widowControl/>
        <w:wordWrap w:val="0"/>
        <w:snapToGrid w:val="0"/>
        <w:spacing w:line="360" w:lineRule="auto"/>
        <w:ind w:right="-90" w:rightChars="-43" w:firstLine="480" w:firstLineChars="200"/>
        <w:jc w:val="left"/>
        <w:rPr>
          <w:rFonts w:ascii="宋体" w:hAnsi="宋体" w:cs="宋体"/>
          <w:kern w:val="0"/>
          <w:sz w:val="24"/>
          <w:szCs w:val="24"/>
        </w:rPr>
      </w:pPr>
    </w:p>
    <w:p>
      <w:pPr>
        <w:widowControl/>
        <w:spacing w:line="360" w:lineRule="auto"/>
        <w:outlineLvl w:val="1"/>
        <w:rPr>
          <w:rFonts w:ascii="宋体" w:hAnsi="宋体" w:cs="宋体"/>
          <w:b/>
          <w:bCs/>
          <w:kern w:val="0"/>
          <w:sz w:val="32"/>
          <w:szCs w:val="28"/>
        </w:rPr>
        <w:sectPr>
          <w:footerReference r:id="rId8" w:type="default"/>
          <w:pgSz w:w="11906" w:h="16838"/>
          <w:pgMar w:top="1440" w:right="1706" w:bottom="1440" w:left="1800" w:header="851" w:footer="992" w:gutter="0"/>
          <w:cols w:space="720" w:num="1"/>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35" w:name="_Toc24962"/>
      <w:bookmarkStart w:id="36" w:name="_Toc24355"/>
      <w:bookmarkStart w:id="37" w:name="_Toc1811"/>
      <w:r>
        <w:rPr>
          <w:rFonts w:hint="eastAsia" w:ascii="宋体" w:hAnsi="宋体" w:cs="宋体"/>
          <w:b/>
          <w:bCs/>
          <w:kern w:val="0"/>
          <w:sz w:val="32"/>
          <w:szCs w:val="28"/>
        </w:rPr>
        <w:t>竞争性磋商文件</w:t>
      </w:r>
      <w:bookmarkEnd w:id="35"/>
      <w:bookmarkEnd w:id="36"/>
      <w:bookmarkEnd w:id="37"/>
    </w:p>
    <w:p>
      <w:pPr>
        <w:pStyle w:val="4"/>
        <w:numPr>
          <w:ilvl w:val="0"/>
          <w:numId w:val="6"/>
        </w:numPr>
        <w:rPr>
          <w:rFonts w:ascii="宋体" w:hAnsi="宋体" w:cs="宋体"/>
        </w:rPr>
      </w:pPr>
      <w:bookmarkStart w:id="38" w:name="_Toc5801"/>
      <w:r>
        <w:rPr>
          <w:rFonts w:hint="eastAsia" w:ascii="宋体" w:hAnsi="宋体" w:cs="宋体"/>
        </w:rPr>
        <w:t>竞争性磋商文件的构成</w:t>
      </w:r>
      <w:bookmarkEnd w:id="38"/>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4"/>
        <w:numPr>
          <w:ilvl w:val="0"/>
          <w:numId w:val="6"/>
        </w:numPr>
        <w:rPr>
          <w:rFonts w:ascii="宋体" w:hAnsi="宋体" w:cs="宋体"/>
        </w:rPr>
      </w:pPr>
      <w:bookmarkStart w:id="39" w:name="_Toc19797"/>
      <w:r>
        <w:rPr>
          <w:rFonts w:hint="eastAsia" w:ascii="宋体" w:hAnsi="宋体" w:cs="宋体"/>
        </w:rPr>
        <w:t>竞争性磋商文件的澄清</w:t>
      </w:r>
      <w:bookmarkEnd w:id="39"/>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4"/>
        <w:numPr>
          <w:ilvl w:val="0"/>
          <w:numId w:val="6"/>
        </w:numPr>
        <w:rPr>
          <w:rFonts w:ascii="宋体" w:hAnsi="宋体" w:cs="宋体"/>
        </w:rPr>
      </w:pPr>
      <w:bookmarkStart w:id="40" w:name="_Toc6390"/>
      <w:r>
        <w:rPr>
          <w:rFonts w:hint="eastAsia" w:ascii="宋体" w:hAnsi="宋体" w:cs="宋体"/>
        </w:rPr>
        <w:t>竞争性磋商文件的修改</w:t>
      </w:r>
      <w:bookmarkEnd w:id="40"/>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4"/>
        <w:numPr>
          <w:ilvl w:val="0"/>
          <w:numId w:val="6"/>
        </w:numPr>
        <w:rPr>
          <w:rFonts w:ascii="宋体" w:hAnsi="宋体" w:cs="宋体"/>
        </w:rPr>
      </w:pPr>
      <w:bookmarkStart w:id="41" w:name="_Toc31188"/>
      <w:r>
        <w:rPr>
          <w:rFonts w:hint="eastAsia" w:ascii="宋体" w:hAnsi="宋体" w:cs="宋体"/>
        </w:rPr>
        <w:t>竞争性磋商文件的获取</w:t>
      </w:r>
      <w:bookmarkEnd w:id="41"/>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供应商必须从代理机构购买或领取竞争性磋商文件，供应商自行转让或复制竞争性磋商文件视为无效。竞争性磋商文件一经售出，一律不退，仅作为本次竞争性磋商使用。</w:t>
      </w:r>
    </w:p>
    <w:p>
      <w:pPr>
        <w:pStyle w:val="4"/>
        <w:numPr>
          <w:ilvl w:val="0"/>
          <w:numId w:val="6"/>
        </w:numPr>
        <w:rPr>
          <w:rFonts w:ascii="宋体" w:hAnsi="宋体" w:cs="宋体"/>
        </w:rPr>
      </w:pPr>
      <w:bookmarkStart w:id="42" w:name="_Toc5095"/>
      <w:r>
        <w:rPr>
          <w:rFonts w:hint="eastAsia" w:ascii="宋体" w:hAnsi="宋体" w:cs="宋体"/>
        </w:rPr>
        <w:t>竞争性磋商文件的解释权归代理机构。</w:t>
      </w:r>
      <w:bookmarkEnd w:id="42"/>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43" w:name="_Toc23299"/>
      <w:bookmarkStart w:id="44" w:name="_Toc9507"/>
      <w:bookmarkStart w:id="45" w:name="_Toc25919"/>
      <w:r>
        <w:rPr>
          <w:rFonts w:hint="eastAsia" w:ascii="宋体" w:hAnsi="宋体" w:cs="宋体"/>
          <w:b/>
          <w:bCs/>
          <w:kern w:val="0"/>
          <w:sz w:val="32"/>
          <w:szCs w:val="28"/>
        </w:rPr>
        <w:t>磋商响应文件</w:t>
      </w:r>
      <w:bookmarkEnd w:id="43"/>
      <w:bookmarkEnd w:id="44"/>
      <w:bookmarkEnd w:id="45"/>
    </w:p>
    <w:p>
      <w:pPr>
        <w:pStyle w:val="4"/>
        <w:numPr>
          <w:ilvl w:val="0"/>
          <w:numId w:val="8"/>
        </w:numPr>
        <w:rPr>
          <w:rFonts w:ascii="宋体" w:hAnsi="宋体" w:cs="宋体"/>
        </w:rPr>
      </w:pPr>
      <w:bookmarkStart w:id="46" w:name="_Toc17549"/>
      <w:r>
        <w:rPr>
          <w:rFonts w:hint="eastAsia" w:ascii="宋体" w:hAnsi="宋体" w:cs="宋体"/>
        </w:rPr>
        <w:t>磋商响应文件的编制</w:t>
      </w:r>
      <w:bookmarkEnd w:id="4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响应函；</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磋商一览表 ；</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商务和技术响应偏离表；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供应商资质要求；</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服务方案；</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供应商类似业绩一览表；</w:t>
      </w:r>
    </w:p>
    <w:p>
      <w:pPr>
        <w:numPr>
          <w:ilvl w:val="0"/>
          <w:numId w:val="9"/>
        </w:numPr>
        <w:tabs>
          <w:tab w:val="left" w:pos="0"/>
        </w:tabs>
        <w:adjustRightInd w:val="0"/>
        <w:snapToGrid w:val="0"/>
        <w:spacing w:line="440" w:lineRule="exact"/>
        <w:jc w:val="left"/>
      </w:pPr>
      <w:r>
        <w:rPr>
          <w:rFonts w:hint="eastAsia" w:ascii="宋体" w:hAnsi="宋体" w:cs="宋体"/>
          <w:sz w:val="24"/>
          <w:szCs w:val="24"/>
        </w:rPr>
        <w:t>供应商认为有必要说明的其他问题；</w:t>
      </w:r>
    </w:p>
    <w:p>
      <w:pPr>
        <w:numPr>
          <w:ilvl w:val="0"/>
          <w:numId w:val="9"/>
        </w:numPr>
        <w:tabs>
          <w:tab w:val="left" w:pos="0"/>
        </w:tabs>
        <w:adjustRightInd w:val="0"/>
        <w:snapToGrid w:val="0"/>
        <w:spacing w:line="440" w:lineRule="exact"/>
        <w:jc w:val="left"/>
      </w:pPr>
      <w:r>
        <w:rPr>
          <w:rFonts w:hint="eastAsia" w:ascii="宋体" w:hAnsi="宋体" w:cs="宋体"/>
          <w:sz w:val="24"/>
          <w:szCs w:val="24"/>
        </w:rPr>
        <w:t>供应商承诺书</w:t>
      </w:r>
    </w:p>
    <w:p>
      <w:pPr>
        <w:pStyle w:val="4"/>
        <w:numPr>
          <w:ilvl w:val="0"/>
          <w:numId w:val="8"/>
        </w:numPr>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供应商应在响应报价表中标明本次招标所要求的工程、货物、服务且验收合格的所有费用，包括工程报价、货物服务报价、技术培训费（如果有）、检测费、人工费、税金及进口产品（如果有）国家按现行税收政策征收的一切税费等。在合同实施期间，响应报价表中标明本项目所需的总价，不受市场价变化的影响，不受实际数量变化的影响。任何有选择的报价将不予接受，否则按无效响应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w:t>
      </w:r>
      <w:r>
        <w:rPr>
          <w:rFonts w:hint="eastAsia" w:ascii="宋体" w:hAnsi="宋体" w:cs="宋体"/>
          <w:b/>
          <w:bCs/>
          <w:sz w:val="24"/>
          <w:szCs w:val="24"/>
        </w:rPr>
        <w:t>总报价、服务期、质保期、质量</w:t>
      </w:r>
      <w:r>
        <w:rPr>
          <w:rFonts w:hint="eastAsia" w:ascii="宋体" w:hAnsi="宋体" w:cs="宋体"/>
          <w:sz w:val="24"/>
          <w:szCs w:val="24"/>
        </w:rPr>
        <w:t>等磋商文件要求的其他内容；任何有选择的报价不予接受。</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2.5最低报价不是成交的唯一依据。</w:t>
      </w:r>
    </w:p>
    <w:p>
      <w:pPr>
        <w:pStyle w:val="4"/>
        <w:numPr>
          <w:ilvl w:val="0"/>
          <w:numId w:val="8"/>
        </w:numPr>
        <w:rPr>
          <w:rFonts w:ascii="宋体" w:hAnsi="宋体" w:cs="宋体"/>
        </w:rPr>
      </w:pPr>
      <w:bookmarkStart w:id="47" w:name="_Toc29200"/>
      <w:r>
        <w:rPr>
          <w:rFonts w:hint="eastAsia" w:ascii="宋体" w:hAnsi="宋体" w:cs="宋体"/>
        </w:rPr>
        <w:t>磋商货币</w:t>
      </w:r>
      <w:bookmarkEnd w:id="47"/>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4"/>
        <w:numPr>
          <w:ilvl w:val="0"/>
          <w:numId w:val="8"/>
        </w:numPr>
        <w:rPr>
          <w:rFonts w:ascii="宋体" w:hAnsi="宋体" w:cs="宋体"/>
        </w:rPr>
      </w:pPr>
      <w:bookmarkStart w:id="48" w:name="_Toc19668"/>
      <w:r>
        <w:rPr>
          <w:rFonts w:hint="eastAsia" w:ascii="宋体" w:hAnsi="宋体" w:cs="宋体"/>
        </w:rPr>
        <w:t>磋商有效期</w:t>
      </w:r>
      <w:bookmarkEnd w:id="48"/>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4"/>
        <w:numPr>
          <w:ilvl w:val="0"/>
          <w:numId w:val="8"/>
        </w:numPr>
        <w:rPr>
          <w:rFonts w:ascii="宋体" w:hAnsi="宋体" w:cs="宋体"/>
          <w:szCs w:val="32"/>
        </w:rPr>
      </w:pPr>
      <w:bookmarkStart w:id="49" w:name="_Toc24827"/>
      <w:r>
        <w:rPr>
          <w:rFonts w:hint="eastAsia" w:ascii="宋体" w:hAnsi="宋体" w:cs="宋体"/>
        </w:rPr>
        <w:t>磋商响应文件的格式、装订、密封和签署</w:t>
      </w:r>
      <w:bookmarkEnd w:id="49"/>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5.1供应商须依据竞争性磋商文件内容和磋商响应文件格式的要求编制磋商响应文件；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5.2磋商响应文件的装订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50" w:name="OLE_LINK13"/>
      <w:r>
        <w:rPr>
          <w:rFonts w:hint="eastAsia" w:ascii="宋体" w:hAnsi="宋体" w:cs="宋体"/>
          <w:sz w:val="24"/>
          <w:szCs w:val="24"/>
        </w:rPr>
        <w:t>电子版</w:t>
      </w:r>
      <w:bookmarkEnd w:id="50"/>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5.3磋商响应文件的签署</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5.5本次磋商只接受简体中文文字的磋商响应文件；如磋商响应文件中出现外文资料，必须配以中文译文。否则，由此引发的一切责任由供应商自负。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5.6拒绝接受以电话、传真、电子邮件形式的磋商。</w:t>
      </w:r>
    </w:p>
    <w:p>
      <w:pPr>
        <w:pStyle w:val="4"/>
        <w:numPr>
          <w:ilvl w:val="0"/>
          <w:numId w:val="8"/>
        </w:numPr>
        <w:rPr>
          <w:rFonts w:ascii="宋体" w:hAnsi="宋体" w:cs="宋体"/>
        </w:rPr>
      </w:pPr>
      <w:bookmarkStart w:id="51" w:name="_Toc22752"/>
      <w:r>
        <w:rPr>
          <w:rFonts w:hint="eastAsia" w:ascii="宋体" w:hAnsi="宋体" w:cs="宋体"/>
        </w:rPr>
        <w:t>知识产权</w:t>
      </w:r>
      <w:bookmarkEnd w:id="51"/>
    </w:p>
    <w:p>
      <w:pPr>
        <w:spacing w:line="360" w:lineRule="auto"/>
        <w:ind w:firstLine="480" w:firstLineChars="200"/>
        <w:jc w:val="left"/>
        <w:rPr>
          <w:rFonts w:ascii="宋体" w:hAnsi="宋体" w:cs="宋体"/>
          <w:sz w:val="24"/>
          <w:szCs w:val="24"/>
        </w:rPr>
      </w:pPr>
      <w:r>
        <w:rPr>
          <w:rFonts w:hint="eastAsia" w:ascii="宋体" w:hAnsi="宋体" w:cs="宋体"/>
          <w:sz w:val="24"/>
          <w:szCs w:val="24"/>
        </w:rPr>
        <w:t>6.1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6.4如供应商所不拥有的知识产权，则在响应报价中必须包括合法获取该知识产权的相关费用。</w:t>
      </w:r>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bookmarkStart w:id="52" w:name="_Toc3736"/>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53" w:name="_Toc7624"/>
      <w:bookmarkStart w:id="54" w:name="_Toc2312"/>
      <w:bookmarkStart w:id="55" w:name="_Toc3565"/>
      <w:bookmarkStart w:id="56" w:name="_Toc18306"/>
      <w:r>
        <w:rPr>
          <w:rFonts w:hint="eastAsia" w:ascii="宋体" w:hAnsi="宋体" w:cs="宋体"/>
          <w:b/>
          <w:bCs/>
          <w:kern w:val="0"/>
          <w:sz w:val="32"/>
          <w:szCs w:val="28"/>
        </w:rPr>
        <w:t>磋商响应文件的递交</w:t>
      </w:r>
      <w:bookmarkEnd w:id="53"/>
      <w:bookmarkEnd w:id="54"/>
      <w:bookmarkEnd w:id="55"/>
      <w:bookmarkEnd w:id="56"/>
    </w:p>
    <w:bookmarkEnd w:id="52"/>
    <w:p>
      <w:pPr>
        <w:pStyle w:val="4"/>
        <w:numPr>
          <w:ilvl w:val="0"/>
          <w:numId w:val="11"/>
        </w:numPr>
        <w:ind w:firstLine="562" w:firstLineChars="200"/>
        <w:rPr>
          <w:rFonts w:ascii="宋体" w:hAnsi="宋体" w:cs="宋体"/>
        </w:rPr>
      </w:pPr>
      <w:bookmarkStart w:id="57" w:name="_Toc3685"/>
      <w:r>
        <w:rPr>
          <w:rFonts w:hint="eastAsia" w:ascii="宋体" w:hAnsi="宋体" w:cs="宋体"/>
        </w:rPr>
        <w:t>磋商响应文件递交</w:t>
      </w:r>
      <w:bookmarkEnd w:id="57"/>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4"/>
        <w:numPr>
          <w:ilvl w:val="0"/>
          <w:numId w:val="11"/>
        </w:numPr>
        <w:ind w:firstLine="562" w:firstLineChars="200"/>
        <w:rPr>
          <w:rFonts w:ascii="宋体" w:hAnsi="宋体" w:cs="宋体"/>
        </w:rPr>
      </w:pPr>
      <w:bookmarkStart w:id="58" w:name="_Toc12741"/>
      <w:r>
        <w:rPr>
          <w:rFonts w:hint="eastAsia" w:ascii="宋体" w:hAnsi="宋体" w:cs="宋体"/>
        </w:rPr>
        <w:t>磋商响应文件的修改和撤回</w:t>
      </w:r>
      <w:bookmarkEnd w:id="58"/>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59" w:name="_Toc27066"/>
      <w:bookmarkStart w:id="60" w:name="_Toc14415"/>
      <w:bookmarkStart w:id="61" w:name="_Toc1052"/>
      <w:bookmarkStart w:id="62" w:name="_Toc27217"/>
      <w:bookmarkStart w:id="63" w:name="_Toc30333"/>
      <w:r>
        <w:rPr>
          <w:rFonts w:hint="eastAsia" w:ascii="宋体" w:hAnsi="宋体" w:cs="宋体"/>
          <w:b/>
          <w:bCs/>
          <w:kern w:val="0"/>
          <w:sz w:val="32"/>
          <w:szCs w:val="28"/>
        </w:rPr>
        <w:t>磋商、评审、定标</w:t>
      </w:r>
      <w:bookmarkEnd w:id="59"/>
      <w:bookmarkEnd w:id="60"/>
      <w:bookmarkEnd w:id="61"/>
      <w:bookmarkEnd w:id="62"/>
      <w:bookmarkEnd w:id="63"/>
    </w:p>
    <w:p>
      <w:pPr>
        <w:pStyle w:val="4"/>
        <w:numPr>
          <w:ilvl w:val="0"/>
          <w:numId w:val="12"/>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4"/>
        <w:numPr>
          <w:ilvl w:val="0"/>
          <w:numId w:val="12"/>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rPr>
          <w:rFonts w:ascii="宋体" w:hAnsi="宋体" w:cs="宋体"/>
          <w:b/>
          <w:sz w:val="24"/>
          <w:szCs w:val="24"/>
        </w:rPr>
      </w:pPr>
      <w:r>
        <w:rPr>
          <w:rFonts w:hint="eastAsia" w:ascii="宋体" w:hAnsi="宋体" w:cs="宋体"/>
          <w:kern w:val="0"/>
          <w:sz w:val="24"/>
        </w:rPr>
        <w:t>2.3磋商小组对各供应商的磋商响应文件进行审查、评估和比较，并推荐出成交候选人。</w:t>
      </w:r>
    </w:p>
    <w:p>
      <w:pPr>
        <w:pStyle w:val="4"/>
        <w:numPr>
          <w:ilvl w:val="0"/>
          <w:numId w:val="12"/>
        </w:numPr>
        <w:rPr>
          <w:rFonts w:ascii="宋体" w:hAnsi="宋体" w:cs="宋体"/>
        </w:rPr>
      </w:pPr>
      <w:bookmarkStart w:id="64" w:name="_Toc385958808"/>
      <w:bookmarkStart w:id="65" w:name="_Toc386129876"/>
      <w:bookmarkStart w:id="66" w:name="_Toc28085"/>
      <w:bookmarkStart w:id="67" w:name="_Toc27940"/>
      <w:r>
        <w:rPr>
          <w:rFonts w:hint="eastAsia" w:ascii="宋体" w:hAnsi="宋体" w:cs="宋体"/>
        </w:rPr>
        <w:t>磋商响应文件初审</w:t>
      </w:r>
      <w:bookmarkEnd w:id="64"/>
      <w:bookmarkEnd w:id="65"/>
      <w:bookmarkEnd w:id="66"/>
      <w:bookmarkEnd w:id="67"/>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依据法律法规和竞争性磋商文件的规定，由采购人委托采购代理机构对磋商响应文件中的资格证明文件进行审查，通过资格审查的供应商进入符合性审查。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依据竞争性磋商文件的规定，由磋商小组从磋商响应文件的有效性、完整性和对竞争性磋商文件的响应程度进行符合性审查，以确定是否对竞争性磋商文件的实质性内容作出响应。</w:t>
      </w:r>
    </w:p>
    <w:tbl>
      <w:tblPr>
        <w:tblStyle w:val="27"/>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67"/>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restart"/>
            <w:vAlign w:val="center"/>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符合性</w:t>
            </w:r>
          </w:p>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审查</w:t>
            </w: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1</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2</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3</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响应文件签字、盖章是否满足采购文件要求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4</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服务期、质保期、质量是否符合竞争性磋商文件要求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5</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磋商有效期是否满足磋商文件要求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vAlign w:val="top"/>
          </w:tcPr>
          <w:p>
            <w:pPr>
              <w:overflowPunct w:val="0"/>
              <w:adjustRightInd w:val="0"/>
              <w:snapToGrid w:val="0"/>
              <w:spacing w:line="500" w:lineRule="exact"/>
              <w:rPr>
                <w:rFonts w:hint="eastAsia" w:ascii="宋体" w:hAnsi="宋体" w:eastAsia="宋体" w:cs="宋体"/>
                <w:kern w:val="0"/>
                <w:szCs w:val="21"/>
                <w:lang w:val="en-US" w:eastAsia="zh-CN"/>
              </w:rPr>
            </w:pPr>
            <w:r>
              <w:rPr>
                <w:rFonts w:hint="eastAsia" w:ascii="宋体" w:hAnsi="宋体" w:cs="宋体"/>
                <w:kern w:val="0"/>
                <w:szCs w:val="21"/>
              </w:rPr>
              <w:t>6</w:t>
            </w:r>
          </w:p>
        </w:tc>
        <w:tc>
          <w:tcPr>
            <w:tcW w:w="6987" w:type="dxa"/>
            <w:vAlign w:val="top"/>
          </w:tcPr>
          <w:p>
            <w:pPr>
              <w:overflowPunct w:val="0"/>
              <w:adjustRightInd w:val="0"/>
              <w:snapToGrid w:val="0"/>
              <w:spacing w:line="500" w:lineRule="exact"/>
              <w:rPr>
                <w:rFonts w:hint="eastAsia" w:ascii="宋体" w:hAnsi="宋体" w:cs="宋体"/>
                <w:szCs w:val="21"/>
              </w:rPr>
            </w:pPr>
            <w:r>
              <w:rPr>
                <w:rFonts w:hint="eastAsia" w:ascii="宋体" w:hAnsi="宋体" w:cs="宋体"/>
                <w:szCs w:val="21"/>
              </w:rPr>
              <w:t>是否响应磋商文件的商务条款要求或增加了采购人难以接受的条款</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3.3经过对供应商及磋商响应文件审查，出现下列情况者（但不限于），按无效磋商处理。</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响应报价出现漏项与要求不符的；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磋商响应文件在商务响应方面（付款方式、服务期、质保期、质量、验收条件等）与竞争性磋商文件要求不一致或附加了采购单位难以接受的条件或条款的；</w:t>
      </w:r>
    </w:p>
    <w:p>
      <w:pPr>
        <w:numPr>
          <w:ilvl w:val="0"/>
          <w:numId w:val="14"/>
        </w:numPr>
        <w:spacing w:line="360" w:lineRule="auto"/>
        <w:ind w:firstLine="480" w:firstLineChars="200"/>
        <w:rPr>
          <w:rFonts w:ascii="宋体" w:hAnsi="宋体" w:cs="宋体"/>
          <w:kern w:val="0"/>
          <w:sz w:val="24"/>
          <w:highlight w:val="yellow"/>
        </w:rPr>
      </w:pPr>
      <w:r>
        <w:rPr>
          <w:rFonts w:hint="eastAsia" w:ascii="宋体" w:hAnsi="宋体" w:cs="宋体"/>
          <w:sz w:val="24"/>
        </w:rPr>
        <w:t>如澄清、说明的内容与磋商响应文件内容有重大相悖或矛盾，将被认定为无效磋商；</w:t>
      </w:r>
    </w:p>
    <w:p>
      <w:pPr>
        <w:pStyle w:val="4"/>
        <w:numPr>
          <w:ilvl w:val="0"/>
          <w:numId w:val="12"/>
        </w:numPr>
        <w:rPr>
          <w:rFonts w:ascii="宋体" w:hAnsi="宋体" w:cs="宋体"/>
        </w:rPr>
      </w:pPr>
      <w:bookmarkStart w:id="68" w:name="_Toc17705"/>
      <w:r>
        <w:rPr>
          <w:rFonts w:hint="eastAsia" w:ascii="宋体" w:hAnsi="宋体" w:cs="宋体"/>
        </w:rPr>
        <w:t>磋商响应文件澄清</w:t>
      </w:r>
      <w:bookmarkEnd w:id="68"/>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4"/>
        <w:numPr>
          <w:ilvl w:val="0"/>
          <w:numId w:val="12"/>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69"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5.1磋商小组有权对在磋商、评审过程中出现的一切问题，根据《中华人民共和国政府采购法》和《政府采购竞争性磋商采购方式管理暂行办法》的条款，本着客观、公正、审慎的原则进行处理。 </w:t>
      </w:r>
    </w:p>
    <w:p>
      <w:pPr>
        <w:spacing w:line="360" w:lineRule="auto"/>
        <w:ind w:firstLine="480" w:firstLineChars="200"/>
        <w:rPr>
          <w:rFonts w:ascii="宋体" w:hAnsi="宋体" w:cs="宋体"/>
          <w:sz w:val="24"/>
        </w:rPr>
      </w:pPr>
      <w:r>
        <w:rPr>
          <w:rFonts w:hint="eastAsia" w:ascii="宋体" w:hAnsi="宋体" w:cs="宋体"/>
          <w:sz w:val="24"/>
        </w:rPr>
        <w:t>5.2磋商流程</w:t>
      </w:r>
    </w:p>
    <w:p>
      <w:pPr>
        <w:numPr>
          <w:ilvl w:val="0"/>
          <w:numId w:val="15"/>
        </w:numPr>
        <w:spacing w:line="360" w:lineRule="auto"/>
        <w:rPr>
          <w:rFonts w:ascii="宋体" w:hAnsi="宋体" w:cs="宋体"/>
          <w:sz w:val="24"/>
        </w:rPr>
      </w:pPr>
      <w:r>
        <w:rPr>
          <w:rFonts w:hint="eastAsia" w:ascii="宋体" w:hAnsi="宋体" w:cs="宋体"/>
          <w:sz w:val="24"/>
        </w:rPr>
        <w:t>磋商小组先对供应商作符合性审查，只有通过符合性审查的供应商，才能进入第二阶段的磋商，否则被淘汰。</w:t>
      </w:r>
    </w:p>
    <w:p>
      <w:pPr>
        <w:numPr>
          <w:ilvl w:val="0"/>
          <w:numId w:val="15"/>
        </w:numPr>
        <w:spacing w:line="360" w:lineRule="auto"/>
        <w:rPr>
          <w:rFonts w:ascii="宋体" w:hAnsi="宋体" w:cs="宋体"/>
          <w:sz w:val="24"/>
        </w:rPr>
      </w:pPr>
      <w:r>
        <w:rPr>
          <w:rFonts w:hint="eastAsia" w:ascii="宋体" w:hAnsi="宋体" w:cs="宋体"/>
          <w:sz w:val="24"/>
        </w:rPr>
        <w:t>磋商小组所有成员集中与单一供应商分别进行磋商（磋商轮次为多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5"/>
        </w:numPr>
        <w:spacing w:line="360" w:lineRule="auto"/>
        <w:rPr>
          <w:rFonts w:ascii="宋体" w:hAnsi="宋体" w:cs="宋体"/>
          <w:sz w:val="24"/>
        </w:rPr>
      </w:pPr>
      <w:r>
        <w:rPr>
          <w:rFonts w:hint="eastAsia" w:ascii="宋体" w:hAnsi="宋体" w:cs="宋体"/>
          <w:kern w:val="0"/>
          <w:sz w:val="24"/>
          <w:szCs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做出的解释不合理或不能提供证明材料的，磋商小组有权拒绝该投标。</w:t>
      </w:r>
    </w:p>
    <w:p>
      <w:pPr>
        <w:numPr>
          <w:ilvl w:val="0"/>
          <w:numId w:val="15"/>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5"/>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5"/>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4"/>
        <w:numPr>
          <w:ilvl w:val="0"/>
          <w:numId w:val="12"/>
        </w:numPr>
        <w:rPr>
          <w:rFonts w:ascii="宋体" w:hAnsi="宋体" w:cs="宋体"/>
        </w:rPr>
      </w:pPr>
      <w:r>
        <w:rPr>
          <w:rFonts w:hint="eastAsia" w:ascii="宋体" w:hAnsi="宋体" w:cs="宋体"/>
        </w:rPr>
        <w:t>定标</w:t>
      </w:r>
      <w:bookmarkEnd w:id="69"/>
    </w:p>
    <w:p>
      <w:pPr>
        <w:spacing w:line="360" w:lineRule="auto"/>
        <w:ind w:left="420"/>
        <w:jc w:val="left"/>
        <w:rPr>
          <w:rFonts w:ascii="宋体" w:hAnsi="宋体" w:cs="宋体"/>
          <w:sz w:val="24"/>
        </w:rPr>
      </w:pPr>
      <w:r>
        <w:rPr>
          <w:rFonts w:hint="eastAsia" w:ascii="宋体" w:hAnsi="宋体" w:cs="宋体"/>
          <w:sz w:val="24"/>
        </w:rPr>
        <w:t>6.1代理机构在评审结束后1个工作日内将评审报告送达采购单位，采购单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位在收到评审报告后4个工作日内，按照评审报告中推荐的成交候选人顺序确认第一成交候选人为成交单位，同时书面复函代理机构；</w:t>
      </w:r>
    </w:p>
    <w:p>
      <w:pPr>
        <w:spacing w:line="360" w:lineRule="auto"/>
        <w:ind w:firstLine="480" w:firstLineChars="200"/>
        <w:jc w:val="left"/>
        <w:rPr>
          <w:rFonts w:ascii="宋体" w:hAnsi="宋体" w:cs="宋体"/>
          <w:sz w:val="24"/>
        </w:rPr>
      </w:pPr>
      <w:r>
        <w:rPr>
          <w:rFonts w:hint="eastAsia" w:ascii="宋体" w:hAnsi="宋体" w:cs="宋体"/>
          <w:sz w:val="24"/>
        </w:rPr>
        <w:t>6.2代理机构收到采购单位“定标复函”后1个工作日内，在财政部门指定的政府采购信息媒体上发布公告，并向成交供应商发出“成交通知书”。</w:t>
      </w:r>
    </w:p>
    <w:p>
      <w:pPr>
        <w:pStyle w:val="4"/>
        <w:ind w:left="420"/>
        <w:rPr>
          <w:rFonts w:eastAsiaTheme="minorEastAsia"/>
        </w:rPr>
      </w:pPr>
      <w:r>
        <w:rPr>
          <w:rFonts w:hint="eastAsia"/>
        </w:rPr>
        <w:t>7、政府采购信用融资</w:t>
      </w:r>
    </w:p>
    <w:p>
      <w:pPr>
        <w:spacing w:line="360" w:lineRule="auto"/>
        <w:ind w:firstLine="480" w:firstLineChars="200"/>
        <w:jc w:val="left"/>
        <w:rPr>
          <w:rFonts w:ascii="宋体" w:hAnsi="宋体" w:cs="宋体"/>
          <w:sz w:val="24"/>
        </w:rPr>
      </w:pPr>
      <w:r>
        <w:rPr>
          <w:rFonts w:hint="eastAsia" w:ascii="宋体" w:hAnsi="宋体" w:cs="宋体"/>
          <w:sz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hint="eastAsia" w:ascii="宋体" w:hAnsi="宋体" w:cs="宋体"/>
          <w:sz w:val="24"/>
        </w:rPr>
        <w:drawing>
          <wp:inline distT="0" distB="0" distL="114300" distR="114300">
            <wp:extent cx="190500" cy="142875"/>
            <wp:effectExtent l="0" t="0" r="7620" b="9525"/>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rPr>
        <w:t>http://xaczj.xa.gov.cn/zfcg/cgfg/5db9054565cbd804f69e97e0.html中《西安市财政局关于进一步做好政府采购信用担保及信用融资工作有关事宜的通知》）。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hint="eastAsia" w:ascii="宋体" w:hAnsi="宋体" w:cs="宋体"/>
          <w:sz w:val="24"/>
        </w:rPr>
        <w:drawing>
          <wp:inline distT="0" distB="0" distL="114300" distR="114300">
            <wp:extent cx="190500" cy="142875"/>
            <wp:effectExtent l="0" t="0" r="762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rPr>
        <w:t>http://xaczj.xa.gov.cn/)政府采购专栏中查询了解。</w:t>
      </w:r>
    </w:p>
    <w:p>
      <w:pPr>
        <w:pStyle w:val="3"/>
        <w:numPr>
          <w:ilvl w:val="0"/>
          <w:numId w:val="16"/>
        </w:numPr>
      </w:pPr>
      <w:bookmarkStart w:id="70" w:name="_Toc682"/>
      <w:r>
        <w:rPr>
          <w:rFonts w:hint="eastAsia"/>
        </w:rPr>
        <w:t>履约验收</w:t>
      </w:r>
      <w:bookmarkEnd w:id="70"/>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pPr>
      <w:r>
        <w:rPr>
          <w:rFonts w:hint="eastAsia" w:asciiTheme="minorEastAsia" w:hAnsiTheme="minorEastAsia" w:cstheme="minorEastAsia"/>
          <w:sz w:val="24"/>
          <w:szCs w:val="24"/>
        </w:rPr>
        <w:t>2、履约验收的费用及要求详见“合同条款”。</w:t>
      </w:r>
    </w:p>
    <w:p/>
    <w:p>
      <w:pPr>
        <w:widowControl/>
        <w:spacing w:line="360" w:lineRule="auto"/>
        <w:jc w:val="center"/>
        <w:outlineLvl w:val="1"/>
        <w:rPr>
          <w:rFonts w:ascii="宋体" w:hAnsi="宋体" w:cs="宋体"/>
          <w:b/>
          <w:bCs/>
          <w:kern w:val="0"/>
          <w:sz w:val="32"/>
          <w:szCs w:val="28"/>
        </w:rPr>
      </w:pPr>
      <w:bookmarkStart w:id="71" w:name="_Toc740"/>
      <w:bookmarkStart w:id="72" w:name="_Toc794"/>
      <w:bookmarkStart w:id="73" w:name="_Toc19972"/>
      <w:bookmarkStart w:id="74" w:name="_Toc25308"/>
      <w:bookmarkStart w:id="75" w:name="_Toc21663"/>
      <w:r>
        <w:rPr>
          <w:rFonts w:hint="eastAsia" w:ascii="宋体" w:hAnsi="宋体" w:cs="宋体"/>
          <w:b/>
          <w:bCs/>
          <w:kern w:val="0"/>
          <w:sz w:val="32"/>
          <w:szCs w:val="28"/>
        </w:rPr>
        <w:t>七、签订合同</w:t>
      </w:r>
      <w:bookmarkEnd w:id="71"/>
      <w:bookmarkEnd w:id="72"/>
      <w:bookmarkEnd w:id="73"/>
      <w:bookmarkEnd w:id="74"/>
      <w:bookmarkEnd w:id="75"/>
    </w:p>
    <w:p>
      <w:pPr>
        <w:spacing w:line="360" w:lineRule="auto"/>
        <w:ind w:firstLine="480" w:firstLineChars="200"/>
        <w:jc w:val="left"/>
        <w:rPr>
          <w:rFonts w:ascii="宋体" w:hAnsi="宋体" w:cs="宋体"/>
          <w:sz w:val="24"/>
        </w:rPr>
      </w:pPr>
      <w:r>
        <w:rPr>
          <w:rFonts w:hint="eastAsia" w:ascii="宋体" w:hAnsi="宋体" w:cs="宋体"/>
          <w:sz w:val="24"/>
        </w:rPr>
        <w:t>1、成交后，成交供应商与采购人洽谈合同条款，并签订供货合同，同时送</w:t>
      </w:r>
    </w:p>
    <w:p>
      <w:pPr>
        <w:spacing w:line="360" w:lineRule="auto"/>
        <w:jc w:val="left"/>
        <w:rPr>
          <w:rFonts w:ascii="宋体" w:hAnsi="宋体" w:cs="宋体"/>
          <w:sz w:val="24"/>
        </w:rPr>
      </w:pPr>
      <w:r>
        <w:rPr>
          <w:rFonts w:hint="eastAsia" w:ascii="宋体" w:hAnsi="宋体" w:cs="宋体"/>
          <w:sz w:val="24"/>
        </w:rPr>
        <w:t>代理机构归档，竞争性磋商文件及成交供应商的磋商响应文件均作为合同的组成部分。</w:t>
      </w:r>
    </w:p>
    <w:p>
      <w:pPr>
        <w:spacing w:line="360" w:lineRule="auto"/>
        <w:ind w:firstLine="480" w:firstLineChars="200"/>
        <w:jc w:val="left"/>
        <w:rPr>
          <w:rFonts w:ascii="宋体" w:hAnsi="宋体" w:cs="宋体"/>
          <w:sz w:val="24"/>
        </w:rPr>
      </w:pPr>
      <w:r>
        <w:rPr>
          <w:rFonts w:hint="eastAsia" w:ascii="宋体" w:hAnsi="宋体" w:cs="宋体"/>
          <w:sz w:val="24"/>
        </w:rPr>
        <w:t>2、根据需要，代理机构应协助采购人监督、协调和处理履约过程中出现的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360" w:lineRule="auto"/>
        <w:ind w:firstLine="480" w:firstLineChars="200"/>
        <w:jc w:val="left"/>
        <w:rPr>
          <w:rFonts w:ascii="宋体" w:hAnsi="宋体" w:cs="宋体"/>
          <w:sz w:val="24"/>
        </w:rPr>
      </w:pPr>
      <w:r>
        <w:rPr>
          <w:rFonts w:hint="eastAsia" w:ascii="宋体" w:hAnsi="宋体" w:cs="宋体"/>
          <w:sz w:val="24"/>
        </w:rPr>
        <w:t>3、西安市财政局采购处在合同履行期间以及履行期后，可以随时检查项目的执行情况，对采购标准、采购内容进行调查核实，并对发现的问题进行处理。</w:t>
      </w:r>
    </w:p>
    <w:p>
      <w:pPr>
        <w:widowControl/>
        <w:spacing w:line="360" w:lineRule="auto"/>
        <w:jc w:val="center"/>
        <w:outlineLvl w:val="1"/>
        <w:rPr>
          <w:rFonts w:ascii="宋体" w:hAnsi="宋体" w:cs="宋体"/>
          <w:b/>
          <w:bCs/>
          <w:kern w:val="0"/>
          <w:sz w:val="32"/>
          <w:szCs w:val="28"/>
        </w:rPr>
      </w:pPr>
      <w:bookmarkStart w:id="76" w:name="_Toc28110"/>
      <w:bookmarkStart w:id="77" w:name="_Toc26132"/>
      <w:bookmarkStart w:id="78" w:name="_Toc28603"/>
      <w:bookmarkStart w:id="79" w:name="_Toc6476"/>
      <w:bookmarkStart w:id="80" w:name="_Toc30162"/>
      <w:r>
        <w:rPr>
          <w:rFonts w:hint="eastAsia" w:ascii="宋体" w:hAnsi="宋体" w:cs="宋体"/>
          <w:b/>
          <w:bCs/>
          <w:kern w:val="0"/>
          <w:sz w:val="32"/>
          <w:szCs w:val="28"/>
        </w:rPr>
        <w:t>八、代理服务费</w:t>
      </w:r>
      <w:bookmarkEnd w:id="76"/>
      <w:bookmarkEnd w:id="77"/>
      <w:bookmarkEnd w:id="78"/>
      <w:bookmarkEnd w:id="79"/>
      <w:bookmarkEnd w:id="80"/>
    </w:p>
    <w:p>
      <w:pPr>
        <w:spacing w:line="560" w:lineRule="exact"/>
        <w:ind w:firstLine="480" w:firstLineChars="200"/>
        <w:jc w:val="left"/>
        <w:rPr>
          <w:rFonts w:ascii="宋体" w:hAnsi="宋体" w:cs="宋体"/>
          <w:sz w:val="24"/>
          <w:szCs w:val="24"/>
        </w:rPr>
      </w:pPr>
      <w:r>
        <w:rPr>
          <w:rFonts w:hint="eastAsia" w:ascii="宋体" w:hAnsi="宋体" w:cs="宋体"/>
          <w:sz w:val="24"/>
          <w:szCs w:val="24"/>
        </w:rPr>
        <w:t>1、以本采购项目中标价为基数，参照国家计委关于印发《招标代理服务收费管理暂行办法》的通知（计价格[2002]1980号）和发改办价格[2003]857号规定收取；</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widowControl/>
        <w:spacing w:line="360" w:lineRule="auto"/>
        <w:jc w:val="center"/>
        <w:outlineLvl w:val="1"/>
        <w:rPr>
          <w:rFonts w:ascii="宋体" w:hAnsi="宋体" w:cs="宋体"/>
          <w:b/>
          <w:bCs/>
          <w:kern w:val="0"/>
          <w:sz w:val="32"/>
          <w:szCs w:val="28"/>
        </w:rPr>
      </w:pPr>
      <w:bookmarkStart w:id="81" w:name="_Toc13048"/>
      <w:bookmarkStart w:id="82" w:name="_Toc14280"/>
      <w:bookmarkStart w:id="83" w:name="_Toc13674"/>
      <w:bookmarkStart w:id="84" w:name="_Toc3379"/>
      <w:bookmarkStart w:id="85" w:name="_Toc11862"/>
      <w:r>
        <w:rPr>
          <w:rFonts w:hint="eastAsia" w:ascii="宋体" w:hAnsi="宋体" w:cs="宋体"/>
          <w:b/>
          <w:bCs/>
          <w:kern w:val="0"/>
          <w:sz w:val="32"/>
          <w:szCs w:val="28"/>
        </w:rPr>
        <w:t>九、质疑和投诉</w:t>
      </w:r>
      <w:bookmarkEnd w:id="81"/>
      <w:bookmarkEnd w:id="82"/>
      <w:bookmarkEnd w:id="83"/>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 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 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w:t>
      </w:r>
      <w:r>
        <w:rPr>
          <w:rFonts w:hint="eastAsia" w:ascii="宋体" w:hAnsi="宋体" w:cs="宋体"/>
          <w:kern w:val="0"/>
          <w:sz w:val="24"/>
          <w:szCs w:val="24"/>
        </w:rPr>
        <w:t>西安市高新区唐延路旺座现代城C座25楼2502室</w:t>
      </w:r>
      <w:r>
        <w:rPr>
          <w:rFonts w:hint="eastAsia" w:asciiTheme="minorEastAsia" w:hAnsiTheme="minorEastAsia" w:cstheme="minorEastAsia"/>
          <w:color w:val="000000" w:themeColor="text1"/>
          <w:sz w:val="24"/>
          <w:szCs w:val="24"/>
          <w14:textFill>
            <w14:solidFill>
              <w14:schemeClr w14:val="tx1"/>
            </w14:solidFill>
          </w14:textFill>
        </w:rPr>
        <w:t>。</w:t>
      </w:r>
    </w:p>
    <w:p>
      <w:pPr>
        <w:tabs>
          <w:tab w:val="left" w:pos="0"/>
          <w:tab w:val="left" w:pos="600"/>
          <w:tab w:val="left" w:pos="4700"/>
        </w:tabs>
        <w:autoSpaceDE w:val="0"/>
        <w:autoSpaceDN w:val="0"/>
        <w:spacing w:line="360" w:lineRule="auto"/>
        <w:ind w:firstLine="480" w:firstLineChars="20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10、质疑函应当使用中文。质疑函范本详见财政部制定的范本即招标文件附件六</w:t>
      </w:r>
      <w:r>
        <w:rPr>
          <w:rFonts w:hint="eastAsia" w:asciiTheme="minorEastAsia" w:hAnsiTheme="minorEastAsia" w:cstheme="minorEastAsia"/>
          <w:sz w:val="24"/>
          <w:szCs w:val="24"/>
        </w:rPr>
        <w:t>。</w:t>
      </w:r>
    </w:p>
    <w:p>
      <w:bookmarkStart w:id="86" w:name="_Toc19588"/>
      <w:bookmarkStart w:id="87" w:name="_Toc8030"/>
      <w:bookmarkStart w:id="88" w:name="_Toc10430"/>
      <w:r>
        <w:rPr>
          <w:rFonts w:hint="eastAsia"/>
        </w:rPr>
        <w:br w:type="page"/>
      </w:r>
    </w:p>
    <w:p>
      <w:pPr>
        <w:pStyle w:val="2"/>
        <w:keepLines w:val="0"/>
        <w:ind w:firstLine="643" w:firstLineChars="200"/>
      </w:pPr>
      <w:bookmarkStart w:id="89" w:name="_Toc21909"/>
      <w:r>
        <w:rPr>
          <w:rFonts w:hint="eastAsia"/>
        </w:rPr>
        <w:t>第四部分 评审标准</w:t>
      </w:r>
      <w:bookmarkEnd w:id="86"/>
      <w:bookmarkEnd w:id="87"/>
      <w:bookmarkEnd w:id="88"/>
      <w:bookmarkEnd w:id="89"/>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本次评标采用综合评分法，综合评分因素的主要因素为报价、技术、商务等以及对竞争性磋商文件的响应程度。每一供应商的最终得分为所有评委评分的算数平均值。</w:t>
      </w:r>
    </w:p>
    <w:p>
      <w:pPr>
        <w:pStyle w:val="6"/>
      </w:pPr>
    </w:p>
    <w:tbl>
      <w:tblPr>
        <w:tblStyle w:val="26"/>
        <w:tblW w:w="8802"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65"/>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88" w:type="dxa"/>
            <w:vAlign w:val="center"/>
          </w:tcPr>
          <w:p>
            <w:pPr>
              <w:spacing w:line="360" w:lineRule="auto"/>
              <w:ind w:left="-118" w:leftChars="-56" w:right="-94" w:rightChars="-45"/>
              <w:jc w:val="center"/>
              <w:rPr>
                <w:rFonts w:ascii="宋体"/>
                <w:sz w:val="24"/>
                <w:szCs w:val="24"/>
              </w:rPr>
            </w:pPr>
            <w:r>
              <w:rPr>
                <w:rFonts w:hint="eastAsia" w:ascii="宋体" w:hAnsi="宋体"/>
                <w:sz w:val="24"/>
                <w:szCs w:val="24"/>
              </w:rPr>
              <w:t>项目</w:t>
            </w:r>
          </w:p>
        </w:tc>
        <w:tc>
          <w:tcPr>
            <w:tcW w:w="965" w:type="dxa"/>
            <w:vAlign w:val="center"/>
          </w:tcPr>
          <w:p>
            <w:pPr>
              <w:spacing w:line="360" w:lineRule="auto"/>
              <w:ind w:left="-118" w:leftChars="-56" w:right="-94" w:rightChars="-45"/>
              <w:jc w:val="center"/>
              <w:rPr>
                <w:rFonts w:ascii="宋体" w:hAnsi="宋体"/>
                <w:sz w:val="24"/>
                <w:szCs w:val="24"/>
              </w:rPr>
            </w:pPr>
            <w:r>
              <w:rPr>
                <w:rFonts w:hint="eastAsia" w:ascii="宋体" w:hAnsi="宋体"/>
                <w:sz w:val="24"/>
                <w:szCs w:val="24"/>
              </w:rPr>
              <w:t>分值</w:t>
            </w:r>
          </w:p>
        </w:tc>
        <w:tc>
          <w:tcPr>
            <w:tcW w:w="6449" w:type="dxa"/>
            <w:vAlign w:val="center"/>
          </w:tcPr>
          <w:p>
            <w:pPr>
              <w:spacing w:line="360" w:lineRule="auto"/>
              <w:ind w:firstLine="2520" w:firstLineChars="1050"/>
              <w:rPr>
                <w:rFonts w:ascii="宋体" w:hAnsi="宋体"/>
                <w:sz w:val="24"/>
                <w:szCs w:val="24"/>
              </w:rPr>
            </w:pPr>
            <w:r>
              <w:rPr>
                <w:rFonts w:hint="eastAsia" w:ascii="宋体" w:hAnsi="宋体"/>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388" w:type="dxa"/>
            <w:vAlign w:val="center"/>
          </w:tcPr>
          <w:p>
            <w:pPr>
              <w:spacing w:line="360" w:lineRule="auto"/>
              <w:jc w:val="center"/>
              <w:rPr>
                <w:rFonts w:ascii="宋体" w:hAnsi="宋体"/>
                <w:bCs/>
                <w:sz w:val="24"/>
                <w:szCs w:val="24"/>
              </w:rPr>
            </w:pPr>
          </w:p>
          <w:p>
            <w:pPr>
              <w:spacing w:line="360" w:lineRule="auto"/>
              <w:jc w:val="center"/>
              <w:rPr>
                <w:rFonts w:ascii="宋体"/>
                <w:bCs/>
                <w:sz w:val="24"/>
                <w:szCs w:val="24"/>
              </w:rPr>
            </w:pPr>
            <w:r>
              <w:rPr>
                <w:rFonts w:hint="eastAsia" w:ascii="宋体" w:hAnsi="宋体"/>
                <w:bCs/>
                <w:sz w:val="24"/>
                <w:szCs w:val="24"/>
              </w:rPr>
              <w:t>磋商</w:t>
            </w:r>
          </w:p>
          <w:p>
            <w:pPr>
              <w:spacing w:line="360" w:lineRule="auto"/>
              <w:jc w:val="center"/>
              <w:rPr>
                <w:rFonts w:ascii="宋体"/>
                <w:bCs/>
                <w:sz w:val="24"/>
                <w:szCs w:val="24"/>
              </w:rPr>
            </w:pPr>
            <w:r>
              <w:rPr>
                <w:rFonts w:hint="eastAsia" w:ascii="宋体" w:hAnsi="宋体"/>
                <w:bCs/>
                <w:sz w:val="24"/>
                <w:szCs w:val="24"/>
              </w:rPr>
              <w:t>报价</w:t>
            </w:r>
          </w:p>
          <w:p>
            <w:pPr>
              <w:spacing w:line="360" w:lineRule="auto"/>
              <w:ind w:left="-118" w:leftChars="-56" w:right="-94" w:rightChars="-45"/>
              <w:jc w:val="center"/>
              <w:rPr>
                <w:rFonts w:ascii="宋体"/>
                <w:sz w:val="24"/>
                <w:szCs w:val="24"/>
              </w:rPr>
            </w:pPr>
          </w:p>
        </w:tc>
        <w:tc>
          <w:tcPr>
            <w:tcW w:w="965" w:type="dxa"/>
            <w:vAlign w:val="center"/>
          </w:tcPr>
          <w:p>
            <w:pPr>
              <w:spacing w:line="360" w:lineRule="auto"/>
              <w:ind w:left="-118" w:leftChars="-56" w:right="-94" w:rightChars="-45"/>
              <w:jc w:val="center"/>
              <w:rPr>
                <w:rFonts w:ascii="宋体"/>
                <w:sz w:val="24"/>
                <w:szCs w:val="24"/>
              </w:rPr>
            </w:pPr>
            <w:r>
              <w:rPr>
                <w:rFonts w:hint="eastAsia" w:ascii="宋体" w:hAnsi="宋体"/>
                <w:sz w:val="24"/>
                <w:szCs w:val="24"/>
              </w:rPr>
              <w:t>10分</w:t>
            </w:r>
          </w:p>
        </w:tc>
        <w:tc>
          <w:tcPr>
            <w:tcW w:w="6449" w:type="dxa"/>
            <w:vAlign w:val="center"/>
          </w:tcPr>
          <w:p>
            <w:pPr>
              <w:spacing w:line="360" w:lineRule="auto"/>
              <w:rPr>
                <w:rFonts w:ascii="宋体" w:hAnsi="宋体" w:cs="仿宋"/>
                <w:sz w:val="24"/>
                <w:szCs w:val="24"/>
              </w:rPr>
            </w:pPr>
            <w:r>
              <w:rPr>
                <w:rFonts w:hint="eastAsia" w:hAnsi="宋体"/>
                <w:color w:val="000000"/>
                <w:sz w:val="24"/>
                <w:szCs w:val="24"/>
              </w:rPr>
              <w:t>经初审合格</w:t>
            </w:r>
            <w:r>
              <w:rPr>
                <w:rFonts w:hint="eastAsia" w:ascii="宋体" w:hAnsi="宋体" w:cs="仿宋"/>
                <w:sz w:val="24"/>
                <w:szCs w:val="24"/>
              </w:rPr>
              <w:t>的供应商，其最后提交的磋商响应报价为有效响应报价。</w:t>
            </w:r>
          </w:p>
          <w:p>
            <w:pPr>
              <w:spacing w:line="360" w:lineRule="auto"/>
              <w:rPr>
                <w:rFonts w:ascii="宋体" w:hAnsi="宋体" w:cs="仿宋"/>
                <w:sz w:val="24"/>
                <w:szCs w:val="24"/>
              </w:rPr>
            </w:pPr>
            <w:r>
              <w:rPr>
                <w:rFonts w:hint="eastAsia" w:ascii="宋体" w:hAnsi="宋体" w:cs="仿宋"/>
                <w:sz w:val="24"/>
                <w:szCs w:val="24"/>
              </w:rPr>
              <w:t>评审基准价：即满足磋商文件要求且价格最低的响应报价为评审基准价。</w:t>
            </w:r>
          </w:p>
          <w:p>
            <w:pPr>
              <w:spacing w:line="360" w:lineRule="auto"/>
              <w:rPr>
                <w:rFonts w:ascii="宋体" w:hAnsi="宋体" w:cs="仿宋"/>
                <w:sz w:val="24"/>
                <w:szCs w:val="24"/>
              </w:rPr>
            </w:pPr>
            <w:r>
              <w:rPr>
                <w:rFonts w:hint="eastAsia" w:ascii="宋体" w:hAnsi="宋体" w:cs="仿宋"/>
                <w:sz w:val="24"/>
                <w:szCs w:val="24"/>
              </w:rPr>
              <w:t>其他供应商的价格分统一按照下列公式计算。</w:t>
            </w:r>
          </w:p>
          <w:p>
            <w:pPr>
              <w:spacing w:line="360" w:lineRule="auto"/>
              <w:rPr>
                <w:rFonts w:ascii="宋体"/>
                <w:sz w:val="24"/>
                <w:szCs w:val="24"/>
              </w:rPr>
            </w:pPr>
            <w:r>
              <w:rPr>
                <w:rFonts w:hint="eastAsia" w:ascii="宋体" w:hAnsi="宋体" w:cs="仿宋"/>
                <w:sz w:val="24"/>
                <w:szCs w:val="24"/>
              </w:rPr>
              <w:t>响应报价得分=(评审基准价</w:t>
            </w:r>
            <w:r>
              <w:rPr>
                <w:rFonts w:hint="eastAsia" w:hAnsi="宋体"/>
                <w:color w:val="000000"/>
                <w:sz w:val="24"/>
                <w:szCs w:val="24"/>
              </w:rPr>
              <w:t>／响应报价）×10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Align w:val="center"/>
          </w:tcPr>
          <w:p>
            <w:pPr>
              <w:spacing w:line="360" w:lineRule="auto"/>
              <w:ind w:left="-118" w:leftChars="-56" w:right="-94" w:rightChars="-45"/>
              <w:jc w:val="center"/>
              <w:rPr>
                <w:rFonts w:ascii="宋体" w:hAnsi="宋体"/>
                <w:sz w:val="24"/>
                <w:szCs w:val="24"/>
              </w:rPr>
            </w:pPr>
            <w:r>
              <w:rPr>
                <w:rFonts w:hint="eastAsia" w:ascii="宋体" w:hAnsi="宋体" w:cs="宋体"/>
                <w:sz w:val="24"/>
                <w:szCs w:val="24"/>
              </w:rPr>
              <w:t>服务方案</w:t>
            </w:r>
          </w:p>
        </w:tc>
        <w:tc>
          <w:tcPr>
            <w:tcW w:w="965" w:type="dxa"/>
            <w:vAlign w:val="center"/>
          </w:tcPr>
          <w:p>
            <w:pPr>
              <w:spacing w:line="360" w:lineRule="auto"/>
              <w:ind w:left="-118" w:leftChars="-56" w:right="-94" w:rightChars="-45"/>
              <w:jc w:val="center"/>
              <w:rPr>
                <w:rFonts w:ascii="宋体" w:hAnsi="宋体"/>
                <w:sz w:val="24"/>
                <w:szCs w:val="24"/>
              </w:rPr>
            </w:pPr>
            <w:r>
              <w:rPr>
                <w:rFonts w:hint="eastAsia" w:ascii="宋体" w:hAnsi="宋体"/>
                <w:sz w:val="24"/>
                <w:szCs w:val="24"/>
              </w:rPr>
              <w:t>30分</w:t>
            </w:r>
          </w:p>
        </w:tc>
        <w:tc>
          <w:tcPr>
            <w:tcW w:w="6449" w:type="dxa"/>
            <w:vAlign w:val="center"/>
          </w:tcPr>
          <w:p>
            <w:pPr>
              <w:spacing w:line="360" w:lineRule="auto"/>
              <w:rPr>
                <w:sz w:val="24"/>
                <w:szCs w:val="24"/>
              </w:rPr>
            </w:pPr>
            <w:r>
              <w:rPr>
                <w:rFonts w:hint="eastAsia"/>
                <w:sz w:val="24"/>
                <w:szCs w:val="24"/>
              </w:rPr>
              <w:t>1、需求分析：</w:t>
            </w:r>
          </w:p>
          <w:p>
            <w:pPr>
              <w:spacing w:line="360" w:lineRule="auto"/>
              <w:rPr>
                <w:sz w:val="24"/>
                <w:szCs w:val="24"/>
              </w:rPr>
            </w:pPr>
            <w:r>
              <w:rPr>
                <w:rFonts w:hint="eastAsia"/>
                <w:sz w:val="24"/>
                <w:szCs w:val="24"/>
              </w:rPr>
              <w:t>根据供应商对本项目服务需求的响应程度、理解程度、准确性进行综合评审（包括但不限于设计要求、拆除及制作要求、主材技术要求等）；</w:t>
            </w:r>
          </w:p>
          <w:p>
            <w:pPr>
              <w:spacing w:line="360" w:lineRule="auto"/>
              <w:rPr>
                <w:sz w:val="24"/>
                <w:szCs w:val="24"/>
              </w:rPr>
            </w:pPr>
            <w:r>
              <w:rPr>
                <w:rFonts w:hint="eastAsia"/>
                <w:sz w:val="24"/>
                <w:szCs w:val="24"/>
              </w:rPr>
              <w:t>对本项目服务内容了解全面完整、准确充分，对本项目的服务需求理解表述准确清楚得10.1-15分；</w:t>
            </w:r>
          </w:p>
          <w:p>
            <w:pPr>
              <w:spacing w:line="360" w:lineRule="auto"/>
              <w:rPr>
                <w:sz w:val="24"/>
                <w:szCs w:val="24"/>
              </w:rPr>
            </w:pPr>
            <w:r>
              <w:rPr>
                <w:rFonts w:hint="eastAsia"/>
                <w:sz w:val="24"/>
                <w:szCs w:val="24"/>
              </w:rPr>
              <w:t>对本项目服务内容了解基本清楚，不够全面、充分，对本项目的服务需求理解表述基本准确清楚得5.1-10分；</w:t>
            </w:r>
          </w:p>
          <w:p>
            <w:pPr>
              <w:spacing w:line="360" w:lineRule="auto"/>
              <w:rPr>
                <w:sz w:val="24"/>
                <w:szCs w:val="24"/>
              </w:rPr>
            </w:pPr>
            <w:r>
              <w:rPr>
                <w:rFonts w:hint="eastAsia"/>
                <w:sz w:val="24"/>
                <w:szCs w:val="24"/>
              </w:rPr>
              <w:t>对本项目服务内容了解不充分，对本项目的服务需求理解表述稍有欠缺得0-5分；未提供不得分。</w:t>
            </w:r>
          </w:p>
          <w:p>
            <w:pPr>
              <w:spacing w:line="360" w:lineRule="auto"/>
              <w:rPr>
                <w:rFonts w:ascii="宋体" w:hAnsi="宋体" w:cs="宋体"/>
                <w:sz w:val="24"/>
                <w:szCs w:val="24"/>
              </w:rPr>
            </w:pPr>
            <w:r>
              <w:rPr>
                <w:rFonts w:hint="eastAsia" w:ascii="宋体" w:hAnsi="宋体" w:cs="宋体"/>
                <w:sz w:val="24"/>
                <w:szCs w:val="24"/>
              </w:rPr>
              <w:t>2、整体服务方案：</w:t>
            </w:r>
          </w:p>
          <w:p>
            <w:pPr>
              <w:spacing w:line="360" w:lineRule="auto"/>
              <w:rPr>
                <w:sz w:val="24"/>
                <w:szCs w:val="24"/>
              </w:rPr>
            </w:pPr>
            <w:r>
              <w:rPr>
                <w:rFonts w:hint="eastAsia" w:ascii="宋体" w:hAnsi="宋体" w:cs="宋体"/>
                <w:sz w:val="24"/>
                <w:szCs w:val="24"/>
              </w:rPr>
              <w:t>提供本项目实施内容，实施计划，实施周期，项目管理方案、顶部发光字中英文设计方案、</w:t>
            </w:r>
            <w:r>
              <w:rPr>
                <w:rFonts w:hint="eastAsia"/>
                <w:sz w:val="24"/>
                <w:szCs w:val="24"/>
              </w:rPr>
              <w:t>制作方案、应急响应方案、故障处置方案</w:t>
            </w:r>
            <w:r>
              <w:rPr>
                <w:rFonts w:hint="eastAsia" w:ascii="宋体" w:hAnsi="宋体" w:cs="宋体"/>
                <w:sz w:val="24"/>
                <w:szCs w:val="24"/>
              </w:rPr>
              <w:t>等相关内容。内容完整详细、全面、可行性强得10.1-15分，方案较合理，较全面，可行性一般得5.1-10分，方案描述粗略，不全得0-5分，未提供不得分。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Align w:val="center"/>
          </w:tcPr>
          <w:p>
            <w:pPr>
              <w:spacing w:line="360" w:lineRule="auto"/>
              <w:ind w:left="-118" w:leftChars="-56" w:right="-94" w:rightChars="-45"/>
              <w:jc w:val="center"/>
              <w:rPr>
                <w:rFonts w:ascii="宋体" w:hAnsi="宋体" w:cs="宋体"/>
                <w:sz w:val="24"/>
                <w:szCs w:val="24"/>
              </w:rPr>
            </w:pPr>
            <w:r>
              <w:rPr>
                <w:rFonts w:hint="eastAsia" w:ascii="宋体" w:hAnsi="宋体" w:cs="宋体"/>
                <w:sz w:val="24"/>
                <w:szCs w:val="24"/>
              </w:rPr>
              <w:t>施工方案</w:t>
            </w:r>
          </w:p>
        </w:tc>
        <w:tc>
          <w:tcPr>
            <w:tcW w:w="965" w:type="dxa"/>
            <w:vAlign w:val="center"/>
          </w:tcPr>
          <w:p>
            <w:pPr>
              <w:spacing w:line="360" w:lineRule="auto"/>
              <w:ind w:left="-118" w:leftChars="-56" w:right="-94" w:rightChars="-45"/>
              <w:jc w:val="center"/>
              <w:rPr>
                <w:rFonts w:ascii="宋体" w:hAnsi="宋体"/>
                <w:sz w:val="24"/>
                <w:szCs w:val="24"/>
              </w:rPr>
            </w:pPr>
            <w:r>
              <w:rPr>
                <w:rFonts w:hint="eastAsia" w:ascii="宋体" w:hAnsi="宋体"/>
                <w:sz w:val="24"/>
                <w:szCs w:val="24"/>
              </w:rPr>
              <w:t>30分</w:t>
            </w:r>
          </w:p>
        </w:tc>
        <w:tc>
          <w:tcPr>
            <w:tcW w:w="6449" w:type="dxa"/>
            <w:vAlign w:val="center"/>
          </w:tcPr>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1、机械设备及劳动力投入计划（7分）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提供机械设备及劳动力投入计划，采用先进机械设备，根据项目施工需要，安排充足的劳动力，与项目施工进度相匹配，提供机械设备配置计划、施工机械进场计划表及劳动力安排计划。</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（1）提供机械设备投入计划，采用先进机械设备，劳动力安排充足，满足项目施工需要，与项目施工进度相呼应计5.1-7分；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（2）提供机械设备投入计划，采用较先进机械设备，劳动力安基本满足项目施工需要，与项目施工进度相呼应计3.1-5.0分；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（3）提供机械设备投入计划，采用常规的机械设备，劳动力配备欠缺，不能够满足项目施工基本需要，与项目施工进度不呼应计1.0-3分。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（4）有明显缺陷，及未提供不得分。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2、安全、文明施工措施（7分）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根据供应商提供的安全管理体系与安全生产责任制，落实安全设施设置，排除安全隐患提供安全保证计划，制定专项安全施工技术措施，文明施工措施等综合赋分：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（1）安全、文明施工措施全面、具体、可行计5.1-7分；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（2）安全、文明施工措施较具体、较完整、可行性一般计3.1-5.0分；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（3）安全、文明施工措施不能够满足采购需求计1.0-3.0分；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（4）有明显缺陷，及未提供不得分。             </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3、施工现场环保措施及维护措施、违约责任承诺（7分）：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根据供应商提供施工现场围挡、安全警示牌及固体废弃物、粉尘排放、噪声等环保措施及维护措施及全面详细的违约责任承诺等综合赋分。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（1）施工现场环保措施及维护措施具体、完整、可操作性强及违约责任承诺详细、全面计5.1-7分；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（2）施工现场环保措施及维护措施较具体、较完整、可操作性及违约责任承诺一般计3.1-5分；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（3）施工现场环保措施及维护措施及违约责任承诺基本满足采购需求计1.0-3.0分；                                                                                                                                                        </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（4）有明显缺陷，及未提供不得分。   </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4、新技术、新工艺、新产品、新材料的应用计0-2分：                                                                                                                                                               </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5、检测、验收方案（7分）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（1）供应商结合自身情况拟定检测、验收方案细致、全面、具体、可行计5.1-7分；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（2）拟定检测、验收方案较具体、较完整、可行性一般计3.1-5分；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（3）拟定检测、验收方案不能够满足采购需求计1.0-3.0分；</w:t>
            </w:r>
          </w:p>
          <w:p>
            <w:pPr>
              <w:pStyle w:val="24"/>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（4）有明显缺陷，及未提供不得分。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1388" w:type="dxa"/>
            <w:vAlign w:val="center"/>
          </w:tcPr>
          <w:p>
            <w:pPr>
              <w:spacing w:line="360" w:lineRule="auto"/>
              <w:rPr>
                <w:rFonts w:ascii="宋体" w:hAnsi="宋体"/>
                <w:sz w:val="24"/>
                <w:szCs w:val="24"/>
                <w:lang w:val="zh-CN"/>
              </w:rPr>
            </w:pPr>
            <w:r>
              <w:rPr>
                <w:rFonts w:hint="eastAsia" w:ascii="宋体" w:hAnsi="宋体"/>
                <w:sz w:val="24"/>
                <w:szCs w:val="24"/>
                <w:lang w:val="zh-CN"/>
              </w:rPr>
              <w:t>工作进度计划及服务质量保障措施</w:t>
            </w:r>
          </w:p>
          <w:p>
            <w:pPr>
              <w:spacing w:line="360" w:lineRule="auto"/>
              <w:rPr>
                <w:rFonts w:ascii="宋体" w:hAnsi="宋体"/>
                <w:sz w:val="24"/>
                <w:szCs w:val="24"/>
              </w:rPr>
            </w:pPr>
          </w:p>
        </w:tc>
        <w:tc>
          <w:tcPr>
            <w:tcW w:w="965" w:type="dxa"/>
            <w:vAlign w:val="center"/>
          </w:tcPr>
          <w:p>
            <w:pPr>
              <w:spacing w:line="360" w:lineRule="auto"/>
              <w:rPr>
                <w:rFonts w:ascii="宋体" w:hAnsi="宋体"/>
                <w:sz w:val="24"/>
                <w:szCs w:val="24"/>
              </w:rPr>
            </w:pPr>
            <w:r>
              <w:rPr>
                <w:rFonts w:hint="eastAsia" w:ascii="宋体" w:hAnsi="宋体"/>
                <w:sz w:val="24"/>
                <w:szCs w:val="24"/>
              </w:rPr>
              <w:t>7分</w:t>
            </w:r>
          </w:p>
        </w:tc>
        <w:tc>
          <w:tcPr>
            <w:tcW w:w="6449" w:type="dxa"/>
            <w:vAlign w:val="center"/>
          </w:tcPr>
          <w:p>
            <w:pPr>
              <w:spacing w:line="360" w:lineRule="auto"/>
              <w:rPr>
                <w:rFonts w:ascii="宋体" w:hAnsi="宋体"/>
                <w:sz w:val="24"/>
                <w:szCs w:val="24"/>
              </w:rPr>
            </w:pPr>
            <w:r>
              <w:rPr>
                <w:rFonts w:hint="eastAsia" w:ascii="宋体" w:hAnsi="宋体"/>
                <w:sz w:val="24"/>
                <w:szCs w:val="24"/>
              </w:rPr>
              <w:t>工作进度计划和服务质量统筹部署（包括但不限于交付目标、交付内容、交付工期、交付计划、质量保障措施、技术难点、重点及关键部位施工方案）</w:t>
            </w:r>
          </w:p>
          <w:p>
            <w:pPr>
              <w:spacing w:line="360" w:lineRule="auto"/>
              <w:rPr>
                <w:rFonts w:ascii="宋体" w:hAnsi="宋体"/>
                <w:sz w:val="24"/>
                <w:szCs w:val="24"/>
              </w:rPr>
            </w:pPr>
            <w:r>
              <w:rPr>
                <w:rFonts w:hint="eastAsia" w:ascii="宋体" w:hAnsi="宋体"/>
                <w:sz w:val="24"/>
                <w:szCs w:val="24"/>
              </w:rPr>
              <w:t>（1）相关工作安排可操作性强，满足工作进度和质量要求，服务质量保障措施详细、合理、完善，得5.1-7分；</w:t>
            </w:r>
          </w:p>
          <w:p>
            <w:pPr>
              <w:pStyle w:val="24"/>
              <w:spacing w:line="360" w:lineRule="auto"/>
              <w:ind w:firstLine="0" w:firstLineChars="0"/>
              <w:rPr>
                <w:rFonts w:ascii="宋体" w:hAnsi="宋体" w:cs="宋体"/>
                <w:sz w:val="24"/>
                <w:szCs w:val="24"/>
              </w:rPr>
            </w:pPr>
            <w:r>
              <w:rPr>
                <w:rFonts w:hint="eastAsia" w:ascii="宋体" w:hAnsi="宋体" w:cs="宋体"/>
                <w:sz w:val="24"/>
                <w:szCs w:val="24"/>
              </w:rPr>
              <w:t>2）针对本项目制定的质量保证措施及方案完善、具体可行得3.1-5分；</w:t>
            </w:r>
          </w:p>
          <w:p>
            <w:pPr>
              <w:pStyle w:val="19"/>
              <w:spacing w:line="360" w:lineRule="auto"/>
              <w:ind w:left="0"/>
              <w:rPr>
                <w:rFonts w:ascii="宋体" w:hAnsi="宋体" w:cs="宋体"/>
                <w:sz w:val="24"/>
                <w:szCs w:val="24"/>
              </w:rPr>
            </w:pPr>
            <w:r>
              <w:rPr>
                <w:rFonts w:hint="eastAsia"/>
                <w:sz w:val="24"/>
                <w:szCs w:val="24"/>
              </w:rPr>
              <w:t>（3）</w:t>
            </w:r>
            <w:r>
              <w:rPr>
                <w:rFonts w:hint="eastAsia" w:ascii="宋体" w:hAnsi="宋体" w:cs="宋体"/>
                <w:sz w:val="24"/>
                <w:szCs w:val="24"/>
              </w:rPr>
              <w:t>针对本项目制定的质量保证措施及方案完善、可实施性一般得1.1-3分；</w:t>
            </w:r>
          </w:p>
          <w:p>
            <w:pPr>
              <w:spacing w:line="360" w:lineRule="auto"/>
              <w:rPr>
                <w:rFonts w:ascii="宋体" w:hAnsi="宋体"/>
                <w:sz w:val="24"/>
                <w:szCs w:val="24"/>
              </w:rPr>
            </w:pPr>
            <w:r>
              <w:rPr>
                <w:rFonts w:hint="eastAsia" w:ascii="宋体" w:hAnsi="宋体" w:cs="宋体"/>
                <w:sz w:val="24"/>
                <w:szCs w:val="24"/>
              </w:rPr>
              <w:t>（4）有明显缺陷及未提供不得分。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388" w:type="dxa"/>
            <w:vAlign w:val="center"/>
          </w:tcPr>
          <w:p>
            <w:pPr>
              <w:spacing w:line="360" w:lineRule="auto"/>
              <w:ind w:left="-118" w:leftChars="-56" w:right="-94" w:rightChars="-45"/>
              <w:jc w:val="center"/>
              <w:rPr>
                <w:rFonts w:ascii="宋体"/>
                <w:sz w:val="24"/>
                <w:szCs w:val="24"/>
              </w:rPr>
            </w:pPr>
            <w:r>
              <w:rPr>
                <w:rFonts w:hint="eastAsia" w:ascii="宋体"/>
                <w:sz w:val="24"/>
                <w:szCs w:val="24"/>
              </w:rPr>
              <w:t>项目团队</w:t>
            </w:r>
          </w:p>
        </w:tc>
        <w:tc>
          <w:tcPr>
            <w:tcW w:w="965" w:type="dxa"/>
            <w:vAlign w:val="center"/>
          </w:tcPr>
          <w:p>
            <w:pPr>
              <w:spacing w:line="360" w:lineRule="auto"/>
              <w:ind w:left="-118" w:leftChars="-56" w:right="-94" w:rightChars="-45"/>
              <w:jc w:val="center"/>
              <w:rPr>
                <w:rFonts w:ascii="宋体"/>
                <w:sz w:val="24"/>
                <w:szCs w:val="24"/>
              </w:rPr>
            </w:pPr>
            <w:r>
              <w:rPr>
                <w:rFonts w:hint="eastAsia" w:ascii="宋体"/>
                <w:sz w:val="24"/>
                <w:szCs w:val="24"/>
              </w:rPr>
              <w:t>8分</w:t>
            </w:r>
          </w:p>
        </w:tc>
        <w:tc>
          <w:tcPr>
            <w:tcW w:w="6449" w:type="dxa"/>
            <w:vAlign w:val="center"/>
          </w:tcPr>
          <w:p>
            <w:pPr>
              <w:spacing w:line="360" w:lineRule="auto"/>
              <w:rPr>
                <w:rFonts w:ascii="宋体" w:hAnsi="宋体"/>
                <w:sz w:val="24"/>
                <w:szCs w:val="24"/>
              </w:rPr>
            </w:pPr>
            <w:r>
              <w:rPr>
                <w:rFonts w:hint="eastAsia" w:ascii="宋体" w:hAnsi="宋体"/>
                <w:sz w:val="24"/>
                <w:szCs w:val="24"/>
              </w:rPr>
              <w:t>针对项目组织管理机构设置及人员配置、职责划分、管理制度专业人员配备合理、全面、满足项目需求，能充分体现工作效率及工作效果。</w:t>
            </w:r>
          </w:p>
          <w:p>
            <w:pPr>
              <w:spacing w:line="360" w:lineRule="auto"/>
              <w:rPr>
                <w:sz w:val="24"/>
                <w:szCs w:val="24"/>
              </w:rPr>
            </w:pPr>
            <w:r>
              <w:rPr>
                <w:rFonts w:ascii="宋体" w:hAnsi="宋体" w:cs="宋体"/>
                <w:bCs/>
                <w:sz w:val="24"/>
                <w:szCs w:val="24"/>
              </w:rPr>
              <w:t>项目团队技术专业且经验丰富，人员调配方案科学、合理（</w:t>
            </w:r>
            <w:r>
              <w:rPr>
                <w:rFonts w:hint="eastAsia" w:ascii="宋体" w:hAnsi="宋体" w:cs="宋体"/>
                <w:bCs/>
                <w:sz w:val="24"/>
                <w:szCs w:val="24"/>
              </w:rPr>
              <w:t>5.1</w:t>
            </w:r>
            <w:r>
              <w:rPr>
                <w:rFonts w:ascii="宋体" w:hAnsi="宋体" w:cs="宋体"/>
                <w:bCs/>
                <w:sz w:val="24"/>
                <w:szCs w:val="24"/>
              </w:rPr>
              <w:t>-</w:t>
            </w:r>
            <w:r>
              <w:rPr>
                <w:rFonts w:hint="eastAsia" w:ascii="宋体" w:hAnsi="宋体" w:cs="宋体"/>
                <w:bCs/>
                <w:sz w:val="24"/>
                <w:szCs w:val="24"/>
              </w:rPr>
              <w:t>8</w:t>
            </w:r>
            <w:r>
              <w:rPr>
                <w:rFonts w:ascii="宋体" w:hAnsi="宋体" w:cs="宋体"/>
                <w:bCs/>
                <w:sz w:val="24"/>
                <w:szCs w:val="24"/>
              </w:rPr>
              <w:t>）分；项目团队专业性及服务经验一般，人员调配方案基本可行（</w:t>
            </w:r>
            <w:r>
              <w:rPr>
                <w:rFonts w:hint="eastAsia" w:ascii="宋体" w:hAnsi="宋体" w:cs="宋体"/>
                <w:bCs/>
                <w:sz w:val="24"/>
                <w:szCs w:val="24"/>
              </w:rPr>
              <w:t>3.1</w:t>
            </w:r>
            <w:r>
              <w:rPr>
                <w:rFonts w:ascii="宋体" w:hAnsi="宋体" w:cs="宋体"/>
                <w:bCs/>
                <w:sz w:val="24"/>
                <w:szCs w:val="24"/>
              </w:rPr>
              <w:t>-</w:t>
            </w:r>
            <w:r>
              <w:rPr>
                <w:rFonts w:hint="eastAsia" w:ascii="宋体" w:hAnsi="宋体" w:cs="宋体"/>
                <w:bCs/>
                <w:sz w:val="24"/>
                <w:szCs w:val="24"/>
              </w:rPr>
              <w:t>5</w:t>
            </w:r>
            <w:r>
              <w:rPr>
                <w:rFonts w:ascii="宋体" w:hAnsi="宋体" w:cs="宋体"/>
                <w:bCs/>
                <w:sz w:val="24"/>
                <w:szCs w:val="24"/>
              </w:rPr>
              <w:t>）分；项目团队专业性、经验及人员调配方案较差（0-</w:t>
            </w:r>
            <w:r>
              <w:rPr>
                <w:rFonts w:hint="eastAsia" w:ascii="宋体" w:hAnsi="宋体" w:cs="宋体"/>
                <w:bCs/>
                <w:sz w:val="24"/>
                <w:szCs w:val="24"/>
              </w:rPr>
              <w:t>3</w:t>
            </w:r>
            <w:r>
              <w:rPr>
                <w:rFonts w:ascii="宋体" w:hAnsi="宋体" w:cs="宋体"/>
                <w:bCs/>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388" w:type="dxa"/>
            <w:vAlign w:val="center"/>
          </w:tcPr>
          <w:p>
            <w:pPr>
              <w:pStyle w:val="25"/>
              <w:spacing w:line="360" w:lineRule="auto"/>
              <w:ind w:left="0" w:leftChars="0"/>
              <w:rPr>
                <w:rFonts w:ascii="宋体" w:hAnsi="宋体" w:cs="宋体"/>
                <w:color w:val="000000"/>
                <w:sz w:val="24"/>
                <w:szCs w:val="24"/>
              </w:rPr>
            </w:pPr>
            <w:r>
              <w:rPr>
                <w:rFonts w:hint="eastAsia" w:ascii="宋体" w:hAnsi="宋体" w:cs="宋体"/>
                <w:color w:val="000000"/>
                <w:sz w:val="24"/>
                <w:szCs w:val="24"/>
              </w:rPr>
              <w:t>售后服务措施及保修承诺</w:t>
            </w:r>
          </w:p>
          <w:p>
            <w:pPr>
              <w:spacing w:line="360" w:lineRule="auto"/>
              <w:ind w:left="-118" w:leftChars="-56" w:right="-94" w:rightChars="-45"/>
              <w:rPr>
                <w:rFonts w:ascii="宋体" w:hAnsi="宋体"/>
                <w:sz w:val="24"/>
                <w:szCs w:val="24"/>
              </w:rPr>
            </w:pPr>
          </w:p>
        </w:tc>
        <w:tc>
          <w:tcPr>
            <w:tcW w:w="965" w:type="dxa"/>
            <w:vAlign w:val="center"/>
          </w:tcPr>
          <w:p>
            <w:pPr>
              <w:spacing w:line="360" w:lineRule="auto"/>
              <w:ind w:right="-94" w:rightChars="-45"/>
              <w:rPr>
                <w:rFonts w:ascii="宋体" w:hAnsi="宋体"/>
                <w:sz w:val="24"/>
                <w:szCs w:val="24"/>
              </w:rPr>
            </w:pPr>
            <w:r>
              <w:rPr>
                <w:rFonts w:hint="eastAsia" w:ascii="宋体" w:hAnsi="宋体"/>
                <w:sz w:val="24"/>
                <w:szCs w:val="24"/>
              </w:rPr>
              <w:t>5分</w:t>
            </w:r>
          </w:p>
        </w:tc>
        <w:tc>
          <w:tcPr>
            <w:tcW w:w="6449" w:type="dxa"/>
            <w:vAlign w:val="center"/>
          </w:tcPr>
          <w:p>
            <w:pPr>
              <w:spacing w:line="360" w:lineRule="auto"/>
              <w:rPr>
                <w:sz w:val="24"/>
                <w:szCs w:val="24"/>
              </w:rPr>
            </w:pPr>
            <w:r>
              <w:rPr>
                <w:rFonts w:hint="eastAsia" w:ascii="宋体" w:hAnsi="宋体" w:cs="宋体"/>
                <w:color w:val="000000"/>
                <w:sz w:val="24"/>
                <w:szCs w:val="24"/>
              </w:rPr>
              <w:t>针对本项目提供合理化建议和施工服务配合承诺、承诺质保期内的保修内容及时效性服务承诺</w:t>
            </w:r>
            <w:r>
              <w:rPr>
                <w:rFonts w:hint="eastAsia"/>
                <w:sz w:val="24"/>
                <w:szCs w:val="24"/>
              </w:rPr>
              <w:t>（</w:t>
            </w:r>
            <w:r>
              <w:rPr>
                <w:sz w:val="24"/>
                <w:szCs w:val="24"/>
              </w:rPr>
              <w:t>包括但不限于应急响应保障方案和人员</w:t>
            </w:r>
            <w:r>
              <w:rPr>
                <w:rFonts w:hint="eastAsia"/>
                <w:sz w:val="24"/>
                <w:szCs w:val="24"/>
              </w:rPr>
              <w:t>安排、应急响应时效等）</w:t>
            </w:r>
            <w:r>
              <w:rPr>
                <w:rFonts w:hint="eastAsia" w:ascii="宋体" w:hAnsi="宋体" w:cs="宋体"/>
                <w:color w:val="000000"/>
                <w:sz w:val="24"/>
                <w:szCs w:val="24"/>
              </w:rPr>
              <w:t>，视其响应程度计0-5分。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388" w:type="dxa"/>
            <w:vAlign w:val="center"/>
          </w:tcPr>
          <w:p>
            <w:pPr>
              <w:spacing w:line="360" w:lineRule="auto"/>
              <w:ind w:left="-118" w:leftChars="-56" w:right="-94" w:rightChars="-45"/>
              <w:jc w:val="center"/>
              <w:rPr>
                <w:rFonts w:ascii="宋体" w:hAnsi="宋体"/>
                <w:sz w:val="24"/>
                <w:szCs w:val="24"/>
              </w:rPr>
            </w:pPr>
            <w:r>
              <w:rPr>
                <w:rFonts w:hint="eastAsia" w:ascii="宋体" w:hAnsi="宋体"/>
                <w:sz w:val="24"/>
                <w:szCs w:val="24"/>
              </w:rPr>
              <w:t>业绩</w:t>
            </w:r>
          </w:p>
        </w:tc>
        <w:tc>
          <w:tcPr>
            <w:tcW w:w="965" w:type="dxa"/>
            <w:vAlign w:val="center"/>
          </w:tcPr>
          <w:p>
            <w:pPr>
              <w:spacing w:line="360" w:lineRule="auto"/>
              <w:ind w:left="-118" w:leftChars="-56" w:right="-94" w:rightChars="-45"/>
              <w:jc w:val="center"/>
              <w:rPr>
                <w:rFonts w:ascii="宋体" w:hAnsi="宋体"/>
                <w:sz w:val="24"/>
                <w:szCs w:val="24"/>
              </w:rPr>
            </w:pPr>
            <w:r>
              <w:rPr>
                <w:rFonts w:hint="eastAsia" w:ascii="宋体" w:hAnsi="宋体"/>
                <w:sz w:val="24"/>
                <w:szCs w:val="24"/>
              </w:rPr>
              <w:t>10分</w:t>
            </w:r>
          </w:p>
        </w:tc>
        <w:tc>
          <w:tcPr>
            <w:tcW w:w="6449" w:type="dxa"/>
            <w:vAlign w:val="center"/>
          </w:tcPr>
          <w:p>
            <w:pPr>
              <w:spacing w:line="360" w:lineRule="auto"/>
              <w:rPr>
                <w:sz w:val="24"/>
                <w:szCs w:val="24"/>
              </w:rPr>
            </w:pPr>
            <w:r>
              <w:rPr>
                <w:rFonts w:hint="eastAsia"/>
                <w:sz w:val="24"/>
                <w:szCs w:val="24"/>
              </w:rPr>
              <w:t>类似项目业绩（10分）：供应商提供2022年1月1日以来至今完整业绩合同复印件为准。每提供一份得2分，最高得10分（以合同签订时间为准），</w:t>
            </w:r>
          </w:p>
          <w:p>
            <w:pPr>
              <w:pStyle w:val="6"/>
              <w:spacing w:line="360" w:lineRule="auto"/>
              <w:ind w:firstLine="0"/>
              <w:rPr>
                <w:rFonts w:ascii="宋体" w:hAnsi="宋体" w:cs="仿宋"/>
                <w:sz w:val="24"/>
                <w:szCs w:val="24"/>
              </w:rPr>
            </w:pPr>
            <w:r>
              <w:rPr>
                <w:rFonts w:hint="eastAsia" w:ascii="宋体" w:hAnsi="宋体" w:cs="仿宋"/>
                <w:b/>
                <w:bCs/>
                <w:sz w:val="24"/>
                <w:szCs w:val="24"/>
              </w:rPr>
              <w:t>评审依据：须提供完整清晰的合同复印件并加盖公章，以合同签订时间为准。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802" w:type="dxa"/>
            <w:gridSpan w:val="3"/>
            <w:vAlign w:val="center"/>
          </w:tcPr>
          <w:p>
            <w:pPr>
              <w:spacing w:line="360" w:lineRule="auto"/>
              <w:rPr>
                <w:rFonts w:ascii="宋体" w:hAnsi="宋体" w:cs="仿宋"/>
                <w:b/>
                <w:bCs/>
                <w:sz w:val="24"/>
                <w:szCs w:val="24"/>
              </w:rPr>
            </w:pPr>
            <w:r>
              <w:rPr>
                <w:rFonts w:hint="eastAsia" w:ascii="宋体" w:hAnsi="宋体" w:cs="仿宋"/>
                <w:b/>
                <w:bCs/>
                <w:sz w:val="24"/>
                <w:szCs w:val="24"/>
              </w:rPr>
              <w:t>备注：</w:t>
            </w:r>
          </w:p>
          <w:p>
            <w:pPr>
              <w:spacing w:line="360" w:lineRule="auto"/>
              <w:rPr>
                <w:rFonts w:hAnsi="宋体"/>
                <w:sz w:val="24"/>
                <w:szCs w:val="24"/>
              </w:rPr>
            </w:pPr>
            <w:r>
              <w:rPr>
                <w:rFonts w:hint="eastAsia" w:hAnsi="宋体"/>
                <w:sz w:val="24"/>
                <w:szCs w:val="24"/>
              </w:rPr>
              <w:t>（1）各评委独立打分。</w:t>
            </w:r>
          </w:p>
          <w:p>
            <w:pPr>
              <w:spacing w:line="360" w:lineRule="auto"/>
              <w:rPr>
                <w:rFonts w:hAnsi="宋体"/>
                <w:sz w:val="24"/>
                <w:szCs w:val="24"/>
              </w:rPr>
            </w:pPr>
            <w:r>
              <w:rPr>
                <w:rFonts w:hint="eastAsia" w:hAnsi="宋体"/>
                <w:sz w:val="24"/>
                <w:szCs w:val="24"/>
              </w:rPr>
              <w:t>（2）评委打分超过得分界限或未按本表规定赋分时，该评委的打分无效，不计入汇总分。</w:t>
            </w:r>
          </w:p>
          <w:p>
            <w:pPr>
              <w:spacing w:line="360" w:lineRule="auto"/>
              <w:rPr>
                <w:rFonts w:hAnsi="宋体"/>
                <w:sz w:val="24"/>
                <w:szCs w:val="24"/>
              </w:rPr>
            </w:pPr>
            <w:r>
              <w:rPr>
                <w:rFonts w:hint="eastAsia" w:hAnsi="宋体"/>
                <w:sz w:val="24"/>
                <w:szCs w:val="24"/>
              </w:rPr>
              <w:t>（3）若出现综合得分相同的，按投标报价由低到高顺序排列名次；得分且投标报价相同的，按技术指标得分顺序排列名次。</w:t>
            </w:r>
          </w:p>
          <w:p>
            <w:pPr>
              <w:pStyle w:val="6"/>
              <w:spacing w:line="360" w:lineRule="auto"/>
              <w:ind w:firstLine="0"/>
              <w:rPr>
                <w:rFonts w:ascii="宋体" w:hAnsi="宋体" w:cs="仿宋"/>
                <w:b/>
                <w:bCs/>
                <w:sz w:val="24"/>
                <w:szCs w:val="24"/>
              </w:rPr>
            </w:pPr>
            <w:r>
              <w:rPr>
                <w:rFonts w:hint="eastAsia" w:hAnsi="宋体"/>
                <w:sz w:val="24"/>
                <w:szCs w:val="24"/>
              </w:rPr>
              <w:t>（4）最终结果数字保留二位小数，不进行四舍五入。</w:t>
            </w:r>
          </w:p>
        </w:tc>
      </w:tr>
    </w:tbl>
    <w:p>
      <w:pPr>
        <w:spacing w:line="360" w:lineRule="auto"/>
        <w:rPr>
          <w:sz w:val="24"/>
          <w:szCs w:val="24"/>
        </w:rPr>
      </w:pPr>
      <w:r>
        <w:rPr>
          <w:rFonts w:hint="eastAsia" w:ascii="宋体" w:hAnsi="宋体" w:cs="宋体"/>
          <w:sz w:val="24"/>
        </w:rPr>
        <w:t>备注：</w:t>
      </w:r>
      <w:r>
        <w:rPr>
          <w:rFonts w:hint="eastAsia" w:ascii="宋体" w:hAnsi="宋体" w:cs="宋体"/>
          <w:sz w:val="24"/>
          <w:szCs w:val="24"/>
        </w:rPr>
        <w:t>评审指标每项评审最低得分为零分。</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w:t>
      </w:r>
      <w:r>
        <w:rPr>
          <w:rFonts w:hint="eastAsia" w:asciiTheme="minorEastAsia" w:hAnsiTheme="minorEastAsia" w:cstheme="minorEastAsia"/>
          <w:color w:val="000000"/>
          <w:sz w:val="24"/>
          <w:szCs w:val="24"/>
        </w:rPr>
        <w:t>《政府采购促进中小企业发展管理办法》（财库〔2020〕46号）</w:t>
      </w:r>
      <w:r>
        <w:rPr>
          <w:rFonts w:hint="eastAsia" w:ascii="宋体" w:hAnsi="宋体" w:cs="宋体"/>
          <w:sz w:val="24"/>
          <w:szCs w:val="24"/>
        </w:rPr>
        <w:t>的规定，对于非专门面向中小企业的项目，对小型和微型企业产品的价格给予3</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3%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20"/>
        <w:rPr>
          <w:rFonts w:ascii="宋体" w:hAnsi="宋体" w:cs="宋体"/>
          <w:sz w:val="24"/>
        </w:rPr>
        <w:sectPr>
          <w:headerReference r:id="rId9" w:type="default"/>
          <w:footerReference r:id="rId10" w:type="default"/>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pStyle w:val="2"/>
        <w:pageBreakBefore/>
        <w:numPr>
          <w:ilvl w:val="0"/>
          <w:numId w:val="17"/>
        </w:numPr>
        <w:rPr>
          <w:rFonts w:ascii="宋体" w:hAnsi="宋体" w:cs="宋体"/>
        </w:rPr>
      </w:pPr>
      <w:bookmarkStart w:id="558" w:name="_GoBack"/>
      <w:bookmarkEnd w:id="558"/>
      <w:bookmarkStart w:id="90" w:name="_Toc262"/>
      <w:bookmarkStart w:id="91" w:name="_Toc3021"/>
      <w:bookmarkStart w:id="92" w:name="_Toc4751"/>
      <w:bookmarkStart w:id="93" w:name="_Toc26757"/>
      <w:bookmarkStart w:id="94" w:name="OLE_LINK286"/>
      <w:bookmarkStart w:id="95" w:name="OLE_LINK285"/>
      <w:bookmarkStart w:id="96" w:name="_Toc23741"/>
      <w:bookmarkStart w:id="97" w:name="_Toc2234"/>
      <w:bookmarkStart w:id="98" w:name="_Toc26312"/>
      <w:r>
        <w:rPr>
          <w:rFonts w:hint="eastAsia" w:ascii="宋体" w:hAnsi="宋体" w:cs="宋体"/>
        </w:rPr>
        <w:t>分</w:t>
      </w:r>
      <w:bookmarkEnd w:id="90"/>
      <w:bookmarkStart w:id="99" w:name="_Toc15647"/>
      <w:bookmarkStart w:id="100" w:name="_Toc6835"/>
      <w:r>
        <w:rPr>
          <w:rFonts w:hint="eastAsia" w:ascii="宋体" w:hAnsi="宋体" w:cs="宋体"/>
        </w:rPr>
        <w:t xml:space="preserve"> 采购要求</w:t>
      </w:r>
      <w:bookmarkEnd w:id="91"/>
      <w:bookmarkEnd w:id="92"/>
      <w:bookmarkEnd w:id="93"/>
    </w:p>
    <w:p>
      <w:pPr>
        <w:numPr>
          <w:ilvl w:val="0"/>
          <w:numId w:val="18"/>
        </w:numPr>
        <w:overflowPunct w:val="0"/>
        <w:spacing w:line="600" w:lineRule="exact"/>
        <w:rPr>
          <w:rFonts w:ascii="宋体" w:hAnsi="宋体" w:cs="宋体"/>
          <w:b/>
          <w:bCs/>
          <w:sz w:val="24"/>
          <w:szCs w:val="24"/>
        </w:rPr>
      </w:pPr>
      <w:r>
        <w:rPr>
          <w:rFonts w:hint="eastAsia" w:ascii="宋体" w:hAnsi="宋体" w:cs="宋体"/>
          <w:b/>
          <w:bCs/>
          <w:sz w:val="24"/>
          <w:szCs w:val="24"/>
        </w:rPr>
        <w:t>采购内容及商务要求</w:t>
      </w:r>
    </w:p>
    <w:p>
      <w:pPr>
        <w:numPr>
          <w:ilvl w:val="0"/>
          <w:numId w:val="19"/>
        </w:numPr>
        <w:overflowPunct w:val="0"/>
        <w:spacing w:line="560" w:lineRule="exact"/>
        <w:rPr>
          <w:rFonts w:ascii="宋体" w:hAnsi="宋体" w:cs="宋体"/>
          <w:sz w:val="24"/>
          <w:szCs w:val="24"/>
        </w:rPr>
      </w:pPr>
      <w:r>
        <w:rPr>
          <w:rFonts w:hint="eastAsia" w:ascii="宋体" w:hAnsi="宋体" w:cs="宋体"/>
          <w:sz w:val="24"/>
          <w:szCs w:val="24"/>
        </w:rPr>
        <w:t>项目名称：西安市儿童医院西门院区门诊楼及住院二部楼顶发光字拆除设计安装项目</w:t>
      </w:r>
    </w:p>
    <w:p>
      <w:pPr>
        <w:numPr>
          <w:ilvl w:val="0"/>
          <w:numId w:val="19"/>
        </w:numPr>
        <w:overflowPunct w:val="0"/>
        <w:spacing w:line="560" w:lineRule="exact"/>
        <w:rPr>
          <w:rFonts w:ascii="宋体" w:hAnsi="宋体" w:cs="宋体"/>
          <w:sz w:val="24"/>
          <w:szCs w:val="24"/>
        </w:rPr>
      </w:pPr>
      <w:r>
        <w:rPr>
          <w:rFonts w:hint="eastAsia" w:ascii="宋体" w:hAnsi="宋体" w:cs="宋体"/>
          <w:sz w:val="24"/>
          <w:szCs w:val="24"/>
        </w:rPr>
        <w:t>服务地点：西安市儿童医院指定地点。</w:t>
      </w:r>
    </w:p>
    <w:p>
      <w:pPr>
        <w:autoSpaceDE w:val="0"/>
        <w:autoSpaceDN w:val="0"/>
        <w:adjustRightInd w:val="0"/>
        <w:spacing w:line="560" w:lineRule="exact"/>
        <w:rPr>
          <w:rFonts w:ascii="宋体" w:hAnsi="宋体" w:cs="宋体"/>
          <w:color w:val="FF0000"/>
          <w:kern w:val="0"/>
          <w:sz w:val="24"/>
          <w:szCs w:val="24"/>
        </w:rPr>
      </w:pPr>
      <w:r>
        <w:rPr>
          <w:rFonts w:hint="eastAsia" w:ascii="宋体" w:hAnsi="宋体" w:cs="宋体"/>
          <w:sz w:val="24"/>
          <w:szCs w:val="24"/>
        </w:rPr>
        <w:t>3.</w:t>
      </w:r>
      <w:r>
        <w:rPr>
          <w:rFonts w:hint="eastAsia" w:ascii="宋体" w:hAnsi="宋体" w:cs="宋体"/>
          <w:kern w:val="0"/>
          <w:sz w:val="24"/>
          <w:szCs w:val="24"/>
        </w:rPr>
        <w:t>服务期：</w:t>
      </w:r>
      <w:r>
        <w:rPr>
          <w:rFonts w:hint="eastAsia" w:ascii="宋体" w:hAnsi="宋体" w:cs="宋体"/>
          <w:color w:val="000000" w:themeColor="text1"/>
          <w:kern w:val="0"/>
          <w:sz w:val="24"/>
          <w:szCs w:val="24"/>
          <w14:textFill>
            <w14:solidFill>
              <w14:schemeClr w14:val="tx1"/>
            </w14:solidFill>
          </w14:textFill>
        </w:rPr>
        <w:t>设计定稿后20个日历日内完成制作安装。</w:t>
      </w:r>
    </w:p>
    <w:p>
      <w:pPr>
        <w:overflowPunct w:val="0"/>
        <w:spacing w:line="560" w:lineRule="exact"/>
        <w:rPr>
          <w:rFonts w:hint="eastAsia" w:ascii="宋体" w:hAnsi="宋体" w:cs="宋体"/>
          <w:kern w:val="0"/>
          <w:sz w:val="24"/>
          <w:szCs w:val="24"/>
        </w:rPr>
      </w:pPr>
      <w:r>
        <w:rPr>
          <w:rFonts w:hint="eastAsia" w:ascii="宋体" w:hAnsi="宋体" w:cs="宋体"/>
          <w:sz w:val="24"/>
          <w:szCs w:val="24"/>
        </w:rPr>
        <w:t>4、质保期：</w:t>
      </w:r>
      <w:r>
        <w:rPr>
          <w:rFonts w:hint="eastAsia" w:ascii="宋体" w:hAnsi="宋体" w:cs="宋体"/>
          <w:kern w:val="0"/>
          <w:sz w:val="24"/>
          <w:szCs w:val="24"/>
        </w:rPr>
        <w:t>自验收合格之日起3年内，免费质保。</w:t>
      </w:r>
    </w:p>
    <w:p>
      <w:pPr>
        <w:overflowPunct w:val="0"/>
        <w:spacing w:line="560" w:lineRule="exact"/>
        <w:rPr>
          <w:rFonts w:ascii="宋体" w:hAnsi="宋体" w:cs="宋体"/>
          <w:sz w:val="24"/>
          <w:szCs w:val="24"/>
        </w:rPr>
      </w:pPr>
      <w:r>
        <w:rPr>
          <w:rFonts w:hint="eastAsia" w:ascii="宋体" w:hAnsi="宋体" w:cs="宋体"/>
          <w:sz w:val="24"/>
          <w:szCs w:val="24"/>
        </w:rPr>
        <w:t>5.质量要求：合格。</w:t>
      </w:r>
    </w:p>
    <w:p>
      <w:pPr>
        <w:overflowPunct w:val="0"/>
        <w:spacing w:line="560" w:lineRule="exact"/>
        <w:rPr>
          <w:rFonts w:ascii="宋体" w:hAnsi="宋体" w:cs="宋体"/>
          <w:sz w:val="24"/>
          <w:szCs w:val="24"/>
          <w:highlight w:val="none"/>
        </w:rPr>
      </w:pPr>
      <w:r>
        <w:rPr>
          <w:rFonts w:hint="eastAsia" w:ascii="宋体" w:hAnsi="宋体" w:cs="宋体"/>
          <w:sz w:val="24"/>
          <w:szCs w:val="24"/>
          <w:highlight w:val="none"/>
        </w:rPr>
        <w:t>6.付款方式：</w:t>
      </w:r>
      <w:r>
        <w:rPr>
          <w:rFonts w:hint="eastAsia" w:ascii="宋体" w:hAnsi="宋体" w:cs="宋体"/>
          <w:kern w:val="0"/>
          <w:sz w:val="24"/>
          <w:szCs w:val="24"/>
          <w:highlight w:val="none"/>
        </w:rPr>
        <w:t>乙方按照合同规定完成要求，经甲方验收合格无质量问题后，支付总价款的97%，</w:t>
      </w:r>
      <w:r>
        <w:rPr>
          <w:rFonts w:hint="eastAsia" w:ascii="宋体" w:hAnsi="宋体" w:cs="宋体"/>
          <w:kern w:val="0"/>
          <w:sz w:val="24"/>
          <w:szCs w:val="24"/>
          <w:highlight w:val="none"/>
          <w:lang w:val="en-US" w:eastAsia="zh-CN"/>
        </w:rPr>
        <w:t>剩余</w:t>
      </w:r>
      <w:r>
        <w:rPr>
          <w:rFonts w:hint="eastAsia" w:ascii="宋体" w:hAnsi="宋体" w:cs="宋体"/>
          <w:kern w:val="0"/>
          <w:sz w:val="24"/>
          <w:szCs w:val="24"/>
          <w:highlight w:val="none"/>
        </w:rPr>
        <w:t>总价款的3%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质保期结束后一次性付清。</w:t>
      </w:r>
    </w:p>
    <w:p>
      <w:pPr>
        <w:spacing w:line="560" w:lineRule="exact"/>
        <w:rPr>
          <w:rFonts w:ascii="宋体" w:hAnsi="宋体" w:cs="宋体"/>
          <w:color w:val="FF0000"/>
          <w:sz w:val="24"/>
          <w:szCs w:val="24"/>
        </w:rPr>
      </w:pPr>
      <w:r>
        <w:rPr>
          <w:rFonts w:hint="eastAsia" w:ascii="宋体" w:hAnsi="宋体" w:cs="宋体"/>
          <w:sz w:val="24"/>
          <w:szCs w:val="24"/>
        </w:rPr>
        <w:t>7.结算方式：乙方持中标通知书、服务合同、正式发票、验收报告，与甲方进行结算。</w:t>
      </w:r>
    </w:p>
    <w:p>
      <w:pPr>
        <w:overflowPunct w:val="0"/>
        <w:spacing w:line="560" w:lineRule="exact"/>
        <w:rPr>
          <w:rFonts w:ascii="宋体" w:hAnsi="宋体" w:cs="宋体"/>
          <w:sz w:val="24"/>
          <w:szCs w:val="24"/>
        </w:rPr>
      </w:pPr>
      <w:r>
        <w:rPr>
          <w:rFonts w:hint="eastAsia" w:ascii="宋体" w:hAnsi="宋体" w:cs="宋体"/>
          <w:sz w:val="24"/>
          <w:szCs w:val="24"/>
        </w:rPr>
        <w:t>8、其他商务条款：详见合同条款。</w:t>
      </w:r>
    </w:p>
    <w:p>
      <w:pPr>
        <w:overflowPunct w:val="0"/>
        <w:spacing w:line="560" w:lineRule="exact"/>
        <w:rPr>
          <w:rFonts w:ascii="宋体" w:hAnsi="宋体" w:cs="宋体"/>
          <w:b/>
          <w:bCs/>
          <w:sz w:val="24"/>
          <w:szCs w:val="24"/>
        </w:rPr>
      </w:pPr>
      <w:r>
        <w:rPr>
          <w:rFonts w:hint="eastAsia" w:ascii="宋体" w:hAnsi="宋体" w:cs="宋体"/>
          <w:b/>
          <w:bCs/>
          <w:sz w:val="24"/>
          <w:szCs w:val="24"/>
        </w:rPr>
        <w:t>二、项目概况</w:t>
      </w:r>
    </w:p>
    <w:p>
      <w:pPr>
        <w:overflowPunct w:val="0"/>
        <w:spacing w:line="560" w:lineRule="exact"/>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为进一步提升医院形象，落实院领导关于完善医院整体服务提升的工作部署要求，结合医院实际需求，现将门诊楼及住院二部楼顶发光字进行升级，要求设计具有美观性及实用性，符合医院整体VI要求。</w:t>
      </w:r>
    </w:p>
    <w:p>
      <w:pPr>
        <w:overflowPunct w:val="0"/>
        <w:spacing w:line="560" w:lineRule="exact"/>
        <w:rPr>
          <w:rFonts w:ascii="宋体" w:hAnsi="宋体" w:cs="宋体"/>
          <w:b/>
          <w:bCs/>
          <w:sz w:val="24"/>
          <w:szCs w:val="24"/>
        </w:rPr>
      </w:pPr>
      <w:r>
        <w:rPr>
          <w:rFonts w:hint="eastAsia" w:ascii="宋体" w:hAnsi="宋体" w:cs="宋体"/>
          <w:b/>
          <w:bCs/>
          <w:sz w:val="24"/>
          <w:szCs w:val="24"/>
        </w:rPr>
        <w:t>三、服务内容</w:t>
      </w:r>
    </w:p>
    <w:p>
      <w:pPr>
        <w:overflowPunct w:val="0"/>
        <w:spacing w:line="560" w:lineRule="exact"/>
        <w:rPr>
          <w:rFonts w:ascii="宋体" w:hAnsi="宋体" w:cs="宋体"/>
          <w:sz w:val="24"/>
          <w:szCs w:val="24"/>
        </w:rPr>
      </w:pPr>
      <w:r>
        <w:rPr>
          <w:rFonts w:hint="eastAsia" w:ascii="宋体" w:hAnsi="宋体" w:cs="宋体"/>
          <w:sz w:val="24"/>
          <w:szCs w:val="24"/>
        </w:rPr>
        <w:t>（一）拆除工作</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1、门诊楼顶部发光字，原有铝板冲孔发光字及钢结构拆除。</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2、门诊楼南侧玻璃门楣顶部发光字，原有亚克力吸塑发光字及钢结构拆除。</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3、住院二部楼顶部发光字，原有铝板冲孔发光字及钢结构拆除。</w:t>
      </w:r>
    </w:p>
    <w:p>
      <w:pPr>
        <w:overflowPunct w:val="0"/>
        <w:spacing w:line="560" w:lineRule="exact"/>
        <w:rPr>
          <w:rFonts w:ascii="宋体" w:hAnsi="宋体" w:cs="宋体"/>
          <w:sz w:val="24"/>
          <w:szCs w:val="24"/>
        </w:rPr>
      </w:pPr>
      <w:r>
        <w:rPr>
          <w:rFonts w:hint="eastAsia" w:ascii="宋体" w:hAnsi="宋体" w:cs="宋体"/>
          <w:sz w:val="24"/>
          <w:szCs w:val="24"/>
        </w:rPr>
        <w:t>（二）门诊楼顶部新内容制作</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1、位置：门诊楼顶部</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2、内容：“西安市儿童医院”中文、英文。</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3、材质：标识采用1.5厚铝单板冲孔，无缝焊接成型，侧面箱体采用1.5㎜铝板，箱体厚度为10㎝，外置品牌户外专用LED防水灯珠，背覆镀锌板，安全螺栓固定。专业烤漆，除锈处理。</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4、字体：与原发光字字体相同。</w:t>
      </w:r>
    </w:p>
    <w:p>
      <w:pPr>
        <w:overflowPunct w:val="0"/>
        <w:spacing w:line="560" w:lineRule="exact"/>
        <w:ind w:firstLine="240" w:firstLineChars="100"/>
        <w:rPr>
          <w:rFonts w:hint="eastAsia" w:ascii="宋体" w:hAnsi="宋体" w:cs="宋体"/>
          <w:sz w:val="24"/>
          <w:szCs w:val="24"/>
        </w:rPr>
      </w:pPr>
      <w:r>
        <w:rPr>
          <w:rFonts w:hint="eastAsia" w:ascii="宋体" w:hAnsi="宋体" w:cs="宋体"/>
          <w:sz w:val="24"/>
          <w:szCs w:val="24"/>
        </w:rPr>
        <w:t>5、尺寸：</w:t>
      </w:r>
    </w:p>
    <w:p>
      <w:pPr>
        <w:overflowPunct w:val="0"/>
        <w:spacing w:line="560" w:lineRule="exact"/>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中文：3.0*3.0米*7。数量：63㎡。</w:t>
      </w:r>
    </w:p>
    <w:p>
      <w:pPr>
        <w:overflowPunct w:val="0"/>
        <w:spacing w:line="560" w:lineRule="exact"/>
        <w:ind w:firstLine="240" w:firstLineChars="1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英文：1.2*1.0米*23。数量：27.6㎡。</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6、颜色：红色。</w:t>
      </w:r>
    </w:p>
    <w:p>
      <w:pPr>
        <w:overflowPunct w:val="0"/>
        <w:spacing w:line="560" w:lineRule="exact"/>
        <w:rPr>
          <w:rFonts w:ascii="宋体" w:hAnsi="宋体" w:cs="宋体"/>
          <w:sz w:val="24"/>
          <w:szCs w:val="24"/>
          <w:highlight w:val="none"/>
        </w:rPr>
      </w:pPr>
      <w:r>
        <w:rPr>
          <w:rFonts w:hint="eastAsia" w:ascii="宋体" w:hAnsi="宋体" w:cs="宋体"/>
          <w:sz w:val="24"/>
          <w:szCs w:val="24"/>
          <w:highlight w:val="none"/>
        </w:rPr>
        <w:t>（三）门诊楼南侧玻璃门楣顶部新内容制作</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1、位置：门诊楼南侧玻璃门楣顶部。</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2、内容：“门诊”中文、英文。</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3、材质：材质及工艺要求；标识采用5㎜红色亚克力吸塑板制作，亚克力围边7cm厚，内置品牌红色LED防水光源。背覆镀锌板，安全螺栓固定。</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4、字体：与原发光字字体相同。</w:t>
      </w:r>
    </w:p>
    <w:p>
      <w:pPr>
        <w:overflowPunct w:val="0"/>
        <w:spacing w:line="56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5、尺寸：</w:t>
      </w:r>
    </w:p>
    <w:p>
      <w:pPr>
        <w:overflowPunct w:val="0"/>
        <w:spacing w:line="560" w:lineRule="exact"/>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中文：</w:t>
      </w:r>
      <w:r>
        <w:rPr>
          <w:rFonts w:hint="eastAsia" w:ascii="宋体" w:hAnsi="宋体" w:cs="宋体"/>
          <w:sz w:val="24"/>
          <w:szCs w:val="24"/>
          <w:highlight w:val="none"/>
        </w:rPr>
        <w:t>2.0*2.0米*2。</w:t>
      </w:r>
      <w:r>
        <w:rPr>
          <w:rFonts w:hint="eastAsia" w:ascii="宋体" w:hAnsi="宋体" w:cs="宋体"/>
          <w:sz w:val="24"/>
          <w:szCs w:val="24"/>
          <w:highlight w:val="none"/>
          <w:lang w:val="en-US" w:eastAsia="zh-CN"/>
        </w:rPr>
        <w:t>数量：8㎡。</w:t>
      </w:r>
    </w:p>
    <w:p>
      <w:pPr>
        <w:overflowPunct w:val="0"/>
        <w:spacing w:line="560" w:lineRule="exact"/>
        <w:ind w:firstLine="240" w:firstLineChars="1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英文：0.7*1米*10。数量：7㎡。</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6、颜色：红色。</w:t>
      </w:r>
    </w:p>
    <w:p>
      <w:pPr>
        <w:overflowPunct w:val="0"/>
        <w:spacing w:line="560" w:lineRule="exact"/>
        <w:rPr>
          <w:rFonts w:ascii="宋体" w:hAnsi="宋体" w:cs="宋体"/>
          <w:sz w:val="24"/>
          <w:szCs w:val="24"/>
        </w:rPr>
      </w:pPr>
      <w:r>
        <w:rPr>
          <w:rFonts w:hint="eastAsia" w:ascii="宋体" w:hAnsi="宋体" w:cs="宋体"/>
          <w:sz w:val="24"/>
          <w:szCs w:val="24"/>
        </w:rPr>
        <w:t>（三）住院二部楼顶部新内容制作</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1、位置：住院二部楼顶部。</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2、内容：“西安市儿童医院”中文、英文。</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3、材质：标识采用1.5厚铝单板冲孔，无缝焊接成型，侧面箱体采用1.5㎜铝板，箱体厚度为10㎝，外置品牌户外专用LED防水灯珠，背覆镀锌板，安全螺栓固定。专业烤漆，除锈处理。</w:t>
      </w:r>
    </w:p>
    <w:p>
      <w:pPr>
        <w:overflowPunct w:val="0"/>
        <w:spacing w:line="560" w:lineRule="exact"/>
        <w:ind w:firstLine="240" w:firstLineChars="100"/>
        <w:rPr>
          <w:rFonts w:ascii="宋体" w:hAnsi="宋体" w:cs="宋体"/>
          <w:sz w:val="24"/>
          <w:szCs w:val="24"/>
        </w:rPr>
      </w:pPr>
      <w:r>
        <w:rPr>
          <w:rFonts w:hint="eastAsia" w:ascii="宋体" w:hAnsi="宋体" w:cs="宋体"/>
          <w:sz w:val="24"/>
          <w:szCs w:val="24"/>
        </w:rPr>
        <w:t>4、字体：与原发光字字体相同。</w:t>
      </w:r>
    </w:p>
    <w:p>
      <w:pPr>
        <w:overflowPunct w:val="0"/>
        <w:spacing w:line="560" w:lineRule="exact"/>
        <w:ind w:firstLine="240" w:firstLineChars="100"/>
        <w:rPr>
          <w:rFonts w:hint="eastAsia" w:ascii="宋体" w:hAnsi="宋体" w:cs="宋体"/>
          <w:sz w:val="24"/>
          <w:szCs w:val="24"/>
        </w:rPr>
      </w:pPr>
      <w:r>
        <w:rPr>
          <w:rFonts w:hint="eastAsia" w:ascii="宋体" w:hAnsi="宋体" w:cs="宋体"/>
          <w:sz w:val="24"/>
          <w:szCs w:val="24"/>
        </w:rPr>
        <w:t>5、尺寸：</w:t>
      </w:r>
    </w:p>
    <w:p>
      <w:pPr>
        <w:overflowPunct w:val="0"/>
        <w:spacing w:line="560" w:lineRule="exact"/>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中文：3.0*3.0米*7。数量：63㎡。</w:t>
      </w:r>
    </w:p>
    <w:p>
      <w:pPr>
        <w:overflowPunct w:val="0"/>
        <w:spacing w:line="56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lang w:val="en-US" w:eastAsia="zh-CN"/>
        </w:rPr>
        <w:t>英文：1.2*1.0米*23。数量：27.6㎡。</w:t>
      </w:r>
    </w:p>
    <w:p>
      <w:pPr>
        <w:overflowPunct w:val="0"/>
        <w:spacing w:line="560" w:lineRule="exact"/>
        <w:ind w:firstLine="240" w:firstLineChars="100"/>
        <w:rPr>
          <w:rFonts w:ascii="宋体" w:hAnsi="宋体" w:cs="宋体"/>
          <w:sz w:val="24"/>
          <w:szCs w:val="24"/>
          <w:highlight w:val="none"/>
        </w:rPr>
      </w:pPr>
      <w:r>
        <w:rPr>
          <w:rFonts w:hint="eastAsia" w:ascii="宋体" w:hAnsi="宋体" w:cs="宋体"/>
          <w:sz w:val="24"/>
          <w:szCs w:val="24"/>
          <w:highlight w:val="none"/>
        </w:rPr>
        <w:t>6、颜色：红色。</w:t>
      </w:r>
    </w:p>
    <w:p>
      <w:pPr>
        <w:overflowPunct w:val="0"/>
        <w:spacing w:line="600" w:lineRule="exact"/>
        <w:rPr>
          <w:rFonts w:ascii="宋体" w:hAnsi="宋体" w:cs="宋体"/>
          <w:b/>
          <w:bCs/>
          <w:sz w:val="24"/>
          <w:szCs w:val="24"/>
        </w:rPr>
      </w:pPr>
      <w:r>
        <w:rPr>
          <w:rFonts w:hint="eastAsia" w:ascii="宋体" w:hAnsi="宋体" w:cs="宋体"/>
          <w:b/>
          <w:bCs/>
          <w:sz w:val="24"/>
          <w:szCs w:val="24"/>
        </w:rPr>
        <w:t>四、技术要求</w:t>
      </w:r>
    </w:p>
    <w:p>
      <w:pPr>
        <w:pStyle w:val="8"/>
        <w:spacing w:line="360" w:lineRule="auto"/>
        <w:rPr>
          <w:rFonts w:ascii="宋体" w:hAnsi="宋体" w:cs="宋体"/>
          <w:sz w:val="24"/>
          <w:szCs w:val="24"/>
        </w:rPr>
      </w:pPr>
      <w:r>
        <w:rPr>
          <w:rFonts w:hint="eastAsia" w:ascii="宋体" w:hAnsi="宋体" w:cs="宋体"/>
          <w:sz w:val="24"/>
          <w:szCs w:val="24"/>
        </w:rPr>
        <w:t>（一）、铝板冲孔外漏发光字</w:t>
      </w:r>
    </w:p>
    <w:p>
      <w:pPr>
        <w:pStyle w:val="8"/>
        <w:spacing w:line="360" w:lineRule="auto"/>
        <w:rPr>
          <w:rFonts w:ascii="宋体" w:hAnsi="宋体" w:cs="宋体"/>
          <w:sz w:val="24"/>
          <w:szCs w:val="24"/>
        </w:rPr>
      </w:pPr>
      <w:r>
        <w:rPr>
          <w:rFonts w:hint="eastAsia" w:ascii="宋体" w:hAnsi="宋体" w:cs="宋体"/>
          <w:sz w:val="24"/>
          <w:szCs w:val="24"/>
        </w:rPr>
        <w:t>1、面板、侧板：铝板（1.5mm）；</w:t>
      </w:r>
    </w:p>
    <w:p>
      <w:pPr>
        <w:pStyle w:val="8"/>
        <w:spacing w:line="360" w:lineRule="auto"/>
        <w:rPr>
          <w:rFonts w:ascii="宋体" w:hAnsi="宋体" w:cs="宋体"/>
          <w:sz w:val="24"/>
          <w:szCs w:val="24"/>
        </w:rPr>
      </w:pPr>
      <w:r>
        <w:rPr>
          <w:rFonts w:hint="eastAsia" w:ascii="宋体" w:hAnsi="宋体" w:cs="宋体"/>
          <w:sz w:val="24"/>
          <w:szCs w:val="24"/>
        </w:rPr>
        <w:t>2、切割工艺：等离子切割、冲孔；</w:t>
      </w:r>
    </w:p>
    <w:p>
      <w:pPr>
        <w:pStyle w:val="8"/>
        <w:spacing w:line="360" w:lineRule="auto"/>
        <w:rPr>
          <w:rFonts w:ascii="宋体" w:hAnsi="宋体" w:cs="宋体"/>
          <w:sz w:val="24"/>
          <w:szCs w:val="24"/>
        </w:rPr>
      </w:pPr>
      <w:r>
        <w:rPr>
          <w:rFonts w:hint="eastAsia" w:ascii="宋体" w:hAnsi="宋体" w:cs="宋体"/>
          <w:sz w:val="24"/>
          <w:szCs w:val="24"/>
        </w:rPr>
        <w:t>3、光源：</w:t>
      </w:r>
      <w:r>
        <w:rPr>
          <w:rFonts w:hint="eastAsia"/>
          <w:sz w:val="24"/>
          <w:szCs w:val="24"/>
        </w:rPr>
        <w:t>外置品牌户外专用LED防水光源；</w:t>
      </w:r>
    </w:p>
    <w:p>
      <w:pPr>
        <w:pStyle w:val="8"/>
        <w:spacing w:line="360" w:lineRule="auto"/>
        <w:rPr>
          <w:rFonts w:ascii="宋体" w:hAnsi="宋体" w:cs="宋体"/>
          <w:sz w:val="24"/>
          <w:szCs w:val="24"/>
        </w:rPr>
      </w:pPr>
      <w:r>
        <w:rPr>
          <w:rFonts w:hint="eastAsia" w:ascii="宋体" w:hAnsi="宋体" w:cs="宋体"/>
          <w:sz w:val="24"/>
          <w:szCs w:val="24"/>
        </w:rPr>
        <w:t>4、变压器：AC/DC/12V/室外</w:t>
      </w:r>
      <w:r>
        <w:rPr>
          <w:rFonts w:hint="eastAsia" w:ascii="宋体" w:hAnsi="宋体" w:cs="宋体"/>
          <w:color w:val="000000" w:themeColor="text1"/>
          <w:sz w:val="24"/>
          <w:szCs w:val="24"/>
          <w14:textFill>
            <w14:solidFill>
              <w14:schemeClr w14:val="tx1"/>
            </w14:solidFill>
          </w14:textFill>
        </w:rPr>
        <w:t>防水电源；</w:t>
      </w:r>
    </w:p>
    <w:p>
      <w:pPr>
        <w:pStyle w:val="8"/>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5、电源线：</w:t>
      </w:r>
      <w:r>
        <w:rPr>
          <w:rFonts w:hint="eastAsia" w:ascii="宋体" w:hAnsi="宋体" w:cs="宋体"/>
          <w:color w:val="000000" w:themeColor="text1"/>
          <w:sz w:val="24"/>
          <w:szCs w:val="24"/>
          <w14:textFill>
            <w14:solidFill>
              <w14:schemeClr w14:val="tx1"/>
            </w14:solidFill>
          </w14:textFill>
        </w:rPr>
        <w:t>主线国标4m²，连接线国标2.5m²；</w:t>
      </w:r>
    </w:p>
    <w:p>
      <w:pPr>
        <w:pStyle w:val="8"/>
        <w:spacing w:line="360" w:lineRule="auto"/>
        <w:rPr>
          <w:rFonts w:ascii="宋体" w:hAnsi="宋体" w:cs="宋体"/>
          <w:sz w:val="24"/>
          <w:szCs w:val="24"/>
        </w:rPr>
      </w:pPr>
      <w:r>
        <w:rPr>
          <w:rFonts w:hint="eastAsia" w:ascii="宋体" w:hAnsi="宋体" w:cs="宋体"/>
          <w:sz w:val="24"/>
          <w:szCs w:val="24"/>
        </w:rPr>
        <w:t>6、钢结构：40国际镀锌角钢，支架焊接，防锈处理；</w:t>
      </w:r>
    </w:p>
    <w:p>
      <w:pPr>
        <w:pStyle w:val="8"/>
        <w:spacing w:line="360" w:lineRule="auto"/>
        <w:rPr>
          <w:rFonts w:ascii="宋体" w:hAnsi="宋体" w:cs="宋体"/>
          <w:sz w:val="24"/>
          <w:szCs w:val="24"/>
        </w:rPr>
      </w:pPr>
      <w:r>
        <w:rPr>
          <w:rFonts w:hint="eastAsia" w:ascii="宋体" w:hAnsi="宋体" w:cs="宋体"/>
          <w:sz w:val="24"/>
          <w:szCs w:val="24"/>
        </w:rPr>
        <w:t>（二）、亚克力吸塑发光字</w:t>
      </w:r>
    </w:p>
    <w:p>
      <w:pPr>
        <w:pStyle w:val="8"/>
        <w:spacing w:line="360" w:lineRule="auto"/>
        <w:rPr>
          <w:rFonts w:ascii="宋体" w:hAnsi="宋体" w:cs="宋体"/>
          <w:sz w:val="24"/>
          <w:szCs w:val="24"/>
        </w:rPr>
      </w:pPr>
      <w:r>
        <w:rPr>
          <w:rFonts w:hint="eastAsia" w:ascii="宋体" w:hAnsi="宋体" w:cs="宋体"/>
          <w:sz w:val="24"/>
          <w:szCs w:val="24"/>
        </w:rPr>
        <w:t>1、面板、侧板：亚克力（5.0mm），红色；</w:t>
      </w:r>
    </w:p>
    <w:p>
      <w:pPr>
        <w:pStyle w:val="8"/>
        <w:spacing w:line="360" w:lineRule="auto"/>
        <w:rPr>
          <w:rFonts w:ascii="宋体" w:hAnsi="宋体" w:cs="宋体"/>
          <w:sz w:val="24"/>
          <w:szCs w:val="24"/>
        </w:rPr>
      </w:pPr>
      <w:r>
        <w:rPr>
          <w:rFonts w:hint="eastAsia" w:ascii="宋体" w:hAnsi="宋体" w:cs="宋体"/>
          <w:sz w:val="24"/>
          <w:szCs w:val="24"/>
        </w:rPr>
        <w:t>2、光源：</w:t>
      </w:r>
      <w:r>
        <w:rPr>
          <w:rFonts w:hint="eastAsia"/>
          <w:sz w:val="24"/>
          <w:szCs w:val="24"/>
        </w:rPr>
        <w:t>外置品牌户外专用LED防水光源；</w:t>
      </w:r>
    </w:p>
    <w:p>
      <w:pPr>
        <w:pStyle w:val="8"/>
        <w:spacing w:line="360" w:lineRule="auto"/>
        <w:rPr>
          <w:rFonts w:ascii="宋体" w:hAnsi="宋体" w:cs="宋体"/>
          <w:sz w:val="24"/>
          <w:szCs w:val="24"/>
        </w:rPr>
      </w:pPr>
      <w:r>
        <w:rPr>
          <w:rFonts w:hint="eastAsia" w:ascii="宋体" w:hAnsi="宋体" w:cs="宋体"/>
          <w:sz w:val="24"/>
          <w:szCs w:val="24"/>
        </w:rPr>
        <w:t>3、变压器：AC/DC/12V/室外防水电源；</w:t>
      </w:r>
    </w:p>
    <w:p>
      <w:pPr>
        <w:pStyle w:val="8"/>
        <w:spacing w:line="360" w:lineRule="auto"/>
        <w:rPr>
          <w:rFonts w:ascii="宋体" w:hAnsi="宋体" w:cs="宋体"/>
          <w:sz w:val="24"/>
          <w:szCs w:val="24"/>
        </w:rPr>
      </w:pPr>
      <w:r>
        <w:rPr>
          <w:rFonts w:hint="eastAsia" w:ascii="宋体" w:hAnsi="宋体" w:cs="宋体"/>
          <w:sz w:val="24"/>
          <w:szCs w:val="24"/>
        </w:rPr>
        <w:t>4、电源线：主线国标4m²，连接线国标2.5m²；</w:t>
      </w:r>
    </w:p>
    <w:p>
      <w:pPr>
        <w:pStyle w:val="8"/>
        <w:spacing w:line="360" w:lineRule="auto"/>
        <w:rPr>
          <w:rFonts w:ascii="宋体" w:hAnsi="宋体" w:cs="宋体"/>
          <w:sz w:val="24"/>
          <w:szCs w:val="24"/>
        </w:rPr>
      </w:pPr>
      <w:r>
        <w:rPr>
          <w:rFonts w:hint="eastAsia" w:ascii="宋体" w:hAnsi="宋体" w:cs="宋体"/>
          <w:sz w:val="24"/>
          <w:szCs w:val="24"/>
        </w:rPr>
        <w:t>5、钢结构：40国际镀锌角钢，支架焊接，防锈处理；</w:t>
      </w:r>
    </w:p>
    <w:p>
      <w:pPr>
        <w:pStyle w:val="8"/>
        <w:spacing w:line="360" w:lineRule="auto"/>
        <w:rPr>
          <w:rFonts w:ascii="宋体" w:hAnsi="宋体" w:cs="宋体"/>
          <w:sz w:val="24"/>
          <w:szCs w:val="24"/>
        </w:rPr>
      </w:pPr>
      <w:r>
        <w:rPr>
          <w:rFonts w:hint="eastAsia" w:ascii="宋体" w:hAnsi="宋体" w:cs="宋体"/>
          <w:sz w:val="24"/>
          <w:szCs w:val="24"/>
        </w:rPr>
        <w:t>备注：</w:t>
      </w:r>
    </w:p>
    <w:p>
      <w:pPr>
        <w:pStyle w:val="8"/>
        <w:spacing w:line="360" w:lineRule="auto"/>
        <w:rPr>
          <w:rFonts w:ascii="宋体" w:hAnsi="宋体" w:cs="宋体"/>
          <w:sz w:val="24"/>
          <w:szCs w:val="24"/>
        </w:rPr>
      </w:pPr>
      <w:r>
        <w:rPr>
          <w:rFonts w:hint="eastAsia" w:ascii="宋体" w:hAnsi="宋体" w:cs="宋体"/>
          <w:sz w:val="24"/>
          <w:szCs w:val="24"/>
        </w:rPr>
        <w:t>1、施工图标识中，所有角钢及方管均进行镀锌处理；</w:t>
      </w:r>
    </w:p>
    <w:p>
      <w:pPr>
        <w:pStyle w:val="8"/>
        <w:spacing w:line="360" w:lineRule="auto"/>
        <w:rPr>
          <w:rFonts w:ascii="宋体" w:hAnsi="宋体" w:cs="宋体"/>
          <w:sz w:val="24"/>
          <w:szCs w:val="24"/>
        </w:rPr>
      </w:pPr>
      <w:r>
        <w:rPr>
          <w:rFonts w:hint="eastAsia" w:ascii="宋体" w:hAnsi="宋体" w:cs="宋体"/>
          <w:sz w:val="24"/>
          <w:szCs w:val="24"/>
        </w:rPr>
        <w:t>2、螺栓、钢板等需进行防锈处理；</w:t>
      </w:r>
    </w:p>
    <w:p>
      <w:pPr>
        <w:pStyle w:val="8"/>
        <w:spacing w:line="360" w:lineRule="auto"/>
        <w:rPr>
          <w:rFonts w:ascii="宋体" w:hAnsi="宋体" w:cs="宋体"/>
          <w:sz w:val="24"/>
          <w:szCs w:val="24"/>
        </w:rPr>
      </w:pPr>
      <w:r>
        <w:rPr>
          <w:rFonts w:hint="eastAsia" w:ascii="宋体" w:hAnsi="宋体" w:cs="宋体"/>
          <w:sz w:val="24"/>
          <w:szCs w:val="24"/>
        </w:rPr>
        <w:t>3、框架、龙骨选用高级钢材，所有外露钢件考虑防腐蚀性及8级抗风能力。</w:t>
      </w:r>
    </w:p>
    <w:p>
      <w:pPr>
        <w:pStyle w:val="8"/>
        <w:spacing w:line="360" w:lineRule="auto"/>
        <w:rPr>
          <w:rFonts w:ascii="宋体" w:hAnsi="宋体" w:cs="宋体"/>
          <w:sz w:val="24"/>
          <w:szCs w:val="24"/>
        </w:rPr>
      </w:pPr>
      <w:r>
        <w:rPr>
          <w:rFonts w:hint="eastAsia" w:ascii="宋体" w:hAnsi="宋体" w:cs="宋体"/>
          <w:sz w:val="24"/>
          <w:szCs w:val="24"/>
        </w:rPr>
        <w:t>4、材质及工艺保证技术指标先进、质量性能可靠、进货渠道正常、功能齐全、配置合理，全面满足技术要求。材料符合国家安全标准无毒无害，根据使用环境选择防水防晒属性。具有良好的外观，适合安装场所的使用。</w:t>
      </w:r>
    </w:p>
    <w:p>
      <w:pPr>
        <w:overflowPunct w:val="0"/>
        <w:spacing w:line="360" w:lineRule="auto"/>
        <w:rPr>
          <w:rFonts w:ascii="宋体" w:hAnsi="宋体" w:cs="宋体"/>
          <w:b/>
          <w:bCs/>
          <w:sz w:val="24"/>
          <w:szCs w:val="24"/>
        </w:rPr>
      </w:pPr>
      <w:r>
        <w:rPr>
          <w:rFonts w:hint="eastAsia" w:ascii="宋体" w:hAnsi="宋体" w:cs="宋体"/>
          <w:b/>
          <w:bCs/>
          <w:sz w:val="24"/>
          <w:szCs w:val="24"/>
        </w:rPr>
        <w:t>五、服务要求。</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(一）供应商要求在服务过程当中，始终以患者为第一，任何安装开展决不能影响患者正常就诊。</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（二）供应商对我院突发事件及各项应急预案应积极响应并派人员配合及协助工作，不得拒绝推诿。</w:t>
      </w:r>
    </w:p>
    <w:p>
      <w:pPr>
        <w:spacing w:line="360" w:lineRule="auto"/>
        <w:rPr>
          <w:rFonts w:ascii="宋体" w:hAnsi="宋体" w:cs="宋体"/>
          <w:color w:val="000000"/>
          <w:sz w:val="24"/>
          <w:szCs w:val="24"/>
        </w:rPr>
      </w:pPr>
      <w:r>
        <w:rPr>
          <w:rFonts w:hint="eastAsia" w:ascii="宋体" w:hAnsi="宋体" w:cs="宋体"/>
          <w:color w:val="000000"/>
          <w:sz w:val="24"/>
          <w:szCs w:val="24"/>
        </w:rPr>
        <w:t>（三</w:t>
      </w:r>
      <w:r>
        <w:rPr>
          <w:rFonts w:hint="eastAsia" w:ascii="宋体" w:hAnsi="宋体" w:cs="宋体"/>
          <w:sz w:val="24"/>
          <w:szCs w:val="24"/>
        </w:rPr>
        <w:t>）提供质保期内不限次维修服务，响应时间≦2小时，48小时内恢复正常使用（电话响应时间小于2小时，到达现场时间不超过24小时，解决问题不超过48小时）。若需返厂维修，乙方承担往返费用。</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（四）售后服务：</w:t>
      </w:r>
    </w:p>
    <w:p>
      <w:pPr>
        <w:pStyle w:val="74"/>
        <w:spacing w:line="360" w:lineRule="auto"/>
        <w:ind w:firstLine="240" w:firstLineChars="100"/>
        <w:rPr>
          <w:rFonts w:ascii="宋体" w:hAnsi="宋体" w:cs="宋体"/>
          <w:sz w:val="24"/>
          <w:szCs w:val="24"/>
        </w:rPr>
      </w:pPr>
      <w:r>
        <w:rPr>
          <w:rFonts w:hint="eastAsia" w:ascii="宋体" w:hAnsi="宋体" w:cs="宋体"/>
          <w:sz w:val="24"/>
          <w:szCs w:val="24"/>
        </w:rPr>
        <w:t>1、由专人负责与我院对接沟通标识规划设计事宜，严格按照医院要求设计、制作、施工。</w:t>
      </w:r>
    </w:p>
    <w:p>
      <w:pPr>
        <w:autoSpaceDE w:val="0"/>
        <w:autoSpaceDN w:val="0"/>
        <w:adjustRightInd w:val="0"/>
        <w:spacing w:line="360" w:lineRule="auto"/>
        <w:ind w:firstLine="240" w:firstLineChars="100"/>
        <w:rPr>
          <w:rFonts w:ascii="宋体" w:hAnsi="宋体" w:cs="宋体"/>
          <w:sz w:val="24"/>
          <w:szCs w:val="24"/>
        </w:rPr>
      </w:pPr>
      <w:r>
        <w:rPr>
          <w:rFonts w:hint="eastAsia" w:ascii="宋体" w:hAnsi="宋体" w:cs="宋体"/>
          <w:sz w:val="24"/>
          <w:szCs w:val="24"/>
        </w:rPr>
        <w:t>2、发光字及钢材等原材料进货渠道正规，质量保证，提供相关证明。</w:t>
      </w:r>
    </w:p>
    <w:p>
      <w:pPr>
        <w:autoSpaceDE w:val="0"/>
        <w:autoSpaceDN w:val="0"/>
        <w:adjustRightInd w:val="0"/>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、对发光字安装调试、组织措施及方案完善，并针对该项目做出合理计划及调配，保证顺利进行，提供相应方案计划。</w:t>
      </w:r>
    </w:p>
    <w:p>
      <w:pPr>
        <w:spacing w:line="360" w:lineRule="auto"/>
        <w:ind w:firstLine="240" w:firstLineChars="100"/>
        <w:rPr>
          <w:rFonts w:ascii="宋体" w:hAnsi="宋体" w:cs="宋体"/>
          <w:color w:val="000000"/>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color w:val="000000"/>
          <w:sz w:val="24"/>
          <w:szCs w:val="24"/>
        </w:rPr>
        <w:t>如紧急任务等特殊情况，能够积极配合院方制定应对解决预案，需提供</w:t>
      </w:r>
      <w:r>
        <w:rPr>
          <w:rFonts w:hint="eastAsia" w:ascii="宋体" w:hAnsi="宋体" w:cs="宋体"/>
          <w:sz w:val="24"/>
          <w:szCs w:val="24"/>
        </w:rPr>
        <w:t>详细、清晰、可行的实施方案。</w:t>
      </w:r>
    </w:p>
    <w:p>
      <w:pPr>
        <w:autoSpaceDE w:val="0"/>
        <w:autoSpaceDN w:val="0"/>
        <w:adjustRightInd w:val="0"/>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、发光字质量控制措施方法（含所有的技术手段）及能够保质保量完成服务的承诺。</w:t>
      </w:r>
    </w:p>
    <w:p>
      <w:pPr>
        <w:autoSpaceDE w:val="0"/>
        <w:autoSpaceDN w:val="0"/>
        <w:adjustRightInd w:val="0"/>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、已建立售后服务机构，售后服务人员齐全，提供售后可行的服务方案。</w:t>
      </w:r>
    </w:p>
    <w:p>
      <w:pPr>
        <w:pStyle w:val="74"/>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、安装现场必须做好防护措施，确保施工安全，不得影响院内就医环境和秩序。</w:t>
      </w:r>
    </w:p>
    <w:p>
      <w:pPr>
        <w:pStyle w:val="8"/>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、安装产生的垃圾由供应商自行处理。</w:t>
      </w:r>
    </w:p>
    <w:p>
      <w:pPr>
        <w:rPr>
          <w:rFonts w:hint="default" w:eastAsia="宋体"/>
          <w:lang w:val="en-US" w:eastAsia="zh-CN"/>
        </w:rPr>
      </w:pPr>
      <w:r>
        <w:rPr>
          <w:rFonts w:hint="eastAsia" w:ascii="宋体" w:hAnsi="宋体" w:cs="宋体"/>
          <w:sz w:val="24"/>
          <w:szCs w:val="24"/>
          <w:lang w:val="en-US" w:eastAsia="zh-CN"/>
        </w:rPr>
        <w:t xml:space="preserve">  9、供应商须提供施工安全责任承诺书（格式自拟）。</w:t>
      </w:r>
    </w:p>
    <w:p>
      <w:pPr>
        <w:pStyle w:val="74"/>
        <w:spacing w:line="360" w:lineRule="auto"/>
        <w:ind w:firstLine="0" w:firstLineChars="0"/>
        <w:rPr>
          <w:rFonts w:ascii="宋体" w:hAnsi="宋体" w:cs="宋体"/>
          <w:color w:val="000000"/>
          <w:kern w:val="0"/>
          <w:sz w:val="24"/>
          <w:szCs w:val="24"/>
        </w:rPr>
      </w:pPr>
      <w:r>
        <w:rPr>
          <w:rFonts w:hint="eastAsia" w:ascii="宋体" w:hAnsi="宋体" w:cs="宋体"/>
          <w:color w:val="000000"/>
          <w:kern w:val="0"/>
          <w:sz w:val="24"/>
          <w:szCs w:val="24"/>
        </w:rPr>
        <w:t>(五）质保要求：</w:t>
      </w:r>
    </w:p>
    <w:p>
      <w:pPr>
        <w:autoSpaceDE w:val="0"/>
        <w:autoSpaceDN w:val="0"/>
        <w:adjustRightIn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kern w:val="0"/>
          <w:sz w:val="24"/>
          <w:szCs w:val="24"/>
        </w:rPr>
        <w:t>1、</w:t>
      </w:r>
      <w:r>
        <w:rPr>
          <w:rFonts w:hint="eastAsia" w:ascii="宋体" w:hAnsi="宋体" w:cs="宋体"/>
          <w:color w:val="000000" w:themeColor="text1"/>
          <w:kern w:val="0"/>
          <w:sz w:val="24"/>
          <w:szCs w:val="24"/>
          <w14:textFill>
            <w14:solidFill>
              <w14:schemeClr w14:val="tx1"/>
            </w14:solidFill>
          </w14:textFill>
        </w:rPr>
        <w:t>质量验收标准及规范</w:t>
      </w:r>
    </w:p>
    <w:p>
      <w:pPr>
        <w:autoSpaceDE w:val="0"/>
        <w:autoSpaceDN w:val="0"/>
        <w:adjustRightIn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1）按照供应商响应文件及承诺中的要求，安装、调试、检测，平稳运行，确认项目完成，供应商进行自检，自检合格后，准备验收文件，并通知院方。</w:t>
      </w:r>
    </w:p>
    <w:p>
      <w:pPr>
        <w:autoSpaceDE w:val="0"/>
        <w:autoSpaceDN w:val="0"/>
        <w:adjustRightIn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2）院方确认供应商的自检合格后，进行项目验收。验收合格后，填写验收单作为对项目的最终认可。</w:t>
      </w:r>
    </w:p>
    <w:p>
      <w:pPr>
        <w:autoSpaceDE w:val="0"/>
        <w:autoSpaceDN w:val="0"/>
        <w:adjustRightInd w:val="0"/>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3）如验收不合格，供应商应负责整改或返修，直至院方验收合格为止，且工期不顺延，由此产生的费用及造成的损失，供应商自行承担。</w:t>
      </w:r>
    </w:p>
    <w:p>
      <w:pPr>
        <w:overflowPunct w:val="0"/>
        <w:spacing w:line="360" w:lineRule="auto"/>
        <w:rPr>
          <w:rFonts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4）供应商向院方提交项目实施过程中的所有资料，以便采购方日后管理和维护。</w:t>
      </w:r>
    </w:p>
    <w:p>
      <w:pPr>
        <w:spacing w:line="360" w:lineRule="auto"/>
      </w:pPr>
      <w:r>
        <w:br w:type="page"/>
      </w:r>
    </w:p>
    <w:p>
      <w:pPr>
        <w:pStyle w:val="8"/>
      </w:pPr>
    </w:p>
    <w:bookmarkEnd w:id="99"/>
    <w:bookmarkEnd w:id="100"/>
    <w:p>
      <w:pPr>
        <w:pStyle w:val="2"/>
        <w:numPr>
          <w:ilvl w:val="0"/>
          <w:numId w:val="20"/>
        </w:numPr>
        <w:rPr>
          <w:rStyle w:val="76"/>
          <w:b/>
        </w:rPr>
      </w:pPr>
      <w:r>
        <w:rPr>
          <w:rFonts w:hint="eastAsia"/>
        </w:rPr>
        <w:t xml:space="preserve"> </w:t>
      </w:r>
      <w:bookmarkStart w:id="101" w:name="_Toc5164"/>
      <w:r>
        <w:t>合同专用条款</w:t>
      </w:r>
      <w:bookmarkEnd w:id="94"/>
      <w:bookmarkEnd w:id="95"/>
      <w:bookmarkEnd w:id="101"/>
    </w:p>
    <w:p/>
    <w:p>
      <w:pPr>
        <w:rPr>
          <w:szCs w:val="28"/>
        </w:rPr>
      </w:pPr>
    </w:p>
    <w:p>
      <w:pPr>
        <w:pStyle w:val="82"/>
        <w:jc w:val="center"/>
        <w:outlineLvl w:val="1"/>
        <w:rPr>
          <w:rFonts w:hint="default"/>
          <w:lang w:eastAsia="zh-CN"/>
        </w:rPr>
      </w:pPr>
      <w:bookmarkStart w:id="102" w:name="_Toc13543"/>
      <w:r>
        <w:rPr>
          <w:b/>
          <w:sz w:val="36"/>
          <w:lang w:eastAsia="zh-CN"/>
        </w:rPr>
        <w:t>（参考合同）</w:t>
      </w:r>
      <w:bookmarkEnd w:id="102"/>
    </w:p>
    <w:p>
      <w:pPr>
        <w:widowControl/>
        <w:shd w:val="clear" w:color="auto" w:fill="FFFFFF"/>
        <w:spacing w:line="360" w:lineRule="auto"/>
        <w:jc w:val="center"/>
        <w:textAlignment w:val="baseline"/>
        <w:rPr>
          <w:rFonts w:ascii="Times New Roman" w:hAnsi="Times New Roman" w:eastAsia="方正小标宋简体"/>
          <w:sz w:val="24"/>
          <w:szCs w:val="24"/>
        </w:rPr>
      </w:pPr>
      <w:r>
        <w:rPr>
          <w:rFonts w:ascii="Times New Roman" w:hAnsi="Times New Roman" w:eastAsia="方正小标宋简体"/>
          <w:b/>
          <w:kern w:val="0"/>
          <w:sz w:val="24"/>
          <w:szCs w:val="24"/>
          <w:u w:val="single"/>
          <w:shd w:val="clear" w:color="auto" w:fill="FFFFFF"/>
          <w:lang w:bidi="ar"/>
        </w:rPr>
        <w:t xml:space="preserve">                     </w:t>
      </w:r>
      <w:r>
        <w:rPr>
          <w:rFonts w:ascii="Times New Roman" w:hAnsi="Times New Roman" w:eastAsia="方正小标宋简体"/>
          <w:b/>
          <w:kern w:val="0"/>
          <w:sz w:val="24"/>
          <w:szCs w:val="24"/>
          <w:shd w:val="clear" w:color="auto" w:fill="FFFFFF"/>
          <w:lang w:bidi="ar"/>
        </w:rPr>
        <w:t>合同</w:t>
      </w:r>
    </w:p>
    <w:p>
      <w:pPr>
        <w:widowControl/>
        <w:shd w:val="clear" w:color="auto" w:fill="FFFFFF"/>
        <w:spacing w:line="360" w:lineRule="auto"/>
        <w:ind w:firstLine="4320" w:firstLineChars="1800"/>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合同编号：</w:t>
      </w:r>
    </w:p>
    <w:p>
      <w:pPr>
        <w:widowControl/>
        <w:shd w:val="clear" w:color="auto" w:fill="FFFFFF"/>
        <w:spacing w:line="360" w:lineRule="auto"/>
        <w:ind w:firstLine="560"/>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根据《中华人民共和国民法典》、《中华人民共和国政府采购法》及相关法律法规的有关规定，遵循平等、自愿、公平和诚实信用原则，甲、乙双方就</w:t>
      </w:r>
      <w:r>
        <w:rPr>
          <w:rFonts w:ascii="Times New Roman" w:hAnsi="Times New Roman" w:eastAsia="方正仿宋_GB2312"/>
          <w:kern w:val="0"/>
          <w:sz w:val="24"/>
          <w:szCs w:val="24"/>
          <w:u w:val="single"/>
          <w:shd w:val="clear" w:color="auto" w:fill="FFFFFF"/>
          <w:lang w:bidi="ar"/>
        </w:rPr>
        <w:t xml:space="preserve">      </w:t>
      </w:r>
      <w:r>
        <w:rPr>
          <w:rFonts w:ascii="Times New Roman" w:hAnsi="Times New Roman" w:eastAsia="方正仿宋_GB2312"/>
          <w:kern w:val="0"/>
          <w:sz w:val="24"/>
          <w:szCs w:val="24"/>
          <w:shd w:val="clear" w:color="auto" w:fill="FFFFFF"/>
          <w:lang w:bidi="ar"/>
        </w:rPr>
        <w:t>事项，经协商一致，订立本合同。</w:t>
      </w:r>
    </w:p>
    <w:p>
      <w:pPr>
        <w:spacing w:line="360" w:lineRule="auto"/>
        <w:rPr>
          <w:rFonts w:ascii="仿宋" w:hAnsi="仿宋" w:eastAsia="仿宋" w:cs="仿宋"/>
          <w:bCs/>
          <w:sz w:val="24"/>
          <w:szCs w:val="24"/>
          <w:u w:val="single"/>
        </w:rPr>
      </w:pPr>
      <w:r>
        <w:rPr>
          <w:rFonts w:hint="eastAsia" w:ascii="仿宋" w:hAnsi="仿宋" w:eastAsia="仿宋" w:cs="仿宋"/>
          <w:bCs/>
          <w:sz w:val="24"/>
          <w:szCs w:val="24"/>
        </w:rPr>
        <w:t>一、服务名称：</w:t>
      </w:r>
      <w:r>
        <w:rPr>
          <w:rFonts w:hint="eastAsia" w:ascii="仿宋" w:hAnsi="仿宋" w:eastAsia="仿宋" w:cs="仿宋"/>
          <w:bCs/>
          <w:sz w:val="24"/>
          <w:szCs w:val="24"/>
          <w:u w:val="single"/>
        </w:rPr>
        <w:t xml:space="preserve">         </w:t>
      </w:r>
    </w:p>
    <w:p>
      <w:pPr>
        <w:spacing w:line="360" w:lineRule="auto"/>
        <w:rPr>
          <w:rFonts w:ascii="仿宋" w:hAnsi="仿宋" w:eastAsia="仿宋" w:cs="仿宋"/>
          <w:bCs/>
          <w:sz w:val="24"/>
          <w:szCs w:val="24"/>
        </w:rPr>
      </w:pPr>
      <w:r>
        <w:rPr>
          <w:rFonts w:hint="eastAsia" w:ascii="仿宋" w:hAnsi="仿宋" w:eastAsia="仿宋" w:cs="仿宋"/>
          <w:bCs/>
          <w:sz w:val="24"/>
          <w:szCs w:val="24"/>
        </w:rPr>
        <w:t>二、项目内容：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spacing w:line="360" w:lineRule="auto"/>
        <w:rPr>
          <w:rFonts w:ascii="仿宋" w:hAnsi="仿宋" w:eastAsia="仿宋" w:cs="仿宋"/>
          <w:bCs/>
          <w:sz w:val="24"/>
          <w:szCs w:val="24"/>
        </w:rPr>
      </w:pPr>
      <w:r>
        <w:rPr>
          <w:rFonts w:hint="eastAsia" w:ascii="仿宋" w:hAnsi="仿宋" w:eastAsia="仿宋" w:cs="仿宋"/>
          <w:bCs/>
          <w:sz w:val="24"/>
          <w:szCs w:val="24"/>
        </w:rPr>
        <w:t>（若有服务项目清单，作为附件附在合同最后）</w:t>
      </w:r>
    </w:p>
    <w:p>
      <w:pPr>
        <w:spacing w:line="360" w:lineRule="auto"/>
        <w:rPr>
          <w:rFonts w:ascii="仿宋" w:hAnsi="仿宋" w:eastAsia="仿宋" w:cs="仿宋"/>
          <w:bCs/>
          <w:sz w:val="24"/>
          <w:szCs w:val="24"/>
        </w:rPr>
      </w:pPr>
      <w:r>
        <w:rPr>
          <w:rFonts w:hint="eastAsia" w:ascii="仿宋" w:hAnsi="仿宋" w:eastAsia="仿宋" w:cs="仿宋"/>
          <w:bCs/>
          <w:sz w:val="24"/>
          <w:szCs w:val="24"/>
        </w:rPr>
        <w:t>三、服务费用及支付方式</w:t>
      </w:r>
    </w:p>
    <w:p>
      <w:pPr>
        <w:widowControl/>
        <w:shd w:val="clear" w:color="auto" w:fill="FFFFFF"/>
        <w:spacing w:line="360" w:lineRule="auto"/>
        <w:ind w:firstLine="560"/>
        <w:textAlignment w:val="baseline"/>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rPr>
        <w:t>1.</w:t>
      </w:r>
      <w:r>
        <w:rPr>
          <w:rFonts w:hint="eastAsia" w:ascii="Times New Roman" w:hAnsi="Times New Roman" w:eastAsia="方正仿宋_GB2312"/>
          <w:kern w:val="0"/>
          <w:sz w:val="24"/>
          <w:szCs w:val="24"/>
          <w:shd w:val="clear" w:color="auto" w:fill="FFFFFF"/>
        </w:rPr>
        <w:t>本项目合同金额为</w:t>
      </w:r>
      <w:r>
        <w:rPr>
          <w:rFonts w:hint="eastAsia" w:ascii="Times New Roman" w:hAnsi="Times New Roman" w:eastAsia="方正仿宋_GB2312"/>
          <w:kern w:val="0"/>
          <w:sz w:val="24"/>
          <w:szCs w:val="24"/>
          <w:u w:val="single"/>
          <w:shd w:val="clear" w:color="auto" w:fill="FFFFFF"/>
        </w:rPr>
        <w:t xml:space="preserve">       </w:t>
      </w:r>
      <w:r>
        <w:rPr>
          <w:rFonts w:hint="eastAsia" w:ascii="Times New Roman" w:hAnsi="Times New Roman" w:eastAsia="方正仿宋_GB2312"/>
          <w:kern w:val="0"/>
          <w:sz w:val="24"/>
          <w:szCs w:val="24"/>
          <w:shd w:val="clear" w:color="auto" w:fill="FFFFFF"/>
        </w:rPr>
        <w:t>（含税）（大写人民币</w:t>
      </w:r>
      <w:r>
        <w:rPr>
          <w:rFonts w:hint="eastAsia" w:ascii="Times New Roman" w:hAnsi="Times New Roman" w:eastAsia="方正仿宋_GB2312"/>
          <w:kern w:val="0"/>
          <w:sz w:val="24"/>
          <w:szCs w:val="24"/>
          <w:u w:val="single"/>
          <w:shd w:val="clear" w:color="auto" w:fill="FFFFFF"/>
        </w:rPr>
        <w:t xml:space="preserve">     元整</w:t>
      </w:r>
      <w:r>
        <w:rPr>
          <w:rFonts w:hint="eastAsia" w:ascii="Times New Roman" w:hAnsi="Times New Roman" w:eastAsia="方正仿宋_GB2312"/>
          <w:kern w:val="0"/>
          <w:sz w:val="24"/>
          <w:szCs w:val="24"/>
          <w:shd w:val="clear" w:color="auto" w:fill="FFFFFF"/>
        </w:rPr>
        <w:t>）。</w:t>
      </w:r>
      <w:r>
        <w:rPr>
          <w:rFonts w:ascii="Times New Roman" w:hAnsi="Times New Roman" w:eastAsia="方正仿宋_GB2312"/>
          <w:kern w:val="0"/>
          <w:sz w:val="24"/>
          <w:szCs w:val="24"/>
          <w:shd w:val="clear" w:color="auto" w:fill="FFFFFF"/>
        </w:rPr>
        <w:t>乙方服务</w:t>
      </w:r>
      <w:r>
        <w:rPr>
          <w:rFonts w:hint="eastAsia" w:ascii="Times New Roman" w:hAnsi="Times New Roman" w:eastAsia="方正仿宋_GB2312"/>
          <w:kern w:val="0"/>
          <w:sz w:val="24"/>
          <w:szCs w:val="24"/>
          <w:shd w:val="clear" w:color="auto" w:fill="FFFFFF"/>
        </w:rPr>
        <w:t>期结束之日起</w:t>
      </w:r>
      <w:r>
        <w:rPr>
          <w:rFonts w:ascii="Times New Roman" w:hAnsi="Times New Roman" w:eastAsia="方正仿宋_GB2312"/>
          <w:kern w:val="0"/>
          <w:sz w:val="24"/>
          <w:szCs w:val="24"/>
          <w:u w:val="single"/>
          <w:shd w:val="clear" w:color="auto" w:fill="FFFFFF"/>
        </w:rPr>
        <w:t xml:space="preserve">    </w:t>
      </w:r>
      <w:r>
        <w:rPr>
          <w:rFonts w:ascii="Times New Roman" w:hAnsi="Times New Roman" w:eastAsia="方正仿宋_GB2312"/>
          <w:kern w:val="0"/>
          <w:sz w:val="24"/>
          <w:szCs w:val="24"/>
          <w:shd w:val="clear" w:color="auto" w:fill="FFFFFF"/>
        </w:rPr>
        <w:t>个工作日内，乙方向甲方开具符合甲方要求的等额合法增值税发票（普通发票</w:t>
      </w:r>
      <w:r>
        <w:rPr>
          <w:rFonts w:hint="eastAsia" w:ascii="Times New Roman" w:hAnsi="Times New Roman" w:eastAsia="方正仿宋_GB2312"/>
          <w:kern w:val="0"/>
          <w:sz w:val="24"/>
          <w:szCs w:val="24"/>
          <w:shd w:val="clear" w:color="auto" w:fill="FFFFFF"/>
        </w:rPr>
        <w:t>/</w:t>
      </w:r>
      <w:r>
        <w:rPr>
          <w:rFonts w:ascii="Times New Roman" w:hAnsi="Times New Roman" w:eastAsia="方正仿宋_GB2312"/>
          <w:kern w:val="0"/>
          <w:sz w:val="24"/>
          <w:szCs w:val="24"/>
          <w:shd w:val="clear" w:color="auto" w:fill="FFFFFF"/>
        </w:rPr>
        <w:t>专用发票），税率</w:t>
      </w:r>
      <w:r>
        <w:rPr>
          <w:rFonts w:ascii="Times New Roman" w:hAnsi="Times New Roman" w:eastAsia="方正仿宋_GB2312"/>
          <w:kern w:val="0"/>
          <w:sz w:val="24"/>
          <w:szCs w:val="24"/>
          <w:u w:val="single"/>
          <w:shd w:val="clear" w:color="auto" w:fill="FFFFFF"/>
        </w:rPr>
        <w:t xml:space="preserve">   </w:t>
      </w:r>
      <w:r>
        <w:rPr>
          <w:rFonts w:ascii="Times New Roman" w:hAnsi="Times New Roman" w:eastAsia="方正仿宋_GB2312"/>
          <w:kern w:val="0"/>
          <w:sz w:val="24"/>
          <w:szCs w:val="24"/>
          <w:shd w:val="clear" w:color="auto" w:fill="FFFFFF"/>
        </w:rPr>
        <w:t>%，甲方以转账方式向乙方支付合同总金额的</w:t>
      </w:r>
      <w:r>
        <w:rPr>
          <w:rFonts w:ascii="Times New Roman" w:hAnsi="Times New Roman" w:eastAsia="方正仿宋_GB2312"/>
          <w:kern w:val="0"/>
          <w:sz w:val="24"/>
          <w:szCs w:val="24"/>
          <w:u w:val="single"/>
          <w:shd w:val="clear" w:color="auto" w:fill="FFFFFF"/>
        </w:rPr>
        <w:t xml:space="preserve">    </w:t>
      </w:r>
      <w:r>
        <w:rPr>
          <w:rFonts w:hint="eastAsia" w:ascii="Times New Roman" w:hAnsi="Times New Roman" w:eastAsia="方正仿宋_GB2312"/>
          <w:kern w:val="0"/>
          <w:sz w:val="24"/>
          <w:szCs w:val="24"/>
          <w:u w:val="single"/>
          <w:shd w:val="clear" w:color="auto" w:fill="FFFFFF"/>
        </w:rPr>
        <w:t>%</w:t>
      </w:r>
      <w:r>
        <w:rPr>
          <w:rFonts w:hint="eastAsia" w:ascii="Times New Roman" w:hAnsi="Times New Roman" w:eastAsia="方正仿宋_GB2312"/>
          <w:kern w:val="0"/>
          <w:sz w:val="24"/>
          <w:szCs w:val="24"/>
          <w:shd w:val="clear" w:color="auto" w:fill="FFFFFF"/>
        </w:rPr>
        <w:t>，金额为</w:t>
      </w:r>
      <w:r>
        <w:rPr>
          <w:rFonts w:hint="eastAsia" w:ascii="Times New Roman" w:hAnsi="Times New Roman" w:eastAsia="方正仿宋_GB2312"/>
          <w:kern w:val="0"/>
          <w:sz w:val="24"/>
          <w:szCs w:val="24"/>
          <w:u w:val="single"/>
          <w:shd w:val="clear" w:color="auto" w:fill="FFFFFF"/>
        </w:rPr>
        <w:t xml:space="preserve">     </w:t>
      </w:r>
      <w:r>
        <w:rPr>
          <w:rFonts w:ascii="Times New Roman" w:hAnsi="Times New Roman" w:eastAsia="方正仿宋_GB2312"/>
          <w:kern w:val="0"/>
          <w:sz w:val="24"/>
          <w:szCs w:val="24"/>
          <w:shd w:val="clear" w:color="auto" w:fill="FFFFFF"/>
          <w:lang w:bidi="ar"/>
        </w:rPr>
        <w:t>，</w:t>
      </w:r>
      <w:r>
        <w:rPr>
          <w:rFonts w:hint="eastAsia" w:ascii="Times New Roman" w:hAnsi="Times New Roman" w:eastAsia="方正仿宋_GB2312"/>
          <w:sz w:val="24"/>
          <w:szCs w:val="24"/>
        </w:rPr>
        <w:t>乙方拒不开票或者开票不符合甲方要求的，甲方有权拒不付款且不承担任何违约责任。</w:t>
      </w:r>
    </w:p>
    <w:p>
      <w:pPr>
        <w:widowControl/>
        <w:shd w:val="clear" w:color="auto" w:fill="FFFFFF"/>
        <w:spacing w:line="360" w:lineRule="auto"/>
        <w:ind w:firstLine="560"/>
        <w:textAlignment w:val="baseline"/>
        <w:rPr>
          <w:rFonts w:ascii="Times New Roman" w:hAnsi="Times New Roman" w:eastAsia="方正仿宋_GB2312"/>
          <w:kern w:val="0"/>
          <w:sz w:val="24"/>
          <w:szCs w:val="24"/>
          <w:shd w:val="clear" w:color="auto" w:fill="FFFFFF"/>
        </w:rPr>
      </w:pPr>
      <w:r>
        <w:rPr>
          <w:rFonts w:hint="eastAsia" w:ascii="Times New Roman" w:hAnsi="Times New Roman" w:eastAsia="方正仿宋_GB2312"/>
          <w:kern w:val="0"/>
          <w:sz w:val="24"/>
          <w:szCs w:val="24"/>
          <w:shd w:val="clear" w:color="auto" w:fill="FFFFFF"/>
        </w:rPr>
        <w:t>本合同总金额包含完成合同服务内容所必需的人员、设备、材料等费用，包括但不限于劳务费、差旅费、设备使用费、材料费、折旧费、运输费、保险费、税费等履行本合同所需的一切费用。对于据实结算的服务采购，须列明服务单项报价，最终实际结算金额不得超过本合同约定的服务费用总金额。</w:t>
      </w:r>
    </w:p>
    <w:p>
      <w:pPr>
        <w:pStyle w:val="25"/>
        <w:spacing w:line="360" w:lineRule="auto"/>
        <w:ind w:left="0" w:leftChars="0" w:firstLine="480" w:firstLineChars="2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2.甲方开票发票要求：</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（1）单位名称：</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（2）单位账号：</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（3）开户行：</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（4）纳税人识别号:</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（5）单位地址:</w:t>
      </w:r>
    </w:p>
    <w:p>
      <w:pPr>
        <w:pStyle w:val="25"/>
        <w:spacing w:line="360" w:lineRule="auto"/>
        <w:ind w:left="0" w:leftChars="0" w:firstLine="480" w:firstLineChars="200"/>
        <w:rPr>
          <w:rFonts w:ascii="Times New Roman" w:hAnsi="Times New Roman" w:eastAsia="方正仿宋_GB2312"/>
          <w:kern w:val="0"/>
          <w:sz w:val="24"/>
          <w:szCs w:val="24"/>
          <w:shd w:val="clear" w:color="auto" w:fill="FFFFFF"/>
        </w:rPr>
      </w:pPr>
      <w:r>
        <w:rPr>
          <w:rFonts w:hint="eastAsia" w:ascii="Times New Roman" w:hAnsi="Times New Roman" w:eastAsia="方正仿宋_GB2312"/>
          <w:kern w:val="0"/>
          <w:sz w:val="24"/>
          <w:szCs w:val="24"/>
          <w:shd w:val="clear" w:color="auto" w:fill="FFFFFF"/>
        </w:rPr>
        <w:t>3</w:t>
      </w:r>
      <w:r>
        <w:rPr>
          <w:rFonts w:ascii="Times New Roman" w:hAnsi="Times New Roman" w:eastAsia="方正仿宋_GB2312"/>
          <w:kern w:val="0"/>
          <w:sz w:val="24"/>
          <w:szCs w:val="24"/>
          <w:shd w:val="clear" w:color="auto" w:fill="FFFFFF"/>
        </w:rPr>
        <w:t>.乙方</w:t>
      </w:r>
      <w:r>
        <w:rPr>
          <w:rFonts w:hint="eastAsia" w:ascii="Times New Roman" w:hAnsi="Times New Roman" w:eastAsia="方正仿宋_GB2312"/>
          <w:kern w:val="0"/>
          <w:sz w:val="24"/>
          <w:szCs w:val="24"/>
          <w:shd w:val="clear" w:color="auto" w:fill="FFFFFF"/>
        </w:rPr>
        <w:t>收款账户信息</w:t>
      </w:r>
      <w:r>
        <w:rPr>
          <w:rFonts w:ascii="Times New Roman" w:hAnsi="Times New Roman" w:eastAsia="方正仿宋_GB2312"/>
          <w:kern w:val="0"/>
          <w:sz w:val="24"/>
          <w:szCs w:val="24"/>
          <w:shd w:val="clear" w:color="auto" w:fill="FFFFFF"/>
        </w:rPr>
        <w:t>：</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（1）单位名称：</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 xml:space="preserve">（2）单位账号：                </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 xml:space="preserve">（3）开户行 ：               </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lang w:bidi="ar"/>
        </w:rPr>
        <w:t>（4）</w:t>
      </w:r>
      <w:r>
        <w:rPr>
          <w:rFonts w:ascii="Times New Roman" w:hAnsi="Times New Roman" w:eastAsia="方正仿宋_GB2312"/>
          <w:kern w:val="0"/>
          <w:sz w:val="24"/>
          <w:szCs w:val="24"/>
          <w:shd w:val="clear" w:color="auto" w:fill="FFFFFF"/>
        </w:rPr>
        <w:t>纳税人识别号:</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（5）单位地址：</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hint="eastAsia" w:ascii="Times New Roman" w:hAnsi="Times New Roman" w:eastAsia="方正仿宋_GB2312"/>
          <w:kern w:val="0"/>
          <w:sz w:val="24"/>
          <w:szCs w:val="24"/>
          <w:shd w:val="clear" w:color="auto" w:fill="FFFFFF"/>
        </w:rPr>
        <w:t>（6）供应商规模：（大型企业/中型企业/小微型企业/其他）</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hint="eastAsia" w:ascii="Times New Roman" w:hAnsi="Times New Roman" w:eastAsia="方正仿宋_GB2312"/>
          <w:kern w:val="0"/>
          <w:sz w:val="24"/>
          <w:szCs w:val="24"/>
          <w:shd w:val="clear" w:color="auto" w:fill="FFFFFF"/>
        </w:rPr>
        <w:t>（7）供应商特殊性质：（监狱企业/残疾人福利性单位/其他）</w:t>
      </w:r>
    </w:p>
    <w:p>
      <w:pPr>
        <w:pStyle w:val="25"/>
        <w:spacing w:line="360" w:lineRule="auto"/>
        <w:ind w:left="0" w:leftChars="0" w:firstLine="240" w:firstLineChars="1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注：开户行、单位名称、单位账号如有变更，变更一方应在合同规定的相关付款期限前二十天内以书面方式通知对方，如未按时通知或通知有误而影响结算者，所产生的责任及损失自行承担。</w:t>
      </w:r>
    </w:p>
    <w:p>
      <w:pPr>
        <w:pStyle w:val="25"/>
        <w:ind w:left="0" w:leftChars="0"/>
        <w:rPr>
          <w:rFonts w:ascii="黑体" w:hAnsi="黑体" w:eastAsia="黑体" w:cs="黑体"/>
          <w:kern w:val="0"/>
          <w:sz w:val="24"/>
          <w:szCs w:val="24"/>
          <w:shd w:val="clear" w:color="auto" w:fill="FFFFFF"/>
        </w:rPr>
      </w:pPr>
      <w:r>
        <w:rPr>
          <w:rFonts w:hint="eastAsia" w:ascii="黑体" w:hAnsi="黑体" w:eastAsia="黑体" w:cs="黑体"/>
          <w:kern w:val="0"/>
          <w:sz w:val="24"/>
          <w:szCs w:val="24"/>
          <w:shd w:val="clear" w:color="auto" w:fill="FFFFFF"/>
        </w:rPr>
        <w:t>四、服务期限及服务地点</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1.</w:t>
      </w:r>
      <w:r>
        <w:rPr>
          <w:rFonts w:hint="eastAsia" w:ascii="Times New Roman" w:hAnsi="Times New Roman" w:eastAsia="方正仿宋_GB2312"/>
          <w:kern w:val="0"/>
          <w:sz w:val="24"/>
          <w:szCs w:val="24"/>
          <w:shd w:val="clear" w:color="auto" w:fill="FFFFFF"/>
          <w:lang w:bidi="ar"/>
        </w:rPr>
        <w:t>本项目服务期限：</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年</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月</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日 至</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年</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月</w:t>
      </w:r>
      <w:r>
        <w:rPr>
          <w:rFonts w:hint="eastAsia" w:ascii="Times New Roman" w:hAnsi="Times New Roman" w:eastAsia="方正仿宋_GB2312"/>
          <w:kern w:val="0"/>
          <w:sz w:val="24"/>
          <w:szCs w:val="24"/>
          <w:u w:val="single"/>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日</w:t>
      </w:r>
      <w:r>
        <w:rPr>
          <w:rFonts w:ascii="Times New Roman" w:hAnsi="Times New Roman" w:eastAsia="方正仿宋_GB2312"/>
          <w:kern w:val="0"/>
          <w:sz w:val="24"/>
          <w:szCs w:val="24"/>
          <w:shd w:val="clear" w:color="auto" w:fill="FFFFFF"/>
          <w:lang w:bidi="ar"/>
        </w:rPr>
        <w:t>。</w:t>
      </w:r>
    </w:p>
    <w:p>
      <w:pPr>
        <w:pStyle w:val="25"/>
        <w:ind w:left="0" w:leftChars="0" w:firstLine="480" w:firstLineChars="200"/>
        <w:rPr>
          <w:rFonts w:ascii="Times New Roman" w:hAnsi="Times New Roman" w:eastAsia="方正仿宋_GB2312"/>
          <w:kern w:val="0"/>
          <w:sz w:val="24"/>
          <w:szCs w:val="24"/>
          <w:u w:val="single"/>
          <w:shd w:val="clear" w:color="auto" w:fill="FFFFFF"/>
          <w:lang w:bidi="ar"/>
        </w:rPr>
      </w:pPr>
      <w:r>
        <w:rPr>
          <w:rFonts w:ascii="Times New Roman" w:hAnsi="Times New Roman" w:eastAsia="方正仿宋_GB2312"/>
          <w:kern w:val="0"/>
          <w:sz w:val="24"/>
          <w:szCs w:val="24"/>
          <w:shd w:val="clear" w:color="auto" w:fill="FFFFFF"/>
          <w:lang w:bidi="ar"/>
        </w:rPr>
        <w:t>2.</w:t>
      </w:r>
      <w:r>
        <w:rPr>
          <w:rFonts w:hint="eastAsia" w:ascii="Times New Roman" w:hAnsi="Times New Roman" w:eastAsia="方正仿宋_GB2312"/>
          <w:kern w:val="0"/>
          <w:sz w:val="24"/>
          <w:szCs w:val="24"/>
          <w:shd w:val="clear" w:color="auto" w:fill="FFFFFF"/>
          <w:lang w:bidi="ar"/>
        </w:rPr>
        <w:t>服务实施地点：</w:t>
      </w:r>
      <w:r>
        <w:rPr>
          <w:rFonts w:hint="eastAsia" w:ascii="Times New Roman" w:hAnsi="Times New Roman" w:eastAsia="方正仿宋_GB2312"/>
          <w:kern w:val="0"/>
          <w:sz w:val="24"/>
          <w:szCs w:val="24"/>
          <w:u w:val="single"/>
          <w:shd w:val="clear" w:color="auto" w:fill="FFFFFF"/>
          <w:lang w:bidi="ar"/>
        </w:rPr>
        <w:t xml:space="preserve">      </w:t>
      </w:r>
    </w:p>
    <w:p>
      <w:pPr>
        <w:pStyle w:val="25"/>
        <w:ind w:left="0" w:leftChars="0"/>
        <w:rPr>
          <w:rFonts w:ascii="黑体" w:hAnsi="黑体" w:eastAsia="黑体" w:cs="黑体"/>
          <w:kern w:val="0"/>
          <w:sz w:val="24"/>
          <w:szCs w:val="24"/>
          <w:shd w:val="clear" w:color="auto" w:fill="FFFFFF"/>
          <w:lang w:bidi="ar"/>
        </w:rPr>
      </w:pPr>
      <w:r>
        <w:rPr>
          <w:rFonts w:hint="eastAsia" w:ascii="黑体" w:hAnsi="黑体" w:eastAsia="黑体" w:cs="黑体"/>
          <w:kern w:val="0"/>
          <w:sz w:val="24"/>
          <w:szCs w:val="24"/>
          <w:shd w:val="clear" w:color="auto" w:fill="FFFFFF"/>
          <w:lang w:bidi="ar"/>
        </w:rPr>
        <w:t>五、服务质量保证</w:t>
      </w:r>
    </w:p>
    <w:p>
      <w:pPr>
        <w:pStyle w:val="83"/>
        <w:widowControl w:val="0"/>
        <w:spacing w:before="0" w:beforeAutospacing="0" w:after="0" w:afterAutospacing="0" w:line="360" w:lineRule="auto"/>
        <w:ind w:firstLine="480" w:firstLineChars="200"/>
        <w:rPr>
          <w:rFonts w:ascii="Times New Roman" w:hAnsi="Times New Roman" w:eastAsia="方正仿宋_GB2312"/>
          <w:szCs w:val="24"/>
          <w:shd w:val="clear" w:color="auto" w:fill="FFFFFF"/>
        </w:rPr>
      </w:pPr>
      <w:r>
        <w:rPr>
          <w:rFonts w:hint="eastAsia" w:ascii="Times New Roman" w:hAnsi="Times New Roman" w:eastAsia="方正仿宋_GB2312"/>
          <w:szCs w:val="24"/>
          <w:shd w:val="clear" w:color="auto" w:fill="FFFFFF"/>
        </w:rPr>
        <w:t>1.乙方按照本合同前款</w:t>
      </w:r>
      <w:r>
        <w:rPr>
          <w:rFonts w:ascii="Times New Roman" w:hAnsi="Times New Roman" w:eastAsia="方正仿宋_GB2312"/>
          <w:szCs w:val="24"/>
          <w:shd w:val="clear" w:color="auto" w:fill="FFFFFF"/>
        </w:rPr>
        <w:t>所述的服务时间、地点</w:t>
      </w:r>
      <w:r>
        <w:rPr>
          <w:rFonts w:hint="eastAsia" w:ascii="Times New Roman" w:hAnsi="Times New Roman" w:eastAsia="方正仿宋_GB2312"/>
          <w:szCs w:val="24"/>
          <w:shd w:val="clear" w:color="auto" w:fill="FFFFFF"/>
        </w:rPr>
        <w:t>、</w:t>
      </w:r>
      <w:r>
        <w:rPr>
          <w:rFonts w:ascii="Times New Roman" w:hAnsi="Times New Roman" w:eastAsia="方正仿宋_GB2312"/>
          <w:szCs w:val="24"/>
          <w:shd w:val="clear" w:color="auto" w:fill="FFFFFF"/>
        </w:rPr>
        <w:t>内容、数量和质量等要求向</w:t>
      </w:r>
      <w:r>
        <w:rPr>
          <w:rFonts w:hint="eastAsia" w:ascii="Times New Roman" w:hAnsi="Times New Roman" w:eastAsia="方正仿宋_GB2312"/>
          <w:szCs w:val="24"/>
          <w:shd w:val="clear" w:color="auto" w:fill="FFFFFF"/>
        </w:rPr>
        <w:t>甲方</w:t>
      </w:r>
      <w:r>
        <w:rPr>
          <w:rFonts w:ascii="Times New Roman" w:hAnsi="Times New Roman" w:eastAsia="方正仿宋_GB2312"/>
          <w:szCs w:val="24"/>
          <w:shd w:val="clear" w:color="auto" w:fill="FFFFFF"/>
        </w:rPr>
        <w:t>提供服务，在服务期限内，</w:t>
      </w:r>
      <w:r>
        <w:rPr>
          <w:rFonts w:hint="eastAsia" w:ascii="Times New Roman" w:hAnsi="Times New Roman" w:eastAsia="方正仿宋_GB2312"/>
          <w:szCs w:val="24"/>
          <w:shd w:val="clear" w:color="auto" w:fill="FFFFFF"/>
        </w:rPr>
        <w:t>若</w:t>
      </w:r>
      <w:r>
        <w:rPr>
          <w:rFonts w:ascii="Times New Roman" w:hAnsi="Times New Roman" w:eastAsia="方正仿宋_GB2312"/>
          <w:szCs w:val="24"/>
          <w:shd w:val="clear" w:color="auto" w:fill="FFFFFF"/>
        </w:rPr>
        <w:t>乙方提供的服务未达到</w:t>
      </w:r>
      <w:r>
        <w:rPr>
          <w:rFonts w:hint="eastAsia" w:ascii="Times New Roman" w:hAnsi="Times New Roman" w:eastAsia="方正仿宋_GB2312"/>
          <w:szCs w:val="24"/>
          <w:shd w:val="clear" w:color="auto" w:fill="FFFFFF"/>
        </w:rPr>
        <w:t>约定</w:t>
      </w:r>
      <w:r>
        <w:rPr>
          <w:rFonts w:ascii="Times New Roman" w:hAnsi="Times New Roman" w:eastAsia="方正仿宋_GB2312"/>
          <w:szCs w:val="24"/>
          <w:shd w:val="clear" w:color="auto" w:fill="FFFFFF"/>
        </w:rPr>
        <w:t>的数量、质量</w:t>
      </w:r>
      <w:r>
        <w:rPr>
          <w:rFonts w:hint="eastAsia" w:ascii="Times New Roman" w:hAnsi="Times New Roman" w:eastAsia="方正仿宋_GB2312"/>
          <w:szCs w:val="24"/>
          <w:shd w:val="clear" w:color="auto" w:fill="FFFFFF"/>
        </w:rPr>
        <w:t>等</w:t>
      </w:r>
      <w:r>
        <w:rPr>
          <w:rFonts w:ascii="Times New Roman" w:hAnsi="Times New Roman" w:eastAsia="方正仿宋_GB2312"/>
          <w:szCs w:val="24"/>
          <w:shd w:val="clear" w:color="auto" w:fill="FFFFFF"/>
        </w:rPr>
        <w:t>标准</w:t>
      </w:r>
      <w:r>
        <w:rPr>
          <w:rFonts w:hint="eastAsia" w:ascii="Times New Roman" w:hAnsi="Times New Roman" w:eastAsia="方正仿宋_GB2312"/>
          <w:szCs w:val="24"/>
          <w:shd w:val="clear" w:color="auto" w:fill="FFFFFF"/>
        </w:rPr>
        <w:t>，</w:t>
      </w:r>
      <w:r>
        <w:rPr>
          <w:rFonts w:ascii="Times New Roman" w:hAnsi="Times New Roman" w:eastAsia="方正仿宋_GB2312"/>
          <w:szCs w:val="24"/>
          <w:shd w:val="clear" w:color="auto" w:fill="FFFFFF"/>
        </w:rPr>
        <w:t>应当及时</w:t>
      </w:r>
      <w:r>
        <w:rPr>
          <w:rFonts w:hint="eastAsia" w:ascii="Times New Roman" w:hAnsi="Times New Roman" w:eastAsia="方正仿宋_GB2312"/>
          <w:szCs w:val="24"/>
          <w:shd w:val="clear" w:color="auto" w:fill="FFFFFF"/>
        </w:rPr>
        <w:t>更换</w:t>
      </w:r>
      <w:r>
        <w:rPr>
          <w:rFonts w:ascii="Times New Roman" w:hAnsi="Times New Roman" w:eastAsia="方正仿宋_GB2312"/>
          <w:szCs w:val="24"/>
          <w:shd w:val="clear" w:color="auto" w:fill="FFFFFF"/>
        </w:rPr>
        <w:t>、补齐</w:t>
      </w:r>
      <w:r>
        <w:rPr>
          <w:rFonts w:hint="eastAsia" w:ascii="Times New Roman" w:hAnsi="Times New Roman" w:eastAsia="方正仿宋_GB2312"/>
          <w:szCs w:val="24"/>
          <w:shd w:val="clear" w:color="auto" w:fill="FFFFFF"/>
        </w:rPr>
        <w:t>或</w:t>
      </w:r>
      <w:r>
        <w:rPr>
          <w:rFonts w:ascii="Times New Roman" w:hAnsi="Times New Roman" w:eastAsia="方正仿宋_GB2312"/>
          <w:szCs w:val="24"/>
          <w:shd w:val="clear" w:color="auto" w:fill="FFFFFF"/>
        </w:rPr>
        <w:t>提升服务质量水平至本合同要求的标准。</w:t>
      </w:r>
    </w:p>
    <w:p>
      <w:pPr>
        <w:spacing w:line="360" w:lineRule="auto"/>
        <w:ind w:firstLine="480" w:firstLineChars="2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2.</w:t>
      </w:r>
      <w:r>
        <w:rPr>
          <w:rFonts w:hint="eastAsia" w:ascii="Times New Roman" w:hAnsi="Times New Roman" w:eastAsia="方正仿宋_GB2312"/>
          <w:kern w:val="0"/>
          <w:sz w:val="24"/>
          <w:szCs w:val="24"/>
          <w:shd w:val="clear" w:color="auto" w:fill="FFFFFF"/>
        </w:rPr>
        <w:t>乙方根据</w:t>
      </w:r>
      <w:r>
        <w:rPr>
          <w:rFonts w:ascii="Times New Roman" w:hAnsi="Times New Roman" w:eastAsia="方正仿宋_GB2312"/>
          <w:kern w:val="0"/>
          <w:sz w:val="24"/>
          <w:szCs w:val="24"/>
          <w:shd w:val="clear" w:color="auto" w:fill="FFFFFF"/>
        </w:rPr>
        <w:t>甲方提供的</w:t>
      </w:r>
      <w:r>
        <w:rPr>
          <w:rFonts w:hint="eastAsia" w:ascii="Times New Roman" w:hAnsi="Times New Roman" w:eastAsia="方正仿宋_GB2312"/>
          <w:kern w:val="0"/>
          <w:sz w:val="24"/>
          <w:szCs w:val="24"/>
          <w:shd w:val="clear" w:color="auto" w:fill="FFFFFF"/>
        </w:rPr>
        <w:t>场地</w:t>
      </w:r>
      <w:r>
        <w:rPr>
          <w:rFonts w:ascii="Times New Roman" w:hAnsi="Times New Roman" w:eastAsia="方正仿宋_GB2312"/>
          <w:kern w:val="0"/>
          <w:sz w:val="24"/>
          <w:szCs w:val="24"/>
          <w:shd w:val="clear" w:color="auto" w:fill="FFFFFF"/>
        </w:rPr>
        <w:t>、设施或材料</w:t>
      </w:r>
      <w:r>
        <w:rPr>
          <w:rFonts w:hint="eastAsia" w:ascii="Times New Roman" w:hAnsi="Times New Roman" w:eastAsia="方正仿宋_GB2312"/>
          <w:kern w:val="0"/>
          <w:sz w:val="24"/>
          <w:szCs w:val="24"/>
          <w:shd w:val="clear" w:color="auto" w:fill="FFFFFF"/>
        </w:rPr>
        <w:t>等</w:t>
      </w:r>
      <w:r>
        <w:rPr>
          <w:rFonts w:ascii="Times New Roman" w:hAnsi="Times New Roman" w:eastAsia="方正仿宋_GB2312"/>
          <w:kern w:val="0"/>
          <w:sz w:val="24"/>
          <w:szCs w:val="24"/>
          <w:shd w:val="clear" w:color="auto" w:fill="FFFFFF"/>
        </w:rPr>
        <w:t>条件完成服务内容。</w:t>
      </w:r>
      <w:r>
        <w:rPr>
          <w:rFonts w:hint="eastAsia" w:ascii="Times New Roman" w:hAnsi="Times New Roman" w:eastAsia="方正仿宋_GB2312"/>
          <w:kern w:val="0"/>
          <w:sz w:val="24"/>
          <w:szCs w:val="24"/>
          <w:shd w:val="clear" w:color="auto" w:fill="FFFFFF"/>
        </w:rPr>
        <w:t>乙方保证所提供的服务必须符合本合同服务项目</w:t>
      </w:r>
      <w:r>
        <w:rPr>
          <w:rFonts w:ascii="Times New Roman" w:hAnsi="Times New Roman" w:eastAsia="方正仿宋_GB2312"/>
          <w:kern w:val="0"/>
          <w:sz w:val="24"/>
          <w:szCs w:val="24"/>
          <w:shd w:val="clear" w:color="auto" w:fill="FFFFFF"/>
        </w:rPr>
        <w:t>质量标准</w:t>
      </w:r>
      <w:r>
        <w:rPr>
          <w:rFonts w:hint="eastAsia" w:ascii="Times New Roman" w:hAnsi="Times New Roman" w:eastAsia="方正仿宋_GB2312"/>
          <w:kern w:val="0"/>
          <w:sz w:val="24"/>
          <w:szCs w:val="24"/>
          <w:shd w:val="clear" w:color="auto" w:fill="FFFFFF"/>
        </w:rPr>
        <w:t>要求及相关</w:t>
      </w:r>
      <w:r>
        <w:rPr>
          <w:rFonts w:ascii="Times New Roman" w:hAnsi="Times New Roman" w:eastAsia="方正仿宋_GB2312"/>
          <w:kern w:val="0"/>
          <w:sz w:val="24"/>
          <w:szCs w:val="24"/>
          <w:shd w:val="clear" w:color="auto" w:fill="FFFFFF"/>
        </w:rPr>
        <w:t>的</w:t>
      </w:r>
      <w:r>
        <w:rPr>
          <w:rFonts w:hint="eastAsia" w:ascii="Times New Roman" w:hAnsi="Times New Roman" w:eastAsia="方正仿宋_GB2312"/>
          <w:kern w:val="0"/>
          <w:sz w:val="24"/>
          <w:szCs w:val="24"/>
          <w:shd w:val="clear" w:color="auto" w:fill="FFFFFF"/>
        </w:rPr>
        <w:t>国家标准、行业标准、地方标准或者其他标准、规范，并自觉接受甲方监督。</w:t>
      </w:r>
    </w:p>
    <w:p>
      <w:pPr>
        <w:spacing w:line="360" w:lineRule="auto"/>
        <w:ind w:firstLine="480" w:firstLineChars="2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3</w:t>
      </w:r>
      <w:r>
        <w:rPr>
          <w:rFonts w:hint="eastAsia" w:ascii="Times New Roman" w:hAnsi="Times New Roman" w:eastAsia="方正仿宋_GB2312"/>
          <w:kern w:val="0"/>
          <w:sz w:val="24"/>
          <w:szCs w:val="24"/>
          <w:shd w:val="clear" w:color="auto" w:fill="FFFFFF"/>
        </w:rPr>
        <w:t>．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pPr>
        <w:spacing w:line="360" w:lineRule="auto"/>
        <w:ind w:firstLine="480" w:firstLineChars="2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4</w:t>
      </w:r>
      <w:r>
        <w:rPr>
          <w:rFonts w:hint="eastAsia" w:ascii="Times New Roman" w:hAnsi="Times New Roman" w:eastAsia="方正仿宋_GB2312"/>
          <w:kern w:val="0"/>
          <w:sz w:val="24"/>
          <w:szCs w:val="24"/>
          <w:shd w:val="clear" w:color="auto" w:fill="FFFFFF"/>
        </w:rPr>
        <w:t>．如果乙方工作人员在服务中，未尽安全义务，有可能出现伤害自身或威胁到他人生命、财产安全的</w:t>
      </w:r>
      <w:r>
        <w:rPr>
          <w:rFonts w:ascii="Times New Roman" w:hAnsi="Times New Roman" w:eastAsia="方正仿宋_GB2312"/>
          <w:kern w:val="0"/>
          <w:sz w:val="24"/>
          <w:szCs w:val="24"/>
          <w:shd w:val="clear" w:color="auto" w:fill="FFFFFF"/>
        </w:rPr>
        <w:t>情况</w:t>
      </w:r>
      <w:r>
        <w:rPr>
          <w:rFonts w:hint="eastAsia" w:ascii="Times New Roman" w:hAnsi="Times New Roman" w:eastAsia="方正仿宋_GB2312"/>
          <w:kern w:val="0"/>
          <w:sz w:val="24"/>
          <w:szCs w:val="24"/>
          <w:shd w:val="clear" w:color="auto" w:fill="FFFFFF"/>
        </w:rPr>
        <w:t>，甲方以及相关人员有权立即要求中止服务，由此产生的一切费用及损失由乙方自行承担，甲方不承担任何责任。</w:t>
      </w:r>
    </w:p>
    <w:p>
      <w:pPr>
        <w:spacing w:line="360" w:lineRule="auto"/>
        <w:ind w:firstLine="480" w:firstLineChars="200"/>
        <w:rPr>
          <w:rFonts w:ascii="Times New Roman" w:hAnsi="Times New Roman" w:eastAsia="方正仿宋_GB2312"/>
          <w:kern w:val="0"/>
          <w:sz w:val="24"/>
          <w:szCs w:val="24"/>
          <w:shd w:val="clear" w:color="auto" w:fill="FFFFFF"/>
        </w:rPr>
      </w:pPr>
      <w:r>
        <w:rPr>
          <w:rFonts w:ascii="Times New Roman" w:hAnsi="Times New Roman" w:eastAsia="方正仿宋_GB2312"/>
          <w:kern w:val="0"/>
          <w:sz w:val="24"/>
          <w:szCs w:val="24"/>
          <w:shd w:val="clear" w:color="auto" w:fill="FFFFFF"/>
        </w:rPr>
        <w:t>5</w:t>
      </w:r>
      <w:r>
        <w:rPr>
          <w:rFonts w:hint="eastAsia" w:ascii="Times New Roman" w:hAnsi="Times New Roman" w:eastAsia="方正仿宋_GB2312"/>
          <w:kern w:val="0"/>
          <w:sz w:val="24"/>
          <w:szCs w:val="24"/>
          <w:shd w:val="clear" w:color="auto" w:fill="FFFFFF"/>
        </w:rPr>
        <w:t>.乙方</w:t>
      </w:r>
      <w:r>
        <w:rPr>
          <w:rFonts w:ascii="Times New Roman" w:hAnsi="Times New Roman" w:eastAsia="方正仿宋_GB2312"/>
          <w:kern w:val="0"/>
          <w:sz w:val="24"/>
          <w:szCs w:val="24"/>
          <w:shd w:val="clear" w:color="auto" w:fill="FFFFFF"/>
        </w:rPr>
        <w:t>应确保向甲方提供服务</w:t>
      </w:r>
      <w:r>
        <w:rPr>
          <w:rFonts w:hint="eastAsia" w:ascii="Times New Roman" w:hAnsi="Times New Roman" w:eastAsia="方正仿宋_GB2312"/>
          <w:kern w:val="0"/>
          <w:sz w:val="24"/>
          <w:szCs w:val="24"/>
          <w:shd w:val="clear" w:color="auto" w:fill="FFFFFF"/>
        </w:rPr>
        <w:t>的过程中</w:t>
      </w:r>
      <w:r>
        <w:rPr>
          <w:rFonts w:ascii="Times New Roman" w:hAnsi="Times New Roman" w:eastAsia="方正仿宋_GB2312"/>
          <w:kern w:val="0"/>
          <w:sz w:val="24"/>
          <w:szCs w:val="24"/>
          <w:shd w:val="clear" w:color="auto" w:fill="FFFFFF"/>
        </w:rPr>
        <w:t>不存在</w:t>
      </w:r>
      <w:r>
        <w:rPr>
          <w:rFonts w:hint="eastAsia" w:ascii="Times New Roman" w:hAnsi="Times New Roman" w:eastAsia="方正仿宋_GB2312"/>
          <w:kern w:val="0"/>
          <w:sz w:val="24"/>
          <w:szCs w:val="24"/>
          <w:shd w:val="clear" w:color="auto" w:fill="FFFFFF"/>
        </w:rPr>
        <w:t>侵犯甲方</w:t>
      </w:r>
      <w:r>
        <w:rPr>
          <w:rFonts w:ascii="Times New Roman" w:hAnsi="Times New Roman" w:eastAsia="方正仿宋_GB2312"/>
          <w:kern w:val="0"/>
          <w:sz w:val="24"/>
          <w:szCs w:val="24"/>
          <w:shd w:val="clear" w:color="auto" w:fill="FFFFFF"/>
        </w:rPr>
        <w:t>或第三方</w:t>
      </w:r>
      <w:r>
        <w:rPr>
          <w:rFonts w:hint="eastAsia" w:ascii="Times New Roman" w:hAnsi="Times New Roman" w:eastAsia="方正仿宋_GB2312"/>
          <w:kern w:val="0"/>
          <w:sz w:val="24"/>
          <w:szCs w:val="24"/>
          <w:shd w:val="clear" w:color="auto" w:fill="FFFFFF"/>
        </w:rPr>
        <w:t>知识</w:t>
      </w:r>
      <w:r>
        <w:rPr>
          <w:rFonts w:ascii="Times New Roman" w:hAnsi="Times New Roman" w:eastAsia="方正仿宋_GB2312"/>
          <w:kern w:val="0"/>
          <w:sz w:val="24"/>
          <w:szCs w:val="24"/>
          <w:shd w:val="clear" w:color="auto" w:fill="FFFFFF"/>
        </w:rPr>
        <w:t>产权、名誉权、隐私权等合法权利的情况</w:t>
      </w:r>
      <w:r>
        <w:rPr>
          <w:rFonts w:hint="eastAsia" w:ascii="Times New Roman" w:hAnsi="Times New Roman" w:eastAsia="方正仿宋_GB2312"/>
          <w:kern w:val="0"/>
          <w:sz w:val="24"/>
          <w:szCs w:val="24"/>
          <w:shd w:val="clear" w:color="auto" w:fill="FFFFFF"/>
        </w:rPr>
        <w:t>，</w:t>
      </w:r>
      <w:r>
        <w:rPr>
          <w:rFonts w:ascii="Times New Roman" w:hAnsi="Times New Roman" w:eastAsia="方正仿宋_GB2312"/>
          <w:kern w:val="0"/>
          <w:sz w:val="24"/>
          <w:szCs w:val="24"/>
          <w:shd w:val="clear" w:color="auto" w:fill="FFFFFF"/>
        </w:rPr>
        <w:t>保证甲方免受任何第三方主张任何权利。</w:t>
      </w:r>
    </w:p>
    <w:p>
      <w:pPr>
        <w:pStyle w:val="25"/>
        <w:spacing w:line="360" w:lineRule="auto"/>
        <w:ind w:left="0" w:leftChars="0" w:firstLine="480" w:firstLineChars="200"/>
        <w:rPr>
          <w:rFonts w:ascii="黑体" w:hAnsi="黑体" w:eastAsia="黑体" w:cs="黑体"/>
          <w:kern w:val="0"/>
          <w:sz w:val="24"/>
          <w:szCs w:val="24"/>
          <w:shd w:val="clear" w:color="auto" w:fill="FFFFFF"/>
          <w:lang w:bidi="ar"/>
        </w:rPr>
      </w:pPr>
      <w:r>
        <w:rPr>
          <w:rFonts w:hint="eastAsia" w:ascii="Times New Roman" w:hAnsi="Times New Roman" w:eastAsia="方正仿宋_GB2312"/>
          <w:kern w:val="0"/>
          <w:sz w:val="24"/>
          <w:szCs w:val="24"/>
          <w:shd w:val="clear" w:color="auto" w:fill="FFFFFF"/>
        </w:rPr>
        <w:t>6</w:t>
      </w:r>
      <w:r>
        <w:rPr>
          <w:rFonts w:ascii="Times New Roman" w:hAnsi="Times New Roman" w:eastAsia="方正仿宋_GB2312"/>
          <w:kern w:val="0"/>
          <w:sz w:val="24"/>
          <w:szCs w:val="24"/>
          <w:shd w:val="clear" w:color="auto" w:fill="FFFFFF"/>
        </w:rPr>
        <w:t>.服务期</w:t>
      </w:r>
      <w:r>
        <w:rPr>
          <w:rFonts w:hint="eastAsia" w:ascii="Times New Roman" w:hAnsi="Times New Roman" w:eastAsia="方正仿宋_GB2312"/>
          <w:kern w:val="0"/>
          <w:sz w:val="24"/>
          <w:szCs w:val="24"/>
          <w:shd w:val="clear" w:color="auto" w:fill="FFFFFF"/>
        </w:rPr>
        <w:t>及质量保证期</w:t>
      </w:r>
      <w:r>
        <w:rPr>
          <w:rFonts w:ascii="Times New Roman" w:hAnsi="Times New Roman" w:eastAsia="方正仿宋_GB2312"/>
          <w:kern w:val="0"/>
          <w:sz w:val="24"/>
          <w:szCs w:val="24"/>
          <w:shd w:val="clear" w:color="auto" w:fill="FFFFFF"/>
        </w:rPr>
        <w:t>内乙方未在约定时间内做出服务响应的，</w:t>
      </w:r>
      <w:r>
        <w:rPr>
          <w:rFonts w:hint="eastAsia" w:ascii="Times New Roman" w:hAnsi="Times New Roman" w:eastAsia="方正仿宋_GB2312"/>
          <w:kern w:val="0"/>
          <w:sz w:val="24"/>
          <w:szCs w:val="24"/>
          <w:shd w:val="clear" w:color="auto" w:fill="FFFFFF"/>
        </w:rPr>
        <w:t>甲方有权安排第三方提供服务，由此产生的费用全部由乙方承担。因此给甲方造成损失的，乙方应当承担全部赔偿责任。</w:t>
      </w:r>
    </w:p>
    <w:p>
      <w:pPr>
        <w:spacing w:line="360" w:lineRule="auto"/>
        <w:rPr>
          <w:rFonts w:ascii="黑体" w:hAnsi="黑体" w:eastAsia="黑体" w:cs="黑体"/>
          <w:kern w:val="0"/>
          <w:sz w:val="24"/>
          <w:szCs w:val="24"/>
          <w:shd w:val="clear" w:color="auto" w:fill="FFFFFF"/>
          <w:lang w:bidi="ar"/>
        </w:rPr>
      </w:pPr>
      <w:r>
        <w:rPr>
          <w:rFonts w:hint="eastAsia" w:ascii="黑体" w:hAnsi="黑体" w:eastAsia="黑体" w:cs="黑体"/>
          <w:kern w:val="0"/>
          <w:sz w:val="24"/>
          <w:szCs w:val="24"/>
          <w:shd w:val="clear" w:color="auto" w:fill="FFFFFF"/>
          <w:lang w:bidi="ar"/>
        </w:rPr>
        <w:t>六、验收方法及标准</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乙方保证提供的服务质量应符合中华人民共和国相关标准及相应的技术规范、本次采购相关文件中的全部相关要求及乙方相关服务标准及相应的技术规范中之较高者。</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服务完毕之日起</w:t>
      </w:r>
      <w:r>
        <w:rPr>
          <w:rFonts w:hint="eastAsia" w:ascii="Times New Roman" w:hAnsi="Times New Roman" w:eastAsia="方正仿宋_GB2312"/>
          <w:kern w:val="0"/>
          <w:sz w:val="24"/>
          <w:szCs w:val="24"/>
          <w:u w:val="single"/>
          <w:shd w:val="clear" w:color="auto" w:fill="FFFFFF"/>
          <w:lang w:bidi="ar"/>
        </w:rPr>
        <w:t xml:space="preserve">    </w:t>
      </w:r>
      <w:r>
        <w:rPr>
          <w:rFonts w:ascii="Times New Roman" w:hAnsi="Times New Roman" w:eastAsia="方正仿宋_GB2312"/>
          <w:kern w:val="0"/>
          <w:sz w:val="24"/>
          <w:szCs w:val="24"/>
          <w:shd w:val="clear" w:color="auto" w:fill="FFFFFF"/>
          <w:lang w:bidi="ar"/>
        </w:rPr>
        <w:t>天</w:t>
      </w:r>
      <w:r>
        <w:rPr>
          <w:rFonts w:hint="eastAsia" w:ascii="Times New Roman" w:hAnsi="Times New Roman" w:eastAsia="方正仿宋_GB2312"/>
          <w:kern w:val="0"/>
          <w:sz w:val="24"/>
          <w:szCs w:val="24"/>
          <w:shd w:val="clear" w:color="auto" w:fill="FFFFFF"/>
          <w:lang w:bidi="ar"/>
        </w:rPr>
        <w:t>内，乙方可</w:t>
      </w:r>
      <w:r>
        <w:rPr>
          <w:rFonts w:ascii="Times New Roman" w:hAnsi="Times New Roman" w:eastAsia="方正仿宋_GB2312"/>
          <w:kern w:val="0"/>
          <w:sz w:val="24"/>
          <w:szCs w:val="24"/>
          <w:shd w:val="clear" w:color="auto" w:fill="FFFFFF"/>
          <w:lang w:bidi="ar"/>
        </w:rPr>
        <w:t>向甲方提出书面验收申请，</w:t>
      </w:r>
      <w:r>
        <w:rPr>
          <w:rFonts w:hint="eastAsia" w:ascii="Times New Roman" w:hAnsi="Times New Roman" w:eastAsia="方正仿宋_GB2312"/>
          <w:kern w:val="0"/>
          <w:sz w:val="24"/>
          <w:szCs w:val="24"/>
          <w:shd w:val="clear" w:color="auto" w:fill="FFFFFF"/>
          <w:lang w:bidi="ar"/>
        </w:rPr>
        <w:t>甲方</w:t>
      </w:r>
      <w:r>
        <w:rPr>
          <w:rFonts w:ascii="Times New Roman" w:hAnsi="Times New Roman" w:eastAsia="方正仿宋_GB2312"/>
          <w:kern w:val="0"/>
          <w:sz w:val="24"/>
          <w:szCs w:val="24"/>
          <w:shd w:val="clear" w:color="auto" w:fill="FFFFFF"/>
          <w:lang w:bidi="ar"/>
        </w:rPr>
        <w:t>与乙方以合同文本中描述的有关技术要求为准，出具验收报告。</w:t>
      </w:r>
    </w:p>
    <w:p>
      <w:pPr>
        <w:widowControl/>
        <w:shd w:val="clear" w:color="auto" w:fill="FFFFFF"/>
        <w:spacing w:line="360" w:lineRule="auto"/>
        <w:textAlignment w:val="baseline"/>
        <w:rPr>
          <w:rFonts w:ascii="黑体" w:hAnsi="黑体" w:eastAsia="黑体" w:cs="黑体"/>
          <w:bCs/>
          <w:kern w:val="0"/>
          <w:sz w:val="24"/>
          <w:szCs w:val="24"/>
          <w:shd w:val="clear" w:color="auto" w:fill="FFFFFF"/>
          <w:lang w:bidi="ar"/>
        </w:rPr>
      </w:pPr>
      <w:r>
        <w:rPr>
          <w:rFonts w:hint="eastAsia" w:ascii="黑体" w:hAnsi="黑体" w:eastAsia="黑体" w:cs="黑体"/>
          <w:bCs/>
          <w:kern w:val="0"/>
          <w:sz w:val="24"/>
          <w:szCs w:val="24"/>
          <w:shd w:val="clear" w:color="auto" w:fill="FFFFFF"/>
          <w:lang w:bidi="ar"/>
        </w:rPr>
        <w:t>七、 违约责任</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1.合同生效后，甲乙双方应按合同规定认真履约。</w:t>
      </w:r>
    </w:p>
    <w:p>
      <w:pPr>
        <w:spacing w:line="360" w:lineRule="auto"/>
        <w:ind w:firstLine="561"/>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2.</w:t>
      </w:r>
      <w:r>
        <w:rPr>
          <w:rFonts w:hint="eastAsia" w:ascii="Times New Roman" w:hAnsi="Times New Roman" w:eastAsia="方正仿宋_GB2312"/>
          <w:kern w:val="0"/>
          <w:sz w:val="24"/>
          <w:szCs w:val="24"/>
          <w:shd w:val="clear" w:color="auto" w:fill="FFFFFF"/>
          <w:lang w:bidi="ar"/>
        </w:rPr>
        <w:t>乙方若因非不可抗力因素无法按时提供服务，乙方应从要求最迟服务起始日期的次日起，每日向甲方支付未提供服务部分的服务款的【】%的违约金，逾期超过【】日的，甲方有权解除本合同。因此，给甲方造成损失的，乙方应当承担全部赔偿责任。</w:t>
      </w:r>
    </w:p>
    <w:p>
      <w:pPr>
        <w:spacing w:line="360" w:lineRule="auto"/>
        <w:ind w:firstLine="561"/>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3.除不可抗力原因外，如遇下列情况之一者，甲方有权单方面</w:t>
      </w:r>
      <w:r>
        <w:rPr>
          <w:rFonts w:hint="eastAsia" w:ascii="Times New Roman" w:hAnsi="Times New Roman" w:eastAsia="方正仿宋_GB2312"/>
          <w:kern w:val="0"/>
          <w:sz w:val="24"/>
          <w:szCs w:val="24"/>
          <w:shd w:val="clear" w:color="auto" w:fill="FFFFFF"/>
          <w:lang w:bidi="ar"/>
        </w:rPr>
        <w:t>解除</w:t>
      </w:r>
      <w:r>
        <w:rPr>
          <w:rFonts w:ascii="Times New Roman" w:hAnsi="Times New Roman" w:eastAsia="方正仿宋_GB2312"/>
          <w:kern w:val="0"/>
          <w:sz w:val="24"/>
          <w:szCs w:val="24"/>
          <w:shd w:val="clear" w:color="auto" w:fill="FFFFFF"/>
          <w:lang w:bidi="ar"/>
        </w:rPr>
        <w:t>合同，</w:t>
      </w:r>
      <w:r>
        <w:rPr>
          <w:rFonts w:hint="eastAsia" w:ascii="Times New Roman" w:hAnsi="Times New Roman" w:eastAsia="方正仿宋_GB2312"/>
          <w:kern w:val="0"/>
          <w:sz w:val="24"/>
          <w:szCs w:val="24"/>
          <w:shd w:val="clear" w:color="auto" w:fill="FFFFFF"/>
          <w:lang w:bidi="ar"/>
        </w:rPr>
        <w:t>乙方应当向甲方支付合同总价款【】%的违约金，并赔偿因此给甲方造成的全部损失:（1）合同签订后不能按合同时限要求提供服务；（2）所供服务不合格或与合同不符；（3）不能按合同履约；（4）甲方要求乙方提供服务，经甲方要求24小时内无响应，或48小时内不能提供服务方案或服务的，或者经甲方催促后仍不能整改或提供服务不达标的。</w:t>
      </w:r>
    </w:p>
    <w:p>
      <w:pPr>
        <w:spacing w:line="360" w:lineRule="auto"/>
        <w:ind w:firstLine="561"/>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4.</w:t>
      </w:r>
      <w:r>
        <w:rPr>
          <w:rFonts w:hint="eastAsia" w:ascii="Times New Roman" w:hAnsi="Times New Roman" w:eastAsia="方正仿宋_GB2312"/>
          <w:kern w:val="0"/>
          <w:sz w:val="24"/>
          <w:szCs w:val="24"/>
          <w:shd w:val="clear" w:color="auto" w:fill="FFFFFF"/>
          <w:lang w:bidi="ar"/>
        </w:rPr>
        <w:t>乙方对所供服务出现的问题推托、拖延，未在约定时间内做出服务响应的，每逾期一日按合同总金额【】%支付违约金。</w:t>
      </w:r>
    </w:p>
    <w:p>
      <w:pPr>
        <w:spacing w:line="360" w:lineRule="auto"/>
        <w:ind w:firstLine="561"/>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5</w:t>
      </w:r>
      <w:r>
        <w:rPr>
          <w:rFonts w:ascii="Times New Roman" w:hAnsi="Times New Roman" w:eastAsia="方正仿宋_GB2312"/>
          <w:kern w:val="0"/>
          <w:sz w:val="24"/>
          <w:szCs w:val="24"/>
          <w:shd w:val="clear" w:color="auto" w:fill="FFFFFF"/>
          <w:lang w:bidi="ar"/>
        </w:rPr>
        <w:t>.</w:t>
      </w:r>
      <w:r>
        <w:rPr>
          <w:rFonts w:hint="eastAsia" w:ascii="Times New Roman" w:hAnsi="Times New Roman" w:eastAsia="方正仿宋_GB2312"/>
          <w:kern w:val="0"/>
          <w:sz w:val="24"/>
          <w:szCs w:val="24"/>
          <w:shd w:val="clear" w:color="auto" w:fill="FFFFFF"/>
          <w:lang w:bidi="ar"/>
        </w:rPr>
        <w:t>合同履约过程中，甲方应积极配合乙方进行验收以及验收前的外围配套等工作。</w:t>
      </w:r>
    </w:p>
    <w:p>
      <w:pPr>
        <w:pStyle w:val="25"/>
        <w:ind w:left="0" w:leftChars="0"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6.本合同履行过程中，任意一方未及时履行相关义务，经守约方催告后仍未履行的，守约方可于催告期满后解除本合同，由此产生的相应损失，由违约方承担。</w:t>
      </w:r>
    </w:p>
    <w:p>
      <w:pPr>
        <w:pStyle w:val="25"/>
        <w:ind w:left="0" w:leftChars="0"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7未经甲方许可，乙方不得擅自将本合同约定的全部或部分义务转让给第三方，否则甲方有权解除本合同，乙方应当向甲方支付本合同总价款【】%的违约金。同时，给甲方造成损失的，乙方应承担全部赔偿责任。</w:t>
      </w:r>
    </w:p>
    <w:p>
      <w:pPr>
        <w:pStyle w:val="25"/>
        <w:ind w:left="0" w:leftChars="0"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8乙方应当对本合同履行过程中获取的甲方相关数据及资料承担保密义务，保密期限为长期。乙方违反本合同约定的保密义务的，应当向甲方承担本合同总价款【】%的违约金并立即采取补救措施。同时，甲方有权解除本合同。同时，给甲方造成损失的，乙方应当承担全部赔偿责任。</w:t>
      </w:r>
    </w:p>
    <w:p>
      <w:pPr>
        <w:widowControl/>
        <w:shd w:val="clear" w:color="auto" w:fill="FFFFFF"/>
        <w:spacing w:line="360" w:lineRule="auto"/>
        <w:textAlignment w:val="baseline"/>
        <w:rPr>
          <w:rFonts w:ascii="黑体" w:hAnsi="黑体" w:eastAsia="黑体" w:cs="黑体"/>
          <w:bCs/>
          <w:kern w:val="0"/>
          <w:sz w:val="24"/>
          <w:szCs w:val="24"/>
          <w:shd w:val="clear" w:color="auto" w:fill="FFFFFF"/>
          <w:lang w:bidi="ar"/>
        </w:rPr>
      </w:pPr>
      <w:r>
        <w:rPr>
          <w:rFonts w:hint="eastAsia" w:ascii="黑体" w:hAnsi="黑体" w:eastAsia="黑体" w:cs="黑体"/>
          <w:bCs/>
          <w:kern w:val="0"/>
          <w:sz w:val="24"/>
          <w:szCs w:val="24"/>
          <w:shd w:val="clear" w:color="auto" w:fill="FFFFFF"/>
          <w:lang w:bidi="ar"/>
        </w:rPr>
        <w:t>八、不可抗力</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1.不可抗力是指本合同生效后，发生合同订立时不能预见、不能避免，并不能克服的客观情况，如地震、台风、水灾、战争等，致使直接影响本合同的履行或不能按约定的条件履行。</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2.发生不可抗力的一方应立即通知对方，并在十五天内提供不可抗力的详情及将有关证明文件送交对方。</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3.发生不可抗力事件时，甲乙双方应协商以寻找合理的解决方法，双方不可放任不可抗力事件损害后果。</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4.如不可抗力事件持续三十天时，甲乙双方应友好协商解决本合同是否继续履行或终止的问题。</w:t>
      </w:r>
    </w:p>
    <w:p>
      <w:pPr>
        <w:spacing w:line="360" w:lineRule="auto"/>
        <w:rPr>
          <w:rFonts w:ascii="黑体" w:hAnsi="黑体" w:eastAsia="黑体" w:cs="黑体"/>
          <w:kern w:val="0"/>
          <w:sz w:val="24"/>
          <w:szCs w:val="24"/>
          <w:shd w:val="clear" w:color="auto" w:fill="FFFFFF"/>
          <w:lang w:bidi="ar"/>
        </w:rPr>
      </w:pPr>
      <w:r>
        <w:rPr>
          <w:rFonts w:hint="eastAsia" w:ascii="黑体" w:hAnsi="黑体" w:eastAsia="黑体" w:cs="黑体"/>
          <w:kern w:val="0"/>
          <w:sz w:val="24"/>
          <w:szCs w:val="24"/>
          <w:shd w:val="clear" w:color="auto" w:fill="FFFFFF"/>
          <w:lang w:bidi="ar"/>
        </w:rPr>
        <w:t>九、合同生效与终止</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1.本合同自甲乙双方签字且盖章之日起生效。本合同双方法定代表人或委托代理人签字并加盖单位公章之日即为本合同的生效日期。如双方签字日期不一致时，以最后签字方的签字日期为合同的生效日期。</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2.保密条款、争议解决和双方未了的债权和债务不受合同期满的影响，并且守约方有权提出索赔。</w:t>
      </w:r>
    </w:p>
    <w:p>
      <w:pPr>
        <w:spacing w:line="360" w:lineRule="auto"/>
        <w:ind w:firstLine="480" w:firstLineChars="200"/>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3.如乙方未能全面履行合同所有条款，甲方有权单方面解除合同，不退还乙方所交履约保证金（如有），以此作为乙方对甲方的赔偿，并保留追究相关责任的权利。</w:t>
      </w:r>
    </w:p>
    <w:p>
      <w:pPr>
        <w:widowControl/>
        <w:shd w:val="clear" w:color="auto" w:fill="FFFFFF"/>
        <w:spacing w:line="360" w:lineRule="auto"/>
        <w:textAlignment w:val="baseline"/>
        <w:rPr>
          <w:rFonts w:ascii="黑体" w:hAnsi="黑体" w:eastAsia="黑体" w:cs="黑体"/>
          <w:bCs/>
          <w:sz w:val="24"/>
          <w:szCs w:val="24"/>
        </w:rPr>
      </w:pPr>
      <w:r>
        <w:rPr>
          <w:rFonts w:hint="eastAsia" w:ascii="黑体" w:hAnsi="黑体" w:eastAsia="黑体" w:cs="黑体"/>
          <w:bCs/>
          <w:kern w:val="0"/>
          <w:sz w:val="24"/>
          <w:szCs w:val="24"/>
          <w:shd w:val="clear" w:color="auto" w:fill="FFFFFF"/>
          <w:lang w:bidi="ar"/>
        </w:rPr>
        <w:t>十、 解决争议的方法</w:t>
      </w:r>
    </w:p>
    <w:p>
      <w:pPr>
        <w:widowControl/>
        <w:shd w:val="clear" w:color="auto" w:fill="FFFFFF"/>
        <w:spacing w:line="360" w:lineRule="auto"/>
        <w:ind w:firstLine="562"/>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 本合同在履行过程中发生的争议</w:t>
      </w:r>
      <w:r>
        <w:rPr>
          <w:rFonts w:hint="eastAsia" w:ascii="Times New Roman" w:hAnsi="Times New Roman" w:eastAsia="方正仿宋_GB2312"/>
          <w:kern w:val="0"/>
          <w:sz w:val="24"/>
          <w:szCs w:val="24"/>
          <w:shd w:val="clear" w:color="auto" w:fill="FFFFFF"/>
          <w:lang w:bidi="ar"/>
        </w:rPr>
        <w:t>，</w:t>
      </w:r>
      <w:r>
        <w:rPr>
          <w:rFonts w:ascii="Times New Roman" w:hAnsi="Times New Roman" w:eastAsia="方正仿宋_GB2312"/>
          <w:kern w:val="0"/>
          <w:sz w:val="24"/>
          <w:szCs w:val="24"/>
          <w:shd w:val="clear" w:color="auto" w:fill="FFFFFF"/>
          <w:lang w:bidi="ar"/>
        </w:rPr>
        <w:t>本合同在执行过程中发生争执，双方应协商解决，协商不成时，任何一方均可向甲方所在地有管辖权的人民法院提起诉讼。</w:t>
      </w:r>
    </w:p>
    <w:p>
      <w:pPr>
        <w:widowControl/>
        <w:numPr>
          <w:ilvl w:val="255"/>
          <w:numId w:val="0"/>
        </w:numPr>
        <w:shd w:val="clear" w:color="auto" w:fill="FFFFFF"/>
        <w:spacing w:line="360" w:lineRule="auto"/>
        <w:textAlignment w:val="baseline"/>
        <w:rPr>
          <w:rFonts w:ascii="黑体" w:hAnsi="黑体" w:eastAsia="黑体" w:cs="黑体"/>
          <w:bCs/>
          <w:kern w:val="0"/>
          <w:sz w:val="24"/>
          <w:szCs w:val="24"/>
          <w:shd w:val="clear" w:color="auto" w:fill="FFFFFF"/>
          <w:lang w:bidi="ar"/>
        </w:rPr>
      </w:pPr>
      <w:r>
        <w:rPr>
          <w:rFonts w:hint="eastAsia" w:ascii="黑体" w:hAnsi="黑体" w:eastAsia="黑体" w:cs="黑体"/>
          <w:bCs/>
          <w:kern w:val="0"/>
          <w:sz w:val="24"/>
          <w:szCs w:val="24"/>
          <w:shd w:val="clear" w:color="auto" w:fill="FFFFFF"/>
          <w:lang w:bidi="ar"/>
        </w:rPr>
        <w:t>十一 其他规定</w:t>
      </w:r>
    </w:p>
    <w:p>
      <w:pPr>
        <w:widowControl/>
        <w:shd w:val="clear" w:color="auto" w:fill="FFFFFF"/>
        <w:spacing w:line="360" w:lineRule="auto"/>
        <w:ind w:firstLine="562"/>
        <w:jc w:val="left"/>
        <w:textAlignment w:val="baseline"/>
        <w:rPr>
          <w:rFonts w:ascii="Times New Roman" w:hAnsi="Times New Roman" w:eastAsia="方正仿宋_GB2312"/>
          <w:kern w:val="0"/>
          <w:sz w:val="24"/>
          <w:szCs w:val="24"/>
          <w:shd w:val="clear" w:color="auto" w:fill="FFFFFF"/>
          <w:lang w:bidi="ar"/>
        </w:rPr>
      </w:pPr>
      <w:r>
        <w:rPr>
          <w:rFonts w:ascii="Times New Roman" w:hAnsi="Times New Roman" w:eastAsia="方正仿宋_GB2312"/>
          <w:kern w:val="0"/>
          <w:sz w:val="24"/>
          <w:szCs w:val="24"/>
          <w:shd w:val="clear" w:color="auto" w:fill="FFFFFF"/>
          <w:lang w:bidi="ar"/>
        </w:rPr>
        <w:t> 1</w:t>
      </w:r>
      <w:r>
        <w:rPr>
          <w:rFonts w:hint="eastAsia" w:ascii="Times New Roman" w:hAnsi="Times New Roman" w:eastAsia="方正仿宋_GB2312"/>
          <w:kern w:val="0"/>
          <w:sz w:val="24"/>
          <w:szCs w:val="24"/>
          <w:shd w:val="clear" w:color="auto" w:fill="FFFFFF"/>
          <w:lang w:bidi="ar"/>
        </w:rPr>
        <w:t>.合同的</w:t>
      </w:r>
      <w:r>
        <w:rPr>
          <w:rFonts w:ascii="Times New Roman" w:hAnsi="Times New Roman" w:eastAsia="方正仿宋_GB2312"/>
          <w:kern w:val="0"/>
          <w:sz w:val="24"/>
          <w:szCs w:val="24"/>
          <w:shd w:val="clear" w:color="auto" w:fill="FFFFFF"/>
          <w:lang w:bidi="ar"/>
        </w:rPr>
        <w:t>主要条款应当与招标文件和</w:t>
      </w:r>
      <w:r>
        <w:rPr>
          <w:rFonts w:hint="eastAsia" w:ascii="Times New Roman" w:hAnsi="Times New Roman" w:eastAsia="方正仿宋_GB2312"/>
          <w:kern w:val="0"/>
          <w:sz w:val="24"/>
          <w:szCs w:val="24"/>
          <w:shd w:val="clear" w:color="auto" w:fill="FFFFFF"/>
          <w:lang w:bidi="ar"/>
        </w:rPr>
        <w:t>乙方</w:t>
      </w:r>
      <w:r>
        <w:rPr>
          <w:rFonts w:ascii="Times New Roman" w:hAnsi="Times New Roman" w:eastAsia="方正仿宋_GB2312"/>
          <w:kern w:val="0"/>
          <w:sz w:val="24"/>
          <w:szCs w:val="24"/>
          <w:shd w:val="clear" w:color="auto" w:fill="FFFFFF"/>
          <w:lang w:bidi="ar"/>
        </w:rPr>
        <w:t>的投标文件的内容</w:t>
      </w:r>
      <w:r>
        <w:rPr>
          <w:rFonts w:hint="eastAsia" w:ascii="Times New Roman" w:hAnsi="Times New Roman" w:eastAsia="方正仿宋_GB2312"/>
          <w:kern w:val="0"/>
          <w:sz w:val="24"/>
          <w:szCs w:val="24"/>
          <w:shd w:val="clear" w:color="auto" w:fill="FFFFFF"/>
          <w:lang w:bidi="ar"/>
        </w:rPr>
        <w:t>保持</w:t>
      </w:r>
      <w:r>
        <w:rPr>
          <w:rFonts w:ascii="Times New Roman" w:hAnsi="Times New Roman" w:eastAsia="方正仿宋_GB2312"/>
          <w:kern w:val="0"/>
          <w:sz w:val="24"/>
          <w:szCs w:val="24"/>
          <w:shd w:val="clear" w:color="auto" w:fill="FFFFFF"/>
          <w:lang w:bidi="ar"/>
        </w:rPr>
        <w:t>一致</w:t>
      </w:r>
      <w:r>
        <w:rPr>
          <w:rFonts w:hint="eastAsia" w:ascii="Times New Roman" w:hAnsi="Times New Roman" w:eastAsia="方正仿宋_GB2312"/>
          <w:kern w:val="0"/>
          <w:sz w:val="24"/>
          <w:szCs w:val="24"/>
          <w:shd w:val="clear" w:color="auto" w:fill="FFFFFF"/>
          <w:lang w:bidi="ar"/>
        </w:rPr>
        <w:t>，双方</w:t>
      </w:r>
      <w:r>
        <w:rPr>
          <w:rFonts w:ascii="Times New Roman" w:hAnsi="Times New Roman" w:eastAsia="方正仿宋_GB2312"/>
          <w:kern w:val="0"/>
          <w:sz w:val="24"/>
          <w:szCs w:val="24"/>
          <w:shd w:val="clear" w:color="auto" w:fill="FFFFFF"/>
          <w:lang w:bidi="ar"/>
        </w:rPr>
        <w:t>不得再行订立背离合同实质性内容的其他协议”</w:t>
      </w:r>
      <w:r>
        <w:rPr>
          <w:rFonts w:hint="eastAsia" w:ascii="Times New Roman" w:hAnsi="Times New Roman" w:eastAsia="方正仿宋_GB2312"/>
          <w:kern w:val="0"/>
          <w:sz w:val="24"/>
          <w:szCs w:val="24"/>
          <w:shd w:val="clear" w:color="auto" w:fill="FFFFFF"/>
          <w:lang w:bidi="ar"/>
        </w:rPr>
        <w:t>。</w:t>
      </w:r>
    </w:p>
    <w:p>
      <w:pPr>
        <w:widowControl/>
        <w:shd w:val="clear" w:color="auto" w:fill="FFFFFF"/>
        <w:spacing w:line="360" w:lineRule="auto"/>
        <w:ind w:firstLine="562"/>
        <w:jc w:val="left"/>
        <w:rPr>
          <w:sz w:val="24"/>
          <w:szCs w:val="24"/>
        </w:rPr>
      </w:pPr>
      <w:r>
        <w:rPr>
          <w:rFonts w:ascii="Times New Roman" w:hAnsi="Times New Roman" w:eastAsia="方正仿宋_GB2312"/>
          <w:kern w:val="0"/>
          <w:sz w:val="24"/>
          <w:szCs w:val="24"/>
          <w:shd w:val="clear" w:color="auto" w:fill="FFFFFF"/>
          <w:lang w:bidi="ar"/>
        </w:rPr>
        <w:t>2.  双方约定的其它事项（双方根据相关法律法规的规定和合同性质的需要协商一致确定的条款，如保密条款、安全条款、廉洁条款等）。</w:t>
      </w:r>
    </w:p>
    <w:p>
      <w:pPr>
        <w:widowControl/>
        <w:shd w:val="clear" w:color="auto" w:fill="FFFFFF"/>
        <w:spacing w:line="360" w:lineRule="auto"/>
        <w:ind w:firstLine="480" w:firstLineChars="200"/>
        <w:jc w:val="left"/>
        <w:textAlignment w:val="baseline"/>
        <w:rPr>
          <w:rFonts w:ascii="Times New Roman" w:hAnsi="Times New Roman" w:eastAsia="方正仿宋_GB2312"/>
          <w:kern w:val="0"/>
          <w:sz w:val="24"/>
          <w:szCs w:val="24"/>
          <w:shd w:val="clear" w:color="auto" w:fill="FFFFFF"/>
          <w:lang w:bidi="ar"/>
        </w:rPr>
      </w:pPr>
      <w:r>
        <w:rPr>
          <w:rFonts w:hint="eastAsia" w:ascii="Times New Roman" w:hAnsi="Times New Roman" w:eastAsia="方正仿宋_GB2312"/>
          <w:kern w:val="0"/>
          <w:sz w:val="24"/>
          <w:szCs w:val="24"/>
          <w:shd w:val="clear" w:color="auto" w:fill="FFFFFF"/>
          <w:lang w:bidi="ar"/>
        </w:rPr>
        <w:t>3.</w:t>
      </w:r>
      <w:r>
        <w:rPr>
          <w:rFonts w:ascii="Times New Roman" w:hAnsi="Times New Roman" w:eastAsia="方正仿宋_GB2312"/>
          <w:kern w:val="0"/>
          <w:sz w:val="24"/>
          <w:szCs w:val="24"/>
          <w:shd w:val="clear" w:color="auto" w:fill="FFFFFF"/>
          <w:lang w:bidi="ar"/>
        </w:rPr>
        <w:t>本合同一式6份，甲方执4份，乙方执2份，</w:t>
      </w:r>
      <w:r>
        <w:rPr>
          <w:rFonts w:hint="eastAsia" w:ascii="Times New Roman" w:hAnsi="Times New Roman" w:eastAsia="方正仿宋_GB2312"/>
          <w:kern w:val="0"/>
          <w:sz w:val="24"/>
          <w:szCs w:val="24"/>
          <w:shd w:val="clear" w:color="auto" w:fill="FFFFFF"/>
          <w:lang w:bidi="ar"/>
        </w:rPr>
        <w:t>具有同等法律效力。</w:t>
      </w:r>
    </w:p>
    <w:p>
      <w:pPr>
        <w:widowControl/>
        <w:shd w:val="clear" w:color="auto" w:fill="FFFFFF"/>
        <w:spacing w:line="360" w:lineRule="auto"/>
        <w:ind w:firstLine="562"/>
        <w:jc w:val="left"/>
        <w:textAlignment w:val="baseline"/>
        <w:rPr>
          <w:rFonts w:ascii="Times New Roman" w:hAnsi="Times New Roman" w:eastAsia="方正仿宋_GB2312"/>
          <w:sz w:val="24"/>
          <w:szCs w:val="24"/>
        </w:rPr>
      </w:pPr>
      <w:r>
        <w:rPr>
          <w:rFonts w:hint="eastAsia" w:ascii="Times New Roman" w:hAnsi="Times New Roman" w:eastAsia="方正仿宋_GB2312"/>
          <w:sz w:val="24"/>
          <w:szCs w:val="24"/>
        </w:rPr>
        <w:t>4.</w:t>
      </w:r>
      <w:r>
        <w:rPr>
          <w:rFonts w:ascii="Times New Roman" w:hAnsi="Times New Roman" w:eastAsia="方正仿宋_GB2312"/>
          <w:kern w:val="0"/>
          <w:sz w:val="24"/>
          <w:szCs w:val="24"/>
          <w:shd w:val="clear" w:color="auto" w:fill="FFFFFF"/>
          <w:lang w:bidi="ar"/>
        </w:rPr>
        <w:t>合同的附件为本合同不可分割的组成部分，与本合同具有同等的法律效力。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甲方（盖章）：</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         乙方（盖章）：</w:t>
      </w:r>
      <w:r>
        <w:rPr>
          <w:rFonts w:ascii="Times New Roman" w:hAnsi="Times New Roman" w:eastAsia="方正仿宋_GB2312"/>
          <w:kern w:val="0"/>
          <w:sz w:val="24"/>
          <w:szCs w:val="24"/>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法定代表人（委托代理人）       法定代表人（委托代理人）</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（签字）：</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 xml:space="preserve">       </w:t>
      </w:r>
      <w:r>
        <w:rPr>
          <w:rFonts w:hint="eastAsia" w:ascii="Times New Roman" w:hAnsi="Times New Roman" w:eastAsia="方正仿宋_GB2312"/>
          <w:kern w:val="0"/>
          <w:sz w:val="24"/>
          <w:szCs w:val="24"/>
          <w:shd w:val="clear" w:color="auto" w:fill="FFFFFF"/>
          <w:lang w:bidi="ar"/>
        </w:rPr>
        <w:t xml:space="preserve">     </w:t>
      </w:r>
      <w:r>
        <w:rPr>
          <w:rFonts w:ascii="Times New Roman" w:hAnsi="Times New Roman" w:eastAsia="方正仿宋_GB2312"/>
          <w:kern w:val="0"/>
          <w:sz w:val="24"/>
          <w:szCs w:val="24"/>
          <w:shd w:val="clear" w:color="auto" w:fill="FFFFFF"/>
          <w:lang w:bidi="ar"/>
        </w:rPr>
        <w:t>（签字）：</w:t>
      </w:r>
      <w:r>
        <w:rPr>
          <w:rFonts w:ascii="Times New Roman" w:hAnsi="Times New Roman" w:eastAsia="方正仿宋_GB2312"/>
          <w:kern w:val="0"/>
          <w:sz w:val="24"/>
          <w:szCs w:val="24"/>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联 系 人：</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         联 系 人：</w:t>
      </w:r>
      <w:r>
        <w:rPr>
          <w:rFonts w:ascii="Times New Roman" w:hAnsi="Times New Roman" w:eastAsia="方正仿宋_GB2312"/>
          <w:kern w:val="0"/>
          <w:sz w:val="24"/>
          <w:szCs w:val="24"/>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联系方式：</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         联系方式：</w:t>
      </w:r>
      <w:r>
        <w:rPr>
          <w:rFonts w:ascii="Times New Roman" w:hAnsi="Times New Roman" w:eastAsia="方正仿宋_GB2312"/>
          <w:kern w:val="0"/>
          <w:sz w:val="24"/>
          <w:szCs w:val="24"/>
          <w:u w:val="single"/>
          <w:shd w:val="clear" w:color="auto" w:fill="FFFFFF"/>
          <w:lang w:bidi="ar"/>
        </w:rPr>
        <w:t>                 </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签订时间： </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年</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月</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日      签订时间： </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年</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月</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日</w:t>
      </w:r>
    </w:p>
    <w:p>
      <w:pPr>
        <w:widowControl/>
        <w:shd w:val="clear" w:color="auto" w:fill="FFFFFF"/>
        <w:spacing w:line="360" w:lineRule="auto"/>
        <w:jc w:val="left"/>
        <w:textAlignment w:val="baseline"/>
        <w:rPr>
          <w:rFonts w:ascii="Times New Roman" w:hAnsi="Times New Roman" w:eastAsia="方正仿宋_GB2312"/>
          <w:sz w:val="24"/>
          <w:szCs w:val="24"/>
        </w:rPr>
      </w:pPr>
      <w:r>
        <w:rPr>
          <w:rFonts w:ascii="Times New Roman" w:hAnsi="Times New Roman" w:eastAsia="方正仿宋_GB2312"/>
          <w:kern w:val="0"/>
          <w:sz w:val="24"/>
          <w:szCs w:val="24"/>
          <w:shd w:val="clear" w:color="auto" w:fill="FFFFFF"/>
          <w:lang w:bidi="ar"/>
        </w:rPr>
        <w:t>签订地点：</w:t>
      </w:r>
      <w:r>
        <w:rPr>
          <w:rFonts w:ascii="Times New Roman" w:hAnsi="Times New Roman" w:eastAsia="方正仿宋_GB2312"/>
          <w:kern w:val="0"/>
          <w:sz w:val="24"/>
          <w:szCs w:val="24"/>
          <w:u w:val="single"/>
          <w:shd w:val="clear" w:color="auto" w:fill="FFFFFF"/>
          <w:lang w:bidi="ar"/>
        </w:rPr>
        <w:t>                   </w:t>
      </w:r>
      <w:r>
        <w:rPr>
          <w:rFonts w:ascii="Times New Roman" w:hAnsi="Times New Roman" w:eastAsia="方正仿宋_GB2312"/>
          <w:kern w:val="0"/>
          <w:sz w:val="24"/>
          <w:szCs w:val="24"/>
          <w:shd w:val="clear" w:color="auto" w:fill="FFFFFF"/>
          <w:lang w:bidi="ar"/>
        </w:rPr>
        <w:t>         签订地点：</w:t>
      </w:r>
      <w:r>
        <w:rPr>
          <w:rFonts w:ascii="Times New Roman" w:hAnsi="Times New Roman" w:eastAsia="方正仿宋_GB2312"/>
          <w:kern w:val="0"/>
          <w:sz w:val="24"/>
          <w:szCs w:val="24"/>
          <w:u w:val="single"/>
          <w:shd w:val="clear" w:color="auto" w:fill="FFFFFF"/>
          <w:lang w:bidi="ar"/>
        </w:rPr>
        <w:t>                </w:t>
      </w:r>
    </w:p>
    <w:p>
      <w:pPr>
        <w:pStyle w:val="82"/>
        <w:rPr>
          <w:rFonts w:hint="default"/>
        </w:rPr>
      </w:pPr>
      <w:r>
        <w:rPr>
          <w:sz w:val="24"/>
          <w:szCs w:val="24"/>
        </w:rPr>
        <w:br w:type="page"/>
      </w:r>
    </w:p>
    <w:p>
      <w:pPr>
        <w:pStyle w:val="2"/>
        <w:rPr>
          <w:rFonts w:ascii="宋体" w:hAnsi="宋体" w:cs="宋体"/>
        </w:rPr>
      </w:pPr>
      <w:bookmarkStart w:id="103" w:name="_Toc13426"/>
      <w:r>
        <w:rPr>
          <w:rFonts w:hint="eastAsia"/>
        </w:rPr>
        <w:t>第七部分 磋商响应文件格式</w:t>
      </w:r>
      <w:bookmarkEnd w:id="96"/>
      <w:bookmarkEnd w:id="97"/>
      <w:bookmarkEnd w:id="98"/>
      <w:bookmarkEnd w:id="103"/>
    </w:p>
    <w:p>
      <w:pPr>
        <w:adjustRightInd w:val="0"/>
        <w:snapToGrid w:val="0"/>
        <w:spacing w:line="400" w:lineRule="exact"/>
        <w:jc w:val="left"/>
        <w:rPr>
          <w:rFonts w:ascii="宋体" w:hAnsi="宋体" w:cs="宋体"/>
          <w:b/>
          <w:w w:val="120"/>
          <w:sz w:val="28"/>
          <w:szCs w:val="28"/>
        </w:rPr>
      </w:pPr>
      <w:bookmarkStart w:id="104" w:name="_Toc24239"/>
      <w:bookmarkStart w:id="105" w:name="_Toc7459"/>
    </w:p>
    <w:p>
      <w:pPr>
        <w:adjustRightInd w:val="0"/>
        <w:snapToGrid w:val="0"/>
        <w:spacing w:line="400" w:lineRule="exact"/>
        <w:jc w:val="left"/>
        <w:rPr>
          <w:rFonts w:ascii="宋体" w:hAnsi="宋体" w:cs="宋体"/>
          <w:b/>
          <w:w w:val="120"/>
          <w:sz w:val="28"/>
          <w:szCs w:val="28"/>
        </w:rPr>
      </w:pPr>
      <w:r>
        <w:rPr>
          <w:rFonts w:hint="eastAsia" w:ascii="宋体" w:hAnsi="宋体" w:cs="宋体"/>
          <w:b/>
          <w:w w:val="120"/>
          <w:sz w:val="28"/>
          <w:szCs w:val="28"/>
        </w:rPr>
        <w:t>项目编号：SXWZ2025ZB-ETYY-127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西安市儿童医院西门院区门诊楼及住院二部楼顶发光字拆除设计安装项目</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响</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应</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ascii="宋体" w:hAnsi="宋体" w:cs="宋体"/>
          <w:sz w:val="32"/>
          <w:szCs w:val="32"/>
          <w:lang w:val="zh-CN"/>
        </w:rPr>
      </w:pPr>
      <w:r>
        <w:rPr>
          <w:rFonts w:hint="eastAsia" w:ascii="宋体" w:hAnsi="宋体" w:cs="宋体"/>
          <w:b/>
          <w:sz w:val="52"/>
          <w:szCs w:val="52"/>
        </w:rPr>
        <w:t>件</w:t>
      </w: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pageBreakBefore/>
        <w:ind w:firstLine="1004" w:firstLineChars="200"/>
        <w:jc w:val="center"/>
        <w:rPr>
          <w:rFonts w:ascii="宋体" w:hAnsi="宋体" w:cs="宋体"/>
          <w:b/>
          <w:sz w:val="50"/>
        </w:rPr>
      </w:pPr>
      <w:r>
        <w:rPr>
          <w:rFonts w:hint="eastAsia" w:ascii="宋体" w:hAnsi="宋体" w:cs="宋体"/>
          <w:b/>
          <w:sz w:val="50"/>
        </w:rPr>
        <w:t>目录</w:t>
      </w:r>
    </w:p>
    <w:p>
      <w:pPr>
        <w:ind w:firstLine="1004" w:firstLineChars="200"/>
        <w:jc w:val="left"/>
        <w:rPr>
          <w:rFonts w:ascii="宋体" w:hAnsi="宋体" w:cs="宋体"/>
          <w:b/>
          <w:sz w:val="50"/>
        </w:rPr>
      </w:pPr>
    </w:p>
    <w:p>
      <w:pPr>
        <w:pStyle w:val="12"/>
        <w:snapToGrid w:val="0"/>
        <w:spacing w:line="480" w:lineRule="auto"/>
        <w:ind w:firstLine="562" w:firstLineChars="200"/>
        <w:jc w:val="left"/>
        <w:rPr>
          <w:rFonts w:hAnsi="宋体" w:cs="宋体"/>
          <w:b/>
          <w:bCs/>
          <w:sz w:val="28"/>
          <w:szCs w:val="28"/>
        </w:rPr>
      </w:pPr>
      <w:bookmarkStart w:id="106" w:name="_Toc2536"/>
      <w:bookmarkStart w:id="107" w:name="_Toc2272"/>
      <w:bookmarkStart w:id="108" w:name="_Toc27653"/>
      <w:r>
        <w:rPr>
          <w:rFonts w:hint="eastAsia" w:hAnsi="宋体" w:cs="宋体"/>
          <w:b/>
          <w:bCs/>
          <w:sz w:val="28"/>
          <w:szCs w:val="28"/>
        </w:rPr>
        <w:t>第一章    响应函</w:t>
      </w:r>
    </w:p>
    <w:p>
      <w:pPr>
        <w:snapToGrid w:val="0"/>
        <w:spacing w:line="480" w:lineRule="auto"/>
        <w:ind w:firstLine="562" w:firstLineChars="200"/>
        <w:jc w:val="left"/>
        <w:rPr>
          <w:rFonts w:hAnsi="宋体" w:cs="宋体"/>
          <w:b/>
          <w:kern w:val="0"/>
          <w:sz w:val="28"/>
          <w:szCs w:val="28"/>
        </w:rPr>
      </w:pPr>
      <w:r>
        <w:rPr>
          <w:rFonts w:hint="eastAsia" w:ascii="宋体" w:hAnsi="宋体" w:cs="宋体"/>
          <w:b/>
          <w:sz w:val="28"/>
          <w:szCs w:val="28"/>
        </w:rPr>
        <w:t>第二</w:t>
      </w:r>
      <w:r>
        <w:rPr>
          <w:rFonts w:hint="eastAsia" w:hAnsi="宋体" w:cs="宋体"/>
          <w:b/>
          <w:bCs/>
          <w:sz w:val="28"/>
          <w:szCs w:val="28"/>
        </w:rPr>
        <w:t>章</w:t>
      </w:r>
      <w:r>
        <w:rPr>
          <w:rFonts w:hint="eastAsia" w:ascii="宋体" w:hAnsi="宋体" w:cs="宋体"/>
          <w:b/>
          <w:sz w:val="28"/>
          <w:szCs w:val="28"/>
        </w:rPr>
        <w:t xml:space="preserve">    磋商一览表</w:t>
      </w:r>
    </w:p>
    <w:p>
      <w:pPr>
        <w:pStyle w:val="12"/>
        <w:snapToGrid w:val="0"/>
        <w:spacing w:line="480" w:lineRule="auto"/>
        <w:ind w:firstLine="562" w:firstLineChars="200"/>
        <w:jc w:val="left"/>
        <w:rPr>
          <w:rFonts w:hAnsi="宋体" w:cs="宋体"/>
          <w:b/>
          <w:kern w:val="0"/>
          <w:sz w:val="28"/>
          <w:szCs w:val="28"/>
        </w:rPr>
      </w:pPr>
      <w:r>
        <w:rPr>
          <w:rFonts w:hint="eastAsia" w:hAnsi="宋体" w:cs="宋体"/>
          <w:b/>
          <w:kern w:val="0"/>
          <w:sz w:val="28"/>
          <w:szCs w:val="28"/>
        </w:rPr>
        <w:t>第三章    分项报价表</w:t>
      </w:r>
    </w:p>
    <w:p>
      <w:pPr>
        <w:pStyle w:val="12"/>
        <w:snapToGrid w:val="0"/>
        <w:spacing w:line="480" w:lineRule="auto"/>
        <w:ind w:firstLine="562" w:firstLineChars="200"/>
        <w:jc w:val="left"/>
        <w:rPr>
          <w:rFonts w:hAnsi="宋体" w:cs="宋体"/>
          <w:b/>
          <w:kern w:val="0"/>
          <w:sz w:val="28"/>
          <w:szCs w:val="28"/>
        </w:rPr>
      </w:pPr>
      <w:r>
        <w:rPr>
          <w:rFonts w:hint="eastAsia" w:hAnsi="宋体" w:cs="宋体"/>
          <w:b/>
          <w:kern w:val="0"/>
          <w:sz w:val="28"/>
          <w:szCs w:val="28"/>
        </w:rPr>
        <w:t>第四</w:t>
      </w:r>
      <w:r>
        <w:rPr>
          <w:rFonts w:hint="eastAsia" w:hAnsi="宋体" w:cs="宋体"/>
          <w:b/>
          <w:bCs/>
          <w:sz w:val="28"/>
          <w:szCs w:val="28"/>
        </w:rPr>
        <w:t>章</w:t>
      </w:r>
      <w:r>
        <w:rPr>
          <w:rFonts w:hint="eastAsia" w:hAnsi="宋体" w:cs="宋体"/>
          <w:b/>
          <w:kern w:val="0"/>
          <w:sz w:val="28"/>
          <w:szCs w:val="28"/>
        </w:rPr>
        <w:t xml:space="preserve">    商务和技术响应偏离表</w:t>
      </w:r>
    </w:p>
    <w:p>
      <w:pPr>
        <w:pStyle w:val="12"/>
        <w:snapToGrid w:val="0"/>
        <w:spacing w:line="480" w:lineRule="auto"/>
        <w:ind w:firstLine="562" w:firstLineChars="200"/>
        <w:jc w:val="left"/>
        <w:rPr>
          <w:rFonts w:hAnsi="宋体" w:cs="宋体"/>
          <w:b/>
          <w:bCs/>
          <w:sz w:val="28"/>
          <w:szCs w:val="28"/>
        </w:rPr>
      </w:pPr>
      <w:r>
        <w:rPr>
          <w:rFonts w:hint="eastAsia" w:hAnsi="宋体" w:cs="宋体"/>
          <w:b/>
          <w:bCs/>
          <w:sz w:val="28"/>
          <w:szCs w:val="28"/>
        </w:rPr>
        <w:t>第五章    供应商资质要求</w:t>
      </w:r>
    </w:p>
    <w:p>
      <w:pPr>
        <w:pStyle w:val="12"/>
        <w:snapToGrid w:val="0"/>
        <w:spacing w:line="480" w:lineRule="auto"/>
        <w:ind w:firstLine="562" w:firstLineChars="200"/>
        <w:jc w:val="left"/>
        <w:rPr>
          <w:rFonts w:hAnsi="宋体" w:cs="宋体"/>
          <w:b/>
          <w:sz w:val="28"/>
          <w:szCs w:val="28"/>
        </w:rPr>
      </w:pPr>
      <w:r>
        <w:rPr>
          <w:rFonts w:hint="eastAsia" w:hAnsi="宋体" w:cs="宋体"/>
          <w:b/>
          <w:sz w:val="28"/>
          <w:szCs w:val="28"/>
        </w:rPr>
        <w:t>第六</w:t>
      </w:r>
      <w:r>
        <w:rPr>
          <w:rFonts w:hint="eastAsia" w:hAnsi="宋体" w:cs="宋体"/>
          <w:b/>
          <w:bCs/>
          <w:sz w:val="28"/>
          <w:szCs w:val="28"/>
        </w:rPr>
        <w:t>章</w:t>
      </w:r>
      <w:r>
        <w:rPr>
          <w:rFonts w:hint="eastAsia" w:hAnsi="宋体" w:cs="宋体"/>
          <w:b/>
          <w:sz w:val="28"/>
          <w:szCs w:val="28"/>
        </w:rPr>
        <w:t xml:space="preserve">    服务方案</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第七</w:t>
      </w:r>
      <w:r>
        <w:rPr>
          <w:rFonts w:hint="eastAsia" w:hAnsi="宋体" w:cs="宋体"/>
          <w:b/>
          <w:bCs/>
          <w:sz w:val="28"/>
          <w:szCs w:val="28"/>
        </w:rPr>
        <w:t>章</w:t>
      </w:r>
      <w:r>
        <w:rPr>
          <w:rFonts w:hint="eastAsia" w:ascii="宋体" w:hAnsi="宋体" w:cs="宋体"/>
          <w:b/>
          <w:bCs/>
          <w:sz w:val="28"/>
          <w:szCs w:val="28"/>
        </w:rPr>
        <w:t xml:space="preserve">    供应商类似业绩一览表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第八</w:t>
      </w:r>
      <w:r>
        <w:rPr>
          <w:rFonts w:hint="eastAsia" w:hAnsi="宋体" w:cs="宋体"/>
          <w:b/>
          <w:bCs/>
          <w:sz w:val="28"/>
          <w:szCs w:val="28"/>
        </w:rPr>
        <w:t>章</w:t>
      </w:r>
      <w:r>
        <w:rPr>
          <w:rFonts w:hint="eastAsia" w:ascii="宋体" w:hAnsi="宋体" w:cs="宋体"/>
          <w:b/>
          <w:bCs/>
          <w:sz w:val="28"/>
          <w:szCs w:val="28"/>
        </w:rPr>
        <w:t xml:space="preserve">    供应商认为有必要说明的其他问题 </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第九</w:t>
      </w:r>
      <w:r>
        <w:rPr>
          <w:rFonts w:hint="eastAsia" w:hAnsi="宋体" w:cs="宋体"/>
          <w:b/>
          <w:bCs/>
          <w:sz w:val="28"/>
          <w:szCs w:val="28"/>
        </w:rPr>
        <w:t>章</w:t>
      </w:r>
      <w:r>
        <w:rPr>
          <w:rFonts w:hint="eastAsia" w:ascii="宋体" w:hAnsi="宋体" w:cs="宋体"/>
          <w:b/>
          <w:bCs/>
          <w:sz w:val="28"/>
          <w:szCs w:val="28"/>
        </w:rPr>
        <w:t xml:space="preserve">    供应商承诺书</w:t>
      </w:r>
    </w:p>
    <w:p>
      <w:pPr>
        <w:pStyle w:val="3"/>
        <w:pageBreakBefore/>
        <w:rPr>
          <w:rFonts w:ascii="宋体" w:hAnsi="宋体" w:cs="宋体"/>
        </w:rPr>
      </w:pPr>
      <w:bookmarkStart w:id="109" w:name="_Toc22865"/>
      <w:r>
        <w:rPr>
          <w:rFonts w:hint="eastAsia" w:ascii="宋体" w:hAnsi="宋体" w:cs="宋体"/>
        </w:rPr>
        <w:t>第一</w:t>
      </w:r>
      <w:bookmarkEnd w:id="106"/>
      <w:r>
        <w:rPr>
          <w:rFonts w:hint="eastAsia" w:hAnsi="宋体" w:cs="宋体"/>
          <w:bCs/>
          <w:szCs w:val="28"/>
        </w:rPr>
        <w:t>章</w:t>
      </w:r>
      <w:r>
        <w:rPr>
          <w:rFonts w:hint="eastAsia" w:ascii="宋体" w:hAnsi="宋体" w:cs="宋体"/>
        </w:rPr>
        <w:t xml:space="preserve"> 响应函</w:t>
      </w:r>
      <w:bookmarkEnd w:id="107"/>
      <w:bookmarkEnd w:id="108"/>
      <w:bookmarkEnd w:id="109"/>
    </w:p>
    <w:p>
      <w:pPr>
        <w:adjustRightInd w:val="0"/>
        <w:snapToGrid w:val="0"/>
        <w:spacing w:line="276" w:lineRule="auto"/>
        <w:jc w:val="left"/>
        <w:rPr>
          <w:rFonts w:ascii="宋体" w:hAnsi="宋体" w:cs="宋体"/>
          <w:bCs/>
          <w:sz w:val="32"/>
          <w:szCs w:val="32"/>
        </w:rPr>
      </w:pPr>
      <w:r>
        <w:rPr>
          <w:rFonts w:hint="eastAsia" w:ascii="宋体" w:hAnsi="宋体" w:cs="宋体"/>
          <w:b/>
          <w:bCs/>
          <w:sz w:val="28"/>
          <w:szCs w:val="28"/>
        </w:rPr>
        <w:t>陕西万泽招标有限公司</w:t>
      </w:r>
      <w:r>
        <w:rPr>
          <w:rFonts w:hint="eastAsia" w:ascii="宋体" w:hAnsi="宋体" w:cs="宋体"/>
          <w:bCs/>
          <w:sz w:val="32"/>
          <w:szCs w:val="32"/>
        </w:rPr>
        <w:t>：</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我单位收到项目名称</w:t>
      </w:r>
      <w:r>
        <w:rPr>
          <w:rFonts w:hint="eastAsia" w:ascii="宋体" w:hAnsi="宋体" w:cs="宋体"/>
          <w:sz w:val="24"/>
          <w:u w:val="single"/>
        </w:rPr>
        <w:t xml:space="preserve">：     </w:t>
      </w:r>
      <w:r>
        <w:rPr>
          <w:rFonts w:hint="eastAsia" w:ascii="宋体" w:hAnsi="宋体" w:cs="宋体"/>
          <w:sz w:val="24"/>
        </w:rPr>
        <w:t>编号为：</w:t>
      </w:r>
      <w:r>
        <w:rPr>
          <w:rFonts w:hint="eastAsia" w:ascii="宋体" w:hAnsi="宋体" w:cs="宋体"/>
          <w:sz w:val="24"/>
          <w:u w:val="single"/>
        </w:rPr>
        <w:t xml:space="preserve">     </w:t>
      </w:r>
      <w:r>
        <w:rPr>
          <w:rFonts w:hint="eastAsia" w:ascii="宋体" w:hAnsi="宋体" w:cs="宋体"/>
          <w:sz w:val="24"/>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1、愿意按照竞争性磋商文件中的全部要求，提供合格的产品及完善的技术服务，履行合同的责任和义务。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2、按照竞争性磋商文件的规定，我公司的响应总报价为：</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人民币（大</w:t>
      </w:r>
      <w:r>
        <w:rPr>
          <w:rFonts w:hint="eastAsia" w:ascii="宋体" w:hAnsi="宋体" w:cs="宋体"/>
          <w:sz w:val="24"/>
          <w:szCs w:val="24"/>
        </w:rPr>
        <w:t>写）</w:t>
      </w:r>
      <w:r>
        <w:rPr>
          <w:rFonts w:hint="eastAsia" w:ascii="宋体" w:hAnsi="宋体" w:cs="宋体"/>
          <w:sz w:val="24"/>
          <w:szCs w:val="24"/>
          <w:u w:val="single"/>
        </w:rPr>
        <w:t xml:space="preserve">：元 </w:t>
      </w:r>
      <w:r>
        <w:rPr>
          <w:rFonts w:hint="eastAsia" w:ascii="宋体" w:hAnsi="宋体" w:cs="宋体"/>
          <w:sz w:val="24"/>
          <w:szCs w:val="24"/>
        </w:rPr>
        <w:t>；（小写）</w:t>
      </w:r>
      <w:r>
        <w:rPr>
          <w:rFonts w:hint="eastAsia" w:ascii="宋体" w:hAnsi="宋体" w:cs="宋体"/>
          <w:sz w:val="24"/>
          <w:szCs w:val="24"/>
          <w:u w:val="single"/>
        </w:rPr>
        <w:t>¥：元；</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3、我方提交的磋商响应文件正本壹份、副本叁份，电子文档壹份、</w:t>
      </w:r>
      <w:r>
        <w:rPr>
          <w:rFonts w:hint="eastAsia" w:ascii="宋体" w:hAnsi="宋体" w:cs="宋体"/>
          <w:sz w:val="24"/>
          <w:szCs w:val="24"/>
        </w:rPr>
        <w:t>磋商一览表壹份</w:t>
      </w:r>
      <w:r>
        <w:rPr>
          <w:rFonts w:hint="eastAsia" w:ascii="宋体" w:hAnsi="宋体" w:cs="宋体"/>
          <w:sz w:val="24"/>
        </w:rPr>
        <w:t>。</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5、如果我方在磋商后到规定的磋商有效期内撤回磋商响应文件及承诺，我们的保证金将被对方没收。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6、同意向贵方提供贵方可能要求的、与本次磋商有关的任何证据资料。</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7、我方承诺磋商有效期为磋商后</w:t>
      </w:r>
      <w:r>
        <w:rPr>
          <w:rFonts w:hint="eastAsia" w:ascii="宋体" w:hAnsi="宋体" w:cs="宋体"/>
          <w:sz w:val="24"/>
          <w:u w:val="single"/>
        </w:rPr>
        <w:t xml:space="preserve">  90  </w:t>
      </w:r>
      <w:r>
        <w:rPr>
          <w:rFonts w:hint="eastAsia" w:ascii="宋体" w:hAnsi="宋体" w:cs="宋体"/>
          <w:sz w:val="24"/>
        </w:rPr>
        <w:t>日历日内有效。</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8、所有关于本次磋商的函电，请按下列地址联系：</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法定代表人/被授权人（签字或盖章）：</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地    址：</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 xml:space="preserve">开户银行： </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帐    号：</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电    话：</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传    真：</w:t>
      </w: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邮    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    期：年 月 日</w:t>
      </w:r>
    </w:p>
    <w:p>
      <w:pPr>
        <w:widowControl/>
        <w:spacing w:line="460" w:lineRule="exact"/>
        <w:ind w:firstLine="720" w:firstLineChars="200"/>
        <w:jc w:val="left"/>
        <w:rPr>
          <w:rFonts w:ascii="宋体" w:hAnsi="宋体" w:cs="宋体"/>
          <w:sz w:val="36"/>
          <w:szCs w:val="36"/>
          <w:u w:val="single"/>
        </w:rPr>
      </w:pPr>
    </w:p>
    <w:p>
      <w:pPr>
        <w:widowControl/>
        <w:spacing w:line="460" w:lineRule="exact"/>
        <w:ind w:firstLine="720" w:firstLineChars="200"/>
        <w:jc w:val="left"/>
        <w:rPr>
          <w:rFonts w:ascii="宋体" w:hAnsi="宋体" w:cs="宋体"/>
          <w:sz w:val="36"/>
          <w:szCs w:val="36"/>
          <w:u w:val="single"/>
        </w:rPr>
      </w:pPr>
    </w:p>
    <w:p>
      <w:pPr>
        <w:pStyle w:val="3"/>
        <w:rPr>
          <w:rFonts w:ascii="宋体" w:hAnsi="宋体" w:cs="宋体"/>
        </w:rPr>
        <w:sectPr>
          <w:headerReference r:id="rId11" w:type="default"/>
          <w:footerReference r:id="rId12" w:type="default"/>
          <w:pgSz w:w="11906" w:h="16838"/>
          <w:pgMar w:top="1531" w:right="1417" w:bottom="1531" w:left="1417" w:header="851" w:footer="992" w:gutter="0"/>
          <w:cols w:space="720" w:num="1"/>
          <w:docGrid w:type="lines" w:linePitch="319" w:charSpace="0"/>
        </w:sectPr>
      </w:pPr>
      <w:bookmarkStart w:id="110" w:name="_Toc28494"/>
    </w:p>
    <w:p>
      <w:pPr>
        <w:pStyle w:val="3"/>
        <w:rPr>
          <w:rFonts w:ascii="宋体" w:hAnsi="宋体" w:cs="宋体"/>
        </w:rPr>
      </w:pPr>
      <w:bookmarkStart w:id="111" w:name="_Toc31150"/>
      <w:bookmarkStart w:id="112" w:name="_Toc26144"/>
      <w:bookmarkStart w:id="113" w:name="_Toc25695"/>
      <w:r>
        <w:rPr>
          <w:rFonts w:hint="eastAsia" w:ascii="宋体" w:hAnsi="宋体" w:cs="宋体"/>
        </w:rPr>
        <w:t>第二</w:t>
      </w:r>
      <w:bookmarkEnd w:id="110"/>
      <w:r>
        <w:rPr>
          <w:rFonts w:hint="eastAsia" w:hAnsi="宋体" w:cs="宋体"/>
          <w:bCs/>
          <w:szCs w:val="28"/>
        </w:rPr>
        <w:t>章</w:t>
      </w:r>
      <w:r>
        <w:rPr>
          <w:rFonts w:hint="eastAsia" w:ascii="宋体" w:hAnsi="宋体" w:cs="宋体"/>
        </w:rPr>
        <w:t xml:space="preserve"> 磋商一览表</w:t>
      </w:r>
      <w:bookmarkEnd w:id="111"/>
      <w:bookmarkEnd w:id="112"/>
      <w:bookmarkEnd w:id="113"/>
    </w:p>
    <w:p>
      <w:pPr>
        <w:pStyle w:val="6"/>
        <w:ind w:firstLine="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：西安市儿童医院西门院区门诊楼及住院二部楼顶发光字拆除设计安装项目</w:t>
      </w:r>
    </w:p>
    <w:p>
      <w:pPr>
        <w:pStyle w:val="6"/>
        <w:ind w:firstLine="0"/>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SXWZ2025ZB-ETYY-127</w:t>
      </w:r>
    </w:p>
    <w:p>
      <w:pPr>
        <w:kinsoku w:val="0"/>
        <w:spacing w:line="360" w:lineRule="auto"/>
        <w:jc w:val="left"/>
        <w:rPr>
          <w:rFonts w:ascii="宋体" w:hAnsi="宋体" w:cs="宋体"/>
          <w:sz w:val="24"/>
        </w:rPr>
      </w:pPr>
      <w:r>
        <w:rPr>
          <w:rFonts w:hint="eastAsia" w:ascii="宋体" w:hAnsi="宋体" w:cs="宋体"/>
          <w:sz w:val="24"/>
        </w:rPr>
        <w:t>单    位：</w:t>
      </w:r>
      <w:r>
        <w:rPr>
          <w:rFonts w:hint="eastAsia" w:ascii="宋体" w:hAnsi="宋体" w:cs="宋体"/>
          <w:sz w:val="24"/>
          <w:szCs w:val="24"/>
        </w:rPr>
        <w:t>元</w:t>
      </w:r>
    </w:p>
    <w:tbl>
      <w:tblPr>
        <w:tblStyle w:val="26"/>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56"/>
        <w:gridCol w:w="1446"/>
        <w:gridCol w:w="174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044" w:type="dxa"/>
            <w:tcBorders>
              <w:tl2br w:val="single" w:color="auto" w:sz="4" w:space="0"/>
            </w:tcBorders>
          </w:tcPr>
          <w:p>
            <w:pPr>
              <w:kinsoku w:val="0"/>
              <w:spacing w:line="480" w:lineRule="auto"/>
              <w:ind w:firstLine="1440" w:firstLineChars="600"/>
              <w:jc w:val="left"/>
              <w:rPr>
                <w:rFonts w:ascii="宋体" w:hAnsi="宋体" w:cs="宋体"/>
                <w:sz w:val="24"/>
                <w:szCs w:val="24"/>
              </w:rPr>
            </w:pPr>
            <w:r>
              <w:rPr>
                <w:rFonts w:hint="eastAsia" w:ascii="宋体" w:hAnsi="宋体" w:cs="宋体"/>
                <w:sz w:val="24"/>
                <w:szCs w:val="24"/>
              </w:rPr>
              <w:t>报价内容</w:t>
            </w:r>
          </w:p>
          <w:p>
            <w:pPr>
              <w:kinsoku w:val="0"/>
              <w:spacing w:line="480" w:lineRule="auto"/>
              <w:jc w:val="left"/>
              <w:rPr>
                <w:rFonts w:ascii="宋体" w:hAnsi="宋体" w:cs="宋体"/>
                <w:sz w:val="24"/>
                <w:szCs w:val="24"/>
              </w:rPr>
            </w:pPr>
            <w:r>
              <w:rPr>
                <w:rFonts w:hint="eastAsia" w:ascii="宋体" w:hAnsi="宋体" w:cs="宋体"/>
                <w:sz w:val="24"/>
                <w:szCs w:val="24"/>
              </w:rPr>
              <w:t>响应内容</w:t>
            </w:r>
          </w:p>
        </w:tc>
        <w:tc>
          <w:tcPr>
            <w:tcW w:w="1856" w:type="dxa"/>
            <w:vAlign w:val="center"/>
          </w:tcPr>
          <w:p>
            <w:pPr>
              <w:kinsoku w:val="0"/>
              <w:spacing w:line="480" w:lineRule="auto"/>
              <w:jc w:val="center"/>
              <w:rPr>
                <w:rFonts w:ascii="宋体" w:hAnsi="宋体" w:cs="宋体"/>
                <w:sz w:val="24"/>
                <w:szCs w:val="24"/>
              </w:rPr>
            </w:pPr>
            <w:r>
              <w:rPr>
                <w:rFonts w:hint="eastAsia" w:ascii="宋体" w:hAnsi="宋体" w:cs="宋体"/>
                <w:sz w:val="24"/>
                <w:szCs w:val="24"/>
              </w:rPr>
              <w:t>磋商总报价</w:t>
            </w:r>
          </w:p>
          <w:p>
            <w:pPr>
              <w:kinsoku w:val="0"/>
              <w:spacing w:line="480" w:lineRule="auto"/>
              <w:jc w:val="center"/>
              <w:rPr>
                <w:rFonts w:ascii="宋体" w:hAnsi="宋体" w:cs="宋体"/>
                <w:sz w:val="24"/>
                <w:szCs w:val="24"/>
              </w:rPr>
            </w:pPr>
            <w:r>
              <w:rPr>
                <w:rFonts w:hint="eastAsia" w:ascii="宋体" w:hAnsi="宋体" w:cs="宋体"/>
                <w:sz w:val="24"/>
                <w:szCs w:val="24"/>
              </w:rPr>
              <w:t>（元）</w:t>
            </w:r>
          </w:p>
        </w:tc>
        <w:tc>
          <w:tcPr>
            <w:tcW w:w="1446" w:type="dxa"/>
            <w:vAlign w:val="center"/>
          </w:tcPr>
          <w:p>
            <w:pPr>
              <w:kinsoku w:val="0"/>
              <w:jc w:val="center"/>
              <w:rPr>
                <w:rFonts w:ascii="宋体" w:hAnsi="宋体" w:cs="宋体"/>
                <w:sz w:val="24"/>
                <w:szCs w:val="24"/>
              </w:rPr>
            </w:pPr>
            <w:r>
              <w:rPr>
                <w:rFonts w:hint="eastAsia" w:ascii="宋体" w:hAnsi="宋体" w:cs="宋体"/>
                <w:sz w:val="24"/>
                <w:szCs w:val="24"/>
              </w:rPr>
              <w:t>服务期</w:t>
            </w:r>
          </w:p>
        </w:tc>
        <w:tc>
          <w:tcPr>
            <w:tcW w:w="1749" w:type="dxa"/>
            <w:vAlign w:val="center"/>
          </w:tcPr>
          <w:p>
            <w:pPr>
              <w:kinsoku w:val="0"/>
              <w:jc w:val="center"/>
              <w:rPr>
                <w:rFonts w:ascii="宋体" w:hAnsi="宋体" w:cs="宋体"/>
                <w:sz w:val="24"/>
                <w:szCs w:val="24"/>
              </w:rPr>
            </w:pPr>
            <w:r>
              <w:rPr>
                <w:rFonts w:hint="eastAsia" w:ascii="宋体" w:hAnsi="宋体" w:cs="宋体"/>
                <w:sz w:val="24"/>
                <w:szCs w:val="24"/>
              </w:rPr>
              <w:t>质保期</w:t>
            </w:r>
          </w:p>
        </w:tc>
        <w:tc>
          <w:tcPr>
            <w:tcW w:w="1402" w:type="dxa"/>
            <w:vAlign w:val="center"/>
          </w:tcPr>
          <w:p>
            <w:pPr>
              <w:kinsoku w:val="0"/>
              <w:jc w:val="center"/>
              <w:rPr>
                <w:rFonts w:ascii="宋体" w:hAnsi="宋体" w:cs="宋体"/>
                <w:sz w:val="24"/>
                <w:szCs w:val="24"/>
              </w:rPr>
            </w:pPr>
            <w:r>
              <w:rPr>
                <w:rFonts w:hint="eastAsia" w:ascii="宋体" w:hAnsi="宋体" w:cs="宋体"/>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2044" w:type="dxa"/>
            <w:vAlign w:val="center"/>
          </w:tcPr>
          <w:p>
            <w:pPr>
              <w:pStyle w:val="6"/>
              <w:ind w:firstLine="0"/>
              <w:jc w:val="center"/>
              <w:rPr>
                <w:sz w:val="24"/>
                <w:szCs w:val="24"/>
              </w:rPr>
            </w:pPr>
            <w:r>
              <w:rPr>
                <w:rFonts w:hint="eastAsia"/>
                <w:sz w:val="24"/>
                <w:szCs w:val="24"/>
              </w:rPr>
              <w:t>西安市儿童医院西门院区门诊楼及住院二部楼顶发光字拆除设计安装项目</w:t>
            </w:r>
          </w:p>
        </w:tc>
        <w:tc>
          <w:tcPr>
            <w:tcW w:w="1856" w:type="dxa"/>
            <w:vAlign w:val="center"/>
          </w:tcPr>
          <w:p>
            <w:pPr>
              <w:kinsoku w:val="0"/>
              <w:spacing w:line="480" w:lineRule="auto"/>
              <w:jc w:val="center"/>
              <w:rPr>
                <w:rFonts w:ascii="宋体" w:hAnsi="宋体" w:cs="宋体"/>
                <w:sz w:val="24"/>
                <w:szCs w:val="24"/>
              </w:rPr>
            </w:pPr>
          </w:p>
        </w:tc>
        <w:tc>
          <w:tcPr>
            <w:tcW w:w="1446" w:type="dxa"/>
            <w:vAlign w:val="center"/>
          </w:tcPr>
          <w:p>
            <w:pPr>
              <w:kinsoku w:val="0"/>
              <w:spacing w:line="480" w:lineRule="auto"/>
              <w:jc w:val="left"/>
              <w:rPr>
                <w:rFonts w:ascii="宋体" w:hAnsi="宋体" w:cs="宋体"/>
                <w:sz w:val="24"/>
                <w:szCs w:val="24"/>
                <w:u w:val="single"/>
              </w:rPr>
            </w:pPr>
          </w:p>
        </w:tc>
        <w:tc>
          <w:tcPr>
            <w:tcW w:w="1749" w:type="dxa"/>
            <w:vAlign w:val="center"/>
          </w:tcPr>
          <w:p>
            <w:pPr>
              <w:kinsoku w:val="0"/>
              <w:spacing w:line="480" w:lineRule="auto"/>
              <w:jc w:val="left"/>
              <w:rPr>
                <w:rFonts w:ascii="宋体" w:hAnsi="宋体" w:cs="宋体"/>
                <w:sz w:val="24"/>
                <w:szCs w:val="24"/>
                <w:u w:val="single"/>
              </w:rPr>
            </w:pPr>
          </w:p>
        </w:tc>
        <w:tc>
          <w:tcPr>
            <w:tcW w:w="1402" w:type="dxa"/>
            <w:vAlign w:val="center"/>
          </w:tcPr>
          <w:p>
            <w:pPr>
              <w:kinsoku w:val="0"/>
              <w:spacing w:line="480" w:lineRule="auto"/>
              <w:ind w:firstLine="480" w:firstLineChars="20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497" w:type="dxa"/>
            <w:gridSpan w:val="5"/>
            <w:vAlign w:val="center"/>
          </w:tcPr>
          <w:p>
            <w:pPr>
              <w:kinsoku w:val="0"/>
              <w:spacing w:line="480" w:lineRule="auto"/>
              <w:ind w:firstLine="480" w:firstLineChars="200"/>
              <w:jc w:val="left"/>
              <w:rPr>
                <w:rFonts w:ascii="宋体" w:hAnsi="宋体" w:cs="宋体"/>
                <w:sz w:val="24"/>
                <w:szCs w:val="24"/>
              </w:rPr>
            </w:pPr>
            <w:r>
              <w:rPr>
                <w:rFonts w:hint="eastAsia" w:ascii="宋体" w:hAnsi="宋体" w:cs="宋体"/>
                <w:sz w:val="24"/>
                <w:szCs w:val="24"/>
              </w:rPr>
              <w:t>总报价：人民币（大写）（小写）¥元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497" w:type="dxa"/>
            <w:gridSpan w:val="5"/>
            <w:vAlign w:val="center"/>
          </w:tcPr>
          <w:p>
            <w:pPr>
              <w:kinsoku w:val="0"/>
              <w:spacing w:line="480" w:lineRule="auto"/>
              <w:ind w:firstLine="480" w:firstLineChars="200"/>
              <w:jc w:val="left"/>
              <w:rPr>
                <w:rFonts w:ascii="宋体" w:hAnsi="宋体" w:cs="宋体"/>
                <w:sz w:val="24"/>
                <w:szCs w:val="24"/>
              </w:rPr>
            </w:pPr>
            <w:r>
              <w:rPr>
                <w:rFonts w:hint="eastAsia" w:ascii="宋体" w:hAnsi="宋体" w:cs="宋体"/>
                <w:sz w:val="24"/>
                <w:szCs w:val="24"/>
              </w:rPr>
              <w:t>备注：1.表内报价内容以元为单位，精确到小数点后两位；</w:t>
            </w:r>
          </w:p>
          <w:p>
            <w:pPr>
              <w:kinsoku w:val="0"/>
              <w:spacing w:line="480" w:lineRule="auto"/>
              <w:ind w:firstLine="1200" w:firstLineChars="500"/>
              <w:jc w:val="left"/>
              <w:rPr>
                <w:rFonts w:ascii="宋体" w:hAnsi="宋体" w:cs="宋体"/>
                <w:sz w:val="24"/>
                <w:szCs w:val="24"/>
              </w:rPr>
            </w:pPr>
            <w:r>
              <w:rPr>
                <w:rFonts w:hint="eastAsia" w:ascii="宋体" w:hAnsi="宋体" w:cs="宋体"/>
                <w:sz w:val="24"/>
                <w:szCs w:val="24"/>
              </w:rPr>
              <w:t xml:space="preserve">2.服务期、质保期、质量要求详见第五部分采购要求。 </w:t>
            </w:r>
          </w:p>
        </w:tc>
      </w:tr>
    </w:tbl>
    <w:p>
      <w:pPr>
        <w:kinsoku w:val="0"/>
        <w:spacing w:line="360" w:lineRule="auto"/>
        <w:jc w:val="left"/>
        <w:rPr>
          <w:rFonts w:ascii="宋体" w:hAnsi="宋体" w:cs="宋体"/>
          <w:sz w:val="24"/>
        </w:rPr>
      </w:pPr>
    </w:p>
    <w:p>
      <w:pPr>
        <w:adjustRightInd w:val="0"/>
        <w:snapToGrid w:val="0"/>
        <w:spacing w:line="480" w:lineRule="auto"/>
        <w:jc w:val="left"/>
        <w:rPr>
          <w:rFonts w:ascii="宋体" w:hAnsi="宋体" w:cs="宋体"/>
          <w:sz w:val="24"/>
          <w:u w:val="single"/>
        </w:rPr>
      </w:pPr>
      <w:r>
        <w:rPr>
          <w:rFonts w:hint="eastAsia" w:ascii="宋体" w:hAnsi="宋体" w:cs="宋体"/>
          <w:sz w:val="24"/>
        </w:rPr>
        <w:t>供应商（单位名称及公章）：</w:t>
      </w:r>
    </w:p>
    <w:p>
      <w:pPr>
        <w:adjustRightInd w:val="0"/>
        <w:snapToGrid w:val="0"/>
        <w:spacing w:line="480" w:lineRule="auto"/>
        <w:rPr>
          <w:rFonts w:ascii="宋体" w:hAnsi="宋体" w:cs="宋体"/>
          <w:sz w:val="24"/>
        </w:rPr>
      </w:pPr>
      <w:r>
        <w:rPr>
          <w:rFonts w:hint="eastAsia" w:ascii="宋体" w:hAnsi="宋体" w:cs="宋体"/>
          <w:sz w:val="24"/>
        </w:rPr>
        <w:t>法定代表人/被授权人（签字或盖章）：</w:t>
      </w:r>
    </w:p>
    <w:p>
      <w:pPr>
        <w:adjustRightInd w:val="0"/>
        <w:snapToGrid w:val="0"/>
        <w:spacing w:line="480" w:lineRule="auto"/>
        <w:rPr>
          <w:rFonts w:ascii="宋体" w:hAnsi="宋体" w:cs="宋体"/>
          <w:sz w:val="24"/>
        </w:rPr>
      </w:pPr>
      <w:r>
        <w:rPr>
          <w:rFonts w:hint="eastAsia" w:ascii="宋体" w:hAnsi="宋体" w:cs="宋体"/>
          <w:sz w:val="24"/>
        </w:rPr>
        <w:t>日    期：年 月 日</w:t>
      </w:r>
    </w:p>
    <w:p>
      <w:pPr>
        <w:kinsoku w:val="0"/>
        <w:spacing w:line="480" w:lineRule="auto"/>
        <w:jc w:val="left"/>
        <w:rPr>
          <w:rFonts w:ascii="宋体" w:hAnsi="宋体" w:cs="宋体"/>
          <w:sz w:val="24"/>
        </w:rPr>
      </w:pPr>
    </w:p>
    <w:p>
      <w:pPr>
        <w:pStyle w:val="12"/>
        <w:spacing w:line="480" w:lineRule="auto"/>
        <w:ind w:firstLine="643" w:firstLineChars="200"/>
        <w:jc w:val="center"/>
        <w:rPr>
          <w:rFonts w:hAnsi="宋体" w:cs="宋体"/>
          <w:b/>
          <w:sz w:val="32"/>
        </w:rPr>
      </w:pPr>
      <w:r>
        <w:rPr>
          <w:rFonts w:hint="eastAsia" w:hAnsi="宋体" w:cs="宋体"/>
          <w:b/>
          <w:sz w:val="32"/>
        </w:rPr>
        <w:br w:type="page"/>
      </w:r>
    </w:p>
    <w:p>
      <w:pPr>
        <w:pStyle w:val="3"/>
        <w:rPr>
          <w:color w:val="000000" w:themeColor="text1"/>
          <w:sz w:val="36"/>
          <w:szCs w:val="36"/>
          <w14:textFill>
            <w14:solidFill>
              <w14:schemeClr w14:val="tx1"/>
            </w14:solidFill>
          </w14:textFill>
        </w:rPr>
      </w:pPr>
      <w:bookmarkStart w:id="114" w:name="_Toc20625"/>
      <w:bookmarkStart w:id="115" w:name="_Toc10234"/>
      <w:bookmarkStart w:id="116" w:name="_Toc1789"/>
      <w:bookmarkStart w:id="117" w:name="_Toc27277"/>
      <w:bookmarkStart w:id="118" w:name="_Toc25886"/>
      <w:bookmarkStart w:id="119" w:name="_Toc23449"/>
      <w:bookmarkStart w:id="120" w:name="_Toc20060"/>
      <w:bookmarkStart w:id="121" w:name="_Toc15507"/>
      <w:bookmarkStart w:id="122" w:name="_Toc9034"/>
      <w:bookmarkStart w:id="123" w:name="_Toc9863"/>
      <w:bookmarkStart w:id="124" w:name="_Toc10126"/>
      <w:bookmarkStart w:id="125" w:name="_Toc6753"/>
      <w:bookmarkStart w:id="126" w:name="_Toc17641"/>
      <w:r>
        <w:rPr>
          <w:rFonts w:hint="eastAsia" w:hAnsi="宋体" w:cs="宋体"/>
          <w:color w:val="000000" w:themeColor="text1"/>
          <w:sz w:val="32"/>
          <w:szCs w:val="32"/>
          <w14:textFill>
            <w14:solidFill>
              <w14:schemeClr w14:val="tx1"/>
            </w14:solidFill>
          </w14:textFill>
        </w:rPr>
        <w:t>第三章</w:t>
      </w:r>
      <w:r>
        <w:rPr>
          <w:rFonts w:hint="eastAsia"/>
          <w:color w:val="000000" w:themeColor="text1"/>
          <w:sz w:val="32"/>
          <w:szCs w:val="32"/>
          <w14:textFill>
            <w14:solidFill>
              <w14:schemeClr w14:val="tx1"/>
            </w14:solidFill>
          </w14:textFill>
        </w:rPr>
        <w:t xml:space="preserve">  </w:t>
      </w:r>
      <w:bookmarkEnd w:id="114"/>
      <w:bookmarkEnd w:id="115"/>
      <w:bookmarkEnd w:id="116"/>
      <w:bookmarkEnd w:id="117"/>
      <w:bookmarkEnd w:id="118"/>
      <w:r>
        <w:rPr>
          <w:rFonts w:hint="eastAsia"/>
          <w:color w:val="000000" w:themeColor="text1"/>
          <w:sz w:val="32"/>
          <w:szCs w:val="32"/>
          <w14:textFill>
            <w14:solidFill>
              <w14:schemeClr w14:val="tx1"/>
            </w14:solidFill>
          </w14:textFill>
        </w:rPr>
        <w:t>分项报价表</w:t>
      </w:r>
      <w:bookmarkEnd w:id="119"/>
      <w:bookmarkEnd w:id="120"/>
    </w:p>
    <w:p>
      <w:pPr>
        <w:pStyle w:val="6"/>
        <w:ind w:firstLine="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sz w:val="24"/>
          <w:u w:val="single"/>
        </w:rPr>
        <w:t>西安市儿童医院西门院区门诊楼及住院二部楼顶发光字拆除设计安装项目</w:t>
      </w:r>
    </w:p>
    <w:p>
      <w:pPr>
        <w:widowControl/>
        <w:wordWrap w:val="0"/>
        <w:spacing w:line="360" w:lineRule="auto"/>
        <w:jc w:val="left"/>
        <w:rPr>
          <w:rFonts w:asci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r>
        <w:rPr>
          <w:rFonts w:hint="eastAsia" w:ascii="宋体" w:hAnsi="宋体" w:cs="宋体"/>
          <w:sz w:val="24"/>
          <w:u w:val="single"/>
        </w:rPr>
        <w:t>SXWZ2025ZB-ETYY-127</w:t>
      </w:r>
    </w:p>
    <w:p>
      <w:pPr>
        <w:widowControl/>
        <w:wordWrap w:val="0"/>
        <w:spacing w:line="360" w:lineRule="auto"/>
        <w:jc w:val="left"/>
        <w:rPr>
          <w:rFonts w:ascii="宋体" w:cs="宋体"/>
          <w:b/>
          <w:color w:val="000000"/>
          <w:sz w:val="24"/>
          <w:szCs w:val="24"/>
        </w:rPr>
      </w:pPr>
      <w:r>
        <w:rPr>
          <w:rFonts w:hint="eastAsia" w:ascii="宋体" w:hAnsi="宋体" w:cs="宋体"/>
          <w:color w:val="000000"/>
          <w:sz w:val="24"/>
          <w:szCs w:val="24"/>
        </w:rPr>
        <w:t>共  页，第  页</w:t>
      </w:r>
    </w:p>
    <w:tbl>
      <w:tblPr>
        <w:tblStyle w:val="26"/>
        <w:tblpPr w:leftFromText="180" w:rightFromText="180" w:vertAnchor="text" w:horzAnchor="page" w:tblpX="1534" w:tblpY="373"/>
        <w:tblOverlap w:val="never"/>
        <w:tblW w:w="8940" w:type="dxa"/>
        <w:tblInd w:w="0" w:type="dxa"/>
        <w:tblLayout w:type="fixed"/>
        <w:tblCellMar>
          <w:top w:w="0" w:type="dxa"/>
          <w:left w:w="28" w:type="dxa"/>
          <w:bottom w:w="0" w:type="dxa"/>
          <w:right w:w="28" w:type="dxa"/>
        </w:tblCellMar>
      </w:tblPr>
      <w:tblGrid>
        <w:gridCol w:w="1133"/>
        <w:gridCol w:w="523"/>
        <w:gridCol w:w="778"/>
        <w:gridCol w:w="1531"/>
        <w:gridCol w:w="1549"/>
        <w:gridCol w:w="1115"/>
        <w:gridCol w:w="1173"/>
        <w:gridCol w:w="1138"/>
      </w:tblGrid>
      <w:tr>
        <w:tblPrEx>
          <w:tblCellMar>
            <w:top w:w="0" w:type="dxa"/>
            <w:left w:w="28" w:type="dxa"/>
            <w:bottom w:w="0" w:type="dxa"/>
            <w:right w:w="28" w:type="dxa"/>
          </w:tblCellMar>
        </w:tblPrEx>
        <w:trPr>
          <w:trHeight w:val="832" w:hRule="atLeast"/>
        </w:trPr>
        <w:tc>
          <w:tcPr>
            <w:tcW w:w="1133" w:type="dxa"/>
            <w:vMerge w:val="restart"/>
            <w:tcBorders>
              <w:top w:val="single" w:color="auto" w:sz="6" w:space="0"/>
              <w:left w:val="single" w:color="auto" w:sz="6" w:space="0"/>
              <w:right w:val="single" w:color="auto" w:sz="4" w:space="0"/>
            </w:tcBorders>
            <w:vAlign w:val="center"/>
          </w:tcPr>
          <w:p>
            <w:pPr>
              <w:jc w:val="left"/>
              <w:rPr>
                <w:rFonts w:ascii="宋体"/>
                <w:sz w:val="24"/>
                <w:szCs w:val="24"/>
              </w:rPr>
            </w:pPr>
            <w:r>
              <w:rPr>
                <w:rFonts w:hint="eastAsia" w:ascii="宋体" w:hAnsi="宋体"/>
                <w:sz w:val="24"/>
                <w:szCs w:val="24"/>
              </w:rPr>
              <w:t>服务费用</w:t>
            </w:r>
          </w:p>
        </w:tc>
        <w:tc>
          <w:tcPr>
            <w:tcW w:w="523" w:type="dxa"/>
            <w:tcBorders>
              <w:top w:val="single" w:color="auto" w:sz="6" w:space="0"/>
              <w:left w:val="single" w:color="auto" w:sz="4" w:space="0"/>
              <w:bottom w:val="single" w:color="auto" w:sz="6" w:space="0"/>
            </w:tcBorders>
            <w:vAlign w:val="center"/>
          </w:tcPr>
          <w:p>
            <w:pPr>
              <w:spacing w:after="120"/>
              <w:jc w:val="center"/>
              <w:rPr>
                <w:rFonts w:ascii="宋体"/>
                <w:sz w:val="24"/>
                <w:szCs w:val="24"/>
              </w:rPr>
            </w:pPr>
            <w:r>
              <w:rPr>
                <w:rFonts w:hint="eastAsia" w:ascii="宋体" w:hAnsi="宋体"/>
                <w:sz w:val="24"/>
                <w:szCs w:val="24"/>
              </w:rPr>
              <w:t>序号</w:t>
            </w:r>
          </w:p>
        </w:tc>
        <w:tc>
          <w:tcPr>
            <w:tcW w:w="7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4"/>
                <w:szCs w:val="24"/>
              </w:rPr>
            </w:pPr>
            <w:r>
              <w:rPr>
                <w:rFonts w:hint="eastAsia" w:ascii="宋体" w:hAnsi="宋体"/>
                <w:sz w:val="24"/>
                <w:szCs w:val="24"/>
              </w:rPr>
              <w:t>名称</w:t>
            </w:r>
          </w:p>
        </w:tc>
        <w:tc>
          <w:tcPr>
            <w:tcW w:w="153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4"/>
                <w:szCs w:val="24"/>
              </w:rPr>
            </w:pPr>
            <w:r>
              <w:rPr>
                <w:rFonts w:hint="eastAsia" w:ascii="宋体" w:hAnsi="宋体"/>
                <w:sz w:val="24"/>
                <w:szCs w:val="24"/>
              </w:rPr>
              <w:t>服务</w:t>
            </w:r>
            <w:r>
              <w:rPr>
                <w:rFonts w:ascii="宋体" w:hAnsi="宋体"/>
                <w:sz w:val="24"/>
                <w:szCs w:val="24"/>
              </w:rPr>
              <w:t>/</w:t>
            </w:r>
            <w:r>
              <w:rPr>
                <w:rFonts w:hint="eastAsia" w:ascii="宋体" w:hAnsi="宋体"/>
                <w:sz w:val="24"/>
                <w:szCs w:val="24"/>
              </w:rPr>
              <w:t>费用类型</w:t>
            </w:r>
          </w:p>
        </w:tc>
        <w:tc>
          <w:tcPr>
            <w:tcW w:w="1549" w:type="dxa"/>
            <w:tcBorders>
              <w:top w:val="single" w:color="auto" w:sz="6" w:space="0"/>
              <w:left w:val="single" w:color="auto" w:sz="6" w:space="0"/>
              <w:bottom w:val="single" w:color="auto" w:sz="6" w:space="0"/>
              <w:right w:val="single" w:color="auto" w:sz="6" w:space="0"/>
            </w:tcBorders>
            <w:vAlign w:val="center"/>
          </w:tcPr>
          <w:p>
            <w:pPr>
              <w:spacing w:before="159" w:beforeLines="50" w:after="120"/>
              <w:ind w:firstLine="480" w:firstLineChars="200"/>
              <w:rPr>
                <w:rFonts w:ascii="宋体"/>
                <w:sz w:val="24"/>
                <w:szCs w:val="24"/>
              </w:rPr>
            </w:pPr>
            <w:r>
              <w:rPr>
                <w:rFonts w:hint="eastAsia" w:ascii="宋体" w:hAnsi="宋体"/>
                <w:sz w:val="24"/>
                <w:szCs w:val="24"/>
              </w:rPr>
              <w:t>服务商</w:t>
            </w:r>
          </w:p>
        </w:tc>
        <w:tc>
          <w:tcPr>
            <w:tcW w:w="111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4"/>
                <w:szCs w:val="24"/>
              </w:rPr>
            </w:pPr>
            <w:r>
              <w:rPr>
                <w:rFonts w:hint="eastAsia" w:ascii="宋体" w:hAnsi="宋体"/>
                <w:sz w:val="24"/>
                <w:szCs w:val="24"/>
              </w:rPr>
              <w:t>数量/单位</w:t>
            </w:r>
          </w:p>
        </w:tc>
        <w:tc>
          <w:tcPr>
            <w:tcW w:w="117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4"/>
                <w:szCs w:val="24"/>
              </w:rPr>
            </w:pPr>
            <w:r>
              <w:rPr>
                <w:rFonts w:hint="eastAsia" w:ascii="宋体" w:hAnsi="宋体"/>
                <w:sz w:val="24"/>
                <w:szCs w:val="24"/>
              </w:rPr>
              <w:t>单价</w:t>
            </w:r>
          </w:p>
          <w:p>
            <w:pPr>
              <w:spacing w:after="120"/>
              <w:jc w:val="center"/>
              <w:rPr>
                <w:rFonts w:ascii="宋体"/>
                <w:bCs/>
                <w:sz w:val="24"/>
                <w:szCs w:val="24"/>
              </w:rPr>
            </w:pPr>
            <w:r>
              <w:rPr>
                <w:rFonts w:hint="eastAsia" w:ascii="宋体" w:hAnsi="宋体"/>
                <w:sz w:val="24"/>
                <w:szCs w:val="24"/>
              </w:rPr>
              <w:t>（元）</w:t>
            </w:r>
          </w:p>
        </w:tc>
        <w:tc>
          <w:tcPr>
            <w:tcW w:w="11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bCs/>
                <w:sz w:val="24"/>
                <w:szCs w:val="24"/>
              </w:rPr>
            </w:pPr>
            <w:r>
              <w:rPr>
                <w:rFonts w:hint="eastAsia" w:ascii="宋体" w:hAnsi="宋体"/>
                <w:bCs/>
                <w:sz w:val="24"/>
                <w:szCs w:val="24"/>
              </w:rPr>
              <w:t>总价</w:t>
            </w:r>
          </w:p>
          <w:p>
            <w:pPr>
              <w:spacing w:after="120"/>
              <w:jc w:val="center"/>
              <w:rPr>
                <w:rFonts w:ascii="宋体"/>
                <w:bCs/>
                <w:sz w:val="24"/>
                <w:szCs w:val="24"/>
              </w:rPr>
            </w:pPr>
            <w:r>
              <w:rPr>
                <w:rFonts w:hint="eastAsia" w:ascii="宋体" w:hAnsi="宋体"/>
                <w:bCs/>
                <w:sz w:val="24"/>
                <w:szCs w:val="24"/>
              </w:rPr>
              <w:t>（元）</w:t>
            </w: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4"/>
                <w:szCs w:val="24"/>
              </w:rPr>
            </w:pPr>
          </w:p>
        </w:tc>
        <w:tc>
          <w:tcPr>
            <w:tcW w:w="523" w:type="dxa"/>
            <w:tcBorders>
              <w:top w:val="single" w:color="auto" w:sz="6" w:space="0"/>
              <w:left w:val="single" w:color="auto" w:sz="4" w:space="0"/>
              <w:bottom w:val="single" w:color="auto" w:sz="4" w:space="0"/>
            </w:tcBorders>
            <w:vAlign w:val="center"/>
          </w:tcPr>
          <w:p>
            <w:pPr>
              <w:spacing w:before="319" w:beforeLines="100"/>
              <w:jc w:val="center"/>
              <w:rPr>
                <w:rFonts w:ascii="宋体"/>
                <w:sz w:val="24"/>
                <w:szCs w:val="24"/>
              </w:rPr>
            </w:pPr>
            <w:r>
              <w:rPr>
                <w:rFonts w:ascii="宋体" w:hAnsi="宋体"/>
                <w:sz w:val="24"/>
                <w:szCs w:val="24"/>
              </w:rPr>
              <w:t>1</w:t>
            </w:r>
          </w:p>
        </w:tc>
        <w:tc>
          <w:tcPr>
            <w:tcW w:w="77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4"/>
                <w:szCs w:val="24"/>
              </w:rPr>
            </w:pPr>
          </w:p>
        </w:tc>
        <w:tc>
          <w:tcPr>
            <w:tcW w:w="1531" w:type="dxa"/>
            <w:tcBorders>
              <w:top w:val="single" w:color="auto" w:sz="6" w:space="0"/>
              <w:left w:val="single" w:color="auto" w:sz="6" w:space="0"/>
              <w:bottom w:val="single" w:color="auto" w:sz="4" w:space="0"/>
              <w:right w:val="single" w:color="auto" w:sz="6" w:space="0"/>
            </w:tcBorders>
            <w:vAlign w:val="center"/>
          </w:tcPr>
          <w:p>
            <w:pPr>
              <w:jc w:val="center"/>
              <w:rPr>
                <w:rFonts w:ascii="宋体"/>
                <w:sz w:val="24"/>
                <w:szCs w:val="24"/>
              </w:rPr>
            </w:pPr>
          </w:p>
        </w:tc>
        <w:tc>
          <w:tcPr>
            <w:tcW w:w="154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4"/>
                <w:szCs w:val="24"/>
              </w:rPr>
            </w:pPr>
          </w:p>
        </w:tc>
        <w:tc>
          <w:tcPr>
            <w:tcW w:w="111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4"/>
                <w:szCs w:val="24"/>
              </w:rPr>
            </w:pPr>
          </w:p>
        </w:tc>
        <w:tc>
          <w:tcPr>
            <w:tcW w:w="117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4"/>
                <w:szCs w:val="24"/>
              </w:rPr>
            </w:pPr>
          </w:p>
        </w:tc>
        <w:tc>
          <w:tcPr>
            <w:tcW w:w="113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4"/>
                <w:szCs w:val="24"/>
              </w:rPr>
            </w:pPr>
          </w:p>
        </w:tc>
      </w:tr>
      <w:tr>
        <w:tblPrEx>
          <w:tblCellMar>
            <w:top w:w="0" w:type="dxa"/>
            <w:left w:w="28" w:type="dxa"/>
            <w:bottom w:w="0" w:type="dxa"/>
            <w:right w:w="28" w:type="dxa"/>
          </w:tblCellMar>
        </w:tblPrEx>
        <w:trPr>
          <w:trHeight w:val="691"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4"/>
                <w:szCs w:val="24"/>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4"/>
                <w:szCs w:val="24"/>
              </w:rPr>
            </w:pPr>
            <w:r>
              <w:rPr>
                <w:rFonts w:ascii="宋体" w:hAnsi="宋体"/>
                <w:sz w:val="24"/>
                <w:szCs w:val="24"/>
              </w:rPr>
              <w:t>2</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4"/>
                <w:szCs w:val="24"/>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4"/>
                <w:szCs w:val="24"/>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4"/>
                <w:szCs w:val="24"/>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4"/>
                <w:szCs w:val="24"/>
              </w:rPr>
            </w:pPr>
            <w:r>
              <w:rPr>
                <w:rFonts w:ascii="宋体" w:hAnsi="宋体"/>
                <w:sz w:val="24"/>
                <w:szCs w:val="24"/>
              </w:rPr>
              <w:t>3</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4"/>
                <w:szCs w:val="24"/>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4"/>
                <w:szCs w:val="24"/>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4"/>
                <w:szCs w:val="24"/>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4"/>
                <w:szCs w:val="24"/>
              </w:rPr>
            </w:pPr>
            <w:r>
              <w:rPr>
                <w:rFonts w:ascii="宋体" w:hAnsi="宋体"/>
                <w:sz w:val="24"/>
                <w:szCs w:val="24"/>
              </w:rPr>
              <w:t>4</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4"/>
                <w:szCs w:val="24"/>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bottom w:val="single" w:color="auto" w:sz="6" w:space="0"/>
              <w:right w:val="single" w:color="auto" w:sz="4" w:space="0"/>
            </w:tcBorders>
            <w:vAlign w:val="center"/>
          </w:tcPr>
          <w:p>
            <w:pPr>
              <w:spacing w:before="319" w:beforeLines="100"/>
              <w:jc w:val="center"/>
              <w:rPr>
                <w:rFonts w:ascii="宋体"/>
                <w:sz w:val="24"/>
                <w:szCs w:val="24"/>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4"/>
                <w:szCs w:val="24"/>
              </w:rPr>
            </w:pPr>
            <w:r>
              <w:rPr>
                <w:rFonts w:hint="eastAsia" w:ascii="宋体" w:hAnsi="宋体"/>
                <w:sz w:val="24"/>
                <w:szCs w:val="24"/>
              </w:rPr>
              <w:t>……</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r>
              <w:rPr>
                <w:rFonts w:ascii="宋体" w:hAnsi="宋体"/>
                <w:sz w:val="24"/>
                <w:szCs w:val="24"/>
              </w:rPr>
              <w:t xml:space="preserve"> </w:t>
            </w: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微软雅黑" w:eastAsia="微软雅黑" w:cs="宋体"/>
                <w:sz w:val="24"/>
                <w:szCs w:val="24"/>
              </w:rPr>
            </w:pPr>
            <w:r>
              <w:rPr>
                <w:rFonts w:hint="eastAsia" w:ascii="宋体" w:hAnsi="宋体"/>
                <w:sz w:val="24"/>
                <w:szCs w:val="24"/>
              </w:rPr>
              <w:t>……</w:t>
            </w: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p>
        </w:tc>
      </w:tr>
      <w:tr>
        <w:tblPrEx>
          <w:tblCellMar>
            <w:top w:w="0" w:type="dxa"/>
            <w:left w:w="28" w:type="dxa"/>
            <w:bottom w:w="0" w:type="dxa"/>
            <w:right w:w="28" w:type="dxa"/>
          </w:tblCellMar>
        </w:tblPrEx>
        <w:trPr>
          <w:trHeight w:val="565" w:hRule="atLeast"/>
        </w:trPr>
        <w:tc>
          <w:tcPr>
            <w:tcW w:w="2434"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sz w:val="24"/>
                <w:szCs w:val="24"/>
              </w:rPr>
            </w:pPr>
            <w:r>
              <w:rPr>
                <w:rFonts w:hint="eastAsia" w:ascii="宋体" w:hAnsi="宋体"/>
                <w:sz w:val="24"/>
                <w:szCs w:val="24"/>
              </w:rPr>
              <w:t>其他费用</w:t>
            </w:r>
          </w:p>
        </w:tc>
        <w:tc>
          <w:tcPr>
            <w:tcW w:w="6506" w:type="dxa"/>
            <w:gridSpan w:val="5"/>
            <w:tcBorders>
              <w:top w:val="single" w:color="auto" w:sz="4" w:space="0"/>
              <w:left w:val="single" w:color="auto" w:sz="6" w:space="0"/>
              <w:bottom w:val="single" w:color="auto" w:sz="6" w:space="0"/>
              <w:right w:val="single" w:color="auto" w:sz="6" w:space="0"/>
            </w:tcBorders>
            <w:vAlign w:val="center"/>
          </w:tcPr>
          <w:p>
            <w:pPr>
              <w:jc w:val="center"/>
              <w:rPr>
                <w:sz w:val="24"/>
                <w:szCs w:val="24"/>
              </w:rPr>
            </w:pPr>
          </w:p>
        </w:tc>
      </w:tr>
      <w:tr>
        <w:tblPrEx>
          <w:tblCellMar>
            <w:top w:w="0" w:type="dxa"/>
            <w:left w:w="28" w:type="dxa"/>
            <w:bottom w:w="0" w:type="dxa"/>
            <w:right w:w="28" w:type="dxa"/>
          </w:tblCellMar>
        </w:tblPrEx>
        <w:trPr>
          <w:trHeight w:val="565" w:hRule="atLeast"/>
        </w:trPr>
        <w:tc>
          <w:tcPr>
            <w:tcW w:w="1656" w:type="dxa"/>
            <w:gridSpan w:val="2"/>
            <w:tcBorders>
              <w:top w:val="single" w:color="auto" w:sz="4" w:space="0"/>
              <w:left w:val="single" w:color="auto" w:sz="6" w:space="0"/>
              <w:bottom w:val="single" w:color="auto" w:sz="6" w:space="0"/>
            </w:tcBorders>
            <w:vAlign w:val="center"/>
          </w:tcPr>
          <w:p>
            <w:pPr>
              <w:rPr>
                <w:rFonts w:ascii="宋体"/>
                <w:sz w:val="24"/>
                <w:szCs w:val="24"/>
              </w:rPr>
            </w:pPr>
            <w:r>
              <w:rPr>
                <w:rFonts w:hint="eastAsia" w:ascii="宋体" w:hAnsi="宋体"/>
                <w:sz w:val="24"/>
                <w:szCs w:val="24"/>
              </w:rPr>
              <w:t>总报价</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left"/>
              <w:rPr>
                <w:sz w:val="24"/>
                <w:szCs w:val="24"/>
              </w:rPr>
            </w:pPr>
            <w:r>
              <w:rPr>
                <w:rFonts w:hint="eastAsia" w:ascii="宋体" w:hAnsi="宋体"/>
                <w:sz w:val="24"/>
                <w:szCs w:val="24"/>
              </w:rPr>
              <w:t>大写：</w:t>
            </w:r>
            <w:r>
              <w:rPr>
                <w:rFonts w:ascii="宋体" w:hAnsi="宋体"/>
                <w:sz w:val="24"/>
                <w:szCs w:val="24"/>
              </w:rPr>
              <w:t xml:space="preserve">                       </w:t>
            </w:r>
            <w:r>
              <w:rPr>
                <w:rFonts w:hint="eastAsia" w:ascii="宋体" w:hAnsi="宋体"/>
                <w:sz w:val="24"/>
                <w:szCs w:val="24"/>
              </w:rPr>
              <w:t>小写：元</w:t>
            </w:r>
          </w:p>
        </w:tc>
      </w:tr>
      <w:tr>
        <w:tblPrEx>
          <w:tblCellMar>
            <w:top w:w="0" w:type="dxa"/>
            <w:left w:w="28" w:type="dxa"/>
            <w:bottom w:w="0" w:type="dxa"/>
            <w:right w:w="28" w:type="dxa"/>
          </w:tblCellMar>
        </w:tblPrEx>
        <w:trPr>
          <w:trHeight w:val="647" w:hRule="atLeast"/>
        </w:trPr>
        <w:tc>
          <w:tcPr>
            <w:tcW w:w="1656" w:type="dxa"/>
            <w:gridSpan w:val="2"/>
            <w:tcBorders>
              <w:top w:val="single" w:color="auto" w:sz="4" w:space="0"/>
              <w:left w:val="single" w:color="auto" w:sz="6" w:space="0"/>
              <w:bottom w:val="single" w:color="auto" w:sz="6" w:space="0"/>
            </w:tcBorders>
            <w:vAlign w:val="center"/>
          </w:tcPr>
          <w:p>
            <w:pPr>
              <w:jc w:val="center"/>
              <w:rPr>
                <w:rFonts w:ascii="宋体"/>
                <w:sz w:val="24"/>
                <w:szCs w:val="24"/>
              </w:rPr>
            </w:pPr>
            <w:r>
              <w:rPr>
                <w:rFonts w:hint="eastAsia" w:ascii="宋体" w:hAnsi="宋体"/>
                <w:sz w:val="24"/>
                <w:szCs w:val="24"/>
              </w:rPr>
              <w:t>备注</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4"/>
                <w:szCs w:val="24"/>
              </w:rPr>
            </w:pPr>
            <w:r>
              <w:rPr>
                <w:rFonts w:hint="eastAsia" w:ascii="宋体" w:hAnsi="宋体"/>
                <w:spacing w:val="-6"/>
                <w:sz w:val="24"/>
                <w:szCs w:val="24"/>
              </w:rPr>
              <w:t>保留小数点后两位。</w:t>
            </w:r>
          </w:p>
        </w:tc>
      </w:tr>
    </w:tbl>
    <w:p>
      <w:pPr>
        <w:widowControl/>
        <w:wordWrap w:val="0"/>
        <w:spacing w:line="360" w:lineRule="auto"/>
        <w:jc w:val="left"/>
        <w:rPr>
          <w:rFonts w:ascii="宋体" w:cs="宋体"/>
          <w:b/>
          <w:color w:val="000000"/>
          <w:sz w:val="24"/>
          <w:szCs w:val="24"/>
        </w:rPr>
      </w:pPr>
    </w:p>
    <w:p>
      <w:pPr>
        <w:adjustRightInd w:val="0"/>
        <w:snapToGrid w:val="0"/>
        <w:spacing w:line="480" w:lineRule="auto"/>
        <w:rPr>
          <w:rFonts w:ascii="宋体"/>
          <w:color w:val="000000"/>
          <w:sz w:val="24"/>
          <w:szCs w:val="24"/>
        </w:rPr>
      </w:pPr>
      <w:r>
        <w:rPr>
          <w:rFonts w:hint="eastAsia" w:ascii="宋体" w:hAnsi="宋体"/>
          <w:color w:val="000000"/>
          <w:sz w:val="24"/>
          <w:szCs w:val="24"/>
        </w:rPr>
        <w:t>供应商（单位名称及公章）：</w:t>
      </w:r>
    </w:p>
    <w:p>
      <w:pPr>
        <w:adjustRightInd w:val="0"/>
        <w:snapToGrid w:val="0"/>
        <w:spacing w:line="480" w:lineRule="auto"/>
        <w:rPr>
          <w:rFonts w:ascii="宋体"/>
          <w:color w:val="000000"/>
          <w:sz w:val="24"/>
          <w:szCs w:val="24"/>
        </w:rPr>
      </w:pPr>
      <w:r>
        <w:rPr>
          <w:rFonts w:hint="eastAsia" w:ascii="宋体" w:hAnsi="宋体"/>
          <w:color w:val="000000"/>
          <w:sz w:val="24"/>
          <w:szCs w:val="24"/>
        </w:rPr>
        <w:t>法定代表人</w:t>
      </w:r>
      <w:r>
        <w:rPr>
          <w:rFonts w:ascii="宋体" w:hAnsi="宋体"/>
          <w:color w:val="000000"/>
          <w:sz w:val="24"/>
          <w:szCs w:val="24"/>
        </w:rPr>
        <w:t>/</w:t>
      </w:r>
      <w:r>
        <w:rPr>
          <w:rFonts w:hint="eastAsia" w:ascii="宋体" w:hAnsi="宋体"/>
          <w:color w:val="000000"/>
          <w:sz w:val="24"/>
          <w:szCs w:val="24"/>
        </w:rPr>
        <w:t>被授权人（签字或盖章）：</w:t>
      </w:r>
    </w:p>
    <w:p>
      <w:pPr>
        <w:adjustRightInd w:val="0"/>
        <w:snapToGrid w:val="0"/>
        <w:spacing w:line="480" w:lineRule="auto"/>
        <w:rPr>
          <w:color w:val="000000" w:themeColor="text1"/>
          <w:sz w:val="24"/>
          <w:szCs w:val="24"/>
          <w14:textFill>
            <w14:solidFill>
              <w14:schemeClr w14:val="tx1"/>
            </w14:solidFill>
          </w14:textFill>
        </w:rPr>
      </w:pPr>
      <w:r>
        <w:rPr>
          <w:rFonts w:hint="eastAsia" w:ascii="宋体" w:hAnsi="宋体"/>
          <w:color w:val="000000"/>
          <w:sz w:val="24"/>
          <w:szCs w:val="24"/>
        </w:rPr>
        <w:t xml:space="preserve">日期：  年  月 </w:t>
      </w:r>
      <w:bookmarkStart w:id="127" w:name="_Toc26245"/>
      <w:bookmarkStart w:id="128" w:name="_Toc32056"/>
      <w:bookmarkStart w:id="129" w:name="_Toc11481"/>
      <w:bookmarkStart w:id="130" w:name="_Toc1869"/>
      <w:bookmarkStart w:id="131" w:name="_Toc17467"/>
      <w:r>
        <w:rPr>
          <w:rFonts w:hint="eastAsia" w:ascii="宋体" w:hAnsi="宋体"/>
          <w:color w:val="000000"/>
          <w:sz w:val="24"/>
          <w:szCs w:val="24"/>
        </w:rPr>
        <w:t xml:space="preserve"> 日</w:t>
      </w:r>
    </w:p>
    <w:bookmarkEnd w:id="127"/>
    <w:bookmarkEnd w:id="128"/>
    <w:bookmarkEnd w:id="129"/>
    <w:bookmarkEnd w:id="130"/>
    <w:bookmarkEnd w:id="131"/>
    <w:p>
      <w:pPr>
        <w:adjustRightInd w:val="0"/>
        <w:snapToGrid w:val="0"/>
        <w:spacing w:line="460" w:lineRule="exact"/>
        <w:rPr>
          <w:rFonts w:ascii="宋体" w:hAnsi="宋体" w:cs="宋体"/>
          <w:sz w:val="24"/>
          <w:szCs w:val="24"/>
          <w:u w:val="single"/>
        </w:rPr>
      </w:pPr>
    </w:p>
    <w:p>
      <w:pPr>
        <w:spacing w:line="360" w:lineRule="auto"/>
        <w:rPr>
          <w:rFonts w:ascii="宋体" w:hAnsi="宋体" w:cs="宋体"/>
          <w:b/>
          <w:bCs/>
          <w:sz w:val="24"/>
        </w:rPr>
      </w:pPr>
      <w:r>
        <w:rPr>
          <w:rFonts w:hint="eastAsia" w:ascii="宋体" w:hAnsi="宋体" w:cs="宋体"/>
          <w:b/>
          <w:bCs/>
          <w:color w:val="000000"/>
        </w:rPr>
        <w:br w:type="page"/>
      </w:r>
      <w:bookmarkEnd w:id="121"/>
    </w:p>
    <w:bookmarkEnd w:id="122"/>
    <w:bookmarkEnd w:id="123"/>
    <w:bookmarkEnd w:id="124"/>
    <w:bookmarkEnd w:id="125"/>
    <w:bookmarkEnd w:id="126"/>
    <w:p>
      <w:pPr>
        <w:pStyle w:val="3"/>
        <w:rPr>
          <w:rFonts w:ascii="宋体" w:hAnsi="宋体" w:cs="宋体"/>
        </w:rPr>
      </w:pPr>
      <w:bookmarkStart w:id="132" w:name="_Toc15595"/>
      <w:bookmarkStart w:id="133" w:name="_Toc15679"/>
      <w:bookmarkStart w:id="134" w:name="_Toc28174"/>
      <w:bookmarkStart w:id="135" w:name="_Toc11309"/>
      <w:r>
        <w:rPr>
          <w:rFonts w:hint="eastAsia" w:ascii="宋体" w:hAnsi="宋体" w:cs="宋体"/>
        </w:rPr>
        <w:t xml:space="preserve">第四章 </w:t>
      </w:r>
      <w:r>
        <w:rPr>
          <w:rFonts w:hint="eastAsia"/>
          <w:color w:val="000000" w:themeColor="text1"/>
          <w14:textFill>
            <w14:solidFill>
              <w14:schemeClr w14:val="tx1"/>
            </w14:solidFill>
          </w14:textFill>
        </w:rPr>
        <w:t>商务和技术响应偏离表</w:t>
      </w:r>
      <w:bookmarkEnd w:id="132"/>
    </w:p>
    <w:p>
      <w:pPr>
        <w:pStyle w:val="6"/>
        <w:ind w:firstLine="0"/>
      </w:pPr>
    </w:p>
    <w:p>
      <w:pPr>
        <w:widowControl/>
        <w:wordWrap w:val="0"/>
        <w:spacing w:line="360" w:lineRule="auto"/>
        <w:jc w:val="left"/>
        <w:rPr>
          <w:rFonts w:ascii="宋体" w:hAnsi="宋体" w:cs="宋体"/>
          <w:sz w:val="28"/>
          <w:szCs w:val="28"/>
        </w:rPr>
      </w:pPr>
      <w:r>
        <w:rPr>
          <w:rFonts w:hint="eastAsia" w:ascii="宋体" w:hAnsi="宋体" w:cs="宋体"/>
          <w:sz w:val="28"/>
          <w:szCs w:val="28"/>
        </w:rPr>
        <w:t>表1、商务响应偏差表</w:t>
      </w: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widowControl/>
        <w:wordWrap w:val="0"/>
        <w:spacing w:line="360" w:lineRule="auto"/>
        <w:jc w:val="left"/>
        <w:rPr>
          <w:rFonts w:ascii="宋体" w:hAnsi="宋体" w:cs="宋体"/>
          <w:sz w:val="28"/>
          <w:szCs w:val="28"/>
        </w:rPr>
      </w:pPr>
      <w:r>
        <w:rPr>
          <w:rFonts w:hint="eastAsia" w:ascii="宋体" w:hAnsi="宋体" w:cs="宋体"/>
          <w:sz w:val="28"/>
          <w:szCs w:val="28"/>
        </w:rPr>
        <w:t>项目编号：</w:t>
      </w:r>
    </w:p>
    <w:tbl>
      <w:tblPr>
        <w:tblStyle w:val="2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45"/>
        <w:gridCol w:w="2025"/>
        <w:gridCol w:w="295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pStyle w:val="12"/>
              <w:spacing w:line="480" w:lineRule="auto"/>
              <w:jc w:val="center"/>
              <w:rPr>
                <w:rFonts w:hAnsi="宋体" w:cs="宋体"/>
                <w:sz w:val="24"/>
                <w:szCs w:val="24"/>
              </w:rPr>
            </w:pPr>
            <w:r>
              <w:rPr>
                <w:rFonts w:hint="eastAsia" w:hAnsi="宋体" w:cs="宋体"/>
                <w:sz w:val="24"/>
                <w:szCs w:val="24"/>
              </w:rPr>
              <w:t>序号</w:t>
            </w:r>
          </w:p>
        </w:tc>
        <w:tc>
          <w:tcPr>
            <w:tcW w:w="1345" w:type="dxa"/>
            <w:vAlign w:val="center"/>
          </w:tcPr>
          <w:p>
            <w:pPr>
              <w:pStyle w:val="12"/>
              <w:spacing w:line="480" w:lineRule="auto"/>
              <w:jc w:val="left"/>
              <w:rPr>
                <w:rFonts w:hAnsi="宋体" w:cs="宋体"/>
                <w:sz w:val="24"/>
                <w:szCs w:val="24"/>
              </w:rPr>
            </w:pPr>
            <w:r>
              <w:rPr>
                <w:rFonts w:hint="eastAsia" w:hAnsi="宋体" w:cs="宋体"/>
                <w:sz w:val="24"/>
                <w:szCs w:val="24"/>
              </w:rPr>
              <w:t xml:space="preserve"> 商务条款</w:t>
            </w:r>
          </w:p>
        </w:tc>
        <w:tc>
          <w:tcPr>
            <w:tcW w:w="2025" w:type="dxa"/>
            <w:vAlign w:val="center"/>
          </w:tcPr>
          <w:p>
            <w:pPr>
              <w:pStyle w:val="12"/>
              <w:spacing w:line="480" w:lineRule="auto"/>
              <w:jc w:val="left"/>
              <w:rPr>
                <w:rFonts w:hAnsi="宋体" w:cs="宋体"/>
                <w:sz w:val="24"/>
                <w:szCs w:val="24"/>
              </w:rPr>
            </w:pPr>
            <w:r>
              <w:rPr>
                <w:rFonts w:hint="eastAsia" w:hAnsi="宋体" w:cs="宋体"/>
                <w:sz w:val="24"/>
                <w:szCs w:val="24"/>
              </w:rPr>
              <w:t>商务要求内容</w:t>
            </w:r>
          </w:p>
        </w:tc>
        <w:tc>
          <w:tcPr>
            <w:tcW w:w="2957" w:type="dxa"/>
            <w:vAlign w:val="center"/>
          </w:tcPr>
          <w:p>
            <w:pPr>
              <w:pStyle w:val="12"/>
              <w:spacing w:line="480" w:lineRule="auto"/>
              <w:rPr>
                <w:rFonts w:hAnsi="宋体" w:cs="宋体"/>
                <w:sz w:val="24"/>
                <w:szCs w:val="24"/>
              </w:rPr>
            </w:pPr>
            <w:r>
              <w:rPr>
                <w:rFonts w:hint="eastAsia" w:hAnsi="宋体" w:cs="宋体"/>
                <w:sz w:val="24"/>
                <w:szCs w:val="24"/>
              </w:rPr>
              <w:t>响应文件响应商务内容</w:t>
            </w:r>
          </w:p>
        </w:tc>
        <w:tc>
          <w:tcPr>
            <w:tcW w:w="1578" w:type="dxa"/>
            <w:vAlign w:val="center"/>
          </w:tcPr>
          <w:p>
            <w:pPr>
              <w:pStyle w:val="12"/>
              <w:spacing w:line="480" w:lineRule="auto"/>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vAlign w:val="center"/>
          </w:tcPr>
          <w:p>
            <w:pPr>
              <w:pStyle w:val="12"/>
              <w:spacing w:line="480" w:lineRule="auto"/>
              <w:ind w:firstLine="480" w:firstLineChars="200"/>
              <w:jc w:val="left"/>
              <w:rPr>
                <w:rFonts w:hAnsi="宋体" w:cs="宋体"/>
                <w:sz w:val="24"/>
                <w:szCs w:val="24"/>
              </w:rPr>
            </w:pPr>
          </w:p>
        </w:tc>
        <w:tc>
          <w:tcPr>
            <w:tcW w:w="2957" w:type="dxa"/>
            <w:vAlign w:val="center"/>
          </w:tcPr>
          <w:p>
            <w:pPr>
              <w:pStyle w:val="12"/>
              <w:spacing w:line="480" w:lineRule="auto"/>
              <w:ind w:firstLine="480" w:firstLineChars="200"/>
              <w:jc w:val="left"/>
              <w:rPr>
                <w:rFonts w:hAnsi="宋体" w:cs="宋体"/>
                <w:sz w:val="24"/>
                <w:szCs w:val="24"/>
              </w:rPr>
            </w:pPr>
          </w:p>
        </w:tc>
        <w:tc>
          <w:tcPr>
            <w:tcW w:w="1578" w:type="dxa"/>
            <w:vAlign w:val="center"/>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bl>
    <w:p>
      <w:pPr>
        <w:pStyle w:val="6"/>
        <w:ind w:firstLine="0"/>
        <w:rPr>
          <w:rFonts w:ascii="宋体" w:hAnsi="宋体"/>
          <w:b/>
          <w:bCs/>
          <w:sz w:val="28"/>
          <w:szCs w:val="28"/>
        </w:rPr>
      </w:pPr>
      <w:r>
        <w:rPr>
          <w:rFonts w:hint="eastAsia" w:ascii="宋体" w:hAnsi="宋体"/>
          <w:b/>
          <w:bCs/>
          <w:sz w:val="28"/>
          <w:szCs w:val="28"/>
        </w:rPr>
        <w:t>填写说明：供应商根据合同条款对本项目付款、服务期、质保期、质量、履约验收等商务方面进行响应说明，并保证响应的真实性。</w:t>
      </w:r>
    </w:p>
    <w:p>
      <w:pPr>
        <w:pStyle w:val="6"/>
        <w:ind w:firstLine="0"/>
        <w:rPr>
          <w:rFonts w:ascii="宋体" w:hAnsi="宋体"/>
          <w:sz w:val="28"/>
          <w:szCs w:val="28"/>
        </w:rPr>
      </w:pPr>
      <w:r>
        <w:rPr>
          <w:rFonts w:hint="eastAsia" w:ascii="宋体" w:hAnsi="宋体"/>
          <w:b/>
          <w:bCs/>
          <w:sz w:val="28"/>
          <w:szCs w:val="28"/>
        </w:rPr>
        <w:t>偏离说明填写：正偏离、符合，商务条款不允许负偏离。</w:t>
      </w:r>
    </w:p>
    <w:p>
      <w:pPr>
        <w:pStyle w:val="6"/>
        <w:ind w:firstLine="0"/>
        <w:rPr>
          <w:rFonts w:ascii="宋体" w:hAnsi="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供应商（单位名称及公章）：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cs="宋体"/>
          <w:sz w:val="28"/>
          <w:szCs w:val="28"/>
        </w:rPr>
      </w:pPr>
      <w:r>
        <w:rPr>
          <w:rFonts w:hint="eastAsia" w:ascii="宋体" w:hAnsi="宋体" w:cs="宋体"/>
          <w:sz w:val="28"/>
          <w:szCs w:val="28"/>
        </w:rPr>
        <w:t>日    期：年 月 日</w:t>
      </w:r>
    </w:p>
    <w:p>
      <w:pPr>
        <w:rPr>
          <w:rFonts w:ascii="宋体" w:hAnsi="宋体"/>
          <w:sz w:val="28"/>
          <w:szCs w:val="28"/>
        </w:rPr>
      </w:pPr>
      <w:r>
        <w:rPr>
          <w:rFonts w:ascii="宋体" w:hAnsi="宋体"/>
          <w:sz w:val="28"/>
          <w:szCs w:val="28"/>
        </w:rPr>
        <w:br w:type="page"/>
      </w:r>
    </w:p>
    <w:p>
      <w:pPr>
        <w:pStyle w:val="24"/>
        <w:ind w:firstLine="2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表2、技术响应偏差表</w:t>
      </w: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pStyle w:val="24"/>
        <w:ind w:firstLine="0" w:firstLineChars="0"/>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cs="宋体"/>
          <w:sz w:val="28"/>
          <w:szCs w:val="28"/>
        </w:rPr>
        <w:t>项目编号：</w:t>
      </w:r>
    </w:p>
    <w:tbl>
      <w:tblPr>
        <w:tblStyle w:val="2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34"/>
        <w:gridCol w:w="2247"/>
        <w:gridCol w:w="149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62" w:type="dxa"/>
            <w:vAlign w:val="center"/>
          </w:tcPr>
          <w:p>
            <w:pPr>
              <w:pStyle w:val="12"/>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634" w:type="dxa"/>
            <w:vAlign w:val="center"/>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磋商文件要求</w:t>
            </w:r>
          </w:p>
          <w:p>
            <w:pPr>
              <w:pStyle w:val="12"/>
              <w:spacing w:line="48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要求</w:t>
            </w:r>
          </w:p>
        </w:tc>
        <w:tc>
          <w:tcPr>
            <w:tcW w:w="2247" w:type="dxa"/>
            <w:vAlign w:val="center"/>
          </w:tcPr>
          <w:p>
            <w:pPr>
              <w:pStyle w:val="12"/>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响应文件</w:t>
            </w:r>
          </w:p>
          <w:p>
            <w:pPr>
              <w:pStyle w:val="12"/>
              <w:spacing w:line="48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内容</w:t>
            </w:r>
          </w:p>
        </w:tc>
        <w:tc>
          <w:tcPr>
            <w:tcW w:w="1491" w:type="dxa"/>
            <w:vAlign w:val="center"/>
          </w:tcPr>
          <w:p>
            <w:pPr>
              <w:pStyle w:val="12"/>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偏差说明</w:t>
            </w:r>
          </w:p>
        </w:tc>
        <w:tc>
          <w:tcPr>
            <w:tcW w:w="1484" w:type="dxa"/>
            <w:vAlign w:val="center"/>
          </w:tcPr>
          <w:p>
            <w:pPr>
              <w:pStyle w:val="12"/>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vAlign w:val="center"/>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vAlign w:val="center"/>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vAlign w:val="center"/>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vAlign w:val="center"/>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2"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63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247"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91"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484" w:type="dxa"/>
          </w:tcPr>
          <w:p>
            <w:pPr>
              <w:pStyle w:val="12"/>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12"/>
        <w:ind w:firstLine="562"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14:textFill>
            <w14:solidFill>
              <w14:schemeClr w14:val="tx1"/>
            </w14:solidFill>
          </w14:textFill>
        </w:rPr>
        <w:t>请按磋商文件第五部分采购要求，逐条对应响应文件的“采购要求”中的要求认真填写本表。偏差说明填写：正偏离、符合或负偏离。</w:t>
      </w:r>
    </w:p>
    <w:p>
      <w:pPr>
        <w:adjustRightInd w:val="0"/>
        <w:snapToGrid w:val="0"/>
        <w:spacing w:line="480" w:lineRule="auto"/>
        <w:jc w:val="left"/>
        <w:rPr>
          <w:rFonts w:asciiTheme="minorEastAsia" w:hAnsiTheme="minorEastAsia" w:cstheme="minorEastAsia"/>
          <w:color w:val="000000" w:themeColor="text1"/>
          <w:sz w:val="28"/>
          <w:szCs w:val="28"/>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8"/>
          <w:szCs w:val="28"/>
          <w:u w:val="single"/>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法定代表人/被授权人（签字或盖章）：</w:t>
      </w:r>
    </w:p>
    <w:p>
      <w:pPr>
        <w:adjustRightInd w:val="0"/>
        <w:snapToGrid w:val="0"/>
        <w:spacing w:line="480" w:lineRule="auto"/>
        <w:jc w:val="left"/>
        <w:rPr>
          <w:rFonts w:ascii="宋体" w:hAnsi="宋体"/>
          <w:sz w:val="28"/>
          <w:szCs w:val="28"/>
        </w:rPr>
        <w:sectPr>
          <w:headerReference r:id="rId13" w:type="default"/>
          <w:pgSz w:w="11906" w:h="16838"/>
          <w:pgMar w:top="1440" w:right="1803" w:bottom="1440" w:left="1803" w:header="851" w:footer="992" w:gutter="0"/>
          <w:cols w:space="720" w:num="1"/>
          <w:docGrid w:type="lines" w:linePitch="319" w:charSpace="0"/>
        </w:sectPr>
      </w:pPr>
      <w:r>
        <w:rPr>
          <w:rFonts w:hint="eastAsia" w:asciiTheme="minorEastAsia" w:hAnsiTheme="minorEastAsia" w:cstheme="minorEastAsia"/>
          <w:color w:val="000000" w:themeColor="text1"/>
          <w:sz w:val="28"/>
          <w:szCs w:val="28"/>
          <w14:textFill>
            <w14:solidFill>
              <w14:schemeClr w14:val="tx1"/>
            </w14:solidFill>
          </w14:textFill>
        </w:rPr>
        <w:t>日    期：年 月 日</w:t>
      </w:r>
    </w:p>
    <w:bookmarkEnd w:id="133"/>
    <w:bookmarkEnd w:id="134"/>
    <w:bookmarkEnd w:id="135"/>
    <w:p>
      <w:pPr>
        <w:pStyle w:val="3"/>
        <w:rPr>
          <w:rFonts w:ascii="宋体" w:hAnsi="宋体" w:cs="宋体"/>
        </w:rPr>
      </w:pPr>
      <w:bookmarkStart w:id="136" w:name="_Toc14564"/>
      <w:bookmarkStart w:id="137" w:name="_Toc32169"/>
      <w:bookmarkStart w:id="138" w:name="_Toc18426"/>
      <w:bookmarkStart w:id="139" w:name="_Toc21363"/>
      <w:bookmarkStart w:id="140" w:name="_Toc1188"/>
      <w:bookmarkStart w:id="141" w:name="_Toc1408"/>
      <w:r>
        <w:rPr>
          <w:rFonts w:hint="eastAsia" w:ascii="宋体" w:hAnsi="宋体" w:cs="宋体"/>
        </w:rPr>
        <w:t>第五</w:t>
      </w:r>
      <w:r>
        <w:rPr>
          <w:rFonts w:hint="eastAsia" w:hAnsi="宋体" w:cs="宋体"/>
          <w:bCs/>
          <w:szCs w:val="28"/>
        </w:rPr>
        <w:t xml:space="preserve">章 </w:t>
      </w:r>
      <w:r>
        <w:rPr>
          <w:rFonts w:hint="eastAsia" w:ascii="宋体" w:hAnsi="宋体" w:cs="宋体"/>
        </w:rPr>
        <w:t>供应商资质要求</w:t>
      </w:r>
      <w:bookmarkEnd w:id="136"/>
      <w:bookmarkEnd w:id="137"/>
      <w:bookmarkEnd w:id="138"/>
      <w:bookmarkEnd w:id="139"/>
    </w:p>
    <w:p>
      <w:pPr>
        <w:pStyle w:val="6"/>
        <w:rPr>
          <w:b/>
          <w:bCs/>
          <w:sz w:val="28"/>
          <w:szCs w:val="24"/>
        </w:rPr>
      </w:pPr>
      <w:r>
        <w:rPr>
          <w:rFonts w:hint="eastAsia" w:ascii="宋体" w:hAnsi="宋体" w:cs="宋体"/>
          <w:b/>
          <w:bCs/>
          <w:sz w:val="28"/>
          <w:szCs w:val="24"/>
        </w:rPr>
        <w:t>供应商需在此页附磋商公告及磋商文件中要求的资质证明文件，资质复印件加盖公章，格式参考见下页。</w:t>
      </w:r>
    </w:p>
    <w:p>
      <w:pPr>
        <w:pStyle w:val="6"/>
        <w:rPr>
          <w:rFonts w:ascii="宋体" w:hAnsi="宋体" w:cs="宋体"/>
        </w:rPr>
      </w:pPr>
    </w:p>
    <w:p>
      <w:pPr>
        <w:rPr>
          <w:b/>
          <w:bCs/>
          <w:sz w:val="32"/>
          <w:szCs w:val="28"/>
        </w:rPr>
      </w:pPr>
      <w:r>
        <w:rPr>
          <w:rFonts w:hint="eastAsia"/>
          <w:b/>
          <w:bCs/>
          <w:sz w:val="32"/>
          <w:szCs w:val="28"/>
        </w:rPr>
        <w:br w:type="page"/>
      </w:r>
    </w:p>
    <w:p>
      <w:pPr>
        <w:pStyle w:val="6"/>
        <w:ind w:firstLine="0"/>
        <w:rPr>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1、供应商符合《政府采购法》第二十二条规定条件的承诺函</w:t>
      </w:r>
    </w:p>
    <w:p>
      <w:pPr>
        <w:pStyle w:val="9"/>
        <w:spacing w:line="360" w:lineRule="auto"/>
        <w:ind w:left="0" w:leftChars="0"/>
        <w:rPr>
          <w:rFonts w:ascii="宋体"/>
          <w:sz w:val="24"/>
          <w:szCs w:val="24"/>
        </w:rPr>
      </w:pPr>
      <w:r>
        <w:rPr>
          <w:rFonts w:hint="eastAsia" w:ascii="宋体" w:hAnsi="宋体" w:cs="宋体"/>
          <w:sz w:val="24"/>
          <w:szCs w:val="24"/>
        </w:rPr>
        <w:t>致陕西万泽招标有限公司：</w:t>
      </w:r>
    </w:p>
    <w:p>
      <w:pPr>
        <w:pStyle w:val="9"/>
        <w:spacing w:line="360" w:lineRule="auto"/>
        <w:ind w:left="0" w:leftChars="0" w:firstLine="540" w:firstLineChars="225"/>
        <w:rPr>
          <w:rFonts w:ascii="宋体"/>
          <w:sz w:val="24"/>
          <w:szCs w:val="24"/>
        </w:rPr>
      </w:pPr>
      <w:r>
        <w:rPr>
          <w:rFonts w:hint="eastAsia" w:ascii="宋体" w:hAnsi="宋体" w:cs="宋体"/>
          <w:sz w:val="24"/>
          <w:szCs w:val="24"/>
        </w:rPr>
        <w:t>本公司</w:t>
      </w:r>
      <w:r>
        <w:rPr>
          <w:rFonts w:hint="eastAsia" w:ascii="宋体" w:hAnsi="宋体" w:cs="宋体"/>
          <w:sz w:val="24"/>
          <w:szCs w:val="24"/>
          <w:u w:val="single"/>
        </w:rPr>
        <w:t>（公司名称）</w:t>
      </w:r>
      <w:r>
        <w:rPr>
          <w:rFonts w:hint="eastAsia" w:ascii="宋体" w:hAnsi="宋体" w:cs="宋体"/>
          <w:sz w:val="24"/>
          <w:szCs w:val="24"/>
        </w:rPr>
        <w:t>参加</w:t>
      </w:r>
      <w:r>
        <w:rPr>
          <w:rFonts w:hint="eastAsia" w:ascii="宋体" w:hAnsi="宋体" w:cs="宋体"/>
          <w:sz w:val="24"/>
          <w:szCs w:val="24"/>
          <w:u w:val="single"/>
        </w:rPr>
        <w:t>（项目名称）</w:t>
      </w:r>
      <w:r>
        <w:rPr>
          <w:rFonts w:hint="eastAsia" w:ascii="宋体" w:hAnsi="宋体" w:cs="宋体"/>
          <w:sz w:val="24"/>
          <w:szCs w:val="24"/>
        </w:rPr>
        <w:t>的磋商活动，现承诺：</w:t>
      </w:r>
    </w:p>
    <w:p>
      <w:pPr>
        <w:pStyle w:val="9"/>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9"/>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p>
    <w:p>
      <w:pPr>
        <w:pStyle w:val="9"/>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p>
    <w:p>
      <w:pPr>
        <w:pStyle w:val="9"/>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p>
    <w:p>
      <w:pPr>
        <w:pStyle w:val="9"/>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p>
    <w:p>
      <w:pPr>
        <w:pStyle w:val="9"/>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p>
    <w:p>
      <w:pPr>
        <w:pStyle w:val="9"/>
        <w:spacing w:line="360" w:lineRule="auto"/>
        <w:ind w:left="0" w:leftChars="0" w:firstLine="540" w:firstLineChars="225"/>
        <w:rPr>
          <w:rFonts w:ascii="宋体" w:hAnsi="宋体" w:cs="宋体"/>
          <w:sz w:val="24"/>
          <w:szCs w:val="24"/>
        </w:rPr>
      </w:pPr>
      <w:r>
        <w:rPr>
          <w:rFonts w:hint="eastAsia" w:ascii="宋体" w:hAnsi="宋体" w:cs="宋体"/>
          <w:sz w:val="24"/>
          <w:szCs w:val="24"/>
        </w:rPr>
        <w:t>（六）法律、行政法规规定的其他条件；</w:t>
      </w:r>
    </w:p>
    <w:p>
      <w:pPr>
        <w:pStyle w:val="9"/>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9"/>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p>
    <w:p>
      <w:pPr>
        <w:pStyle w:val="6"/>
        <w:ind w:firstLine="0"/>
      </w:pPr>
    </w:p>
    <w:p/>
    <w:p>
      <w:pPr>
        <w:rPr>
          <w:sz w:val="32"/>
          <w:szCs w:val="36"/>
        </w:rPr>
      </w:pPr>
    </w:p>
    <w:p>
      <w:pPr>
        <w:rPr>
          <w:sz w:val="32"/>
          <w:szCs w:val="36"/>
        </w:rPr>
      </w:pPr>
    </w:p>
    <w:p>
      <w:pPr>
        <w:rPr>
          <w:sz w:val="32"/>
          <w:szCs w:val="36"/>
        </w:rPr>
      </w:pPr>
    </w:p>
    <w:p>
      <w:pPr>
        <w:rPr>
          <w:sz w:val="32"/>
          <w:szCs w:val="36"/>
        </w:rPr>
      </w:pPr>
    </w:p>
    <w:p>
      <w:pPr>
        <w:rPr>
          <w:sz w:val="32"/>
          <w:szCs w:val="36"/>
        </w:rPr>
      </w:pPr>
    </w:p>
    <w:p/>
    <w:p>
      <w:pPr>
        <w:rPr>
          <w:sz w:val="32"/>
          <w:szCs w:val="36"/>
        </w:rPr>
      </w:pPr>
      <w:r>
        <w:rPr>
          <w:rFonts w:hint="eastAsia"/>
          <w:sz w:val="32"/>
          <w:szCs w:val="36"/>
        </w:rPr>
        <w:t>2、供应商基本情况一览表</w:t>
      </w:r>
    </w:p>
    <w:p>
      <w:pPr>
        <w:rPr>
          <w:sz w:val="28"/>
          <w:szCs w:val="28"/>
        </w:rPr>
      </w:pPr>
      <w:r>
        <w:rPr>
          <w:rFonts w:hint="eastAsia"/>
          <w:sz w:val="28"/>
          <w:szCs w:val="28"/>
        </w:rPr>
        <w:t>2-1供应商基本情况一览表</w:t>
      </w:r>
    </w:p>
    <w:tbl>
      <w:tblPr>
        <w:tblStyle w:val="26"/>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spacing w:line="360" w:lineRule="atLeast"/>
              <w:outlineLvl w:val="1"/>
              <w:rPr>
                <w:rFonts w:asciiTheme="minorEastAsia" w:hAnsiTheme="minorEastAsia" w:eastAsiaTheme="minorEastAsia"/>
                <w:szCs w:val="21"/>
              </w:rPr>
            </w:pPr>
            <w:bookmarkStart w:id="142" w:name="_Toc7093"/>
            <w:bookmarkStart w:id="143" w:name="_Toc1915"/>
            <w:bookmarkStart w:id="144" w:name="_Toc9934"/>
            <w:bookmarkStart w:id="145" w:name="_Toc8536"/>
            <w:bookmarkStart w:id="146" w:name="_Toc2945"/>
            <w:bookmarkStart w:id="147" w:name="_Toc32560"/>
            <w:bookmarkStart w:id="148" w:name="_Toc2619"/>
            <w:bookmarkStart w:id="149" w:name="_Toc17692"/>
            <w:bookmarkStart w:id="150" w:name="_Toc26965"/>
            <w:bookmarkStart w:id="151" w:name="_Toc15791"/>
            <w:bookmarkStart w:id="152" w:name="_Toc1292"/>
            <w:bookmarkStart w:id="153" w:name="_Toc22201"/>
            <w:bookmarkStart w:id="154" w:name="_Toc22748"/>
            <w:bookmarkStart w:id="155" w:name="_Toc28240"/>
            <w:r>
              <w:rPr>
                <w:rFonts w:hint="eastAsia" w:asciiTheme="minorEastAsia" w:hAnsiTheme="minorEastAsia" w:eastAsiaTheme="minorEastAsia"/>
                <w:szCs w:val="21"/>
              </w:rPr>
              <w:t>投标人名称</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7105" w:type="dxa"/>
            <w:gridSpan w:val="7"/>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spacing w:line="360" w:lineRule="atLeast"/>
              <w:outlineLvl w:val="1"/>
              <w:rPr>
                <w:rFonts w:asciiTheme="minorEastAsia" w:hAnsiTheme="minorEastAsia" w:eastAsiaTheme="minorEastAsia"/>
                <w:szCs w:val="21"/>
              </w:rPr>
            </w:pPr>
            <w:bookmarkStart w:id="156" w:name="_Toc780"/>
            <w:bookmarkStart w:id="157" w:name="_Toc13708"/>
            <w:bookmarkStart w:id="158" w:name="_Toc97"/>
            <w:bookmarkStart w:id="159" w:name="_Toc31136"/>
            <w:bookmarkStart w:id="160" w:name="_Toc22210"/>
            <w:bookmarkStart w:id="161" w:name="_Toc14804"/>
            <w:bookmarkStart w:id="162" w:name="_Toc19120"/>
            <w:bookmarkStart w:id="163" w:name="_Toc2013"/>
            <w:bookmarkStart w:id="164" w:name="_Toc21823"/>
            <w:bookmarkStart w:id="165" w:name="_Toc32618"/>
            <w:bookmarkStart w:id="166" w:name="_Toc8909"/>
            <w:bookmarkStart w:id="167" w:name="_Toc11977"/>
            <w:bookmarkStart w:id="168" w:name="_Toc26409"/>
            <w:bookmarkStart w:id="169" w:name="_Toc6524"/>
            <w:r>
              <w:rPr>
                <w:rFonts w:hint="eastAsia" w:asciiTheme="minorEastAsia" w:hAnsiTheme="minorEastAsia" w:eastAsiaTheme="minorEastAsia"/>
                <w:szCs w:val="21"/>
              </w:rPr>
              <w:t>注册地址</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3655" w:type="dxa"/>
            <w:gridSpan w:val="3"/>
            <w:vAlign w:val="center"/>
          </w:tcPr>
          <w:p>
            <w:pPr>
              <w:spacing w:line="360" w:lineRule="atLeast"/>
              <w:ind w:firstLine="411" w:firstLineChars="196"/>
              <w:outlineLvl w:val="1"/>
              <w:rPr>
                <w:rFonts w:asciiTheme="minorEastAsia" w:hAnsiTheme="minorEastAsia" w:eastAsiaTheme="minorEastAsia"/>
                <w:szCs w:val="21"/>
              </w:rPr>
            </w:pPr>
          </w:p>
        </w:tc>
        <w:tc>
          <w:tcPr>
            <w:tcW w:w="1401" w:type="dxa"/>
            <w:vAlign w:val="center"/>
          </w:tcPr>
          <w:p>
            <w:pPr>
              <w:spacing w:line="360" w:lineRule="atLeast"/>
              <w:outlineLvl w:val="1"/>
              <w:rPr>
                <w:rFonts w:asciiTheme="minorEastAsia" w:hAnsiTheme="minorEastAsia" w:eastAsiaTheme="minorEastAsia"/>
                <w:szCs w:val="21"/>
              </w:rPr>
            </w:pPr>
            <w:bookmarkStart w:id="170" w:name="_Toc29374"/>
            <w:bookmarkStart w:id="171" w:name="_Toc29223"/>
            <w:bookmarkStart w:id="172" w:name="_Toc3607"/>
            <w:bookmarkStart w:id="173" w:name="_Toc18913"/>
            <w:bookmarkStart w:id="174" w:name="_Toc15900"/>
            <w:bookmarkStart w:id="175" w:name="_Toc26349"/>
            <w:bookmarkStart w:id="176" w:name="_Toc28799"/>
            <w:bookmarkStart w:id="177" w:name="_Toc22329"/>
            <w:bookmarkStart w:id="178" w:name="_Toc23441"/>
            <w:bookmarkStart w:id="179" w:name="_Toc23970"/>
            <w:bookmarkStart w:id="180" w:name="_Toc20879"/>
            <w:bookmarkStart w:id="181" w:name="_Toc21514"/>
            <w:bookmarkStart w:id="182" w:name="_Toc6489"/>
            <w:bookmarkStart w:id="183" w:name="_Toc16477"/>
            <w:r>
              <w:rPr>
                <w:rFonts w:hint="eastAsia" w:asciiTheme="minorEastAsia" w:hAnsiTheme="minorEastAsia" w:eastAsiaTheme="minorEastAsia"/>
                <w:szCs w:val="21"/>
              </w:rPr>
              <w:t>邮政编码</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c>
        <w:tc>
          <w:tcPr>
            <w:tcW w:w="2049" w:type="dxa"/>
            <w:gridSpan w:val="3"/>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spacing w:line="360" w:lineRule="atLeast"/>
              <w:outlineLvl w:val="1"/>
              <w:rPr>
                <w:rFonts w:asciiTheme="minorEastAsia" w:hAnsiTheme="minorEastAsia" w:eastAsiaTheme="minorEastAsia"/>
                <w:szCs w:val="21"/>
              </w:rPr>
            </w:pPr>
            <w:bookmarkStart w:id="184" w:name="_Toc9606"/>
            <w:bookmarkStart w:id="185" w:name="_Toc2641"/>
            <w:bookmarkStart w:id="186" w:name="_Toc11682"/>
            <w:bookmarkStart w:id="187" w:name="_Toc369"/>
            <w:bookmarkStart w:id="188" w:name="_Toc11729"/>
            <w:bookmarkStart w:id="189" w:name="_Toc26890"/>
            <w:bookmarkStart w:id="190" w:name="_Toc5182"/>
            <w:bookmarkStart w:id="191" w:name="_Toc12843"/>
            <w:bookmarkStart w:id="192" w:name="_Toc16657"/>
            <w:bookmarkStart w:id="193" w:name="_Toc7802"/>
            <w:bookmarkStart w:id="194" w:name="_Toc31191"/>
            <w:bookmarkStart w:id="195" w:name="_Toc11743"/>
            <w:bookmarkStart w:id="196" w:name="_Toc29904"/>
            <w:bookmarkStart w:id="197" w:name="_Toc24493"/>
            <w:r>
              <w:rPr>
                <w:rFonts w:hint="eastAsia" w:asciiTheme="minorEastAsia" w:hAnsiTheme="minorEastAsia" w:eastAsiaTheme="minorEastAsia"/>
                <w:szCs w:val="21"/>
              </w:rPr>
              <w:t>联系方式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c>
          <w:tcPr>
            <w:tcW w:w="1016" w:type="dxa"/>
            <w:vAlign w:val="center"/>
          </w:tcPr>
          <w:p>
            <w:pPr>
              <w:spacing w:line="360" w:lineRule="atLeast"/>
              <w:outlineLvl w:val="1"/>
              <w:rPr>
                <w:rFonts w:asciiTheme="minorEastAsia" w:hAnsiTheme="minorEastAsia" w:eastAsiaTheme="minorEastAsia"/>
                <w:szCs w:val="21"/>
              </w:rPr>
            </w:pPr>
            <w:bookmarkStart w:id="198" w:name="_Toc19499"/>
            <w:bookmarkStart w:id="199" w:name="_Toc13373"/>
            <w:bookmarkStart w:id="200" w:name="_Toc19687"/>
            <w:bookmarkStart w:id="201" w:name="_Toc26724"/>
            <w:bookmarkStart w:id="202" w:name="_Toc19133"/>
            <w:bookmarkStart w:id="203" w:name="_Toc15034"/>
            <w:bookmarkStart w:id="204" w:name="_Toc5516"/>
            <w:bookmarkStart w:id="205" w:name="_Toc14711"/>
            <w:bookmarkStart w:id="206" w:name="_Toc31719"/>
            <w:bookmarkStart w:id="207" w:name="_Toc9518"/>
            <w:bookmarkStart w:id="208" w:name="_Toc9416"/>
            <w:bookmarkStart w:id="209" w:name="_Toc13866"/>
            <w:bookmarkStart w:id="210" w:name="_Toc13527"/>
            <w:bookmarkStart w:id="211" w:name="_Toc32499"/>
            <w:r>
              <w:rPr>
                <w:rFonts w:hint="eastAsia" w:asciiTheme="minorEastAsia" w:hAnsiTheme="minorEastAsia" w:eastAsiaTheme="minorEastAsia"/>
                <w:szCs w:val="21"/>
              </w:rPr>
              <w:t>联系人</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c>
        <w:tc>
          <w:tcPr>
            <w:tcW w:w="2639"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1401" w:type="dxa"/>
            <w:vAlign w:val="center"/>
          </w:tcPr>
          <w:p>
            <w:pPr>
              <w:spacing w:line="360" w:lineRule="atLeast"/>
              <w:ind w:firstLine="411" w:firstLineChars="196"/>
              <w:outlineLvl w:val="1"/>
              <w:rPr>
                <w:rFonts w:asciiTheme="minorEastAsia" w:hAnsiTheme="minorEastAsia" w:eastAsiaTheme="minorEastAsia"/>
                <w:szCs w:val="21"/>
              </w:rPr>
            </w:pPr>
            <w:bookmarkStart w:id="212" w:name="_Toc29544"/>
            <w:bookmarkStart w:id="213" w:name="_Toc8211"/>
            <w:bookmarkStart w:id="214" w:name="_Toc16505"/>
            <w:bookmarkStart w:id="215" w:name="_Toc24796"/>
            <w:bookmarkStart w:id="216" w:name="_Toc7190"/>
            <w:bookmarkStart w:id="217" w:name="_Toc9163"/>
            <w:bookmarkStart w:id="218" w:name="_Toc688"/>
            <w:bookmarkStart w:id="219" w:name="_Toc16339"/>
            <w:bookmarkStart w:id="220" w:name="_Toc28708"/>
            <w:bookmarkStart w:id="221" w:name="_Toc17785"/>
            <w:bookmarkStart w:id="222" w:name="_Toc21869"/>
            <w:bookmarkStart w:id="223" w:name="_Toc8562"/>
            <w:bookmarkStart w:id="224" w:name="_Toc27995"/>
            <w:bookmarkStart w:id="225" w:name="_Toc4491"/>
            <w:r>
              <w:rPr>
                <w:rFonts w:hint="eastAsia" w:asciiTheme="minorEastAsia" w:hAnsiTheme="minorEastAsia" w:eastAsiaTheme="minorEastAsia"/>
                <w:szCs w:val="21"/>
              </w:rPr>
              <w:t>电话</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c>
        <w:tc>
          <w:tcPr>
            <w:tcW w:w="2049" w:type="dxa"/>
            <w:gridSpan w:val="3"/>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spacing w:line="360" w:lineRule="atLeast"/>
              <w:outlineLvl w:val="1"/>
              <w:rPr>
                <w:rFonts w:asciiTheme="minorEastAsia" w:hAnsiTheme="minorEastAsia" w:eastAsiaTheme="minorEastAsia"/>
                <w:szCs w:val="21"/>
              </w:rPr>
            </w:pPr>
            <w:bookmarkStart w:id="226" w:name="_Toc17068"/>
            <w:bookmarkStart w:id="227" w:name="_Toc24144"/>
            <w:bookmarkStart w:id="228" w:name="_Toc11248"/>
            <w:bookmarkStart w:id="229" w:name="_Toc23275"/>
            <w:bookmarkStart w:id="230" w:name="_Toc31004"/>
            <w:bookmarkStart w:id="231" w:name="_Toc13728"/>
            <w:bookmarkStart w:id="232" w:name="_Toc2259"/>
            <w:bookmarkStart w:id="233" w:name="_Toc11147"/>
            <w:bookmarkStart w:id="234" w:name="_Toc12905"/>
            <w:bookmarkStart w:id="235" w:name="_Toc2845"/>
            <w:bookmarkStart w:id="236" w:name="_Toc7617"/>
            <w:bookmarkStart w:id="237" w:name="_Toc21207"/>
            <w:bookmarkStart w:id="238" w:name="_Toc3467"/>
            <w:bookmarkStart w:id="239" w:name="_Toc8347"/>
            <w:r>
              <w:rPr>
                <w:rFonts w:hint="eastAsia" w:asciiTheme="minorEastAsia" w:hAnsiTheme="minorEastAsia" w:eastAsiaTheme="minorEastAsia"/>
                <w:szCs w:val="21"/>
              </w:rPr>
              <w:t>法定代表人</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c>
        <w:tc>
          <w:tcPr>
            <w:tcW w:w="1016" w:type="dxa"/>
            <w:vAlign w:val="center"/>
          </w:tcPr>
          <w:p>
            <w:pPr>
              <w:spacing w:line="360" w:lineRule="atLeast"/>
              <w:outlineLvl w:val="1"/>
              <w:rPr>
                <w:rFonts w:asciiTheme="minorEastAsia" w:hAnsiTheme="minorEastAsia" w:eastAsiaTheme="minorEastAsia"/>
                <w:szCs w:val="21"/>
              </w:rPr>
            </w:pPr>
            <w:bookmarkStart w:id="240" w:name="_Toc26468"/>
            <w:bookmarkStart w:id="241" w:name="_Toc9031"/>
            <w:bookmarkStart w:id="242" w:name="_Toc21199"/>
            <w:bookmarkStart w:id="243" w:name="_Toc12305"/>
            <w:bookmarkStart w:id="244" w:name="_Toc24605"/>
            <w:bookmarkStart w:id="245" w:name="_Toc14856"/>
            <w:bookmarkStart w:id="246" w:name="_Toc21426"/>
            <w:bookmarkStart w:id="247" w:name="_Toc12093"/>
            <w:bookmarkStart w:id="248" w:name="_Toc17642"/>
            <w:bookmarkStart w:id="249" w:name="_Toc24165"/>
            <w:bookmarkStart w:id="250" w:name="_Toc25141"/>
            <w:bookmarkStart w:id="251" w:name="_Toc24879"/>
            <w:bookmarkStart w:id="252" w:name="_Toc16273"/>
            <w:bookmarkStart w:id="253" w:name="_Toc29568"/>
            <w:r>
              <w:rPr>
                <w:rFonts w:hint="eastAsia" w:asciiTheme="minorEastAsia" w:hAnsiTheme="minorEastAsia" w:eastAsiaTheme="minorEastAsia"/>
                <w:szCs w:val="21"/>
              </w:rPr>
              <w:t>姓名</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c>
        <w:tc>
          <w:tcPr>
            <w:tcW w:w="1315" w:type="dxa"/>
            <w:vAlign w:val="center"/>
          </w:tcPr>
          <w:p>
            <w:pPr>
              <w:spacing w:line="360" w:lineRule="atLeast"/>
              <w:ind w:firstLine="411" w:firstLineChars="196"/>
              <w:outlineLvl w:val="1"/>
              <w:rPr>
                <w:rFonts w:asciiTheme="minorEastAsia" w:hAnsiTheme="minorEastAsia" w:eastAsiaTheme="minorEastAsia"/>
                <w:szCs w:val="21"/>
              </w:rPr>
            </w:pPr>
          </w:p>
        </w:tc>
        <w:tc>
          <w:tcPr>
            <w:tcW w:w="1324" w:type="dxa"/>
            <w:vAlign w:val="center"/>
          </w:tcPr>
          <w:p>
            <w:pPr>
              <w:spacing w:line="360" w:lineRule="atLeast"/>
              <w:outlineLvl w:val="1"/>
              <w:rPr>
                <w:rFonts w:asciiTheme="minorEastAsia" w:hAnsiTheme="minorEastAsia" w:eastAsiaTheme="minorEastAsia"/>
                <w:szCs w:val="21"/>
              </w:rPr>
            </w:pPr>
            <w:bookmarkStart w:id="254" w:name="_Toc31988"/>
            <w:bookmarkStart w:id="255" w:name="_Toc26268"/>
            <w:bookmarkStart w:id="256" w:name="_Toc27118"/>
            <w:bookmarkStart w:id="257" w:name="_Toc18465"/>
            <w:bookmarkStart w:id="258" w:name="_Toc25244"/>
            <w:bookmarkStart w:id="259" w:name="_Toc28385"/>
            <w:bookmarkStart w:id="260" w:name="_Toc7920"/>
            <w:bookmarkStart w:id="261" w:name="_Toc26381"/>
            <w:bookmarkStart w:id="262" w:name="_Toc27347"/>
            <w:bookmarkStart w:id="263" w:name="_Toc1108"/>
            <w:bookmarkStart w:id="264" w:name="_Toc21007"/>
            <w:bookmarkStart w:id="265" w:name="_Toc32321"/>
            <w:bookmarkStart w:id="266" w:name="_Toc8751"/>
            <w:bookmarkStart w:id="267" w:name="_Toc2017"/>
            <w:r>
              <w:rPr>
                <w:rFonts w:hint="eastAsia" w:asciiTheme="minorEastAsia" w:hAnsiTheme="minorEastAsia" w:eastAsiaTheme="minorEastAsia"/>
                <w:szCs w:val="21"/>
              </w:rPr>
              <w:t>技术职称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tc>
        <w:tc>
          <w:tcPr>
            <w:tcW w:w="1401" w:type="dxa"/>
            <w:vAlign w:val="center"/>
          </w:tcPr>
          <w:p>
            <w:pPr>
              <w:spacing w:line="360" w:lineRule="atLeast"/>
              <w:ind w:firstLine="411" w:firstLineChars="196"/>
              <w:outlineLvl w:val="1"/>
              <w:rPr>
                <w:rFonts w:asciiTheme="minorEastAsia" w:hAnsiTheme="minorEastAsia" w:eastAsiaTheme="minorEastAsia"/>
                <w:szCs w:val="21"/>
              </w:rPr>
            </w:pPr>
          </w:p>
        </w:tc>
        <w:tc>
          <w:tcPr>
            <w:tcW w:w="902" w:type="dxa"/>
            <w:gridSpan w:val="2"/>
            <w:vAlign w:val="center"/>
          </w:tcPr>
          <w:p>
            <w:pPr>
              <w:spacing w:line="360" w:lineRule="atLeast"/>
              <w:outlineLvl w:val="1"/>
              <w:rPr>
                <w:rFonts w:asciiTheme="minorEastAsia" w:hAnsiTheme="minorEastAsia" w:eastAsiaTheme="minorEastAsia"/>
                <w:szCs w:val="21"/>
              </w:rPr>
            </w:pPr>
            <w:bookmarkStart w:id="268" w:name="_Toc22888"/>
            <w:bookmarkStart w:id="269" w:name="_Toc9620"/>
            <w:bookmarkStart w:id="270" w:name="_Toc3516"/>
            <w:bookmarkStart w:id="271" w:name="_Toc6101"/>
            <w:bookmarkStart w:id="272" w:name="_Toc13541"/>
            <w:bookmarkStart w:id="273" w:name="_Toc21130"/>
            <w:bookmarkStart w:id="274" w:name="_Toc31099"/>
            <w:bookmarkStart w:id="275" w:name="_Toc30045"/>
            <w:bookmarkStart w:id="276" w:name="_Toc27929"/>
            <w:bookmarkStart w:id="277" w:name="_Toc7118"/>
            <w:bookmarkStart w:id="278" w:name="_Toc16043"/>
            <w:bookmarkStart w:id="279" w:name="_Toc31880"/>
            <w:bookmarkStart w:id="280" w:name="_Toc17616"/>
            <w:bookmarkStart w:id="281" w:name="_Toc4198"/>
            <w:r>
              <w:rPr>
                <w:rFonts w:hint="eastAsia" w:asciiTheme="minorEastAsia" w:hAnsiTheme="minorEastAsia" w:eastAsiaTheme="minorEastAsia"/>
                <w:szCs w:val="21"/>
              </w:rPr>
              <w:t>电话</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1147" w:type="dxa"/>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spacing w:line="360" w:lineRule="atLeast"/>
              <w:outlineLvl w:val="1"/>
              <w:rPr>
                <w:rFonts w:asciiTheme="minorEastAsia" w:hAnsiTheme="minorEastAsia" w:eastAsiaTheme="minorEastAsia"/>
                <w:szCs w:val="21"/>
              </w:rPr>
            </w:pPr>
            <w:bookmarkStart w:id="282" w:name="_Toc15516"/>
            <w:bookmarkStart w:id="283" w:name="_Toc4379"/>
            <w:bookmarkStart w:id="284" w:name="_Toc14315"/>
            <w:bookmarkStart w:id="285" w:name="_Toc24142"/>
            <w:bookmarkStart w:id="286" w:name="_Toc11129"/>
            <w:bookmarkStart w:id="287" w:name="_Toc2239"/>
            <w:bookmarkStart w:id="288" w:name="_Toc7937"/>
            <w:bookmarkStart w:id="289" w:name="_Toc30672"/>
            <w:bookmarkStart w:id="290" w:name="_Toc21605"/>
            <w:bookmarkStart w:id="291" w:name="_Toc30342"/>
            <w:bookmarkStart w:id="292" w:name="_Toc6740"/>
            <w:bookmarkStart w:id="293" w:name="_Toc26532"/>
            <w:bookmarkStart w:id="294" w:name="_Toc1568"/>
            <w:bookmarkStart w:id="295" w:name="_Toc19033"/>
            <w:r>
              <w:rPr>
                <w:rFonts w:hint="eastAsia" w:asciiTheme="minorEastAsia" w:hAnsiTheme="minorEastAsia" w:eastAsiaTheme="minorEastAsia"/>
                <w:szCs w:val="21"/>
              </w:rPr>
              <w:t>技术负责人</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c>
          <w:tcPr>
            <w:tcW w:w="1016" w:type="dxa"/>
            <w:vAlign w:val="center"/>
          </w:tcPr>
          <w:p>
            <w:pPr>
              <w:spacing w:line="360" w:lineRule="atLeast"/>
              <w:outlineLvl w:val="1"/>
              <w:rPr>
                <w:rFonts w:asciiTheme="minorEastAsia" w:hAnsiTheme="minorEastAsia" w:eastAsiaTheme="minorEastAsia"/>
                <w:szCs w:val="21"/>
              </w:rPr>
            </w:pPr>
            <w:bookmarkStart w:id="296" w:name="_Toc1433"/>
            <w:bookmarkStart w:id="297" w:name="_Toc31896"/>
            <w:bookmarkStart w:id="298" w:name="_Toc2732"/>
            <w:bookmarkStart w:id="299" w:name="_Toc29341"/>
            <w:bookmarkStart w:id="300" w:name="_Toc6198"/>
            <w:bookmarkStart w:id="301" w:name="_Toc9574"/>
            <w:bookmarkStart w:id="302" w:name="_Toc1655"/>
            <w:bookmarkStart w:id="303" w:name="_Toc30100"/>
            <w:bookmarkStart w:id="304" w:name="_Toc29494"/>
            <w:bookmarkStart w:id="305" w:name="_Toc7087"/>
            <w:bookmarkStart w:id="306" w:name="_Toc21268"/>
            <w:bookmarkStart w:id="307" w:name="_Toc20171"/>
            <w:bookmarkStart w:id="308" w:name="_Toc16650"/>
            <w:bookmarkStart w:id="309" w:name="_Toc5075"/>
            <w:r>
              <w:rPr>
                <w:rFonts w:hint="eastAsia" w:asciiTheme="minorEastAsia" w:hAnsiTheme="minorEastAsia" w:eastAsiaTheme="minorEastAsia"/>
                <w:szCs w:val="21"/>
              </w:rPr>
              <w:t>姓名</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c>
        <w:tc>
          <w:tcPr>
            <w:tcW w:w="1315" w:type="dxa"/>
            <w:vAlign w:val="center"/>
          </w:tcPr>
          <w:p>
            <w:pPr>
              <w:spacing w:line="360" w:lineRule="atLeast"/>
              <w:ind w:firstLine="411" w:firstLineChars="196"/>
              <w:outlineLvl w:val="1"/>
              <w:rPr>
                <w:rFonts w:asciiTheme="minorEastAsia" w:hAnsiTheme="minorEastAsia" w:eastAsiaTheme="minorEastAsia"/>
                <w:szCs w:val="21"/>
              </w:rPr>
            </w:pPr>
          </w:p>
        </w:tc>
        <w:tc>
          <w:tcPr>
            <w:tcW w:w="1324" w:type="dxa"/>
            <w:vAlign w:val="center"/>
          </w:tcPr>
          <w:p>
            <w:pPr>
              <w:spacing w:line="360" w:lineRule="atLeast"/>
              <w:outlineLvl w:val="1"/>
              <w:rPr>
                <w:rFonts w:asciiTheme="minorEastAsia" w:hAnsiTheme="minorEastAsia" w:eastAsiaTheme="minorEastAsia"/>
                <w:szCs w:val="21"/>
              </w:rPr>
            </w:pPr>
            <w:bookmarkStart w:id="310" w:name="_Toc15257"/>
            <w:bookmarkStart w:id="311" w:name="_Toc3349"/>
            <w:bookmarkStart w:id="312" w:name="_Toc10616"/>
            <w:bookmarkStart w:id="313" w:name="_Toc13631"/>
            <w:bookmarkStart w:id="314" w:name="_Toc10698"/>
            <w:bookmarkStart w:id="315" w:name="_Toc20543"/>
            <w:bookmarkStart w:id="316" w:name="_Toc7968"/>
            <w:bookmarkStart w:id="317" w:name="_Toc17241"/>
            <w:bookmarkStart w:id="318" w:name="_Toc6331"/>
            <w:bookmarkStart w:id="319" w:name="_Toc9445"/>
            <w:bookmarkStart w:id="320" w:name="_Toc19097"/>
            <w:bookmarkStart w:id="321" w:name="_Toc8864"/>
            <w:bookmarkStart w:id="322" w:name="_Toc30803"/>
            <w:bookmarkStart w:id="323" w:name="_Toc18242"/>
            <w:r>
              <w:rPr>
                <w:rFonts w:hint="eastAsia" w:asciiTheme="minorEastAsia" w:hAnsiTheme="minorEastAsia" w:eastAsiaTheme="minorEastAsia"/>
                <w:szCs w:val="21"/>
              </w:rPr>
              <w:t>技术职称</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c>
        <w:tc>
          <w:tcPr>
            <w:tcW w:w="1401" w:type="dxa"/>
            <w:vAlign w:val="center"/>
          </w:tcPr>
          <w:p>
            <w:pPr>
              <w:spacing w:line="360" w:lineRule="atLeast"/>
              <w:ind w:firstLine="411" w:firstLineChars="196"/>
              <w:outlineLvl w:val="1"/>
              <w:rPr>
                <w:rFonts w:asciiTheme="minorEastAsia" w:hAnsiTheme="minorEastAsia" w:eastAsiaTheme="minorEastAsia"/>
                <w:szCs w:val="21"/>
              </w:rPr>
            </w:pPr>
          </w:p>
        </w:tc>
        <w:tc>
          <w:tcPr>
            <w:tcW w:w="902" w:type="dxa"/>
            <w:gridSpan w:val="2"/>
            <w:vAlign w:val="center"/>
          </w:tcPr>
          <w:p>
            <w:pPr>
              <w:spacing w:line="360" w:lineRule="atLeast"/>
              <w:outlineLvl w:val="1"/>
              <w:rPr>
                <w:rFonts w:asciiTheme="minorEastAsia" w:hAnsiTheme="minorEastAsia" w:eastAsiaTheme="minorEastAsia"/>
                <w:szCs w:val="21"/>
              </w:rPr>
            </w:pPr>
            <w:bookmarkStart w:id="324" w:name="_Toc32159"/>
            <w:bookmarkStart w:id="325" w:name="_Toc22127"/>
            <w:bookmarkStart w:id="326" w:name="_Toc31545"/>
            <w:bookmarkStart w:id="327" w:name="_Toc10304"/>
            <w:bookmarkStart w:id="328" w:name="_Toc21579"/>
            <w:bookmarkStart w:id="329" w:name="_Toc18905"/>
            <w:bookmarkStart w:id="330" w:name="_Toc28750"/>
            <w:bookmarkStart w:id="331" w:name="_Toc15304"/>
            <w:bookmarkStart w:id="332" w:name="_Toc21389"/>
            <w:bookmarkStart w:id="333" w:name="_Toc1889"/>
            <w:bookmarkStart w:id="334" w:name="_Toc8058"/>
            <w:bookmarkStart w:id="335" w:name="_Toc18875"/>
            <w:bookmarkStart w:id="336" w:name="_Toc21976"/>
            <w:bookmarkStart w:id="337" w:name="_Toc12282"/>
            <w:r>
              <w:rPr>
                <w:rFonts w:hint="eastAsia" w:asciiTheme="minorEastAsia" w:hAnsiTheme="minorEastAsia" w:eastAsiaTheme="minorEastAsia"/>
                <w:szCs w:val="21"/>
              </w:rPr>
              <w:t>电话</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tc>
        <w:tc>
          <w:tcPr>
            <w:tcW w:w="1147" w:type="dxa"/>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spacing w:line="360" w:lineRule="atLeast"/>
              <w:outlineLvl w:val="1"/>
              <w:rPr>
                <w:rFonts w:asciiTheme="minorEastAsia" w:hAnsiTheme="minorEastAsia" w:eastAsiaTheme="minorEastAsia"/>
                <w:szCs w:val="21"/>
              </w:rPr>
            </w:pPr>
            <w:bookmarkStart w:id="338" w:name="_Toc17361"/>
            <w:bookmarkStart w:id="339" w:name="_Toc822"/>
            <w:bookmarkStart w:id="340" w:name="_Toc7080"/>
            <w:bookmarkStart w:id="341" w:name="_Toc16393"/>
            <w:bookmarkStart w:id="342" w:name="_Toc32481"/>
            <w:bookmarkStart w:id="343" w:name="_Toc27207"/>
            <w:bookmarkStart w:id="344" w:name="_Toc20680"/>
            <w:bookmarkStart w:id="345" w:name="_Toc13321"/>
            <w:bookmarkStart w:id="346" w:name="_Toc12806"/>
            <w:bookmarkStart w:id="347" w:name="_Toc29596"/>
            <w:bookmarkStart w:id="348" w:name="_Toc1267"/>
            <w:bookmarkStart w:id="349" w:name="_Toc31647"/>
            <w:bookmarkStart w:id="350" w:name="_Toc7123"/>
            <w:bookmarkStart w:id="351" w:name="_Toc6831"/>
            <w:r>
              <w:rPr>
                <w:rFonts w:hint="eastAsia" w:asciiTheme="minorEastAsia" w:hAnsiTheme="minorEastAsia" w:eastAsiaTheme="minorEastAsia"/>
                <w:szCs w:val="21"/>
              </w:rPr>
              <w:t>成立时间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2331"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4774" w:type="dxa"/>
            <w:gridSpan w:val="5"/>
            <w:vAlign w:val="center"/>
          </w:tcPr>
          <w:p>
            <w:pPr>
              <w:spacing w:line="360" w:lineRule="atLeast"/>
              <w:outlineLvl w:val="1"/>
              <w:rPr>
                <w:rFonts w:asciiTheme="minorEastAsia" w:hAnsiTheme="minorEastAsia" w:eastAsiaTheme="minorEastAsia"/>
                <w:szCs w:val="21"/>
              </w:rPr>
            </w:pPr>
            <w:bookmarkStart w:id="352" w:name="_Toc18074"/>
            <w:bookmarkStart w:id="353" w:name="_Toc30021"/>
            <w:bookmarkStart w:id="354" w:name="_Toc17325"/>
            <w:bookmarkStart w:id="355" w:name="_Toc8632"/>
            <w:bookmarkStart w:id="356" w:name="_Toc31315"/>
            <w:bookmarkStart w:id="357" w:name="_Toc20618"/>
            <w:bookmarkStart w:id="358" w:name="_Toc14519"/>
            <w:bookmarkStart w:id="359" w:name="_Toc11087"/>
            <w:bookmarkStart w:id="360" w:name="_Toc23841"/>
            <w:bookmarkStart w:id="361" w:name="_Toc32269"/>
            <w:bookmarkStart w:id="362" w:name="_Toc28352"/>
            <w:bookmarkStart w:id="363" w:name="_Toc31236"/>
            <w:bookmarkStart w:id="364" w:name="_Toc11163"/>
            <w:bookmarkStart w:id="365" w:name="_Toc28681"/>
            <w:r>
              <w:rPr>
                <w:rFonts w:hint="eastAsia" w:asciiTheme="minorEastAsia" w:hAnsiTheme="minorEastAsia" w:eastAsiaTheme="minorEastAsia"/>
                <w:szCs w:val="21"/>
              </w:rPr>
              <w:t>员工总人数：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spacing w:line="360" w:lineRule="atLeast"/>
              <w:outlineLvl w:val="1"/>
              <w:rPr>
                <w:rFonts w:asciiTheme="minorEastAsia" w:hAnsiTheme="minorEastAsia" w:eastAsiaTheme="minorEastAsia"/>
                <w:szCs w:val="21"/>
              </w:rPr>
            </w:pPr>
            <w:bookmarkStart w:id="366" w:name="_Toc18478"/>
            <w:bookmarkStart w:id="367" w:name="_Toc25994"/>
            <w:bookmarkStart w:id="368" w:name="_Toc25138"/>
            <w:bookmarkStart w:id="369" w:name="_Toc4446"/>
            <w:bookmarkStart w:id="370" w:name="_Toc32520"/>
            <w:bookmarkStart w:id="371" w:name="_Toc23027"/>
            <w:bookmarkStart w:id="372" w:name="_Toc25813"/>
            <w:bookmarkStart w:id="373" w:name="_Toc27174"/>
            <w:bookmarkStart w:id="374" w:name="_Toc16125"/>
            <w:bookmarkStart w:id="375" w:name="_Toc4610"/>
            <w:bookmarkStart w:id="376" w:name="_Toc15670"/>
            <w:bookmarkStart w:id="377" w:name="_Toc11021"/>
            <w:bookmarkStart w:id="378" w:name="_Toc30478"/>
            <w:bookmarkStart w:id="379" w:name="_Toc11717"/>
            <w:r>
              <w:rPr>
                <w:rFonts w:hint="eastAsia" w:asciiTheme="minorEastAsia" w:hAnsiTheme="minorEastAsia" w:eastAsiaTheme="minorEastAsia"/>
                <w:szCs w:val="21"/>
              </w:rPr>
              <w:t>营业执照号</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c>
        <w:tc>
          <w:tcPr>
            <w:tcW w:w="2331"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1324" w:type="dxa"/>
            <w:vMerge w:val="restart"/>
            <w:vAlign w:val="center"/>
          </w:tcPr>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其中</w:t>
            </w:r>
          </w:p>
        </w:tc>
        <w:tc>
          <w:tcPr>
            <w:tcW w:w="1569" w:type="dxa"/>
            <w:gridSpan w:val="2"/>
            <w:vAlign w:val="center"/>
          </w:tcPr>
          <w:p>
            <w:pPr>
              <w:spacing w:line="360" w:lineRule="atLeast"/>
              <w:outlineLvl w:val="1"/>
              <w:rPr>
                <w:rFonts w:asciiTheme="minorEastAsia" w:hAnsiTheme="minorEastAsia" w:eastAsiaTheme="minorEastAsia"/>
                <w:szCs w:val="21"/>
              </w:rPr>
            </w:pPr>
            <w:bookmarkStart w:id="380" w:name="_Toc14657"/>
            <w:bookmarkStart w:id="381" w:name="_Toc14084"/>
            <w:bookmarkStart w:id="382" w:name="_Toc15045"/>
            <w:bookmarkStart w:id="383" w:name="_Toc10166"/>
            <w:bookmarkStart w:id="384" w:name="_Toc26752"/>
            <w:bookmarkStart w:id="385" w:name="_Toc1385"/>
            <w:bookmarkStart w:id="386" w:name="_Toc18995"/>
            <w:bookmarkStart w:id="387" w:name="_Toc20301"/>
            <w:bookmarkStart w:id="388" w:name="_Toc10836"/>
            <w:bookmarkStart w:id="389" w:name="_Toc26606"/>
            <w:bookmarkStart w:id="390" w:name="_Toc8802"/>
            <w:bookmarkStart w:id="391" w:name="_Toc27458"/>
            <w:bookmarkStart w:id="392" w:name="_Toc14262"/>
            <w:bookmarkStart w:id="393" w:name="_Toc29268"/>
            <w:r>
              <w:rPr>
                <w:rFonts w:hint="eastAsia" w:asciiTheme="minorEastAsia" w:hAnsiTheme="minorEastAsia" w:eastAsiaTheme="minorEastAsia"/>
                <w:szCs w:val="21"/>
              </w:rPr>
              <w:t>高级职称人员</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c>
        <w:tc>
          <w:tcPr>
            <w:tcW w:w="1881" w:type="dxa"/>
            <w:gridSpan w:val="2"/>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spacing w:line="360" w:lineRule="atLeast"/>
              <w:outlineLvl w:val="1"/>
              <w:rPr>
                <w:rFonts w:asciiTheme="minorEastAsia" w:hAnsiTheme="minorEastAsia" w:eastAsiaTheme="minorEastAsia"/>
                <w:szCs w:val="21"/>
              </w:rPr>
            </w:pPr>
            <w:bookmarkStart w:id="394" w:name="_Toc19065"/>
            <w:bookmarkStart w:id="395" w:name="_Toc23920"/>
            <w:bookmarkStart w:id="396" w:name="_Toc32483"/>
            <w:bookmarkStart w:id="397" w:name="_Toc13270"/>
            <w:bookmarkStart w:id="398" w:name="_Toc10137"/>
            <w:bookmarkStart w:id="399" w:name="_Toc6384"/>
            <w:bookmarkStart w:id="400" w:name="_Toc14806"/>
            <w:bookmarkStart w:id="401" w:name="_Toc29169"/>
            <w:bookmarkStart w:id="402" w:name="_Toc29416"/>
            <w:bookmarkStart w:id="403" w:name="_Toc16466"/>
            <w:bookmarkStart w:id="404" w:name="_Toc19611"/>
            <w:bookmarkStart w:id="405" w:name="_Toc29654"/>
            <w:bookmarkStart w:id="406" w:name="_Toc17342"/>
            <w:bookmarkStart w:id="407" w:name="_Toc26159"/>
            <w:r>
              <w:rPr>
                <w:rFonts w:hint="eastAsia" w:asciiTheme="minorEastAsia" w:hAnsiTheme="minorEastAsia" w:eastAsiaTheme="minorEastAsia"/>
                <w:szCs w:val="21"/>
              </w:rPr>
              <w:t>注册资金</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tc>
        <w:tc>
          <w:tcPr>
            <w:tcW w:w="2331"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1324" w:type="dxa"/>
            <w:vMerge w:val="continue"/>
            <w:vAlign w:val="center"/>
          </w:tcPr>
          <w:p>
            <w:pPr>
              <w:rPr>
                <w:rFonts w:asciiTheme="minorEastAsia" w:hAnsiTheme="minorEastAsia" w:eastAsiaTheme="minorEastAsia"/>
                <w:szCs w:val="21"/>
              </w:rPr>
            </w:pPr>
          </w:p>
        </w:tc>
        <w:tc>
          <w:tcPr>
            <w:tcW w:w="1569" w:type="dxa"/>
            <w:gridSpan w:val="2"/>
            <w:vAlign w:val="center"/>
          </w:tcPr>
          <w:p>
            <w:pPr>
              <w:spacing w:line="360" w:lineRule="atLeast"/>
              <w:outlineLvl w:val="1"/>
              <w:rPr>
                <w:rFonts w:asciiTheme="minorEastAsia" w:hAnsiTheme="minorEastAsia" w:eastAsiaTheme="minorEastAsia"/>
                <w:szCs w:val="21"/>
              </w:rPr>
            </w:pPr>
            <w:bookmarkStart w:id="408" w:name="_Toc21792"/>
            <w:bookmarkStart w:id="409" w:name="_Toc7434"/>
            <w:bookmarkStart w:id="410" w:name="_Toc11771"/>
            <w:bookmarkStart w:id="411" w:name="_Toc22485"/>
            <w:bookmarkStart w:id="412" w:name="_Toc25246"/>
            <w:bookmarkStart w:id="413" w:name="_Toc22456"/>
            <w:bookmarkStart w:id="414" w:name="_Toc28041"/>
            <w:bookmarkStart w:id="415" w:name="_Toc15432"/>
            <w:bookmarkStart w:id="416" w:name="_Toc22947"/>
            <w:bookmarkStart w:id="417" w:name="_Toc12309"/>
            <w:bookmarkStart w:id="418" w:name="_Toc16468"/>
            <w:bookmarkStart w:id="419" w:name="_Toc10562"/>
            <w:bookmarkStart w:id="420" w:name="_Toc17108"/>
            <w:bookmarkStart w:id="421" w:name="_Toc18568"/>
            <w:r>
              <w:rPr>
                <w:rFonts w:hint="eastAsia" w:asciiTheme="minorEastAsia" w:hAnsiTheme="minorEastAsia" w:eastAsiaTheme="minorEastAsia"/>
                <w:szCs w:val="21"/>
              </w:rPr>
              <w:t>中级职称人员</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tc>
        <w:tc>
          <w:tcPr>
            <w:tcW w:w="1881" w:type="dxa"/>
            <w:gridSpan w:val="2"/>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spacing w:line="360" w:lineRule="atLeast"/>
              <w:outlineLvl w:val="1"/>
              <w:rPr>
                <w:rFonts w:asciiTheme="minorEastAsia" w:hAnsiTheme="minorEastAsia" w:eastAsiaTheme="minorEastAsia"/>
                <w:szCs w:val="21"/>
              </w:rPr>
            </w:pPr>
            <w:bookmarkStart w:id="422" w:name="_Toc31280"/>
            <w:bookmarkStart w:id="423" w:name="_Toc20216"/>
            <w:bookmarkStart w:id="424" w:name="_Toc17018"/>
            <w:bookmarkStart w:id="425" w:name="_Toc25004"/>
            <w:bookmarkStart w:id="426" w:name="_Toc8053"/>
            <w:bookmarkStart w:id="427" w:name="_Toc24339"/>
            <w:bookmarkStart w:id="428" w:name="_Toc15078"/>
            <w:bookmarkStart w:id="429" w:name="_Toc1879"/>
            <w:bookmarkStart w:id="430" w:name="_Toc25622"/>
            <w:bookmarkStart w:id="431" w:name="_Toc5317"/>
            <w:bookmarkStart w:id="432" w:name="_Toc12816"/>
            <w:bookmarkStart w:id="433" w:name="_Toc7869"/>
            <w:bookmarkStart w:id="434" w:name="_Toc17806"/>
            <w:bookmarkStart w:id="435" w:name="_Toc114"/>
            <w:r>
              <w:rPr>
                <w:rFonts w:hint="eastAsia" w:asciiTheme="minorEastAsia" w:hAnsiTheme="minorEastAsia" w:eastAsiaTheme="minorEastAsia"/>
                <w:szCs w:val="21"/>
              </w:rPr>
              <w:t>开户银行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tc>
        <w:tc>
          <w:tcPr>
            <w:tcW w:w="2331"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1324" w:type="dxa"/>
            <w:vMerge w:val="continue"/>
            <w:vAlign w:val="center"/>
          </w:tcPr>
          <w:p>
            <w:pPr>
              <w:rPr>
                <w:rFonts w:asciiTheme="minorEastAsia" w:hAnsiTheme="minorEastAsia" w:eastAsiaTheme="minorEastAsia"/>
                <w:szCs w:val="21"/>
              </w:rPr>
            </w:pPr>
          </w:p>
        </w:tc>
        <w:tc>
          <w:tcPr>
            <w:tcW w:w="1569" w:type="dxa"/>
            <w:gridSpan w:val="2"/>
            <w:vAlign w:val="center"/>
          </w:tcPr>
          <w:p>
            <w:pPr>
              <w:spacing w:line="360" w:lineRule="atLeast"/>
              <w:outlineLvl w:val="1"/>
              <w:rPr>
                <w:rFonts w:asciiTheme="minorEastAsia" w:hAnsiTheme="minorEastAsia" w:eastAsiaTheme="minorEastAsia"/>
                <w:szCs w:val="21"/>
              </w:rPr>
            </w:pPr>
            <w:bookmarkStart w:id="436" w:name="_Toc12474"/>
            <w:bookmarkStart w:id="437" w:name="_Toc28762"/>
            <w:bookmarkStart w:id="438" w:name="_Toc7312"/>
            <w:bookmarkStart w:id="439" w:name="_Toc24476"/>
            <w:bookmarkStart w:id="440" w:name="_Toc22805"/>
            <w:bookmarkStart w:id="441" w:name="_Toc24563"/>
            <w:bookmarkStart w:id="442" w:name="_Toc3144"/>
            <w:bookmarkStart w:id="443" w:name="_Toc31118"/>
            <w:bookmarkStart w:id="444" w:name="_Toc9204"/>
            <w:bookmarkStart w:id="445" w:name="_Toc32215"/>
            <w:bookmarkStart w:id="446" w:name="_Toc12359"/>
            <w:bookmarkStart w:id="447" w:name="_Toc30412"/>
            <w:bookmarkStart w:id="448" w:name="_Toc25644"/>
            <w:bookmarkStart w:id="449" w:name="_Toc30097"/>
            <w:r>
              <w:rPr>
                <w:rFonts w:hint="eastAsia" w:asciiTheme="minorEastAsia" w:hAnsiTheme="minorEastAsia" w:eastAsiaTheme="minorEastAsia"/>
                <w:szCs w:val="21"/>
              </w:rPr>
              <w:t>初级职称人员</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tc>
        <w:tc>
          <w:tcPr>
            <w:tcW w:w="1881" w:type="dxa"/>
            <w:gridSpan w:val="2"/>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spacing w:line="360" w:lineRule="atLeast"/>
              <w:ind w:firstLine="411" w:firstLineChars="196"/>
              <w:outlineLvl w:val="1"/>
              <w:rPr>
                <w:rFonts w:asciiTheme="minorEastAsia" w:hAnsiTheme="minorEastAsia" w:eastAsiaTheme="minorEastAsia"/>
                <w:szCs w:val="21"/>
              </w:rPr>
            </w:pPr>
            <w:bookmarkStart w:id="450" w:name="_Toc29694"/>
            <w:bookmarkStart w:id="451" w:name="_Toc30481"/>
            <w:bookmarkStart w:id="452" w:name="_Toc10348"/>
            <w:bookmarkStart w:id="453" w:name="_Toc1941"/>
            <w:bookmarkStart w:id="454" w:name="_Toc20383"/>
            <w:bookmarkStart w:id="455" w:name="_Toc20524"/>
            <w:bookmarkStart w:id="456" w:name="_Toc30071"/>
            <w:bookmarkStart w:id="457" w:name="_Toc16415"/>
            <w:bookmarkStart w:id="458" w:name="_Toc27044"/>
            <w:bookmarkStart w:id="459" w:name="_Toc27836"/>
            <w:bookmarkStart w:id="460" w:name="_Toc5969"/>
            <w:bookmarkStart w:id="461" w:name="_Toc2209"/>
            <w:bookmarkStart w:id="462" w:name="_Toc22342"/>
            <w:bookmarkStart w:id="463" w:name="_Toc4018"/>
            <w:r>
              <w:rPr>
                <w:rFonts w:hint="eastAsia" w:asciiTheme="minorEastAsia" w:hAnsiTheme="minorEastAsia" w:eastAsiaTheme="minorEastAsia"/>
                <w:szCs w:val="21"/>
              </w:rPr>
              <w:t>账号</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c>
        <w:tc>
          <w:tcPr>
            <w:tcW w:w="2331" w:type="dxa"/>
            <w:gridSpan w:val="2"/>
            <w:vAlign w:val="center"/>
          </w:tcPr>
          <w:p>
            <w:pPr>
              <w:spacing w:line="360" w:lineRule="atLeast"/>
              <w:ind w:firstLine="411" w:firstLineChars="196"/>
              <w:outlineLvl w:val="1"/>
              <w:rPr>
                <w:rFonts w:asciiTheme="minorEastAsia" w:hAnsiTheme="minorEastAsia" w:eastAsiaTheme="minorEastAsia"/>
                <w:szCs w:val="21"/>
              </w:rPr>
            </w:pPr>
          </w:p>
        </w:tc>
        <w:tc>
          <w:tcPr>
            <w:tcW w:w="1324" w:type="dxa"/>
            <w:vMerge w:val="continue"/>
            <w:vAlign w:val="center"/>
          </w:tcPr>
          <w:p>
            <w:pPr>
              <w:rPr>
                <w:rFonts w:asciiTheme="minorEastAsia" w:hAnsiTheme="minorEastAsia" w:eastAsiaTheme="minorEastAsia"/>
                <w:szCs w:val="21"/>
              </w:rPr>
            </w:pPr>
          </w:p>
        </w:tc>
        <w:tc>
          <w:tcPr>
            <w:tcW w:w="1569" w:type="dxa"/>
            <w:gridSpan w:val="2"/>
            <w:vAlign w:val="center"/>
          </w:tcPr>
          <w:p>
            <w:pPr>
              <w:spacing w:line="360" w:lineRule="atLeast"/>
              <w:ind w:firstLine="411" w:firstLineChars="196"/>
              <w:outlineLvl w:val="1"/>
              <w:rPr>
                <w:rFonts w:asciiTheme="minorEastAsia" w:hAnsiTheme="minorEastAsia" w:eastAsiaTheme="minorEastAsia"/>
                <w:szCs w:val="21"/>
              </w:rPr>
            </w:pPr>
            <w:bookmarkStart w:id="464" w:name="_Toc32606"/>
            <w:bookmarkStart w:id="465" w:name="_Toc23556"/>
            <w:bookmarkStart w:id="466" w:name="_Toc25133"/>
            <w:bookmarkStart w:id="467" w:name="_Toc13494"/>
            <w:bookmarkStart w:id="468" w:name="_Toc27829"/>
            <w:bookmarkStart w:id="469" w:name="_Toc13158"/>
            <w:bookmarkStart w:id="470" w:name="_Toc12278"/>
            <w:bookmarkStart w:id="471" w:name="_Toc17900"/>
            <w:bookmarkStart w:id="472" w:name="_Toc8204"/>
            <w:bookmarkStart w:id="473" w:name="_Toc28215"/>
            <w:bookmarkStart w:id="474" w:name="_Toc8665"/>
            <w:bookmarkStart w:id="475" w:name="_Toc5057"/>
            <w:bookmarkStart w:id="476" w:name="_Toc1187"/>
            <w:bookmarkStart w:id="477" w:name="_Toc27616"/>
            <w:r>
              <w:rPr>
                <w:rFonts w:hint="eastAsia" w:asciiTheme="minorEastAsia" w:hAnsiTheme="minorEastAsia" w:eastAsiaTheme="minorEastAsia"/>
                <w:szCs w:val="21"/>
              </w:rPr>
              <w:t>技工</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c>
          <w:tcPr>
            <w:tcW w:w="1881" w:type="dxa"/>
            <w:gridSpan w:val="2"/>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spacing w:line="360" w:lineRule="atLeast"/>
              <w:outlineLvl w:val="1"/>
              <w:rPr>
                <w:rFonts w:asciiTheme="minorEastAsia" w:hAnsiTheme="minorEastAsia" w:eastAsiaTheme="minorEastAsia"/>
                <w:szCs w:val="21"/>
              </w:rPr>
            </w:pPr>
            <w:bookmarkStart w:id="478" w:name="_Toc29250"/>
            <w:bookmarkStart w:id="479" w:name="_Toc2118"/>
            <w:bookmarkStart w:id="480" w:name="_Toc3916"/>
            <w:bookmarkStart w:id="481" w:name="_Toc30015"/>
            <w:bookmarkStart w:id="482" w:name="_Toc15171"/>
            <w:bookmarkStart w:id="483" w:name="_Toc27980"/>
            <w:bookmarkStart w:id="484" w:name="_Toc19129"/>
            <w:bookmarkStart w:id="485" w:name="_Toc13584"/>
            <w:bookmarkStart w:id="486" w:name="_Toc18278"/>
            <w:bookmarkStart w:id="487" w:name="_Toc26734"/>
            <w:bookmarkStart w:id="488" w:name="_Toc17407"/>
            <w:bookmarkStart w:id="489" w:name="_Toc26979"/>
            <w:bookmarkStart w:id="490" w:name="_Toc15590"/>
            <w:bookmarkStart w:id="491" w:name="_Toc25846"/>
            <w:r>
              <w:rPr>
                <w:rFonts w:hint="eastAsia" w:asciiTheme="minorEastAsia" w:hAnsiTheme="minorEastAsia" w:eastAsiaTheme="minorEastAsia"/>
                <w:szCs w:val="21"/>
              </w:rPr>
              <w:t>经营范围</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tc>
        <w:tc>
          <w:tcPr>
            <w:tcW w:w="7105" w:type="dxa"/>
            <w:gridSpan w:val="7"/>
            <w:vAlign w:val="center"/>
          </w:tcPr>
          <w:p>
            <w:pPr>
              <w:spacing w:line="360" w:lineRule="atLeast"/>
              <w:ind w:firstLine="411" w:firstLineChars="196"/>
              <w:outlineLvl w:val="1"/>
              <w:rPr>
                <w:rFonts w:asciiTheme="minorEastAsia" w:hAnsiTheme="minorEastAsia" w:eastAsia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spacing w:line="360" w:lineRule="atLeast"/>
              <w:ind w:firstLine="411" w:firstLineChars="196"/>
              <w:outlineLvl w:val="1"/>
              <w:rPr>
                <w:rFonts w:asciiTheme="minorEastAsia" w:hAnsiTheme="minorEastAsia" w:eastAsiaTheme="minorEastAsia"/>
                <w:szCs w:val="21"/>
              </w:rPr>
            </w:pPr>
            <w:bookmarkStart w:id="492" w:name="_Toc15140"/>
            <w:bookmarkStart w:id="493" w:name="_Toc260"/>
            <w:bookmarkStart w:id="494" w:name="_Toc32413"/>
            <w:bookmarkStart w:id="495" w:name="_Toc18270"/>
            <w:bookmarkStart w:id="496" w:name="_Toc2897"/>
            <w:bookmarkStart w:id="497" w:name="_Toc12440"/>
            <w:bookmarkStart w:id="498" w:name="_Toc11880"/>
            <w:bookmarkStart w:id="499" w:name="_Toc12569"/>
            <w:bookmarkStart w:id="500" w:name="_Toc22168"/>
            <w:bookmarkStart w:id="501" w:name="_Toc30826"/>
            <w:bookmarkStart w:id="502" w:name="_Toc8836"/>
            <w:bookmarkStart w:id="503" w:name="_Toc6632"/>
            <w:bookmarkStart w:id="504" w:name="_Toc15528"/>
            <w:bookmarkStart w:id="505" w:name="_Toc116"/>
            <w:r>
              <w:rPr>
                <w:rFonts w:hint="eastAsia" w:asciiTheme="minorEastAsia" w:hAnsiTheme="minorEastAsia" w:eastAsiaTheme="minorEastAsia"/>
                <w:szCs w:val="21"/>
              </w:rPr>
              <w:t>备注</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tc>
        <w:tc>
          <w:tcPr>
            <w:tcW w:w="7105" w:type="dxa"/>
            <w:gridSpan w:val="7"/>
          </w:tcPr>
          <w:p>
            <w:pPr>
              <w:spacing w:line="360" w:lineRule="atLeast"/>
              <w:ind w:firstLine="411" w:firstLineChars="196"/>
              <w:outlineLvl w:val="1"/>
              <w:rPr>
                <w:rFonts w:asciiTheme="minorEastAsia" w:hAnsiTheme="minorEastAsia" w:eastAsiaTheme="minorEastAsia"/>
                <w:szCs w:val="21"/>
              </w:rPr>
            </w:pPr>
          </w:p>
        </w:tc>
      </w:tr>
    </w:tbl>
    <w:p>
      <w:pPr>
        <w:spacing w:line="360" w:lineRule="auto"/>
        <w:rPr>
          <w:rFonts w:ascii="宋体" w:hAnsi="宋体" w:cs="宋体"/>
          <w:sz w:val="24"/>
          <w:szCs w:val="24"/>
        </w:rPr>
      </w:pPr>
    </w:p>
    <w:p>
      <w:pPr>
        <w:spacing w:line="360" w:lineRule="auto"/>
        <w:rPr>
          <w:rFonts w:ascii="宋体"/>
          <w:sz w:val="24"/>
          <w:szCs w:val="24"/>
        </w:rPr>
      </w:pPr>
      <w:r>
        <w:rPr>
          <w:rFonts w:hint="eastAsia" w:ascii="宋体" w:hAnsi="宋体" w:cs="宋体"/>
          <w:sz w:val="24"/>
          <w:szCs w:val="24"/>
        </w:rPr>
        <w:t>供应商名称：</w:t>
      </w:r>
      <w:r>
        <w:rPr>
          <w:rFonts w:hint="eastAsia" w:hAnsi="宋体"/>
          <w:sz w:val="24"/>
          <w:szCs w:val="24"/>
          <w:u w:val="single"/>
        </w:rPr>
        <w:t>（名称及公章）</w:t>
      </w:r>
    </w:p>
    <w:p>
      <w:pPr>
        <w:spacing w:line="360" w:lineRule="auto"/>
        <w:rPr>
          <w:rFonts w:ascii="宋体"/>
          <w:sz w:val="24"/>
          <w:szCs w:val="24"/>
        </w:rPr>
      </w:pPr>
      <w:r>
        <w:rPr>
          <w:rFonts w:hint="eastAsia" w:ascii="宋体" w:hAnsi="宋体" w:cs="宋体"/>
          <w:sz w:val="24"/>
          <w:szCs w:val="24"/>
        </w:rPr>
        <w:t>法定代表人或委托代理人（签字或盖章）：</w:t>
      </w:r>
    </w:p>
    <w:p>
      <w:pPr>
        <w:spacing w:line="360" w:lineRule="auto"/>
        <w:rPr>
          <w:rFonts w:ascii="宋体"/>
          <w:sz w:val="24"/>
          <w:szCs w:val="24"/>
        </w:rPr>
      </w:pPr>
      <w:r>
        <w:rPr>
          <w:rFonts w:hint="eastAsia" w:ascii="宋体" w:hAnsi="宋体" w:cs="宋体"/>
          <w:sz w:val="24"/>
          <w:szCs w:val="24"/>
        </w:rPr>
        <w:t>日期：</w:t>
      </w:r>
    </w:p>
    <w:p>
      <w:pPr>
        <w:rPr>
          <w:sz w:val="32"/>
          <w:szCs w:val="36"/>
        </w:rPr>
        <w:sectPr>
          <w:pgSz w:w="11906" w:h="16838"/>
          <w:pgMar w:top="1440" w:right="1803" w:bottom="1440" w:left="1803" w:header="851" w:footer="992" w:gutter="0"/>
          <w:cols w:space="720" w:num="1"/>
          <w:docGrid w:type="lines" w:linePitch="319" w:charSpace="0"/>
        </w:sectPr>
      </w:pPr>
    </w:p>
    <w:p>
      <w:pPr>
        <w:rPr>
          <w:sz w:val="32"/>
          <w:szCs w:val="36"/>
        </w:rPr>
      </w:pPr>
      <w:r>
        <w:rPr>
          <w:rFonts w:hint="eastAsia"/>
          <w:sz w:val="32"/>
          <w:szCs w:val="36"/>
        </w:rPr>
        <w:t>2-2供应商营业执照等资质证明材料。</w:t>
      </w:r>
    </w:p>
    <w:p/>
    <w:p/>
    <w:p>
      <w:pPr>
        <w:sectPr>
          <w:pgSz w:w="11906" w:h="16838"/>
          <w:pgMar w:top="1440" w:right="1803" w:bottom="1440" w:left="1803" w:header="851" w:footer="992" w:gutter="0"/>
          <w:cols w:space="720" w:num="1"/>
          <w:docGrid w:type="lines" w:linePitch="319" w:charSpace="0"/>
        </w:sectPr>
      </w:pPr>
    </w:p>
    <w:p>
      <w:pPr>
        <w:rPr>
          <w:sz w:val="32"/>
          <w:szCs w:val="36"/>
        </w:rPr>
      </w:pPr>
      <w:r>
        <w:rPr>
          <w:rFonts w:hint="eastAsia"/>
          <w:sz w:val="32"/>
          <w:szCs w:val="36"/>
        </w:rPr>
        <w:t>3、法定代表人证明书及法定代表人授权书</w:t>
      </w:r>
    </w:p>
    <w:p>
      <w:pPr>
        <w:rPr>
          <w:sz w:val="28"/>
          <w:szCs w:val="32"/>
        </w:rPr>
      </w:pPr>
      <w:r>
        <w:rPr>
          <w:rFonts w:hint="eastAsia"/>
          <w:sz w:val="28"/>
          <w:szCs w:val="32"/>
        </w:rPr>
        <w:t>3-1法定代表人证明书</w:t>
      </w:r>
    </w:p>
    <w:tbl>
      <w:tblPr>
        <w:tblStyle w:val="2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098"/>
        <w:gridCol w:w="2094"/>
        <w:gridCol w:w="178"/>
        <w:gridCol w:w="209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40" w:type="dxa"/>
            <w:gridSpan w:val="6"/>
            <w:vAlign w:val="center"/>
          </w:tcPr>
          <w:p>
            <w:pPr>
              <w:tabs>
                <w:tab w:val="left" w:pos="210"/>
              </w:tabs>
              <w:spacing w:line="360" w:lineRule="auto"/>
              <w:jc w:val="left"/>
              <w:rPr>
                <w:rFonts w:ascii="宋体" w:hAnsi="宋体" w:cs="宋体"/>
                <w:kern w:val="0"/>
                <w:sz w:val="24"/>
                <w:szCs w:val="24"/>
              </w:rPr>
            </w:pPr>
            <w:r>
              <w:rPr>
                <w:rFonts w:hint="eastAsia" w:ascii="宋体" w:hAnsi="宋体" w:cs="宋体"/>
                <w:kern w:val="0"/>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restart"/>
            <w:vAlign w:val="center"/>
          </w:tcPr>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企</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业</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法</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人</w:t>
            </w: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企业名称</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法定地址</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邮政编码</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工商登记机关</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社会统一信用代码</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restart"/>
            <w:vAlign w:val="center"/>
          </w:tcPr>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法</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定</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代</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表</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人</w:t>
            </w: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姓名</w:t>
            </w:r>
          </w:p>
        </w:tc>
        <w:tc>
          <w:tcPr>
            <w:tcW w:w="2272" w:type="dxa"/>
            <w:gridSpan w:val="2"/>
            <w:vAlign w:val="center"/>
          </w:tcPr>
          <w:p>
            <w:pPr>
              <w:tabs>
                <w:tab w:val="left" w:pos="210"/>
              </w:tabs>
              <w:spacing w:line="360" w:lineRule="auto"/>
              <w:ind w:firstLine="480" w:firstLineChars="200"/>
              <w:jc w:val="left"/>
              <w:rPr>
                <w:rFonts w:ascii="宋体" w:hAnsi="宋体" w:cs="宋体"/>
                <w:kern w:val="0"/>
                <w:sz w:val="24"/>
                <w:szCs w:val="24"/>
              </w:rPr>
            </w:pPr>
          </w:p>
        </w:tc>
        <w:tc>
          <w:tcPr>
            <w:tcW w:w="2094" w:type="dxa"/>
            <w:vAlign w:val="center"/>
          </w:tcPr>
          <w:p>
            <w:pPr>
              <w:tabs>
                <w:tab w:val="left" w:pos="210"/>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性别</w:t>
            </w:r>
          </w:p>
        </w:tc>
        <w:tc>
          <w:tcPr>
            <w:tcW w:w="2100" w:type="dxa"/>
            <w:vAlign w:val="center"/>
          </w:tcPr>
          <w:p>
            <w:pPr>
              <w:tabs>
                <w:tab w:val="left" w:pos="210"/>
              </w:tabs>
              <w:spacing w:line="360" w:lineRule="auto"/>
              <w:ind w:firstLine="480" w:firstLineChars="200"/>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职务</w:t>
            </w:r>
          </w:p>
        </w:tc>
        <w:tc>
          <w:tcPr>
            <w:tcW w:w="2272" w:type="dxa"/>
            <w:gridSpan w:val="2"/>
            <w:vAlign w:val="center"/>
          </w:tcPr>
          <w:p>
            <w:pPr>
              <w:tabs>
                <w:tab w:val="left" w:pos="210"/>
              </w:tabs>
              <w:spacing w:line="360" w:lineRule="auto"/>
              <w:jc w:val="left"/>
              <w:rPr>
                <w:rFonts w:ascii="宋体" w:hAnsi="宋体" w:cs="宋体"/>
                <w:kern w:val="0"/>
                <w:sz w:val="24"/>
                <w:szCs w:val="24"/>
              </w:rPr>
            </w:pPr>
          </w:p>
        </w:tc>
        <w:tc>
          <w:tcPr>
            <w:tcW w:w="2094" w:type="dxa"/>
            <w:vAlign w:val="center"/>
          </w:tcPr>
          <w:p>
            <w:pPr>
              <w:tabs>
                <w:tab w:val="left" w:pos="210"/>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w:t>
            </w:r>
          </w:p>
        </w:tc>
        <w:tc>
          <w:tcPr>
            <w:tcW w:w="2100" w:type="dxa"/>
            <w:vAlign w:val="center"/>
          </w:tcPr>
          <w:p>
            <w:pPr>
              <w:tabs>
                <w:tab w:val="left" w:pos="210"/>
              </w:tabs>
              <w:spacing w:line="360" w:lineRule="auto"/>
              <w:ind w:firstLine="480" w:firstLineChars="200"/>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76" w:type="dxa"/>
            <w:vMerge w:val="continue"/>
            <w:vAlign w:val="center"/>
          </w:tcPr>
          <w:p>
            <w:pPr>
              <w:tabs>
                <w:tab w:val="left" w:pos="210"/>
              </w:tabs>
              <w:spacing w:line="360" w:lineRule="auto"/>
              <w:ind w:firstLine="480" w:firstLineChars="200"/>
              <w:jc w:val="center"/>
              <w:rPr>
                <w:rFonts w:ascii="宋体" w:hAnsi="宋体" w:cs="宋体"/>
                <w:kern w:val="0"/>
                <w:sz w:val="24"/>
                <w:szCs w:val="24"/>
              </w:rPr>
            </w:pPr>
          </w:p>
        </w:tc>
        <w:tc>
          <w:tcPr>
            <w:tcW w:w="2098" w:type="dxa"/>
            <w:vAlign w:val="center"/>
          </w:tcPr>
          <w:p>
            <w:pPr>
              <w:tabs>
                <w:tab w:val="left" w:pos="210"/>
              </w:tabs>
              <w:spacing w:line="360" w:lineRule="auto"/>
              <w:rPr>
                <w:rFonts w:ascii="宋体" w:hAnsi="宋体" w:cs="宋体"/>
                <w:kern w:val="0"/>
                <w:sz w:val="24"/>
                <w:szCs w:val="24"/>
              </w:rPr>
            </w:pPr>
            <w:r>
              <w:rPr>
                <w:rFonts w:hint="eastAsia" w:ascii="宋体" w:hAnsi="宋体" w:cs="宋体"/>
                <w:kern w:val="0"/>
                <w:sz w:val="24"/>
                <w:szCs w:val="24"/>
              </w:rPr>
              <w:t>传真</w:t>
            </w:r>
          </w:p>
        </w:tc>
        <w:tc>
          <w:tcPr>
            <w:tcW w:w="6466" w:type="dxa"/>
            <w:gridSpan w:val="4"/>
            <w:vAlign w:val="center"/>
          </w:tcPr>
          <w:p>
            <w:pPr>
              <w:tabs>
                <w:tab w:val="left" w:pos="21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576" w:type="dxa"/>
            <w:vMerge w:val="restart"/>
            <w:vAlign w:val="center"/>
          </w:tcPr>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法</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定</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代</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表</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人</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身</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份</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证</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复</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印</w:t>
            </w:r>
          </w:p>
          <w:p>
            <w:pPr>
              <w:tabs>
                <w:tab w:val="left" w:pos="210"/>
              </w:tabs>
              <w:spacing w:line="360" w:lineRule="auto"/>
              <w:jc w:val="center"/>
              <w:rPr>
                <w:rFonts w:ascii="宋体" w:hAnsi="宋体" w:cs="宋体"/>
                <w:kern w:val="0"/>
                <w:sz w:val="24"/>
                <w:szCs w:val="24"/>
              </w:rPr>
            </w:pPr>
            <w:r>
              <w:rPr>
                <w:rFonts w:hint="eastAsia" w:ascii="宋体" w:hAnsi="宋体" w:cs="宋体"/>
                <w:kern w:val="0"/>
                <w:sz w:val="24"/>
                <w:szCs w:val="24"/>
              </w:rPr>
              <w:t>件</w:t>
            </w:r>
          </w:p>
        </w:tc>
        <w:tc>
          <w:tcPr>
            <w:tcW w:w="4192" w:type="dxa"/>
            <w:gridSpan w:val="2"/>
            <w:vMerge w:val="restart"/>
            <w:vAlign w:val="center"/>
          </w:tcPr>
          <w:p>
            <w:pPr>
              <w:tabs>
                <w:tab w:val="left" w:pos="210"/>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（正反面）</w:t>
            </w:r>
          </w:p>
        </w:tc>
        <w:tc>
          <w:tcPr>
            <w:tcW w:w="4372" w:type="dxa"/>
            <w:gridSpan w:val="3"/>
            <w:vAlign w:val="center"/>
          </w:tcPr>
          <w:p>
            <w:pPr>
              <w:tabs>
                <w:tab w:val="left" w:pos="210"/>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576" w:type="dxa"/>
            <w:vMerge w:val="continue"/>
            <w:vAlign w:val="center"/>
          </w:tcPr>
          <w:p>
            <w:pPr>
              <w:tabs>
                <w:tab w:val="left" w:pos="210"/>
              </w:tabs>
              <w:spacing w:line="360" w:lineRule="auto"/>
              <w:ind w:firstLine="480" w:firstLineChars="200"/>
              <w:jc w:val="left"/>
              <w:rPr>
                <w:rFonts w:ascii="宋体" w:hAnsi="宋体" w:cs="宋体"/>
                <w:kern w:val="0"/>
                <w:sz w:val="24"/>
                <w:szCs w:val="24"/>
              </w:rPr>
            </w:pPr>
          </w:p>
        </w:tc>
        <w:tc>
          <w:tcPr>
            <w:tcW w:w="4192" w:type="dxa"/>
            <w:gridSpan w:val="2"/>
            <w:vMerge w:val="continue"/>
            <w:vAlign w:val="center"/>
          </w:tcPr>
          <w:p>
            <w:pPr>
              <w:tabs>
                <w:tab w:val="left" w:pos="210"/>
              </w:tabs>
              <w:spacing w:line="360" w:lineRule="auto"/>
              <w:ind w:firstLine="480" w:firstLineChars="200"/>
              <w:jc w:val="left"/>
              <w:rPr>
                <w:rFonts w:ascii="宋体" w:hAnsi="宋体" w:cs="宋体"/>
                <w:kern w:val="0"/>
                <w:sz w:val="24"/>
                <w:szCs w:val="24"/>
              </w:rPr>
            </w:pPr>
          </w:p>
        </w:tc>
        <w:tc>
          <w:tcPr>
            <w:tcW w:w="4372" w:type="dxa"/>
            <w:gridSpan w:val="3"/>
            <w:vAlign w:val="bottom"/>
          </w:tcPr>
          <w:p>
            <w:pPr>
              <w:tabs>
                <w:tab w:val="left" w:pos="210"/>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（公章）</w:t>
            </w:r>
          </w:p>
          <w:p>
            <w:pPr>
              <w:tabs>
                <w:tab w:val="left" w:pos="210"/>
              </w:tabs>
              <w:spacing w:line="360" w:lineRule="auto"/>
              <w:jc w:val="left"/>
              <w:rPr>
                <w:rFonts w:ascii="宋体" w:hAnsi="宋体" w:cs="宋体"/>
                <w:kern w:val="0"/>
                <w:sz w:val="24"/>
                <w:szCs w:val="24"/>
              </w:rPr>
            </w:pPr>
          </w:p>
          <w:p>
            <w:pPr>
              <w:tabs>
                <w:tab w:val="left" w:pos="210"/>
              </w:tabs>
              <w:spacing w:line="360" w:lineRule="auto"/>
              <w:jc w:val="left"/>
              <w:rPr>
                <w:rFonts w:ascii="宋体" w:hAnsi="宋体" w:cs="宋体"/>
                <w:kern w:val="0"/>
                <w:sz w:val="24"/>
                <w:szCs w:val="24"/>
              </w:rPr>
            </w:pPr>
          </w:p>
          <w:p>
            <w:pPr>
              <w:tabs>
                <w:tab w:val="left" w:pos="210"/>
              </w:tabs>
              <w:spacing w:line="360" w:lineRule="auto"/>
              <w:jc w:val="left"/>
              <w:rPr>
                <w:rFonts w:ascii="宋体" w:hAnsi="宋体" w:cs="宋体"/>
                <w:kern w:val="0"/>
                <w:sz w:val="24"/>
                <w:szCs w:val="24"/>
              </w:rPr>
            </w:pPr>
          </w:p>
          <w:p>
            <w:pPr>
              <w:adjustRightInd w:val="0"/>
              <w:snapToGrid w:val="0"/>
              <w:spacing w:line="480" w:lineRule="auto"/>
              <w:ind w:firstLine="480" w:firstLineChars="200"/>
              <w:jc w:val="right"/>
              <w:rPr>
                <w:rFonts w:ascii="宋体" w:hAnsi="宋体" w:cs="宋体"/>
                <w:kern w:val="0"/>
                <w:sz w:val="24"/>
                <w:szCs w:val="24"/>
              </w:rPr>
            </w:pPr>
            <w:r>
              <w:rPr>
                <w:rFonts w:hint="eastAsia" w:ascii="宋体" w:hAnsi="宋体" w:cs="宋体"/>
                <w:sz w:val="24"/>
                <w:szCs w:val="24"/>
              </w:rPr>
              <w:t>年  月 日</w:t>
            </w:r>
          </w:p>
        </w:tc>
      </w:tr>
    </w:tbl>
    <w:p>
      <w:pPr>
        <w:pStyle w:val="5"/>
        <w:rPr>
          <w:rFonts w:hint="default"/>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2"/>
        <w:spacing w:line="500" w:lineRule="exact"/>
        <w:jc w:val="center"/>
        <w:rPr>
          <w:rFonts w:hAnsi="宋体" w:cs="宋体"/>
          <w:sz w:val="24"/>
          <w:szCs w:val="24"/>
        </w:rPr>
      </w:pPr>
      <w:r>
        <w:rPr>
          <w:rFonts w:hint="eastAsia" w:hAnsi="宋体" w:cs="宋体"/>
          <w:b/>
          <w:kern w:val="0"/>
          <w:sz w:val="24"/>
          <w:szCs w:val="24"/>
        </w:rPr>
        <w:t>法定代表人授权书</w:t>
      </w:r>
    </w:p>
    <w:p>
      <w:pPr>
        <w:pStyle w:val="12"/>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w:t>
      </w:r>
      <w:r>
        <w:rPr>
          <w:rFonts w:hint="eastAsia" w:ascii="宋体" w:hAnsi="宋体" w:cs="宋体"/>
          <w:sz w:val="24"/>
        </w:rPr>
        <w:t>采购项目编号为</w:t>
      </w:r>
      <w:r>
        <w:rPr>
          <w:rFonts w:hint="eastAsia" w:ascii="宋体" w:hAnsi="宋体" w:cs="宋体"/>
          <w:sz w:val="24"/>
          <w:u w:val="single"/>
        </w:rPr>
        <w:t xml:space="preserve">            </w:t>
      </w:r>
      <w:r>
        <w:rPr>
          <w:rFonts w:hint="eastAsia" w:ascii="宋体" w:hAnsi="宋体" w:cs="宋体"/>
          <w:sz w:val="24"/>
        </w:rPr>
        <w:t>的采购活动。以我方名义全权处理该项目有关磋商、签订合同以及执行合同等一切事宜。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本授权书自磋商响应文件递交截止之日起有效</w:t>
      </w:r>
      <w:r>
        <w:rPr>
          <w:rFonts w:hint="eastAsia" w:ascii="宋体" w:hAnsi="宋体" w:cs="宋体"/>
          <w:sz w:val="24"/>
          <w:u w:val="single"/>
        </w:rPr>
        <w:t>期 90 日历天</w:t>
      </w:r>
      <w:r>
        <w:rPr>
          <w:rFonts w:hint="eastAsia" w:ascii="宋体" w:hAnsi="宋体" w:cs="宋体"/>
          <w:sz w:val="24"/>
        </w:rPr>
        <w:t>，特此声明。</w:t>
      </w:r>
    </w:p>
    <w:p>
      <w:pPr>
        <w:pStyle w:val="12"/>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12"/>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2"/>
        <w:spacing w:line="500" w:lineRule="exact"/>
        <w:ind w:firstLine="480" w:firstLineChars="200"/>
        <w:jc w:val="left"/>
        <w:rPr>
          <w:rFonts w:hAnsi="宋体" w:cs="宋体"/>
          <w:sz w:val="24"/>
          <w:szCs w:val="24"/>
          <w:u w:val="single"/>
        </w:rPr>
      </w:pPr>
      <w:r>
        <w:rPr>
          <w:rFonts w:hint="eastAsia" w:hAnsi="宋体" w:cs="宋体"/>
          <w:sz w:val="24"/>
          <w:szCs w:val="24"/>
        </w:rPr>
        <w:t>被授权人姓名（签字或盖章）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p>
    <w:p>
      <w:pPr>
        <w:pStyle w:val="12"/>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2"/>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2"/>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w:t>
      </w:r>
    </w:p>
    <w:p>
      <w:pPr>
        <w:pStyle w:val="12"/>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w:t>
      </w:r>
    </w:p>
    <w:tbl>
      <w:tblPr>
        <w:tblStyle w:val="26"/>
        <w:tblW w:w="83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2" w:hRule="atLeast"/>
        </w:trPr>
        <w:tc>
          <w:tcPr>
            <w:tcW w:w="4099" w:type="dxa"/>
            <w:shd w:val="clear" w:color="auto" w:fill="D9D9D9"/>
            <w:vAlign w:val="center"/>
          </w:tcPr>
          <w:p>
            <w:pPr>
              <w:pStyle w:val="12"/>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4241" w:type="dxa"/>
            <w:shd w:val="clear" w:color="auto" w:fill="D9D9D9"/>
            <w:vAlign w:val="center"/>
          </w:tcPr>
          <w:p>
            <w:pPr>
              <w:pStyle w:val="12"/>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2"/>
        <w:spacing w:line="500" w:lineRule="exact"/>
        <w:ind w:firstLine="480" w:firstLineChars="200"/>
        <w:jc w:val="left"/>
        <w:rPr>
          <w:rFonts w:hAnsi="宋体" w:cs="宋体"/>
          <w:sz w:val="24"/>
          <w:szCs w:val="24"/>
        </w:rPr>
      </w:pPr>
      <w:r>
        <w:rPr>
          <w:rFonts w:hint="eastAsia" w:hAnsi="宋体" w:cs="宋体"/>
          <w:sz w:val="24"/>
          <w:szCs w:val="24"/>
        </w:rPr>
        <w:t>说明：</w:t>
      </w:r>
    </w:p>
    <w:p>
      <w:pPr>
        <w:pStyle w:val="12"/>
        <w:spacing w:line="500" w:lineRule="exact"/>
        <w:ind w:firstLine="480" w:firstLineChars="200"/>
        <w:jc w:val="left"/>
        <w:rPr>
          <w:rFonts w:hAnsi="宋体" w:cs="宋体"/>
          <w:sz w:val="24"/>
          <w:szCs w:val="24"/>
        </w:rPr>
      </w:pPr>
      <w:r>
        <w:rPr>
          <w:rFonts w:hint="eastAsia" w:hAnsi="宋体" w:cs="宋体"/>
          <w:sz w:val="24"/>
          <w:szCs w:val="24"/>
        </w:rPr>
        <w:t>1．本授权书有效期自磋商会议之日计算不得少于90日历日。</w:t>
      </w:r>
    </w:p>
    <w:p>
      <w:pPr>
        <w:pStyle w:val="12"/>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单位参与</w:t>
      </w:r>
      <w:r>
        <w:rPr>
          <w:rFonts w:hint="eastAsia" w:ascii="宋体" w:hAnsi="宋体" w:cs="宋体"/>
          <w:color w:val="000000" w:themeColor="text1"/>
          <w:kern w:val="0"/>
          <w:sz w:val="24"/>
          <w:szCs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szCs w:val="24"/>
          <w14:textFill>
            <w14:solidFill>
              <w14:schemeClr w14:val="tx1"/>
            </w14:solidFill>
          </w14:textFill>
        </w:rPr>
        <w:t>组织的</w:t>
      </w:r>
      <w:r>
        <w:rPr>
          <w:rFonts w:hint="eastAsia" w:ascii="宋体" w:hAnsi="宋体" w:cs="宋体"/>
          <w:color w:val="000000" w:themeColor="text1"/>
          <w:kern w:val="0"/>
          <w:sz w:val="24"/>
          <w:szCs w:val="24"/>
          <w:u w:val="single"/>
          <w14:textFill>
            <w14:solidFill>
              <w14:schemeClr w14:val="tx1"/>
            </w14:solidFill>
          </w14:textFill>
        </w:rPr>
        <w:t xml:space="preserve">             （项目名称）              </w:t>
      </w:r>
      <w:r>
        <w:rPr>
          <w:rFonts w:hint="eastAsia" w:ascii="宋体" w:hAnsi="宋体" w:cs="宋体"/>
          <w:color w:val="000000"/>
          <w:kern w:val="0"/>
          <w:sz w:val="24"/>
        </w:rPr>
        <w:t>竞争性磋商</w:t>
      </w:r>
      <w:r>
        <w:rPr>
          <w:rFonts w:hint="eastAsia" w:ascii="宋体" w:hAnsi="宋体" w:cs="宋体"/>
          <w:color w:val="000000" w:themeColor="text1"/>
          <w:kern w:val="0"/>
          <w:sz w:val="24"/>
          <w:szCs w:val="24"/>
          <w14:textFill>
            <w14:solidFill>
              <w14:schemeClr w14:val="tx1"/>
            </w14:solidFill>
          </w14:textFill>
        </w:rPr>
        <w:t>，我单位郑重声明：我方参加本项目工作前三年内在经营活动中无重大违法活动记录，本公司法人、出资人、参股人无招标方在职工作人员。如有不实，我方将无条件地退出本项目的采购活动，并遵照《政府采购法》有关“提供虚假材料的规定”接受处罚；未被信用中国网（www.creditchina.gov.cn）列入失信被执行人、重大税收违法案件当事人名单，未被中国政府采购（www.ccgp.gov.cn）列入政府采购严重违法失信行为记录名单，我方对此声明负全部法律责任。</w:t>
      </w:r>
    </w:p>
    <w:p>
      <w:pPr>
        <w:widowControl/>
        <w:snapToGrid w:val="0"/>
        <w:spacing w:line="48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2"/>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br w:type="textWrapping"/>
      </w:r>
      <w:r>
        <w:rPr>
          <w:rFonts w:hint="eastAsia" w:hAnsi="宋体" w:cs="宋体"/>
          <w:color w:val="000000" w:themeColor="text1"/>
          <w:kern w:val="0"/>
          <w:sz w:val="24"/>
          <w14:textFill>
            <w14:solidFill>
              <w14:schemeClr w14:val="tx1"/>
            </w14:solidFill>
          </w14:textFill>
        </w:rPr>
        <w:t>供应商（单位名称及公章）：</w:t>
      </w:r>
    </w:p>
    <w:p>
      <w:pPr>
        <w:pStyle w:val="12"/>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olor w:val="000000"/>
          <w:sz w:val="24"/>
          <w:szCs w:val="24"/>
        </w:rPr>
        <w:t xml:space="preserve">  年   月   日</w:t>
      </w:r>
    </w:p>
    <w:p>
      <w:pPr>
        <w:pStyle w:val="24"/>
        <w:ind w:firstLine="180"/>
      </w:pPr>
    </w:p>
    <w:p>
      <w:pPr>
        <w:widowControl/>
        <w:jc w:val="left"/>
        <w:rPr>
          <w:rFonts w:ascii="宋体" w:hAnsi="宋体" w:cs="宋体"/>
        </w:rPr>
      </w:pPr>
    </w:p>
    <w:p>
      <w:pPr>
        <w:widowControl/>
        <w:jc w:val="left"/>
        <w:rPr>
          <w:rFonts w:ascii="宋体" w:hAnsi="宋体" w:cs="宋体"/>
        </w:rPr>
      </w:pPr>
    </w:p>
    <w:p>
      <w:pPr>
        <w:widowControl/>
        <w:jc w:val="left"/>
        <w:rPr>
          <w:rFonts w:ascii="宋体" w:hAnsi="宋体" w:cs="宋体"/>
        </w:rPr>
      </w:pPr>
    </w:p>
    <w:p>
      <w:pPr>
        <w:widowControl/>
        <w:jc w:val="left"/>
        <w:rPr>
          <w:rFonts w:ascii="宋体" w:hAnsi="宋体" w:cs="宋体"/>
        </w:rPr>
      </w:pPr>
    </w:p>
    <w:p>
      <w:pPr>
        <w:widowControl/>
        <w:spacing w:line="360" w:lineRule="auto"/>
        <w:ind w:firstLine="480" w:firstLineChars="200"/>
        <w:jc w:val="left"/>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spacing w:line="480" w:lineRule="auto"/>
        <w:rPr>
          <w:rFonts w:ascii="宋体" w:hAnsi="宋体" w:cs="宋体"/>
          <w:bCs/>
          <w:kern w:val="0"/>
          <w:sz w:val="24"/>
          <w:szCs w:val="24"/>
        </w:rPr>
      </w:pPr>
      <w:r>
        <w:rPr>
          <w:rFonts w:hint="eastAsia" w:ascii="宋体" w:hAnsi="宋体" w:cs="宋体"/>
          <w:bCs/>
          <w:kern w:val="0"/>
          <w:sz w:val="24"/>
          <w:szCs w:val="24"/>
        </w:rPr>
        <w:t>5.社会保障资金缴纳证明；</w:t>
      </w:r>
    </w:p>
    <w:p>
      <w:pPr>
        <w:snapToGrid w:val="0"/>
        <w:spacing w:line="480" w:lineRule="auto"/>
        <w:jc w:val="left"/>
        <w:rPr>
          <w:rFonts w:ascii="宋体" w:hAnsi="宋体" w:cs="宋体"/>
          <w:bCs/>
          <w:kern w:val="0"/>
          <w:sz w:val="24"/>
          <w:szCs w:val="24"/>
        </w:rPr>
      </w:pPr>
      <w:r>
        <w:rPr>
          <w:rFonts w:hint="eastAsia" w:ascii="宋体" w:hAnsi="宋体" w:cs="宋体"/>
          <w:bCs/>
          <w:kern w:val="0"/>
          <w:sz w:val="24"/>
          <w:szCs w:val="24"/>
        </w:rPr>
        <w:t>6.税收缴纳证明；</w:t>
      </w:r>
    </w:p>
    <w:p>
      <w:pPr>
        <w:snapToGrid w:val="0"/>
        <w:spacing w:line="480" w:lineRule="auto"/>
        <w:jc w:val="left"/>
        <w:rPr>
          <w:rFonts w:ascii="宋体" w:hAnsi="宋体" w:cs="宋体"/>
          <w:bCs/>
          <w:kern w:val="0"/>
          <w:sz w:val="24"/>
          <w:szCs w:val="24"/>
        </w:rPr>
      </w:pPr>
      <w:r>
        <w:rPr>
          <w:rFonts w:hint="eastAsia" w:ascii="宋体" w:hAnsi="宋体" w:cs="宋体"/>
          <w:bCs/>
          <w:kern w:val="0"/>
          <w:sz w:val="24"/>
          <w:szCs w:val="24"/>
        </w:rPr>
        <w:t>7.财务状况证明；</w:t>
      </w:r>
    </w:p>
    <w:p>
      <w:pPr>
        <w:snapToGrid w:val="0"/>
        <w:spacing w:line="480" w:lineRule="auto"/>
        <w:ind w:right="-197" w:rightChars="-94"/>
        <w:jc w:val="left"/>
        <w:rPr>
          <w:rFonts w:ascii="宋体" w:hAnsi="宋体" w:cs="宋体"/>
          <w:bCs/>
          <w:sz w:val="24"/>
          <w:szCs w:val="24"/>
        </w:rPr>
      </w:pPr>
      <w:r>
        <w:rPr>
          <w:rFonts w:hint="eastAsia" w:ascii="宋体" w:hAnsi="宋体" w:cs="宋体"/>
          <w:bCs/>
          <w:sz w:val="24"/>
          <w:szCs w:val="24"/>
          <w:lang w:val="en-US" w:eastAsia="zh-CN"/>
        </w:rPr>
        <w:t>8</w:t>
      </w:r>
      <w:r>
        <w:rPr>
          <w:rFonts w:hint="eastAsia" w:ascii="宋体" w:hAnsi="宋体" w:cs="宋体"/>
          <w:bCs/>
          <w:sz w:val="24"/>
          <w:szCs w:val="24"/>
        </w:rPr>
        <w:t>.非联合体磋商声明函(格式自拟）；</w:t>
      </w:r>
    </w:p>
    <w:p>
      <w:pPr>
        <w:spacing w:line="480" w:lineRule="auto"/>
        <w:rPr>
          <w:rFonts w:ascii="宋体" w:hAnsi="宋体" w:cs="宋体"/>
          <w:bCs/>
          <w:kern w:val="0"/>
          <w:sz w:val="24"/>
          <w:szCs w:val="24"/>
        </w:rPr>
        <w:sectPr>
          <w:pgSz w:w="11906" w:h="16838"/>
          <w:pgMar w:top="1440" w:right="1803" w:bottom="1440" w:left="1803" w:header="851" w:footer="992" w:gutter="0"/>
          <w:cols w:space="720" w:num="1"/>
          <w:docGrid w:type="lines" w:linePitch="319" w:charSpace="0"/>
        </w:sectPr>
      </w:pPr>
      <w:r>
        <w:rPr>
          <w:rFonts w:hint="eastAsia" w:ascii="宋体" w:hAnsi="宋体" w:cs="宋体"/>
          <w:bCs/>
          <w:kern w:val="0"/>
          <w:sz w:val="24"/>
          <w:szCs w:val="24"/>
          <w:lang w:val="en-US" w:eastAsia="zh-CN"/>
        </w:rPr>
        <w:t>9</w:t>
      </w:r>
      <w:r>
        <w:rPr>
          <w:rFonts w:hint="eastAsia" w:ascii="宋体" w:hAnsi="宋体" w:cs="宋体"/>
          <w:bCs/>
          <w:kern w:val="0"/>
          <w:sz w:val="24"/>
          <w:szCs w:val="24"/>
        </w:rPr>
        <w:t>.供应商认为应该提供的其他证明材料；</w:t>
      </w:r>
    </w:p>
    <w:p>
      <w:pPr>
        <w:pStyle w:val="3"/>
        <w:spacing w:before="319" w:beforeLines="100" w:after="478" w:afterLines="150" w:line="500" w:lineRule="exact"/>
        <w:rPr>
          <w:rFonts w:ascii="宋体" w:hAnsi="宋体"/>
          <w:sz w:val="36"/>
          <w:szCs w:val="36"/>
        </w:rPr>
      </w:pPr>
      <w:bookmarkStart w:id="506" w:name="_Toc9864"/>
      <w:r>
        <w:rPr>
          <w:rFonts w:hint="eastAsia" w:ascii="宋体" w:hAnsi="宋体"/>
          <w:sz w:val="36"/>
          <w:szCs w:val="36"/>
        </w:rPr>
        <w:t>第六章</w:t>
      </w:r>
      <w:bookmarkEnd w:id="140"/>
      <w:bookmarkStart w:id="507" w:name="_Toc6381"/>
      <w:r>
        <w:rPr>
          <w:rFonts w:hint="eastAsia" w:ascii="宋体" w:hAnsi="宋体"/>
          <w:sz w:val="36"/>
          <w:szCs w:val="36"/>
        </w:rPr>
        <w:t xml:space="preserve"> 服务方案</w:t>
      </w:r>
      <w:bookmarkEnd w:id="506"/>
      <w:bookmarkEnd w:id="507"/>
    </w:p>
    <w:p>
      <w:pPr>
        <w:rPr>
          <w:rFonts w:ascii="宋体" w:hAnsi="宋体"/>
          <w:sz w:val="28"/>
          <w:szCs w:val="28"/>
        </w:rPr>
      </w:pPr>
      <w:r>
        <w:rPr>
          <w:rFonts w:hint="eastAsia"/>
          <w:b/>
          <w:bCs/>
          <w:sz w:val="32"/>
          <w:szCs w:val="36"/>
        </w:rPr>
        <w:t>供应商按照招标文件第四部分评审办法编写技术方案，格式不限。</w:t>
      </w:r>
    </w:p>
    <w:p>
      <w:pPr>
        <w:sectPr>
          <w:pgSz w:w="11906" w:h="16838"/>
          <w:pgMar w:top="1440" w:right="1803" w:bottom="1440" w:left="1803" w:header="851" w:footer="992" w:gutter="0"/>
          <w:cols w:space="720" w:num="1"/>
          <w:docGrid w:type="lines" w:linePitch="319" w:charSpace="0"/>
        </w:sectPr>
      </w:pPr>
    </w:p>
    <w:bookmarkEnd w:id="141"/>
    <w:p>
      <w:pPr>
        <w:pStyle w:val="3"/>
        <w:rPr>
          <w:rFonts w:ascii="宋体" w:hAnsi="宋体"/>
          <w:sz w:val="30"/>
          <w:szCs w:val="30"/>
        </w:rPr>
      </w:pPr>
      <w:bookmarkStart w:id="508" w:name="_Toc2615"/>
      <w:bookmarkStart w:id="509" w:name="_Toc7161"/>
      <w:bookmarkStart w:id="510" w:name="_Toc18673"/>
      <w:bookmarkStart w:id="511" w:name="_Toc26981"/>
      <w:bookmarkStart w:id="512" w:name="_Toc605"/>
      <w:bookmarkStart w:id="513" w:name="_Toc1803"/>
      <w:r>
        <w:rPr>
          <w:rFonts w:hint="eastAsia" w:ascii="宋体" w:hAnsi="宋体"/>
          <w:sz w:val="30"/>
          <w:szCs w:val="30"/>
        </w:rPr>
        <w:t>第七章 供应商类似项目业绩一览表</w:t>
      </w:r>
      <w:bookmarkEnd w:id="508"/>
      <w:bookmarkEnd w:id="509"/>
      <w:bookmarkEnd w:id="510"/>
      <w:bookmarkEnd w:id="511"/>
      <w:bookmarkEnd w:id="512"/>
    </w:p>
    <w:tbl>
      <w:tblPr>
        <w:tblStyle w:val="26"/>
        <w:tblW w:w="84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86"/>
        <w:gridCol w:w="1072"/>
        <w:gridCol w:w="1118"/>
        <w:gridCol w:w="1109"/>
        <w:gridCol w:w="1068"/>
        <w:gridCol w:w="1567"/>
        <w:gridCol w:w="1189"/>
        <w:gridCol w:w="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trPr>
        <w:tc>
          <w:tcPr>
            <w:tcW w:w="686" w:type="dxa"/>
            <w:tcBorders>
              <w:top w:val="single" w:color="auto" w:sz="4" w:space="0"/>
            </w:tcBorders>
            <w:vAlign w:val="center"/>
          </w:tcPr>
          <w:p>
            <w:pPr>
              <w:spacing w:line="400" w:lineRule="exact"/>
              <w:rPr>
                <w:rFonts w:ascii="宋体" w:hAnsi="宋体"/>
                <w:bCs/>
                <w:szCs w:val="21"/>
              </w:rPr>
            </w:pPr>
            <w:r>
              <w:rPr>
                <w:rFonts w:hint="eastAsia" w:ascii="宋体" w:hAnsi="宋体"/>
                <w:bCs/>
                <w:szCs w:val="21"/>
              </w:rPr>
              <w:t>年份</w:t>
            </w:r>
          </w:p>
        </w:tc>
        <w:tc>
          <w:tcPr>
            <w:tcW w:w="1072" w:type="dxa"/>
            <w:vAlign w:val="center"/>
          </w:tcPr>
          <w:p>
            <w:pPr>
              <w:spacing w:line="400" w:lineRule="exact"/>
              <w:jc w:val="center"/>
              <w:rPr>
                <w:rFonts w:ascii="宋体" w:hAnsi="宋体"/>
                <w:bCs/>
                <w:szCs w:val="21"/>
              </w:rPr>
            </w:pPr>
            <w:r>
              <w:rPr>
                <w:rFonts w:hint="eastAsia" w:ascii="宋体" w:hAnsi="宋体"/>
                <w:bCs/>
                <w:szCs w:val="21"/>
              </w:rPr>
              <w:t>用户名称</w:t>
            </w:r>
          </w:p>
        </w:tc>
        <w:tc>
          <w:tcPr>
            <w:tcW w:w="1118" w:type="dxa"/>
            <w:vAlign w:val="center"/>
          </w:tcPr>
          <w:p>
            <w:pPr>
              <w:spacing w:line="400" w:lineRule="exact"/>
              <w:jc w:val="center"/>
              <w:rPr>
                <w:rFonts w:ascii="宋体" w:hAnsi="宋体"/>
                <w:bCs/>
                <w:szCs w:val="21"/>
              </w:rPr>
            </w:pPr>
            <w:r>
              <w:rPr>
                <w:rFonts w:hint="eastAsia" w:ascii="宋体" w:hAnsi="宋体"/>
                <w:bCs/>
                <w:szCs w:val="21"/>
              </w:rPr>
              <w:t>项目名称</w:t>
            </w:r>
          </w:p>
        </w:tc>
        <w:tc>
          <w:tcPr>
            <w:tcW w:w="1109" w:type="dxa"/>
            <w:vAlign w:val="center"/>
          </w:tcPr>
          <w:p>
            <w:pPr>
              <w:spacing w:line="400" w:lineRule="exact"/>
              <w:jc w:val="center"/>
              <w:rPr>
                <w:rFonts w:ascii="宋体" w:hAnsi="宋体"/>
                <w:bCs/>
                <w:szCs w:val="21"/>
              </w:rPr>
            </w:pPr>
            <w:r>
              <w:rPr>
                <w:rFonts w:hint="eastAsia" w:ascii="宋体" w:hAnsi="宋体"/>
                <w:bCs/>
                <w:szCs w:val="21"/>
              </w:rPr>
              <w:t>完成时间</w:t>
            </w:r>
          </w:p>
        </w:tc>
        <w:tc>
          <w:tcPr>
            <w:tcW w:w="1068" w:type="dxa"/>
            <w:vAlign w:val="center"/>
          </w:tcPr>
          <w:p>
            <w:pPr>
              <w:spacing w:line="400" w:lineRule="exact"/>
              <w:ind w:firstLine="105" w:firstLineChars="50"/>
              <w:rPr>
                <w:rFonts w:ascii="宋体" w:hAnsi="宋体"/>
                <w:bCs/>
                <w:szCs w:val="21"/>
              </w:rPr>
            </w:pPr>
            <w:r>
              <w:rPr>
                <w:rFonts w:hint="eastAsia" w:ascii="宋体" w:hAnsi="宋体"/>
                <w:bCs/>
                <w:szCs w:val="21"/>
              </w:rPr>
              <w:t>合同金额</w:t>
            </w:r>
          </w:p>
        </w:tc>
        <w:tc>
          <w:tcPr>
            <w:tcW w:w="1567" w:type="dxa"/>
            <w:tcBorders>
              <w:right w:val="single" w:color="auto" w:sz="4" w:space="0"/>
            </w:tcBorders>
            <w:vAlign w:val="center"/>
          </w:tcPr>
          <w:p>
            <w:pPr>
              <w:spacing w:line="400" w:lineRule="exact"/>
              <w:ind w:left="204" w:hanging="203" w:hangingChars="97"/>
              <w:rPr>
                <w:rFonts w:ascii="宋体" w:hAnsi="宋体"/>
                <w:bCs/>
                <w:szCs w:val="21"/>
              </w:rPr>
            </w:pPr>
            <w:r>
              <w:rPr>
                <w:rFonts w:hint="eastAsia" w:ascii="宋体" w:hAnsi="宋体"/>
                <w:bCs/>
                <w:szCs w:val="21"/>
              </w:rPr>
              <w:t>完成项目质量</w:t>
            </w:r>
          </w:p>
        </w:tc>
        <w:tc>
          <w:tcPr>
            <w:tcW w:w="1189" w:type="dxa"/>
            <w:tcBorders>
              <w:left w:val="single" w:color="auto" w:sz="4" w:space="0"/>
            </w:tcBorders>
            <w:vAlign w:val="center"/>
          </w:tcPr>
          <w:p>
            <w:pPr>
              <w:spacing w:line="400" w:lineRule="exact"/>
              <w:rPr>
                <w:rFonts w:ascii="宋体" w:hAnsi="宋体"/>
                <w:bCs/>
                <w:szCs w:val="21"/>
              </w:rPr>
            </w:pPr>
            <w:r>
              <w:rPr>
                <w:rFonts w:hint="eastAsia" w:ascii="宋体" w:hAnsi="宋体"/>
                <w:bCs/>
                <w:szCs w:val="21"/>
              </w:rPr>
              <w:t>项目经理</w:t>
            </w:r>
          </w:p>
        </w:tc>
        <w:tc>
          <w:tcPr>
            <w:tcW w:w="649" w:type="dxa"/>
            <w:tcBorders>
              <w:left w:val="single" w:color="auto" w:sz="4" w:space="0"/>
            </w:tcBorders>
            <w:vAlign w:val="center"/>
          </w:tcPr>
          <w:p>
            <w:pPr>
              <w:spacing w:line="400" w:lineRule="exact"/>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vAlign w:val="center"/>
          </w:tcPr>
          <w:p>
            <w:pPr>
              <w:spacing w:line="400" w:lineRule="exact"/>
              <w:jc w:val="center"/>
              <w:rPr>
                <w:rFonts w:ascii="宋体" w:hAnsi="宋体"/>
                <w:bCs/>
                <w:szCs w:val="21"/>
              </w:rPr>
            </w:pPr>
          </w:p>
        </w:tc>
        <w:tc>
          <w:tcPr>
            <w:tcW w:w="1072" w:type="dxa"/>
            <w:vAlign w:val="center"/>
          </w:tcPr>
          <w:p>
            <w:pPr>
              <w:spacing w:line="400" w:lineRule="exact"/>
              <w:jc w:val="center"/>
              <w:rPr>
                <w:rFonts w:ascii="宋体" w:hAnsi="宋体"/>
                <w:bCs/>
                <w:szCs w:val="21"/>
              </w:rPr>
            </w:pPr>
          </w:p>
        </w:tc>
        <w:tc>
          <w:tcPr>
            <w:tcW w:w="1118" w:type="dxa"/>
            <w:vAlign w:val="center"/>
          </w:tcPr>
          <w:p>
            <w:pPr>
              <w:spacing w:line="400" w:lineRule="exact"/>
              <w:jc w:val="center"/>
              <w:rPr>
                <w:rFonts w:ascii="宋体" w:hAnsi="宋体"/>
                <w:bCs/>
                <w:szCs w:val="21"/>
              </w:rPr>
            </w:pPr>
          </w:p>
        </w:tc>
        <w:tc>
          <w:tcPr>
            <w:tcW w:w="1109" w:type="dxa"/>
            <w:vAlign w:val="center"/>
          </w:tcPr>
          <w:p>
            <w:pPr>
              <w:spacing w:line="400" w:lineRule="exact"/>
              <w:jc w:val="center"/>
              <w:rPr>
                <w:rFonts w:ascii="宋体" w:hAnsi="宋体"/>
                <w:bCs/>
                <w:szCs w:val="21"/>
              </w:rPr>
            </w:pPr>
          </w:p>
        </w:tc>
        <w:tc>
          <w:tcPr>
            <w:tcW w:w="1068" w:type="dxa"/>
            <w:vAlign w:val="center"/>
          </w:tcPr>
          <w:p>
            <w:pPr>
              <w:spacing w:line="400" w:lineRule="exact"/>
              <w:jc w:val="center"/>
              <w:rPr>
                <w:rFonts w:ascii="宋体" w:hAnsi="宋体"/>
                <w:bCs/>
                <w:szCs w:val="21"/>
              </w:rPr>
            </w:pPr>
          </w:p>
        </w:tc>
        <w:tc>
          <w:tcPr>
            <w:tcW w:w="1567" w:type="dxa"/>
            <w:tcBorders>
              <w:right w:val="single" w:color="auto" w:sz="4" w:space="0"/>
            </w:tcBorders>
            <w:vAlign w:val="center"/>
          </w:tcPr>
          <w:p>
            <w:pPr>
              <w:spacing w:line="400" w:lineRule="exact"/>
              <w:jc w:val="center"/>
              <w:rPr>
                <w:rFonts w:ascii="宋体" w:hAnsi="宋体"/>
                <w:bCs/>
                <w:szCs w:val="21"/>
              </w:rPr>
            </w:pPr>
          </w:p>
        </w:tc>
        <w:tc>
          <w:tcPr>
            <w:tcW w:w="1189" w:type="dxa"/>
            <w:tcBorders>
              <w:left w:val="single" w:color="auto" w:sz="4" w:space="0"/>
            </w:tcBorders>
            <w:vAlign w:val="center"/>
          </w:tcPr>
          <w:p>
            <w:pPr>
              <w:spacing w:line="400" w:lineRule="exact"/>
              <w:jc w:val="center"/>
              <w:rPr>
                <w:rFonts w:ascii="宋体" w:hAnsi="宋体"/>
                <w:bCs/>
                <w:szCs w:val="21"/>
              </w:rPr>
            </w:pPr>
          </w:p>
        </w:tc>
        <w:tc>
          <w:tcPr>
            <w:tcW w:w="649"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vAlign w:val="center"/>
          </w:tcPr>
          <w:p>
            <w:pPr>
              <w:spacing w:line="400" w:lineRule="exact"/>
              <w:jc w:val="center"/>
              <w:rPr>
                <w:rFonts w:ascii="宋体" w:hAnsi="宋体"/>
                <w:bCs/>
                <w:szCs w:val="21"/>
              </w:rPr>
            </w:pPr>
          </w:p>
        </w:tc>
        <w:tc>
          <w:tcPr>
            <w:tcW w:w="1072" w:type="dxa"/>
            <w:vAlign w:val="center"/>
          </w:tcPr>
          <w:p>
            <w:pPr>
              <w:spacing w:line="400" w:lineRule="exact"/>
              <w:jc w:val="center"/>
              <w:rPr>
                <w:rFonts w:ascii="宋体" w:hAnsi="宋体"/>
                <w:bCs/>
                <w:szCs w:val="21"/>
              </w:rPr>
            </w:pPr>
          </w:p>
        </w:tc>
        <w:tc>
          <w:tcPr>
            <w:tcW w:w="1118" w:type="dxa"/>
            <w:vAlign w:val="center"/>
          </w:tcPr>
          <w:p>
            <w:pPr>
              <w:spacing w:line="400" w:lineRule="exact"/>
              <w:jc w:val="center"/>
              <w:rPr>
                <w:rFonts w:ascii="宋体" w:hAnsi="宋体"/>
                <w:bCs/>
                <w:szCs w:val="21"/>
              </w:rPr>
            </w:pPr>
          </w:p>
        </w:tc>
        <w:tc>
          <w:tcPr>
            <w:tcW w:w="1109" w:type="dxa"/>
            <w:vAlign w:val="center"/>
          </w:tcPr>
          <w:p>
            <w:pPr>
              <w:spacing w:line="400" w:lineRule="exact"/>
              <w:jc w:val="center"/>
              <w:rPr>
                <w:rFonts w:ascii="宋体" w:hAnsi="宋体"/>
                <w:bCs/>
                <w:szCs w:val="21"/>
              </w:rPr>
            </w:pPr>
          </w:p>
        </w:tc>
        <w:tc>
          <w:tcPr>
            <w:tcW w:w="1068" w:type="dxa"/>
            <w:vAlign w:val="center"/>
          </w:tcPr>
          <w:p>
            <w:pPr>
              <w:spacing w:line="400" w:lineRule="exact"/>
              <w:jc w:val="center"/>
              <w:rPr>
                <w:rFonts w:ascii="宋体" w:hAnsi="宋体"/>
                <w:bCs/>
                <w:szCs w:val="21"/>
              </w:rPr>
            </w:pPr>
          </w:p>
        </w:tc>
        <w:tc>
          <w:tcPr>
            <w:tcW w:w="1567" w:type="dxa"/>
            <w:tcBorders>
              <w:right w:val="single" w:color="auto" w:sz="4" w:space="0"/>
            </w:tcBorders>
            <w:vAlign w:val="center"/>
          </w:tcPr>
          <w:p>
            <w:pPr>
              <w:spacing w:line="400" w:lineRule="exact"/>
              <w:jc w:val="center"/>
              <w:rPr>
                <w:rFonts w:ascii="宋体" w:hAnsi="宋体"/>
                <w:bCs/>
                <w:szCs w:val="21"/>
              </w:rPr>
            </w:pPr>
          </w:p>
        </w:tc>
        <w:tc>
          <w:tcPr>
            <w:tcW w:w="1189" w:type="dxa"/>
            <w:tcBorders>
              <w:left w:val="single" w:color="auto" w:sz="4" w:space="0"/>
            </w:tcBorders>
            <w:vAlign w:val="center"/>
          </w:tcPr>
          <w:p>
            <w:pPr>
              <w:spacing w:line="400" w:lineRule="exact"/>
              <w:jc w:val="center"/>
              <w:rPr>
                <w:rFonts w:ascii="宋体" w:hAnsi="宋体"/>
                <w:bCs/>
                <w:szCs w:val="21"/>
              </w:rPr>
            </w:pPr>
          </w:p>
        </w:tc>
        <w:tc>
          <w:tcPr>
            <w:tcW w:w="649"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vAlign w:val="center"/>
          </w:tcPr>
          <w:p>
            <w:pPr>
              <w:spacing w:line="400" w:lineRule="exact"/>
              <w:jc w:val="center"/>
              <w:rPr>
                <w:rFonts w:ascii="宋体" w:hAnsi="宋体"/>
                <w:bCs/>
                <w:szCs w:val="21"/>
              </w:rPr>
            </w:pPr>
          </w:p>
        </w:tc>
        <w:tc>
          <w:tcPr>
            <w:tcW w:w="1072" w:type="dxa"/>
            <w:vAlign w:val="center"/>
          </w:tcPr>
          <w:p>
            <w:pPr>
              <w:spacing w:line="400" w:lineRule="exact"/>
              <w:jc w:val="center"/>
              <w:rPr>
                <w:rFonts w:ascii="宋体" w:hAnsi="宋体"/>
                <w:bCs/>
                <w:szCs w:val="21"/>
              </w:rPr>
            </w:pPr>
          </w:p>
        </w:tc>
        <w:tc>
          <w:tcPr>
            <w:tcW w:w="1118" w:type="dxa"/>
            <w:vAlign w:val="center"/>
          </w:tcPr>
          <w:p>
            <w:pPr>
              <w:spacing w:line="400" w:lineRule="exact"/>
              <w:jc w:val="center"/>
              <w:rPr>
                <w:rFonts w:ascii="宋体" w:hAnsi="宋体"/>
                <w:bCs/>
                <w:szCs w:val="21"/>
              </w:rPr>
            </w:pPr>
          </w:p>
        </w:tc>
        <w:tc>
          <w:tcPr>
            <w:tcW w:w="1109" w:type="dxa"/>
            <w:vAlign w:val="center"/>
          </w:tcPr>
          <w:p>
            <w:pPr>
              <w:spacing w:line="400" w:lineRule="exact"/>
              <w:jc w:val="center"/>
              <w:rPr>
                <w:rFonts w:ascii="宋体" w:hAnsi="宋体"/>
                <w:bCs/>
                <w:szCs w:val="21"/>
              </w:rPr>
            </w:pPr>
          </w:p>
        </w:tc>
        <w:tc>
          <w:tcPr>
            <w:tcW w:w="1068" w:type="dxa"/>
            <w:vAlign w:val="center"/>
          </w:tcPr>
          <w:p>
            <w:pPr>
              <w:spacing w:line="400" w:lineRule="exact"/>
              <w:jc w:val="center"/>
              <w:rPr>
                <w:rFonts w:ascii="宋体" w:hAnsi="宋体"/>
                <w:bCs/>
                <w:szCs w:val="21"/>
              </w:rPr>
            </w:pPr>
          </w:p>
        </w:tc>
        <w:tc>
          <w:tcPr>
            <w:tcW w:w="1567" w:type="dxa"/>
            <w:tcBorders>
              <w:right w:val="single" w:color="auto" w:sz="4" w:space="0"/>
            </w:tcBorders>
            <w:vAlign w:val="center"/>
          </w:tcPr>
          <w:p>
            <w:pPr>
              <w:spacing w:line="400" w:lineRule="exact"/>
              <w:jc w:val="center"/>
              <w:rPr>
                <w:rFonts w:ascii="宋体" w:hAnsi="宋体"/>
                <w:bCs/>
                <w:szCs w:val="21"/>
              </w:rPr>
            </w:pPr>
          </w:p>
        </w:tc>
        <w:tc>
          <w:tcPr>
            <w:tcW w:w="1189" w:type="dxa"/>
            <w:tcBorders>
              <w:left w:val="single" w:color="auto" w:sz="4" w:space="0"/>
            </w:tcBorders>
            <w:vAlign w:val="center"/>
          </w:tcPr>
          <w:p>
            <w:pPr>
              <w:spacing w:line="400" w:lineRule="exact"/>
              <w:jc w:val="center"/>
              <w:rPr>
                <w:rFonts w:ascii="宋体" w:hAnsi="宋体"/>
                <w:bCs/>
                <w:szCs w:val="21"/>
              </w:rPr>
            </w:pPr>
          </w:p>
        </w:tc>
        <w:tc>
          <w:tcPr>
            <w:tcW w:w="649"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vAlign w:val="center"/>
          </w:tcPr>
          <w:p>
            <w:pPr>
              <w:spacing w:line="400" w:lineRule="exact"/>
              <w:jc w:val="center"/>
              <w:rPr>
                <w:rFonts w:ascii="宋体" w:hAnsi="宋体"/>
                <w:bCs/>
                <w:szCs w:val="21"/>
              </w:rPr>
            </w:pPr>
          </w:p>
        </w:tc>
        <w:tc>
          <w:tcPr>
            <w:tcW w:w="1072" w:type="dxa"/>
            <w:tcBorders>
              <w:right w:val="single" w:color="auto" w:sz="4" w:space="0"/>
            </w:tcBorders>
            <w:vAlign w:val="center"/>
          </w:tcPr>
          <w:p>
            <w:pPr>
              <w:spacing w:line="400" w:lineRule="exact"/>
              <w:jc w:val="center"/>
              <w:rPr>
                <w:rFonts w:ascii="宋体" w:hAnsi="宋体"/>
                <w:bCs/>
                <w:szCs w:val="21"/>
              </w:rPr>
            </w:pPr>
          </w:p>
        </w:tc>
        <w:tc>
          <w:tcPr>
            <w:tcW w:w="1118" w:type="dxa"/>
            <w:tcBorders>
              <w:left w:val="single" w:color="auto" w:sz="4" w:space="0"/>
            </w:tcBorders>
            <w:vAlign w:val="center"/>
          </w:tcPr>
          <w:p>
            <w:pPr>
              <w:spacing w:line="400" w:lineRule="exact"/>
              <w:jc w:val="center"/>
              <w:rPr>
                <w:rFonts w:ascii="宋体" w:hAnsi="宋体"/>
                <w:bCs/>
                <w:szCs w:val="21"/>
              </w:rPr>
            </w:pPr>
          </w:p>
        </w:tc>
        <w:tc>
          <w:tcPr>
            <w:tcW w:w="1109" w:type="dxa"/>
            <w:vAlign w:val="center"/>
          </w:tcPr>
          <w:p>
            <w:pPr>
              <w:spacing w:line="400" w:lineRule="exact"/>
              <w:jc w:val="center"/>
              <w:rPr>
                <w:rFonts w:ascii="宋体" w:hAnsi="宋体"/>
                <w:bCs/>
                <w:szCs w:val="21"/>
              </w:rPr>
            </w:pPr>
          </w:p>
        </w:tc>
        <w:tc>
          <w:tcPr>
            <w:tcW w:w="1068" w:type="dxa"/>
            <w:vAlign w:val="center"/>
          </w:tcPr>
          <w:p>
            <w:pPr>
              <w:spacing w:line="400" w:lineRule="exact"/>
              <w:jc w:val="center"/>
              <w:rPr>
                <w:rFonts w:ascii="宋体" w:hAnsi="宋体"/>
                <w:bCs/>
                <w:szCs w:val="21"/>
              </w:rPr>
            </w:pPr>
          </w:p>
        </w:tc>
        <w:tc>
          <w:tcPr>
            <w:tcW w:w="1567" w:type="dxa"/>
            <w:tcBorders>
              <w:right w:val="single" w:color="auto" w:sz="4" w:space="0"/>
            </w:tcBorders>
            <w:vAlign w:val="center"/>
          </w:tcPr>
          <w:p>
            <w:pPr>
              <w:spacing w:line="400" w:lineRule="exact"/>
              <w:jc w:val="center"/>
              <w:rPr>
                <w:rFonts w:ascii="宋体" w:hAnsi="宋体"/>
                <w:bCs/>
                <w:szCs w:val="21"/>
              </w:rPr>
            </w:pPr>
          </w:p>
        </w:tc>
        <w:tc>
          <w:tcPr>
            <w:tcW w:w="1189" w:type="dxa"/>
            <w:tcBorders>
              <w:left w:val="single" w:color="auto" w:sz="4" w:space="0"/>
            </w:tcBorders>
            <w:vAlign w:val="center"/>
          </w:tcPr>
          <w:p>
            <w:pPr>
              <w:spacing w:line="400" w:lineRule="exact"/>
              <w:jc w:val="center"/>
              <w:rPr>
                <w:rFonts w:ascii="宋体" w:hAnsi="宋体"/>
                <w:bCs/>
                <w:szCs w:val="21"/>
              </w:rPr>
            </w:pPr>
          </w:p>
        </w:tc>
        <w:tc>
          <w:tcPr>
            <w:tcW w:w="649" w:type="dxa"/>
            <w:tcBorders>
              <w:left w:val="single" w:color="auto" w:sz="4" w:space="0"/>
            </w:tcBorders>
            <w:vAlign w:val="center"/>
          </w:tcPr>
          <w:p>
            <w:pPr>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tcBorders>
              <w:right w:val="single" w:color="auto" w:sz="4" w:space="0"/>
            </w:tcBorders>
            <w:vAlign w:val="center"/>
          </w:tcPr>
          <w:p>
            <w:pPr>
              <w:spacing w:line="400" w:lineRule="exact"/>
              <w:rPr>
                <w:rFonts w:ascii="宋体" w:hAnsi="宋体"/>
                <w:bCs/>
                <w:szCs w:val="21"/>
              </w:rPr>
            </w:pPr>
          </w:p>
        </w:tc>
        <w:tc>
          <w:tcPr>
            <w:tcW w:w="1072" w:type="dxa"/>
            <w:tcBorders>
              <w:left w:val="single" w:color="auto" w:sz="4" w:space="0"/>
              <w:right w:val="single" w:color="auto" w:sz="4" w:space="0"/>
            </w:tcBorders>
            <w:vAlign w:val="center"/>
          </w:tcPr>
          <w:p>
            <w:pPr>
              <w:spacing w:line="400" w:lineRule="exact"/>
              <w:rPr>
                <w:rFonts w:ascii="宋体" w:hAnsi="宋体"/>
                <w:bCs/>
                <w:szCs w:val="21"/>
              </w:rPr>
            </w:pPr>
          </w:p>
        </w:tc>
        <w:tc>
          <w:tcPr>
            <w:tcW w:w="1118" w:type="dxa"/>
            <w:tcBorders>
              <w:left w:val="single" w:color="auto" w:sz="4" w:space="0"/>
              <w:right w:val="single" w:color="auto" w:sz="4" w:space="0"/>
            </w:tcBorders>
            <w:vAlign w:val="center"/>
          </w:tcPr>
          <w:p>
            <w:pPr>
              <w:spacing w:line="400" w:lineRule="exact"/>
              <w:rPr>
                <w:rFonts w:ascii="宋体" w:hAnsi="宋体"/>
                <w:bCs/>
                <w:szCs w:val="21"/>
              </w:rPr>
            </w:pPr>
          </w:p>
        </w:tc>
        <w:tc>
          <w:tcPr>
            <w:tcW w:w="1109" w:type="dxa"/>
            <w:tcBorders>
              <w:left w:val="single" w:color="auto" w:sz="4" w:space="0"/>
              <w:right w:val="single" w:color="auto" w:sz="4" w:space="0"/>
            </w:tcBorders>
            <w:vAlign w:val="center"/>
          </w:tcPr>
          <w:p>
            <w:pPr>
              <w:spacing w:line="400" w:lineRule="exact"/>
              <w:rPr>
                <w:rFonts w:ascii="宋体" w:hAnsi="宋体"/>
                <w:bCs/>
                <w:szCs w:val="21"/>
              </w:rPr>
            </w:pPr>
          </w:p>
        </w:tc>
        <w:tc>
          <w:tcPr>
            <w:tcW w:w="1068" w:type="dxa"/>
            <w:tcBorders>
              <w:left w:val="single" w:color="auto" w:sz="4" w:space="0"/>
              <w:right w:val="single" w:color="auto" w:sz="4" w:space="0"/>
            </w:tcBorders>
            <w:vAlign w:val="center"/>
          </w:tcPr>
          <w:p>
            <w:pPr>
              <w:spacing w:line="400" w:lineRule="exact"/>
              <w:rPr>
                <w:rFonts w:ascii="宋体" w:hAnsi="宋体"/>
                <w:bCs/>
                <w:szCs w:val="21"/>
              </w:rPr>
            </w:pPr>
          </w:p>
        </w:tc>
        <w:tc>
          <w:tcPr>
            <w:tcW w:w="1567" w:type="dxa"/>
            <w:tcBorders>
              <w:left w:val="single" w:color="auto" w:sz="4" w:space="0"/>
              <w:right w:val="single" w:color="auto" w:sz="4" w:space="0"/>
            </w:tcBorders>
            <w:vAlign w:val="center"/>
          </w:tcPr>
          <w:p>
            <w:pPr>
              <w:spacing w:line="400" w:lineRule="exact"/>
              <w:rPr>
                <w:rFonts w:ascii="宋体" w:hAnsi="宋体"/>
                <w:bCs/>
                <w:szCs w:val="21"/>
              </w:rPr>
            </w:pPr>
          </w:p>
        </w:tc>
        <w:tc>
          <w:tcPr>
            <w:tcW w:w="1189" w:type="dxa"/>
            <w:tcBorders>
              <w:left w:val="single" w:color="auto" w:sz="4" w:space="0"/>
            </w:tcBorders>
            <w:vAlign w:val="center"/>
          </w:tcPr>
          <w:p>
            <w:pPr>
              <w:spacing w:line="400" w:lineRule="exact"/>
              <w:rPr>
                <w:rFonts w:ascii="宋体" w:hAnsi="宋体"/>
                <w:bCs/>
                <w:szCs w:val="21"/>
              </w:rPr>
            </w:pPr>
          </w:p>
        </w:tc>
        <w:tc>
          <w:tcPr>
            <w:tcW w:w="649" w:type="dxa"/>
            <w:tcBorders>
              <w:left w:val="single" w:color="auto" w:sz="4" w:space="0"/>
            </w:tcBorders>
            <w:vAlign w:val="center"/>
          </w:tcPr>
          <w:p>
            <w:pPr>
              <w:spacing w:line="40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686" w:type="dxa"/>
            <w:vAlign w:val="center"/>
          </w:tcPr>
          <w:p>
            <w:pPr>
              <w:spacing w:line="400" w:lineRule="exact"/>
              <w:rPr>
                <w:rFonts w:ascii="宋体" w:hAnsi="宋体"/>
                <w:bCs/>
                <w:szCs w:val="21"/>
              </w:rPr>
            </w:pPr>
          </w:p>
        </w:tc>
        <w:tc>
          <w:tcPr>
            <w:tcW w:w="1072" w:type="dxa"/>
            <w:vAlign w:val="center"/>
          </w:tcPr>
          <w:p>
            <w:pPr>
              <w:spacing w:line="400" w:lineRule="exact"/>
              <w:rPr>
                <w:rFonts w:ascii="宋体" w:hAnsi="宋体"/>
                <w:bCs/>
                <w:szCs w:val="21"/>
              </w:rPr>
            </w:pPr>
          </w:p>
        </w:tc>
        <w:tc>
          <w:tcPr>
            <w:tcW w:w="1118" w:type="dxa"/>
            <w:vAlign w:val="center"/>
          </w:tcPr>
          <w:p>
            <w:pPr>
              <w:spacing w:line="400" w:lineRule="exact"/>
              <w:rPr>
                <w:rFonts w:ascii="宋体" w:hAnsi="宋体"/>
                <w:bCs/>
                <w:szCs w:val="21"/>
              </w:rPr>
            </w:pPr>
          </w:p>
        </w:tc>
        <w:tc>
          <w:tcPr>
            <w:tcW w:w="1109" w:type="dxa"/>
            <w:vAlign w:val="center"/>
          </w:tcPr>
          <w:p>
            <w:pPr>
              <w:spacing w:line="400" w:lineRule="exact"/>
              <w:rPr>
                <w:rFonts w:ascii="宋体" w:hAnsi="宋体"/>
                <w:bCs/>
                <w:szCs w:val="21"/>
              </w:rPr>
            </w:pPr>
          </w:p>
        </w:tc>
        <w:tc>
          <w:tcPr>
            <w:tcW w:w="1068" w:type="dxa"/>
            <w:tcBorders>
              <w:right w:val="single" w:color="auto" w:sz="4" w:space="0"/>
            </w:tcBorders>
            <w:vAlign w:val="center"/>
          </w:tcPr>
          <w:p>
            <w:pPr>
              <w:spacing w:line="400" w:lineRule="exact"/>
              <w:rPr>
                <w:rFonts w:ascii="宋体" w:hAnsi="宋体"/>
                <w:bCs/>
                <w:szCs w:val="21"/>
              </w:rPr>
            </w:pPr>
          </w:p>
        </w:tc>
        <w:tc>
          <w:tcPr>
            <w:tcW w:w="1567" w:type="dxa"/>
            <w:tcBorders>
              <w:left w:val="single" w:color="auto" w:sz="4" w:space="0"/>
              <w:right w:val="single" w:color="auto" w:sz="4" w:space="0"/>
            </w:tcBorders>
            <w:vAlign w:val="center"/>
          </w:tcPr>
          <w:p>
            <w:pPr>
              <w:spacing w:line="400" w:lineRule="exact"/>
              <w:rPr>
                <w:rFonts w:ascii="宋体" w:hAnsi="宋体"/>
                <w:bCs/>
                <w:szCs w:val="21"/>
              </w:rPr>
            </w:pPr>
          </w:p>
        </w:tc>
        <w:tc>
          <w:tcPr>
            <w:tcW w:w="1189" w:type="dxa"/>
            <w:tcBorders>
              <w:left w:val="single" w:color="auto" w:sz="4" w:space="0"/>
            </w:tcBorders>
            <w:vAlign w:val="center"/>
          </w:tcPr>
          <w:p>
            <w:pPr>
              <w:spacing w:line="400" w:lineRule="exact"/>
              <w:rPr>
                <w:rFonts w:ascii="宋体" w:hAnsi="宋体"/>
                <w:bCs/>
                <w:szCs w:val="21"/>
              </w:rPr>
            </w:pPr>
          </w:p>
        </w:tc>
        <w:tc>
          <w:tcPr>
            <w:tcW w:w="649" w:type="dxa"/>
            <w:tcBorders>
              <w:left w:val="single" w:color="auto" w:sz="4" w:space="0"/>
            </w:tcBorders>
            <w:vAlign w:val="center"/>
          </w:tcPr>
          <w:p>
            <w:pPr>
              <w:spacing w:line="40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9" w:hRule="atLeast"/>
        </w:trPr>
        <w:tc>
          <w:tcPr>
            <w:tcW w:w="686" w:type="dxa"/>
            <w:vAlign w:val="center"/>
          </w:tcPr>
          <w:p>
            <w:pPr>
              <w:spacing w:line="400" w:lineRule="exact"/>
              <w:jc w:val="center"/>
              <w:rPr>
                <w:rFonts w:ascii="宋体" w:hAnsi="宋体"/>
                <w:bCs/>
                <w:szCs w:val="21"/>
              </w:rPr>
            </w:pPr>
          </w:p>
        </w:tc>
        <w:tc>
          <w:tcPr>
            <w:tcW w:w="1072" w:type="dxa"/>
            <w:vAlign w:val="center"/>
          </w:tcPr>
          <w:p>
            <w:pPr>
              <w:spacing w:line="400" w:lineRule="exact"/>
              <w:jc w:val="center"/>
              <w:rPr>
                <w:rFonts w:ascii="宋体" w:hAnsi="宋体"/>
                <w:bCs/>
                <w:szCs w:val="21"/>
              </w:rPr>
            </w:pPr>
          </w:p>
        </w:tc>
        <w:tc>
          <w:tcPr>
            <w:tcW w:w="1118" w:type="dxa"/>
            <w:vAlign w:val="center"/>
          </w:tcPr>
          <w:p>
            <w:pPr>
              <w:spacing w:line="400" w:lineRule="exact"/>
              <w:jc w:val="center"/>
              <w:rPr>
                <w:rFonts w:ascii="宋体" w:hAnsi="宋体"/>
                <w:bCs/>
                <w:szCs w:val="21"/>
              </w:rPr>
            </w:pPr>
          </w:p>
        </w:tc>
        <w:tc>
          <w:tcPr>
            <w:tcW w:w="1109" w:type="dxa"/>
            <w:vAlign w:val="center"/>
          </w:tcPr>
          <w:p>
            <w:pPr>
              <w:spacing w:line="400" w:lineRule="exact"/>
              <w:jc w:val="center"/>
              <w:rPr>
                <w:rFonts w:ascii="宋体" w:hAnsi="宋体"/>
                <w:bCs/>
                <w:szCs w:val="21"/>
              </w:rPr>
            </w:pPr>
          </w:p>
        </w:tc>
        <w:tc>
          <w:tcPr>
            <w:tcW w:w="1068" w:type="dxa"/>
            <w:tcBorders>
              <w:right w:val="single" w:color="auto" w:sz="4" w:space="0"/>
            </w:tcBorders>
            <w:vAlign w:val="center"/>
          </w:tcPr>
          <w:p>
            <w:pPr>
              <w:spacing w:line="400" w:lineRule="exact"/>
              <w:jc w:val="center"/>
              <w:rPr>
                <w:rFonts w:ascii="宋体" w:hAnsi="宋体"/>
                <w:bCs/>
                <w:szCs w:val="21"/>
              </w:rPr>
            </w:pPr>
          </w:p>
        </w:tc>
        <w:tc>
          <w:tcPr>
            <w:tcW w:w="1567" w:type="dxa"/>
            <w:tcBorders>
              <w:left w:val="single" w:color="auto" w:sz="4" w:space="0"/>
              <w:right w:val="single" w:color="auto" w:sz="4" w:space="0"/>
            </w:tcBorders>
            <w:vAlign w:val="center"/>
          </w:tcPr>
          <w:p>
            <w:pPr>
              <w:spacing w:line="400" w:lineRule="exact"/>
              <w:jc w:val="center"/>
              <w:rPr>
                <w:rFonts w:ascii="宋体" w:hAnsi="宋体"/>
                <w:bCs/>
                <w:szCs w:val="21"/>
              </w:rPr>
            </w:pPr>
          </w:p>
        </w:tc>
        <w:tc>
          <w:tcPr>
            <w:tcW w:w="1189" w:type="dxa"/>
            <w:tcBorders>
              <w:left w:val="single" w:color="auto" w:sz="4" w:space="0"/>
            </w:tcBorders>
            <w:vAlign w:val="center"/>
          </w:tcPr>
          <w:p>
            <w:pPr>
              <w:spacing w:line="400" w:lineRule="exact"/>
              <w:jc w:val="center"/>
              <w:rPr>
                <w:rFonts w:ascii="宋体" w:hAnsi="宋体"/>
                <w:bCs/>
                <w:szCs w:val="21"/>
              </w:rPr>
            </w:pPr>
          </w:p>
        </w:tc>
        <w:tc>
          <w:tcPr>
            <w:tcW w:w="649" w:type="dxa"/>
            <w:tcBorders>
              <w:left w:val="single" w:color="auto" w:sz="4" w:space="0"/>
            </w:tcBorders>
            <w:vAlign w:val="center"/>
          </w:tcPr>
          <w:p>
            <w:pPr>
              <w:spacing w:line="400" w:lineRule="exact"/>
              <w:jc w:val="center"/>
              <w:rPr>
                <w:rFonts w:ascii="宋体" w:hAnsi="宋体"/>
                <w:bCs/>
                <w:szCs w:val="21"/>
              </w:rPr>
            </w:pPr>
          </w:p>
        </w:tc>
      </w:tr>
    </w:tbl>
    <w:p>
      <w:pPr>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sz w:val="24"/>
          <w:szCs w:val="24"/>
        </w:rPr>
      </w:pPr>
      <w:r>
        <w:rPr>
          <w:rFonts w:hint="eastAsia" w:ascii="宋体" w:hAnsi="宋体"/>
          <w:sz w:val="24"/>
          <w:szCs w:val="24"/>
        </w:rPr>
        <w:t>注：供应商（仅限于供应商自己实施的）以上业绩需提供业绩合同复印件加盖公章。</w:t>
      </w:r>
    </w:p>
    <w:p>
      <w:pPr>
        <w:spacing w:line="360" w:lineRule="auto"/>
        <w:ind w:left="360"/>
        <w:jc w:val="center"/>
        <w:rPr>
          <w:rFonts w:ascii="宋体" w:hAnsi="宋体"/>
          <w:sz w:val="24"/>
          <w:szCs w:val="24"/>
        </w:rPr>
      </w:pPr>
    </w:p>
    <w:p>
      <w:pPr>
        <w:adjustRightInd w:val="0"/>
        <w:spacing w:line="360" w:lineRule="auto"/>
        <w:ind w:firstLine="420" w:firstLineChars="175"/>
        <w:jc w:val="left"/>
        <w:rPr>
          <w:rFonts w:ascii="宋体" w:hAnsi="宋体"/>
          <w:bCs/>
          <w:sz w:val="24"/>
          <w:szCs w:val="24"/>
          <w:u w:val="single"/>
        </w:rPr>
      </w:pPr>
      <w:r>
        <w:rPr>
          <w:rFonts w:hint="eastAsia" w:ascii="宋体" w:hAnsi="宋体"/>
          <w:bCs/>
          <w:sz w:val="24"/>
          <w:szCs w:val="24"/>
        </w:rPr>
        <w:t>供应商名称：</w:t>
      </w:r>
      <w:r>
        <w:rPr>
          <w:rFonts w:hint="eastAsia" w:ascii="宋体" w:hAnsi="宋体"/>
          <w:bCs/>
          <w:sz w:val="24"/>
          <w:szCs w:val="24"/>
          <w:u w:val="single"/>
        </w:rPr>
        <w:t>（全称及公章）</w:t>
      </w:r>
    </w:p>
    <w:p>
      <w:pPr>
        <w:adjustRightInd w:val="0"/>
        <w:spacing w:line="360" w:lineRule="auto"/>
        <w:ind w:firstLine="420" w:firstLineChars="175"/>
        <w:jc w:val="left"/>
        <w:rPr>
          <w:rFonts w:ascii="宋体" w:hAnsi="宋体"/>
          <w:bCs/>
          <w:sz w:val="24"/>
          <w:szCs w:val="24"/>
          <w:u w:val="single"/>
        </w:rPr>
      </w:pPr>
      <w:r>
        <w:rPr>
          <w:rFonts w:hint="eastAsia" w:ascii="宋体" w:hAnsi="宋体"/>
          <w:bCs/>
          <w:sz w:val="24"/>
          <w:szCs w:val="24"/>
        </w:rPr>
        <w:t>法定代表人或委托代理人（签字或盖章）：</w:t>
      </w:r>
    </w:p>
    <w:p>
      <w:pPr>
        <w:adjustRightInd w:val="0"/>
        <w:spacing w:line="360" w:lineRule="auto"/>
        <w:ind w:firstLine="420" w:firstLineChars="175"/>
        <w:jc w:val="left"/>
        <w:rPr>
          <w:rFonts w:ascii="宋体" w:hAnsi="宋体"/>
          <w:bCs/>
          <w:sz w:val="24"/>
          <w:szCs w:val="24"/>
        </w:rPr>
      </w:pPr>
      <w:r>
        <w:rPr>
          <w:rFonts w:hint="eastAsia" w:ascii="宋体" w:hAnsi="宋体"/>
          <w:bCs/>
          <w:sz w:val="24"/>
          <w:szCs w:val="24"/>
        </w:rPr>
        <w:t>日期:</w:t>
      </w:r>
    </w:p>
    <w:p>
      <w:pPr>
        <w:spacing w:line="360" w:lineRule="auto"/>
        <w:ind w:firstLine="480" w:firstLineChars="200"/>
        <w:rPr>
          <w:rFonts w:ascii="宋体" w:hAnsi="宋体" w:cs="宋体"/>
          <w:sz w:val="24"/>
          <w:szCs w:val="24"/>
        </w:rPr>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br w:type="page"/>
      </w:r>
      <w:bookmarkEnd w:id="513"/>
      <w:bookmarkStart w:id="514" w:name="_Toc26148"/>
    </w:p>
    <w:bookmarkEnd w:id="514"/>
    <w:p>
      <w:pPr>
        <w:pStyle w:val="3"/>
        <w:rPr>
          <w:rFonts w:ascii="宋体"/>
        </w:rPr>
      </w:pPr>
      <w:bookmarkStart w:id="515" w:name="_Toc26949"/>
      <w:bookmarkStart w:id="516" w:name="_Toc23571"/>
      <w:bookmarkStart w:id="517" w:name="_Toc22055"/>
      <w:r>
        <w:rPr>
          <w:rFonts w:hint="eastAsia" w:ascii="宋体" w:hAnsi="宋体" w:cs="宋体"/>
        </w:rPr>
        <w:t>第八</w:t>
      </w:r>
      <w:r>
        <w:rPr>
          <w:rFonts w:hint="eastAsia" w:hAnsi="宋体" w:cs="宋体"/>
          <w:bCs/>
          <w:szCs w:val="28"/>
        </w:rPr>
        <w:t>章</w:t>
      </w:r>
      <w:r>
        <w:rPr>
          <w:rFonts w:hint="eastAsia" w:ascii="宋体" w:hAnsi="宋体" w:cs="宋体"/>
        </w:rPr>
        <w:t xml:space="preserve"> 供应商认为有必要说明的其他问题</w:t>
      </w:r>
      <w:bookmarkEnd w:id="515"/>
      <w:bookmarkEnd w:id="516"/>
      <w:bookmarkEnd w:id="517"/>
    </w:p>
    <w:p>
      <w:pPr>
        <w:rPr>
          <w:rFonts w:ascii="宋体" w:hAnsi="宋体" w:cs="宋体"/>
          <w:b/>
          <w:bCs/>
          <w:color w:val="FF0000"/>
          <w:sz w:val="44"/>
          <w:szCs w:val="44"/>
        </w:rPr>
      </w:pPr>
    </w:p>
    <w:p/>
    <w:p/>
    <w:p/>
    <w:p/>
    <w:p>
      <w:pPr>
        <w:pStyle w:val="3"/>
        <w:rPr>
          <w:rFonts w:ascii="宋体" w:hAnsi="宋体" w:cs="宋体"/>
        </w:rPr>
        <w:sectPr>
          <w:pgSz w:w="11906" w:h="16838"/>
          <w:pgMar w:top="1440" w:right="1803" w:bottom="1440" w:left="1803" w:header="851" w:footer="992" w:gutter="0"/>
          <w:cols w:space="720" w:num="1"/>
          <w:docGrid w:type="lines" w:linePitch="319" w:charSpace="0"/>
        </w:sectPr>
      </w:pPr>
      <w:bookmarkStart w:id="518" w:name="_Toc2911"/>
      <w:bookmarkStart w:id="519" w:name="_Toc8964"/>
      <w:bookmarkStart w:id="520" w:name="_Toc10667"/>
    </w:p>
    <w:bookmarkEnd w:id="518"/>
    <w:bookmarkEnd w:id="519"/>
    <w:bookmarkEnd w:id="520"/>
    <w:p>
      <w:pPr>
        <w:pStyle w:val="3"/>
        <w:rPr>
          <w:rFonts w:ascii="宋体" w:hAnsi="宋体" w:cs="宋体"/>
        </w:rPr>
      </w:pPr>
      <w:bookmarkStart w:id="521" w:name="_Toc31442"/>
      <w:r>
        <w:rPr>
          <w:rFonts w:hint="eastAsia" w:ascii="宋体" w:hAnsi="宋体" w:cs="宋体"/>
        </w:rPr>
        <w:t>第九</w:t>
      </w:r>
      <w:r>
        <w:rPr>
          <w:rFonts w:hint="eastAsia" w:hAnsi="宋体" w:cs="宋体"/>
          <w:bCs/>
          <w:szCs w:val="28"/>
        </w:rPr>
        <w:t>章</w:t>
      </w:r>
      <w:r>
        <w:rPr>
          <w:rFonts w:hint="eastAsia" w:ascii="宋体" w:hAnsi="宋体" w:cs="宋体"/>
        </w:rPr>
        <w:t xml:space="preserve"> 供应商承诺书</w:t>
      </w:r>
      <w:bookmarkEnd w:id="521"/>
    </w:p>
    <w:p>
      <w:pPr>
        <w:pStyle w:val="12"/>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2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西安市儿童医院西门院区门诊楼及住院二部楼顶发光字拆除设计安装项目</w:t>
            </w:r>
            <w:r>
              <w:rPr>
                <w:rFonts w:hint="eastAsia" w:ascii="宋体" w:hAnsi="宋体" w:cs="宋体"/>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西安市儿童医院西门院区门诊楼及住院二部楼顶发光字拆除设计安装项目</w:t>
            </w:r>
            <w:r>
              <w:rPr>
                <w:rFonts w:hint="eastAsia" w:ascii="宋体" w:hAnsi="宋体" w:cs="宋体"/>
                <w:szCs w:val="21"/>
              </w:rPr>
              <w:t>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2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西安市儿童医院西门院区门诊楼及住院二部楼顶发光字拆除设计安装项目</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2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西安市儿童医院西门院区门诊楼及住院二部楼顶发光字拆除设计安装项目</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adjustRightInd w:val="0"/>
        <w:snapToGrid w:val="0"/>
        <w:ind w:firstLine="720" w:firstLineChars="200"/>
        <w:jc w:val="left"/>
        <w:rPr>
          <w:rFonts w:ascii="宋体" w:hAnsi="宋体" w:cs="宋体"/>
          <w:bCs/>
          <w:sz w:val="36"/>
          <w:szCs w:val="36"/>
        </w:rPr>
      </w:pPr>
    </w:p>
    <w:p>
      <w:pPr>
        <w:widowControl/>
        <w:spacing w:line="460" w:lineRule="exact"/>
        <w:ind w:firstLine="480" w:firstLineChars="200"/>
        <w:jc w:val="left"/>
        <w:rPr>
          <w:rFonts w:ascii="宋体" w:hAnsi="宋体" w:cs="宋体"/>
          <w:sz w:val="24"/>
          <w:szCs w:val="28"/>
        </w:rPr>
        <w:sectPr>
          <w:pgSz w:w="11906" w:h="16838"/>
          <w:pgMar w:top="1440" w:right="1803" w:bottom="1440" w:left="1803" w:header="851" w:footer="992" w:gutter="0"/>
          <w:cols w:space="720" w:num="1"/>
          <w:docGrid w:type="lines" w:linePitch="319" w:charSpace="0"/>
        </w:sectPr>
      </w:pPr>
    </w:p>
    <w:p>
      <w:pPr>
        <w:pStyle w:val="3"/>
        <w:adjustRightInd w:val="0"/>
        <w:spacing w:line="416" w:lineRule="atLeast"/>
        <w:textAlignment w:val="baseline"/>
        <w:rPr>
          <w:rFonts w:ascii="宋体" w:hAnsi="宋体" w:cs="宋体"/>
        </w:rPr>
      </w:pPr>
      <w:bookmarkStart w:id="522" w:name="_Toc27409"/>
      <w:r>
        <w:rPr>
          <w:rFonts w:hint="eastAsia" w:ascii="宋体" w:hAnsi="宋体" w:cs="宋体"/>
        </w:rPr>
        <w:t>附件一：封袋正面标识式样</w:t>
      </w:r>
      <w:bookmarkEnd w:id="104"/>
      <w:bookmarkEnd w:id="105"/>
      <w:bookmarkEnd w:id="522"/>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113030</wp:posOffset>
                </wp:positionV>
                <wp:extent cx="5781040" cy="3102610"/>
                <wp:effectExtent l="4445" t="4445" r="5715" b="17145"/>
                <wp:wrapNone/>
                <wp:docPr id="13" name="Text Box 3"/>
                <wp:cNvGraphicFramePr/>
                <a:graphic xmlns:a="http://schemas.openxmlformats.org/drawingml/2006/main">
                  <a:graphicData uri="http://schemas.microsoft.com/office/word/2010/wordprocessingShape">
                    <wps:wsp>
                      <wps:cNvSpPr txBox="1"/>
                      <wps:spPr>
                        <a:xfrm>
                          <a:off x="0" y="0"/>
                          <a:ext cx="5781040" cy="3102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7.55pt;margin-top:8.9pt;height:244.3pt;width:455.2pt;z-index:251662336;mso-width-relative:page;mso-height-relative:page;" fillcolor="#FFFFFF" filled="t" stroked="t" coordsize="21600,21600" o:gfxdata="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aW5bZAAAACgEAAA8AAAAAAAAAAQAgAAAAIgAAAGRy&#10;cy9kb3ducmV2LnhtbFBLAQIUABQAAAAIAIdO4kCIqs4KBAIAAEUEAAAOAAAAAAAAAAEAIAAAACgB&#10;AABkcnMvZTJvRG9jLnhtbFBLBQYAAAAABgAGAFkBAACeBQAAAAA=&#10;">
                <v:fill on="t" focussize="0,0"/>
                <v:stroke color="#000000" joinstyle="miter"/>
                <v:imagedata o:title=""/>
                <o:lock v:ext="edit" aspectratio="f"/>
                <v:textbox>
                  <w:txbxContent>
                    <w:p>
                      <w:pPr>
                        <w:rPr>
                          <w:sz w:val="28"/>
                          <w:szCs w:val="28"/>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6"/>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100330</wp:posOffset>
                </wp:positionV>
                <wp:extent cx="5825490" cy="3190240"/>
                <wp:effectExtent l="5080" t="5080" r="17780" b="5080"/>
                <wp:wrapNone/>
                <wp:docPr id="6" name="Text Box 4"/>
                <wp:cNvGraphicFramePr/>
                <a:graphic xmlns:a="http://schemas.openxmlformats.org/drawingml/2006/main">
                  <a:graphicData uri="http://schemas.microsoft.com/office/word/2010/wordprocessingShape">
                    <wps:wsp>
                      <wps:cNvSpPr txBox="1"/>
                      <wps:spPr>
                        <a:xfrm>
                          <a:off x="0" y="0"/>
                          <a:ext cx="5825490" cy="3190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4" o:spid="_x0000_s1026" o:spt="202" type="#_x0000_t202" style="position:absolute;left:0pt;margin-left:-24.75pt;margin-top:7.9pt;height:251.2pt;width:458.7pt;z-index:251663360;mso-width-relative:page;mso-height-relative:page;" fillcolor="#FFFFFF" filled="t" stroked="t" coordsize="21600,21600" o:gfxdata="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OeQn2gAAAAoBAAAPAAAAAAAAAAEAIAAAACIAAABk&#10;cnMvZG93bnJldi54bWxQSwECFAAUAAAACACHTuJA2HljuAQCAABE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4" w:type="default"/>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-325755</wp:posOffset>
                </wp:positionH>
                <wp:positionV relativeFrom="paragraph">
                  <wp:posOffset>191135</wp:posOffset>
                </wp:positionV>
                <wp:extent cx="5706745" cy="3169920"/>
                <wp:effectExtent l="4445" t="4445" r="22860" b="6985"/>
                <wp:wrapNone/>
                <wp:docPr id="11" name="Text Box 3"/>
                <wp:cNvGraphicFramePr/>
                <a:graphic xmlns:a="http://schemas.openxmlformats.org/drawingml/2006/main">
                  <a:graphicData uri="http://schemas.microsoft.com/office/word/2010/wordprocessingShape">
                    <wps:wsp>
                      <wps:cNvSpPr txBox="1"/>
                      <wps:spPr>
                        <a:xfrm>
                          <a:off x="0" y="0"/>
                          <a:ext cx="5706745" cy="3169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49.6pt;width:449.35pt;z-index:251664384;mso-width-relative:page;mso-height-relative:page;" fillcolor="#FFFFFF" filled="t" stroked="t" coordsize="21600,21600" o:gfxdata="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&#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rE7V2gAAAAoBAAAPAAAAAAAAAAEAIAAAACIAAABk&#10;cnMvZG93bnJldi54bWxQSwECFAAUAAAACACHTuJAlYqb4Q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-331470</wp:posOffset>
                </wp:positionH>
                <wp:positionV relativeFrom="paragraph">
                  <wp:posOffset>142240</wp:posOffset>
                </wp:positionV>
                <wp:extent cx="5750560" cy="3165475"/>
                <wp:effectExtent l="4445" t="4445" r="17145" b="11430"/>
                <wp:wrapNone/>
                <wp:docPr id="10" name="Text Box 3"/>
                <wp:cNvGraphicFramePr/>
                <a:graphic xmlns:a="http://schemas.openxmlformats.org/drawingml/2006/main">
                  <a:graphicData uri="http://schemas.microsoft.com/office/word/2010/wordprocessingShape">
                    <wps:wsp>
                      <wps:cNvSpPr txBox="1"/>
                      <wps:spPr>
                        <a:xfrm>
                          <a:off x="0" y="0"/>
                          <a:ext cx="5750560"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Text Box 3" o:spid="_x0000_s1026" o:spt="202" type="#_x0000_t202" style="position:absolute;left:0pt;margin-left:-26.1pt;margin-top:11.2pt;height:249.25pt;width:452.8pt;z-index:251665408;mso-width-relative:page;mso-height-relative:page;" fillcolor="#FFFFFF" filled="t" stroked="t" coordsize="21600,21600" o:gfxdata="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6G942gAAAAoBAAAPAAAAAAAAAAEAIAAAACIAAABkcnMv&#10;ZG93bnJldi54bWxQSwECFAAUAAAACACHTuJAwkfKawECAABFBAAADgAAAAAAAAABACAAAAApAQAA&#10;ZHJzL2Uyb0RvYy54bWxQSwUGAAAAAAYABgBZAQAAnAUAAAAA&#10;">
                <v:fill on="t" focussize="0,0"/>
                <v:stroke color="#000000" joinstyle="miter"/>
                <v:imagedata o:title=""/>
                <o:lock v:ext="edit" aspectratio="f"/>
                <v:textbox>
                  <w:txbxContent>
                    <w:p>
                      <w:pPr>
                        <w:rPr>
                          <w:sz w:val="28"/>
                          <w:szCs w:val="28"/>
                          <w:highlight w:val="yellow"/>
                        </w:rPr>
                      </w:pPr>
                      <w:r>
                        <w:rPr>
                          <w:rFonts w:hint="eastAsia"/>
                          <w:sz w:val="28"/>
                          <w:szCs w:val="28"/>
                        </w:rPr>
                        <w:t>致：陕西万泽招标有限公司        项目编号：SXWZ2025ZB-ETYY-127</w:t>
                      </w:r>
                    </w:p>
                    <w:p>
                      <w:pPr>
                        <w:jc w:val="center"/>
                        <w:rPr>
                          <w:sz w:val="28"/>
                          <w:szCs w:val="28"/>
                        </w:rPr>
                      </w:pPr>
                      <w:r>
                        <w:rPr>
                          <w:rFonts w:hint="eastAsia"/>
                          <w:sz w:val="28"/>
                          <w:szCs w:val="28"/>
                        </w:rPr>
                        <w:t>项目名称：西安市儿童医院西门院区门诊楼及住院二部楼顶发光字拆除设计安装项目</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pPr>
        <w:pStyle w:val="3"/>
        <w:adjustRightInd w:val="0"/>
        <w:spacing w:line="416" w:lineRule="atLeast"/>
        <w:textAlignment w:val="baseline"/>
        <w:rPr>
          <w:rFonts w:ascii="宋体" w:hAnsi="宋体" w:cs="宋体"/>
        </w:rPr>
      </w:pPr>
      <w:bookmarkStart w:id="523" w:name="_Toc3008"/>
      <w:bookmarkStart w:id="524" w:name="_Toc2630"/>
      <w:bookmarkStart w:id="525" w:name="_Toc18633"/>
      <w:bookmarkStart w:id="526" w:name="_Toc11632"/>
      <w:bookmarkStart w:id="527" w:name="_Toc30485"/>
      <w:bookmarkStart w:id="528" w:name="_Toc22654"/>
      <w:bookmarkStart w:id="529" w:name="_Toc8177"/>
      <w:bookmarkStart w:id="530" w:name="_Toc20374"/>
      <w:bookmarkStart w:id="531" w:name="_Toc1641"/>
      <w:bookmarkStart w:id="532" w:name="_Toc30870"/>
      <w:bookmarkStart w:id="533" w:name="_Toc30536"/>
      <w:bookmarkStart w:id="534" w:name="_Toc15467"/>
      <w:r>
        <w:rPr>
          <w:rFonts w:hint="eastAsia" w:ascii="宋体" w:hAnsi="宋体" w:cs="宋体"/>
        </w:rPr>
        <w:t>附件二、中小企业申明</w:t>
      </w:r>
      <w:bookmarkEnd w:id="523"/>
      <w:bookmarkEnd w:id="524"/>
      <w:bookmarkEnd w:id="525"/>
      <w:bookmarkEnd w:id="526"/>
      <w:bookmarkEnd w:id="527"/>
      <w:bookmarkEnd w:id="528"/>
      <w:bookmarkEnd w:id="529"/>
      <w:bookmarkEnd w:id="530"/>
      <w:bookmarkEnd w:id="531"/>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根据《政府采购促进中小企业发展管理办法》（财库[2020]46号）的规定，由投标人自行声明并对真实性负责。如有虚假，将依法承担相应责任。</w:t>
      </w:r>
    </w:p>
    <w:p>
      <w:pPr>
        <w:jc w:val="center"/>
        <w:rPr>
          <w:sz w:val="28"/>
          <w:szCs w:val="28"/>
        </w:rPr>
      </w:pPr>
      <w:r>
        <w:rPr>
          <w:rFonts w:hint="eastAsia"/>
          <w:sz w:val="28"/>
          <w:szCs w:val="28"/>
        </w:rPr>
        <w:t>中小企业声明函</w:t>
      </w:r>
    </w:p>
    <w:p>
      <w:pPr>
        <w:pStyle w:val="8"/>
        <w:spacing w:before="55" w:line="360" w:lineRule="auto"/>
        <w:ind w:right="415" w:firstLine="640"/>
        <w:rPr>
          <w:rFonts w:ascii="宋体" w:hAnsi="宋体" w:eastAsiaTheme="minorEastAsia" w:cstheme="minorBidi"/>
          <w:spacing w:val="6"/>
          <w:sz w:val="24"/>
        </w:rPr>
      </w:pPr>
      <w:r>
        <w:rPr>
          <w:rFonts w:hint="eastAsia" w:ascii="宋体" w:hAnsi="宋体" w:eastAsiaTheme="minorEastAsia" w:cstheme="minorBidi"/>
          <w:spacing w:val="6"/>
          <w:sz w:val="24"/>
        </w:rPr>
        <w:t>本公司（联合体）郑重声明，根据《政府采购促进中小企业发展管理办法》（财库﹝2020﹞46 号）的规定，本公司（联合体）参加</w:t>
      </w:r>
      <w:r>
        <w:rPr>
          <w:rFonts w:hint="eastAsia" w:ascii="宋体" w:hAnsi="宋体" w:eastAsiaTheme="minorEastAsia" w:cstheme="minorBidi"/>
          <w:spacing w:val="6"/>
          <w:sz w:val="24"/>
          <w:u w:val="single"/>
        </w:rPr>
        <w:t>（单位名称）</w:t>
      </w:r>
      <w:r>
        <w:rPr>
          <w:rFonts w:hint="eastAsia" w:ascii="宋体" w:hAnsi="宋体" w:eastAsiaTheme="minorEastAsia" w:cstheme="minorBidi"/>
          <w:spacing w:val="6"/>
          <w:sz w:val="24"/>
        </w:rPr>
        <w:t>的</w:t>
      </w:r>
      <w:r>
        <w:rPr>
          <w:rFonts w:hint="eastAsia" w:ascii="宋体" w:hAnsi="宋体" w:eastAsiaTheme="minorEastAsia" w:cstheme="minorBidi"/>
          <w:spacing w:val="6"/>
          <w:sz w:val="24"/>
          <w:u w:val="single"/>
        </w:rPr>
        <w:t>（项目名称）</w:t>
      </w:r>
      <w:r>
        <w:rPr>
          <w:rFonts w:hint="eastAsia" w:ascii="宋体" w:hAnsi="宋体" w:eastAsiaTheme="minorEastAsia" w:cstheme="minorBidi"/>
          <w:spacing w:val="6"/>
          <w:sz w:val="24"/>
        </w:rPr>
        <w:t>采购活动，工程的施工单位全部由符合政策要求的中小企业承接）。相关企业（含联合体中的中小企业、签订分包意向协议的中小企业）的具体情况如下：</w:t>
      </w:r>
    </w:p>
    <w:p>
      <w:pPr>
        <w:pStyle w:val="72"/>
        <w:numPr>
          <w:ilvl w:val="0"/>
          <w:numId w:val="21"/>
        </w:numPr>
        <w:tabs>
          <w:tab w:val="left" w:pos="1183"/>
          <w:tab w:val="left" w:pos="1484"/>
          <w:tab w:val="left" w:pos="4662"/>
          <w:tab w:val="left" w:pos="6903"/>
        </w:tabs>
        <w:spacing w:line="360" w:lineRule="auto"/>
        <w:ind w:right="169" w:firstLine="504"/>
        <w:rPr>
          <w:rFonts w:ascii="宋体" w:hAnsi="宋体" w:eastAsiaTheme="minorEastAsia" w:cstheme="minorBidi"/>
          <w:spacing w:val="6"/>
          <w:sz w:val="24"/>
        </w:rPr>
      </w:pPr>
      <w:r>
        <w:rPr>
          <w:rFonts w:hint="eastAsia" w:ascii="宋体" w:hAnsi="宋体" w:eastAsiaTheme="minorEastAsia" w:cstheme="minorBidi"/>
          <w:spacing w:val="6"/>
          <w:sz w:val="24"/>
          <w:u w:val="single"/>
        </w:rPr>
        <w:t xml:space="preserve">（ 标 的 名 称 ） </w:t>
      </w:r>
      <w:r>
        <w:rPr>
          <w:rFonts w:hint="eastAsia" w:ascii="宋体" w:hAnsi="宋体" w:eastAsiaTheme="minorEastAsia" w:cstheme="minorBidi"/>
          <w:spacing w:val="6"/>
          <w:sz w:val="24"/>
        </w:rPr>
        <w:t xml:space="preserve">， 属 于 </w:t>
      </w:r>
      <w:r>
        <w:rPr>
          <w:rFonts w:hint="eastAsia" w:ascii="宋体" w:hAnsi="宋体" w:eastAsiaTheme="minorEastAsia" w:cstheme="minorBidi"/>
          <w:spacing w:val="6"/>
          <w:sz w:val="24"/>
          <w:u w:val="single"/>
        </w:rPr>
        <w:t xml:space="preserve">（所属行业） </w:t>
      </w:r>
      <w:r>
        <w:rPr>
          <w:rFonts w:hint="eastAsia" w:ascii="宋体" w:hAnsi="宋体" w:eastAsiaTheme="minorEastAsia" w:cstheme="minorBidi"/>
          <w:spacing w:val="6"/>
          <w:sz w:val="24"/>
        </w:rPr>
        <w:t>行业；承建（承接）企业为</w:t>
      </w:r>
      <w:r>
        <w:rPr>
          <w:rFonts w:hint="eastAsia" w:ascii="宋体" w:hAnsi="宋体" w:eastAsiaTheme="minorEastAsia" w:cstheme="minorBidi"/>
          <w:spacing w:val="6"/>
          <w:sz w:val="24"/>
          <w:u w:val="single"/>
        </w:rPr>
        <w:t>（企业名称）</w:t>
      </w:r>
      <w:r>
        <w:rPr>
          <w:rFonts w:hint="eastAsia" w:ascii="宋体" w:hAnsi="宋体" w:eastAsiaTheme="minorEastAsia" w:cstheme="minorBidi"/>
          <w:spacing w:val="6"/>
          <w:sz w:val="24"/>
        </w:rPr>
        <w:t>，从业人员</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人，营业收入为</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万元，资产总额为</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万元，属于</w:t>
      </w:r>
      <w:r>
        <w:rPr>
          <w:rFonts w:hint="eastAsia" w:ascii="宋体" w:hAnsi="宋体" w:eastAsiaTheme="minorEastAsia" w:cstheme="minorBidi"/>
          <w:spacing w:val="6"/>
          <w:sz w:val="24"/>
          <w:u w:val="single"/>
        </w:rPr>
        <w:t>（中型企业、小型企业、微型企业）</w:t>
      </w:r>
      <w:r>
        <w:rPr>
          <w:rFonts w:hint="eastAsia" w:ascii="宋体" w:hAnsi="宋体" w:eastAsiaTheme="minorEastAsia" w:cstheme="minorBidi"/>
          <w:spacing w:val="6"/>
          <w:sz w:val="24"/>
        </w:rPr>
        <w:t>；</w:t>
      </w:r>
    </w:p>
    <w:p>
      <w:pPr>
        <w:pStyle w:val="72"/>
        <w:numPr>
          <w:ilvl w:val="0"/>
          <w:numId w:val="21"/>
        </w:numPr>
        <w:tabs>
          <w:tab w:val="left" w:pos="1183"/>
          <w:tab w:val="left" w:pos="1484"/>
          <w:tab w:val="left" w:pos="4662"/>
          <w:tab w:val="left" w:pos="6903"/>
        </w:tabs>
        <w:spacing w:line="360" w:lineRule="auto"/>
        <w:ind w:right="169" w:firstLine="504"/>
        <w:rPr>
          <w:rFonts w:ascii="宋体" w:hAnsi="宋体" w:eastAsiaTheme="minorEastAsia" w:cstheme="minorBidi"/>
          <w:spacing w:val="6"/>
          <w:sz w:val="24"/>
        </w:rPr>
      </w:pPr>
      <w:r>
        <w:rPr>
          <w:rFonts w:hint="eastAsia" w:ascii="宋体" w:hAnsi="宋体" w:eastAsiaTheme="minorEastAsia" w:cstheme="minorBidi"/>
          <w:spacing w:val="6"/>
          <w:sz w:val="24"/>
          <w:u w:val="single"/>
        </w:rPr>
        <w:t xml:space="preserve">（ 标 的 名 称 ） </w:t>
      </w:r>
      <w:r>
        <w:rPr>
          <w:rFonts w:hint="eastAsia" w:ascii="宋体" w:hAnsi="宋体" w:eastAsiaTheme="minorEastAsia" w:cstheme="minorBidi"/>
          <w:spacing w:val="6"/>
          <w:sz w:val="24"/>
        </w:rPr>
        <w:t xml:space="preserve">， 属 于 </w:t>
      </w:r>
      <w:r>
        <w:rPr>
          <w:rFonts w:hint="eastAsia" w:ascii="宋体" w:hAnsi="宋体" w:eastAsiaTheme="minorEastAsia" w:cstheme="minorBidi"/>
          <w:spacing w:val="6"/>
          <w:sz w:val="24"/>
          <w:u w:val="single"/>
        </w:rPr>
        <w:t xml:space="preserve">（所属行业） </w:t>
      </w:r>
      <w:r>
        <w:rPr>
          <w:rFonts w:hint="eastAsia" w:ascii="宋体" w:hAnsi="宋体" w:eastAsiaTheme="minorEastAsia" w:cstheme="minorBidi"/>
          <w:spacing w:val="6"/>
          <w:sz w:val="24"/>
        </w:rPr>
        <w:t>行业；承建（承接）企业为</w:t>
      </w:r>
      <w:r>
        <w:rPr>
          <w:rFonts w:hint="eastAsia" w:ascii="宋体" w:hAnsi="宋体" w:eastAsiaTheme="minorEastAsia" w:cstheme="minorBidi"/>
          <w:spacing w:val="6"/>
          <w:sz w:val="24"/>
          <w:u w:val="single"/>
        </w:rPr>
        <w:t>（企业名称）</w:t>
      </w:r>
      <w:r>
        <w:rPr>
          <w:rFonts w:hint="eastAsia" w:ascii="宋体" w:hAnsi="宋体" w:eastAsiaTheme="minorEastAsia" w:cstheme="minorBidi"/>
          <w:spacing w:val="6"/>
          <w:sz w:val="24"/>
        </w:rPr>
        <w:t>，从业人员</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人，营业收入为</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万元，资产总额为</w:t>
      </w:r>
      <w:r>
        <w:rPr>
          <w:rFonts w:hint="eastAsia" w:ascii="宋体" w:hAnsi="宋体" w:eastAsiaTheme="minorEastAsia" w:cstheme="minorBidi"/>
          <w:spacing w:val="6"/>
          <w:sz w:val="24"/>
          <w:u w:val="single"/>
        </w:rPr>
        <w:tab/>
      </w:r>
      <w:r>
        <w:rPr>
          <w:rFonts w:hint="eastAsia" w:ascii="宋体" w:hAnsi="宋体" w:eastAsiaTheme="minorEastAsia" w:cstheme="minorBidi"/>
          <w:spacing w:val="6"/>
          <w:sz w:val="24"/>
        </w:rPr>
        <w:t>万元，属于</w:t>
      </w:r>
      <w:r>
        <w:rPr>
          <w:rFonts w:hint="eastAsia" w:ascii="宋体" w:hAnsi="宋体" w:eastAsiaTheme="minorEastAsia" w:cstheme="minorBidi"/>
          <w:spacing w:val="6"/>
          <w:sz w:val="24"/>
          <w:u w:val="single"/>
        </w:rPr>
        <w:t>（中型企业、小型企业、微型企业）</w:t>
      </w:r>
      <w:r>
        <w:rPr>
          <w:rFonts w:hint="eastAsia" w:ascii="宋体" w:hAnsi="宋体" w:eastAsiaTheme="minorEastAsia" w:cstheme="minorBidi"/>
          <w:spacing w:val="6"/>
          <w:sz w:val="24"/>
        </w:rPr>
        <w:t>；</w:t>
      </w:r>
    </w:p>
    <w:p>
      <w:pPr>
        <w:pStyle w:val="8"/>
        <w:spacing w:line="360" w:lineRule="auto"/>
        <w:ind w:left="860"/>
        <w:rPr>
          <w:rFonts w:ascii="宋体" w:hAnsi="宋体" w:eastAsiaTheme="minorEastAsia" w:cstheme="minorBidi"/>
          <w:spacing w:val="6"/>
          <w:sz w:val="24"/>
        </w:rPr>
      </w:pPr>
      <w:r>
        <w:rPr>
          <w:rFonts w:hint="eastAsia" w:ascii="宋体" w:hAnsi="宋体" w:eastAsiaTheme="minorEastAsia" w:cstheme="minorBidi"/>
          <w:spacing w:val="6"/>
          <w:sz w:val="24"/>
        </w:rPr>
        <w:t>……</w:t>
      </w:r>
    </w:p>
    <w:p>
      <w:pPr>
        <w:pStyle w:val="8"/>
        <w:spacing w:before="105" w:line="360" w:lineRule="auto"/>
        <w:ind w:right="417" w:firstLine="645"/>
        <w:rPr>
          <w:rFonts w:ascii="宋体" w:hAnsi="宋体" w:eastAsiaTheme="minorEastAsia" w:cstheme="minorBidi"/>
          <w:spacing w:val="6"/>
          <w:sz w:val="24"/>
        </w:rPr>
      </w:pPr>
      <w:r>
        <w:rPr>
          <w:rFonts w:hint="eastAsia" w:ascii="宋体" w:hAnsi="宋体" w:eastAsiaTheme="minorEastAsia" w:cstheme="minorBidi"/>
          <w:spacing w:val="6"/>
          <w:sz w:val="24"/>
        </w:rPr>
        <w:t>以上企业，不属于大企业的分支机构，不存在控股股东为大企业的情形，也不存在与大企业的负责人为同一人的情形。</w:t>
      </w:r>
    </w:p>
    <w:p>
      <w:pPr>
        <w:pStyle w:val="8"/>
        <w:spacing w:line="360" w:lineRule="auto"/>
        <w:ind w:right="372" w:firstLine="645"/>
        <w:rPr>
          <w:rFonts w:ascii="宋体" w:hAnsi="宋体" w:eastAsiaTheme="minorEastAsia" w:cstheme="minorBidi"/>
          <w:spacing w:val="6"/>
          <w:sz w:val="24"/>
        </w:rPr>
      </w:pPr>
      <w:r>
        <w:rPr>
          <w:rFonts w:hint="eastAsia" w:ascii="宋体" w:hAnsi="宋体" w:eastAsiaTheme="minorEastAsia" w:cstheme="minorBidi"/>
          <w:spacing w:val="6"/>
          <w:sz w:val="24"/>
        </w:rPr>
        <w:t>本企业对上述声明内容的真实性负责。如有虚假，将依法承担相应责任。</w:t>
      </w:r>
    </w:p>
    <w:p>
      <w:pPr>
        <w:pStyle w:val="8"/>
        <w:spacing w:line="304" w:lineRule="auto"/>
        <w:ind w:right="375" w:firstLine="640"/>
        <w:rPr>
          <w:b/>
          <w:bCs/>
          <w:sz w:val="24"/>
          <w:szCs w:val="28"/>
        </w:rPr>
      </w:pPr>
      <w:r>
        <w:rPr>
          <w:rFonts w:hint="eastAsia"/>
          <w:b/>
          <w:bCs/>
          <w:sz w:val="24"/>
          <w:szCs w:val="28"/>
        </w:rPr>
        <w:t>备注：本项目所属行业为：</w:t>
      </w:r>
      <w:r>
        <w:rPr>
          <w:rFonts w:hint="eastAsia" w:ascii="宋体" w:hAnsi="宋体"/>
          <w:b/>
          <w:bCs/>
          <w:spacing w:val="6"/>
          <w:sz w:val="24"/>
        </w:rPr>
        <w:t>租赁和商务服务业。</w:t>
      </w:r>
    </w:p>
    <w:p>
      <w:pPr>
        <w:spacing w:line="360" w:lineRule="auto"/>
        <w:jc w:val="left"/>
        <w:rPr>
          <w:rFonts w:ascii="宋体" w:hAnsi="宋体" w:eastAsiaTheme="minorEastAsia" w:cstheme="minorBidi"/>
          <w:spacing w:val="6"/>
          <w:sz w:val="24"/>
        </w:rPr>
      </w:pPr>
      <w:r>
        <w:rPr>
          <w:rFonts w:hint="eastAsia" w:ascii="宋体" w:hAnsi="宋体" w:eastAsiaTheme="minorEastAsia" w:cstheme="minorBidi"/>
          <w:spacing w:val="6"/>
          <w:sz w:val="24"/>
        </w:rPr>
        <w:t>企业名称（盖章）：</w:t>
      </w:r>
    </w:p>
    <w:p>
      <w:pPr>
        <w:spacing w:line="588" w:lineRule="exact"/>
        <w:ind w:firstLine="504" w:firstLineChars="200"/>
        <w:rPr>
          <w:rFonts w:ascii="宋体" w:hAnsi="宋体" w:cs="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eastAsiaTheme="minorEastAsia" w:cstheme="minorBidi"/>
          <w:spacing w:val="6"/>
          <w:sz w:val="24"/>
        </w:rPr>
        <w:t>日期：</w:t>
      </w:r>
    </w:p>
    <w:p>
      <w:pPr>
        <w:pStyle w:val="3"/>
      </w:pPr>
      <w:bookmarkStart w:id="535" w:name="_Toc11896"/>
      <w:bookmarkStart w:id="536" w:name="_Toc5814"/>
      <w:bookmarkStart w:id="537" w:name="_Toc12531"/>
      <w:bookmarkStart w:id="538" w:name="_Toc6022"/>
      <w:bookmarkStart w:id="539" w:name="_Toc2789"/>
      <w:bookmarkStart w:id="540" w:name="_Toc32438"/>
      <w:bookmarkStart w:id="541" w:name="_Toc10807"/>
      <w:r>
        <w:rPr>
          <w:rFonts w:hint="eastAsia"/>
        </w:rPr>
        <w:t>附件三、残疾人福利性单位声明</w:t>
      </w:r>
      <w:bookmarkEnd w:id="535"/>
      <w:bookmarkEnd w:id="536"/>
      <w:bookmarkEnd w:id="537"/>
      <w:bookmarkEnd w:id="538"/>
      <w:bookmarkEnd w:id="539"/>
      <w:bookmarkEnd w:id="540"/>
      <w:bookmarkEnd w:id="541"/>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542" w:name="OLE_LINK14"/>
      <w:r>
        <w:rPr>
          <w:rFonts w:hint="eastAsia" w:asciiTheme="minorEastAsia" w:hAnsiTheme="minorEastAsia" w:cstheme="minorEastAsia"/>
          <w:b/>
          <w:spacing w:val="6"/>
          <w:sz w:val="24"/>
          <w:szCs w:val="24"/>
        </w:rPr>
        <w:t>残疾人福利性单位声明函</w:t>
      </w:r>
      <w:bookmarkEnd w:id="542"/>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6"/>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3"/>
        <w:rPr>
          <w:rFonts w:ascii="宋体" w:hAnsi="宋体" w:cs="宋体"/>
        </w:rPr>
      </w:pPr>
      <w:bookmarkStart w:id="543" w:name="_Toc3053"/>
      <w:bookmarkStart w:id="544" w:name="_Toc9240"/>
      <w:r>
        <w:rPr>
          <w:rFonts w:hint="eastAsia"/>
        </w:rPr>
        <w:t>附件四、监狱企业证明文件</w:t>
      </w:r>
      <w:bookmarkEnd w:id="532"/>
      <w:bookmarkEnd w:id="533"/>
      <w:bookmarkEnd w:id="534"/>
      <w:bookmarkEnd w:id="543"/>
      <w:bookmarkEnd w:id="544"/>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3"/>
        <w:adjustRightInd w:val="0"/>
        <w:spacing w:line="416" w:lineRule="atLeast"/>
        <w:textAlignment w:val="baseline"/>
        <w:rPr>
          <w:rFonts w:ascii="宋体" w:hAnsi="宋体" w:cs="宋体"/>
        </w:rPr>
      </w:pPr>
      <w:bookmarkStart w:id="545" w:name="_Toc9721"/>
      <w:bookmarkStart w:id="546" w:name="_Toc13122"/>
      <w:bookmarkStart w:id="547" w:name="_Toc11969"/>
      <w:bookmarkStart w:id="548" w:name="_Toc2126"/>
      <w:bookmarkStart w:id="549" w:name="_Toc563"/>
      <w:bookmarkStart w:id="550" w:name="_Toc13303"/>
      <w:r>
        <w:rPr>
          <w:rFonts w:hint="eastAsia" w:ascii="宋体" w:hAnsi="宋体" w:cs="宋体"/>
        </w:rPr>
        <w:t>附件五、“节能产品”，“环境标志产品”证明材料</w:t>
      </w:r>
      <w:bookmarkEnd w:id="545"/>
      <w:bookmarkEnd w:id="546"/>
      <w:bookmarkEnd w:id="547"/>
      <w:bookmarkEnd w:id="548"/>
      <w:bookmarkEnd w:id="549"/>
      <w:bookmarkEnd w:id="550"/>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3"/>
        <w:adjustRightInd w:val="0"/>
        <w:spacing w:line="416" w:lineRule="atLeast"/>
        <w:textAlignment w:val="baseline"/>
        <w:rPr>
          <w:rFonts w:ascii="宋体" w:hAnsi="宋体" w:cs="宋体"/>
        </w:rPr>
        <w:sectPr>
          <w:footerReference r:id="rId16" w:type="default"/>
          <w:pgSz w:w="11906" w:h="16838"/>
          <w:pgMar w:top="1440" w:right="1803" w:bottom="1440" w:left="1803" w:header="851" w:footer="992" w:gutter="0"/>
          <w:cols w:space="720" w:num="1"/>
          <w:docGrid w:type="lines" w:linePitch="319" w:charSpace="0"/>
        </w:sectPr>
      </w:pPr>
    </w:p>
    <w:p>
      <w:pPr>
        <w:pStyle w:val="3"/>
      </w:pPr>
      <w:bookmarkStart w:id="551" w:name="_Toc26351"/>
      <w:bookmarkStart w:id="552" w:name="_Toc23799"/>
      <w:bookmarkStart w:id="553" w:name="_Toc4414"/>
      <w:bookmarkStart w:id="554" w:name="_Toc23515"/>
      <w:bookmarkStart w:id="555" w:name="_Toc5338"/>
      <w:bookmarkStart w:id="556" w:name="_Toc11924"/>
      <w:bookmarkStart w:id="557" w:name="_Toc10027"/>
      <w:r>
        <w:rPr>
          <w:rFonts w:hint="eastAsia"/>
        </w:rPr>
        <w:t>附件六、质疑函范本</w:t>
      </w:r>
      <w:bookmarkEnd w:id="551"/>
      <w:bookmarkEnd w:id="552"/>
      <w:bookmarkEnd w:id="553"/>
      <w:bookmarkEnd w:id="554"/>
    </w:p>
    <w:bookmarkEnd w:id="555"/>
    <w:bookmarkEnd w:id="556"/>
    <w:bookmarkEnd w:id="557"/>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rPr>
          <w:rFonts w:ascii="宋体" w:hAnsi="宋体"/>
          <w:spacing w:val="6"/>
          <w:sz w:val="24"/>
        </w:rPr>
      </w:pPr>
      <w:r>
        <w:rPr>
          <w:rFonts w:hint="eastAsia" w:ascii="宋体" w:hAnsi="宋体"/>
          <w:spacing w:val="6"/>
          <w:sz w:val="24"/>
        </w:rPr>
        <w:t>质疑供应商：           </w:t>
      </w:r>
    </w:p>
    <w:p>
      <w:pPr>
        <w:widowControl/>
        <w:spacing w:line="360" w:lineRule="auto"/>
        <w:jc w:val="left"/>
      </w:pPr>
      <w:r>
        <w:rPr>
          <w:rFonts w:hint="eastAsia" w:ascii="宋体" w:hAnsi="宋体"/>
          <w:spacing w:val="6"/>
          <w:sz w:val="24"/>
        </w:rPr>
        <w:t xml:space="preserve">地   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spacing w:line="360" w:lineRule="auto"/>
        <w:jc w:val="left"/>
        <w:rPr>
          <w:rFonts w:ascii="宋体" w:hAnsi="宋体"/>
          <w:spacing w:val="6"/>
          <w:sz w:val="24"/>
        </w:rPr>
      </w:pPr>
      <w:r>
        <w:rPr>
          <w:rFonts w:hint="eastAsia" w:ascii="宋体" w:hAnsi="宋体"/>
          <w:spacing w:val="6"/>
          <w:sz w:val="24"/>
        </w:rPr>
        <w:t>联系人：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授权代表：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23"/>
        </w:numPr>
        <w:spacing w:line="360" w:lineRule="auto"/>
        <w:jc w:val="left"/>
        <w:rPr>
          <w:rFonts w:ascii="宋体" w:hAnsi="宋体"/>
          <w:spacing w:val="6"/>
          <w:sz w:val="24"/>
        </w:rPr>
      </w:pPr>
      <w:r>
        <w:rPr>
          <w:rFonts w:hint="eastAsia" w:ascii="宋体" w:hAnsi="宋体"/>
          <w:spacing w:val="6"/>
          <w:sz w:val="24"/>
        </w:rPr>
        <w:t>质疑项目基本情况</w:t>
      </w:r>
    </w:p>
    <w:p>
      <w:pPr>
        <w:widowControl/>
        <w:numPr>
          <w:ilvl w:val="0"/>
          <w:numId w:val="23"/>
        </w:numPr>
        <w:spacing w:line="360" w:lineRule="auto"/>
        <w:jc w:val="left"/>
        <w:rPr>
          <w:rFonts w:ascii="宋体" w:hAnsi="宋体"/>
          <w:spacing w:val="6"/>
          <w:sz w:val="24"/>
        </w:rPr>
      </w:pPr>
      <w:r>
        <w:rPr>
          <w:rFonts w:hint="eastAsia" w:ascii="宋体" w:hAnsi="宋体"/>
          <w:spacing w:val="6"/>
          <w:sz w:val="24"/>
        </w:rPr>
        <w:t>质疑项目的名称：               </w:t>
      </w:r>
    </w:p>
    <w:p>
      <w:pPr>
        <w:widowControl/>
        <w:numPr>
          <w:ilvl w:val="0"/>
          <w:numId w:val="23"/>
        </w:numPr>
        <w:spacing w:line="360" w:lineRule="auto"/>
        <w:jc w:val="left"/>
        <w:rPr>
          <w:rFonts w:ascii="宋体" w:hAnsi="宋体"/>
          <w:spacing w:val="6"/>
          <w:sz w:val="24"/>
        </w:rPr>
      </w:pPr>
      <w:r>
        <w:rPr>
          <w:rFonts w:hint="eastAsia" w:ascii="宋体" w:hAnsi="宋体"/>
          <w:spacing w:val="6"/>
          <w:sz w:val="24"/>
        </w:rPr>
        <w:t>质疑项目的编号：                  </w:t>
      </w:r>
    </w:p>
    <w:p>
      <w:pPr>
        <w:widowControl/>
        <w:spacing w:line="360" w:lineRule="auto"/>
        <w:jc w:val="left"/>
        <w:rPr>
          <w:rFonts w:ascii="宋体" w:hAnsi="宋体"/>
          <w:spacing w:val="6"/>
          <w:sz w:val="24"/>
        </w:rPr>
      </w:pPr>
      <w:r>
        <w:rPr>
          <w:rFonts w:hint="eastAsia" w:ascii="宋体" w:hAnsi="宋体"/>
          <w:spacing w:val="6"/>
          <w:sz w:val="24"/>
        </w:rPr>
        <w:t>采购人名称：                    </w:t>
      </w:r>
    </w:p>
    <w:p>
      <w:pPr>
        <w:widowControl/>
        <w:spacing w:line="360" w:lineRule="auto"/>
        <w:jc w:val="left"/>
        <w:rPr>
          <w:rFonts w:ascii="宋体" w:hAnsi="宋体"/>
          <w:spacing w:val="6"/>
          <w:sz w:val="24"/>
        </w:rPr>
      </w:pPr>
      <w:r>
        <w:rPr>
          <w:rFonts w:hint="eastAsia" w:ascii="宋体" w:hAnsi="宋体"/>
          <w:spacing w:val="6"/>
          <w:sz w:val="24"/>
        </w:rPr>
        <w:t>采购文件获取日期：                   </w:t>
      </w:r>
    </w:p>
    <w:p>
      <w:pPr>
        <w:widowControl/>
        <w:spacing w:line="360" w:lineRule="auto"/>
        <w:jc w:val="left"/>
        <w:rPr>
          <w:rFonts w:ascii="宋体" w:hAnsi="宋体"/>
          <w:spacing w:val="6"/>
          <w:sz w:val="24"/>
        </w:rPr>
      </w:pPr>
      <w:r>
        <w:rPr>
          <w:rFonts w:hint="eastAsia" w:ascii="宋体" w:hAnsi="宋体"/>
          <w:spacing w:val="6"/>
          <w:sz w:val="24"/>
        </w:rPr>
        <w:t>三、质疑事项具体内容</w:t>
      </w:r>
    </w:p>
    <w:p>
      <w:pPr>
        <w:widowControl/>
        <w:spacing w:line="360" w:lineRule="auto"/>
        <w:jc w:val="left"/>
        <w:rPr>
          <w:rFonts w:ascii="宋体" w:hAnsi="宋体"/>
          <w:spacing w:val="6"/>
          <w:sz w:val="24"/>
        </w:rPr>
      </w:pPr>
      <w:r>
        <w:rPr>
          <w:rFonts w:hint="eastAsia" w:ascii="宋体" w:hAnsi="宋体"/>
          <w:spacing w:val="6"/>
          <w:sz w:val="24"/>
        </w:rPr>
        <w:t>质疑事项1：              </w:t>
      </w:r>
    </w:p>
    <w:p>
      <w:pPr>
        <w:widowControl/>
        <w:spacing w:line="360" w:lineRule="auto"/>
        <w:jc w:val="left"/>
        <w:rPr>
          <w:rFonts w:ascii="宋体" w:hAnsi="宋体"/>
          <w:spacing w:val="6"/>
          <w:sz w:val="24"/>
        </w:rPr>
      </w:pPr>
      <w:r>
        <w:rPr>
          <w:rFonts w:hint="eastAsia" w:ascii="宋体" w:hAnsi="宋体"/>
          <w:spacing w:val="6"/>
          <w:sz w:val="24"/>
        </w:rPr>
        <w:t>事实依据：               </w:t>
      </w:r>
    </w:p>
    <w:p>
      <w:pPr>
        <w:widowControl/>
        <w:spacing w:line="360" w:lineRule="auto"/>
        <w:jc w:val="left"/>
        <w:rPr>
          <w:rFonts w:ascii="宋体" w:hAnsi="宋体"/>
          <w:spacing w:val="6"/>
          <w:sz w:val="24"/>
        </w:rPr>
      </w:pPr>
      <w:r>
        <w:rPr>
          <w:rFonts w:hint="eastAsia" w:ascii="宋体" w:hAnsi="宋体"/>
          <w:spacing w:val="6"/>
          <w:sz w:val="24"/>
        </w:rPr>
        <w:t>法律依据：          </w:t>
      </w:r>
    </w:p>
    <w:p>
      <w:pPr>
        <w:widowControl/>
        <w:spacing w:line="360" w:lineRule="auto"/>
        <w:jc w:val="left"/>
        <w:rPr>
          <w:rFonts w:ascii="宋体" w:hAnsi="宋体"/>
          <w:spacing w:val="6"/>
          <w:sz w:val="24"/>
        </w:rPr>
      </w:pPr>
      <w:r>
        <w:rPr>
          <w:rFonts w:hint="eastAsia" w:ascii="宋体" w:hAnsi="宋体"/>
          <w:spacing w:val="6"/>
          <w:sz w:val="24"/>
        </w:rPr>
        <w:t>质疑事项2</w:t>
      </w:r>
    </w:p>
    <w:p>
      <w:pPr>
        <w:widowControl/>
        <w:spacing w:line="360" w:lineRule="auto"/>
        <w:jc w:val="left"/>
        <w:rPr>
          <w:rFonts w:ascii="宋体" w:hAnsi="宋体"/>
          <w:spacing w:val="6"/>
          <w:sz w:val="24"/>
        </w:rPr>
      </w:pPr>
      <w:r>
        <w:rPr>
          <w:rFonts w:hint="eastAsia" w:ascii="宋体" w:hAnsi="宋体"/>
          <w:spacing w:val="6"/>
          <w:sz w:val="24"/>
        </w:rPr>
        <w:t>……</w:t>
      </w:r>
    </w:p>
    <w:p>
      <w:pPr>
        <w:widowControl/>
        <w:spacing w:line="360" w:lineRule="auto"/>
        <w:jc w:val="left"/>
        <w:rPr>
          <w:rFonts w:ascii="宋体" w:hAnsi="宋体"/>
          <w:spacing w:val="6"/>
          <w:sz w:val="24"/>
        </w:rPr>
      </w:pPr>
      <w:r>
        <w:rPr>
          <w:rFonts w:hint="eastAsia" w:ascii="宋体" w:hAnsi="宋体"/>
          <w:spacing w:val="6"/>
          <w:sz w:val="24"/>
        </w:rPr>
        <w:t>四、与质疑事项相关的质疑请求</w:t>
      </w:r>
    </w:p>
    <w:p>
      <w:pPr>
        <w:widowControl/>
        <w:spacing w:line="360" w:lineRule="auto"/>
        <w:jc w:val="left"/>
        <w:rPr>
          <w:rFonts w:ascii="宋体" w:hAnsi="宋体"/>
          <w:spacing w:val="6"/>
          <w:sz w:val="24"/>
        </w:rPr>
      </w:pPr>
      <w:r>
        <w:rPr>
          <w:rFonts w:hint="eastAsia" w:ascii="宋体" w:hAnsi="宋体"/>
          <w:spacing w:val="6"/>
          <w:sz w:val="24"/>
        </w:rPr>
        <w:t>请求：                </w:t>
      </w:r>
    </w:p>
    <w:p>
      <w:pPr>
        <w:widowControl/>
        <w:spacing w:line="360" w:lineRule="auto"/>
        <w:jc w:val="left"/>
        <w:rPr>
          <w:rFonts w:ascii="宋体" w:hAnsi="宋体"/>
          <w:spacing w:val="6"/>
          <w:sz w:val="24"/>
        </w:rPr>
      </w:pPr>
      <w:r>
        <w:rPr>
          <w:rFonts w:hint="eastAsia" w:ascii="宋体" w:hAnsi="宋体"/>
          <w:spacing w:val="6"/>
          <w:sz w:val="24"/>
        </w:rPr>
        <w:t>签字(签章)：                   </w:t>
      </w:r>
    </w:p>
    <w:p>
      <w:pPr>
        <w:widowControl/>
        <w:spacing w:line="360" w:lineRule="auto"/>
        <w:jc w:val="left"/>
        <w:rPr>
          <w:rFonts w:ascii="宋体" w:hAnsi="宋体"/>
          <w:spacing w:val="6"/>
          <w:sz w:val="24"/>
        </w:rPr>
      </w:pPr>
      <w:r>
        <w:rPr>
          <w:rFonts w:hint="eastAsia" w:ascii="宋体" w:hAnsi="宋体"/>
          <w:spacing w:val="6"/>
          <w:sz w:val="24"/>
        </w:rPr>
        <w:t>公章：日期：  </w:t>
      </w:r>
    </w:p>
    <w:p>
      <w:pPr>
        <w:pStyle w:val="24"/>
        <w:ind w:firstLine="180"/>
      </w:pPr>
    </w:p>
    <w:p>
      <w:pPr>
        <w:pStyle w:val="24"/>
        <w:ind w:firstLine="180"/>
        <w:sectPr>
          <w:footerReference r:id="rId17" w:type="default"/>
          <w:pgSz w:w="11906" w:h="16838"/>
          <w:pgMar w:top="1440" w:right="1304" w:bottom="1440" w:left="1304" w:header="851" w:footer="992" w:gutter="0"/>
          <w:cols w:space="0" w:num="1"/>
          <w:docGrid w:type="lines" w:linePitch="325" w:charSpace="0"/>
        </w:sectPr>
      </w:pPr>
    </w:p>
    <w:p>
      <w:pPr>
        <w:widowControl/>
        <w:spacing w:line="360" w:lineRule="auto"/>
        <w:jc w:val="left"/>
        <w:rPr>
          <w:rFonts w:ascii="宋体" w:hAnsi="宋体"/>
          <w:spacing w:val="6"/>
          <w:sz w:val="24"/>
        </w:rPr>
      </w:pPr>
      <w:r>
        <w:rPr>
          <w:rFonts w:hint="eastAsia" w:ascii="宋体" w:hAnsi="宋体"/>
          <w:spacing w:val="6"/>
          <w:sz w:val="24"/>
        </w:rPr>
        <w:t>质疑函制作说明：</w:t>
      </w:r>
    </w:p>
    <w:p>
      <w:pPr>
        <w:widowControl/>
        <w:spacing w:line="360" w:lineRule="auto"/>
        <w:jc w:val="left"/>
        <w:rPr>
          <w:rFonts w:ascii="宋体" w:hAnsi="宋体"/>
          <w:spacing w:val="6"/>
          <w:sz w:val="24"/>
        </w:rPr>
      </w:pPr>
      <w:r>
        <w:rPr>
          <w:rFonts w:hint="eastAsia" w:ascii="宋体" w:hAnsi="宋体"/>
          <w:spacing w:val="6"/>
          <w:sz w:val="24"/>
        </w:rPr>
        <w:t>1.供应商提出质疑时，应提交质疑函和必要的证明材料。</w:t>
      </w:r>
    </w:p>
    <w:p>
      <w:pPr>
        <w:widowControl/>
        <w:spacing w:line="360" w:lineRule="auto"/>
        <w:jc w:val="left"/>
        <w:rPr>
          <w:rFonts w:ascii="宋体" w:hAnsi="宋体"/>
          <w:spacing w:val="6"/>
          <w:sz w:val="24"/>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ascii="宋体" w:hAnsi="宋体"/>
          <w:spacing w:val="6"/>
          <w:sz w:val="24"/>
        </w:rPr>
      </w:pPr>
      <w:r>
        <w:rPr>
          <w:rFonts w:hint="eastAsia" w:ascii="宋体" w:hAnsi="宋体"/>
          <w:spacing w:val="6"/>
          <w:sz w:val="24"/>
        </w:rPr>
        <w:t>3.质疑供应商若对项目的进行质疑，质疑函中应列明具体项目编号。</w:t>
      </w:r>
    </w:p>
    <w:p>
      <w:pPr>
        <w:widowControl/>
        <w:spacing w:line="360" w:lineRule="auto"/>
        <w:jc w:val="left"/>
        <w:rPr>
          <w:rFonts w:ascii="宋体" w:hAnsi="宋体"/>
          <w:spacing w:val="6"/>
          <w:sz w:val="24"/>
        </w:rPr>
      </w:pPr>
      <w:r>
        <w:rPr>
          <w:rFonts w:hint="eastAsia" w:ascii="宋体" w:hAnsi="宋体"/>
          <w:spacing w:val="6"/>
          <w:sz w:val="24"/>
        </w:rPr>
        <w:t>4.质疑函的质疑事项应具体、明确，并有必要的事实依据和法律依据。</w:t>
      </w:r>
    </w:p>
    <w:p>
      <w:pPr>
        <w:widowControl/>
        <w:spacing w:line="360" w:lineRule="auto"/>
        <w:jc w:val="left"/>
        <w:rPr>
          <w:rFonts w:ascii="宋体" w:hAnsi="宋体"/>
          <w:spacing w:val="6"/>
          <w:sz w:val="24"/>
        </w:rPr>
      </w:pPr>
      <w:r>
        <w:rPr>
          <w:rFonts w:hint="eastAsia" w:ascii="宋体" w:hAnsi="宋体"/>
          <w:spacing w:val="6"/>
          <w:sz w:val="24"/>
        </w:rPr>
        <w:t>5.质疑函的质疑请求应与质疑事项相关。</w:t>
      </w:r>
    </w:p>
    <w:p>
      <w:pPr>
        <w:widowControl/>
        <w:spacing w:line="360" w:lineRule="auto"/>
        <w:jc w:val="left"/>
        <w:rPr>
          <w:rFonts w:ascii="宋体" w:hAnsi="宋体"/>
          <w:color w:val="000000"/>
          <w:sz w:val="24"/>
        </w:r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pStyle w:val="3"/>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bookmarkEnd w:id="0"/>
    <w:p>
      <w:pPr>
        <w:rPr>
          <w:rFonts w:ascii="宋体" w:hAnsi="宋体" w:cs="宋体"/>
          <w:b/>
          <w:sz w:val="30"/>
          <w:szCs w:val="30"/>
        </w:rPr>
      </w:pPr>
      <w:r>
        <w:rPr>
          <w:rFonts w:hint="eastAsia" w:ascii="宋体" w:hAnsi="宋体" w:cs="宋体"/>
          <w:b/>
          <w:sz w:val="30"/>
          <w:szCs w:val="30"/>
        </w:rPr>
        <w:t>企业名称：陕西万泽招标有限公司</w:t>
      </w:r>
    </w:p>
    <w:p>
      <w:pPr>
        <w:rPr>
          <w:rFonts w:ascii="宋体" w:hAnsi="宋体" w:cs="宋体"/>
          <w:b/>
          <w:sz w:val="30"/>
          <w:szCs w:val="30"/>
        </w:rPr>
      </w:pPr>
      <w:r>
        <w:rPr>
          <w:rFonts w:hint="eastAsia" w:ascii="宋体" w:hAnsi="宋体" w:cs="宋体"/>
          <w:b/>
          <w:sz w:val="30"/>
          <w:szCs w:val="30"/>
        </w:rPr>
        <w:t>地址：西安市西关正街英达大厦1505室</w:t>
      </w:r>
    </w:p>
    <w:p>
      <w:pPr>
        <w:rPr>
          <w:rFonts w:ascii="宋体" w:hAnsi="宋体" w:cs="宋体"/>
          <w:b/>
          <w:sz w:val="30"/>
          <w:szCs w:val="30"/>
        </w:rPr>
      </w:pPr>
      <w:r>
        <w:rPr>
          <w:rFonts w:hint="eastAsia" w:ascii="宋体" w:hAnsi="宋体" w:cs="宋体"/>
          <w:b/>
          <w:sz w:val="30"/>
          <w:szCs w:val="30"/>
        </w:rPr>
        <w:t>邮政编码：710082</w:t>
      </w:r>
    </w:p>
    <w:p>
      <w:pPr>
        <w:rPr>
          <w:rFonts w:ascii="宋体" w:hAnsi="宋体" w:cs="宋体"/>
          <w:b/>
          <w:sz w:val="30"/>
          <w:szCs w:val="30"/>
        </w:rPr>
      </w:pPr>
      <w:r>
        <w:rPr>
          <w:rFonts w:hint="eastAsia" w:ascii="宋体" w:hAnsi="宋体" w:cs="宋体"/>
          <w:b/>
          <w:sz w:val="30"/>
          <w:szCs w:val="30"/>
        </w:rPr>
        <w:t>电话：029-88319689</w:t>
      </w:r>
    </w:p>
    <w:p>
      <w:pPr>
        <w:rPr>
          <w:rFonts w:ascii="宋体" w:hAnsi="宋体" w:cs="宋体"/>
        </w:rPr>
      </w:pPr>
      <w:r>
        <w:rPr>
          <w:rFonts w:hint="eastAsia" w:ascii="宋体" w:hAnsi="宋体" w:cs="宋体"/>
          <w:b/>
          <w:sz w:val="30"/>
          <w:szCs w:val="30"/>
        </w:rPr>
        <w:t>传真：029-88319689</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244CA-B2EE-48E9-B64E-285E53D18F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B14CB1-910B-45C6-8E2D-D31D8B7C3A1F}"/>
  </w:font>
  <w:font w:name="Copperplate Gothic Bold">
    <w:altName w:val="Segoe Print"/>
    <w:panose1 w:val="020E07050202060204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3" w:fontKey="{7A1B0DCF-4179-4661-ABFD-0E04B874A2E9}"/>
  </w:font>
  <w:font w:name="仿宋_GB2312">
    <w:altName w:val="仿宋"/>
    <w:panose1 w:val="00000000000000000000"/>
    <w:charset w:val="86"/>
    <w:family w:val="modern"/>
    <w:pitch w:val="default"/>
    <w:sig w:usb0="00000000" w:usb1="00000000" w:usb2="00000000" w:usb3="00000000" w:csb0="00040000" w:csb1="00000000"/>
    <w:embedRegular r:id="rId4" w:fontKey="{447D2011-57B7-4952-8958-E2E19ABA6C0B}"/>
  </w:font>
  <w:font w:name="方正小标宋简体">
    <w:altName w:val="Malgun Gothic Semilight"/>
    <w:panose1 w:val="00000000000000000000"/>
    <w:charset w:val="86"/>
    <w:family w:val="auto"/>
    <w:pitch w:val="default"/>
    <w:sig w:usb0="00000000" w:usb1="00000000" w:usb2="00000000" w:usb3="00000000" w:csb0="00040000" w:csb1="00000000"/>
    <w:embedRegular r:id="rId5" w:fontKey="{FAF455B4-3E1A-48C5-8FD0-822CAB221972}"/>
  </w:font>
  <w:font w:name="方正仿宋_GB2312">
    <w:altName w:val="仿宋"/>
    <w:panose1 w:val="00000000000000000000"/>
    <w:charset w:val="86"/>
    <w:family w:val="auto"/>
    <w:pitch w:val="default"/>
    <w:sig w:usb0="00000000" w:usb1="00000000" w:usb2="00000012" w:usb3="00000000" w:csb0="00040001" w:csb1="00000000"/>
    <w:embedRegular r:id="rId6" w:fontKey="{C26BDC52-6E72-43C1-A6F5-D086F32650A5}"/>
  </w:font>
  <w:font w:name="微软雅黑">
    <w:panose1 w:val="020B0503020204020204"/>
    <w:charset w:val="86"/>
    <w:family w:val="swiss"/>
    <w:pitch w:val="default"/>
    <w:sig w:usb0="80000287" w:usb1="2ACF3C50" w:usb2="00000016" w:usb3="00000000" w:csb0="0004001F" w:csb1="00000000"/>
    <w:embedRegular r:id="rId7" w:fontKey="{94769504-AC45-4D12-A991-62630EC1DC8B}"/>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6432" behindDoc="0" locked="0" layoutInCell="1" allowOverlap="1">
              <wp:simplePos x="0" y="0"/>
              <wp:positionH relativeFrom="margin">
                <wp:posOffset>2605405</wp:posOffset>
              </wp:positionH>
              <wp:positionV relativeFrom="paragraph">
                <wp:posOffset>-47625</wp:posOffset>
              </wp:positionV>
              <wp:extent cx="1274445" cy="1371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4445"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rPr>
                            <w:t>第</w:t>
                          </w:r>
                          <w:r>
                            <w:fldChar w:fldCharType="begin"/>
                          </w:r>
                          <w:r>
                            <w:instrText xml:space="preserve"> PAGE  \* MERGEFORMAT </w:instrText>
                          </w:r>
                          <w:r>
                            <w:fldChar w:fldCharType="separate"/>
                          </w:r>
                          <w:r>
                            <w:t>66</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5pt;margin-top:-3.75pt;height:10.8pt;width:100.35pt;mso-position-horizontal-relative:margin;z-index:251666432;mso-width-relative:page;mso-height-relative:page;" filled="f" stroked="f" coordsize="21600,21600" o:gfxdata="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H5FnXAAAACQEAAA8AAAAAAAAAAQAgAAAAIgAAAGRycy9kb3ducmV2Lnht&#10;bFBLAQIUABQAAAAIAIdO4kBXl/dXMwIAAFgEAAAOAAAAAAAAAAEAIAAAACYBAABkcnMvZTJvRG9j&#10;LnhtbFBLBQYAAAAABgAGAFkBAADLBQAAAAA=&#10;">
              <v:fill on="f" focussize="0,0"/>
              <v:stroke on="f" weight="0.5pt"/>
              <v:imagedata o:title=""/>
              <o:lock v:ext="edit" aspectratio="f"/>
              <v:textbox inset="0mm,0mm,0mm,0mm">
                <w:txbxContent>
                  <w:p>
                    <w:pPr>
                      <w:pStyle w:val="16"/>
                      <w:jc w:val="center"/>
                    </w:pPr>
                    <w:r>
                      <w:rPr>
                        <w:rFonts w:hint="eastAsia"/>
                      </w:rPr>
                      <w:t>第</w:t>
                    </w:r>
                    <w:r>
                      <w:fldChar w:fldCharType="begin"/>
                    </w:r>
                    <w:r>
                      <w:instrText xml:space="preserve"> PAGE  \* MERGEFORMAT </w:instrText>
                    </w:r>
                    <w:r>
                      <w:fldChar w:fldCharType="separate"/>
                    </w:r>
                    <w:r>
                      <w:t>66</w:t>
                    </w:r>
                    <w:r>
                      <w:fldChar w:fldCharType="end"/>
                    </w:r>
                    <w:r>
                      <w:rPr>
                        <w:rFonts w:hint="eastAsia"/>
                      </w:rPr>
                      <w:t xml:space="preserve"> 页 共70页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426"/>
      </w:tabs>
      <w:rPr>
        <w:rFonts w:ascii="宋体" w:cs="宋体"/>
      </w:rPr>
    </w:pP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10"/>
        <w:tab w:val="right" w:pos="8940"/>
      </w:tabs>
      <w:rPr>
        <w:rFonts w:ascii="宋体" w:cs="宋体"/>
      </w:rPr>
    </w:pPr>
    <w:r>
      <mc:AlternateContent>
        <mc:Choice Requires="wps">
          <w:drawing>
            <wp:anchor distT="0" distB="0" distL="114300" distR="114300" simplePos="0" relativeHeight="251659264" behindDoc="0" locked="0" layoutInCell="1" allowOverlap="1">
              <wp:simplePos x="0" y="0"/>
              <wp:positionH relativeFrom="margin">
                <wp:posOffset>2501900</wp:posOffset>
              </wp:positionH>
              <wp:positionV relativeFrom="paragraph">
                <wp:posOffset>-38100</wp:posOffset>
              </wp:positionV>
              <wp:extent cx="1387475" cy="212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87475"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第</w:t>
                          </w:r>
                          <w:r>
                            <w:fldChar w:fldCharType="begin"/>
                          </w:r>
                          <w:r>
                            <w:instrText xml:space="preserve"> PAGE  \* MERGEFORMAT </w:instrText>
                          </w:r>
                          <w:r>
                            <w:fldChar w:fldCharType="separate"/>
                          </w:r>
                          <w:r>
                            <w:t>3</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3pt;height:16.75pt;width:109.25pt;mso-position-horizontal-relative:margin;z-index:251659264;mso-width-relative:page;mso-height-relative:page;" filled="f" stroked="f" coordsize="21600,21600" o:gfxdata="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LPtU2QAAAAkBAAAPAAAAAAAAAAEAIAAAACIAAABkcnMvZG93bnJldi54&#10;bWxQSwECFAAUAAAACACHTuJAGRGx/DICAABWBAAADgAAAAAAAAABACAAAAAoAQAAZHJzL2Uyb0Rv&#10;Yy54bWxQSwUGAAAAAAYABgBZAQAAzAUAAAAA&#10;">
              <v:fill on="f" focussize="0,0"/>
              <v:stroke on="f" weight="0.5pt"/>
              <v:imagedata o:title=""/>
              <o:lock v:ext="edit" aspectratio="f"/>
              <v:textbox inset="0mm,0mm,0mm,0mm">
                <w:txbxContent>
                  <w:p>
                    <w:pPr>
                      <w:pStyle w:val="16"/>
                    </w:pPr>
                    <w:r>
                      <w:rPr>
                        <w:rFonts w:hint="eastAsia"/>
                      </w:rPr>
                      <w:t>第</w:t>
                    </w:r>
                    <w:r>
                      <w:fldChar w:fldCharType="begin"/>
                    </w:r>
                    <w:r>
                      <w:instrText xml:space="preserve"> PAGE  \* MERGEFORMAT </w:instrText>
                    </w:r>
                    <w:r>
                      <w:fldChar w:fldCharType="separate"/>
                    </w:r>
                    <w:r>
                      <w:t>3</w:t>
                    </w:r>
                    <w:r>
                      <w:fldChar w:fldCharType="end"/>
                    </w:r>
                    <w:r>
                      <w:rPr>
                        <w:rFonts w:hint="eastAsia"/>
                      </w:rPr>
                      <w:t xml:space="preserve"> 页 共70页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0288" behindDoc="0" locked="0" layoutInCell="1" allowOverlap="1">
              <wp:simplePos x="0" y="0"/>
              <wp:positionH relativeFrom="margin">
                <wp:posOffset>2634615</wp:posOffset>
              </wp:positionH>
              <wp:positionV relativeFrom="paragraph">
                <wp:posOffset>0</wp:posOffset>
              </wp:positionV>
              <wp:extent cx="1101725" cy="1460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0172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第</w:t>
                          </w:r>
                          <w:r>
                            <w:fldChar w:fldCharType="begin"/>
                          </w:r>
                          <w:r>
                            <w:instrText xml:space="preserve"> PAGE  \* MERGEFORMAT </w:instrText>
                          </w:r>
                          <w:r>
                            <w:fldChar w:fldCharType="separate"/>
                          </w:r>
                          <w:r>
                            <w:t>15</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45pt;margin-top:0pt;height:11.5pt;width:86.75pt;mso-position-horizontal-relative:margin;z-index:251660288;mso-width-relative:page;mso-height-relative:page;" filled="f" stroked="f" coordsize="21600,21600" o:gfxdata="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7buXWAAAABwEAAA8AAAAAAAAAAQAgAAAAIgAAAGRycy9kb3ducmV2LnhtbFBL&#10;AQIUABQAAAAIAIdO4kA0lmnOMQIAAFYEAAAOAAAAAAAAAAEAIAAAACUBAABkcnMvZTJvRG9jLnht&#10;bFBLBQYAAAAABgAGAFkBAADIBQAAAAA=&#10;">
              <v:fill on="f" focussize="0,0"/>
              <v:stroke on="f" weight="0.5pt"/>
              <v:imagedata o:title=""/>
              <o:lock v:ext="edit" aspectratio="f"/>
              <v:textbox inset="0mm,0mm,0mm,0mm">
                <w:txbxContent>
                  <w:p>
                    <w:pPr>
                      <w:pStyle w:val="16"/>
                    </w:pPr>
                    <w:r>
                      <w:rPr>
                        <w:rFonts w:hint="eastAsia"/>
                      </w:rPr>
                      <w:t>第</w:t>
                    </w:r>
                    <w:r>
                      <w:fldChar w:fldCharType="begin"/>
                    </w:r>
                    <w:r>
                      <w:instrText xml:space="preserve"> PAGE  \* MERGEFORMAT </w:instrText>
                    </w:r>
                    <w:r>
                      <w:fldChar w:fldCharType="separate"/>
                    </w:r>
                    <w:r>
                      <w:t>15</w:t>
                    </w:r>
                    <w:r>
                      <w:fldChar w:fldCharType="end"/>
                    </w:r>
                    <w:r>
                      <w:rPr>
                        <w:rFonts w:hint="eastAsia"/>
                      </w:rPr>
                      <w:t xml:space="preserve"> 页 共70页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posOffset>2507615</wp:posOffset>
              </wp:positionH>
              <wp:positionV relativeFrom="paragraph">
                <wp:posOffset>-9525</wp:posOffset>
              </wp:positionV>
              <wp:extent cx="13030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0302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第</w:t>
                          </w:r>
                          <w:r>
                            <w:fldChar w:fldCharType="begin"/>
                          </w:r>
                          <w:r>
                            <w:instrText xml:space="preserve"> PAGE  \* MERGEFORMAT </w:instrText>
                          </w:r>
                          <w:r>
                            <w:fldChar w:fldCharType="separate"/>
                          </w:r>
                          <w:r>
                            <w:t>27</w:t>
                          </w:r>
                          <w:r>
                            <w:fldChar w:fldCharType="end"/>
                          </w:r>
                          <w:r>
                            <w:rPr>
                              <w:rFonts w:hint="eastAsia"/>
                            </w:rPr>
                            <w:t xml:space="preserve"> 页 共70页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45pt;margin-top:-0.75pt;height:13pt;width:102.6pt;mso-position-horizontal-relative:margin;z-index:251661312;mso-width-relative:page;mso-height-relative:page;" filled="f" stroked="f" coordsize="21600,21600" o:gfxdata="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MXXD2QAAAAkBAAAPAAAAAAAAAAEAIAAAACIAAABkcnMvZG93bnJldi54&#10;bWxQSwECFAAUAAAACACHTuJAPwnlUjICAABWBAAADgAAAAAAAAABACAAAAAoAQAAZHJzL2Uyb0Rv&#10;Yy54bWxQSwUGAAAAAAYABgBZAQAAzAUAAAAA&#10;">
              <v:fill on="f" focussize="0,0"/>
              <v:stroke on="f" weight="0.5pt"/>
              <v:imagedata o:title=""/>
              <o:lock v:ext="edit" aspectratio="f"/>
              <v:textbox inset="0mm,0mm,0mm,0mm">
                <w:txbxContent>
                  <w:p>
                    <w:pPr>
                      <w:pStyle w:val="16"/>
                    </w:pPr>
                    <w:r>
                      <w:rPr>
                        <w:rFonts w:hint="eastAsia"/>
                      </w:rPr>
                      <w:t>第</w:t>
                    </w:r>
                    <w:r>
                      <w:fldChar w:fldCharType="begin"/>
                    </w:r>
                    <w:r>
                      <w:instrText xml:space="preserve"> PAGE  \* MERGEFORMAT </w:instrText>
                    </w:r>
                    <w:r>
                      <w:fldChar w:fldCharType="separate"/>
                    </w:r>
                    <w:r>
                      <w:t>27</w:t>
                    </w:r>
                    <w:r>
                      <w:fldChar w:fldCharType="end"/>
                    </w:r>
                    <w:r>
                      <w:rPr>
                        <w:rFonts w:hint="eastAsia"/>
                      </w:rPr>
                      <w:t xml:space="preserve"> 页 共70页 </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1"/>
    </w:pPr>
    <w:r>
      <mc:AlternateContent>
        <mc:Choice Requires="wps">
          <w:drawing>
            <wp:anchor distT="0" distB="0" distL="114300" distR="114300" simplePos="0" relativeHeight="251662336" behindDoc="0" locked="0" layoutInCell="1" allowOverlap="1">
              <wp:simplePos x="0" y="0"/>
              <wp:positionH relativeFrom="margin">
                <wp:posOffset>1974215</wp:posOffset>
              </wp:positionH>
              <wp:positionV relativeFrom="paragraph">
                <wp:posOffset>-28575</wp:posOffset>
              </wp:positionV>
              <wp:extent cx="1636395" cy="1460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3639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rPr>
                            <w:t>第</w:t>
                          </w:r>
                          <w:r>
                            <w:fldChar w:fldCharType="begin"/>
                          </w:r>
                          <w:r>
                            <w:instrText xml:space="preserve"> PAGE  \* MERGEFORMAT </w:instrText>
                          </w:r>
                          <w:r>
                            <w:fldChar w:fldCharType="separate"/>
                          </w:r>
                          <w:r>
                            <w:t>43</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5.45pt;margin-top:-2.25pt;height:11.5pt;width:128.85pt;mso-position-horizontal-relative:margin;z-index:251662336;mso-width-relative:page;mso-height-relative:page;" filled="f" stroked="f" coordsize="21600,21600" o:gfxdata="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e8hJNgAAAAJAQAADwAAAAAAAAABACAAAAAiAAAAZHJzL2Rvd25yZXYueG1s&#10;UEsBAhQAFAAAAAgAh07iQG+WTsAxAgAAWAQAAA4AAAAAAAAAAQAgAAAAJwEAAGRycy9lMm9Eb2Mu&#10;eG1sUEsFBgAAAAAGAAYAWQEAAMoFAAAAAA==&#10;">
              <v:fill on="f" focussize="0,0"/>
              <v:stroke on="f" weight="0.5pt"/>
              <v:imagedata o:title=""/>
              <o:lock v:ext="edit" aspectratio="f"/>
              <v:textbox inset="0mm,0mm,0mm,0mm">
                <w:txbxContent>
                  <w:p>
                    <w:pPr>
                      <w:pStyle w:val="16"/>
                      <w:jc w:val="center"/>
                    </w:pPr>
                    <w:r>
                      <w:rPr>
                        <w:rFonts w:hint="eastAsia"/>
                      </w:rPr>
                      <w:t>第</w:t>
                    </w:r>
                    <w:r>
                      <w:fldChar w:fldCharType="begin"/>
                    </w:r>
                    <w:r>
                      <w:instrText xml:space="preserve"> PAGE  \* MERGEFORMAT </w:instrText>
                    </w:r>
                    <w:r>
                      <w:fldChar w:fldCharType="separate"/>
                    </w:r>
                    <w:r>
                      <w:t>43</w:t>
                    </w:r>
                    <w:r>
                      <w:fldChar w:fldCharType="end"/>
                    </w:r>
                    <w:r>
                      <w:rPr>
                        <w:rFonts w:hint="eastAsia"/>
                      </w:rPr>
                      <w:t xml:space="preserve"> 页 共70页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rPr>
    </w:pPr>
    <w:r>
      <mc:AlternateContent>
        <mc:Choice Requires="wps">
          <w:drawing>
            <wp:anchor distT="0" distB="0" distL="114300" distR="114300" simplePos="0" relativeHeight="251665408" behindDoc="0" locked="0" layoutInCell="1" allowOverlap="1">
              <wp:simplePos x="0" y="0"/>
              <wp:positionH relativeFrom="margin">
                <wp:posOffset>2021840</wp:posOffset>
              </wp:positionH>
              <wp:positionV relativeFrom="paragraph">
                <wp:posOffset>-28575</wp:posOffset>
              </wp:positionV>
              <wp:extent cx="1426845" cy="1460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42684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rPr>
                            <w:t>第</w:t>
                          </w:r>
                          <w:r>
                            <w:fldChar w:fldCharType="begin"/>
                          </w:r>
                          <w:r>
                            <w:instrText xml:space="preserve"> PAGE  \* MERGEFORMAT </w:instrText>
                          </w:r>
                          <w:r>
                            <w:fldChar w:fldCharType="separate"/>
                          </w:r>
                          <w:r>
                            <w:t>63</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9.2pt;margin-top:-2.25pt;height:11.5pt;width:112.35pt;mso-position-horizontal-relative:margin;z-index:251665408;mso-width-relative:page;mso-height-relative:page;" filled="f" stroked="f" coordsize="21600,21600" o:gfxdata="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udQr2AAAAAkBAAAPAAAAAAAAAAEAIAAAACIAAABkcnMvZG93bnJldi54bWxQ&#10;SwECFAAUAAAACACHTuJAhtPhIjACAABYBAAADgAAAAAAAAABACAAAAAnAQAAZHJzL2Uyb0RvYy54&#10;bWxQSwUGAAAAAAYABgBZAQAAyQUAAAAA&#10;">
              <v:fill on="f" focussize="0,0"/>
              <v:stroke on="f" weight="0.5pt"/>
              <v:imagedata o:title=""/>
              <o:lock v:ext="edit" aspectratio="f"/>
              <v:textbox inset="0mm,0mm,0mm,0mm">
                <w:txbxContent>
                  <w:p>
                    <w:pPr>
                      <w:pStyle w:val="16"/>
                      <w:jc w:val="center"/>
                    </w:pPr>
                    <w:r>
                      <w:rPr>
                        <w:rFonts w:hint="eastAsia"/>
                      </w:rPr>
                      <w:t>第</w:t>
                    </w:r>
                    <w:r>
                      <w:fldChar w:fldCharType="begin"/>
                    </w:r>
                    <w:r>
                      <w:instrText xml:space="preserve"> PAGE  \* MERGEFORMAT </w:instrText>
                    </w:r>
                    <w:r>
                      <w:fldChar w:fldCharType="separate"/>
                    </w:r>
                    <w:r>
                      <w:t>63</w:t>
                    </w:r>
                    <w:r>
                      <w:fldChar w:fldCharType="end"/>
                    </w:r>
                    <w:r>
                      <w:rPr>
                        <w:rFonts w:hint="eastAsia"/>
                      </w:rPr>
                      <w:t xml:space="preserve"> 页 共70页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9" w:leftChars="-9" w:right="-313" w:rightChars="-149"/>
      <w:jc w:val="left"/>
      <w:rPr>
        <w:rFonts w:ascii="宋体" w:cs="宋体"/>
        <w:u w:val="single"/>
      </w:rPr>
    </w:pPr>
    <w:r>
      <w:rPr>
        <w:rFonts w:hint="eastAsia" w:ascii="宋体" w:hAnsi="宋体" w:cs="宋体"/>
        <w:bCs/>
        <w:sz w:val="18"/>
        <w:szCs w:val="18"/>
        <w:u w:val="single"/>
      </w:rPr>
      <w:t>西安市儿童医院西门院区门诊楼及住院二部楼顶发光字拆除设计安装项目        SXWZ2025ZB-ETYY-127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cs="宋体"/>
        <w:sz w:val="18"/>
        <w:szCs w:val="18"/>
        <w:u w:val="single"/>
      </w:rPr>
      <w:t>西安市儿童医院西门院区门诊楼及住院二部楼顶发光字拆除设计安装项目SXWZ2025ZB-ETYY-127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800" w:right="-739" w:rightChars="-352" w:hanging="1800" w:hangingChars="1000"/>
      <w:jc w:val="left"/>
      <w:rPr>
        <w:rFonts w:ascii="宋体" w:cs="宋体"/>
        <w:sz w:val="18"/>
        <w:szCs w:val="18"/>
        <w:u w:val="single"/>
      </w:rPr>
    </w:pPr>
    <w:r>
      <w:rPr>
        <w:rFonts w:hint="eastAsia" w:ascii="宋体" w:cs="宋体"/>
        <w:sz w:val="18"/>
        <w:szCs w:val="18"/>
        <w:u w:val="single"/>
      </w:rPr>
      <w:ptab w:relativeTo="margin" w:alignment="left" w:leader="none"/>
    </w:r>
    <w:r>
      <w:rPr>
        <w:rFonts w:hint="eastAsia" w:ascii="宋体" w:hAnsi="宋体" w:cs="宋体"/>
        <w:bCs/>
        <w:sz w:val="18"/>
        <w:szCs w:val="18"/>
        <w:u w:val="single"/>
      </w:rPr>
      <w:t>西安市儿童医院西门院区门诊楼及住院二部楼顶发光字拆除设计安装项目      SXWZ2025ZB-ETYY-127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ascii="宋体" w:hAnsi="宋体" w:cs="宋体"/>
        <w:bCs/>
      </w:rPr>
      <w:t>西安市儿童医院西门院区门诊楼及住院二部楼顶发光字拆除设计安装项目       SXWZ2025ZB-ETYY-127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ascii="宋体" w:hAnsi="宋体" w:cs="宋体"/>
        <w:bCs/>
      </w:rPr>
      <w:t>西安市儿童医院西门院区门诊楼及住院二部楼顶发光字拆除设计安装项目    SXWZ2025ZB-ETYY-127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C537F"/>
    <w:multiLevelType w:val="singleLevel"/>
    <w:tmpl w:val="8EBC537F"/>
    <w:lvl w:ilvl="0" w:tentative="0">
      <w:start w:val="6"/>
      <w:numFmt w:val="chineseCounting"/>
      <w:suff w:val="nothing"/>
      <w:lvlText w:val="%1、"/>
      <w:lvlJc w:val="left"/>
      <w:rPr>
        <w:rFonts w:hint="eastAsia"/>
      </w:rPr>
    </w:lvl>
  </w:abstractNum>
  <w:abstractNum w:abstractNumId="1">
    <w:nsid w:val="BC00C9E6"/>
    <w:multiLevelType w:val="singleLevel"/>
    <w:tmpl w:val="BC00C9E6"/>
    <w:lvl w:ilvl="0" w:tentative="0">
      <w:start w:val="1"/>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33324B14"/>
    <w:multiLevelType w:val="singleLevel"/>
    <w:tmpl w:val="33324B14"/>
    <w:lvl w:ilvl="0" w:tentative="0">
      <w:start w:val="6"/>
      <w:numFmt w:val="chineseCounting"/>
      <w:suff w:val="space"/>
      <w:lvlText w:val="第%1部分"/>
      <w:lvlJc w:val="left"/>
      <w:rPr>
        <w:rFonts w:hint="eastAsia"/>
      </w:rPr>
    </w:lvl>
  </w:abstractNum>
  <w:abstractNum w:abstractNumId="4">
    <w:nsid w:val="37CBB8E6"/>
    <w:multiLevelType w:val="singleLevel"/>
    <w:tmpl w:val="37CBB8E6"/>
    <w:lvl w:ilvl="0" w:tentative="0">
      <w:start w:val="1"/>
      <w:numFmt w:val="decimal"/>
      <w:lvlText w:val="%1."/>
      <w:lvlJc w:val="left"/>
      <w:pPr>
        <w:tabs>
          <w:tab w:val="left" w:pos="312"/>
        </w:tabs>
      </w:pPr>
    </w:lvl>
  </w:abstractNum>
  <w:abstractNum w:abstractNumId="5">
    <w:nsid w:val="5530B97F"/>
    <w:multiLevelType w:val="singleLevel"/>
    <w:tmpl w:val="5530B97F"/>
    <w:lvl w:ilvl="0" w:tentative="0">
      <w:start w:val="1"/>
      <w:numFmt w:val="chineseCounting"/>
      <w:suff w:val="nothing"/>
      <w:lvlText w:val="%1、"/>
      <w:lvlJc w:val="left"/>
      <w:rPr>
        <w:rFonts w:cs="Times New Roman"/>
      </w:rPr>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8">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9">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0">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1">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2">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3">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4">
    <w:nsid w:val="58BFC878"/>
    <w:multiLevelType w:val="singleLevel"/>
    <w:tmpl w:val="58BFC878"/>
    <w:lvl w:ilvl="0" w:tentative="0">
      <w:start w:val="1"/>
      <w:numFmt w:val="decimal"/>
      <w:suff w:val="nothing"/>
      <w:lvlText w:val="%1、"/>
      <w:lvlJc w:val="left"/>
      <w:pPr>
        <w:ind w:left="63" w:firstLine="420"/>
      </w:pPr>
      <w:rPr>
        <w:rFonts w:hint="default"/>
      </w:rPr>
    </w:lvl>
  </w:abstractNum>
  <w:abstractNum w:abstractNumId="15">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6">
    <w:nsid w:val="58E5EC48"/>
    <w:multiLevelType w:val="singleLevel"/>
    <w:tmpl w:val="58E5EC48"/>
    <w:lvl w:ilvl="0" w:tentative="0">
      <w:start w:val="1"/>
      <w:numFmt w:val="decimal"/>
      <w:suff w:val="nothing"/>
      <w:lvlText w:val="（%1）"/>
      <w:lvlJc w:val="left"/>
    </w:lvl>
  </w:abstractNum>
  <w:abstractNum w:abstractNumId="17">
    <w:nsid w:val="59E578C5"/>
    <w:multiLevelType w:val="singleLevel"/>
    <w:tmpl w:val="59E578C5"/>
    <w:lvl w:ilvl="0" w:tentative="0">
      <w:start w:val="5"/>
      <w:numFmt w:val="chineseCounting"/>
      <w:suff w:val="nothing"/>
      <w:lvlText w:val="第%1部"/>
      <w:lvlJc w:val="left"/>
    </w:lvl>
  </w:abstractNum>
  <w:abstractNum w:abstractNumId="18">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9">
    <w:nsid w:val="59F08EA7"/>
    <w:multiLevelType w:val="singleLevel"/>
    <w:tmpl w:val="59F08EA7"/>
    <w:lvl w:ilvl="0" w:tentative="0">
      <w:start w:val="1"/>
      <w:numFmt w:val="decimal"/>
      <w:suff w:val="nothing"/>
      <w:lvlText w:val="（%1）"/>
      <w:lvlJc w:val="left"/>
      <w:pPr>
        <w:ind w:left="0" w:firstLine="420"/>
      </w:pPr>
      <w:rPr>
        <w:rFonts w:hint="default"/>
        <w:highlight w:val="none"/>
      </w:rPr>
    </w:lvl>
  </w:abstractNum>
  <w:abstractNum w:abstractNumId="20">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1">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22">
    <w:nsid w:val="5A9C9D9A"/>
    <w:multiLevelType w:val="singleLevel"/>
    <w:tmpl w:val="5A9C9D9A"/>
    <w:lvl w:ilvl="0" w:tentative="0">
      <w:start w:val="2"/>
      <w:numFmt w:val="chineseCounting"/>
      <w:suff w:val="nothing"/>
      <w:lvlText w:val="%1、"/>
      <w:lvlJc w:val="left"/>
    </w:lvl>
  </w:abstractNum>
  <w:num w:numId="1">
    <w:abstractNumId w:val="5"/>
  </w:num>
  <w:num w:numId="2">
    <w:abstractNumId w:val="14"/>
  </w:num>
  <w:num w:numId="3">
    <w:abstractNumId w:val="7"/>
  </w:num>
  <w:num w:numId="4">
    <w:abstractNumId w:val="8"/>
  </w:num>
  <w:num w:numId="5">
    <w:abstractNumId w:val="6"/>
  </w:num>
  <w:num w:numId="6">
    <w:abstractNumId w:val="12"/>
  </w:num>
  <w:num w:numId="7">
    <w:abstractNumId w:val="15"/>
  </w:num>
  <w:num w:numId="8">
    <w:abstractNumId w:val="9"/>
  </w:num>
  <w:num w:numId="9">
    <w:abstractNumId w:val="13"/>
  </w:num>
  <w:num w:numId="10">
    <w:abstractNumId w:val="20"/>
  </w:num>
  <w:num w:numId="11">
    <w:abstractNumId w:val="10"/>
  </w:num>
  <w:num w:numId="12">
    <w:abstractNumId w:val="11"/>
  </w:num>
  <w:num w:numId="13">
    <w:abstractNumId w:val="18"/>
  </w:num>
  <w:num w:numId="14">
    <w:abstractNumId w:val="19"/>
  </w:num>
  <w:num w:numId="15">
    <w:abstractNumId w:val="21"/>
  </w:num>
  <w:num w:numId="16">
    <w:abstractNumId w:val="0"/>
  </w:num>
  <w:num w:numId="17">
    <w:abstractNumId w:val="17"/>
  </w:num>
  <w:num w:numId="18">
    <w:abstractNumId w:val="1"/>
  </w:num>
  <w:num w:numId="19">
    <w:abstractNumId w:val="4"/>
  </w:num>
  <w:num w:numId="20">
    <w:abstractNumId w:val="3"/>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jZmU5YTI3NmUyZWQwNTMzMjkzMDIwNmNjMTU0OTkifQ=="/>
  </w:docVars>
  <w:rsids>
    <w:rsidRoot w:val="2627224F"/>
    <w:rsid w:val="00001425"/>
    <w:rsid w:val="0004571E"/>
    <w:rsid w:val="00056CD8"/>
    <w:rsid w:val="00061B22"/>
    <w:rsid w:val="000972E1"/>
    <w:rsid w:val="000A2C3A"/>
    <w:rsid w:val="000B3FC4"/>
    <w:rsid w:val="000C0895"/>
    <w:rsid w:val="000E55ED"/>
    <w:rsid w:val="000E58A3"/>
    <w:rsid w:val="0011607E"/>
    <w:rsid w:val="001269B4"/>
    <w:rsid w:val="00135474"/>
    <w:rsid w:val="00167A28"/>
    <w:rsid w:val="0018410D"/>
    <w:rsid w:val="001F0785"/>
    <w:rsid w:val="002165BB"/>
    <w:rsid w:val="00241322"/>
    <w:rsid w:val="0025484D"/>
    <w:rsid w:val="00262E5C"/>
    <w:rsid w:val="0028240D"/>
    <w:rsid w:val="002878E9"/>
    <w:rsid w:val="00290FBC"/>
    <w:rsid w:val="002A2097"/>
    <w:rsid w:val="002C5052"/>
    <w:rsid w:val="002D7A6D"/>
    <w:rsid w:val="002E07BF"/>
    <w:rsid w:val="002F6FCA"/>
    <w:rsid w:val="0031380D"/>
    <w:rsid w:val="00316E46"/>
    <w:rsid w:val="00337601"/>
    <w:rsid w:val="00347BE2"/>
    <w:rsid w:val="0035067D"/>
    <w:rsid w:val="00360C09"/>
    <w:rsid w:val="00386522"/>
    <w:rsid w:val="003A5C89"/>
    <w:rsid w:val="003D37C1"/>
    <w:rsid w:val="003E45DE"/>
    <w:rsid w:val="003E65D8"/>
    <w:rsid w:val="003E7B81"/>
    <w:rsid w:val="003F3D18"/>
    <w:rsid w:val="003F64A7"/>
    <w:rsid w:val="00421711"/>
    <w:rsid w:val="004313A1"/>
    <w:rsid w:val="004456E2"/>
    <w:rsid w:val="00447862"/>
    <w:rsid w:val="00462D92"/>
    <w:rsid w:val="00467536"/>
    <w:rsid w:val="00482B14"/>
    <w:rsid w:val="00490EB6"/>
    <w:rsid w:val="00496A42"/>
    <w:rsid w:val="004D70C5"/>
    <w:rsid w:val="005044F7"/>
    <w:rsid w:val="00520C66"/>
    <w:rsid w:val="00522064"/>
    <w:rsid w:val="00524BC5"/>
    <w:rsid w:val="00534DAB"/>
    <w:rsid w:val="005556EC"/>
    <w:rsid w:val="00560F51"/>
    <w:rsid w:val="005728D1"/>
    <w:rsid w:val="005918D7"/>
    <w:rsid w:val="005A1E74"/>
    <w:rsid w:val="005A6ECD"/>
    <w:rsid w:val="005B3960"/>
    <w:rsid w:val="005D7A12"/>
    <w:rsid w:val="005E2798"/>
    <w:rsid w:val="00603C33"/>
    <w:rsid w:val="0064069F"/>
    <w:rsid w:val="00645208"/>
    <w:rsid w:val="00652D89"/>
    <w:rsid w:val="00661C11"/>
    <w:rsid w:val="006657C9"/>
    <w:rsid w:val="0068282F"/>
    <w:rsid w:val="00696FBA"/>
    <w:rsid w:val="006A3734"/>
    <w:rsid w:val="006B3212"/>
    <w:rsid w:val="006B38D0"/>
    <w:rsid w:val="006B71CA"/>
    <w:rsid w:val="006D4400"/>
    <w:rsid w:val="006E46DF"/>
    <w:rsid w:val="006F1FD6"/>
    <w:rsid w:val="006F623E"/>
    <w:rsid w:val="006F6CE7"/>
    <w:rsid w:val="00743BB4"/>
    <w:rsid w:val="007441D9"/>
    <w:rsid w:val="00792491"/>
    <w:rsid w:val="007A44B6"/>
    <w:rsid w:val="007D63C4"/>
    <w:rsid w:val="00803D85"/>
    <w:rsid w:val="00803F6A"/>
    <w:rsid w:val="00841916"/>
    <w:rsid w:val="00842F88"/>
    <w:rsid w:val="0086026F"/>
    <w:rsid w:val="00886168"/>
    <w:rsid w:val="008866C0"/>
    <w:rsid w:val="00891290"/>
    <w:rsid w:val="008962A7"/>
    <w:rsid w:val="00897D92"/>
    <w:rsid w:val="008A367A"/>
    <w:rsid w:val="008B7CA5"/>
    <w:rsid w:val="008C49CF"/>
    <w:rsid w:val="008D56DD"/>
    <w:rsid w:val="008F6EFE"/>
    <w:rsid w:val="008F752D"/>
    <w:rsid w:val="00916046"/>
    <w:rsid w:val="00931804"/>
    <w:rsid w:val="009366A8"/>
    <w:rsid w:val="00941AF3"/>
    <w:rsid w:val="00954CF1"/>
    <w:rsid w:val="0095596F"/>
    <w:rsid w:val="00973CE8"/>
    <w:rsid w:val="00992691"/>
    <w:rsid w:val="009927BC"/>
    <w:rsid w:val="009A4A76"/>
    <w:rsid w:val="009D6209"/>
    <w:rsid w:val="00A10123"/>
    <w:rsid w:val="00A1793C"/>
    <w:rsid w:val="00A24217"/>
    <w:rsid w:val="00A248F4"/>
    <w:rsid w:val="00A4619A"/>
    <w:rsid w:val="00A50646"/>
    <w:rsid w:val="00A63494"/>
    <w:rsid w:val="00A73F78"/>
    <w:rsid w:val="00A8343C"/>
    <w:rsid w:val="00A921BA"/>
    <w:rsid w:val="00AB0730"/>
    <w:rsid w:val="00AC60A6"/>
    <w:rsid w:val="00AC7625"/>
    <w:rsid w:val="00AD72BC"/>
    <w:rsid w:val="00AF7587"/>
    <w:rsid w:val="00B32079"/>
    <w:rsid w:val="00B4716F"/>
    <w:rsid w:val="00B52257"/>
    <w:rsid w:val="00B661E8"/>
    <w:rsid w:val="00B721AB"/>
    <w:rsid w:val="00B76DB3"/>
    <w:rsid w:val="00B926EC"/>
    <w:rsid w:val="00BA067C"/>
    <w:rsid w:val="00BA27AE"/>
    <w:rsid w:val="00BC1AB3"/>
    <w:rsid w:val="00BC7715"/>
    <w:rsid w:val="00BD2877"/>
    <w:rsid w:val="00BE47C5"/>
    <w:rsid w:val="00C1147B"/>
    <w:rsid w:val="00C225C4"/>
    <w:rsid w:val="00C56CC2"/>
    <w:rsid w:val="00C60F1E"/>
    <w:rsid w:val="00C735E8"/>
    <w:rsid w:val="00C77720"/>
    <w:rsid w:val="00C8390A"/>
    <w:rsid w:val="00C92784"/>
    <w:rsid w:val="00CA477A"/>
    <w:rsid w:val="00CF275C"/>
    <w:rsid w:val="00D01247"/>
    <w:rsid w:val="00D0394F"/>
    <w:rsid w:val="00D574E4"/>
    <w:rsid w:val="00D576EF"/>
    <w:rsid w:val="00D66260"/>
    <w:rsid w:val="00D723CA"/>
    <w:rsid w:val="00D95D73"/>
    <w:rsid w:val="00D9641E"/>
    <w:rsid w:val="00DA4229"/>
    <w:rsid w:val="00DC1986"/>
    <w:rsid w:val="00DC7FB0"/>
    <w:rsid w:val="00E04145"/>
    <w:rsid w:val="00E15761"/>
    <w:rsid w:val="00E24AFE"/>
    <w:rsid w:val="00E40286"/>
    <w:rsid w:val="00E55562"/>
    <w:rsid w:val="00E6619C"/>
    <w:rsid w:val="00E723EB"/>
    <w:rsid w:val="00E8261A"/>
    <w:rsid w:val="00E84BD2"/>
    <w:rsid w:val="00E9724B"/>
    <w:rsid w:val="00EA1ECE"/>
    <w:rsid w:val="00F00625"/>
    <w:rsid w:val="00F234ED"/>
    <w:rsid w:val="00F25511"/>
    <w:rsid w:val="00F75245"/>
    <w:rsid w:val="00F9432B"/>
    <w:rsid w:val="00FC5BAE"/>
    <w:rsid w:val="00FD62CF"/>
    <w:rsid w:val="00FF46C3"/>
    <w:rsid w:val="011221F0"/>
    <w:rsid w:val="013A223F"/>
    <w:rsid w:val="013C394E"/>
    <w:rsid w:val="01457570"/>
    <w:rsid w:val="01525A0A"/>
    <w:rsid w:val="016A454D"/>
    <w:rsid w:val="016C7A48"/>
    <w:rsid w:val="016E1781"/>
    <w:rsid w:val="017D3840"/>
    <w:rsid w:val="018F6A3E"/>
    <w:rsid w:val="01920D21"/>
    <w:rsid w:val="019432A6"/>
    <w:rsid w:val="019C7937"/>
    <w:rsid w:val="01AC2FBF"/>
    <w:rsid w:val="01AD66F3"/>
    <w:rsid w:val="01B14BA6"/>
    <w:rsid w:val="01EB73A9"/>
    <w:rsid w:val="01F12F1C"/>
    <w:rsid w:val="01F90F7C"/>
    <w:rsid w:val="01FF4EDD"/>
    <w:rsid w:val="02064B47"/>
    <w:rsid w:val="02211D91"/>
    <w:rsid w:val="026117A6"/>
    <w:rsid w:val="027B35DF"/>
    <w:rsid w:val="027C4FD4"/>
    <w:rsid w:val="028440C8"/>
    <w:rsid w:val="02854F8C"/>
    <w:rsid w:val="0294379C"/>
    <w:rsid w:val="02BB22C4"/>
    <w:rsid w:val="02C158E7"/>
    <w:rsid w:val="02C40641"/>
    <w:rsid w:val="02E638FA"/>
    <w:rsid w:val="02F47738"/>
    <w:rsid w:val="02F61685"/>
    <w:rsid w:val="02FA17E2"/>
    <w:rsid w:val="030A0C9E"/>
    <w:rsid w:val="031C5CB6"/>
    <w:rsid w:val="033466A6"/>
    <w:rsid w:val="034C725D"/>
    <w:rsid w:val="03541409"/>
    <w:rsid w:val="035B7692"/>
    <w:rsid w:val="03906A9D"/>
    <w:rsid w:val="03BC71AC"/>
    <w:rsid w:val="03C10C9F"/>
    <w:rsid w:val="03C921C1"/>
    <w:rsid w:val="03CD78DC"/>
    <w:rsid w:val="03D02D9A"/>
    <w:rsid w:val="04277AE5"/>
    <w:rsid w:val="042B497B"/>
    <w:rsid w:val="04441D61"/>
    <w:rsid w:val="044C70CB"/>
    <w:rsid w:val="046A3655"/>
    <w:rsid w:val="046D004A"/>
    <w:rsid w:val="04967BE0"/>
    <w:rsid w:val="049D76C3"/>
    <w:rsid w:val="04A57776"/>
    <w:rsid w:val="04CD0688"/>
    <w:rsid w:val="04D502BA"/>
    <w:rsid w:val="04DA6C63"/>
    <w:rsid w:val="04E552CD"/>
    <w:rsid w:val="04ED70D5"/>
    <w:rsid w:val="04F27D5C"/>
    <w:rsid w:val="050438CD"/>
    <w:rsid w:val="053C77D5"/>
    <w:rsid w:val="05402991"/>
    <w:rsid w:val="054E1CE0"/>
    <w:rsid w:val="055324E3"/>
    <w:rsid w:val="05617154"/>
    <w:rsid w:val="05634469"/>
    <w:rsid w:val="057A7F6E"/>
    <w:rsid w:val="05AF2BAD"/>
    <w:rsid w:val="05CC64B2"/>
    <w:rsid w:val="05DE6749"/>
    <w:rsid w:val="05F7149D"/>
    <w:rsid w:val="05F75792"/>
    <w:rsid w:val="060454DB"/>
    <w:rsid w:val="06110D47"/>
    <w:rsid w:val="06475ABC"/>
    <w:rsid w:val="066D1D57"/>
    <w:rsid w:val="066D1EB1"/>
    <w:rsid w:val="06700F66"/>
    <w:rsid w:val="069F7723"/>
    <w:rsid w:val="06AA32FE"/>
    <w:rsid w:val="06BA455D"/>
    <w:rsid w:val="06BE30D0"/>
    <w:rsid w:val="06C242A6"/>
    <w:rsid w:val="06C453DB"/>
    <w:rsid w:val="06C833A0"/>
    <w:rsid w:val="06CC2420"/>
    <w:rsid w:val="06E5268E"/>
    <w:rsid w:val="06E56C12"/>
    <w:rsid w:val="06EE06AA"/>
    <w:rsid w:val="06EF2DB2"/>
    <w:rsid w:val="06F7130D"/>
    <w:rsid w:val="06F8284D"/>
    <w:rsid w:val="06FA0DFD"/>
    <w:rsid w:val="07187C3B"/>
    <w:rsid w:val="071D5FD6"/>
    <w:rsid w:val="0721310B"/>
    <w:rsid w:val="072B7D8D"/>
    <w:rsid w:val="073D5BED"/>
    <w:rsid w:val="074860B9"/>
    <w:rsid w:val="07810D4D"/>
    <w:rsid w:val="079E2470"/>
    <w:rsid w:val="07A82607"/>
    <w:rsid w:val="07AB7ABE"/>
    <w:rsid w:val="07C45461"/>
    <w:rsid w:val="07E562BD"/>
    <w:rsid w:val="07F54A85"/>
    <w:rsid w:val="08227B5F"/>
    <w:rsid w:val="082974F3"/>
    <w:rsid w:val="08346591"/>
    <w:rsid w:val="08385A0E"/>
    <w:rsid w:val="085B58CB"/>
    <w:rsid w:val="087D1536"/>
    <w:rsid w:val="088C39B6"/>
    <w:rsid w:val="08A13470"/>
    <w:rsid w:val="08AB6DCE"/>
    <w:rsid w:val="08B16FB6"/>
    <w:rsid w:val="08B42E9D"/>
    <w:rsid w:val="08B62F1E"/>
    <w:rsid w:val="08BA4DBE"/>
    <w:rsid w:val="08CE74ED"/>
    <w:rsid w:val="08DE3932"/>
    <w:rsid w:val="08FE21C6"/>
    <w:rsid w:val="09052179"/>
    <w:rsid w:val="090A42F6"/>
    <w:rsid w:val="09271A18"/>
    <w:rsid w:val="0949327F"/>
    <w:rsid w:val="0949606C"/>
    <w:rsid w:val="09601498"/>
    <w:rsid w:val="097A7578"/>
    <w:rsid w:val="098C776C"/>
    <w:rsid w:val="098E3A7F"/>
    <w:rsid w:val="09913C41"/>
    <w:rsid w:val="09A74397"/>
    <w:rsid w:val="09BB5BCC"/>
    <w:rsid w:val="09EA213D"/>
    <w:rsid w:val="09F61DEB"/>
    <w:rsid w:val="09F82B45"/>
    <w:rsid w:val="0A092FCE"/>
    <w:rsid w:val="0A0976BB"/>
    <w:rsid w:val="0A0B50CF"/>
    <w:rsid w:val="0A1251A0"/>
    <w:rsid w:val="0A2B28F9"/>
    <w:rsid w:val="0A3E3F88"/>
    <w:rsid w:val="0A4D0A1B"/>
    <w:rsid w:val="0A672A35"/>
    <w:rsid w:val="0A886720"/>
    <w:rsid w:val="0A8C4DCE"/>
    <w:rsid w:val="0A8F7AAE"/>
    <w:rsid w:val="0AC0410C"/>
    <w:rsid w:val="0ACA0AE6"/>
    <w:rsid w:val="0ADE0E35"/>
    <w:rsid w:val="0ADF0A36"/>
    <w:rsid w:val="0ADF4592"/>
    <w:rsid w:val="0AE62833"/>
    <w:rsid w:val="0B157D22"/>
    <w:rsid w:val="0B355302"/>
    <w:rsid w:val="0B4B7295"/>
    <w:rsid w:val="0B5D1A85"/>
    <w:rsid w:val="0B612AD9"/>
    <w:rsid w:val="0B790DCF"/>
    <w:rsid w:val="0BA1174D"/>
    <w:rsid w:val="0BAD643E"/>
    <w:rsid w:val="0BB31A32"/>
    <w:rsid w:val="0BB5243F"/>
    <w:rsid w:val="0BDD543F"/>
    <w:rsid w:val="0BED26A5"/>
    <w:rsid w:val="0BF56037"/>
    <w:rsid w:val="0C1F4E62"/>
    <w:rsid w:val="0C5B4150"/>
    <w:rsid w:val="0C651F42"/>
    <w:rsid w:val="0C6E31C5"/>
    <w:rsid w:val="0C757235"/>
    <w:rsid w:val="0C782EF0"/>
    <w:rsid w:val="0C86671B"/>
    <w:rsid w:val="0CA041F5"/>
    <w:rsid w:val="0CB5191B"/>
    <w:rsid w:val="0CB6728F"/>
    <w:rsid w:val="0CB952B6"/>
    <w:rsid w:val="0CED1FF4"/>
    <w:rsid w:val="0CF32576"/>
    <w:rsid w:val="0CFD25BD"/>
    <w:rsid w:val="0D276E81"/>
    <w:rsid w:val="0D452987"/>
    <w:rsid w:val="0D6D25BC"/>
    <w:rsid w:val="0D8B4EFD"/>
    <w:rsid w:val="0D933F5C"/>
    <w:rsid w:val="0D9A29DE"/>
    <w:rsid w:val="0DA800E4"/>
    <w:rsid w:val="0DAB20F5"/>
    <w:rsid w:val="0DCC269A"/>
    <w:rsid w:val="0DE65566"/>
    <w:rsid w:val="0DE80E1E"/>
    <w:rsid w:val="0E0C42FA"/>
    <w:rsid w:val="0E381521"/>
    <w:rsid w:val="0E507C98"/>
    <w:rsid w:val="0E597398"/>
    <w:rsid w:val="0E735FE8"/>
    <w:rsid w:val="0E84603F"/>
    <w:rsid w:val="0E871431"/>
    <w:rsid w:val="0E8A515C"/>
    <w:rsid w:val="0E8E7999"/>
    <w:rsid w:val="0EA55CF9"/>
    <w:rsid w:val="0EA91CC7"/>
    <w:rsid w:val="0EAC0B8F"/>
    <w:rsid w:val="0EB27F91"/>
    <w:rsid w:val="0ED269AD"/>
    <w:rsid w:val="0EEC3211"/>
    <w:rsid w:val="0F0B620A"/>
    <w:rsid w:val="0F317386"/>
    <w:rsid w:val="0F3703E7"/>
    <w:rsid w:val="0F3B5837"/>
    <w:rsid w:val="0F490310"/>
    <w:rsid w:val="0F600D55"/>
    <w:rsid w:val="0F7A0D2D"/>
    <w:rsid w:val="0FC66DA3"/>
    <w:rsid w:val="0FEA3255"/>
    <w:rsid w:val="0FF70A05"/>
    <w:rsid w:val="100E5BA7"/>
    <w:rsid w:val="10345380"/>
    <w:rsid w:val="103966FB"/>
    <w:rsid w:val="107F6637"/>
    <w:rsid w:val="108D7573"/>
    <w:rsid w:val="108E6DDE"/>
    <w:rsid w:val="10AB6D30"/>
    <w:rsid w:val="10BD339A"/>
    <w:rsid w:val="10C05539"/>
    <w:rsid w:val="10E60CE0"/>
    <w:rsid w:val="10FF1E8F"/>
    <w:rsid w:val="1129294F"/>
    <w:rsid w:val="113F584A"/>
    <w:rsid w:val="114B66BB"/>
    <w:rsid w:val="115413EC"/>
    <w:rsid w:val="115C70AA"/>
    <w:rsid w:val="11717863"/>
    <w:rsid w:val="11943D5C"/>
    <w:rsid w:val="11A26319"/>
    <w:rsid w:val="11AC1DC2"/>
    <w:rsid w:val="11B00A36"/>
    <w:rsid w:val="11B361D3"/>
    <w:rsid w:val="11BB4D58"/>
    <w:rsid w:val="11D02E86"/>
    <w:rsid w:val="11DB1585"/>
    <w:rsid w:val="11F27A58"/>
    <w:rsid w:val="12075B6A"/>
    <w:rsid w:val="122071D4"/>
    <w:rsid w:val="122C201B"/>
    <w:rsid w:val="123D010A"/>
    <w:rsid w:val="12455DD6"/>
    <w:rsid w:val="12461B09"/>
    <w:rsid w:val="12793BBE"/>
    <w:rsid w:val="127C4DBC"/>
    <w:rsid w:val="128C33F4"/>
    <w:rsid w:val="129D35E8"/>
    <w:rsid w:val="12C62A75"/>
    <w:rsid w:val="131C06AC"/>
    <w:rsid w:val="13265BA3"/>
    <w:rsid w:val="133B485B"/>
    <w:rsid w:val="13487675"/>
    <w:rsid w:val="137447B2"/>
    <w:rsid w:val="138D11BC"/>
    <w:rsid w:val="139A492C"/>
    <w:rsid w:val="139D2FCC"/>
    <w:rsid w:val="13B44283"/>
    <w:rsid w:val="13B708E5"/>
    <w:rsid w:val="13C22D0E"/>
    <w:rsid w:val="13D01F9A"/>
    <w:rsid w:val="13D84C83"/>
    <w:rsid w:val="140B63F8"/>
    <w:rsid w:val="140C4EB0"/>
    <w:rsid w:val="143C2A65"/>
    <w:rsid w:val="14612E51"/>
    <w:rsid w:val="148A62EF"/>
    <w:rsid w:val="148C66E1"/>
    <w:rsid w:val="149C20CC"/>
    <w:rsid w:val="14B845A5"/>
    <w:rsid w:val="14BE3BD2"/>
    <w:rsid w:val="14ED76EE"/>
    <w:rsid w:val="151B4D60"/>
    <w:rsid w:val="15273101"/>
    <w:rsid w:val="152B6CB1"/>
    <w:rsid w:val="152F399E"/>
    <w:rsid w:val="153A3BAB"/>
    <w:rsid w:val="15524029"/>
    <w:rsid w:val="15550B09"/>
    <w:rsid w:val="155550C1"/>
    <w:rsid w:val="15730A76"/>
    <w:rsid w:val="15761223"/>
    <w:rsid w:val="159517A5"/>
    <w:rsid w:val="159E06BA"/>
    <w:rsid w:val="15A005F4"/>
    <w:rsid w:val="15B12A79"/>
    <w:rsid w:val="15DF7E5E"/>
    <w:rsid w:val="15E23CA8"/>
    <w:rsid w:val="15F43279"/>
    <w:rsid w:val="160A3A04"/>
    <w:rsid w:val="16110AAB"/>
    <w:rsid w:val="163A4B06"/>
    <w:rsid w:val="16556050"/>
    <w:rsid w:val="166B3507"/>
    <w:rsid w:val="167F6E20"/>
    <w:rsid w:val="16890A28"/>
    <w:rsid w:val="16B20DAC"/>
    <w:rsid w:val="16C32FBA"/>
    <w:rsid w:val="16CB6312"/>
    <w:rsid w:val="170705E0"/>
    <w:rsid w:val="17304B16"/>
    <w:rsid w:val="174D4F79"/>
    <w:rsid w:val="17575561"/>
    <w:rsid w:val="17907B2D"/>
    <w:rsid w:val="17A06173"/>
    <w:rsid w:val="17B56054"/>
    <w:rsid w:val="17C01E12"/>
    <w:rsid w:val="17DF536C"/>
    <w:rsid w:val="17E5496E"/>
    <w:rsid w:val="18067978"/>
    <w:rsid w:val="182254AA"/>
    <w:rsid w:val="18265EA4"/>
    <w:rsid w:val="183D0E38"/>
    <w:rsid w:val="1841587E"/>
    <w:rsid w:val="186F1C22"/>
    <w:rsid w:val="186F3E63"/>
    <w:rsid w:val="187857E7"/>
    <w:rsid w:val="187B19AA"/>
    <w:rsid w:val="187C2893"/>
    <w:rsid w:val="188321C6"/>
    <w:rsid w:val="18921717"/>
    <w:rsid w:val="189255FF"/>
    <w:rsid w:val="18BF7702"/>
    <w:rsid w:val="1927445F"/>
    <w:rsid w:val="192F739D"/>
    <w:rsid w:val="19394B72"/>
    <w:rsid w:val="193A5AAC"/>
    <w:rsid w:val="195B397D"/>
    <w:rsid w:val="19626FF0"/>
    <w:rsid w:val="19930637"/>
    <w:rsid w:val="19BA6D87"/>
    <w:rsid w:val="1A0538E9"/>
    <w:rsid w:val="1A0563C4"/>
    <w:rsid w:val="1A080F4B"/>
    <w:rsid w:val="1A2A55C4"/>
    <w:rsid w:val="1A324F2D"/>
    <w:rsid w:val="1A361CF4"/>
    <w:rsid w:val="1A462475"/>
    <w:rsid w:val="1A4D582F"/>
    <w:rsid w:val="1A503212"/>
    <w:rsid w:val="1A5921BF"/>
    <w:rsid w:val="1A886D9D"/>
    <w:rsid w:val="1A8D1E64"/>
    <w:rsid w:val="1AD72BEF"/>
    <w:rsid w:val="1AD924A3"/>
    <w:rsid w:val="1AE96D67"/>
    <w:rsid w:val="1AF11218"/>
    <w:rsid w:val="1AFA4D0C"/>
    <w:rsid w:val="1B0071C4"/>
    <w:rsid w:val="1B055924"/>
    <w:rsid w:val="1B115D3C"/>
    <w:rsid w:val="1B190381"/>
    <w:rsid w:val="1B1E0896"/>
    <w:rsid w:val="1B1E53EC"/>
    <w:rsid w:val="1B214753"/>
    <w:rsid w:val="1B2317D5"/>
    <w:rsid w:val="1B2F54E0"/>
    <w:rsid w:val="1B311B32"/>
    <w:rsid w:val="1B3D2F0D"/>
    <w:rsid w:val="1B67604D"/>
    <w:rsid w:val="1B6C76E2"/>
    <w:rsid w:val="1B807337"/>
    <w:rsid w:val="1B844153"/>
    <w:rsid w:val="1BA47C58"/>
    <w:rsid w:val="1BA733F4"/>
    <w:rsid w:val="1BB80F43"/>
    <w:rsid w:val="1BC010BD"/>
    <w:rsid w:val="1BC170B5"/>
    <w:rsid w:val="1BC85289"/>
    <w:rsid w:val="1BD3178E"/>
    <w:rsid w:val="1BDC02C0"/>
    <w:rsid w:val="1BF0529D"/>
    <w:rsid w:val="1BF326B4"/>
    <w:rsid w:val="1C2D16F9"/>
    <w:rsid w:val="1C63596F"/>
    <w:rsid w:val="1C6C0ADC"/>
    <w:rsid w:val="1C8E4DE6"/>
    <w:rsid w:val="1CAD5170"/>
    <w:rsid w:val="1CBB50F6"/>
    <w:rsid w:val="1CCB0B08"/>
    <w:rsid w:val="1CEC51A2"/>
    <w:rsid w:val="1D160F60"/>
    <w:rsid w:val="1D1B5D73"/>
    <w:rsid w:val="1D2A4BB9"/>
    <w:rsid w:val="1D2B0E01"/>
    <w:rsid w:val="1D2B18B9"/>
    <w:rsid w:val="1D385997"/>
    <w:rsid w:val="1D6B0D1C"/>
    <w:rsid w:val="1D8E52A2"/>
    <w:rsid w:val="1DC00671"/>
    <w:rsid w:val="1DC64F3F"/>
    <w:rsid w:val="1DD06C77"/>
    <w:rsid w:val="1DF97E9A"/>
    <w:rsid w:val="1E225A10"/>
    <w:rsid w:val="1E2B28F1"/>
    <w:rsid w:val="1E36298C"/>
    <w:rsid w:val="1E397988"/>
    <w:rsid w:val="1E445B9E"/>
    <w:rsid w:val="1E5E18A6"/>
    <w:rsid w:val="1E7B60D9"/>
    <w:rsid w:val="1E7F212C"/>
    <w:rsid w:val="1EBA5A8A"/>
    <w:rsid w:val="1EC070EA"/>
    <w:rsid w:val="1ED63B9E"/>
    <w:rsid w:val="1EDF6F50"/>
    <w:rsid w:val="1EE86F01"/>
    <w:rsid w:val="1EF609DE"/>
    <w:rsid w:val="1EFA3E2F"/>
    <w:rsid w:val="1F206854"/>
    <w:rsid w:val="1F244EC9"/>
    <w:rsid w:val="1F49098D"/>
    <w:rsid w:val="1F4C29B9"/>
    <w:rsid w:val="1F4E4783"/>
    <w:rsid w:val="1F603723"/>
    <w:rsid w:val="1F751511"/>
    <w:rsid w:val="1F895E51"/>
    <w:rsid w:val="1FA073B6"/>
    <w:rsid w:val="1FCD0309"/>
    <w:rsid w:val="1FD438E2"/>
    <w:rsid w:val="1FE12386"/>
    <w:rsid w:val="1FE43FA1"/>
    <w:rsid w:val="20025D99"/>
    <w:rsid w:val="201F715C"/>
    <w:rsid w:val="20202142"/>
    <w:rsid w:val="202F2BA9"/>
    <w:rsid w:val="2054435F"/>
    <w:rsid w:val="206D3AEA"/>
    <w:rsid w:val="20A149E1"/>
    <w:rsid w:val="20A37E01"/>
    <w:rsid w:val="20FF1092"/>
    <w:rsid w:val="21167BF2"/>
    <w:rsid w:val="213056EF"/>
    <w:rsid w:val="21380E53"/>
    <w:rsid w:val="2149131F"/>
    <w:rsid w:val="215E0B2B"/>
    <w:rsid w:val="217A7AE2"/>
    <w:rsid w:val="2193451C"/>
    <w:rsid w:val="21970A11"/>
    <w:rsid w:val="219F2875"/>
    <w:rsid w:val="21AB744A"/>
    <w:rsid w:val="21B53414"/>
    <w:rsid w:val="21D13BBB"/>
    <w:rsid w:val="21D20555"/>
    <w:rsid w:val="21E5038E"/>
    <w:rsid w:val="21ED6564"/>
    <w:rsid w:val="2210107D"/>
    <w:rsid w:val="223E6CF8"/>
    <w:rsid w:val="22430AEF"/>
    <w:rsid w:val="22435CE5"/>
    <w:rsid w:val="225906DB"/>
    <w:rsid w:val="2268567C"/>
    <w:rsid w:val="227C1E95"/>
    <w:rsid w:val="228F73A6"/>
    <w:rsid w:val="22C677C0"/>
    <w:rsid w:val="22DC6591"/>
    <w:rsid w:val="22DD3C85"/>
    <w:rsid w:val="22DE33C9"/>
    <w:rsid w:val="22F64FA7"/>
    <w:rsid w:val="2309269C"/>
    <w:rsid w:val="23110894"/>
    <w:rsid w:val="231F3C6E"/>
    <w:rsid w:val="234731C4"/>
    <w:rsid w:val="235356C5"/>
    <w:rsid w:val="23773046"/>
    <w:rsid w:val="238166D6"/>
    <w:rsid w:val="23931F66"/>
    <w:rsid w:val="23981997"/>
    <w:rsid w:val="23B42767"/>
    <w:rsid w:val="23E212A7"/>
    <w:rsid w:val="23E303FA"/>
    <w:rsid w:val="23EE3640"/>
    <w:rsid w:val="24066F0C"/>
    <w:rsid w:val="241E70B5"/>
    <w:rsid w:val="242D516F"/>
    <w:rsid w:val="24506376"/>
    <w:rsid w:val="245247ED"/>
    <w:rsid w:val="24575A93"/>
    <w:rsid w:val="24771F35"/>
    <w:rsid w:val="24824629"/>
    <w:rsid w:val="24CF0FCC"/>
    <w:rsid w:val="24ED782C"/>
    <w:rsid w:val="24F43D34"/>
    <w:rsid w:val="252E1698"/>
    <w:rsid w:val="25352E48"/>
    <w:rsid w:val="253D03DB"/>
    <w:rsid w:val="255F7AD2"/>
    <w:rsid w:val="256D4FBD"/>
    <w:rsid w:val="25766940"/>
    <w:rsid w:val="25892C61"/>
    <w:rsid w:val="2590731F"/>
    <w:rsid w:val="25AA58E4"/>
    <w:rsid w:val="25C37995"/>
    <w:rsid w:val="25DF4E66"/>
    <w:rsid w:val="25E82A3D"/>
    <w:rsid w:val="25FE46E5"/>
    <w:rsid w:val="26221654"/>
    <w:rsid w:val="2627224F"/>
    <w:rsid w:val="264B1493"/>
    <w:rsid w:val="2650413E"/>
    <w:rsid w:val="265B0A5D"/>
    <w:rsid w:val="265C2AE3"/>
    <w:rsid w:val="266360FF"/>
    <w:rsid w:val="266B0640"/>
    <w:rsid w:val="266D3B8A"/>
    <w:rsid w:val="266F46D8"/>
    <w:rsid w:val="267B13EE"/>
    <w:rsid w:val="269F0FBB"/>
    <w:rsid w:val="26A83F7A"/>
    <w:rsid w:val="26AA0022"/>
    <w:rsid w:val="26AA72EA"/>
    <w:rsid w:val="26EF72E5"/>
    <w:rsid w:val="270B0E4A"/>
    <w:rsid w:val="27180E6A"/>
    <w:rsid w:val="271E393C"/>
    <w:rsid w:val="273E50FE"/>
    <w:rsid w:val="274023D4"/>
    <w:rsid w:val="274A2F77"/>
    <w:rsid w:val="275343C9"/>
    <w:rsid w:val="275D1C2F"/>
    <w:rsid w:val="27663E92"/>
    <w:rsid w:val="279970B8"/>
    <w:rsid w:val="27B661D2"/>
    <w:rsid w:val="27BB1A8B"/>
    <w:rsid w:val="27D076D6"/>
    <w:rsid w:val="27D163B4"/>
    <w:rsid w:val="27D30F6B"/>
    <w:rsid w:val="27D8088F"/>
    <w:rsid w:val="27DB0656"/>
    <w:rsid w:val="27DE1FDE"/>
    <w:rsid w:val="27E21768"/>
    <w:rsid w:val="282B2E4E"/>
    <w:rsid w:val="282B36F9"/>
    <w:rsid w:val="282E04AF"/>
    <w:rsid w:val="2834442B"/>
    <w:rsid w:val="2839352C"/>
    <w:rsid w:val="283B2C3A"/>
    <w:rsid w:val="283B4018"/>
    <w:rsid w:val="287813D0"/>
    <w:rsid w:val="28A42CA6"/>
    <w:rsid w:val="28B92E20"/>
    <w:rsid w:val="28B93CEB"/>
    <w:rsid w:val="28C15D8C"/>
    <w:rsid w:val="28D44D65"/>
    <w:rsid w:val="28DC481A"/>
    <w:rsid w:val="28E1683E"/>
    <w:rsid w:val="28E6684D"/>
    <w:rsid w:val="28EA3FFC"/>
    <w:rsid w:val="29047BBD"/>
    <w:rsid w:val="291839B5"/>
    <w:rsid w:val="292D0766"/>
    <w:rsid w:val="29894921"/>
    <w:rsid w:val="298B1C1A"/>
    <w:rsid w:val="29952549"/>
    <w:rsid w:val="299D08FE"/>
    <w:rsid w:val="29A25D23"/>
    <w:rsid w:val="29D10A88"/>
    <w:rsid w:val="29E11423"/>
    <w:rsid w:val="2A217069"/>
    <w:rsid w:val="2A441BE1"/>
    <w:rsid w:val="2A4A0382"/>
    <w:rsid w:val="2A5753D2"/>
    <w:rsid w:val="2A622692"/>
    <w:rsid w:val="2A652A4B"/>
    <w:rsid w:val="2A6B0D61"/>
    <w:rsid w:val="2A93015F"/>
    <w:rsid w:val="2AA02867"/>
    <w:rsid w:val="2AB357E7"/>
    <w:rsid w:val="2AC9578D"/>
    <w:rsid w:val="2AD20F52"/>
    <w:rsid w:val="2AD82286"/>
    <w:rsid w:val="2AD879D3"/>
    <w:rsid w:val="2AE94914"/>
    <w:rsid w:val="2AFE685E"/>
    <w:rsid w:val="2B000827"/>
    <w:rsid w:val="2B057FF2"/>
    <w:rsid w:val="2B627D0F"/>
    <w:rsid w:val="2B6E34F9"/>
    <w:rsid w:val="2B955445"/>
    <w:rsid w:val="2BB23B01"/>
    <w:rsid w:val="2BBD71E9"/>
    <w:rsid w:val="2BC069D0"/>
    <w:rsid w:val="2C2046D9"/>
    <w:rsid w:val="2C221D7F"/>
    <w:rsid w:val="2C2E58D0"/>
    <w:rsid w:val="2C321F86"/>
    <w:rsid w:val="2C37654D"/>
    <w:rsid w:val="2C436C3A"/>
    <w:rsid w:val="2C926CFE"/>
    <w:rsid w:val="2C9446A0"/>
    <w:rsid w:val="2CA75B1E"/>
    <w:rsid w:val="2CD0610E"/>
    <w:rsid w:val="2CD51C67"/>
    <w:rsid w:val="2CF617E0"/>
    <w:rsid w:val="2CFF5BF3"/>
    <w:rsid w:val="2D16631A"/>
    <w:rsid w:val="2D1F6777"/>
    <w:rsid w:val="2D2F0F51"/>
    <w:rsid w:val="2D3C40F0"/>
    <w:rsid w:val="2D517D71"/>
    <w:rsid w:val="2D5A4743"/>
    <w:rsid w:val="2D774D62"/>
    <w:rsid w:val="2D8621F8"/>
    <w:rsid w:val="2D871654"/>
    <w:rsid w:val="2D877793"/>
    <w:rsid w:val="2D9406EF"/>
    <w:rsid w:val="2DBB723B"/>
    <w:rsid w:val="2DBC620C"/>
    <w:rsid w:val="2DC15622"/>
    <w:rsid w:val="2DC37DF1"/>
    <w:rsid w:val="2DE57B52"/>
    <w:rsid w:val="2DEE1D2C"/>
    <w:rsid w:val="2DFB0E33"/>
    <w:rsid w:val="2E0D173F"/>
    <w:rsid w:val="2E1B3416"/>
    <w:rsid w:val="2E1E611B"/>
    <w:rsid w:val="2E2906D2"/>
    <w:rsid w:val="2E556251"/>
    <w:rsid w:val="2E600207"/>
    <w:rsid w:val="2E666904"/>
    <w:rsid w:val="2E7C1FAB"/>
    <w:rsid w:val="2E9372BE"/>
    <w:rsid w:val="2EA748CD"/>
    <w:rsid w:val="2EB44477"/>
    <w:rsid w:val="2EC5013A"/>
    <w:rsid w:val="2EF7784D"/>
    <w:rsid w:val="2F4D3B7A"/>
    <w:rsid w:val="2F5A788A"/>
    <w:rsid w:val="2F8169CE"/>
    <w:rsid w:val="2F984ABB"/>
    <w:rsid w:val="2FB3434C"/>
    <w:rsid w:val="2FC00586"/>
    <w:rsid w:val="2FDA3087"/>
    <w:rsid w:val="30281C88"/>
    <w:rsid w:val="302F4A4E"/>
    <w:rsid w:val="30333DB6"/>
    <w:rsid w:val="30395C43"/>
    <w:rsid w:val="305168AB"/>
    <w:rsid w:val="30561692"/>
    <w:rsid w:val="305F53D7"/>
    <w:rsid w:val="30635469"/>
    <w:rsid w:val="30727EAE"/>
    <w:rsid w:val="308B4B9A"/>
    <w:rsid w:val="30906CF1"/>
    <w:rsid w:val="30AA13BF"/>
    <w:rsid w:val="30B01389"/>
    <w:rsid w:val="30CD2E6A"/>
    <w:rsid w:val="30D342E9"/>
    <w:rsid w:val="30EF2137"/>
    <w:rsid w:val="310149B3"/>
    <w:rsid w:val="310249E4"/>
    <w:rsid w:val="310929CF"/>
    <w:rsid w:val="31195802"/>
    <w:rsid w:val="313E4759"/>
    <w:rsid w:val="315413C9"/>
    <w:rsid w:val="315D7C21"/>
    <w:rsid w:val="3172478D"/>
    <w:rsid w:val="317938AA"/>
    <w:rsid w:val="31857973"/>
    <w:rsid w:val="318B3173"/>
    <w:rsid w:val="31921939"/>
    <w:rsid w:val="31926D16"/>
    <w:rsid w:val="31B444D7"/>
    <w:rsid w:val="31D36D38"/>
    <w:rsid w:val="322E73AB"/>
    <w:rsid w:val="323250C1"/>
    <w:rsid w:val="32333292"/>
    <w:rsid w:val="32381E17"/>
    <w:rsid w:val="324E226E"/>
    <w:rsid w:val="32B87D44"/>
    <w:rsid w:val="32C52A38"/>
    <w:rsid w:val="32CB5278"/>
    <w:rsid w:val="32D4454C"/>
    <w:rsid w:val="32D806EC"/>
    <w:rsid w:val="32F341BB"/>
    <w:rsid w:val="330001A2"/>
    <w:rsid w:val="333628C2"/>
    <w:rsid w:val="334119DE"/>
    <w:rsid w:val="33434A04"/>
    <w:rsid w:val="334713E7"/>
    <w:rsid w:val="334D2CEC"/>
    <w:rsid w:val="335C0F0C"/>
    <w:rsid w:val="33616E98"/>
    <w:rsid w:val="336D6BB6"/>
    <w:rsid w:val="33920133"/>
    <w:rsid w:val="33BA13EB"/>
    <w:rsid w:val="33E81293"/>
    <w:rsid w:val="33EA4F8B"/>
    <w:rsid w:val="33F30382"/>
    <w:rsid w:val="33F9679F"/>
    <w:rsid w:val="34006D54"/>
    <w:rsid w:val="34040BAA"/>
    <w:rsid w:val="340E399D"/>
    <w:rsid w:val="341D6F6C"/>
    <w:rsid w:val="343D0DDD"/>
    <w:rsid w:val="344238A7"/>
    <w:rsid w:val="344A5CAF"/>
    <w:rsid w:val="34627E84"/>
    <w:rsid w:val="34684D49"/>
    <w:rsid w:val="34761B3D"/>
    <w:rsid w:val="34A019E3"/>
    <w:rsid w:val="34A07D9E"/>
    <w:rsid w:val="34B54073"/>
    <w:rsid w:val="34E05B41"/>
    <w:rsid w:val="34ED2EF3"/>
    <w:rsid w:val="34F565DC"/>
    <w:rsid w:val="34FB6280"/>
    <w:rsid w:val="351A4295"/>
    <w:rsid w:val="353D1B92"/>
    <w:rsid w:val="35453ECE"/>
    <w:rsid w:val="354B31D8"/>
    <w:rsid w:val="35735544"/>
    <w:rsid w:val="35864A76"/>
    <w:rsid w:val="358856A2"/>
    <w:rsid w:val="358B1967"/>
    <w:rsid w:val="358B6F41"/>
    <w:rsid w:val="35A41C98"/>
    <w:rsid w:val="35BE61A8"/>
    <w:rsid w:val="35C71557"/>
    <w:rsid w:val="3609005C"/>
    <w:rsid w:val="360B54D7"/>
    <w:rsid w:val="360E3D96"/>
    <w:rsid w:val="365309B6"/>
    <w:rsid w:val="3667175C"/>
    <w:rsid w:val="36897EB8"/>
    <w:rsid w:val="369F5F8F"/>
    <w:rsid w:val="36A1205A"/>
    <w:rsid w:val="36A46172"/>
    <w:rsid w:val="36CC3FCA"/>
    <w:rsid w:val="36CD7058"/>
    <w:rsid w:val="36D472E9"/>
    <w:rsid w:val="36DE434B"/>
    <w:rsid w:val="36E863B2"/>
    <w:rsid w:val="36EC1C72"/>
    <w:rsid w:val="36FE6A1C"/>
    <w:rsid w:val="370666E5"/>
    <w:rsid w:val="371B483F"/>
    <w:rsid w:val="371D65C9"/>
    <w:rsid w:val="37300792"/>
    <w:rsid w:val="37352EA6"/>
    <w:rsid w:val="373E0304"/>
    <w:rsid w:val="3742623A"/>
    <w:rsid w:val="37466A9F"/>
    <w:rsid w:val="375111F8"/>
    <w:rsid w:val="37785578"/>
    <w:rsid w:val="377911AE"/>
    <w:rsid w:val="379501B2"/>
    <w:rsid w:val="37993A3D"/>
    <w:rsid w:val="37D90437"/>
    <w:rsid w:val="3818637F"/>
    <w:rsid w:val="38216E4B"/>
    <w:rsid w:val="382F0057"/>
    <w:rsid w:val="3837248F"/>
    <w:rsid w:val="383C2774"/>
    <w:rsid w:val="385F1A9D"/>
    <w:rsid w:val="3883540B"/>
    <w:rsid w:val="388E23BE"/>
    <w:rsid w:val="38900963"/>
    <w:rsid w:val="389712F2"/>
    <w:rsid w:val="38A904D9"/>
    <w:rsid w:val="38BE76E1"/>
    <w:rsid w:val="38CB65C7"/>
    <w:rsid w:val="38CE3EF3"/>
    <w:rsid w:val="38D427F3"/>
    <w:rsid w:val="38DD3307"/>
    <w:rsid w:val="39032A5D"/>
    <w:rsid w:val="39212DA8"/>
    <w:rsid w:val="392576AC"/>
    <w:rsid w:val="39293DB0"/>
    <w:rsid w:val="3932357B"/>
    <w:rsid w:val="39372EBC"/>
    <w:rsid w:val="394C7AC1"/>
    <w:rsid w:val="39561614"/>
    <w:rsid w:val="3958538C"/>
    <w:rsid w:val="39693A3D"/>
    <w:rsid w:val="3976015D"/>
    <w:rsid w:val="39767468"/>
    <w:rsid w:val="398106C2"/>
    <w:rsid w:val="398630C2"/>
    <w:rsid w:val="398C6DBF"/>
    <w:rsid w:val="39920BD7"/>
    <w:rsid w:val="3995213C"/>
    <w:rsid w:val="399762E2"/>
    <w:rsid w:val="39A03524"/>
    <w:rsid w:val="39AB7F90"/>
    <w:rsid w:val="39B13AE1"/>
    <w:rsid w:val="39B2465E"/>
    <w:rsid w:val="39CF3A9F"/>
    <w:rsid w:val="39E901AB"/>
    <w:rsid w:val="39F63D01"/>
    <w:rsid w:val="3A0429E9"/>
    <w:rsid w:val="3A054EF3"/>
    <w:rsid w:val="3A270613"/>
    <w:rsid w:val="3A3B35A8"/>
    <w:rsid w:val="3A6A51A1"/>
    <w:rsid w:val="3A8B353F"/>
    <w:rsid w:val="3A8D3267"/>
    <w:rsid w:val="3AA505E9"/>
    <w:rsid w:val="3AB201FD"/>
    <w:rsid w:val="3AB47302"/>
    <w:rsid w:val="3ABE6790"/>
    <w:rsid w:val="3ACC6031"/>
    <w:rsid w:val="3AD30754"/>
    <w:rsid w:val="3AD31A4B"/>
    <w:rsid w:val="3AD74069"/>
    <w:rsid w:val="3AE710BD"/>
    <w:rsid w:val="3B1866F7"/>
    <w:rsid w:val="3B1A1524"/>
    <w:rsid w:val="3B376687"/>
    <w:rsid w:val="3B3D0CDD"/>
    <w:rsid w:val="3B3E6939"/>
    <w:rsid w:val="3B4873E0"/>
    <w:rsid w:val="3B4F12B2"/>
    <w:rsid w:val="3B5B6B98"/>
    <w:rsid w:val="3B730A2C"/>
    <w:rsid w:val="3B73373D"/>
    <w:rsid w:val="3B9248F5"/>
    <w:rsid w:val="3BB22B57"/>
    <w:rsid w:val="3BBF0959"/>
    <w:rsid w:val="3BDA6BB8"/>
    <w:rsid w:val="3C065573"/>
    <w:rsid w:val="3C0A04BB"/>
    <w:rsid w:val="3C23212A"/>
    <w:rsid w:val="3C3360EC"/>
    <w:rsid w:val="3C452831"/>
    <w:rsid w:val="3C7057AE"/>
    <w:rsid w:val="3C8D2B6B"/>
    <w:rsid w:val="3C9755B2"/>
    <w:rsid w:val="3C9E5D1B"/>
    <w:rsid w:val="3CA53C3A"/>
    <w:rsid w:val="3CA97F92"/>
    <w:rsid w:val="3CB21257"/>
    <w:rsid w:val="3CBA7D19"/>
    <w:rsid w:val="3CC1259B"/>
    <w:rsid w:val="3CD17EF5"/>
    <w:rsid w:val="3CE04016"/>
    <w:rsid w:val="3CEA1C78"/>
    <w:rsid w:val="3CF92A3E"/>
    <w:rsid w:val="3D2123DC"/>
    <w:rsid w:val="3D3529EB"/>
    <w:rsid w:val="3D4B442E"/>
    <w:rsid w:val="3D5368A9"/>
    <w:rsid w:val="3D6437F6"/>
    <w:rsid w:val="3D6C3AFB"/>
    <w:rsid w:val="3D6D69CE"/>
    <w:rsid w:val="3D757D01"/>
    <w:rsid w:val="3D7A7775"/>
    <w:rsid w:val="3D8E6C7D"/>
    <w:rsid w:val="3DA93E71"/>
    <w:rsid w:val="3DAB2C2B"/>
    <w:rsid w:val="3DAF5796"/>
    <w:rsid w:val="3DAF7D1C"/>
    <w:rsid w:val="3DB13B3B"/>
    <w:rsid w:val="3DC70F93"/>
    <w:rsid w:val="3DCE3E6E"/>
    <w:rsid w:val="3DE050FC"/>
    <w:rsid w:val="3DFA1107"/>
    <w:rsid w:val="3DFC7BC4"/>
    <w:rsid w:val="3E0169BD"/>
    <w:rsid w:val="3E09754A"/>
    <w:rsid w:val="3E1364D0"/>
    <w:rsid w:val="3E242D9B"/>
    <w:rsid w:val="3E260217"/>
    <w:rsid w:val="3E2C62B6"/>
    <w:rsid w:val="3E3B5C88"/>
    <w:rsid w:val="3E5313C9"/>
    <w:rsid w:val="3E5700F6"/>
    <w:rsid w:val="3E6A11AF"/>
    <w:rsid w:val="3E7E2CC0"/>
    <w:rsid w:val="3E92012A"/>
    <w:rsid w:val="3E9E7CE5"/>
    <w:rsid w:val="3EA66B99"/>
    <w:rsid w:val="3EAE5A4E"/>
    <w:rsid w:val="3EB721C8"/>
    <w:rsid w:val="3EC7628C"/>
    <w:rsid w:val="3EDE7341"/>
    <w:rsid w:val="3EE42B23"/>
    <w:rsid w:val="3F1343EB"/>
    <w:rsid w:val="3F160A52"/>
    <w:rsid w:val="3F9664B6"/>
    <w:rsid w:val="3F9A1DAD"/>
    <w:rsid w:val="3FA46EF8"/>
    <w:rsid w:val="3FB35BEC"/>
    <w:rsid w:val="3FC754F1"/>
    <w:rsid w:val="3FE217D5"/>
    <w:rsid w:val="400C3A1F"/>
    <w:rsid w:val="40173D62"/>
    <w:rsid w:val="40267F92"/>
    <w:rsid w:val="40585922"/>
    <w:rsid w:val="406B6398"/>
    <w:rsid w:val="4086235B"/>
    <w:rsid w:val="40B35057"/>
    <w:rsid w:val="40BC471D"/>
    <w:rsid w:val="40BD4DD1"/>
    <w:rsid w:val="40E93FEB"/>
    <w:rsid w:val="40F51D18"/>
    <w:rsid w:val="41003E00"/>
    <w:rsid w:val="411E7D17"/>
    <w:rsid w:val="412D4550"/>
    <w:rsid w:val="41303C39"/>
    <w:rsid w:val="414F74CB"/>
    <w:rsid w:val="415B6654"/>
    <w:rsid w:val="4162111C"/>
    <w:rsid w:val="41662EBF"/>
    <w:rsid w:val="416745BC"/>
    <w:rsid w:val="416B75D8"/>
    <w:rsid w:val="417C2EE6"/>
    <w:rsid w:val="41BD712D"/>
    <w:rsid w:val="41D12A32"/>
    <w:rsid w:val="41D301C3"/>
    <w:rsid w:val="41D34149"/>
    <w:rsid w:val="41D623AF"/>
    <w:rsid w:val="41E73751"/>
    <w:rsid w:val="420A1A22"/>
    <w:rsid w:val="421246AB"/>
    <w:rsid w:val="42164036"/>
    <w:rsid w:val="421C222C"/>
    <w:rsid w:val="422D1756"/>
    <w:rsid w:val="422F49B3"/>
    <w:rsid w:val="4251344E"/>
    <w:rsid w:val="42616CE7"/>
    <w:rsid w:val="4266184F"/>
    <w:rsid w:val="42670D5D"/>
    <w:rsid w:val="42802614"/>
    <w:rsid w:val="429310E0"/>
    <w:rsid w:val="42A653BA"/>
    <w:rsid w:val="42B01704"/>
    <w:rsid w:val="42B72784"/>
    <w:rsid w:val="42BF6593"/>
    <w:rsid w:val="42C341BE"/>
    <w:rsid w:val="42CC4106"/>
    <w:rsid w:val="42F73E67"/>
    <w:rsid w:val="431F1AE3"/>
    <w:rsid w:val="432F021A"/>
    <w:rsid w:val="433504EC"/>
    <w:rsid w:val="433858A5"/>
    <w:rsid w:val="435B2CBB"/>
    <w:rsid w:val="4365472B"/>
    <w:rsid w:val="436F612A"/>
    <w:rsid w:val="438753A5"/>
    <w:rsid w:val="43920E07"/>
    <w:rsid w:val="43951B04"/>
    <w:rsid w:val="43BB1E41"/>
    <w:rsid w:val="43E72A56"/>
    <w:rsid w:val="43F715ED"/>
    <w:rsid w:val="43F723C5"/>
    <w:rsid w:val="442A56DD"/>
    <w:rsid w:val="442C5F6B"/>
    <w:rsid w:val="443935EF"/>
    <w:rsid w:val="44655A6C"/>
    <w:rsid w:val="44701F88"/>
    <w:rsid w:val="448332EB"/>
    <w:rsid w:val="44984355"/>
    <w:rsid w:val="44A8226D"/>
    <w:rsid w:val="44AA08C6"/>
    <w:rsid w:val="44E10504"/>
    <w:rsid w:val="44EF4A70"/>
    <w:rsid w:val="44F97D82"/>
    <w:rsid w:val="450B59A8"/>
    <w:rsid w:val="451C6129"/>
    <w:rsid w:val="451E6E63"/>
    <w:rsid w:val="45211A0E"/>
    <w:rsid w:val="45342FB5"/>
    <w:rsid w:val="453E5D7D"/>
    <w:rsid w:val="4550153F"/>
    <w:rsid w:val="45591DA2"/>
    <w:rsid w:val="45660998"/>
    <w:rsid w:val="45665536"/>
    <w:rsid w:val="458B3F95"/>
    <w:rsid w:val="45A62B00"/>
    <w:rsid w:val="45AA2F38"/>
    <w:rsid w:val="45AF3554"/>
    <w:rsid w:val="45EB1CEB"/>
    <w:rsid w:val="4601483F"/>
    <w:rsid w:val="46025A85"/>
    <w:rsid w:val="46075783"/>
    <w:rsid w:val="460F09FC"/>
    <w:rsid w:val="460F70C6"/>
    <w:rsid w:val="461B1D4C"/>
    <w:rsid w:val="463A4797"/>
    <w:rsid w:val="465530CB"/>
    <w:rsid w:val="466F7AB5"/>
    <w:rsid w:val="46760020"/>
    <w:rsid w:val="467C5749"/>
    <w:rsid w:val="467E5A89"/>
    <w:rsid w:val="46885473"/>
    <w:rsid w:val="468E67A4"/>
    <w:rsid w:val="46A14816"/>
    <w:rsid w:val="46A7659A"/>
    <w:rsid w:val="46B462BE"/>
    <w:rsid w:val="46BA1434"/>
    <w:rsid w:val="46D3413F"/>
    <w:rsid w:val="46D93CB5"/>
    <w:rsid w:val="46F20FCA"/>
    <w:rsid w:val="471F573B"/>
    <w:rsid w:val="473D733B"/>
    <w:rsid w:val="475A2115"/>
    <w:rsid w:val="47622A6B"/>
    <w:rsid w:val="47630D4C"/>
    <w:rsid w:val="476A5FE9"/>
    <w:rsid w:val="476F4DD2"/>
    <w:rsid w:val="478D3666"/>
    <w:rsid w:val="47A30A38"/>
    <w:rsid w:val="47C95785"/>
    <w:rsid w:val="482A2773"/>
    <w:rsid w:val="482F762F"/>
    <w:rsid w:val="48561630"/>
    <w:rsid w:val="48802209"/>
    <w:rsid w:val="48A44149"/>
    <w:rsid w:val="49001E86"/>
    <w:rsid w:val="49081412"/>
    <w:rsid w:val="490E3A2E"/>
    <w:rsid w:val="490F522C"/>
    <w:rsid w:val="49114885"/>
    <w:rsid w:val="491D617F"/>
    <w:rsid w:val="4920575D"/>
    <w:rsid w:val="49417983"/>
    <w:rsid w:val="49521DF7"/>
    <w:rsid w:val="49565AB1"/>
    <w:rsid w:val="4958656A"/>
    <w:rsid w:val="496D50BB"/>
    <w:rsid w:val="49746212"/>
    <w:rsid w:val="497C543F"/>
    <w:rsid w:val="498C3FA6"/>
    <w:rsid w:val="49D14C7B"/>
    <w:rsid w:val="49F64E88"/>
    <w:rsid w:val="49F712AC"/>
    <w:rsid w:val="4A0B4355"/>
    <w:rsid w:val="4A0C388E"/>
    <w:rsid w:val="4A4C3C76"/>
    <w:rsid w:val="4A513A51"/>
    <w:rsid w:val="4A541FC3"/>
    <w:rsid w:val="4A582F08"/>
    <w:rsid w:val="4A6F3D21"/>
    <w:rsid w:val="4A862FB5"/>
    <w:rsid w:val="4AAC5537"/>
    <w:rsid w:val="4AB30EDE"/>
    <w:rsid w:val="4AB344AE"/>
    <w:rsid w:val="4ACE4E5A"/>
    <w:rsid w:val="4AE87797"/>
    <w:rsid w:val="4AF65ECC"/>
    <w:rsid w:val="4AFD545B"/>
    <w:rsid w:val="4B055D7D"/>
    <w:rsid w:val="4B0A3D10"/>
    <w:rsid w:val="4B1A06F3"/>
    <w:rsid w:val="4B1F6BC8"/>
    <w:rsid w:val="4B215F25"/>
    <w:rsid w:val="4B341F77"/>
    <w:rsid w:val="4B4C0FEF"/>
    <w:rsid w:val="4B5515CE"/>
    <w:rsid w:val="4B7D207A"/>
    <w:rsid w:val="4B7D2D66"/>
    <w:rsid w:val="4B875EB6"/>
    <w:rsid w:val="4B8D42B7"/>
    <w:rsid w:val="4BA663CD"/>
    <w:rsid w:val="4BAD7D08"/>
    <w:rsid w:val="4BDE2E72"/>
    <w:rsid w:val="4BE62E4E"/>
    <w:rsid w:val="4C1C3FF5"/>
    <w:rsid w:val="4C410418"/>
    <w:rsid w:val="4C467E21"/>
    <w:rsid w:val="4C512424"/>
    <w:rsid w:val="4C524673"/>
    <w:rsid w:val="4C63431C"/>
    <w:rsid w:val="4C7D1FFD"/>
    <w:rsid w:val="4C8A5D4C"/>
    <w:rsid w:val="4C8E75EA"/>
    <w:rsid w:val="4C920D99"/>
    <w:rsid w:val="4C963176"/>
    <w:rsid w:val="4CAE11C9"/>
    <w:rsid w:val="4CEE0F63"/>
    <w:rsid w:val="4CF5763E"/>
    <w:rsid w:val="4CFB71A3"/>
    <w:rsid w:val="4CFD651E"/>
    <w:rsid w:val="4CFF2F8E"/>
    <w:rsid w:val="4D057181"/>
    <w:rsid w:val="4D0A39C2"/>
    <w:rsid w:val="4D1E7969"/>
    <w:rsid w:val="4D1F75A6"/>
    <w:rsid w:val="4D311F8B"/>
    <w:rsid w:val="4D3D0301"/>
    <w:rsid w:val="4D3F7CBF"/>
    <w:rsid w:val="4D46030D"/>
    <w:rsid w:val="4D6D34A9"/>
    <w:rsid w:val="4D796B28"/>
    <w:rsid w:val="4D8C4093"/>
    <w:rsid w:val="4DAC2049"/>
    <w:rsid w:val="4DB92821"/>
    <w:rsid w:val="4DC14928"/>
    <w:rsid w:val="4DC46301"/>
    <w:rsid w:val="4DF671A8"/>
    <w:rsid w:val="4DFC1A53"/>
    <w:rsid w:val="4DFE3CC8"/>
    <w:rsid w:val="4E0E7535"/>
    <w:rsid w:val="4E1230AB"/>
    <w:rsid w:val="4E274480"/>
    <w:rsid w:val="4E4E2252"/>
    <w:rsid w:val="4E4E418E"/>
    <w:rsid w:val="4E887901"/>
    <w:rsid w:val="4EA45213"/>
    <w:rsid w:val="4EA902EC"/>
    <w:rsid w:val="4EE31744"/>
    <w:rsid w:val="4EE64D75"/>
    <w:rsid w:val="4F0A7123"/>
    <w:rsid w:val="4F2151FA"/>
    <w:rsid w:val="4F2A3762"/>
    <w:rsid w:val="4F2E0DB1"/>
    <w:rsid w:val="4F3F1F47"/>
    <w:rsid w:val="4F3F2E1E"/>
    <w:rsid w:val="4F486739"/>
    <w:rsid w:val="4F556652"/>
    <w:rsid w:val="4F5A286E"/>
    <w:rsid w:val="4F6B45ED"/>
    <w:rsid w:val="4F822D0B"/>
    <w:rsid w:val="4FC5001A"/>
    <w:rsid w:val="4FC82E13"/>
    <w:rsid w:val="4FCC12A9"/>
    <w:rsid w:val="4FD41C1D"/>
    <w:rsid w:val="4FE71594"/>
    <w:rsid w:val="4FED2322"/>
    <w:rsid w:val="4FFD53C6"/>
    <w:rsid w:val="503C0967"/>
    <w:rsid w:val="503D1B16"/>
    <w:rsid w:val="50493828"/>
    <w:rsid w:val="505A09AE"/>
    <w:rsid w:val="508E47DC"/>
    <w:rsid w:val="50951F3F"/>
    <w:rsid w:val="50AE3F83"/>
    <w:rsid w:val="50B04818"/>
    <w:rsid w:val="50CF69B2"/>
    <w:rsid w:val="50CF7A4B"/>
    <w:rsid w:val="50D44420"/>
    <w:rsid w:val="5137564E"/>
    <w:rsid w:val="514E0A72"/>
    <w:rsid w:val="51576FE4"/>
    <w:rsid w:val="519F488C"/>
    <w:rsid w:val="51B608C3"/>
    <w:rsid w:val="51C63383"/>
    <w:rsid w:val="51C64D21"/>
    <w:rsid w:val="51DD69E8"/>
    <w:rsid w:val="51E00356"/>
    <w:rsid w:val="51E05C68"/>
    <w:rsid w:val="51E536F6"/>
    <w:rsid w:val="51EF6367"/>
    <w:rsid w:val="520713EF"/>
    <w:rsid w:val="520923F4"/>
    <w:rsid w:val="5222282D"/>
    <w:rsid w:val="522C14EF"/>
    <w:rsid w:val="52302A27"/>
    <w:rsid w:val="52417905"/>
    <w:rsid w:val="52450270"/>
    <w:rsid w:val="52547F54"/>
    <w:rsid w:val="526B5D33"/>
    <w:rsid w:val="527F45C4"/>
    <w:rsid w:val="52900694"/>
    <w:rsid w:val="52912B89"/>
    <w:rsid w:val="52956EEB"/>
    <w:rsid w:val="529E08FC"/>
    <w:rsid w:val="529E7DC9"/>
    <w:rsid w:val="52A1157D"/>
    <w:rsid w:val="52AD4953"/>
    <w:rsid w:val="52B46B08"/>
    <w:rsid w:val="52CC3474"/>
    <w:rsid w:val="52E2424D"/>
    <w:rsid w:val="52F02A03"/>
    <w:rsid w:val="52F06651"/>
    <w:rsid w:val="52FC3289"/>
    <w:rsid w:val="531600C3"/>
    <w:rsid w:val="532452B2"/>
    <w:rsid w:val="53305443"/>
    <w:rsid w:val="535B4CF0"/>
    <w:rsid w:val="535D132C"/>
    <w:rsid w:val="538570CA"/>
    <w:rsid w:val="538B6878"/>
    <w:rsid w:val="5398746F"/>
    <w:rsid w:val="53B04BC0"/>
    <w:rsid w:val="53B117CE"/>
    <w:rsid w:val="53B65679"/>
    <w:rsid w:val="53BA08AE"/>
    <w:rsid w:val="53BC278B"/>
    <w:rsid w:val="53EB6B3D"/>
    <w:rsid w:val="53F817ED"/>
    <w:rsid w:val="5400093A"/>
    <w:rsid w:val="54065CB8"/>
    <w:rsid w:val="540F33D1"/>
    <w:rsid w:val="543E150A"/>
    <w:rsid w:val="544475A5"/>
    <w:rsid w:val="544C4264"/>
    <w:rsid w:val="54640E1A"/>
    <w:rsid w:val="54696247"/>
    <w:rsid w:val="547747B8"/>
    <w:rsid w:val="54792907"/>
    <w:rsid w:val="547F24EC"/>
    <w:rsid w:val="54901540"/>
    <w:rsid w:val="54C73D61"/>
    <w:rsid w:val="54E164AC"/>
    <w:rsid w:val="550D767C"/>
    <w:rsid w:val="55111B04"/>
    <w:rsid w:val="551F76C9"/>
    <w:rsid w:val="552C174E"/>
    <w:rsid w:val="55406298"/>
    <w:rsid w:val="55411377"/>
    <w:rsid w:val="55490EEF"/>
    <w:rsid w:val="55496AED"/>
    <w:rsid w:val="55733EF3"/>
    <w:rsid w:val="557B6EE2"/>
    <w:rsid w:val="55814EF8"/>
    <w:rsid w:val="55992746"/>
    <w:rsid w:val="55A10968"/>
    <w:rsid w:val="55B51902"/>
    <w:rsid w:val="55D1679A"/>
    <w:rsid w:val="55E678D8"/>
    <w:rsid w:val="55EC5382"/>
    <w:rsid w:val="55F13D03"/>
    <w:rsid w:val="560D3E7C"/>
    <w:rsid w:val="561613CD"/>
    <w:rsid w:val="56270168"/>
    <w:rsid w:val="563D2AD2"/>
    <w:rsid w:val="56414F54"/>
    <w:rsid w:val="56466009"/>
    <w:rsid w:val="564B3E56"/>
    <w:rsid w:val="565503DF"/>
    <w:rsid w:val="565B2641"/>
    <w:rsid w:val="569B59A6"/>
    <w:rsid w:val="56A16A04"/>
    <w:rsid w:val="56A95021"/>
    <w:rsid w:val="56B8399E"/>
    <w:rsid w:val="56EA0FB8"/>
    <w:rsid w:val="570578B8"/>
    <w:rsid w:val="57132F95"/>
    <w:rsid w:val="572D4E3F"/>
    <w:rsid w:val="572D56F6"/>
    <w:rsid w:val="573179AE"/>
    <w:rsid w:val="573F1670"/>
    <w:rsid w:val="57551AD9"/>
    <w:rsid w:val="575D0040"/>
    <w:rsid w:val="57606393"/>
    <w:rsid w:val="576C5FC1"/>
    <w:rsid w:val="577F5DB3"/>
    <w:rsid w:val="57824BAC"/>
    <w:rsid w:val="57892510"/>
    <w:rsid w:val="57A02FA1"/>
    <w:rsid w:val="57AD602B"/>
    <w:rsid w:val="57AE3E6A"/>
    <w:rsid w:val="57C63600"/>
    <w:rsid w:val="57CF0A12"/>
    <w:rsid w:val="57E3323D"/>
    <w:rsid w:val="57E8417C"/>
    <w:rsid w:val="57F95A34"/>
    <w:rsid w:val="58086E95"/>
    <w:rsid w:val="58142531"/>
    <w:rsid w:val="58324E02"/>
    <w:rsid w:val="58430210"/>
    <w:rsid w:val="585838C1"/>
    <w:rsid w:val="5863214C"/>
    <w:rsid w:val="58717162"/>
    <w:rsid w:val="588E0972"/>
    <w:rsid w:val="589866DF"/>
    <w:rsid w:val="58A156FA"/>
    <w:rsid w:val="58C83E84"/>
    <w:rsid w:val="58DD6E52"/>
    <w:rsid w:val="58E037FA"/>
    <w:rsid w:val="59070777"/>
    <w:rsid w:val="59185078"/>
    <w:rsid w:val="59373972"/>
    <w:rsid w:val="593A5023"/>
    <w:rsid w:val="593D4E2C"/>
    <w:rsid w:val="598C1DA8"/>
    <w:rsid w:val="599D4457"/>
    <w:rsid w:val="59B25DDC"/>
    <w:rsid w:val="59B73AE7"/>
    <w:rsid w:val="59BD150F"/>
    <w:rsid w:val="59D10B16"/>
    <w:rsid w:val="59DC43D8"/>
    <w:rsid w:val="59E70281"/>
    <w:rsid w:val="59FA21B2"/>
    <w:rsid w:val="5A336845"/>
    <w:rsid w:val="5A3A2B60"/>
    <w:rsid w:val="5A3B7940"/>
    <w:rsid w:val="5A400973"/>
    <w:rsid w:val="5AA549B2"/>
    <w:rsid w:val="5ACC3AB1"/>
    <w:rsid w:val="5AD00974"/>
    <w:rsid w:val="5ADC7386"/>
    <w:rsid w:val="5AE9537A"/>
    <w:rsid w:val="5AEF16BE"/>
    <w:rsid w:val="5B5104F9"/>
    <w:rsid w:val="5B512775"/>
    <w:rsid w:val="5B594284"/>
    <w:rsid w:val="5B5D0855"/>
    <w:rsid w:val="5B7976B8"/>
    <w:rsid w:val="5B852AAE"/>
    <w:rsid w:val="5BAC4E3A"/>
    <w:rsid w:val="5BF215EF"/>
    <w:rsid w:val="5C012B8C"/>
    <w:rsid w:val="5C362AF4"/>
    <w:rsid w:val="5C3E4720"/>
    <w:rsid w:val="5C49558A"/>
    <w:rsid w:val="5C4A6502"/>
    <w:rsid w:val="5C526BB4"/>
    <w:rsid w:val="5C551AB2"/>
    <w:rsid w:val="5C5A16DE"/>
    <w:rsid w:val="5C710051"/>
    <w:rsid w:val="5C784327"/>
    <w:rsid w:val="5C9B09C7"/>
    <w:rsid w:val="5C9D2D1B"/>
    <w:rsid w:val="5CA6258E"/>
    <w:rsid w:val="5CC0373E"/>
    <w:rsid w:val="5CC85BD5"/>
    <w:rsid w:val="5CD728E8"/>
    <w:rsid w:val="5CE013AC"/>
    <w:rsid w:val="5CE018DD"/>
    <w:rsid w:val="5CE32EA9"/>
    <w:rsid w:val="5D3A69D3"/>
    <w:rsid w:val="5D4526E5"/>
    <w:rsid w:val="5D470913"/>
    <w:rsid w:val="5D520569"/>
    <w:rsid w:val="5D702BB2"/>
    <w:rsid w:val="5D7060F8"/>
    <w:rsid w:val="5D7E69EB"/>
    <w:rsid w:val="5DC31E6E"/>
    <w:rsid w:val="5DF30675"/>
    <w:rsid w:val="5E074110"/>
    <w:rsid w:val="5E0B651F"/>
    <w:rsid w:val="5E2B3A18"/>
    <w:rsid w:val="5E31172B"/>
    <w:rsid w:val="5E4641D8"/>
    <w:rsid w:val="5E47584B"/>
    <w:rsid w:val="5E4B3CC5"/>
    <w:rsid w:val="5E5000E1"/>
    <w:rsid w:val="5E5C7FAC"/>
    <w:rsid w:val="5E7303EE"/>
    <w:rsid w:val="5E766130"/>
    <w:rsid w:val="5E872C01"/>
    <w:rsid w:val="5E897016"/>
    <w:rsid w:val="5E8E1E7B"/>
    <w:rsid w:val="5E933865"/>
    <w:rsid w:val="5E983210"/>
    <w:rsid w:val="5E9A27FB"/>
    <w:rsid w:val="5E9D5D87"/>
    <w:rsid w:val="5EB1181D"/>
    <w:rsid w:val="5EC52109"/>
    <w:rsid w:val="5ECE103C"/>
    <w:rsid w:val="5EDB41E5"/>
    <w:rsid w:val="5EDC6635"/>
    <w:rsid w:val="5EDF242A"/>
    <w:rsid w:val="5EE24BC7"/>
    <w:rsid w:val="5EEC4CC9"/>
    <w:rsid w:val="5EFC424F"/>
    <w:rsid w:val="5F06212B"/>
    <w:rsid w:val="5F353F1D"/>
    <w:rsid w:val="5F387DD8"/>
    <w:rsid w:val="5F5B52DC"/>
    <w:rsid w:val="5F5D6311"/>
    <w:rsid w:val="5F610F9A"/>
    <w:rsid w:val="5FC72CEE"/>
    <w:rsid w:val="5FCB6008"/>
    <w:rsid w:val="5FD15188"/>
    <w:rsid w:val="5FD255E8"/>
    <w:rsid w:val="5FDC3EAA"/>
    <w:rsid w:val="600C100B"/>
    <w:rsid w:val="600F798E"/>
    <w:rsid w:val="602C20DD"/>
    <w:rsid w:val="603F3938"/>
    <w:rsid w:val="60442474"/>
    <w:rsid w:val="60AF5CCB"/>
    <w:rsid w:val="60B12374"/>
    <w:rsid w:val="60B12B22"/>
    <w:rsid w:val="60CB5CDD"/>
    <w:rsid w:val="60DD7931"/>
    <w:rsid w:val="60DE5220"/>
    <w:rsid w:val="613F6CAD"/>
    <w:rsid w:val="614C4594"/>
    <w:rsid w:val="614C74D5"/>
    <w:rsid w:val="61681591"/>
    <w:rsid w:val="61946FF9"/>
    <w:rsid w:val="619C5EAE"/>
    <w:rsid w:val="61B42655"/>
    <w:rsid w:val="61E13FF1"/>
    <w:rsid w:val="61EB04E9"/>
    <w:rsid w:val="622D1EAE"/>
    <w:rsid w:val="622F287E"/>
    <w:rsid w:val="622F4266"/>
    <w:rsid w:val="623A2268"/>
    <w:rsid w:val="62457762"/>
    <w:rsid w:val="62462A72"/>
    <w:rsid w:val="62562501"/>
    <w:rsid w:val="625663D7"/>
    <w:rsid w:val="62777B94"/>
    <w:rsid w:val="62AB132C"/>
    <w:rsid w:val="62BE738E"/>
    <w:rsid w:val="62D02CCA"/>
    <w:rsid w:val="62D97AC0"/>
    <w:rsid w:val="62DA5AA9"/>
    <w:rsid w:val="62E849C6"/>
    <w:rsid w:val="62EA6460"/>
    <w:rsid w:val="63030F14"/>
    <w:rsid w:val="631A1FB0"/>
    <w:rsid w:val="631F28F3"/>
    <w:rsid w:val="6320666B"/>
    <w:rsid w:val="6344286C"/>
    <w:rsid w:val="634C4857"/>
    <w:rsid w:val="636C0070"/>
    <w:rsid w:val="637D5D56"/>
    <w:rsid w:val="63806113"/>
    <w:rsid w:val="638B0660"/>
    <w:rsid w:val="63BB5D1B"/>
    <w:rsid w:val="63C56A8D"/>
    <w:rsid w:val="63D158C9"/>
    <w:rsid w:val="63E82575"/>
    <w:rsid w:val="63EB0A27"/>
    <w:rsid w:val="63FA6EBC"/>
    <w:rsid w:val="641E7B03"/>
    <w:rsid w:val="6453132F"/>
    <w:rsid w:val="645E04C8"/>
    <w:rsid w:val="64687E3A"/>
    <w:rsid w:val="646C727B"/>
    <w:rsid w:val="647E3905"/>
    <w:rsid w:val="64864F67"/>
    <w:rsid w:val="64A036C7"/>
    <w:rsid w:val="64A7639A"/>
    <w:rsid w:val="64B13A1E"/>
    <w:rsid w:val="64C22BED"/>
    <w:rsid w:val="64D05783"/>
    <w:rsid w:val="64D21925"/>
    <w:rsid w:val="64D91523"/>
    <w:rsid w:val="64DB2E27"/>
    <w:rsid w:val="64EC5F80"/>
    <w:rsid w:val="64F20854"/>
    <w:rsid w:val="64F2292E"/>
    <w:rsid w:val="64F7798C"/>
    <w:rsid w:val="651264A6"/>
    <w:rsid w:val="6518584B"/>
    <w:rsid w:val="65197815"/>
    <w:rsid w:val="652F7039"/>
    <w:rsid w:val="65590675"/>
    <w:rsid w:val="658E4B68"/>
    <w:rsid w:val="659339E5"/>
    <w:rsid w:val="659A0956"/>
    <w:rsid w:val="65A12770"/>
    <w:rsid w:val="65A2780B"/>
    <w:rsid w:val="65AD106A"/>
    <w:rsid w:val="65AF4F70"/>
    <w:rsid w:val="65B17A4E"/>
    <w:rsid w:val="65BB78E4"/>
    <w:rsid w:val="65D44422"/>
    <w:rsid w:val="65D65610"/>
    <w:rsid w:val="65DD571B"/>
    <w:rsid w:val="65E6594A"/>
    <w:rsid w:val="65FA015C"/>
    <w:rsid w:val="65FF6711"/>
    <w:rsid w:val="66035B03"/>
    <w:rsid w:val="661462F7"/>
    <w:rsid w:val="66150AEC"/>
    <w:rsid w:val="661B253B"/>
    <w:rsid w:val="661F0E5C"/>
    <w:rsid w:val="66474FCC"/>
    <w:rsid w:val="66613222"/>
    <w:rsid w:val="66644B58"/>
    <w:rsid w:val="666714C9"/>
    <w:rsid w:val="667E066B"/>
    <w:rsid w:val="66893D00"/>
    <w:rsid w:val="668B5CC3"/>
    <w:rsid w:val="66B75538"/>
    <w:rsid w:val="66C51A03"/>
    <w:rsid w:val="66C71A2A"/>
    <w:rsid w:val="66C919F0"/>
    <w:rsid w:val="66D115BE"/>
    <w:rsid w:val="66D13DA9"/>
    <w:rsid w:val="66D85757"/>
    <w:rsid w:val="66E30E48"/>
    <w:rsid w:val="67010AE3"/>
    <w:rsid w:val="67136376"/>
    <w:rsid w:val="67251571"/>
    <w:rsid w:val="67322B5A"/>
    <w:rsid w:val="6742643A"/>
    <w:rsid w:val="677F7E04"/>
    <w:rsid w:val="6794124F"/>
    <w:rsid w:val="67AA2F7E"/>
    <w:rsid w:val="67C373D8"/>
    <w:rsid w:val="67D97044"/>
    <w:rsid w:val="67F02AB0"/>
    <w:rsid w:val="67FB2360"/>
    <w:rsid w:val="68002120"/>
    <w:rsid w:val="681A39B2"/>
    <w:rsid w:val="681F0D09"/>
    <w:rsid w:val="6839250D"/>
    <w:rsid w:val="683948E7"/>
    <w:rsid w:val="68757459"/>
    <w:rsid w:val="68762CDF"/>
    <w:rsid w:val="687B2B4C"/>
    <w:rsid w:val="68853EBD"/>
    <w:rsid w:val="688D7DD5"/>
    <w:rsid w:val="689F47D3"/>
    <w:rsid w:val="68A815DC"/>
    <w:rsid w:val="68AA7102"/>
    <w:rsid w:val="68B67FDA"/>
    <w:rsid w:val="68B7181F"/>
    <w:rsid w:val="68B95597"/>
    <w:rsid w:val="68CE612B"/>
    <w:rsid w:val="68D2013F"/>
    <w:rsid w:val="68E814B4"/>
    <w:rsid w:val="68F91EAB"/>
    <w:rsid w:val="68FA27D2"/>
    <w:rsid w:val="6907197E"/>
    <w:rsid w:val="690D6969"/>
    <w:rsid w:val="691174A4"/>
    <w:rsid w:val="69121E3A"/>
    <w:rsid w:val="69154D60"/>
    <w:rsid w:val="691B43A2"/>
    <w:rsid w:val="691F4D9F"/>
    <w:rsid w:val="69252C2D"/>
    <w:rsid w:val="692934EF"/>
    <w:rsid w:val="694A6DBA"/>
    <w:rsid w:val="695D7D0E"/>
    <w:rsid w:val="69601908"/>
    <w:rsid w:val="69767E6B"/>
    <w:rsid w:val="69851805"/>
    <w:rsid w:val="69976BBB"/>
    <w:rsid w:val="69976BEB"/>
    <w:rsid w:val="699954C4"/>
    <w:rsid w:val="699A62E3"/>
    <w:rsid w:val="699D36D6"/>
    <w:rsid w:val="69A00D26"/>
    <w:rsid w:val="69A51678"/>
    <w:rsid w:val="69B01DE8"/>
    <w:rsid w:val="69B779BF"/>
    <w:rsid w:val="69CD7FDE"/>
    <w:rsid w:val="69CF08EE"/>
    <w:rsid w:val="69D70F29"/>
    <w:rsid w:val="69ED56B6"/>
    <w:rsid w:val="69FB201D"/>
    <w:rsid w:val="6A07214F"/>
    <w:rsid w:val="6A0B1E23"/>
    <w:rsid w:val="6A1E150A"/>
    <w:rsid w:val="6A1F25CE"/>
    <w:rsid w:val="6A3246BA"/>
    <w:rsid w:val="6A36703B"/>
    <w:rsid w:val="6A560907"/>
    <w:rsid w:val="6A745C1A"/>
    <w:rsid w:val="6A7B4CEF"/>
    <w:rsid w:val="6A8D493E"/>
    <w:rsid w:val="6A9C7E3D"/>
    <w:rsid w:val="6AB13C32"/>
    <w:rsid w:val="6AB51D8E"/>
    <w:rsid w:val="6ABE4147"/>
    <w:rsid w:val="6AC23A28"/>
    <w:rsid w:val="6ADE785B"/>
    <w:rsid w:val="6AE2354A"/>
    <w:rsid w:val="6AE306AA"/>
    <w:rsid w:val="6AEA5216"/>
    <w:rsid w:val="6AF8649D"/>
    <w:rsid w:val="6B1F10AD"/>
    <w:rsid w:val="6B22477C"/>
    <w:rsid w:val="6B320A31"/>
    <w:rsid w:val="6B491DA4"/>
    <w:rsid w:val="6B4A7F71"/>
    <w:rsid w:val="6B594672"/>
    <w:rsid w:val="6B5D28FD"/>
    <w:rsid w:val="6B5E4D2E"/>
    <w:rsid w:val="6B775DEA"/>
    <w:rsid w:val="6B7E631F"/>
    <w:rsid w:val="6B831CA3"/>
    <w:rsid w:val="6B96511F"/>
    <w:rsid w:val="6B9B4975"/>
    <w:rsid w:val="6BA47F2E"/>
    <w:rsid w:val="6BB424AB"/>
    <w:rsid w:val="6BC43CA8"/>
    <w:rsid w:val="6BD12BF8"/>
    <w:rsid w:val="6BD91B10"/>
    <w:rsid w:val="6BE116D3"/>
    <w:rsid w:val="6C013C84"/>
    <w:rsid w:val="6C0B1AAA"/>
    <w:rsid w:val="6C0E1756"/>
    <w:rsid w:val="6C153D23"/>
    <w:rsid w:val="6C262D9A"/>
    <w:rsid w:val="6C2A7865"/>
    <w:rsid w:val="6C4038DA"/>
    <w:rsid w:val="6C501D6F"/>
    <w:rsid w:val="6C59217D"/>
    <w:rsid w:val="6C620EF9"/>
    <w:rsid w:val="6C6A54FD"/>
    <w:rsid w:val="6C764C3D"/>
    <w:rsid w:val="6C801317"/>
    <w:rsid w:val="6CAA3EA4"/>
    <w:rsid w:val="6CBA151E"/>
    <w:rsid w:val="6CC30C03"/>
    <w:rsid w:val="6CF6746A"/>
    <w:rsid w:val="6D026FD1"/>
    <w:rsid w:val="6D0F4CEB"/>
    <w:rsid w:val="6D2D03F9"/>
    <w:rsid w:val="6D751BED"/>
    <w:rsid w:val="6D8343C6"/>
    <w:rsid w:val="6D8B304C"/>
    <w:rsid w:val="6D916A0C"/>
    <w:rsid w:val="6D973ED7"/>
    <w:rsid w:val="6D9E588E"/>
    <w:rsid w:val="6DA94262"/>
    <w:rsid w:val="6DAE2A69"/>
    <w:rsid w:val="6DB70CB4"/>
    <w:rsid w:val="6DBB213C"/>
    <w:rsid w:val="6DD83087"/>
    <w:rsid w:val="6DDB4C8B"/>
    <w:rsid w:val="6DE36788"/>
    <w:rsid w:val="6E0203B9"/>
    <w:rsid w:val="6E052406"/>
    <w:rsid w:val="6E094352"/>
    <w:rsid w:val="6E0A2C2C"/>
    <w:rsid w:val="6E193D12"/>
    <w:rsid w:val="6E527DFE"/>
    <w:rsid w:val="6E652417"/>
    <w:rsid w:val="6E827CC9"/>
    <w:rsid w:val="6E894460"/>
    <w:rsid w:val="6E92195E"/>
    <w:rsid w:val="6E992E30"/>
    <w:rsid w:val="6EA857B7"/>
    <w:rsid w:val="6EB20D5A"/>
    <w:rsid w:val="6EC20982"/>
    <w:rsid w:val="6EE76033"/>
    <w:rsid w:val="6EF36DDF"/>
    <w:rsid w:val="6F031BB8"/>
    <w:rsid w:val="6F3626B6"/>
    <w:rsid w:val="6F3F40AE"/>
    <w:rsid w:val="6F4467C8"/>
    <w:rsid w:val="6F815117"/>
    <w:rsid w:val="6F92269E"/>
    <w:rsid w:val="6FA40B61"/>
    <w:rsid w:val="6FC010C7"/>
    <w:rsid w:val="6FE0386A"/>
    <w:rsid w:val="6FE8309C"/>
    <w:rsid w:val="70013F9D"/>
    <w:rsid w:val="700A1E44"/>
    <w:rsid w:val="701277F1"/>
    <w:rsid w:val="70263260"/>
    <w:rsid w:val="702A2DF0"/>
    <w:rsid w:val="70441BEA"/>
    <w:rsid w:val="704C18DA"/>
    <w:rsid w:val="70863E5A"/>
    <w:rsid w:val="708B0407"/>
    <w:rsid w:val="708F3F4F"/>
    <w:rsid w:val="70CF0C0E"/>
    <w:rsid w:val="70D15D5E"/>
    <w:rsid w:val="70EB475C"/>
    <w:rsid w:val="70F70D76"/>
    <w:rsid w:val="70F96E79"/>
    <w:rsid w:val="70FB2DBF"/>
    <w:rsid w:val="71053FFF"/>
    <w:rsid w:val="71143D27"/>
    <w:rsid w:val="711A0DDC"/>
    <w:rsid w:val="712B2648"/>
    <w:rsid w:val="71302D3F"/>
    <w:rsid w:val="7170308B"/>
    <w:rsid w:val="71881FAB"/>
    <w:rsid w:val="718926B9"/>
    <w:rsid w:val="718A2459"/>
    <w:rsid w:val="7198319C"/>
    <w:rsid w:val="719E503F"/>
    <w:rsid w:val="71AC3D91"/>
    <w:rsid w:val="71C6551E"/>
    <w:rsid w:val="71D373A4"/>
    <w:rsid w:val="71E65261"/>
    <w:rsid w:val="71F56CCA"/>
    <w:rsid w:val="71FF0740"/>
    <w:rsid w:val="71FF0BB1"/>
    <w:rsid w:val="72031D23"/>
    <w:rsid w:val="72364E53"/>
    <w:rsid w:val="724245AC"/>
    <w:rsid w:val="724C2FD8"/>
    <w:rsid w:val="72896FE0"/>
    <w:rsid w:val="728E5F19"/>
    <w:rsid w:val="72966949"/>
    <w:rsid w:val="72B324E3"/>
    <w:rsid w:val="72D8260B"/>
    <w:rsid w:val="72FA0C86"/>
    <w:rsid w:val="73013FCC"/>
    <w:rsid w:val="730218E9"/>
    <w:rsid w:val="73063246"/>
    <w:rsid w:val="731A4B3E"/>
    <w:rsid w:val="73245D0B"/>
    <w:rsid w:val="734A59B2"/>
    <w:rsid w:val="73547991"/>
    <w:rsid w:val="736938A6"/>
    <w:rsid w:val="737034B7"/>
    <w:rsid w:val="738E6C88"/>
    <w:rsid w:val="739169F9"/>
    <w:rsid w:val="739A46DA"/>
    <w:rsid w:val="73AE6EDF"/>
    <w:rsid w:val="73AF6F35"/>
    <w:rsid w:val="73D47531"/>
    <w:rsid w:val="74031DA5"/>
    <w:rsid w:val="74071A51"/>
    <w:rsid w:val="740A7083"/>
    <w:rsid w:val="74226A95"/>
    <w:rsid w:val="742D4234"/>
    <w:rsid w:val="743F4CBA"/>
    <w:rsid w:val="74510D7A"/>
    <w:rsid w:val="745E1EAA"/>
    <w:rsid w:val="746774A9"/>
    <w:rsid w:val="748A000B"/>
    <w:rsid w:val="74912CE1"/>
    <w:rsid w:val="74942EB6"/>
    <w:rsid w:val="749E119A"/>
    <w:rsid w:val="74A356E3"/>
    <w:rsid w:val="74D33EF6"/>
    <w:rsid w:val="74D81279"/>
    <w:rsid w:val="75407B10"/>
    <w:rsid w:val="7579243F"/>
    <w:rsid w:val="7587293D"/>
    <w:rsid w:val="75A17723"/>
    <w:rsid w:val="75A47883"/>
    <w:rsid w:val="75A94FB9"/>
    <w:rsid w:val="75B456A9"/>
    <w:rsid w:val="75BA77F7"/>
    <w:rsid w:val="75BC377B"/>
    <w:rsid w:val="75C50AA6"/>
    <w:rsid w:val="75CE3273"/>
    <w:rsid w:val="75D94171"/>
    <w:rsid w:val="75E626A9"/>
    <w:rsid w:val="75EA51DF"/>
    <w:rsid w:val="75F93BCE"/>
    <w:rsid w:val="763F6BA9"/>
    <w:rsid w:val="76444F95"/>
    <w:rsid w:val="76867700"/>
    <w:rsid w:val="769D4442"/>
    <w:rsid w:val="769E2054"/>
    <w:rsid w:val="76AF515A"/>
    <w:rsid w:val="76B61F68"/>
    <w:rsid w:val="76BE5E3B"/>
    <w:rsid w:val="76C57E80"/>
    <w:rsid w:val="76CC1292"/>
    <w:rsid w:val="7706409E"/>
    <w:rsid w:val="77210231"/>
    <w:rsid w:val="77220F11"/>
    <w:rsid w:val="773B637B"/>
    <w:rsid w:val="773D64AD"/>
    <w:rsid w:val="77533270"/>
    <w:rsid w:val="77613CE5"/>
    <w:rsid w:val="777703EE"/>
    <w:rsid w:val="779302B0"/>
    <w:rsid w:val="77A31E3D"/>
    <w:rsid w:val="77BF7760"/>
    <w:rsid w:val="77D14534"/>
    <w:rsid w:val="77D777E8"/>
    <w:rsid w:val="77DB2827"/>
    <w:rsid w:val="77E2543A"/>
    <w:rsid w:val="78191BAF"/>
    <w:rsid w:val="78203AD8"/>
    <w:rsid w:val="783D23EF"/>
    <w:rsid w:val="785965F9"/>
    <w:rsid w:val="78615D56"/>
    <w:rsid w:val="786404F8"/>
    <w:rsid w:val="78697706"/>
    <w:rsid w:val="78A15077"/>
    <w:rsid w:val="78C83AD2"/>
    <w:rsid w:val="78DD4E10"/>
    <w:rsid w:val="78F61EF0"/>
    <w:rsid w:val="78FA5BEC"/>
    <w:rsid w:val="790C4639"/>
    <w:rsid w:val="79121892"/>
    <w:rsid w:val="791B11FD"/>
    <w:rsid w:val="7925799D"/>
    <w:rsid w:val="79392B18"/>
    <w:rsid w:val="79450781"/>
    <w:rsid w:val="794F5012"/>
    <w:rsid w:val="79516F63"/>
    <w:rsid w:val="79565544"/>
    <w:rsid w:val="795C539C"/>
    <w:rsid w:val="795E65E9"/>
    <w:rsid w:val="796E1666"/>
    <w:rsid w:val="797911D5"/>
    <w:rsid w:val="797A39C8"/>
    <w:rsid w:val="798A5C60"/>
    <w:rsid w:val="79A07515"/>
    <w:rsid w:val="79A3664E"/>
    <w:rsid w:val="79A9103A"/>
    <w:rsid w:val="79A9150E"/>
    <w:rsid w:val="79AB36F9"/>
    <w:rsid w:val="79AE27CB"/>
    <w:rsid w:val="79C00A58"/>
    <w:rsid w:val="79D27333"/>
    <w:rsid w:val="79DB6E84"/>
    <w:rsid w:val="79DD1D32"/>
    <w:rsid w:val="79EF06E6"/>
    <w:rsid w:val="7A00729F"/>
    <w:rsid w:val="7A2B5BC9"/>
    <w:rsid w:val="7A302411"/>
    <w:rsid w:val="7A402138"/>
    <w:rsid w:val="7A7C4F56"/>
    <w:rsid w:val="7A864519"/>
    <w:rsid w:val="7A9102F8"/>
    <w:rsid w:val="7AB230D1"/>
    <w:rsid w:val="7AC15EB2"/>
    <w:rsid w:val="7ACA5466"/>
    <w:rsid w:val="7AD149C3"/>
    <w:rsid w:val="7AD45C10"/>
    <w:rsid w:val="7B0A6A9B"/>
    <w:rsid w:val="7B0D2818"/>
    <w:rsid w:val="7B123D44"/>
    <w:rsid w:val="7B253111"/>
    <w:rsid w:val="7B381B1F"/>
    <w:rsid w:val="7B444776"/>
    <w:rsid w:val="7B4D7F4F"/>
    <w:rsid w:val="7B531250"/>
    <w:rsid w:val="7B6A44CF"/>
    <w:rsid w:val="7B947AED"/>
    <w:rsid w:val="7B994E29"/>
    <w:rsid w:val="7BA43E56"/>
    <w:rsid w:val="7BBF3362"/>
    <w:rsid w:val="7BC10FD1"/>
    <w:rsid w:val="7BFF730D"/>
    <w:rsid w:val="7C01222E"/>
    <w:rsid w:val="7C1654F0"/>
    <w:rsid w:val="7C2E374F"/>
    <w:rsid w:val="7C365871"/>
    <w:rsid w:val="7C552BD0"/>
    <w:rsid w:val="7C60651C"/>
    <w:rsid w:val="7C657857"/>
    <w:rsid w:val="7C68464B"/>
    <w:rsid w:val="7C6855B6"/>
    <w:rsid w:val="7C7B56C3"/>
    <w:rsid w:val="7C866DDF"/>
    <w:rsid w:val="7C8A57FB"/>
    <w:rsid w:val="7CA33B0F"/>
    <w:rsid w:val="7CB82DCD"/>
    <w:rsid w:val="7CB90024"/>
    <w:rsid w:val="7CDD1E20"/>
    <w:rsid w:val="7CE3278B"/>
    <w:rsid w:val="7CE57657"/>
    <w:rsid w:val="7D261490"/>
    <w:rsid w:val="7D3E0BCE"/>
    <w:rsid w:val="7D430709"/>
    <w:rsid w:val="7D4E22FA"/>
    <w:rsid w:val="7D5770CD"/>
    <w:rsid w:val="7D7004C3"/>
    <w:rsid w:val="7D9A2209"/>
    <w:rsid w:val="7DA56900"/>
    <w:rsid w:val="7DA9460F"/>
    <w:rsid w:val="7DAA5228"/>
    <w:rsid w:val="7DBD3851"/>
    <w:rsid w:val="7DC80B9A"/>
    <w:rsid w:val="7DC974EE"/>
    <w:rsid w:val="7DE03DE0"/>
    <w:rsid w:val="7DE65FBE"/>
    <w:rsid w:val="7DFF6F70"/>
    <w:rsid w:val="7E2461C2"/>
    <w:rsid w:val="7E3B2283"/>
    <w:rsid w:val="7E536964"/>
    <w:rsid w:val="7E7E3374"/>
    <w:rsid w:val="7E826950"/>
    <w:rsid w:val="7E904003"/>
    <w:rsid w:val="7E9064E4"/>
    <w:rsid w:val="7EB76F44"/>
    <w:rsid w:val="7ED4627F"/>
    <w:rsid w:val="7EDC56E4"/>
    <w:rsid w:val="7EE4759A"/>
    <w:rsid w:val="7EF73EBA"/>
    <w:rsid w:val="7EFA4422"/>
    <w:rsid w:val="7EFF5CB3"/>
    <w:rsid w:val="7F1C60C1"/>
    <w:rsid w:val="7F233968"/>
    <w:rsid w:val="7F380338"/>
    <w:rsid w:val="7F501EB8"/>
    <w:rsid w:val="7F5D2CB4"/>
    <w:rsid w:val="7F730597"/>
    <w:rsid w:val="7F7405C7"/>
    <w:rsid w:val="7F74591C"/>
    <w:rsid w:val="7F7F75D9"/>
    <w:rsid w:val="7F9541FE"/>
    <w:rsid w:val="7F9B7217"/>
    <w:rsid w:val="7FA709E5"/>
    <w:rsid w:val="7FCA4492"/>
    <w:rsid w:val="7FFD7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qFormat="1" w:uiPriority="39"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6"/>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40"/>
    <w:qFormat/>
    <w:uiPriority w:val="99"/>
    <w:pPr>
      <w:keepNext/>
      <w:keepLines/>
      <w:spacing w:line="413" w:lineRule="auto"/>
      <w:jc w:val="center"/>
      <w:outlineLvl w:val="1"/>
    </w:pPr>
    <w:rPr>
      <w:rFonts w:ascii="Arial" w:hAnsi="Arial"/>
      <w:b/>
      <w:sz w:val="28"/>
    </w:rPr>
  </w:style>
  <w:style w:type="paragraph" w:styleId="4">
    <w:name w:val="heading 3"/>
    <w:basedOn w:val="1"/>
    <w:next w:val="1"/>
    <w:link w:val="43"/>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annotation text"/>
    <w:basedOn w:val="1"/>
    <w:link w:val="44"/>
    <w:qFormat/>
    <w:uiPriority w:val="99"/>
    <w:pPr>
      <w:jc w:val="left"/>
    </w:pPr>
    <w:rPr>
      <w:rFonts w:ascii="宋体"/>
      <w:kern w:val="0"/>
      <w:sz w:val="34"/>
    </w:rPr>
  </w:style>
  <w:style w:type="paragraph" w:styleId="8">
    <w:name w:val="Body Text"/>
    <w:basedOn w:val="1"/>
    <w:next w:val="1"/>
    <w:link w:val="45"/>
    <w:qFormat/>
    <w:uiPriority w:val="99"/>
  </w:style>
  <w:style w:type="paragraph" w:styleId="9">
    <w:name w:val="Body Text Indent"/>
    <w:basedOn w:val="1"/>
    <w:next w:val="1"/>
    <w:unhideWhenUsed/>
    <w:qFormat/>
    <w:uiPriority w:val="99"/>
    <w:pPr>
      <w:ind w:left="420" w:leftChars="200"/>
    </w:pPr>
  </w:style>
  <w:style w:type="paragraph" w:styleId="10">
    <w:name w:val="Block Text"/>
    <w:basedOn w:val="1"/>
    <w:qFormat/>
    <w:uiPriority w:val="0"/>
    <w:pPr>
      <w:tabs>
        <w:tab w:val="left" w:pos="773"/>
      </w:tabs>
      <w:ind w:left="592" w:leftChars="282" w:right="78"/>
    </w:pPr>
    <w:rPr>
      <w:rFonts w:ascii="宋体" w:hAnsi="宋体"/>
      <w:szCs w:val="20"/>
    </w:rPr>
  </w:style>
  <w:style w:type="paragraph" w:styleId="11">
    <w:name w:val="toc 3"/>
    <w:basedOn w:val="1"/>
    <w:next w:val="1"/>
    <w:qFormat/>
    <w:uiPriority w:val="99"/>
    <w:pPr>
      <w:ind w:left="840" w:leftChars="400"/>
    </w:pPr>
  </w:style>
  <w:style w:type="paragraph" w:styleId="12">
    <w:name w:val="Plain Text"/>
    <w:basedOn w:val="1"/>
    <w:next w:val="1"/>
    <w:link w:val="46"/>
    <w:qFormat/>
    <w:uiPriority w:val="99"/>
    <w:pPr>
      <w:spacing w:line="324" w:lineRule="auto"/>
    </w:pPr>
    <w:rPr>
      <w:rFonts w:ascii="宋体" w:hAnsi="Courier New" w:cs="Courier New"/>
      <w:szCs w:val="21"/>
    </w:rPr>
  </w:style>
  <w:style w:type="paragraph" w:styleId="13">
    <w:name w:val="Date"/>
    <w:basedOn w:val="1"/>
    <w:next w:val="1"/>
    <w:semiHidden/>
    <w:unhideWhenUsed/>
    <w:qFormat/>
    <w:uiPriority w:val="99"/>
    <w:rPr>
      <w:rFonts w:ascii="Copperplate Gothic Bold" w:hAnsi="Copperplate Gothic Bold"/>
      <w:sz w:val="32"/>
      <w:szCs w:val="20"/>
    </w:rPr>
  </w:style>
  <w:style w:type="paragraph" w:styleId="14">
    <w:name w:val="Body Text Indent 2"/>
    <w:basedOn w:val="1"/>
    <w:link w:val="47"/>
    <w:qFormat/>
    <w:uiPriority w:val="99"/>
    <w:pPr>
      <w:spacing w:after="120" w:line="480" w:lineRule="auto"/>
      <w:ind w:left="420" w:leftChars="200"/>
    </w:pPr>
  </w:style>
  <w:style w:type="paragraph" w:styleId="15">
    <w:name w:val="Balloon Text"/>
    <w:basedOn w:val="1"/>
    <w:link w:val="48"/>
    <w:qFormat/>
    <w:uiPriority w:val="99"/>
    <w:rPr>
      <w:sz w:val="18"/>
      <w:szCs w:val="18"/>
    </w:rPr>
  </w:style>
  <w:style w:type="paragraph" w:styleId="16">
    <w:name w:val="footer"/>
    <w:basedOn w:val="1"/>
    <w:link w:val="49"/>
    <w:qFormat/>
    <w:uiPriority w:val="99"/>
    <w:pPr>
      <w:tabs>
        <w:tab w:val="center" w:pos="4153"/>
        <w:tab w:val="right" w:pos="8306"/>
      </w:tabs>
      <w:snapToGrid w:val="0"/>
      <w:jc w:val="left"/>
    </w:pPr>
    <w:rPr>
      <w:sz w:val="18"/>
      <w:szCs w:val="18"/>
    </w:rPr>
  </w:style>
  <w:style w:type="paragraph" w:styleId="17">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6"/>
    <w:basedOn w:val="1"/>
    <w:next w:val="1"/>
    <w:unhideWhenUsed/>
    <w:qFormat/>
    <w:locked/>
    <w:uiPriority w:val="39"/>
    <w:pPr>
      <w:ind w:left="1200"/>
      <w:jc w:val="left"/>
    </w:pPr>
    <w:rPr>
      <w:rFonts w:cs="Calibri"/>
      <w:sz w:val="20"/>
      <w:szCs w:val="20"/>
    </w:rPr>
  </w:style>
  <w:style w:type="paragraph" w:styleId="20">
    <w:name w:val="toc 2"/>
    <w:basedOn w:val="1"/>
    <w:next w:val="1"/>
    <w:qFormat/>
    <w:uiPriority w:val="99"/>
    <w:pPr>
      <w:ind w:left="420" w:leftChars="200"/>
    </w:pPr>
  </w:style>
  <w:style w:type="paragraph" w:styleId="21">
    <w:name w:val="Body Text 2"/>
    <w:basedOn w:val="1"/>
    <w:link w:val="51"/>
    <w:qFormat/>
    <w:uiPriority w:val="99"/>
    <w:pPr>
      <w:jc w:val="center"/>
    </w:pPr>
    <w:rPr>
      <w:b/>
      <w:spacing w:val="-20"/>
      <w:w w:val="130"/>
      <w:sz w:val="48"/>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7"/>
    <w:next w:val="7"/>
    <w:link w:val="71"/>
    <w:semiHidden/>
    <w:unhideWhenUsed/>
    <w:qFormat/>
    <w:uiPriority w:val="99"/>
    <w:rPr>
      <w:rFonts w:ascii="Calibri"/>
      <w:b/>
      <w:bCs/>
      <w:kern w:val="2"/>
      <w:sz w:val="21"/>
    </w:rPr>
  </w:style>
  <w:style w:type="paragraph" w:styleId="24">
    <w:name w:val="Body Text First Indent"/>
    <w:basedOn w:val="8"/>
    <w:next w:val="19"/>
    <w:unhideWhenUsed/>
    <w:qFormat/>
    <w:uiPriority w:val="99"/>
    <w:pPr>
      <w:ind w:firstLine="420" w:firstLineChars="100"/>
    </w:pPr>
    <w:rPr>
      <w:rFonts w:ascii="Times New Roman" w:hAnsi="Times New Roman"/>
      <w:sz w:val="18"/>
      <w:szCs w:val="18"/>
    </w:rPr>
  </w:style>
  <w:style w:type="paragraph" w:styleId="25">
    <w:name w:val="Body Text First Indent 2"/>
    <w:basedOn w:val="9"/>
    <w:next w:val="6"/>
    <w:qFormat/>
    <w:uiPriority w:val="99"/>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rFonts w:cs="Times New Roman"/>
      <w:b/>
      <w:sz w:val="24"/>
      <w:szCs w:val="24"/>
    </w:rPr>
  </w:style>
  <w:style w:type="character" w:styleId="30">
    <w:name w:val="page number"/>
    <w:basedOn w:val="28"/>
    <w:qFormat/>
    <w:uiPriority w:val="99"/>
    <w:rPr>
      <w:rFonts w:cs="Times New Roman"/>
    </w:rPr>
  </w:style>
  <w:style w:type="character" w:styleId="31">
    <w:name w:val="FollowedHyperlink"/>
    <w:basedOn w:val="28"/>
    <w:semiHidden/>
    <w:unhideWhenUsed/>
    <w:qFormat/>
    <w:uiPriority w:val="99"/>
    <w:rPr>
      <w:rFonts w:hint="eastAsia" w:ascii="宋体" w:hAnsi="宋体" w:eastAsia="宋体" w:cs="宋体"/>
      <w:color w:val="000000"/>
      <w:sz w:val="18"/>
      <w:szCs w:val="18"/>
      <w:u w:val="none"/>
    </w:rPr>
  </w:style>
  <w:style w:type="character" w:styleId="32">
    <w:name w:val="Emphasis"/>
    <w:basedOn w:val="28"/>
    <w:qFormat/>
    <w:uiPriority w:val="99"/>
    <w:rPr>
      <w:rFonts w:cs="Times New Roman"/>
      <w:i/>
      <w:iCs/>
    </w:rPr>
  </w:style>
  <w:style w:type="character" w:styleId="33">
    <w:name w:val="HTML Definition"/>
    <w:basedOn w:val="28"/>
    <w:semiHidden/>
    <w:unhideWhenUsed/>
    <w:qFormat/>
    <w:uiPriority w:val="99"/>
    <w:rPr>
      <w:i/>
    </w:rPr>
  </w:style>
  <w:style w:type="character" w:styleId="34">
    <w:name w:val="Hyperlink"/>
    <w:basedOn w:val="28"/>
    <w:qFormat/>
    <w:uiPriority w:val="99"/>
    <w:rPr>
      <w:rFonts w:cs="Times New Roman"/>
      <w:color w:val="0000FF"/>
      <w:u w:val="single"/>
    </w:rPr>
  </w:style>
  <w:style w:type="character" w:styleId="35">
    <w:name w:val="HTML Code"/>
    <w:basedOn w:val="28"/>
    <w:semiHidden/>
    <w:unhideWhenUsed/>
    <w:qFormat/>
    <w:uiPriority w:val="99"/>
    <w:rPr>
      <w:rFonts w:hint="default" w:ascii="Consolas" w:hAnsi="Consolas" w:eastAsia="Consolas" w:cs="Consolas"/>
      <w:color w:val="C7254E"/>
      <w:sz w:val="21"/>
      <w:szCs w:val="21"/>
      <w:shd w:val="clear" w:color="auto" w:fill="F9F2F4"/>
    </w:rPr>
  </w:style>
  <w:style w:type="character" w:styleId="36">
    <w:name w:val="annotation reference"/>
    <w:basedOn w:val="28"/>
    <w:qFormat/>
    <w:uiPriority w:val="99"/>
    <w:rPr>
      <w:rFonts w:cs="Times New Roman"/>
      <w:sz w:val="21"/>
    </w:rPr>
  </w:style>
  <w:style w:type="character" w:styleId="37">
    <w:name w:val="HTML Cite"/>
    <w:basedOn w:val="28"/>
    <w:qFormat/>
    <w:uiPriority w:val="99"/>
    <w:rPr>
      <w:rFonts w:cs="Times New Roman"/>
      <w:sz w:val="24"/>
      <w:szCs w:val="24"/>
    </w:rPr>
  </w:style>
  <w:style w:type="character" w:styleId="38">
    <w:name w:val="HTML Keyboard"/>
    <w:basedOn w:val="28"/>
    <w:semiHidden/>
    <w:unhideWhenUsed/>
    <w:qFormat/>
    <w:uiPriority w:val="99"/>
    <w:rPr>
      <w:rFonts w:ascii="Consolas" w:hAnsi="Consolas" w:eastAsia="Consolas" w:cs="Consolas"/>
      <w:color w:val="FFFFFF"/>
      <w:sz w:val="21"/>
      <w:szCs w:val="21"/>
      <w:shd w:val="clear" w:color="auto" w:fill="333333"/>
    </w:rPr>
  </w:style>
  <w:style w:type="character" w:styleId="39">
    <w:name w:val="HTML Sample"/>
    <w:basedOn w:val="28"/>
    <w:semiHidden/>
    <w:unhideWhenUsed/>
    <w:qFormat/>
    <w:uiPriority w:val="99"/>
    <w:rPr>
      <w:rFonts w:hint="default" w:ascii="Consolas" w:hAnsi="Consolas" w:eastAsia="Consolas" w:cs="Consolas"/>
      <w:sz w:val="21"/>
      <w:szCs w:val="21"/>
    </w:rPr>
  </w:style>
  <w:style w:type="character" w:customStyle="1" w:styleId="40">
    <w:name w:val="标题 2 字符"/>
    <w:basedOn w:val="28"/>
    <w:link w:val="3"/>
    <w:semiHidden/>
    <w:qFormat/>
    <w:locked/>
    <w:uiPriority w:val="99"/>
    <w:rPr>
      <w:rFonts w:ascii="Cambria" w:hAnsi="Cambria" w:eastAsia="宋体" w:cs="Times New Roman"/>
      <w:b/>
      <w:bCs/>
      <w:sz w:val="32"/>
      <w:szCs w:val="32"/>
    </w:rPr>
  </w:style>
  <w:style w:type="paragraph" w:customStyle="1" w:styleId="41">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2">
    <w:name w:val="标题 1 Char"/>
    <w:basedOn w:val="28"/>
    <w:qFormat/>
    <w:locked/>
    <w:uiPriority w:val="99"/>
    <w:rPr>
      <w:rFonts w:ascii="Calibri" w:hAnsi="Calibri" w:cs="Times New Roman"/>
      <w:b/>
      <w:bCs/>
      <w:kern w:val="44"/>
      <w:sz w:val="44"/>
      <w:szCs w:val="44"/>
    </w:rPr>
  </w:style>
  <w:style w:type="character" w:customStyle="1" w:styleId="43">
    <w:name w:val="标题 3 字符"/>
    <w:basedOn w:val="28"/>
    <w:link w:val="4"/>
    <w:semiHidden/>
    <w:qFormat/>
    <w:locked/>
    <w:uiPriority w:val="99"/>
    <w:rPr>
      <w:rFonts w:ascii="Calibri" w:hAnsi="Calibri" w:eastAsia="宋体" w:cs="Times New Roman"/>
      <w:b/>
      <w:bCs/>
      <w:sz w:val="28"/>
      <w:szCs w:val="32"/>
    </w:rPr>
  </w:style>
  <w:style w:type="character" w:customStyle="1" w:styleId="44">
    <w:name w:val="批注文字 字符"/>
    <w:basedOn w:val="28"/>
    <w:link w:val="7"/>
    <w:qFormat/>
    <w:locked/>
    <w:uiPriority w:val="99"/>
    <w:rPr>
      <w:rFonts w:ascii="宋体" w:hAnsi="Calibri" w:eastAsia="宋体" w:cs="Times New Roman"/>
      <w:sz w:val="22"/>
      <w:szCs w:val="22"/>
    </w:rPr>
  </w:style>
  <w:style w:type="character" w:customStyle="1" w:styleId="45">
    <w:name w:val="正文文本 字符"/>
    <w:basedOn w:val="28"/>
    <w:link w:val="8"/>
    <w:semiHidden/>
    <w:qFormat/>
    <w:locked/>
    <w:uiPriority w:val="99"/>
    <w:rPr>
      <w:rFonts w:ascii="Calibri" w:hAnsi="Calibri" w:cs="Times New Roman"/>
    </w:rPr>
  </w:style>
  <w:style w:type="character" w:customStyle="1" w:styleId="46">
    <w:name w:val="纯文本 字符"/>
    <w:basedOn w:val="28"/>
    <w:link w:val="12"/>
    <w:semiHidden/>
    <w:qFormat/>
    <w:locked/>
    <w:uiPriority w:val="99"/>
    <w:rPr>
      <w:rFonts w:ascii="宋体" w:hAnsi="Courier New" w:cs="Courier New"/>
      <w:sz w:val="21"/>
      <w:szCs w:val="21"/>
    </w:rPr>
  </w:style>
  <w:style w:type="character" w:customStyle="1" w:styleId="47">
    <w:name w:val="正文文本缩进 2 字符"/>
    <w:basedOn w:val="28"/>
    <w:link w:val="14"/>
    <w:semiHidden/>
    <w:qFormat/>
    <w:locked/>
    <w:uiPriority w:val="99"/>
    <w:rPr>
      <w:rFonts w:ascii="Calibri" w:hAnsi="Calibri" w:cs="Times New Roman"/>
    </w:rPr>
  </w:style>
  <w:style w:type="character" w:customStyle="1" w:styleId="48">
    <w:name w:val="批注框文本 字符"/>
    <w:basedOn w:val="28"/>
    <w:link w:val="15"/>
    <w:qFormat/>
    <w:locked/>
    <w:uiPriority w:val="99"/>
    <w:rPr>
      <w:rFonts w:ascii="Calibri" w:hAnsi="Calibri" w:eastAsia="宋体" w:cs="Times New Roman"/>
      <w:kern w:val="2"/>
      <w:sz w:val="18"/>
      <w:szCs w:val="18"/>
    </w:rPr>
  </w:style>
  <w:style w:type="character" w:customStyle="1" w:styleId="49">
    <w:name w:val="页脚 字符"/>
    <w:basedOn w:val="28"/>
    <w:link w:val="16"/>
    <w:semiHidden/>
    <w:qFormat/>
    <w:locked/>
    <w:uiPriority w:val="99"/>
    <w:rPr>
      <w:rFonts w:ascii="Calibri" w:hAnsi="Calibri" w:cs="Times New Roman"/>
      <w:sz w:val="18"/>
      <w:szCs w:val="18"/>
    </w:rPr>
  </w:style>
  <w:style w:type="character" w:customStyle="1" w:styleId="50">
    <w:name w:val="页眉 字符"/>
    <w:basedOn w:val="28"/>
    <w:link w:val="17"/>
    <w:semiHidden/>
    <w:qFormat/>
    <w:locked/>
    <w:uiPriority w:val="99"/>
    <w:rPr>
      <w:rFonts w:ascii="Calibri" w:hAnsi="Calibri" w:cs="Times New Roman"/>
      <w:sz w:val="18"/>
      <w:szCs w:val="18"/>
    </w:rPr>
  </w:style>
  <w:style w:type="character" w:customStyle="1" w:styleId="51">
    <w:name w:val="正文文本 2 字符"/>
    <w:basedOn w:val="28"/>
    <w:link w:val="21"/>
    <w:semiHidden/>
    <w:qFormat/>
    <w:locked/>
    <w:uiPriority w:val="99"/>
    <w:rPr>
      <w:rFonts w:ascii="Calibri" w:hAnsi="Calibri" w:cs="Times New Roman"/>
    </w:rPr>
  </w:style>
  <w:style w:type="paragraph" w:customStyle="1" w:styleId="52">
    <w:name w:val="Char2 Char Char Char"/>
    <w:basedOn w:val="1"/>
    <w:qFormat/>
    <w:uiPriority w:val="99"/>
    <w:rPr>
      <w:rFonts w:ascii="Tahoma" w:hAnsi="Tahoma"/>
      <w:sz w:val="24"/>
      <w:szCs w:val="20"/>
    </w:rPr>
  </w:style>
  <w:style w:type="paragraph" w:customStyle="1" w:styleId="53">
    <w:name w:val="列出段落1"/>
    <w:basedOn w:val="1"/>
    <w:qFormat/>
    <w:uiPriority w:val="99"/>
    <w:pPr>
      <w:ind w:firstLine="420" w:firstLineChars="200"/>
    </w:pPr>
  </w:style>
  <w:style w:type="character" w:customStyle="1" w:styleId="54">
    <w:name w:val="10"/>
    <w:basedOn w:val="28"/>
    <w:qFormat/>
    <w:uiPriority w:val="99"/>
    <w:rPr>
      <w:rFonts w:ascii="Calibri" w:hAnsi="Calibri" w:cs="Times New Roman"/>
    </w:rPr>
  </w:style>
  <w:style w:type="character" w:customStyle="1" w:styleId="55">
    <w:name w:val="15"/>
    <w:basedOn w:val="28"/>
    <w:qFormat/>
    <w:uiPriority w:val="99"/>
    <w:rPr>
      <w:rFonts w:ascii="Calibri" w:hAnsi="Calibri" w:cs="Times New Roman"/>
      <w:i/>
      <w:iCs/>
    </w:rPr>
  </w:style>
  <w:style w:type="paragraph" w:customStyle="1" w:styleId="56">
    <w:name w:val="_Style 2"/>
    <w:basedOn w:val="1"/>
    <w:qFormat/>
    <w:uiPriority w:val="99"/>
    <w:pPr>
      <w:ind w:firstLine="420" w:firstLineChars="200"/>
    </w:pPr>
  </w:style>
  <w:style w:type="character" w:customStyle="1" w:styleId="57">
    <w:name w:val="apple-style-span"/>
    <w:qFormat/>
    <w:uiPriority w:val="99"/>
  </w:style>
  <w:style w:type="character" w:customStyle="1" w:styleId="58">
    <w:name w:val="del"/>
    <w:basedOn w:val="28"/>
    <w:qFormat/>
    <w:uiPriority w:val="99"/>
    <w:rPr>
      <w:rFonts w:cs="Times New Roman"/>
    </w:rPr>
  </w:style>
  <w:style w:type="character" w:customStyle="1" w:styleId="59">
    <w:name w:val="del1"/>
    <w:basedOn w:val="28"/>
    <w:qFormat/>
    <w:uiPriority w:val="99"/>
    <w:rPr>
      <w:rFonts w:cs="Times New Roman"/>
      <w:vanish/>
      <w:color w:val="666666"/>
      <w:sz w:val="18"/>
      <w:szCs w:val="18"/>
      <w:u w:val="single"/>
    </w:rPr>
  </w:style>
  <w:style w:type="character" w:customStyle="1" w:styleId="60">
    <w:name w:val="del2"/>
    <w:basedOn w:val="28"/>
    <w:qFormat/>
    <w:uiPriority w:val="99"/>
    <w:rPr>
      <w:rFonts w:cs="Times New Roman"/>
      <w:vanish/>
    </w:rPr>
  </w:style>
  <w:style w:type="character" w:customStyle="1" w:styleId="61">
    <w:name w:val="del3"/>
    <w:basedOn w:val="28"/>
    <w:qFormat/>
    <w:uiPriority w:val="99"/>
    <w:rPr>
      <w:rFonts w:cs="Times New Roman"/>
      <w:vanish/>
    </w:rPr>
  </w:style>
  <w:style w:type="paragraph" w:customStyle="1" w:styleId="62">
    <w:name w:val="_Style 4"/>
    <w:basedOn w:val="1"/>
    <w:qFormat/>
    <w:uiPriority w:val="99"/>
    <w:pPr>
      <w:ind w:firstLine="420" w:firstLineChars="200"/>
    </w:pPr>
  </w:style>
  <w:style w:type="paragraph" w:customStyle="1" w:styleId="63">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button"/>
    <w:basedOn w:val="28"/>
    <w:qFormat/>
    <w:uiPriority w:val="0"/>
  </w:style>
  <w:style w:type="character" w:customStyle="1" w:styleId="65">
    <w:name w:val="tmpztreemove_arrow"/>
    <w:basedOn w:val="28"/>
    <w:qFormat/>
    <w:uiPriority w:val="0"/>
    <w:rPr>
      <w:shd w:val="clear" w:color="auto" w:fill="FFFFFF"/>
    </w:rPr>
  </w:style>
  <w:style w:type="character" w:customStyle="1" w:styleId="66">
    <w:name w:val="old"/>
    <w:basedOn w:val="28"/>
    <w:qFormat/>
    <w:uiPriority w:val="0"/>
    <w:rPr>
      <w:color w:val="999999"/>
    </w:rPr>
  </w:style>
  <w:style w:type="character" w:customStyle="1" w:styleId="67">
    <w:name w:val="hover3"/>
    <w:basedOn w:val="28"/>
    <w:qFormat/>
    <w:uiPriority w:val="0"/>
    <w:rPr>
      <w:shd w:val="clear" w:color="auto" w:fill="EEEEEE"/>
    </w:rPr>
  </w:style>
  <w:style w:type="character" w:customStyle="1" w:styleId="68">
    <w:name w:val="hour_am"/>
    <w:basedOn w:val="28"/>
    <w:qFormat/>
    <w:uiPriority w:val="0"/>
  </w:style>
  <w:style w:type="character" w:customStyle="1" w:styleId="69">
    <w:name w:val="hour_pm"/>
    <w:basedOn w:val="28"/>
    <w:qFormat/>
    <w:uiPriority w:val="0"/>
  </w:style>
  <w:style w:type="character" w:customStyle="1" w:styleId="70">
    <w:name w:val="glyphicon4"/>
    <w:basedOn w:val="28"/>
    <w:qFormat/>
    <w:uiPriority w:val="0"/>
  </w:style>
  <w:style w:type="character" w:customStyle="1" w:styleId="71">
    <w:name w:val="批注主题 字符"/>
    <w:basedOn w:val="44"/>
    <w:link w:val="23"/>
    <w:semiHidden/>
    <w:qFormat/>
    <w:uiPriority w:val="99"/>
    <w:rPr>
      <w:rFonts w:ascii="Calibri" w:hAnsi="Calibri" w:eastAsia="宋体" w:cs="Times New Roman"/>
      <w:b/>
      <w:bCs/>
      <w:kern w:val="2"/>
      <w:sz w:val="21"/>
      <w:szCs w:val="22"/>
    </w:rPr>
  </w:style>
  <w:style w:type="paragraph" w:styleId="72">
    <w:name w:val="List Paragraph"/>
    <w:basedOn w:val="1"/>
    <w:unhideWhenUsed/>
    <w:qFormat/>
    <w:uiPriority w:val="99"/>
    <w:pPr>
      <w:ind w:firstLine="420" w:firstLineChars="200"/>
    </w:pPr>
  </w:style>
  <w:style w:type="paragraph" w:customStyle="1" w:styleId="73">
    <w:name w:val="列出段落2"/>
    <w:basedOn w:val="1"/>
    <w:qFormat/>
    <w:uiPriority w:val="99"/>
    <w:pPr>
      <w:ind w:firstLine="420" w:firstLineChars="200"/>
    </w:pPr>
  </w:style>
  <w:style w:type="paragraph" w:customStyle="1" w:styleId="74">
    <w:name w:val="正文缩进1"/>
    <w:basedOn w:val="1"/>
    <w:qFormat/>
    <w:uiPriority w:val="0"/>
    <w:pPr>
      <w:ind w:firstLine="420" w:firstLineChars="200"/>
    </w:pPr>
  </w:style>
  <w:style w:type="paragraph" w:customStyle="1" w:styleId="75">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76">
    <w:name w:val="标题 1 字符"/>
    <w:basedOn w:val="28"/>
    <w:link w:val="2"/>
    <w:qFormat/>
    <w:locked/>
    <w:uiPriority w:val="99"/>
    <w:rPr>
      <w:rFonts w:ascii="Times New Roman" w:hAnsi="Times New Roman" w:eastAsia="宋体" w:cs="Times New Roman"/>
      <w:b/>
      <w:kern w:val="44"/>
      <w:sz w:val="32"/>
    </w:rPr>
  </w:style>
  <w:style w:type="paragraph" w:customStyle="1" w:styleId="77">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78">
    <w:name w:val="网格型1"/>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01"/>
    <w:basedOn w:val="28"/>
    <w:qFormat/>
    <w:uiPriority w:val="0"/>
    <w:rPr>
      <w:rFonts w:hint="eastAsia" w:ascii="宋体" w:hAnsi="宋体" w:eastAsia="宋体" w:cs="宋体"/>
      <w:color w:val="000000"/>
      <w:sz w:val="22"/>
      <w:szCs w:val="22"/>
      <w:u w:val="none"/>
    </w:rPr>
  </w:style>
  <w:style w:type="character" w:customStyle="1" w:styleId="80">
    <w:name w:val="font11"/>
    <w:basedOn w:val="28"/>
    <w:qFormat/>
    <w:uiPriority w:val="0"/>
    <w:rPr>
      <w:rFonts w:ascii="Arial" w:hAnsi="Arial" w:cs="Arial"/>
      <w:color w:val="000000"/>
      <w:sz w:val="22"/>
      <w:szCs w:val="22"/>
      <w:u w:val="none"/>
    </w:rPr>
  </w:style>
  <w:style w:type="paragraph" w:customStyle="1" w:styleId="81">
    <w:name w:val="报告正文"/>
    <w:basedOn w:val="1"/>
    <w:qFormat/>
    <w:uiPriority w:val="0"/>
    <w:pPr>
      <w:spacing w:line="560" w:lineRule="exact"/>
      <w:ind w:firstLine="648" w:firstLineChars="200"/>
      <w:jc w:val="left"/>
    </w:pPr>
    <w:rPr>
      <w:rFonts w:hint="eastAsia" w:eastAsia="仿宋"/>
      <w:color w:val="000000"/>
      <w:spacing w:val="2"/>
      <w:kern w:val="10"/>
    </w:rPr>
  </w:style>
  <w:style w:type="paragraph" w:customStyle="1" w:styleId="82">
    <w:name w:val="null3"/>
    <w:hidden/>
    <w:qFormat/>
    <w:uiPriority w:val="0"/>
    <w:rPr>
      <w:rFonts w:hint="eastAsia" w:asciiTheme="minorHAnsi" w:hAnsiTheme="minorHAnsi" w:eastAsiaTheme="minorEastAsia" w:cstheme="minorBidi"/>
      <w:lang w:val="en-US" w:eastAsia="zh-Hans" w:bidi="ar-SA"/>
    </w:rPr>
  </w:style>
  <w:style w:type="paragraph" w:customStyle="1" w:styleId="83">
    <w:name w:val="1"/>
    <w:basedOn w:val="1"/>
    <w:next w:val="22"/>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8E7A-7FC9-467B-BE1F-6C2268F3E776}">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67</Pages>
  <Words>26485</Words>
  <Characters>27769</Characters>
  <Lines>232</Lines>
  <Paragraphs>65</Paragraphs>
  <TotalTime>98</TotalTime>
  <ScaleCrop>false</ScaleCrop>
  <LinksUpToDate>false</LinksUpToDate>
  <CharactersWithSpaces>29325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2025-06-05T01:31:00Z</dcterms:created>
  <dc:creator>Administrator</dc:creator>
  <cp:lastModifiedBy>C</cp:lastModifiedBy>
  <cp:lastPrinted>2025-06-27T03:03:00Z</cp:lastPrinted>
  <dcterms:modified xsi:type="dcterms:W3CDTF">2025-06-30T09:14:35Z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5461A30E100540C4BD4EAA3F6A8DEF52_13</vt:lpwstr>
  </property>
  <property fmtid="{D5CDD505-2E9C-101B-9397-08002B2CF9AE}" pid="4" name="KSOTemplateDocerSaveRecord">
    <vt:lpwstr>eyJoZGlkIjoiMzg2MWM3NDRiODFjMTY5ZjQ3NWVkNzIxZDU3YTBhY2IiLCJ1c2VySWQiOiI0NzM2OTcxODIifQ==</vt:lpwstr>
  </property>
</Properties>
</file>