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FFA074">
      <w:pPr>
        <w:spacing w:line="576" w:lineRule="exact"/>
        <w:ind w:firstLine="803" w:firstLineChars="200"/>
        <w:jc w:val="center"/>
        <w:rPr>
          <w:rFonts w:hint="eastAsia" w:ascii="仿宋_GB2312" w:hAnsi="仿宋_GB2312" w:eastAsia="仿宋_GB2312" w:cs="仿宋_GB2312"/>
          <w:b/>
          <w:bCs/>
          <w:sz w:val="40"/>
          <w:szCs w:val="4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0"/>
          <w:highlight w:val="none"/>
          <w:lang w:val="en-US" w:eastAsia="zh-CN"/>
        </w:rPr>
        <w:t>采购需求</w:t>
      </w:r>
    </w:p>
    <w:p w14:paraId="2E81DA97">
      <w:pPr>
        <w:spacing w:line="576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项目概况</w:t>
      </w:r>
    </w:p>
    <w:p w14:paraId="01B0721F">
      <w:pPr>
        <w:ind w:firstLine="640" w:firstLineChars="200"/>
        <w:rPr>
          <w:rFonts w:hint="eastAsia" w:ascii="仿宋_GB2312" w:hAnsi="方正仿宋简体" w:eastAsia="仿宋_GB2312" w:cs="方正仿宋简体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仿宋_GB2312" w:hAnsi="方正仿宋简体" w:eastAsia="仿宋_GB2312" w:cs="方正仿宋简体"/>
          <w:b w:val="0"/>
          <w:bCs w:val="0"/>
          <w:color w:val="000000"/>
          <w:sz w:val="32"/>
          <w:szCs w:val="32"/>
          <w:highlight w:val="none"/>
        </w:rPr>
        <w:t>西安高新综合保税区、关中综合保税区B区（以下简称“两区”）内的企业大多以危化品的生产、经营、仓储、使用为主。为杜绝重大事故、遏制较大事故、降低一般事故，提升企业安全本质水平，优化</w:t>
      </w:r>
      <w:r>
        <w:rPr>
          <w:rFonts w:hint="eastAsia" w:ascii="仿宋_GB2312" w:hAnsi="方正仿宋简体" w:eastAsia="仿宋_GB2312" w:cs="方正仿宋简体"/>
          <w:b w:val="0"/>
          <w:bCs w:val="0"/>
          <w:color w:val="000000"/>
          <w:sz w:val="32"/>
          <w:szCs w:val="32"/>
          <w:highlight w:val="none"/>
          <w:lang w:eastAsia="zh-CN"/>
        </w:rPr>
        <w:t>采购人</w:t>
      </w:r>
      <w:r>
        <w:rPr>
          <w:rFonts w:hint="eastAsia" w:ascii="仿宋_GB2312" w:hAnsi="方正仿宋简体" w:eastAsia="仿宋_GB2312" w:cs="方正仿宋简体"/>
          <w:b w:val="0"/>
          <w:bCs w:val="0"/>
          <w:color w:val="000000"/>
          <w:sz w:val="32"/>
          <w:szCs w:val="32"/>
          <w:highlight w:val="none"/>
        </w:rPr>
        <w:t>安全管理工作，实现区域风险可控，隐患排查治理及时闭环管理，需要聘请第三方安全技术服务机构作为</w:t>
      </w:r>
      <w:r>
        <w:rPr>
          <w:rFonts w:hint="eastAsia" w:ascii="仿宋_GB2312" w:hAnsi="方正仿宋简体" w:eastAsia="仿宋_GB2312" w:cs="方正仿宋简体"/>
          <w:b w:val="0"/>
          <w:bCs w:val="0"/>
          <w:color w:val="000000"/>
          <w:sz w:val="32"/>
          <w:szCs w:val="32"/>
          <w:highlight w:val="none"/>
          <w:lang w:eastAsia="zh-CN"/>
        </w:rPr>
        <w:t>采购人</w:t>
      </w:r>
      <w:r>
        <w:rPr>
          <w:rFonts w:hint="eastAsia" w:ascii="仿宋_GB2312" w:hAnsi="方正仿宋简体" w:eastAsia="仿宋_GB2312" w:cs="方正仿宋简体"/>
          <w:b w:val="0"/>
          <w:bCs w:val="0"/>
          <w:color w:val="000000"/>
          <w:sz w:val="32"/>
          <w:szCs w:val="32"/>
          <w:highlight w:val="none"/>
        </w:rPr>
        <w:t>安全管理工作的技术支撑单位，为</w:t>
      </w:r>
      <w:r>
        <w:rPr>
          <w:rFonts w:hint="eastAsia" w:ascii="仿宋_GB2312" w:hAnsi="方正仿宋简体" w:eastAsia="仿宋_GB2312" w:cs="方正仿宋简体"/>
          <w:b w:val="0"/>
          <w:bCs w:val="0"/>
          <w:color w:val="000000"/>
          <w:sz w:val="32"/>
          <w:szCs w:val="32"/>
          <w:highlight w:val="none"/>
          <w:lang w:eastAsia="zh-CN"/>
        </w:rPr>
        <w:t>采购人</w:t>
      </w:r>
      <w:r>
        <w:rPr>
          <w:rFonts w:hint="eastAsia" w:ascii="仿宋_GB2312" w:hAnsi="方正仿宋简体" w:eastAsia="仿宋_GB2312" w:cs="方正仿宋简体"/>
          <w:b w:val="0"/>
          <w:bCs w:val="0"/>
          <w:color w:val="000000"/>
          <w:sz w:val="32"/>
          <w:szCs w:val="32"/>
          <w:highlight w:val="none"/>
        </w:rPr>
        <w:t>的日常监管提供技术支持及保障。</w:t>
      </w:r>
    </w:p>
    <w:p w14:paraId="139C1991">
      <w:pPr>
        <w:spacing w:line="576" w:lineRule="exact"/>
        <w:ind w:firstLine="643" w:firstLineChars="200"/>
        <w:rPr>
          <w:rFonts w:hint="default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二、服务内容</w:t>
      </w:r>
    </w:p>
    <w:p w14:paraId="508D12CC">
      <w:pPr>
        <w:spacing w:line="576" w:lineRule="exact"/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不断完善健全综合安全监管制度体系</w:t>
      </w:r>
    </w:p>
    <w:p w14:paraId="679FA5BE"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健全安全生产责任和管理制度体系，落实全员安全生产责任制。</w:t>
      </w:r>
    </w:p>
    <w:p w14:paraId="3933D2DE"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完善安全检查综合监管制度，制定检查计划。</w:t>
      </w:r>
    </w:p>
    <w:p w14:paraId="10052598"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健全安全生产宣传和教育制度。</w:t>
      </w:r>
    </w:p>
    <w:p w14:paraId="791CB185"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健全风险分级管控和隐患排查治理体系。</w:t>
      </w:r>
    </w:p>
    <w:p w14:paraId="57322E6C"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完善安全生产应急管理体系。</w:t>
      </w:r>
    </w:p>
    <w:p w14:paraId="45362E4F"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完善生产体系包含但不限于以上内容，具体根据相关法律法规及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Hans"/>
        </w:rPr>
        <w:t>西安市高新区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管委会文件要求制定。</w:t>
      </w:r>
    </w:p>
    <w:p w14:paraId="77F03744">
      <w:pPr>
        <w:spacing w:line="576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安全生产检查</w:t>
      </w:r>
    </w:p>
    <w:p w14:paraId="05E56A7F"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根据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采购人实际，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制定年度检查计划、检查方案并开展安全检查工作，包括区域项目全覆盖隐患排查、专项检查、节前安全检查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复工复产检查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等。</w:t>
      </w:r>
    </w:p>
    <w:p w14:paraId="738323AE"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指派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及以上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现场检查人员，其中一名现场检查人员具备安全类中级以上职称（含中级），根据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采购人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工作安排，在规定期限内完成所属范围内的安全检查和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复查工作，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月至少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检查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。</w:t>
      </w:r>
    </w:p>
    <w:p w14:paraId="38130A94"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做好安全检查隐患台账记录，每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半年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分析区域在建项目安全生产形势，分析存在问题，提出下一步安全生产工作计划建议。</w:t>
      </w:r>
    </w:p>
    <w:p w14:paraId="6DF3A651">
      <w:pPr>
        <w:spacing w:line="576" w:lineRule="exact"/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安全生产培训</w:t>
      </w:r>
    </w:p>
    <w:p w14:paraId="6D87C267"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 每年根据采购人安排组织开展培训工作，为采购人涉及的企业提供安全生产体系建设、安全隐患排查整治、安全生产分级分类管控、全员岗位责任制建设、生产安全事故应急体系建设、事故警示教育等专业技术培训。</w:t>
      </w:r>
    </w:p>
    <w:p w14:paraId="6E53358A"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 安排省市应急管理系统安全管理专家，具有丰富的相关领域培训经验，能够高质量开展安全培训的老师开展培训。</w:t>
      </w:r>
    </w:p>
    <w:p w14:paraId="15AC5531"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（四）临时性工作</w:t>
      </w:r>
    </w:p>
    <w:p w14:paraId="07354BD5"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完成临时交办的安全生产方面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Hans"/>
        </w:rPr>
        <w:t>的其他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工作。</w:t>
      </w:r>
    </w:p>
    <w:p w14:paraId="7E33D1DC">
      <w:pPr>
        <w:spacing w:line="576" w:lineRule="exact"/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三、服务期限：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本项目一次招标沿用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三年，合同一年一签。(成交供应商所提供的服务质量经采购人考核后，在采购内容不变、采购预算有保障、服务价格不变或降低的情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况下,则双方可续签下年合同，若在合同实施过程中出现预算调整、需求变更或成交供应商服务无法达到采购人要求等情况，合同终止，由采购人重新组织采购）。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2C0D02"/>
    <w:rsid w:val="00C34048"/>
    <w:rsid w:val="050471D5"/>
    <w:rsid w:val="053C7039"/>
    <w:rsid w:val="05711A44"/>
    <w:rsid w:val="07055153"/>
    <w:rsid w:val="07F933E3"/>
    <w:rsid w:val="09CF2980"/>
    <w:rsid w:val="09D0533B"/>
    <w:rsid w:val="0B6F77E5"/>
    <w:rsid w:val="0BE77DA2"/>
    <w:rsid w:val="117A2513"/>
    <w:rsid w:val="13FE0526"/>
    <w:rsid w:val="181C3FA3"/>
    <w:rsid w:val="18EF18DD"/>
    <w:rsid w:val="19235D7C"/>
    <w:rsid w:val="1F5A6197"/>
    <w:rsid w:val="23C949D6"/>
    <w:rsid w:val="26396924"/>
    <w:rsid w:val="26E13E53"/>
    <w:rsid w:val="27D868FE"/>
    <w:rsid w:val="283D6944"/>
    <w:rsid w:val="297558AC"/>
    <w:rsid w:val="2D901664"/>
    <w:rsid w:val="333A6108"/>
    <w:rsid w:val="34391CBC"/>
    <w:rsid w:val="34880D18"/>
    <w:rsid w:val="34E06B1D"/>
    <w:rsid w:val="34FD51B3"/>
    <w:rsid w:val="37B13F46"/>
    <w:rsid w:val="385935CD"/>
    <w:rsid w:val="3A6F7E2D"/>
    <w:rsid w:val="3ABB227F"/>
    <w:rsid w:val="3C31041F"/>
    <w:rsid w:val="3D1928D1"/>
    <w:rsid w:val="3D68584E"/>
    <w:rsid w:val="3F41226C"/>
    <w:rsid w:val="41271A71"/>
    <w:rsid w:val="427D3EB0"/>
    <w:rsid w:val="44C01FE2"/>
    <w:rsid w:val="485E59E4"/>
    <w:rsid w:val="4A3C512E"/>
    <w:rsid w:val="4BE156B5"/>
    <w:rsid w:val="4EE80B08"/>
    <w:rsid w:val="50742555"/>
    <w:rsid w:val="52876BC7"/>
    <w:rsid w:val="530774AF"/>
    <w:rsid w:val="55A52421"/>
    <w:rsid w:val="579A3366"/>
    <w:rsid w:val="59502521"/>
    <w:rsid w:val="5B0842C5"/>
    <w:rsid w:val="5C036210"/>
    <w:rsid w:val="5CD53D97"/>
    <w:rsid w:val="5EAE573F"/>
    <w:rsid w:val="5F171848"/>
    <w:rsid w:val="615B30D9"/>
    <w:rsid w:val="615C33BC"/>
    <w:rsid w:val="636D3049"/>
    <w:rsid w:val="693A7F09"/>
    <w:rsid w:val="6A894E1B"/>
    <w:rsid w:val="6AF272E7"/>
    <w:rsid w:val="6B861DFC"/>
    <w:rsid w:val="6C136138"/>
    <w:rsid w:val="6C414997"/>
    <w:rsid w:val="6C5C1EDC"/>
    <w:rsid w:val="6E5824A9"/>
    <w:rsid w:val="6F2C0D02"/>
    <w:rsid w:val="70DA5D7D"/>
    <w:rsid w:val="72E3010A"/>
    <w:rsid w:val="738B22F5"/>
    <w:rsid w:val="75153B55"/>
    <w:rsid w:val="7540409A"/>
    <w:rsid w:val="75FC26D7"/>
    <w:rsid w:val="78A417BB"/>
    <w:rsid w:val="7B7D3A13"/>
    <w:rsid w:val="7CCE6984"/>
    <w:rsid w:val="7D393C95"/>
    <w:rsid w:val="7D6D78F8"/>
    <w:rsid w:val="7DF2584A"/>
    <w:rsid w:val="7E7D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1"/>
    <w:autoRedefine/>
    <w:qFormat/>
    <w:uiPriority w:val="0"/>
    <w:pPr>
      <w:spacing w:before="0" w:beforeAutospacing="1" w:after="0" w:afterAutospacing="1"/>
      <w:jc w:val="left"/>
      <w:outlineLvl w:val="0"/>
    </w:pPr>
    <w:rPr>
      <w:rFonts w:hint="eastAsia" w:ascii="宋体" w:hAnsi="宋体" w:eastAsia="仿宋_GB2312" w:cs="宋体"/>
      <w:b/>
      <w:bCs/>
      <w:sz w:val="32"/>
      <w:szCs w:val="48"/>
      <w:lang w:bidi="ar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adjustRightInd w:val="0"/>
      <w:snapToGrid w:val="0"/>
      <w:spacing w:line="360" w:lineRule="auto"/>
      <w:outlineLvl w:val="1"/>
    </w:pPr>
    <w:rPr>
      <w:rFonts w:ascii="黑体" w:hAnsi="黑体" w:cs="Times New Roman"/>
      <w:b/>
      <w:sz w:val="30"/>
      <w:szCs w:val="24"/>
    </w:rPr>
  </w:style>
  <w:style w:type="paragraph" w:styleId="4">
    <w:name w:val="heading 3"/>
    <w:basedOn w:val="1"/>
    <w:next w:val="1"/>
    <w:link w:val="12"/>
    <w:semiHidden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360" w:lineRule="auto"/>
      <w:outlineLvl w:val="2"/>
    </w:pPr>
    <w:rPr>
      <w:rFonts w:ascii="Calibri" w:hAnsi="Calibri" w:cs="Times New Roman"/>
      <w:b/>
      <w:sz w:val="24"/>
      <w:szCs w:val="24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300" w:lineRule="auto"/>
      <w:outlineLvl w:val="3"/>
    </w:pPr>
    <w:rPr>
      <w:rFonts w:ascii="Arial" w:hAnsi="Arial" w:cs="Times New Roman"/>
      <w:b/>
      <w:sz w:val="30"/>
      <w:szCs w:val="2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autoRedefine/>
    <w:qFormat/>
    <w:uiPriority w:val="0"/>
    <w:pPr>
      <w:ind w:firstLine="420" w:firstLineChars="200"/>
    </w:pPr>
  </w:style>
  <w:style w:type="paragraph" w:styleId="7">
    <w:name w:val="Body Text"/>
    <w:basedOn w:val="1"/>
    <w:autoRedefine/>
    <w:qFormat/>
    <w:uiPriority w:val="0"/>
    <w:pPr>
      <w:spacing w:after="120" w:afterLines="0" w:afterAutospacing="0"/>
    </w:pPr>
  </w:style>
  <w:style w:type="character" w:customStyle="1" w:styleId="10">
    <w:name w:val="标题 2 Char"/>
    <w:link w:val="3"/>
    <w:autoRedefine/>
    <w:qFormat/>
    <w:uiPriority w:val="0"/>
    <w:rPr>
      <w:rFonts w:ascii="Arial" w:hAnsi="Arial" w:eastAsia="仿宋_GB2312" w:cs="Times New Roman"/>
      <w:b/>
      <w:snapToGrid w:val="0"/>
      <w:color w:val="000000"/>
      <w:kern w:val="0"/>
      <w:sz w:val="30"/>
      <w:szCs w:val="24"/>
      <w:lang w:eastAsia="en-US"/>
    </w:rPr>
  </w:style>
  <w:style w:type="character" w:customStyle="1" w:styleId="11">
    <w:name w:val="标题 1 Char"/>
    <w:link w:val="2"/>
    <w:autoRedefine/>
    <w:qFormat/>
    <w:uiPriority w:val="0"/>
    <w:rPr>
      <w:rFonts w:ascii="宋体" w:hAnsi="宋体" w:eastAsia="仿宋_GB2312" w:cs="宋体"/>
      <w:b/>
      <w:bCs/>
      <w:snapToGrid w:val="0"/>
      <w:color w:val="000000"/>
      <w:spacing w:val="-4"/>
      <w:kern w:val="44"/>
      <w:sz w:val="32"/>
      <w:szCs w:val="24"/>
      <w:lang w:val="en-US" w:eastAsia="en-US" w:bidi="ar-SA"/>
    </w:rPr>
  </w:style>
  <w:style w:type="character" w:customStyle="1" w:styleId="12">
    <w:name w:val="标题 3 Char"/>
    <w:link w:val="4"/>
    <w:qFormat/>
    <w:uiPriority w:val="0"/>
    <w:rPr>
      <w:rFonts w:ascii="Calibri" w:hAnsi="Calibri" w:eastAsia="仿宋_GB2312" w:cs="Times New Roman"/>
      <w:b/>
      <w:bC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2025-07-02T08:28:00Z</dcterms:created>
  <dc:creator>华采</dc:creator>
  <cp:lastModifiedBy>华采</cp:lastModifiedBy>
  <dcterms:modified xsi:type="dcterms:W3CDTF">2025-07-02T08:29:52Z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876177304AF44253B29114943473E9ED_11</vt:lpwstr>
  </property>
  <property fmtid="{D5CDD505-2E9C-101B-9397-08002B2CF9AE}" pid="4" name="KSOTemplateDocerSaveRecord">
    <vt:lpwstr>eyJoZGlkIjoiZjJhNzdmOTM5YmVkNWYxMDI1ZDJkZDk5YzNhZTc2YzAiLCJ1c2VySWQiOiIyNzA3NjExMTQifQ==</vt:lpwstr>
  </property>
</Properties>
</file>