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D82AE">
      <w:pPr>
        <w:adjustRightInd w:val="0"/>
        <w:snapToGrid w:val="0"/>
        <w:spacing w:line="360" w:lineRule="auto"/>
        <w:jc w:val="left"/>
        <w:rPr>
          <w:rFonts w:asciiTheme="minorEastAsia" w:hAnsiTheme="minorEastAsia" w:cstheme="minorEastAsia"/>
          <w:b/>
          <w:sz w:val="28"/>
          <w:szCs w:val="28"/>
        </w:rPr>
      </w:pPr>
      <w:bookmarkStart w:id="0" w:name="OLE_LINK9"/>
      <w:r>
        <w:rPr>
          <w:rFonts w:hint="eastAsia" w:asciiTheme="minorEastAsia" w:hAnsiTheme="minorEastAsia" w:cstheme="minorEastAsia"/>
          <w:b/>
          <w:sz w:val="28"/>
          <w:szCs w:val="28"/>
        </w:rPr>
        <w:t>政府采购项目</w:t>
      </w:r>
    </w:p>
    <w:p w14:paraId="292E53A0">
      <w:pPr>
        <w:adjustRightInd w:val="0"/>
        <w:snapToGrid w:val="0"/>
        <w:spacing w:line="360" w:lineRule="auto"/>
        <w:jc w:val="left"/>
        <w:rPr>
          <w:rFonts w:hint="eastAsia" w:asciiTheme="minorEastAsia" w:hAnsiTheme="minorEastAsia" w:cstheme="minorEastAsia"/>
          <w:b/>
          <w:sz w:val="48"/>
          <w:lang w:eastAsia="zh-CN"/>
        </w:rPr>
      </w:pPr>
      <w:r>
        <w:rPr>
          <w:rFonts w:hint="eastAsia" w:asciiTheme="minorEastAsia" w:hAnsiTheme="minorEastAsia" w:cstheme="minorEastAsia"/>
          <w:b/>
          <w:sz w:val="28"/>
          <w:szCs w:val="28"/>
        </w:rPr>
        <w:t>项目编号：</w:t>
      </w:r>
      <w:r>
        <w:rPr>
          <w:rFonts w:hint="eastAsia" w:asciiTheme="minorEastAsia" w:hAnsiTheme="minorEastAsia" w:cstheme="minorEastAsia"/>
          <w:b/>
          <w:sz w:val="28"/>
          <w:szCs w:val="28"/>
          <w:lang w:eastAsia="zh-CN"/>
        </w:rPr>
        <w:t>SXWZ2025ZB-SGLJ-070A</w:t>
      </w:r>
    </w:p>
    <w:p w14:paraId="3EA65767">
      <w:pPr>
        <w:adjustRightInd w:val="0"/>
        <w:snapToGrid w:val="0"/>
        <w:spacing w:line="360" w:lineRule="auto"/>
        <w:jc w:val="center"/>
        <w:rPr>
          <w:rFonts w:hint="eastAsia" w:asciiTheme="minorEastAsia" w:hAnsiTheme="minorEastAsia" w:cstheme="minorEastAsia"/>
          <w:b/>
          <w:bCs/>
          <w:sz w:val="36"/>
          <w:szCs w:val="36"/>
          <w:lang w:eastAsia="zh-CN"/>
        </w:rPr>
      </w:pPr>
    </w:p>
    <w:p w14:paraId="1F5970B6">
      <w:pPr>
        <w:pStyle w:val="24"/>
        <w:rPr>
          <w:rFonts w:hint="eastAsia"/>
          <w:lang w:eastAsia="zh-CN"/>
        </w:rPr>
      </w:pPr>
    </w:p>
    <w:p w14:paraId="004E4B9A">
      <w:pPr>
        <w:adjustRightInd w:val="0"/>
        <w:snapToGrid w:val="0"/>
        <w:spacing w:line="360" w:lineRule="auto"/>
        <w:jc w:val="center"/>
        <w:rPr>
          <w:rFonts w:asciiTheme="minorEastAsia" w:hAnsiTheme="minorEastAsia" w:cstheme="minorEastAsia"/>
          <w:b/>
          <w:sz w:val="52"/>
          <w:szCs w:val="52"/>
        </w:rPr>
      </w:pPr>
      <w:r>
        <w:rPr>
          <w:rFonts w:hint="eastAsia" w:ascii="宋体" w:hAnsi="宋体" w:eastAsia="宋体" w:cs="宋体"/>
          <w:b/>
          <w:bCs/>
          <w:color w:val="auto"/>
          <w:sz w:val="44"/>
          <w:szCs w:val="44"/>
          <w:highlight w:val="none"/>
          <w:lang w:eastAsia="zh-CN"/>
        </w:rPr>
        <w:t>西安市市场监督管理局2025年机电类特种设备安全质量监督抽查项目（二次）</w:t>
      </w:r>
    </w:p>
    <w:p w14:paraId="5017BBE4">
      <w:pPr>
        <w:tabs>
          <w:tab w:val="left" w:pos="0"/>
        </w:tabs>
        <w:adjustRightInd w:val="0"/>
        <w:snapToGrid w:val="0"/>
        <w:spacing w:line="360" w:lineRule="auto"/>
        <w:jc w:val="both"/>
        <w:rPr>
          <w:rFonts w:asciiTheme="minorEastAsia" w:hAnsiTheme="minorEastAsia" w:cstheme="minorEastAsia"/>
          <w:b/>
          <w:sz w:val="84"/>
          <w:szCs w:val="84"/>
        </w:rPr>
      </w:pPr>
      <w:r>
        <w:rPr>
          <w:rFonts w:hint="eastAsia" w:asciiTheme="minorEastAsia" w:hAnsiTheme="minorEastAsia" w:cstheme="minorEastAsia"/>
          <w:b/>
          <w:i/>
          <w:sz w:val="48"/>
        </w:rPr>
        <w:drawing>
          <wp:anchor distT="0" distB="0" distL="114300" distR="114300" simplePos="0" relativeHeight="251659264" behindDoc="1" locked="0" layoutInCell="1" allowOverlap="1">
            <wp:simplePos x="0" y="0"/>
            <wp:positionH relativeFrom="column">
              <wp:posOffset>1838325</wp:posOffset>
            </wp:positionH>
            <wp:positionV relativeFrom="paragraph">
              <wp:posOffset>359410</wp:posOffset>
            </wp:positionV>
            <wp:extent cx="2312670" cy="1447800"/>
            <wp:effectExtent l="0" t="0" r="11430" b="0"/>
            <wp:wrapTight wrapText="bothSides">
              <wp:wrapPolygon>
                <wp:start x="0" y="0"/>
                <wp:lineTo x="0" y="21316"/>
                <wp:lineTo x="21351" y="21316"/>
                <wp:lineTo x="21351" y="0"/>
                <wp:lineTo x="0" y="0"/>
              </wp:wrapPolygon>
            </wp:wrapTight>
            <wp:docPr id="5"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图标"/>
                    <pic:cNvPicPr>
                      <a:picLocks noChangeAspect="1"/>
                    </pic:cNvPicPr>
                  </pic:nvPicPr>
                  <pic:blipFill>
                    <a:blip r:embed="rId24" cstate="print"/>
                    <a:stretch>
                      <a:fillRect/>
                    </a:stretch>
                  </pic:blipFill>
                  <pic:spPr>
                    <a:xfrm>
                      <a:off x="0" y="0"/>
                      <a:ext cx="2312670" cy="1447800"/>
                    </a:xfrm>
                    <a:prstGeom prst="rect">
                      <a:avLst/>
                    </a:prstGeom>
                    <a:noFill/>
                    <a:ln w="9525">
                      <a:noFill/>
                      <a:miter/>
                    </a:ln>
                    <a:effectLst/>
                  </pic:spPr>
                </pic:pic>
              </a:graphicData>
            </a:graphic>
          </wp:anchor>
        </w:drawing>
      </w:r>
    </w:p>
    <w:p w14:paraId="426DD928">
      <w:pPr>
        <w:tabs>
          <w:tab w:val="left" w:pos="0"/>
        </w:tabs>
        <w:adjustRightInd w:val="0"/>
        <w:snapToGrid w:val="0"/>
        <w:spacing w:line="360" w:lineRule="auto"/>
        <w:jc w:val="center"/>
        <w:rPr>
          <w:rFonts w:hint="eastAsia" w:asciiTheme="minorEastAsia" w:hAnsiTheme="minorEastAsia" w:cstheme="minorEastAsia"/>
          <w:b/>
          <w:sz w:val="84"/>
          <w:szCs w:val="84"/>
        </w:rPr>
      </w:pPr>
    </w:p>
    <w:p w14:paraId="6EEA1A95">
      <w:pPr>
        <w:tabs>
          <w:tab w:val="left" w:pos="0"/>
        </w:tabs>
        <w:adjustRightInd w:val="0"/>
        <w:snapToGrid w:val="0"/>
        <w:spacing w:line="360" w:lineRule="auto"/>
        <w:jc w:val="center"/>
        <w:rPr>
          <w:rFonts w:asciiTheme="minorEastAsia" w:hAnsiTheme="minorEastAsia" w:cstheme="minorEastAsia"/>
          <w:b/>
          <w:sz w:val="30"/>
        </w:rPr>
      </w:pPr>
      <w:r>
        <w:rPr>
          <w:rFonts w:hint="eastAsia" w:asciiTheme="minorEastAsia" w:hAnsiTheme="minorEastAsia" w:cstheme="minorEastAsia"/>
          <w:b/>
          <w:sz w:val="84"/>
          <w:szCs w:val="84"/>
        </w:rPr>
        <w:t>招标文件</w:t>
      </w:r>
    </w:p>
    <w:p w14:paraId="43EFA4F0"/>
    <w:p w14:paraId="70726476"/>
    <w:p w14:paraId="743007D7"/>
    <w:p w14:paraId="1EB9AB1E"/>
    <w:p w14:paraId="0B7F4732"/>
    <w:p w14:paraId="60A4136C">
      <w:pPr>
        <w:adjustRightInd w:val="0"/>
        <w:snapToGrid w:val="0"/>
        <w:spacing w:line="360" w:lineRule="auto"/>
        <w:ind w:firstLine="2249" w:firstLineChars="800"/>
        <w:rPr>
          <w:rFonts w:hint="eastAsia" w:asciiTheme="minorEastAsia" w:hAnsiTheme="minorEastAsia" w:eastAsiaTheme="minorEastAsia" w:cstheme="minorEastAsia"/>
          <w:b/>
          <w:sz w:val="28"/>
          <w:szCs w:val="28"/>
          <w:lang w:eastAsia="zh-CN"/>
        </w:rPr>
      </w:pPr>
      <w:r>
        <w:rPr>
          <w:rFonts w:hint="eastAsia" w:asciiTheme="minorEastAsia" w:hAnsiTheme="minorEastAsia" w:cstheme="minorEastAsia"/>
          <w:b/>
          <w:sz w:val="28"/>
          <w:szCs w:val="28"/>
        </w:rPr>
        <w:t>采   购   人：</w:t>
      </w:r>
      <w:r>
        <w:rPr>
          <w:rFonts w:hint="eastAsia" w:asciiTheme="minorEastAsia" w:hAnsiTheme="minorEastAsia" w:cstheme="minorEastAsia"/>
          <w:b/>
          <w:sz w:val="28"/>
          <w:szCs w:val="28"/>
          <w:lang w:eastAsia="zh-CN"/>
        </w:rPr>
        <w:t>西安市市场监督管理局</w:t>
      </w:r>
    </w:p>
    <w:p w14:paraId="18E9CA5A">
      <w:pPr>
        <w:adjustRightInd w:val="0"/>
        <w:snapToGrid w:val="0"/>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采购代理机构：陕西万泽招标有限公司</w:t>
      </w:r>
    </w:p>
    <w:p w14:paraId="24EC9062">
      <w:pPr>
        <w:adjustRightInd w:val="0"/>
        <w:snapToGrid w:val="0"/>
        <w:spacing w:line="360" w:lineRule="auto"/>
        <w:jc w:val="center"/>
        <w:rPr>
          <w:rFonts w:asciiTheme="minorEastAsia" w:hAnsiTheme="minorEastAsia" w:cstheme="minorEastAsia"/>
          <w:b/>
          <w:color w:val="FF0000"/>
          <w:sz w:val="28"/>
          <w:szCs w:val="28"/>
        </w:rPr>
      </w:pPr>
      <w:r>
        <w:rPr>
          <w:rFonts w:hint="eastAsia" w:asciiTheme="minorEastAsia" w:hAnsiTheme="minorEastAsia" w:cstheme="minorEastAsia"/>
          <w:b/>
          <w:sz w:val="28"/>
          <w:szCs w:val="28"/>
        </w:rPr>
        <w:t>二〇二</w:t>
      </w:r>
      <w:r>
        <w:rPr>
          <w:rFonts w:hint="eastAsia" w:asciiTheme="minorEastAsia" w:hAnsiTheme="minorEastAsia" w:cstheme="minorEastAsia"/>
          <w:b/>
          <w:sz w:val="28"/>
          <w:szCs w:val="28"/>
          <w:lang w:val="en-US" w:eastAsia="zh-CN"/>
        </w:rPr>
        <w:t>五</w:t>
      </w:r>
      <w:r>
        <w:rPr>
          <w:rFonts w:hint="eastAsia" w:asciiTheme="minorEastAsia" w:hAnsiTheme="minorEastAsia" w:cstheme="minorEastAsia"/>
          <w:b/>
          <w:sz w:val="28"/>
          <w:szCs w:val="28"/>
        </w:rPr>
        <w:t>年</w:t>
      </w:r>
      <w:r>
        <w:rPr>
          <w:rFonts w:hint="eastAsia" w:asciiTheme="minorEastAsia" w:hAnsiTheme="minorEastAsia" w:cstheme="minorEastAsia"/>
          <w:b/>
          <w:sz w:val="28"/>
          <w:szCs w:val="28"/>
          <w:lang w:val="en-US" w:eastAsia="zh-CN"/>
        </w:rPr>
        <w:t>六</w:t>
      </w:r>
      <w:r>
        <w:rPr>
          <w:rFonts w:hint="eastAsia" w:asciiTheme="minorEastAsia" w:hAnsiTheme="minorEastAsia" w:cstheme="minorEastAsia"/>
          <w:b/>
          <w:sz w:val="28"/>
          <w:szCs w:val="28"/>
        </w:rPr>
        <w:t>月</w:t>
      </w:r>
    </w:p>
    <w:p w14:paraId="4742BB92">
      <w:pPr>
        <w:adjustRightInd w:val="0"/>
        <w:snapToGrid w:val="0"/>
        <w:spacing w:line="600" w:lineRule="auto"/>
        <w:rPr>
          <w:rFonts w:asciiTheme="minorEastAsia" w:hAnsiTheme="minorEastAsia" w:cstheme="minorEastAsia"/>
          <w:b/>
          <w:sz w:val="36"/>
          <w:szCs w:val="36"/>
        </w:rPr>
        <w:sectPr>
          <w:headerReference r:id="rId4" w:type="first"/>
          <w:headerReference r:id="rId3" w:type="default"/>
          <w:footerReference r:id="rId5" w:type="default"/>
          <w:pgSz w:w="11906" w:h="16838"/>
          <w:pgMar w:top="1440" w:right="1304" w:bottom="1440" w:left="1304" w:header="851" w:footer="992" w:gutter="0"/>
          <w:pgNumType w:start="1"/>
          <w:cols w:space="0" w:num="1"/>
          <w:docGrid w:type="lines" w:linePitch="325" w:charSpace="0"/>
        </w:sectPr>
      </w:pPr>
    </w:p>
    <w:p w14:paraId="669591B7">
      <w:pPr>
        <w:pStyle w:val="21"/>
        <w:tabs>
          <w:tab w:val="right" w:leader="dot" w:pos="8306"/>
        </w:tabs>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目 录</w:t>
      </w:r>
    </w:p>
    <w:p w14:paraId="497F3A6E">
      <w:pPr>
        <w:pStyle w:val="21"/>
        <w:tabs>
          <w:tab w:val="right" w:leader="dot" w:pos="9298"/>
        </w:tabs>
      </w:pP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TOC \o "1-2" \h \u </w:instrText>
      </w:r>
      <w:r>
        <w:rPr>
          <w:rFonts w:asciiTheme="minorEastAsia" w:hAnsiTheme="minorEastAsia" w:cstheme="minorEastAsia"/>
          <w:sz w:val="24"/>
          <w:szCs w:val="24"/>
        </w:rPr>
        <w:fldChar w:fldCharType="separate"/>
      </w: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_Toc22522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第一部分  公开招标公告</w:t>
      </w:r>
      <w:r>
        <w:tab/>
      </w:r>
      <w:r>
        <w:fldChar w:fldCharType="begin"/>
      </w:r>
      <w:r>
        <w:instrText xml:space="preserve"> PAGEREF _Toc22522 \h </w:instrText>
      </w:r>
      <w:r>
        <w:fldChar w:fldCharType="separate"/>
      </w:r>
      <w:r>
        <w:t>3</w:t>
      </w:r>
      <w:r>
        <w:fldChar w:fldCharType="end"/>
      </w:r>
      <w:r>
        <w:rPr>
          <w:rFonts w:asciiTheme="minorEastAsia" w:hAnsiTheme="minorEastAsia" w:cstheme="minorEastAsia"/>
          <w:szCs w:val="24"/>
        </w:rPr>
        <w:fldChar w:fldCharType="end"/>
      </w:r>
    </w:p>
    <w:p w14:paraId="0117B2D6">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_Toc6264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第二部分  投标人须知前附表</w:t>
      </w:r>
      <w:r>
        <w:tab/>
      </w:r>
      <w:r>
        <w:fldChar w:fldCharType="begin"/>
      </w:r>
      <w:r>
        <w:instrText xml:space="preserve"> PAGEREF _Toc6264 \h </w:instrText>
      </w:r>
      <w:r>
        <w:fldChar w:fldCharType="separate"/>
      </w:r>
      <w:r>
        <w:t>6</w:t>
      </w:r>
      <w:r>
        <w:fldChar w:fldCharType="end"/>
      </w:r>
      <w:r>
        <w:rPr>
          <w:rFonts w:asciiTheme="minorEastAsia" w:hAnsiTheme="minorEastAsia" w:cstheme="minorEastAsia"/>
          <w:szCs w:val="24"/>
        </w:rPr>
        <w:fldChar w:fldCharType="end"/>
      </w:r>
    </w:p>
    <w:p w14:paraId="36D40B9B">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_Toc13103 </w:instrText>
      </w:r>
      <w:r>
        <w:rPr>
          <w:rFonts w:asciiTheme="minorEastAsia" w:hAnsiTheme="minorEastAsia" w:cstheme="minorEastAsia"/>
          <w:szCs w:val="24"/>
        </w:rPr>
        <w:fldChar w:fldCharType="separate"/>
      </w:r>
      <w:r>
        <w:rPr>
          <w:rFonts w:hint="eastAsia"/>
        </w:rPr>
        <w:t>第三部分  投标人须知</w:t>
      </w:r>
      <w:r>
        <w:tab/>
      </w:r>
      <w:r>
        <w:fldChar w:fldCharType="begin"/>
      </w:r>
      <w:r>
        <w:instrText xml:space="preserve"> PAGEREF _Toc13103 \h </w:instrText>
      </w:r>
      <w:r>
        <w:fldChar w:fldCharType="separate"/>
      </w:r>
      <w:r>
        <w:t>10</w:t>
      </w:r>
      <w:r>
        <w:fldChar w:fldCharType="end"/>
      </w:r>
      <w:r>
        <w:rPr>
          <w:rFonts w:asciiTheme="minorEastAsia" w:hAnsiTheme="minorEastAsia" w:cstheme="minorEastAsia"/>
          <w:szCs w:val="24"/>
        </w:rPr>
        <w:fldChar w:fldCharType="end"/>
      </w:r>
    </w:p>
    <w:p w14:paraId="15581672">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_Toc15780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rPr>
        <w:t>一、总 则</w:t>
      </w:r>
      <w:r>
        <w:tab/>
      </w:r>
      <w:r>
        <w:fldChar w:fldCharType="begin"/>
      </w:r>
      <w:r>
        <w:instrText xml:space="preserve"> PAGEREF _Toc15780 \h </w:instrText>
      </w:r>
      <w:r>
        <w:fldChar w:fldCharType="separate"/>
      </w:r>
      <w:r>
        <w:t>10</w:t>
      </w:r>
      <w:r>
        <w:fldChar w:fldCharType="end"/>
      </w:r>
      <w:r>
        <w:rPr>
          <w:rFonts w:asciiTheme="minorEastAsia" w:hAnsiTheme="minorEastAsia" w:cstheme="minorEastAsia"/>
          <w:szCs w:val="24"/>
        </w:rPr>
        <w:fldChar w:fldCharType="end"/>
      </w:r>
    </w:p>
    <w:p w14:paraId="0DD92E95">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_Toc230 </w:instrText>
      </w:r>
      <w:r>
        <w:rPr>
          <w:rFonts w:asciiTheme="minorEastAsia" w:hAnsiTheme="minorEastAsia" w:cstheme="minorEastAsia"/>
          <w:szCs w:val="24"/>
        </w:rPr>
        <w:fldChar w:fldCharType="separate"/>
      </w:r>
      <w:r>
        <w:rPr>
          <w:rFonts w:hint="eastAsia"/>
          <w:szCs w:val="32"/>
        </w:rPr>
        <w:t>二、招标文件</w:t>
      </w:r>
      <w:r>
        <w:tab/>
      </w:r>
      <w:r>
        <w:fldChar w:fldCharType="begin"/>
      </w:r>
      <w:r>
        <w:instrText xml:space="preserve"> PAGEREF _Toc230 \h </w:instrText>
      </w:r>
      <w:r>
        <w:fldChar w:fldCharType="separate"/>
      </w:r>
      <w:r>
        <w:t>12</w:t>
      </w:r>
      <w:r>
        <w:fldChar w:fldCharType="end"/>
      </w:r>
      <w:r>
        <w:rPr>
          <w:rFonts w:asciiTheme="minorEastAsia" w:hAnsiTheme="minorEastAsia" w:cstheme="minorEastAsia"/>
          <w:szCs w:val="24"/>
        </w:rPr>
        <w:fldChar w:fldCharType="end"/>
      </w:r>
    </w:p>
    <w:p w14:paraId="7302F490">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_Toc30698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rPr>
        <w:t>三、投标文件</w:t>
      </w:r>
      <w:r>
        <w:tab/>
      </w:r>
      <w:r>
        <w:fldChar w:fldCharType="begin"/>
      </w:r>
      <w:r>
        <w:instrText xml:space="preserve"> PAGEREF _Toc30698 \h </w:instrText>
      </w:r>
      <w:r>
        <w:fldChar w:fldCharType="separate"/>
      </w:r>
      <w:r>
        <w:t>13</w:t>
      </w:r>
      <w:r>
        <w:fldChar w:fldCharType="end"/>
      </w:r>
      <w:r>
        <w:rPr>
          <w:rFonts w:asciiTheme="minorEastAsia" w:hAnsiTheme="minorEastAsia" w:cstheme="minorEastAsia"/>
          <w:szCs w:val="24"/>
        </w:rPr>
        <w:fldChar w:fldCharType="end"/>
      </w:r>
    </w:p>
    <w:p w14:paraId="152F4679">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_Toc22133 </w:instrText>
      </w:r>
      <w:r>
        <w:rPr>
          <w:rFonts w:asciiTheme="minorEastAsia" w:hAnsiTheme="minorEastAsia" w:cstheme="minorEastAsia"/>
          <w:szCs w:val="24"/>
        </w:rPr>
        <w:fldChar w:fldCharType="separate"/>
      </w:r>
      <w:r>
        <w:rPr>
          <w:rFonts w:hint="eastAsia"/>
          <w:szCs w:val="28"/>
        </w:rPr>
        <w:t>四、投标文件的递交</w:t>
      </w:r>
      <w:r>
        <w:tab/>
      </w:r>
      <w:r>
        <w:fldChar w:fldCharType="begin"/>
      </w:r>
      <w:r>
        <w:instrText xml:space="preserve"> PAGEREF _Toc22133 \h </w:instrText>
      </w:r>
      <w:r>
        <w:fldChar w:fldCharType="separate"/>
      </w:r>
      <w:r>
        <w:t>16</w:t>
      </w:r>
      <w:r>
        <w:fldChar w:fldCharType="end"/>
      </w:r>
      <w:r>
        <w:rPr>
          <w:rFonts w:asciiTheme="minorEastAsia" w:hAnsiTheme="minorEastAsia" w:cstheme="minorEastAsia"/>
          <w:szCs w:val="24"/>
        </w:rPr>
        <w:fldChar w:fldCharType="end"/>
      </w:r>
    </w:p>
    <w:p w14:paraId="774E7D58">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_Toc7745 </w:instrText>
      </w:r>
      <w:r>
        <w:rPr>
          <w:rFonts w:asciiTheme="minorEastAsia" w:hAnsiTheme="minorEastAsia" w:cstheme="minorEastAsia"/>
          <w:szCs w:val="24"/>
        </w:rPr>
        <w:fldChar w:fldCharType="separate"/>
      </w:r>
      <w:r>
        <w:rPr>
          <w:rFonts w:hint="eastAsia"/>
          <w:szCs w:val="28"/>
        </w:rPr>
        <w:t>五、 开标、评审、定标</w:t>
      </w:r>
      <w:r>
        <w:tab/>
      </w:r>
      <w:r>
        <w:fldChar w:fldCharType="begin"/>
      </w:r>
      <w:r>
        <w:instrText xml:space="preserve"> PAGEREF _Toc7745 \h </w:instrText>
      </w:r>
      <w:r>
        <w:fldChar w:fldCharType="separate"/>
      </w:r>
      <w:r>
        <w:t>16</w:t>
      </w:r>
      <w:r>
        <w:fldChar w:fldCharType="end"/>
      </w:r>
      <w:r>
        <w:rPr>
          <w:rFonts w:asciiTheme="minorEastAsia" w:hAnsiTheme="minorEastAsia" w:cstheme="minorEastAsia"/>
          <w:szCs w:val="24"/>
        </w:rPr>
        <w:fldChar w:fldCharType="end"/>
      </w:r>
    </w:p>
    <w:p w14:paraId="51652627">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_Toc20993 </w:instrText>
      </w:r>
      <w:r>
        <w:rPr>
          <w:rFonts w:asciiTheme="minorEastAsia" w:hAnsiTheme="minorEastAsia" w:cstheme="minorEastAsia"/>
          <w:szCs w:val="24"/>
        </w:rPr>
        <w:fldChar w:fldCharType="separate"/>
      </w:r>
      <w:r>
        <w:rPr>
          <w:rFonts w:hint="eastAsia"/>
        </w:rPr>
        <w:t>六、签订合同</w:t>
      </w:r>
      <w:r>
        <w:tab/>
      </w:r>
      <w:r>
        <w:fldChar w:fldCharType="begin"/>
      </w:r>
      <w:r>
        <w:instrText xml:space="preserve"> PAGEREF _Toc20993 \h </w:instrText>
      </w:r>
      <w:r>
        <w:fldChar w:fldCharType="separate"/>
      </w:r>
      <w:r>
        <w:t>22</w:t>
      </w:r>
      <w:r>
        <w:fldChar w:fldCharType="end"/>
      </w:r>
      <w:r>
        <w:rPr>
          <w:rFonts w:asciiTheme="minorEastAsia" w:hAnsiTheme="minorEastAsia" w:cstheme="minorEastAsia"/>
          <w:szCs w:val="24"/>
        </w:rPr>
        <w:fldChar w:fldCharType="end"/>
      </w:r>
    </w:p>
    <w:p w14:paraId="31D87262">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_Toc13574 </w:instrText>
      </w:r>
      <w:r>
        <w:rPr>
          <w:rFonts w:asciiTheme="minorEastAsia" w:hAnsiTheme="minorEastAsia" w:cstheme="minorEastAsia"/>
          <w:szCs w:val="24"/>
        </w:rPr>
        <w:fldChar w:fldCharType="separate"/>
      </w:r>
      <w:r>
        <w:rPr>
          <w:rFonts w:hint="eastAsia"/>
        </w:rPr>
        <w:t>七、代理服务费</w:t>
      </w:r>
      <w:r>
        <w:tab/>
      </w:r>
      <w:r>
        <w:fldChar w:fldCharType="begin"/>
      </w:r>
      <w:r>
        <w:instrText xml:space="preserve"> PAGEREF _Toc13574 \h </w:instrText>
      </w:r>
      <w:r>
        <w:fldChar w:fldCharType="separate"/>
      </w:r>
      <w:r>
        <w:t>22</w:t>
      </w:r>
      <w:r>
        <w:fldChar w:fldCharType="end"/>
      </w:r>
      <w:r>
        <w:rPr>
          <w:rFonts w:asciiTheme="minorEastAsia" w:hAnsiTheme="minorEastAsia" w:cstheme="minorEastAsia"/>
          <w:szCs w:val="24"/>
        </w:rPr>
        <w:fldChar w:fldCharType="end"/>
      </w:r>
    </w:p>
    <w:p w14:paraId="51D6B757">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_Toc29212 </w:instrText>
      </w:r>
      <w:r>
        <w:rPr>
          <w:rFonts w:asciiTheme="minorEastAsia" w:hAnsiTheme="minorEastAsia" w:cstheme="minorEastAsia"/>
          <w:szCs w:val="24"/>
        </w:rPr>
        <w:fldChar w:fldCharType="separate"/>
      </w:r>
      <w:r>
        <w:rPr>
          <w:rFonts w:hint="eastAsia"/>
        </w:rPr>
        <w:t>九、质疑和投诉</w:t>
      </w:r>
      <w:r>
        <w:tab/>
      </w:r>
      <w:r>
        <w:fldChar w:fldCharType="begin"/>
      </w:r>
      <w:r>
        <w:instrText xml:space="preserve"> PAGEREF _Toc29212 \h </w:instrText>
      </w:r>
      <w:r>
        <w:fldChar w:fldCharType="separate"/>
      </w:r>
      <w:r>
        <w:t>23</w:t>
      </w:r>
      <w:r>
        <w:fldChar w:fldCharType="end"/>
      </w:r>
      <w:r>
        <w:rPr>
          <w:rFonts w:asciiTheme="minorEastAsia" w:hAnsiTheme="minorEastAsia" w:cstheme="minorEastAsia"/>
          <w:szCs w:val="24"/>
        </w:rPr>
        <w:fldChar w:fldCharType="end"/>
      </w:r>
    </w:p>
    <w:p w14:paraId="5342DFB3">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_Toc9626 </w:instrText>
      </w:r>
      <w:r>
        <w:rPr>
          <w:rFonts w:asciiTheme="minorEastAsia" w:hAnsiTheme="minorEastAsia" w:cstheme="minorEastAsia"/>
          <w:szCs w:val="24"/>
        </w:rPr>
        <w:fldChar w:fldCharType="separate"/>
      </w:r>
      <w:r>
        <w:rPr>
          <w:rFonts w:hint="eastAsia" w:ascii="宋体" w:hAnsi="宋体" w:cs="宋体"/>
          <w:bCs/>
          <w:szCs w:val="24"/>
          <w:lang w:val="en-US" w:eastAsia="zh-CN"/>
        </w:rPr>
        <w:t>十</w:t>
      </w:r>
      <w:r>
        <w:rPr>
          <w:rFonts w:hint="eastAsia" w:ascii="宋体" w:hAnsi="宋体" w:cs="宋体"/>
          <w:bCs/>
          <w:szCs w:val="24"/>
        </w:rPr>
        <w:t>、其他</w:t>
      </w:r>
      <w:r>
        <w:tab/>
      </w:r>
      <w:r>
        <w:fldChar w:fldCharType="begin"/>
      </w:r>
      <w:r>
        <w:instrText xml:space="preserve"> PAGEREF _Toc9626 \h </w:instrText>
      </w:r>
      <w:r>
        <w:fldChar w:fldCharType="separate"/>
      </w:r>
      <w:r>
        <w:t>24</w:t>
      </w:r>
      <w:r>
        <w:fldChar w:fldCharType="end"/>
      </w:r>
      <w:r>
        <w:rPr>
          <w:rFonts w:asciiTheme="minorEastAsia" w:hAnsiTheme="minorEastAsia" w:cstheme="minorEastAsia"/>
          <w:szCs w:val="24"/>
        </w:rPr>
        <w:fldChar w:fldCharType="end"/>
      </w:r>
    </w:p>
    <w:p w14:paraId="5D87E4A1">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_Toc13136 </w:instrText>
      </w:r>
      <w:r>
        <w:rPr>
          <w:rFonts w:asciiTheme="minorEastAsia" w:hAnsiTheme="minorEastAsia" w:cstheme="minorEastAsia"/>
          <w:szCs w:val="24"/>
        </w:rPr>
        <w:fldChar w:fldCharType="separate"/>
      </w:r>
      <w:r>
        <w:rPr>
          <w:rFonts w:hint="eastAsia"/>
        </w:rPr>
        <w:t>第四部分  评审办法</w:t>
      </w:r>
      <w:r>
        <w:tab/>
      </w:r>
      <w:r>
        <w:fldChar w:fldCharType="begin"/>
      </w:r>
      <w:r>
        <w:instrText xml:space="preserve"> PAGEREF _Toc13136 \h </w:instrText>
      </w:r>
      <w:r>
        <w:fldChar w:fldCharType="separate"/>
      </w:r>
      <w:r>
        <w:t>26</w:t>
      </w:r>
      <w:r>
        <w:fldChar w:fldCharType="end"/>
      </w:r>
      <w:r>
        <w:rPr>
          <w:rFonts w:asciiTheme="minorEastAsia" w:hAnsiTheme="minorEastAsia" w:cstheme="minorEastAsia"/>
          <w:szCs w:val="24"/>
        </w:rPr>
        <w:fldChar w:fldCharType="end"/>
      </w:r>
    </w:p>
    <w:p w14:paraId="2EDE9984">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_Toc6217 </w:instrText>
      </w:r>
      <w:r>
        <w:rPr>
          <w:rFonts w:asciiTheme="minorEastAsia" w:hAnsiTheme="minorEastAsia" w:cstheme="minorEastAsia"/>
          <w:szCs w:val="24"/>
        </w:rPr>
        <w:fldChar w:fldCharType="separate"/>
      </w:r>
      <w:r>
        <w:rPr>
          <w:rFonts w:hint="eastAsia"/>
        </w:rPr>
        <w:t>第五部分  采购要求</w:t>
      </w:r>
      <w:r>
        <w:tab/>
      </w:r>
      <w:r>
        <w:fldChar w:fldCharType="begin"/>
      </w:r>
      <w:r>
        <w:instrText xml:space="preserve"> PAGEREF _Toc6217 \h </w:instrText>
      </w:r>
      <w:r>
        <w:fldChar w:fldCharType="separate"/>
      </w:r>
      <w:r>
        <w:t>32</w:t>
      </w:r>
      <w:r>
        <w:fldChar w:fldCharType="end"/>
      </w:r>
      <w:r>
        <w:rPr>
          <w:rFonts w:asciiTheme="minorEastAsia" w:hAnsiTheme="minorEastAsia" w:cstheme="minorEastAsia"/>
          <w:szCs w:val="24"/>
        </w:rPr>
        <w:fldChar w:fldCharType="end"/>
      </w:r>
    </w:p>
    <w:p w14:paraId="3933A7BC">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_Toc27393 </w:instrText>
      </w:r>
      <w:r>
        <w:rPr>
          <w:rFonts w:asciiTheme="minorEastAsia" w:hAnsiTheme="minorEastAsia" w:cstheme="minorEastAsia"/>
          <w:szCs w:val="24"/>
        </w:rPr>
        <w:fldChar w:fldCharType="separate"/>
      </w:r>
      <w:r>
        <w:rPr>
          <w:rFonts w:hint="eastAsia"/>
          <w:lang w:val="en-US" w:eastAsia="zh-CN"/>
        </w:rPr>
        <w:t xml:space="preserve">第六部分   </w:t>
      </w:r>
      <w:r>
        <w:t>合同</w:t>
      </w:r>
      <w:r>
        <w:rPr>
          <w:rFonts w:hint="eastAsia"/>
        </w:rPr>
        <w:t>主要</w:t>
      </w:r>
      <w:r>
        <w:t>条款</w:t>
      </w:r>
      <w:r>
        <w:rPr>
          <w:rFonts w:hint="eastAsia"/>
          <w:lang w:eastAsia="zh-CN"/>
        </w:rPr>
        <w:t>（</w:t>
      </w:r>
      <w:r>
        <w:rPr>
          <w:rFonts w:hint="eastAsia"/>
          <w:lang w:val="en-US" w:eastAsia="zh-CN"/>
        </w:rPr>
        <w:t>参考合同</w:t>
      </w:r>
      <w:r>
        <w:rPr>
          <w:rFonts w:hint="eastAsia"/>
          <w:lang w:eastAsia="zh-CN"/>
        </w:rPr>
        <w:t>）</w:t>
      </w:r>
      <w:r>
        <w:tab/>
      </w:r>
      <w:r>
        <w:fldChar w:fldCharType="begin"/>
      </w:r>
      <w:r>
        <w:instrText xml:space="preserve"> PAGEREF _Toc27393 \h </w:instrText>
      </w:r>
      <w:r>
        <w:fldChar w:fldCharType="separate"/>
      </w:r>
      <w:r>
        <w:t>42</w:t>
      </w:r>
      <w:r>
        <w:fldChar w:fldCharType="end"/>
      </w:r>
      <w:r>
        <w:rPr>
          <w:rFonts w:asciiTheme="minorEastAsia" w:hAnsiTheme="minorEastAsia" w:cstheme="minorEastAsia"/>
          <w:szCs w:val="24"/>
        </w:rPr>
        <w:fldChar w:fldCharType="end"/>
      </w:r>
    </w:p>
    <w:p w14:paraId="36AB8407">
      <w:pPr>
        <w:pStyle w:val="21"/>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_Toc10789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第七部分  投标文件格式</w:t>
      </w:r>
      <w:r>
        <w:tab/>
      </w:r>
      <w:r>
        <w:fldChar w:fldCharType="begin"/>
      </w:r>
      <w:r>
        <w:instrText xml:space="preserve"> PAGEREF _Toc10789 \h </w:instrText>
      </w:r>
      <w:r>
        <w:fldChar w:fldCharType="separate"/>
      </w:r>
      <w:r>
        <w:t>49</w:t>
      </w:r>
      <w:r>
        <w:fldChar w:fldCharType="end"/>
      </w:r>
      <w:r>
        <w:rPr>
          <w:rFonts w:asciiTheme="minorEastAsia" w:hAnsiTheme="minorEastAsia" w:cstheme="minorEastAsia"/>
          <w:szCs w:val="24"/>
        </w:rPr>
        <w:fldChar w:fldCharType="end"/>
      </w:r>
    </w:p>
    <w:p w14:paraId="40046134">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_Toc21059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第一章  投标函</w:t>
      </w:r>
      <w:r>
        <w:tab/>
      </w:r>
      <w:r>
        <w:fldChar w:fldCharType="begin"/>
      </w:r>
      <w:r>
        <w:instrText xml:space="preserve"> PAGEREF _Toc21059 \h </w:instrText>
      </w:r>
      <w:r>
        <w:fldChar w:fldCharType="separate"/>
      </w:r>
      <w:r>
        <w:t>51</w:t>
      </w:r>
      <w:r>
        <w:fldChar w:fldCharType="end"/>
      </w:r>
      <w:r>
        <w:rPr>
          <w:rFonts w:asciiTheme="minorEastAsia" w:hAnsiTheme="minorEastAsia" w:cstheme="minorEastAsia"/>
          <w:szCs w:val="24"/>
        </w:rPr>
        <w:fldChar w:fldCharType="end"/>
      </w:r>
    </w:p>
    <w:p w14:paraId="448E8275">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_Toc18167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第二章  开标一览表</w:t>
      </w:r>
      <w:r>
        <w:tab/>
      </w:r>
      <w:r>
        <w:fldChar w:fldCharType="begin"/>
      </w:r>
      <w:r>
        <w:instrText xml:space="preserve"> PAGEREF _Toc18167 \h </w:instrText>
      </w:r>
      <w:r>
        <w:fldChar w:fldCharType="separate"/>
      </w:r>
      <w:r>
        <w:t>52</w:t>
      </w:r>
      <w:r>
        <w:fldChar w:fldCharType="end"/>
      </w:r>
      <w:r>
        <w:rPr>
          <w:rFonts w:asciiTheme="minorEastAsia" w:hAnsiTheme="minorEastAsia" w:cstheme="minorEastAsia"/>
          <w:szCs w:val="24"/>
        </w:rPr>
        <w:fldChar w:fldCharType="end"/>
      </w:r>
    </w:p>
    <w:p w14:paraId="31D21F3A">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_Toc2211 </w:instrText>
      </w:r>
      <w:r>
        <w:rPr>
          <w:rFonts w:asciiTheme="minorEastAsia" w:hAnsiTheme="minorEastAsia" w:cstheme="minorEastAsia"/>
          <w:szCs w:val="24"/>
        </w:rPr>
        <w:fldChar w:fldCharType="separate"/>
      </w:r>
      <w:r>
        <w:rPr>
          <w:rFonts w:hint="eastAsia"/>
        </w:rPr>
        <w:t>第三章  分项报价表</w:t>
      </w:r>
      <w:r>
        <w:tab/>
      </w:r>
      <w:r>
        <w:fldChar w:fldCharType="begin"/>
      </w:r>
      <w:r>
        <w:instrText xml:space="preserve"> PAGEREF _Toc2211 \h </w:instrText>
      </w:r>
      <w:r>
        <w:fldChar w:fldCharType="separate"/>
      </w:r>
      <w:r>
        <w:t>53</w:t>
      </w:r>
      <w:r>
        <w:fldChar w:fldCharType="end"/>
      </w:r>
      <w:r>
        <w:rPr>
          <w:rFonts w:asciiTheme="minorEastAsia" w:hAnsiTheme="minorEastAsia" w:cstheme="minorEastAsia"/>
          <w:szCs w:val="24"/>
        </w:rPr>
        <w:fldChar w:fldCharType="end"/>
      </w:r>
    </w:p>
    <w:p w14:paraId="7D8CCAD8">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_Toc28532 </w:instrText>
      </w:r>
      <w:r>
        <w:rPr>
          <w:rFonts w:asciiTheme="minorEastAsia" w:hAnsiTheme="minorEastAsia" w:cstheme="minorEastAsia"/>
          <w:szCs w:val="24"/>
        </w:rPr>
        <w:fldChar w:fldCharType="separate"/>
      </w:r>
      <w:r>
        <w:rPr>
          <w:rFonts w:hint="eastAsia"/>
        </w:rPr>
        <w:t>第四章  资质证明资料</w:t>
      </w:r>
      <w:r>
        <w:tab/>
      </w:r>
      <w:r>
        <w:fldChar w:fldCharType="begin"/>
      </w:r>
      <w:r>
        <w:instrText xml:space="preserve"> PAGEREF _Toc28532 \h </w:instrText>
      </w:r>
      <w:r>
        <w:fldChar w:fldCharType="separate"/>
      </w:r>
      <w:r>
        <w:t>54</w:t>
      </w:r>
      <w:r>
        <w:fldChar w:fldCharType="end"/>
      </w:r>
      <w:r>
        <w:rPr>
          <w:rFonts w:asciiTheme="minorEastAsia" w:hAnsiTheme="minorEastAsia" w:cstheme="minorEastAsia"/>
          <w:szCs w:val="24"/>
        </w:rPr>
        <w:fldChar w:fldCharType="end"/>
      </w:r>
    </w:p>
    <w:p w14:paraId="1CC17A88">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_Toc22002 </w:instrText>
      </w:r>
      <w:r>
        <w:rPr>
          <w:rFonts w:asciiTheme="minorEastAsia" w:hAnsiTheme="minorEastAsia" w:cstheme="minorEastAsia"/>
          <w:szCs w:val="24"/>
        </w:rPr>
        <w:fldChar w:fldCharType="separate"/>
      </w:r>
      <w:r>
        <w:rPr>
          <w:rFonts w:hint="eastAsia"/>
        </w:rPr>
        <w:t>第五章  商务和技术响应偏离表</w:t>
      </w:r>
      <w:r>
        <w:tab/>
      </w:r>
      <w:r>
        <w:fldChar w:fldCharType="begin"/>
      </w:r>
      <w:r>
        <w:instrText xml:space="preserve"> PAGEREF _Toc22002 \h </w:instrText>
      </w:r>
      <w:r>
        <w:fldChar w:fldCharType="separate"/>
      </w:r>
      <w:r>
        <w:t>62</w:t>
      </w:r>
      <w:r>
        <w:fldChar w:fldCharType="end"/>
      </w:r>
      <w:r>
        <w:rPr>
          <w:rFonts w:asciiTheme="minorEastAsia" w:hAnsiTheme="minorEastAsia" w:cstheme="minorEastAsia"/>
          <w:szCs w:val="24"/>
        </w:rPr>
        <w:fldChar w:fldCharType="end"/>
      </w:r>
    </w:p>
    <w:p w14:paraId="61F45AFE">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_Toc13909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第六章  技术支持资料</w:t>
      </w:r>
      <w:r>
        <w:tab/>
      </w:r>
      <w:r>
        <w:fldChar w:fldCharType="begin"/>
      </w:r>
      <w:r>
        <w:instrText xml:space="preserve"> PAGEREF _Toc13909 \h </w:instrText>
      </w:r>
      <w:r>
        <w:fldChar w:fldCharType="separate"/>
      </w:r>
      <w:r>
        <w:t>64</w:t>
      </w:r>
      <w:r>
        <w:fldChar w:fldCharType="end"/>
      </w:r>
      <w:r>
        <w:rPr>
          <w:rFonts w:asciiTheme="minorEastAsia" w:hAnsiTheme="minorEastAsia" w:cstheme="minorEastAsia"/>
          <w:szCs w:val="24"/>
        </w:rPr>
        <w:fldChar w:fldCharType="end"/>
      </w:r>
    </w:p>
    <w:p w14:paraId="5055AFD9">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_Toc27528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w:t>
      </w:r>
      <w:r>
        <w:rPr>
          <w:rFonts w:hint="eastAsia" w:asciiTheme="minorEastAsia" w:hAnsiTheme="minorEastAsia" w:eastAsiaTheme="minorEastAsia" w:cstheme="minorEastAsia"/>
          <w:szCs w:val="36"/>
          <w:lang w:val="en-US" w:eastAsia="zh-CN"/>
        </w:rPr>
        <w:t>七</w:t>
      </w:r>
      <w:r>
        <w:rPr>
          <w:rFonts w:hint="eastAsia" w:asciiTheme="minorEastAsia" w:hAnsiTheme="minorEastAsia" w:eastAsiaTheme="minorEastAsia" w:cstheme="minorEastAsia"/>
          <w:szCs w:val="36"/>
        </w:rPr>
        <w:t>章  服务方案</w:t>
      </w:r>
      <w:r>
        <w:tab/>
      </w:r>
      <w:r>
        <w:fldChar w:fldCharType="begin"/>
      </w:r>
      <w:r>
        <w:instrText xml:space="preserve"> PAGEREF _Toc27528 \h </w:instrText>
      </w:r>
      <w:r>
        <w:fldChar w:fldCharType="separate"/>
      </w:r>
      <w:r>
        <w:t>65</w:t>
      </w:r>
      <w:r>
        <w:fldChar w:fldCharType="end"/>
      </w:r>
      <w:r>
        <w:rPr>
          <w:rFonts w:asciiTheme="minorEastAsia" w:hAnsiTheme="minorEastAsia" w:cstheme="minorEastAsia"/>
          <w:szCs w:val="24"/>
        </w:rPr>
        <w:fldChar w:fldCharType="end"/>
      </w:r>
    </w:p>
    <w:p w14:paraId="02F17356">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_Toc21258 </w:instrText>
      </w:r>
      <w:r>
        <w:rPr>
          <w:rFonts w:asciiTheme="minorEastAsia" w:hAnsiTheme="minorEastAsia" w:cstheme="minorEastAsia"/>
          <w:szCs w:val="24"/>
        </w:rPr>
        <w:fldChar w:fldCharType="separate"/>
      </w:r>
      <w:r>
        <w:rPr>
          <w:rFonts w:hint="eastAsia"/>
        </w:rPr>
        <w:t>第</w:t>
      </w:r>
      <w:r>
        <w:rPr>
          <w:rFonts w:hint="eastAsia"/>
          <w:lang w:val="en-US" w:eastAsia="zh-CN"/>
        </w:rPr>
        <w:t>八</w:t>
      </w:r>
      <w:r>
        <w:rPr>
          <w:rFonts w:hint="eastAsia"/>
        </w:rPr>
        <w:t>章  投标人业绩一览表</w:t>
      </w:r>
      <w:r>
        <w:tab/>
      </w:r>
      <w:r>
        <w:fldChar w:fldCharType="begin"/>
      </w:r>
      <w:r>
        <w:instrText xml:space="preserve"> PAGEREF _Toc21258 \h </w:instrText>
      </w:r>
      <w:r>
        <w:fldChar w:fldCharType="separate"/>
      </w:r>
      <w:r>
        <w:t>66</w:t>
      </w:r>
      <w:r>
        <w:fldChar w:fldCharType="end"/>
      </w:r>
      <w:r>
        <w:rPr>
          <w:rFonts w:asciiTheme="minorEastAsia" w:hAnsiTheme="minorEastAsia" w:cstheme="minorEastAsia"/>
          <w:szCs w:val="24"/>
        </w:rPr>
        <w:fldChar w:fldCharType="end"/>
      </w:r>
    </w:p>
    <w:p w14:paraId="31EA398A">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_Toc10406 </w:instrText>
      </w:r>
      <w:r>
        <w:rPr>
          <w:rFonts w:asciiTheme="minorEastAsia" w:hAnsiTheme="minorEastAsia" w:cstheme="minorEastAsia"/>
          <w:szCs w:val="24"/>
        </w:rPr>
        <w:fldChar w:fldCharType="separate"/>
      </w:r>
      <w:r>
        <w:rPr>
          <w:rFonts w:hint="eastAsia"/>
        </w:rPr>
        <w:t>第</w:t>
      </w:r>
      <w:r>
        <w:rPr>
          <w:rFonts w:hint="eastAsia"/>
          <w:lang w:val="en-US" w:eastAsia="zh-CN"/>
        </w:rPr>
        <w:t>九</w:t>
      </w:r>
      <w:r>
        <w:rPr>
          <w:rFonts w:hint="eastAsia"/>
        </w:rPr>
        <w:t>章  投标人认为有必要说明的其他问题</w:t>
      </w:r>
      <w:r>
        <w:tab/>
      </w:r>
      <w:r>
        <w:fldChar w:fldCharType="begin"/>
      </w:r>
      <w:r>
        <w:instrText xml:space="preserve"> PAGEREF _Toc10406 \h </w:instrText>
      </w:r>
      <w:r>
        <w:fldChar w:fldCharType="separate"/>
      </w:r>
      <w:r>
        <w:t>67</w:t>
      </w:r>
      <w:r>
        <w:fldChar w:fldCharType="end"/>
      </w:r>
      <w:r>
        <w:rPr>
          <w:rFonts w:asciiTheme="minorEastAsia" w:hAnsiTheme="minorEastAsia" w:cstheme="minorEastAsia"/>
          <w:szCs w:val="24"/>
        </w:rPr>
        <w:fldChar w:fldCharType="end"/>
      </w:r>
    </w:p>
    <w:p w14:paraId="74C2F2BC">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_Toc24345 </w:instrText>
      </w:r>
      <w:r>
        <w:rPr>
          <w:rFonts w:asciiTheme="minorEastAsia" w:hAnsiTheme="minorEastAsia" w:cstheme="minorEastAsia"/>
          <w:szCs w:val="24"/>
        </w:rPr>
        <w:fldChar w:fldCharType="separate"/>
      </w:r>
      <w:r>
        <w:rPr>
          <w:rFonts w:hint="eastAsia"/>
        </w:rPr>
        <w:t>第</w:t>
      </w:r>
      <w:r>
        <w:rPr>
          <w:rFonts w:hint="eastAsia" w:eastAsia="宋体"/>
          <w:lang w:val="en-US" w:eastAsia="zh-CN"/>
        </w:rPr>
        <w:t>十</w:t>
      </w:r>
      <w:r>
        <w:rPr>
          <w:rFonts w:hint="eastAsia"/>
        </w:rPr>
        <w:t>章  投标人承诺书</w:t>
      </w:r>
      <w:r>
        <w:tab/>
      </w:r>
      <w:r>
        <w:fldChar w:fldCharType="begin"/>
      </w:r>
      <w:r>
        <w:instrText xml:space="preserve"> PAGEREF _Toc24345 \h </w:instrText>
      </w:r>
      <w:r>
        <w:fldChar w:fldCharType="separate"/>
      </w:r>
      <w:r>
        <w:t>68</w:t>
      </w:r>
      <w:r>
        <w:fldChar w:fldCharType="end"/>
      </w:r>
      <w:r>
        <w:rPr>
          <w:rFonts w:asciiTheme="minorEastAsia" w:hAnsiTheme="minorEastAsia" w:cstheme="minorEastAsia"/>
          <w:szCs w:val="24"/>
        </w:rPr>
        <w:fldChar w:fldCharType="end"/>
      </w:r>
    </w:p>
    <w:p w14:paraId="7E68A2D1">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_Toc17116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rPr>
        <w:t>附件一</w:t>
      </w:r>
      <w:r>
        <w:rPr>
          <w:rFonts w:hint="eastAsia" w:asciiTheme="minorEastAsia" w:hAnsiTheme="minorEastAsia" w:cstheme="minorEastAsia"/>
          <w:lang w:eastAsia="zh-CN"/>
        </w:rPr>
        <w:t>、</w:t>
      </w:r>
      <w:r>
        <w:rPr>
          <w:rFonts w:hint="eastAsia" w:asciiTheme="minorEastAsia" w:hAnsiTheme="minorEastAsia" w:eastAsiaTheme="minorEastAsia" w:cstheme="minorEastAsia"/>
        </w:rPr>
        <w:t>封袋正面标识式样</w:t>
      </w:r>
      <w:r>
        <w:tab/>
      </w:r>
      <w:r>
        <w:fldChar w:fldCharType="begin"/>
      </w:r>
      <w:r>
        <w:instrText xml:space="preserve"> PAGEREF _Toc17116 \h </w:instrText>
      </w:r>
      <w:r>
        <w:fldChar w:fldCharType="separate"/>
      </w:r>
      <w:r>
        <w:t>69</w:t>
      </w:r>
      <w:r>
        <w:fldChar w:fldCharType="end"/>
      </w:r>
      <w:r>
        <w:rPr>
          <w:rFonts w:asciiTheme="minorEastAsia" w:hAnsiTheme="minorEastAsia" w:cstheme="minorEastAsia"/>
          <w:szCs w:val="24"/>
        </w:rPr>
        <w:fldChar w:fldCharType="end"/>
      </w:r>
    </w:p>
    <w:p w14:paraId="53854BD3">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_Toc15213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rPr>
        <w:t>附件二、中小企业申明</w:t>
      </w:r>
      <w:r>
        <w:tab/>
      </w:r>
      <w:r>
        <w:fldChar w:fldCharType="begin"/>
      </w:r>
      <w:r>
        <w:instrText xml:space="preserve"> PAGEREF _Toc15213 \h </w:instrText>
      </w:r>
      <w:r>
        <w:fldChar w:fldCharType="separate"/>
      </w:r>
      <w:r>
        <w:t>71</w:t>
      </w:r>
      <w:r>
        <w:fldChar w:fldCharType="end"/>
      </w:r>
      <w:r>
        <w:rPr>
          <w:rFonts w:asciiTheme="minorEastAsia" w:hAnsiTheme="minorEastAsia" w:cstheme="minorEastAsia"/>
          <w:szCs w:val="24"/>
        </w:rPr>
        <w:fldChar w:fldCharType="end"/>
      </w:r>
    </w:p>
    <w:p w14:paraId="36DB6E50">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_Toc31387 </w:instrText>
      </w:r>
      <w:r>
        <w:rPr>
          <w:rFonts w:asciiTheme="minorEastAsia" w:hAnsiTheme="minorEastAsia" w:cstheme="minorEastAsia"/>
          <w:szCs w:val="24"/>
        </w:rPr>
        <w:fldChar w:fldCharType="separate"/>
      </w:r>
      <w:r>
        <w:rPr>
          <w:rFonts w:hint="eastAsia"/>
        </w:rPr>
        <w:t>附件三、残疾人福利性单位声明</w:t>
      </w:r>
      <w:r>
        <w:tab/>
      </w:r>
      <w:r>
        <w:fldChar w:fldCharType="begin"/>
      </w:r>
      <w:r>
        <w:instrText xml:space="preserve"> PAGEREF _Toc31387 \h </w:instrText>
      </w:r>
      <w:r>
        <w:fldChar w:fldCharType="separate"/>
      </w:r>
      <w:r>
        <w:t>72</w:t>
      </w:r>
      <w:r>
        <w:fldChar w:fldCharType="end"/>
      </w:r>
      <w:r>
        <w:rPr>
          <w:rFonts w:asciiTheme="minorEastAsia" w:hAnsiTheme="minorEastAsia" w:cstheme="minorEastAsia"/>
          <w:szCs w:val="24"/>
        </w:rPr>
        <w:fldChar w:fldCharType="end"/>
      </w:r>
    </w:p>
    <w:p w14:paraId="25E7D0B6">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_Toc17695 </w:instrText>
      </w:r>
      <w:r>
        <w:rPr>
          <w:rFonts w:asciiTheme="minorEastAsia" w:hAnsiTheme="minorEastAsia" w:cstheme="minorEastAsia"/>
          <w:szCs w:val="24"/>
        </w:rPr>
        <w:fldChar w:fldCharType="separate"/>
      </w:r>
      <w:r>
        <w:rPr>
          <w:rFonts w:hint="eastAsia" w:ascii="宋体" w:hAnsi="宋体"/>
        </w:rPr>
        <w:t>附件四、监狱企业证明文件</w:t>
      </w:r>
      <w:r>
        <w:tab/>
      </w:r>
      <w:r>
        <w:fldChar w:fldCharType="begin"/>
      </w:r>
      <w:r>
        <w:instrText xml:space="preserve"> PAGEREF _Toc17695 \h </w:instrText>
      </w:r>
      <w:r>
        <w:fldChar w:fldCharType="separate"/>
      </w:r>
      <w:r>
        <w:t>73</w:t>
      </w:r>
      <w:r>
        <w:fldChar w:fldCharType="end"/>
      </w:r>
      <w:r>
        <w:rPr>
          <w:rFonts w:asciiTheme="minorEastAsia" w:hAnsiTheme="minorEastAsia" w:cstheme="minorEastAsia"/>
          <w:szCs w:val="24"/>
        </w:rPr>
        <w:fldChar w:fldCharType="end"/>
      </w:r>
    </w:p>
    <w:p w14:paraId="2DA63559">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_Toc1372 </w:instrText>
      </w:r>
      <w:r>
        <w:rPr>
          <w:rFonts w:asciiTheme="minorEastAsia" w:hAnsiTheme="minorEastAsia" w:cstheme="minorEastAsia"/>
          <w:szCs w:val="24"/>
        </w:rPr>
        <w:fldChar w:fldCharType="separate"/>
      </w:r>
      <w:r>
        <w:rPr>
          <w:rFonts w:hint="eastAsia" w:ascii="宋体" w:hAnsi="宋体"/>
        </w:rPr>
        <w:t>附件五、“节能产品”，“环境标志产品”证明材料</w:t>
      </w:r>
      <w:r>
        <w:tab/>
      </w:r>
      <w:r>
        <w:fldChar w:fldCharType="begin"/>
      </w:r>
      <w:r>
        <w:instrText xml:space="preserve"> PAGEREF _Toc1372 \h </w:instrText>
      </w:r>
      <w:r>
        <w:fldChar w:fldCharType="separate"/>
      </w:r>
      <w:r>
        <w:t>73</w:t>
      </w:r>
      <w:r>
        <w:fldChar w:fldCharType="end"/>
      </w:r>
      <w:r>
        <w:rPr>
          <w:rFonts w:asciiTheme="minorEastAsia" w:hAnsiTheme="minorEastAsia" w:cstheme="minorEastAsia"/>
          <w:szCs w:val="24"/>
        </w:rPr>
        <w:fldChar w:fldCharType="end"/>
      </w:r>
    </w:p>
    <w:p w14:paraId="39F3C638">
      <w:pPr>
        <w:pStyle w:val="23"/>
        <w:tabs>
          <w:tab w:val="right" w:leader="dot" w:pos="9298"/>
        </w:tabs>
      </w:pP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_Toc32125 </w:instrText>
      </w:r>
      <w:r>
        <w:rPr>
          <w:rFonts w:asciiTheme="minorEastAsia" w:hAnsiTheme="minorEastAsia" w:cstheme="minorEastAsia"/>
          <w:szCs w:val="24"/>
        </w:rPr>
        <w:fldChar w:fldCharType="separate"/>
      </w:r>
      <w:r>
        <w:rPr>
          <w:rFonts w:hint="eastAsia"/>
        </w:rPr>
        <w:t>附件六、质疑函范本</w:t>
      </w:r>
      <w:r>
        <w:tab/>
      </w:r>
      <w:r>
        <w:fldChar w:fldCharType="begin"/>
      </w:r>
      <w:r>
        <w:instrText xml:space="preserve"> PAGEREF _Toc32125 \h </w:instrText>
      </w:r>
      <w:r>
        <w:fldChar w:fldCharType="separate"/>
      </w:r>
      <w:r>
        <w:t>74</w:t>
      </w:r>
      <w:r>
        <w:fldChar w:fldCharType="end"/>
      </w:r>
      <w:r>
        <w:rPr>
          <w:rFonts w:asciiTheme="minorEastAsia" w:hAnsiTheme="minorEastAsia" w:cstheme="minorEastAsia"/>
          <w:szCs w:val="24"/>
        </w:rPr>
        <w:fldChar w:fldCharType="end"/>
      </w:r>
    </w:p>
    <w:p w14:paraId="6F44993D">
      <w:pPr>
        <w:pStyle w:val="23"/>
        <w:tabs>
          <w:tab w:val="right" w:leader="dot" w:pos="9298"/>
        </w:tabs>
        <w:rPr>
          <w:rFonts w:asciiTheme="minorEastAsia" w:hAnsiTheme="minorEastAsia" w:cstheme="minorEastAsia"/>
          <w:szCs w:val="24"/>
        </w:rPr>
      </w:pPr>
      <w:r>
        <w:rPr>
          <w:rFonts w:asciiTheme="minorEastAsia" w:hAnsiTheme="minorEastAsia" w:cstheme="minorEastAsia"/>
          <w:szCs w:val="24"/>
        </w:rPr>
        <w:fldChar w:fldCharType="end"/>
      </w:r>
    </w:p>
    <w:p w14:paraId="71399803"/>
    <w:p w14:paraId="2F72AE1E"/>
    <w:p w14:paraId="6CFC764E">
      <w:pPr>
        <w:tabs>
          <w:tab w:val="left" w:pos="3477"/>
        </w:tabs>
        <w:jc w:val="left"/>
        <w:sectPr>
          <w:footerReference r:id="rId6" w:type="default"/>
          <w:pgSz w:w="11906" w:h="16838"/>
          <w:pgMar w:top="1440" w:right="1304" w:bottom="1440" w:left="1304" w:header="851" w:footer="992" w:gutter="0"/>
          <w:cols w:space="0" w:num="1"/>
          <w:docGrid w:type="lines" w:linePitch="325" w:charSpace="0"/>
        </w:sectPr>
      </w:pPr>
      <w:r>
        <w:rPr>
          <w:rFonts w:hint="eastAsia"/>
        </w:rPr>
        <w:tab/>
      </w:r>
    </w:p>
    <w:p w14:paraId="62598124">
      <w:pPr>
        <w:pStyle w:val="3"/>
        <w:spacing w:beforeLines="100" w:afterLines="150" w:line="600" w:lineRule="exact"/>
        <w:rPr>
          <w:rFonts w:asciiTheme="minorEastAsia" w:hAnsiTheme="minorEastAsia" w:eastAsiaTheme="minorEastAsia" w:cstheme="minorEastAsia"/>
          <w:sz w:val="36"/>
          <w:szCs w:val="36"/>
        </w:rPr>
      </w:pPr>
      <w:bookmarkStart w:id="1" w:name="_Toc26575"/>
      <w:bookmarkStart w:id="2" w:name="_Toc22522"/>
      <w:bookmarkStart w:id="3" w:name="_Toc23156"/>
      <w:r>
        <w:rPr>
          <w:rFonts w:hint="eastAsia" w:asciiTheme="minorEastAsia" w:hAnsiTheme="minorEastAsia" w:eastAsiaTheme="minorEastAsia" w:cstheme="minorEastAsia"/>
          <w:sz w:val="36"/>
          <w:szCs w:val="36"/>
        </w:rPr>
        <w:t>第一部分  公开招标公告</w:t>
      </w:r>
      <w:bookmarkEnd w:id="1"/>
      <w:bookmarkEnd w:id="2"/>
      <w:bookmarkEnd w:id="3"/>
    </w:p>
    <w:p w14:paraId="68499F18">
      <w:pPr>
        <w:widowControl/>
        <w:wordWrap w:val="0"/>
        <w:snapToGrid w:val="0"/>
        <w:spacing w:line="360" w:lineRule="auto"/>
        <w:ind w:right="-92" w:rightChars="-44" w:firstLine="480" w:firstLineChars="20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陕西万泽招标有限公司受</w:t>
      </w:r>
      <w:r>
        <w:rPr>
          <w:rFonts w:hint="eastAsia" w:asciiTheme="minorEastAsia" w:hAnsiTheme="minorEastAsia" w:cstheme="minorEastAsia"/>
          <w:kern w:val="0"/>
          <w:sz w:val="24"/>
          <w:szCs w:val="24"/>
          <w:lang w:eastAsia="zh-CN"/>
        </w:rPr>
        <w:t>西安市市场监督管理局</w:t>
      </w:r>
      <w:r>
        <w:rPr>
          <w:rFonts w:hint="eastAsia" w:asciiTheme="minorEastAsia" w:hAnsiTheme="minorEastAsia" w:cstheme="minorEastAsia"/>
          <w:kern w:val="0"/>
          <w:sz w:val="24"/>
          <w:szCs w:val="24"/>
        </w:rPr>
        <w:t>的委托，经政府采购管理部门批准，就</w:t>
      </w:r>
      <w:r>
        <w:rPr>
          <w:rFonts w:hint="eastAsia" w:asciiTheme="minorEastAsia" w:hAnsiTheme="minorEastAsia" w:cstheme="minorEastAsia"/>
          <w:kern w:val="0"/>
          <w:sz w:val="24"/>
          <w:szCs w:val="24"/>
          <w:lang w:eastAsia="zh-CN"/>
        </w:rPr>
        <w:t>西安市市场监督管理局2025年机电类特种设备安全质量监督抽查项目（二次）</w:t>
      </w:r>
      <w:r>
        <w:rPr>
          <w:rFonts w:hint="eastAsia" w:asciiTheme="minorEastAsia" w:hAnsiTheme="minorEastAsia" w:cstheme="minorEastAsia"/>
          <w:kern w:val="0"/>
          <w:sz w:val="24"/>
          <w:szCs w:val="24"/>
        </w:rPr>
        <w:t>进行公开招标采购，欢迎符合资格条件的、有能力提供本次项目所需货物和服务的投标人参加投标。</w:t>
      </w:r>
    </w:p>
    <w:p w14:paraId="4C5FB7C1">
      <w:pPr>
        <w:widowControl/>
        <w:numPr>
          <w:ilvl w:val="0"/>
          <w:numId w:val="0"/>
        </w:numPr>
        <w:wordWrap w:val="0"/>
        <w:snapToGrid w:val="0"/>
        <w:spacing w:line="360" w:lineRule="auto"/>
        <w:ind w:firstLine="480" w:firstLineChars="200"/>
        <w:jc w:val="left"/>
        <w:rPr>
          <w:rFonts w:asciiTheme="minorEastAsia" w:hAnsiTheme="minorEastAsia" w:cstheme="minorEastAsia"/>
          <w:kern w:val="0"/>
          <w:sz w:val="24"/>
          <w:szCs w:val="24"/>
        </w:rPr>
      </w:pPr>
      <w:r>
        <w:rPr>
          <w:rFonts w:asciiTheme="minorEastAsia" w:hAnsiTheme="minorEastAsia" w:eastAsiaTheme="minorEastAsia" w:cstheme="minorEastAsia"/>
          <w:kern w:val="0"/>
          <w:sz w:val="24"/>
          <w:szCs w:val="24"/>
          <w:lang w:val="en-US" w:eastAsia="zh-CN" w:bidi="ar-SA"/>
        </w:rPr>
        <w:t>一、</w:t>
      </w:r>
      <w:r>
        <w:rPr>
          <w:rFonts w:hint="eastAsia" w:asciiTheme="minorEastAsia" w:hAnsiTheme="minorEastAsia" w:cstheme="minorEastAsia"/>
          <w:kern w:val="0"/>
          <w:sz w:val="24"/>
          <w:szCs w:val="24"/>
        </w:rPr>
        <w:t>项目名称：</w:t>
      </w:r>
      <w:r>
        <w:rPr>
          <w:rFonts w:hint="eastAsia" w:asciiTheme="minorEastAsia" w:hAnsiTheme="minorEastAsia" w:cstheme="minorEastAsia"/>
          <w:kern w:val="0"/>
          <w:sz w:val="24"/>
          <w:szCs w:val="24"/>
          <w:lang w:eastAsia="zh-CN"/>
        </w:rPr>
        <w:t>西安市市场监督管理局2025年机电类特种设备安全质量监督抽查项目（二次）</w:t>
      </w:r>
    </w:p>
    <w:p w14:paraId="46BE2A94">
      <w:pPr>
        <w:widowControl/>
        <w:numPr>
          <w:ilvl w:val="0"/>
          <w:numId w:val="0"/>
        </w:numPr>
        <w:wordWrap w:val="0"/>
        <w:snapToGrid w:val="0"/>
        <w:spacing w:line="360" w:lineRule="auto"/>
        <w:ind w:firstLine="480" w:firstLineChars="200"/>
        <w:jc w:val="left"/>
        <w:rPr>
          <w:rFonts w:ascii="宋体" w:cs="宋体"/>
          <w:kern w:val="0"/>
          <w:sz w:val="24"/>
          <w:szCs w:val="24"/>
        </w:rPr>
      </w:pPr>
      <w:r>
        <w:rPr>
          <w:rFonts w:ascii="宋体" w:cs="宋体" w:hAnsiTheme="minorHAnsi" w:eastAsiaTheme="minorEastAsia"/>
          <w:kern w:val="0"/>
          <w:sz w:val="24"/>
          <w:szCs w:val="24"/>
          <w:lang w:val="en-US" w:eastAsia="zh-CN" w:bidi="ar-SA"/>
        </w:rPr>
        <w:t>二、</w:t>
      </w:r>
      <w:r>
        <w:rPr>
          <w:rFonts w:hint="eastAsia" w:asciiTheme="minorEastAsia" w:hAnsiTheme="minorEastAsia" w:cstheme="minorEastAsia"/>
          <w:kern w:val="0"/>
          <w:sz w:val="24"/>
          <w:szCs w:val="24"/>
        </w:rPr>
        <w:t>项目编号：</w:t>
      </w:r>
      <w:bookmarkStart w:id="4" w:name="_Toc20220_WPSOffice_Level2"/>
      <w:r>
        <w:rPr>
          <w:rFonts w:hint="eastAsia" w:asciiTheme="minorEastAsia" w:hAnsiTheme="minorEastAsia" w:cstheme="minorEastAsia"/>
          <w:kern w:val="0"/>
          <w:sz w:val="24"/>
          <w:szCs w:val="24"/>
          <w:lang w:eastAsia="zh-CN"/>
        </w:rPr>
        <w:t>SXWZ2025ZB-SGLJ-070A</w:t>
      </w:r>
    </w:p>
    <w:p w14:paraId="2B2E6099">
      <w:pPr>
        <w:widowControl/>
        <w:numPr>
          <w:ilvl w:val="0"/>
          <w:numId w:val="0"/>
        </w:numPr>
        <w:wordWrap w:val="0"/>
        <w:snapToGrid w:val="0"/>
        <w:spacing w:line="360" w:lineRule="auto"/>
        <w:ind w:firstLine="480" w:firstLineChars="200"/>
        <w:jc w:val="left"/>
        <w:rPr>
          <w:rFonts w:ascii="宋体" w:cs="宋体"/>
          <w:kern w:val="0"/>
          <w:sz w:val="24"/>
          <w:szCs w:val="24"/>
        </w:rPr>
      </w:pPr>
      <w:r>
        <w:rPr>
          <w:rFonts w:ascii="宋体" w:cs="宋体" w:hAnsiTheme="minorHAnsi" w:eastAsiaTheme="minorEastAsia"/>
          <w:kern w:val="0"/>
          <w:sz w:val="24"/>
          <w:szCs w:val="24"/>
          <w:lang w:val="en-US" w:eastAsia="zh-CN" w:bidi="ar-SA"/>
        </w:rPr>
        <w:t>三、</w:t>
      </w:r>
      <w:r>
        <w:rPr>
          <w:rFonts w:hint="eastAsia" w:ascii="宋体" w:hAnsi="宋体" w:cs="宋体"/>
          <w:kern w:val="0"/>
          <w:sz w:val="24"/>
          <w:szCs w:val="24"/>
        </w:rPr>
        <w:t>采购人名称：</w:t>
      </w:r>
      <w:bookmarkEnd w:id="4"/>
      <w:r>
        <w:rPr>
          <w:rFonts w:hint="eastAsia" w:asciiTheme="minorEastAsia" w:hAnsiTheme="minorEastAsia" w:cstheme="minorEastAsia"/>
          <w:kern w:val="0"/>
          <w:sz w:val="24"/>
          <w:szCs w:val="24"/>
          <w:lang w:eastAsia="zh-CN"/>
        </w:rPr>
        <w:t>西安市市场监督管理局</w:t>
      </w:r>
    </w:p>
    <w:p w14:paraId="2BB57756">
      <w:pPr>
        <w:widowControl/>
        <w:tabs>
          <w:tab w:val="left" w:pos="0"/>
        </w:tabs>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 xml:space="preserve">址：陕西省西安市经开区凤城八路109号  </w:t>
      </w:r>
    </w:p>
    <w:p w14:paraId="60FAB555">
      <w:pPr>
        <w:widowControl/>
        <w:tabs>
          <w:tab w:val="left" w:pos="0"/>
        </w:tabs>
        <w:wordWrap w:val="0"/>
        <w:spacing w:line="360" w:lineRule="auto"/>
        <w:ind w:firstLine="960" w:firstLineChars="400"/>
        <w:jc w:val="left"/>
        <w:rPr>
          <w:rFonts w:hint="default" w:ascii="宋体" w:hAnsi="宋体" w:cs="宋体" w:eastAsiaTheme="minorEastAsia"/>
          <w:kern w:val="0"/>
          <w:sz w:val="24"/>
          <w:szCs w:val="24"/>
          <w:lang w:val="en-US" w:eastAsia="zh-CN"/>
        </w:rPr>
      </w:pPr>
      <w:r>
        <w:rPr>
          <w:rFonts w:ascii="宋体" w:hAnsi="宋体" w:cs="宋体"/>
          <w:kern w:val="0"/>
          <w:sz w:val="24"/>
          <w:szCs w:val="24"/>
        </w:rPr>
        <w:t>联</w:t>
      </w:r>
      <w:r>
        <w:rPr>
          <w:rFonts w:hint="eastAsia" w:ascii="宋体" w:hAnsi="宋体" w:cs="宋体"/>
          <w:kern w:val="0"/>
          <w:sz w:val="24"/>
          <w:szCs w:val="24"/>
        </w:rPr>
        <w:t>系方式：029-81876957</w:t>
      </w:r>
    </w:p>
    <w:p w14:paraId="4FD20CAE">
      <w:pPr>
        <w:widowControl/>
        <w:numPr>
          <w:ilvl w:val="0"/>
          <w:numId w:val="0"/>
        </w:numPr>
        <w:tabs>
          <w:tab w:val="left" w:pos="1620"/>
        </w:tabs>
        <w:wordWrap w:val="0"/>
        <w:spacing w:line="360" w:lineRule="auto"/>
        <w:ind w:firstLine="420" w:firstLineChars="175"/>
        <w:jc w:val="left"/>
        <w:rPr>
          <w:rFonts w:ascii="宋体" w:hAnsi="宋体" w:cs="宋体"/>
          <w:kern w:val="0"/>
          <w:sz w:val="24"/>
          <w:szCs w:val="24"/>
        </w:rPr>
      </w:pPr>
      <w:r>
        <w:rPr>
          <w:rFonts w:ascii="宋体" w:hAnsi="宋体" w:cs="宋体" w:eastAsiaTheme="minorEastAsia"/>
          <w:kern w:val="0"/>
          <w:sz w:val="24"/>
          <w:szCs w:val="24"/>
          <w:lang w:val="en-US" w:eastAsia="zh-CN" w:bidi="ar-SA"/>
        </w:rPr>
        <w:t>四、</w:t>
      </w:r>
      <w:r>
        <w:rPr>
          <w:rFonts w:hint="eastAsia" w:ascii="宋体" w:hAnsi="宋体" w:cs="宋体"/>
          <w:kern w:val="0"/>
          <w:sz w:val="24"/>
          <w:szCs w:val="24"/>
        </w:rPr>
        <w:t>采</w:t>
      </w:r>
      <w:r>
        <w:rPr>
          <w:rFonts w:ascii="宋体" w:hAnsi="宋体" w:cs="宋体"/>
          <w:kern w:val="0"/>
          <w:sz w:val="24"/>
          <w:szCs w:val="24"/>
        </w:rPr>
        <w:t>购</w:t>
      </w:r>
      <w:r>
        <w:rPr>
          <w:rFonts w:hint="eastAsia" w:ascii="宋体" w:hAnsi="宋体" w:cs="宋体"/>
          <w:kern w:val="0"/>
          <w:sz w:val="24"/>
          <w:szCs w:val="24"/>
        </w:rPr>
        <w:t>代理机构名</w:t>
      </w:r>
      <w:r>
        <w:rPr>
          <w:rFonts w:ascii="宋体" w:hAnsi="宋体" w:cs="宋体"/>
          <w:kern w:val="0"/>
          <w:sz w:val="24"/>
          <w:szCs w:val="24"/>
        </w:rPr>
        <w:t>称</w:t>
      </w:r>
      <w:r>
        <w:rPr>
          <w:rFonts w:hint="eastAsia" w:ascii="宋体" w:hAnsi="宋体" w:cs="宋体"/>
          <w:kern w:val="0"/>
          <w:sz w:val="24"/>
          <w:szCs w:val="24"/>
        </w:rPr>
        <w:t>：</w:t>
      </w:r>
      <w:r>
        <w:rPr>
          <w:rFonts w:ascii="宋体" w:hAnsi="宋体" w:cs="宋体"/>
          <w:kern w:val="0"/>
          <w:sz w:val="24"/>
          <w:szCs w:val="24"/>
        </w:rPr>
        <w:t>陕</w:t>
      </w:r>
      <w:r>
        <w:rPr>
          <w:rFonts w:hint="eastAsia" w:ascii="宋体" w:hAnsi="宋体" w:cs="宋体"/>
          <w:kern w:val="0"/>
          <w:sz w:val="24"/>
          <w:szCs w:val="24"/>
        </w:rPr>
        <w:t>西</w:t>
      </w:r>
      <w:r>
        <w:rPr>
          <w:rFonts w:ascii="宋体" w:hAnsi="宋体" w:cs="宋体"/>
          <w:kern w:val="0"/>
          <w:sz w:val="24"/>
          <w:szCs w:val="24"/>
        </w:rPr>
        <w:t>万泽</w:t>
      </w:r>
      <w:r>
        <w:rPr>
          <w:rFonts w:hint="eastAsia" w:ascii="宋体" w:hAnsi="宋体" w:cs="宋体"/>
          <w:kern w:val="0"/>
          <w:sz w:val="24"/>
          <w:szCs w:val="24"/>
        </w:rPr>
        <w:t>招</w:t>
      </w:r>
      <w:r>
        <w:rPr>
          <w:rFonts w:ascii="宋体" w:hAnsi="宋体" w:cs="宋体"/>
          <w:kern w:val="0"/>
          <w:sz w:val="24"/>
          <w:szCs w:val="24"/>
        </w:rPr>
        <w:t>标有</w:t>
      </w:r>
      <w:r>
        <w:rPr>
          <w:rFonts w:hint="eastAsia" w:ascii="宋体" w:hAnsi="宋体" w:cs="宋体"/>
          <w:kern w:val="0"/>
          <w:sz w:val="24"/>
          <w:szCs w:val="24"/>
        </w:rPr>
        <w:t>限公司</w:t>
      </w:r>
    </w:p>
    <w:p w14:paraId="32462EF5">
      <w:pPr>
        <w:widowControl/>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址：西安市高新区唐延路35号旺座现代城C座2502室</w:t>
      </w:r>
    </w:p>
    <w:p w14:paraId="2C269B87">
      <w:pPr>
        <w:widowControl/>
        <w:wordWrap w:val="0"/>
        <w:spacing w:line="360" w:lineRule="auto"/>
        <w:ind w:firstLine="960" w:firstLineChars="400"/>
        <w:jc w:val="left"/>
        <w:rPr>
          <w:rFonts w:hint="default" w:ascii="宋体" w:hAnsi="宋体" w:cs="宋体"/>
          <w:kern w:val="0"/>
          <w:sz w:val="24"/>
          <w:szCs w:val="24"/>
          <w:lang w:val="en-US"/>
        </w:rPr>
      </w:pPr>
      <w:r>
        <w:rPr>
          <w:rFonts w:ascii="宋体" w:hAnsi="宋体" w:cs="宋体"/>
          <w:kern w:val="0"/>
          <w:sz w:val="24"/>
          <w:szCs w:val="24"/>
        </w:rPr>
        <w:t>联</w:t>
      </w:r>
      <w:r>
        <w:rPr>
          <w:rFonts w:hint="eastAsia" w:ascii="宋体" w:hAnsi="宋体" w:cs="宋体"/>
          <w:kern w:val="0"/>
          <w:sz w:val="24"/>
          <w:szCs w:val="24"/>
        </w:rPr>
        <w:t>系方式：</w:t>
      </w:r>
      <w:r>
        <w:rPr>
          <w:rFonts w:hint="eastAsia" w:ascii="宋体" w:hAnsi="宋体" w:cs="宋体"/>
          <w:kern w:val="0"/>
          <w:sz w:val="24"/>
          <w:szCs w:val="24"/>
          <w:lang w:val="en-US" w:eastAsia="zh-CN"/>
        </w:rPr>
        <w:t>029-88319689</w:t>
      </w:r>
      <w:bookmarkStart w:id="205" w:name="_GoBack"/>
      <w:bookmarkEnd w:id="205"/>
    </w:p>
    <w:p w14:paraId="5E829E7B">
      <w:pPr>
        <w:widowControl/>
        <w:numPr>
          <w:ilvl w:val="0"/>
          <w:numId w:val="0"/>
        </w:numPr>
        <w:tabs>
          <w:tab w:val="left" w:pos="1620"/>
        </w:tabs>
        <w:wordWrap w:val="0"/>
        <w:snapToGrid w:val="0"/>
        <w:spacing w:line="360" w:lineRule="auto"/>
        <w:ind w:firstLine="480" w:firstLineChars="200"/>
        <w:jc w:val="left"/>
        <w:rPr>
          <w:rFonts w:hint="eastAsia" w:asciiTheme="minorEastAsia" w:hAnsi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bidi="ar-SA"/>
        </w:rPr>
        <w:t>五、</w:t>
      </w:r>
      <w:r>
        <w:rPr>
          <w:rFonts w:hint="eastAsia" w:asciiTheme="minorEastAsia" w:hAnsiTheme="minorEastAsia" w:cstheme="minorEastAsia"/>
          <w:kern w:val="0"/>
          <w:sz w:val="24"/>
          <w:szCs w:val="24"/>
        </w:rPr>
        <w:t>采购内容和要求：</w:t>
      </w:r>
    </w:p>
    <w:tbl>
      <w:tblPr>
        <w:tblStyle w:val="29"/>
        <w:tblpPr w:leftFromText="180" w:rightFromText="180" w:vertAnchor="text" w:horzAnchor="page" w:tblpX="1361" w:tblpY="84"/>
        <w:tblOverlap w:val="never"/>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721"/>
        <w:gridCol w:w="1371"/>
        <w:gridCol w:w="1554"/>
        <w:gridCol w:w="1167"/>
        <w:gridCol w:w="1135"/>
        <w:gridCol w:w="1310"/>
      </w:tblGrid>
      <w:tr w14:paraId="7524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58" w:type="dxa"/>
            <w:vAlign w:val="center"/>
          </w:tcPr>
          <w:p w14:paraId="359DCA98">
            <w:pPr>
              <w:widowControl/>
              <w:tabs>
                <w:tab w:val="left" w:pos="1620"/>
              </w:tabs>
              <w:wordWrap w:val="0"/>
              <w:snapToGrid w:val="0"/>
              <w:spacing w:line="240" w:lineRule="auto"/>
              <w:jc w:val="center"/>
              <w:rPr>
                <w:rFonts w:ascii="宋体" w:hAnsi="宋体" w:cs="宋体"/>
                <w:kern w:val="0"/>
                <w:sz w:val="21"/>
                <w:szCs w:val="21"/>
                <w:highlight w:val="none"/>
              </w:rPr>
            </w:pPr>
            <w:bookmarkStart w:id="5" w:name="OLE_LINK7"/>
            <w:r>
              <w:rPr>
                <w:rFonts w:hint="eastAsia" w:ascii="宋体" w:hAnsi="宋体" w:cs="宋体"/>
                <w:kern w:val="0"/>
                <w:sz w:val="21"/>
                <w:szCs w:val="21"/>
                <w:highlight w:val="none"/>
                <w:lang w:eastAsia="zh-CN"/>
              </w:rPr>
              <w:t>序号</w:t>
            </w:r>
          </w:p>
        </w:tc>
        <w:tc>
          <w:tcPr>
            <w:tcW w:w="1721" w:type="dxa"/>
            <w:vAlign w:val="center"/>
          </w:tcPr>
          <w:p w14:paraId="395F87F8">
            <w:pPr>
              <w:widowControl/>
              <w:tabs>
                <w:tab w:val="left" w:pos="1620"/>
              </w:tabs>
              <w:wordWrap w:val="0"/>
              <w:snapToGrid w:val="0"/>
              <w:spacing w:line="24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采购内容</w:t>
            </w:r>
          </w:p>
        </w:tc>
        <w:tc>
          <w:tcPr>
            <w:tcW w:w="1371" w:type="dxa"/>
            <w:vAlign w:val="center"/>
          </w:tcPr>
          <w:p w14:paraId="6ED61646">
            <w:pPr>
              <w:widowControl/>
              <w:tabs>
                <w:tab w:val="left" w:pos="1620"/>
              </w:tabs>
              <w:wordWrap w:val="0"/>
              <w:snapToGrid w:val="0"/>
              <w:spacing w:line="24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lang w:val="en-US" w:eastAsia="zh-CN"/>
              </w:rPr>
              <w:t>数量</w:t>
            </w:r>
          </w:p>
        </w:tc>
        <w:tc>
          <w:tcPr>
            <w:tcW w:w="1554" w:type="dxa"/>
            <w:vAlign w:val="center"/>
          </w:tcPr>
          <w:p w14:paraId="545C372C">
            <w:pPr>
              <w:widowControl/>
              <w:tabs>
                <w:tab w:val="left" w:pos="1620"/>
              </w:tabs>
              <w:wordWrap w:val="0"/>
              <w:snapToGrid w:val="0"/>
              <w:spacing w:line="24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采购预算</w:t>
            </w:r>
          </w:p>
          <w:p w14:paraId="7C02D026">
            <w:pPr>
              <w:pStyle w:val="19"/>
              <w:spacing w:line="240" w:lineRule="auto"/>
              <w:jc w:val="center"/>
              <w:rPr>
                <w:rFonts w:hint="eastAsia" w:eastAsia="宋体"/>
                <w:lang w:eastAsia="zh-CN"/>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元</w:t>
            </w:r>
            <w:r>
              <w:rPr>
                <w:rFonts w:hint="eastAsia" w:ascii="宋体" w:hAnsi="宋体" w:cs="宋体"/>
                <w:kern w:val="0"/>
                <w:sz w:val="21"/>
                <w:szCs w:val="21"/>
                <w:highlight w:val="none"/>
                <w:lang w:eastAsia="zh-CN"/>
              </w:rPr>
              <w:t>）</w:t>
            </w:r>
          </w:p>
        </w:tc>
        <w:tc>
          <w:tcPr>
            <w:tcW w:w="1167" w:type="dxa"/>
            <w:vAlign w:val="center"/>
          </w:tcPr>
          <w:p w14:paraId="4F8B0E9F">
            <w:pPr>
              <w:widowControl/>
              <w:tabs>
                <w:tab w:val="left" w:pos="1620"/>
              </w:tabs>
              <w:wordWrap w:val="0"/>
              <w:snapToGrid w:val="0"/>
              <w:spacing w:line="24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项目用途</w:t>
            </w:r>
          </w:p>
        </w:tc>
        <w:tc>
          <w:tcPr>
            <w:tcW w:w="1135" w:type="dxa"/>
            <w:vAlign w:val="center"/>
          </w:tcPr>
          <w:p w14:paraId="5CEBD7FE">
            <w:pPr>
              <w:widowControl/>
              <w:tabs>
                <w:tab w:val="left" w:pos="1620"/>
              </w:tabs>
              <w:wordWrap w:val="0"/>
              <w:snapToGrid w:val="0"/>
              <w:spacing w:line="24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项目性质</w:t>
            </w:r>
          </w:p>
        </w:tc>
        <w:tc>
          <w:tcPr>
            <w:tcW w:w="1310" w:type="dxa"/>
            <w:vAlign w:val="center"/>
          </w:tcPr>
          <w:p w14:paraId="57B23A9E">
            <w:pPr>
              <w:widowControl/>
              <w:tabs>
                <w:tab w:val="left" w:pos="1620"/>
              </w:tabs>
              <w:wordWrap w:val="0"/>
              <w:snapToGrid w:val="0"/>
              <w:spacing w:line="240" w:lineRule="auto"/>
              <w:jc w:val="center"/>
              <w:rPr>
                <w:rFonts w:hint="eastAsia" w:ascii="宋体" w:hAnsi="宋体" w:cs="宋体" w:eastAsiaTheme="minorEastAsia"/>
                <w:kern w:val="0"/>
                <w:sz w:val="21"/>
                <w:szCs w:val="21"/>
                <w:highlight w:val="none"/>
                <w:lang w:eastAsia="zh-CN"/>
              </w:rPr>
            </w:pPr>
            <w:r>
              <w:rPr>
                <w:rFonts w:hint="eastAsia" w:ascii="宋体" w:hAnsi="宋体" w:cs="宋体"/>
                <w:kern w:val="0"/>
                <w:sz w:val="21"/>
                <w:szCs w:val="21"/>
                <w:highlight w:val="none"/>
                <w:lang w:eastAsia="zh-CN"/>
              </w:rPr>
              <w:t>备注</w:t>
            </w:r>
          </w:p>
        </w:tc>
      </w:tr>
      <w:tr w14:paraId="2964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8" w:type="dxa"/>
            <w:vAlign w:val="center"/>
          </w:tcPr>
          <w:p w14:paraId="2D6E2EA7">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1721" w:type="dxa"/>
            <w:vAlign w:val="center"/>
          </w:tcPr>
          <w:p w14:paraId="59CE7A49">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eastAsia="zh-CN"/>
              </w:rPr>
            </w:pPr>
            <w:r>
              <w:rPr>
                <w:rFonts w:hint="eastAsia" w:ascii="宋体" w:hAnsi="宋体" w:cs="宋体"/>
                <w:kern w:val="0"/>
                <w:sz w:val="21"/>
                <w:szCs w:val="21"/>
                <w:highlight w:val="none"/>
              </w:rPr>
              <w:t>2025年机电类特种设备生产、使用单位监督抽查项目</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第二包</w:t>
            </w:r>
            <w:r>
              <w:rPr>
                <w:rFonts w:hint="eastAsia" w:ascii="宋体" w:hAnsi="宋体" w:cs="宋体"/>
                <w:kern w:val="0"/>
                <w:sz w:val="21"/>
                <w:szCs w:val="21"/>
                <w:highlight w:val="none"/>
                <w:lang w:eastAsia="zh-CN"/>
              </w:rPr>
              <w:t>）</w:t>
            </w:r>
          </w:p>
        </w:tc>
        <w:tc>
          <w:tcPr>
            <w:tcW w:w="1371" w:type="dxa"/>
            <w:vAlign w:val="center"/>
          </w:tcPr>
          <w:p w14:paraId="42382FD6">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1项</w:t>
            </w:r>
          </w:p>
        </w:tc>
        <w:tc>
          <w:tcPr>
            <w:tcW w:w="1554" w:type="dxa"/>
            <w:vAlign w:val="center"/>
          </w:tcPr>
          <w:p w14:paraId="63D05344">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320000.00元</w:t>
            </w:r>
          </w:p>
        </w:tc>
        <w:tc>
          <w:tcPr>
            <w:tcW w:w="1167" w:type="dxa"/>
            <w:vAlign w:val="center"/>
          </w:tcPr>
          <w:p w14:paraId="6E091CCA">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自用</w:t>
            </w:r>
          </w:p>
        </w:tc>
        <w:tc>
          <w:tcPr>
            <w:tcW w:w="1135" w:type="dxa"/>
            <w:shd w:val="clear" w:color="auto" w:fill="FFFFFF" w:themeFill="background1"/>
            <w:vAlign w:val="center"/>
          </w:tcPr>
          <w:p w14:paraId="5EB4BD88">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p>
          <w:p w14:paraId="0023063C">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r>
              <w:rPr>
                <w:rFonts w:hint="eastAsia" w:ascii="宋体" w:hAnsi="宋体" w:cs="宋体"/>
                <w:kern w:val="0"/>
                <w:sz w:val="21"/>
                <w:szCs w:val="21"/>
                <w:highlight w:val="none"/>
                <w:shd w:val="clear" w:color="auto" w:fill="auto"/>
                <w:lang w:val="en-US" w:eastAsia="zh-CN"/>
              </w:rPr>
              <w:t>财政资金</w:t>
            </w:r>
          </w:p>
          <w:p w14:paraId="0155091D">
            <w:pPr>
              <w:widowControl/>
              <w:wordWrap w:val="0"/>
              <w:snapToGrid w:val="0"/>
              <w:spacing w:line="360" w:lineRule="auto"/>
              <w:jc w:val="center"/>
              <w:rPr>
                <w:rFonts w:hint="eastAsia" w:ascii="宋体" w:hAnsi="宋体" w:cs="宋体"/>
                <w:kern w:val="0"/>
                <w:sz w:val="21"/>
                <w:szCs w:val="21"/>
                <w:highlight w:val="yellow"/>
                <w:shd w:val="clear" w:color="auto" w:fill="auto"/>
                <w:lang w:val="en-US" w:eastAsia="zh-CN"/>
              </w:rPr>
            </w:pPr>
          </w:p>
        </w:tc>
        <w:tc>
          <w:tcPr>
            <w:tcW w:w="1310" w:type="dxa"/>
            <w:vAlign w:val="center"/>
          </w:tcPr>
          <w:p w14:paraId="7D36CED7">
            <w:pPr>
              <w:widowControl/>
              <w:tabs>
                <w:tab w:val="left" w:pos="474"/>
              </w:tabs>
              <w:wordWrap w:val="0"/>
              <w:snapToGrid w:val="0"/>
              <w:spacing w:line="360" w:lineRule="auto"/>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具体详见第五部分采购要求</w:t>
            </w:r>
          </w:p>
        </w:tc>
      </w:tr>
      <w:bookmarkEnd w:id="5"/>
    </w:tbl>
    <w:p w14:paraId="13F9B75F">
      <w:pPr>
        <w:widowControl/>
        <w:numPr>
          <w:ilvl w:val="0"/>
          <w:numId w:val="0"/>
        </w:numPr>
        <w:tabs>
          <w:tab w:val="left" w:pos="1620"/>
        </w:tabs>
        <w:wordWrap w:val="0"/>
        <w:snapToGrid w:val="0"/>
        <w:spacing w:line="360" w:lineRule="auto"/>
        <w:jc w:val="left"/>
        <w:rPr>
          <w:rFonts w:asciiTheme="minorEastAsia" w:hAnsiTheme="minorEastAsia" w:cstheme="minorEastAsia"/>
          <w:bCs/>
          <w:kern w:val="0"/>
          <w:sz w:val="24"/>
          <w:szCs w:val="24"/>
        </w:rPr>
      </w:pPr>
    </w:p>
    <w:p w14:paraId="5D82B95C">
      <w:pPr>
        <w:widowControl/>
        <w:numPr>
          <w:ilvl w:val="0"/>
          <w:numId w:val="0"/>
        </w:numPr>
        <w:tabs>
          <w:tab w:val="left" w:pos="1620"/>
        </w:tabs>
        <w:wordWrap w:val="0"/>
        <w:snapToGrid w:val="0"/>
        <w:spacing w:line="48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val="en-US" w:eastAsia="zh-CN" w:bidi="ar-SA"/>
        </w:rPr>
        <w:t>六</w:t>
      </w:r>
      <w:r>
        <w:rPr>
          <w:rFonts w:asciiTheme="minorEastAsia" w:hAnsiTheme="minorEastAsia" w:eastAsiaTheme="minorEastAsia" w:cstheme="minorEastAsia"/>
          <w:kern w:val="0"/>
          <w:sz w:val="24"/>
          <w:szCs w:val="24"/>
          <w:lang w:val="en-US" w:eastAsia="zh-CN" w:bidi="ar-SA"/>
        </w:rPr>
        <w:t>、</w:t>
      </w:r>
      <w:r>
        <w:rPr>
          <w:rFonts w:hint="eastAsia" w:asciiTheme="minorEastAsia" w:hAnsiTheme="minorEastAsia" w:cstheme="minorEastAsia"/>
          <w:kern w:val="0"/>
          <w:sz w:val="24"/>
          <w:szCs w:val="24"/>
        </w:rPr>
        <w:t xml:space="preserve"> 投标人资质要求：</w:t>
      </w:r>
    </w:p>
    <w:p w14:paraId="0C73003C">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14:paraId="59A3C8DA">
      <w:pPr>
        <w:numPr>
          <w:ilvl w:val="0"/>
          <w:numId w:val="0"/>
        </w:numPr>
        <w:snapToGrid w:val="0"/>
        <w:spacing w:line="360" w:lineRule="auto"/>
        <w:ind w:left="0" w:leftChars="0" w:firstLine="567" w:firstLineChars="0"/>
        <w:jc w:val="left"/>
        <w:rPr>
          <w:rFonts w:ascii="宋体" w:cs="宋体"/>
          <w:bCs/>
          <w:kern w:val="0"/>
          <w:sz w:val="24"/>
          <w:szCs w:val="24"/>
        </w:rPr>
      </w:pPr>
      <w:r>
        <w:rPr>
          <w:rFonts w:hint="default" w:ascii="宋体" w:cs="宋体" w:hAnsiTheme="minorHAnsi" w:eastAsiaTheme="minorEastAsia"/>
          <w:bCs/>
          <w:kern w:val="0"/>
          <w:sz w:val="24"/>
          <w:szCs w:val="24"/>
          <w:lang w:val="en-US" w:eastAsia="zh-CN" w:bidi="ar-SA"/>
        </w:rPr>
        <w:t>1、具有独立承担民事责任能力的法人、其他组织或自然人，并出具合法有效的营业执照或事业单位法人证书等国家规定的相关证明，自然人参与的提供其身份证明</w:t>
      </w:r>
      <w:r>
        <w:rPr>
          <w:rFonts w:hint="eastAsia" w:ascii="宋体" w:hAnsi="宋体" w:cs="宋体"/>
          <w:bCs/>
          <w:kern w:val="0"/>
          <w:sz w:val="24"/>
          <w:szCs w:val="24"/>
        </w:rPr>
        <w:t>；</w:t>
      </w:r>
      <w:r>
        <w:rPr>
          <w:rFonts w:ascii="宋体" w:hAnsi="宋体" w:cs="宋体"/>
          <w:bCs/>
          <w:kern w:val="0"/>
          <w:sz w:val="24"/>
          <w:szCs w:val="24"/>
        </w:rPr>
        <w:t xml:space="preserve">  </w:t>
      </w:r>
    </w:p>
    <w:p w14:paraId="2523E500">
      <w:pPr>
        <w:numPr>
          <w:ilvl w:val="0"/>
          <w:numId w:val="0"/>
        </w:numPr>
        <w:snapToGrid w:val="0"/>
        <w:spacing w:line="360" w:lineRule="auto"/>
        <w:ind w:left="0" w:leftChars="0" w:firstLine="567" w:firstLineChars="0"/>
        <w:jc w:val="left"/>
        <w:rPr>
          <w:rFonts w:ascii="宋体" w:hAnsi="宋体" w:cs="宋体"/>
          <w:bCs/>
          <w:kern w:val="0"/>
          <w:sz w:val="24"/>
          <w:szCs w:val="24"/>
        </w:rPr>
      </w:pPr>
      <w:r>
        <w:rPr>
          <w:rFonts w:hint="default" w:ascii="宋体" w:hAnsi="宋体" w:cs="宋体" w:eastAsiaTheme="minorEastAsia"/>
          <w:bCs/>
          <w:kern w:val="0"/>
          <w:sz w:val="24"/>
          <w:szCs w:val="24"/>
          <w:lang w:val="en-US" w:eastAsia="zh-CN" w:bidi="ar-SA"/>
        </w:rPr>
        <w:t>2、社会保障资金缴纳证明：投标人提供本单位2024年10月至今已缴纳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ascii="宋体" w:hAnsi="宋体" w:cs="宋体"/>
          <w:bCs/>
          <w:kern w:val="0"/>
          <w:sz w:val="24"/>
          <w:szCs w:val="24"/>
        </w:rPr>
        <w:t>；</w:t>
      </w:r>
    </w:p>
    <w:p w14:paraId="7995CD81">
      <w:pPr>
        <w:numPr>
          <w:ilvl w:val="0"/>
          <w:numId w:val="0"/>
        </w:numPr>
        <w:snapToGrid w:val="0"/>
        <w:spacing w:line="360" w:lineRule="auto"/>
        <w:ind w:left="0" w:leftChars="0" w:firstLine="567" w:firstLineChars="0"/>
        <w:jc w:val="left"/>
        <w:rPr>
          <w:rFonts w:ascii="宋体" w:hAnsi="宋体" w:cs="宋体"/>
          <w:bCs/>
          <w:kern w:val="0"/>
          <w:sz w:val="24"/>
          <w:szCs w:val="24"/>
        </w:rPr>
      </w:pPr>
      <w:r>
        <w:rPr>
          <w:rFonts w:hint="default" w:ascii="宋体" w:hAnsi="宋体" w:cs="宋体" w:eastAsiaTheme="minorEastAsia"/>
          <w:bCs/>
          <w:kern w:val="0"/>
          <w:sz w:val="24"/>
          <w:szCs w:val="24"/>
          <w:lang w:val="en-US" w:eastAsia="zh-CN" w:bidi="ar-SA"/>
        </w:rPr>
        <w:t>3、税收缴纳证明：投标人提供本单位2024年10月至今已缴纳的至少一个月纳税证明或完税证明，依法免税的单位应提供相关证明材料（以税款所属时期为准）</w:t>
      </w:r>
      <w:r>
        <w:rPr>
          <w:rFonts w:hint="eastAsia" w:ascii="宋体" w:hAnsi="宋体" w:cs="宋体"/>
          <w:bCs/>
          <w:kern w:val="0"/>
          <w:sz w:val="24"/>
          <w:szCs w:val="24"/>
        </w:rPr>
        <w:t>；</w:t>
      </w:r>
    </w:p>
    <w:p w14:paraId="7519BE4D">
      <w:pPr>
        <w:numPr>
          <w:ilvl w:val="0"/>
          <w:numId w:val="0"/>
        </w:numPr>
        <w:snapToGrid w:val="0"/>
        <w:spacing w:line="360" w:lineRule="auto"/>
        <w:ind w:left="0" w:leftChars="0" w:firstLine="567" w:firstLineChars="0"/>
        <w:jc w:val="left"/>
        <w:rPr>
          <w:rFonts w:ascii="宋体" w:hAnsi="宋体" w:cs="宋体"/>
          <w:bCs/>
          <w:kern w:val="0"/>
          <w:sz w:val="24"/>
          <w:szCs w:val="24"/>
        </w:rPr>
      </w:pPr>
      <w:r>
        <w:rPr>
          <w:rFonts w:hint="default" w:ascii="宋体" w:hAnsi="宋体" w:cs="宋体" w:eastAsiaTheme="minorEastAsia"/>
          <w:bCs/>
          <w:kern w:val="0"/>
          <w:sz w:val="24"/>
          <w:szCs w:val="24"/>
          <w:lang w:val="en-US" w:eastAsia="zh-CN" w:bidi="ar-SA"/>
        </w:rPr>
        <w:t>4、财务状况证明：提供本单位经会计师事务所审计的2024年财务审计报告（须带二维码可验证）或在开标日期前六个月内其基本开户银行出具的资信证明</w:t>
      </w:r>
      <w:r>
        <w:rPr>
          <w:rFonts w:hint="eastAsia" w:ascii="宋体" w:hAnsi="宋体" w:cs="宋体"/>
          <w:bCs/>
          <w:kern w:val="0"/>
          <w:sz w:val="24"/>
          <w:szCs w:val="24"/>
        </w:rPr>
        <w:t>；</w:t>
      </w:r>
    </w:p>
    <w:p w14:paraId="346AA99C">
      <w:pPr>
        <w:numPr>
          <w:ilvl w:val="0"/>
          <w:numId w:val="0"/>
        </w:numPr>
        <w:snapToGrid w:val="0"/>
        <w:spacing w:line="360" w:lineRule="auto"/>
        <w:ind w:left="0" w:leftChars="0" w:firstLine="567" w:firstLineChars="0"/>
        <w:jc w:val="left"/>
        <w:rPr>
          <w:rFonts w:ascii="宋体" w:hAnsi="宋体" w:cs="宋体"/>
          <w:bCs/>
          <w:kern w:val="0"/>
          <w:sz w:val="24"/>
          <w:szCs w:val="24"/>
        </w:rPr>
      </w:pPr>
      <w:r>
        <w:rPr>
          <w:rFonts w:hint="default" w:ascii="宋体" w:hAnsi="宋体" w:cs="宋体" w:eastAsiaTheme="minorEastAsia"/>
          <w:bCs/>
          <w:kern w:val="0"/>
          <w:sz w:val="24"/>
          <w:szCs w:val="24"/>
          <w:lang w:val="en-US" w:eastAsia="zh-CN" w:bidi="ar-SA"/>
        </w:rPr>
        <w:t>5、投标人应出具参加本次政府采购活动前3年内在经营活动中没有重大违法违纪，以及未被列入失信被执行人、重大税收违法案件当事人名单、政府采购严重违法失信行为记录名单的书面声明</w:t>
      </w:r>
      <w:r>
        <w:rPr>
          <w:rFonts w:hint="eastAsia" w:ascii="宋体" w:hAnsi="宋体" w:cs="宋体"/>
          <w:bCs/>
          <w:kern w:val="0"/>
          <w:sz w:val="24"/>
          <w:szCs w:val="24"/>
        </w:rPr>
        <w:t xml:space="preserve">； </w:t>
      </w:r>
    </w:p>
    <w:p w14:paraId="4C01779E">
      <w:pPr>
        <w:numPr>
          <w:ilvl w:val="0"/>
          <w:numId w:val="0"/>
        </w:numPr>
        <w:snapToGrid w:val="0"/>
        <w:spacing w:line="360" w:lineRule="auto"/>
        <w:ind w:left="0" w:leftChars="0" w:firstLine="567" w:firstLineChars="0"/>
        <w:jc w:val="left"/>
        <w:rPr>
          <w:rFonts w:ascii="宋体" w:hAnsi="宋体" w:cs="宋体"/>
          <w:bCs/>
          <w:kern w:val="0"/>
          <w:sz w:val="24"/>
          <w:szCs w:val="24"/>
        </w:rPr>
      </w:pPr>
      <w:r>
        <w:rPr>
          <w:rFonts w:hint="default" w:ascii="宋体" w:hAnsi="宋体" w:cs="宋体" w:eastAsiaTheme="minorEastAsia"/>
          <w:bCs/>
          <w:kern w:val="0"/>
          <w:sz w:val="24"/>
          <w:szCs w:val="24"/>
          <w:lang w:val="en-US" w:eastAsia="zh-CN" w:bidi="ar-SA"/>
        </w:rPr>
        <w:t>6、非法定代表人参加投标，须提供法定代表人授权委托书（授权代表参与投标的，提供授权代表开标前三个月内至少一个月的社会保险参保缴费情况证明）；法定代表人参加投标时,只须提供法定代表人身份证</w:t>
      </w:r>
      <w:r>
        <w:rPr>
          <w:rFonts w:hint="eastAsia" w:ascii="宋体" w:hAnsi="宋体" w:cs="宋体"/>
          <w:bCs/>
          <w:kern w:val="0"/>
          <w:sz w:val="24"/>
          <w:szCs w:val="24"/>
        </w:rPr>
        <w:t>；</w:t>
      </w:r>
    </w:p>
    <w:p w14:paraId="1015AEC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cs="宋体"/>
          <w:bCs/>
          <w:kern w:val="0"/>
          <w:sz w:val="24"/>
          <w:szCs w:val="24"/>
        </w:rPr>
      </w:pPr>
      <w:r>
        <w:rPr>
          <w:rFonts w:hint="eastAsia" w:ascii="宋体" w:hAnsi="宋体" w:cs="宋体"/>
          <w:bCs/>
          <w:kern w:val="0"/>
          <w:sz w:val="24"/>
          <w:szCs w:val="24"/>
          <w:highlight w:val="none"/>
          <w:lang w:val="en-US" w:eastAsia="zh-CN"/>
        </w:rPr>
        <w:t>7、投标人应为具备国家市场监督管理总局颁发的《中华人民共和国特种设备检验检测机构核准证（综合检验机构甲类）》或者《中华人民共和国特种设备检验检测机构核准证（甲类A2级及以上检验机构）》的特种设备检验检测机构。（提供证明资料）</w:t>
      </w:r>
      <w:r>
        <w:rPr>
          <w:rFonts w:hint="eastAsia" w:ascii="宋体" w:hAnsi="宋体" w:cs="宋体"/>
          <w:bCs/>
          <w:kern w:val="0"/>
          <w:sz w:val="24"/>
          <w:szCs w:val="24"/>
        </w:rPr>
        <w:t>。</w:t>
      </w:r>
    </w:p>
    <w:p w14:paraId="7199C6E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8、投标人须具备评审资格并提供国家级或省级市场监管部门书面认定证明或其他相关证明材料。（提供证明材料）</w:t>
      </w:r>
    </w:p>
    <w:p w14:paraId="73B1CDF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9、投标人须承诺与被抽查单位不存在资产、业务、管理等方面的利益关系。（提供书面声明）</w:t>
      </w:r>
    </w:p>
    <w:p w14:paraId="25EB4A1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10、本项目不接受联合体投标。</w:t>
      </w:r>
    </w:p>
    <w:p w14:paraId="78D4FD1C">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val="en-US" w:eastAsia="zh-CN" w:bidi="ar-SA"/>
        </w:rPr>
        <w:t>七</w:t>
      </w:r>
      <w:r>
        <w:rPr>
          <w:rFonts w:asciiTheme="minorEastAsia" w:hAnsiTheme="minorEastAsia" w:eastAsiaTheme="minorEastAsia" w:cstheme="minorEastAsia"/>
          <w:kern w:val="0"/>
          <w:sz w:val="24"/>
          <w:szCs w:val="24"/>
          <w:lang w:val="en-US" w:eastAsia="zh-CN" w:bidi="ar-SA"/>
        </w:rPr>
        <w:t>、</w:t>
      </w:r>
      <w:r>
        <w:rPr>
          <w:rFonts w:hint="eastAsia" w:asciiTheme="minorEastAsia" w:hAnsiTheme="minorEastAsia" w:cstheme="minorEastAsia"/>
          <w:kern w:val="0"/>
          <w:sz w:val="24"/>
          <w:szCs w:val="24"/>
        </w:rPr>
        <w:t xml:space="preserve">采购项目需要落实的政府采购政策： </w:t>
      </w:r>
    </w:p>
    <w:p w14:paraId="5AB73126">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w:t>
      </w:r>
      <w:r>
        <w:rPr>
          <w:rFonts w:hint="eastAsia" w:ascii="宋体" w:hAnsi="宋体" w:cs="宋体"/>
          <w:kern w:val="0"/>
          <w:sz w:val="24"/>
          <w:szCs w:val="24"/>
          <w:lang w:val="en-US" w:eastAsia="zh-CN"/>
        </w:rPr>
        <w:t>采购</w:t>
      </w:r>
      <w:r>
        <w:rPr>
          <w:rFonts w:hint="eastAsia" w:ascii="宋体" w:hAnsi="宋体" w:cs="宋体"/>
          <w:kern w:val="0"/>
          <w:sz w:val="24"/>
          <w:szCs w:val="24"/>
        </w:rPr>
        <w:t>文</w:t>
      </w:r>
      <w:r>
        <w:rPr>
          <w:rFonts w:hint="eastAsia" w:ascii="宋体" w:hAnsi="宋体" w:cs="宋体"/>
          <w:bCs/>
          <w:kern w:val="0"/>
          <w:sz w:val="24"/>
          <w:szCs w:val="24"/>
        </w:rPr>
        <w:t>件。</w:t>
      </w:r>
    </w:p>
    <w:p w14:paraId="2F1064D1">
      <w:pPr>
        <w:widowControl/>
        <w:tabs>
          <w:tab w:val="left" w:pos="1620"/>
        </w:tabs>
        <w:wordWrap w:val="0"/>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p>
    <w:p w14:paraId="40FDD6E7">
      <w:pPr>
        <w:widowControl/>
        <w:tabs>
          <w:tab w:val="left" w:pos="1620"/>
        </w:tabs>
        <w:wordWrap w:val="0"/>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14:paraId="28A5913D">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3．陕西省财政厅关于印发《陕西省中小企业政府采购信用融资办法》（陕财办采〔2018〕23号）；</w:t>
      </w:r>
    </w:p>
    <w:p w14:paraId="39AF2995">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lang w:val="en-US" w:eastAsia="zh-CN"/>
        </w:rPr>
        <w:t>4</w:t>
      </w:r>
      <w:r>
        <w:rPr>
          <w:rFonts w:hint="eastAsia" w:ascii="宋体" w:hAnsi="宋体" w:cs="宋体"/>
          <w:bCs/>
          <w:kern w:val="0"/>
          <w:sz w:val="24"/>
          <w:szCs w:val="24"/>
        </w:rPr>
        <w:t>、其他需要落实的政府采购政策；</w:t>
      </w:r>
    </w:p>
    <w:p w14:paraId="5DD6910C">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val="en-US" w:eastAsia="zh-CN" w:bidi="ar-SA"/>
        </w:rPr>
        <w:t>八</w:t>
      </w:r>
      <w:r>
        <w:rPr>
          <w:rFonts w:asciiTheme="minorEastAsia" w:hAnsiTheme="minorEastAsia" w:eastAsiaTheme="minorEastAsia" w:cstheme="minorEastAsia"/>
          <w:kern w:val="0"/>
          <w:sz w:val="24"/>
          <w:szCs w:val="24"/>
          <w:lang w:val="en-US" w:eastAsia="zh-CN" w:bidi="ar-SA"/>
        </w:rPr>
        <w:t>、</w:t>
      </w:r>
      <w:r>
        <w:rPr>
          <w:rFonts w:hint="eastAsia" w:asciiTheme="minorEastAsia" w:hAnsiTheme="minorEastAsia" w:cstheme="minorEastAsia"/>
          <w:kern w:val="0"/>
          <w:sz w:val="24"/>
          <w:szCs w:val="24"/>
        </w:rPr>
        <w:t>招标文件领取：</w:t>
      </w:r>
    </w:p>
    <w:p w14:paraId="37ACD5E0">
      <w:pPr>
        <w:snapToGrid w:val="0"/>
        <w:spacing w:line="360" w:lineRule="auto"/>
        <w:ind w:firstLine="480" w:firstLineChars="200"/>
        <w:rPr>
          <w:rFonts w:asciiTheme="minorEastAsia" w:hAnsiTheme="minorEastAsia" w:cstheme="minorEastAsia"/>
          <w:color w:val="000000"/>
          <w:sz w:val="24"/>
          <w:szCs w:val="24"/>
          <w:highlight w:val="yellow"/>
        </w:rPr>
      </w:pPr>
      <w:r>
        <w:rPr>
          <w:rFonts w:hint="eastAsia" w:asciiTheme="minorEastAsia" w:hAnsiTheme="minorEastAsia" w:cstheme="minorEastAsia"/>
          <w:kern w:val="0"/>
          <w:sz w:val="24"/>
          <w:szCs w:val="24"/>
        </w:rPr>
        <w:t>1、领取时</w:t>
      </w:r>
      <w:r>
        <w:rPr>
          <w:rFonts w:hint="eastAsia" w:asciiTheme="minorEastAsia" w:hAnsiTheme="minorEastAsia" w:cstheme="minorEastAsia"/>
          <w:color w:val="000000"/>
          <w:sz w:val="24"/>
          <w:szCs w:val="24"/>
        </w:rPr>
        <w:t>间</w:t>
      </w: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b/>
          <w:bCs/>
          <w:color w:val="000000"/>
          <w:sz w:val="24"/>
          <w:szCs w:val="24"/>
          <w:highlight w:val="none"/>
          <w:lang w:val="en-US" w:eastAsia="zh-CN"/>
        </w:rPr>
        <w:t>202</w:t>
      </w:r>
      <w:r>
        <w:rPr>
          <w:rFonts w:hint="eastAsia" w:asciiTheme="minorEastAsia" w:hAnsiTheme="minorEastAsia" w:cstheme="minorEastAsia"/>
          <w:b/>
          <w:bCs/>
          <w:color w:val="000000"/>
          <w:sz w:val="24"/>
          <w:szCs w:val="24"/>
          <w:highlight w:val="none"/>
          <w:lang w:val="en-US" w:eastAsia="zh-CN"/>
        </w:rPr>
        <w:t>5年06</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13</w:t>
      </w:r>
      <w:r>
        <w:rPr>
          <w:rFonts w:hint="eastAsia" w:asciiTheme="minorEastAsia" w:hAnsiTheme="minorEastAsia" w:cstheme="minorEastAsia"/>
          <w:b/>
          <w:bCs/>
          <w:color w:val="000000"/>
          <w:sz w:val="24"/>
          <w:szCs w:val="24"/>
          <w:highlight w:val="none"/>
        </w:rPr>
        <w:t>日起至202</w:t>
      </w:r>
      <w:r>
        <w:rPr>
          <w:rFonts w:hint="eastAsia" w:asciiTheme="minorEastAsia" w:hAnsiTheme="minorEastAsia" w:cstheme="minorEastAsia"/>
          <w:b/>
          <w:bCs/>
          <w:color w:val="000000"/>
          <w:sz w:val="24"/>
          <w:szCs w:val="24"/>
          <w:highlight w:val="none"/>
          <w:lang w:val="en-US" w:eastAsia="zh-CN"/>
        </w:rPr>
        <w:t>5</w:t>
      </w:r>
      <w:r>
        <w:rPr>
          <w:rFonts w:hint="eastAsia" w:asciiTheme="minorEastAsia" w:hAnsiTheme="minorEastAsia" w:cstheme="minorEastAsia"/>
          <w:b/>
          <w:bCs/>
          <w:color w:val="000000"/>
          <w:sz w:val="24"/>
          <w:szCs w:val="24"/>
          <w:highlight w:val="none"/>
        </w:rPr>
        <w:t>年</w:t>
      </w:r>
      <w:r>
        <w:rPr>
          <w:rFonts w:hint="eastAsia" w:asciiTheme="minorEastAsia" w:hAnsiTheme="minorEastAsia" w:cstheme="minorEastAsia"/>
          <w:b/>
          <w:bCs/>
          <w:color w:val="000000"/>
          <w:sz w:val="24"/>
          <w:szCs w:val="24"/>
          <w:highlight w:val="none"/>
          <w:lang w:val="en-US" w:eastAsia="zh-CN"/>
        </w:rPr>
        <w:t>06</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20</w:t>
      </w:r>
      <w:r>
        <w:rPr>
          <w:rFonts w:hint="eastAsia" w:asciiTheme="minorEastAsia" w:hAnsiTheme="minorEastAsia" w:cstheme="minorEastAsia"/>
          <w:b/>
          <w:bCs/>
          <w:color w:val="000000"/>
          <w:sz w:val="24"/>
          <w:szCs w:val="24"/>
          <w:highlight w:val="none"/>
        </w:rPr>
        <w:t>日</w:t>
      </w:r>
      <w:r>
        <w:rPr>
          <w:rFonts w:hint="eastAsia" w:asciiTheme="minorEastAsia" w:hAnsiTheme="minorEastAsia" w:cstheme="minorEastAsia"/>
          <w:color w:val="000000"/>
          <w:sz w:val="24"/>
          <w:szCs w:val="24"/>
          <w:highlight w:val="none"/>
        </w:rPr>
        <w:t>止</w:t>
      </w:r>
    </w:p>
    <w:p w14:paraId="6C80497E">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（上午09:00～12:00，下午14:00～17:00法定节假日除外）</w:t>
      </w:r>
    </w:p>
    <w:p w14:paraId="0E2785AE">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lang w:eastAsia="zh-CN"/>
        </w:rPr>
        <w:t>领取</w:t>
      </w:r>
      <w:r>
        <w:rPr>
          <w:rFonts w:hint="eastAsia" w:asciiTheme="minorEastAsia" w:hAnsiTheme="minorEastAsia" w:cstheme="minorEastAsia"/>
          <w:kern w:val="0"/>
          <w:sz w:val="24"/>
          <w:szCs w:val="24"/>
        </w:rPr>
        <w:t>地点：西安市高新区唐延路35号旺座现代城C座2502室</w:t>
      </w:r>
    </w:p>
    <w:p w14:paraId="08D90C00">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3、文件售价：¥0元/</w:t>
      </w:r>
      <w:r>
        <w:rPr>
          <w:rFonts w:hint="eastAsia" w:asciiTheme="minorEastAsia" w:hAnsiTheme="minorEastAsia" w:cstheme="minorEastAsia"/>
          <w:kern w:val="0"/>
          <w:sz w:val="24"/>
          <w:szCs w:val="24"/>
          <w:lang w:val="en-US" w:eastAsia="zh-CN"/>
        </w:rPr>
        <w:t>套</w:t>
      </w:r>
      <w:r>
        <w:rPr>
          <w:rFonts w:hint="eastAsia" w:asciiTheme="minorEastAsia" w:hAnsiTheme="minorEastAsia" w:cstheme="minorEastAsia"/>
          <w:kern w:val="0"/>
          <w:sz w:val="24"/>
          <w:szCs w:val="24"/>
        </w:rPr>
        <w:t>。谢绝邮寄。</w:t>
      </w:r>
    </w:p>
    <w:p w14:paraId="151E8ADC">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注：投标人领取标书时，请携带单位介绍信及经办人身份证原件及复印件加盖公章。</w:t>
      </w:r>
    </w:p>
    <w:p w14:paraId="005E6F8B">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val="en-US" w:eastAsia="zh-CN" w:bidi="ar-SA"/>
        </w:rPr>
        <w:t>九</w:t>
      </w:r>
      <w:r>
        <w:rPr>
          <w:rFonts w:asciiTheme="minorEastAsia" w:hAnsiTheme="minorEastAsia" w:eastAsiaTheme="minorEastAsia" w:cstheme="minorEastAsia"/>
          <w:kern w:val="0"/>
          <w:sz w:val="24"/>
          <w:szCs w:val="24"/>
          <w:lang w:val="en-US" w:eastAsia="zh-CN" w:bidi="ar-SA"/>
        </w:rPr>
        <w:t>、</w:t>
      </w:r>
      <w:r>
        <w:rPr>
          <w:rFonts w:hint="eastAsia" w:asciiTheme="minorEastAsia" w:hAnsiTheme="minorEastAsia" w:cstheme="minorEastAsia"/>
          <w:kern w:val="0"/>
          <w:sz w:val="24"/>
          <w:szCs w:val="24"/>
        </w:rPr>
        <w:t>投标文件递交截止时间及开标时间和地点：</w:t>
      </w:r>
    </w:p>
    <w:p w14:paraId="1E75BD0C">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rPr>
        <w:t xml:space="preserve"> 1、投标文件递交截止时</w:t>
      </w:r>
      <w:r>
        <w:rPr>
          <w:rFonts w:hint="eastAsia" w:asciiTheme="minorEastAsia" w:hAnsiTheme="minorEastAsia" w:cstheme="minorEastAsia"/>
          <w:color w:val="000000"/>
          <w:sz w:val="24"/>
          <w:szCs w:val="24"/>
        </w:rPr>
        <w:t>间</w:t>
      </w: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5</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07</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04</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09</w:t>
      </w:r>
      <w:r>
        <w:rPr>
          <w:rFonts w:hint="eastAsia" w:asciiTheme="minorEastAsia" w:hAnsiTheme="minorEastAsia" w:cstheme="minorEastAsia"/>
          <w:b/>
          <w:bCs/>
          <w:kern w:val="0"/>
          <w:sz w:val="24"/>
          <w:szCs w:val="24"/>
          <w:highlight w:val="none"/>
        </w:rPr>
        <w:t>:</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0时</w:t>
      </w:r>
    </w:p>
    <w:p w14:paraId="32C16CA6">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2、开标时间：</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5</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07</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04</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09</w:t>
      </w:r>
      <w:r>
        <w:rPr>
          <w:rFonts w:hint="eastAsia" w:asciiTheme="minorEastAsia" w:hAnsiTheme="minorEastAsia" w:cstheme="minorEastAsia"/>
          <w:b/>
          <w:bCs/>
          <w:kern w:val="0"/>
          <w:sz w:val="24"/>
          <w:szCs w:val="24"/>
          <w:highlight w:val="none"/>
        </w:rPr>
        <w:t>:</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 xml:space="preserve">0时 </w:t>
      </w:r>
    </w:p>
    <w:p w14:paraId="792156D6">
      <w:pPr>
        <w:widowControl/>
        <w:tabs>
          <w:tab w:val="left" w:pos="1620"/>
        </w:tabs>
        <w:wordWrap w:val="0"/>
        <w:snapToGrid w:val="0"/>
        <w:spacing w:line="360" w:lineRule="auto"/>
        <w:ind w:firstLine="480" w:firstLineChars="200"/>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rPr>
        <w:t xml:space="preserve">   3、</w:t>
      </w:r>
      <w:r>
        <w:rPr>
          <w:rFonts w:hint="eastAsia" w:asciiTheme="minorEastAsia" w:hAnsiTheme="minorEastAsia" w:cstheme="minorEastAsia"/>
          <w:b/>
          <w:bCs/>
          <w:kern w:val="0"/>
          <w:sz w:val="24"/>
          <w:szCs w:val="24"/>
        </w:rPr>
        <w:t>开标地点：西安市高新区唐延路35号旺座现代城C座250</w:t>
      </w:r>
      <w:r>
        <w:rPr>
          <w:rFonts w:hint="eastAsia" w:asciiTheme="minorEastAsia" w:hAnsiTheme="minorEastAsia" w:cstheme="minorEastAsia"/>
          <w:b/>
          <w:bCs/>
          <w:kern w:val="0"/>
          <w:sz w:val="24"/>
          <w:szCs w:val="24"/>
          <w:lang w:val="en-US" w:eastAsia="zh-CN"/>
        </w:rPr>
        <w:t>3综合开标大厅。</w:t>
      </w:r>
    </w:p>
    <w:p w14:paraId="146EE7E2">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asciiTheme="minorEastAsia" w:hAnsiTheme="minorEastAsia" w:eastAsiaTheme="minorEastAsia" w:cstheme="minorEastAsia"/>
          <w:kern w:val="0"/>
          <w:sz w:val="24"/>
          <w:szCs w:val="24"/>
          <w:lang w:val="en-US" w:eastAsia="zh-CN" w:bidi="ar-SA"/>
        </w:rPr>
        <w:t>十、</w:t>
      </w:r>
      <w:r>
        <w:rPr>
          <w:rFonts w:hint="eastAsia" w:asciiTheme="minorEastAsia" w:hAnsiTheme="minorEastAsia" w:cstheme="minorEastAsia"/>
          <w:kern w:val="0"/>
          <w:sz w:val="24"/>
          <w:szCs w:val="24"/>
        </w:rPr>
        <w:t>其它应说明的事项：</w:t>
      </w:r>
    </w:p>
    <w:p w14:paraId="2312254E">
      <w:pPr>
        <w:widowControl/>
        <w:wordWrap w:val="0"/>
        <w:snapToGrid w:val="0"/>
        <w:spacing w:line="360" w:lineRule="auto"/>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rPr>
        <w:t xml:space="preserve">   1、采购项目联系人：张刘艳  </w:t>
      </w:r>
      <w:r>
        <w:rPr>
          <w:rFonts w:hint="eastAsia" w:asciiTheme="minorEastAsia" w:hAnsiTheme="minorEastAsia" w:cstheme="minorEastAsia"/>
          <w:kern w:val="0"/>
          <w:sz w:val="24"/>
          <w:szCs w:val="24"/>
          <w:lang w:val="en-US" w:eastAsia="zh-CN"/>
        </w:rPr>
        <w:t>刘嘉辉</w:t>
      </w:r>
    </w:p>
    <w:p w14:paraId="109C3681">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联系方式（电话/传真）：029-88319689-80</w:t>
      </w:r>
      <w:r>
        <w:rPr>
          <w:rFonts w:hint="eastAsia" w:asciiTheme="minorEastAsia" w:hAnsiTheme="minorEastAsia" w:cstheme="minorEastAsia"/>
          <w:kern w:val="0"/>
          <w:sz w:val="24"/>
          <w:szCs w:val="24"/>
          <w:lang w:val="en-US" w:eastAsia="zh-CN"/>
        </w:rPr>
        <w:t>0</w:t>
      </w:r>
      <w:r>
        <w:rPr>
          <w:rFonts w:hint="eastAsia" w:asciiTheme="minorEastAsia" w:hAnsiTheme="minorEastAsia" w:cstheme="minorEastAsia"/>
          <w:kern w:val="0"/>
          <w:sz w:val="24"/>
          <w:szCs w:val="24"/>
        </w:rPr>
        <w:t>4</w:t>
      </w:r>
    </w:p>
    <w:p w14:paraId="00C258A8">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2、采购代理机构开户名称：陕西万泽招标有限公司</w:t>
      </w:r>
    </w:p>
    <w:p w14:paraId="63DC3292">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3、开户行名称：西安银行朝阳门支行</w:t>
      </w:r>
    </w:p>
    <w:p w14:paraId="189911BB">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账      号：211011580000015489</w:t>
      </w:r>
    </w:p>
    <w:p w14:paraId="44A85D08">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w:t>
      </w:r>
      <w:r>
        <w:rPr>
          <w:rFonts w:hint="eastAsia" w:asciiTheme="minorEastAsia" w:hAnsiTheme="minorEastAsia" w:cstheme="minorEastAsia"/>
          <w:kern w:val="0"/>
          <w:sz w:val="24"/>
          <w:szCs w:val="24"/>
          <w:lang w:val="en-US" w:eastAsia="zh-CN"/>
        </w:rPr>
        <w:t>一</w:t>
      </w:r>
      <w:r>
        <w:rPr>
          <w:rFonts w:hint="eastAsia" w:asciiTheme="minorEastAsia" w:hAnsiTheme="minorEastAsia" w:cstheme="minorEastAsia"/>
          <w:kern w:val="0"/>
          <w:sz w:val="24"/>
          <w:szCs w:val="24"/>
        </w:rPr>
        <w:t>、公告期自发布之日起五个工作日。</w:t>
      </w:r>
    </w:p>
    <w:p w14:paraId="55638341">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14:paraId="4559DE65">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p>
    <w:p w14:paraId="62FA666E">
      <w:pPr>
        <w:widowControl/>
        <w:tabs>
          <w:tab w:val="left" w:pos="1620"/>
        </w:tabs>
        <w:snapToGrid w:val="0"/>
        <w:spacing w:line="360" w:lineRule="auto"/>
        <w:ind w:firstLine="420" w:firstLineChars="175"/>
        <w:jc w:val="righ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陕西万泽招标有限公司</w:t>
      </w:r>
    </w:p>
    <w:p w14:paraId="3A5CCBEF">
      <w:pPr>
        <w:widowControl/>
        <w:tabs>
          <w:tab w:val="left" w:pos="1620"/>
        </w:tabs>
        <w:snapToGrid w:val="0"/>
        <w:spacing w:line="360" w:lineRule="auto"/>
        <w:ind w:firstLine="420" w:firstLineChars="175"/>
        <w:jc w:val="right"/>
        <w:rPr>
          <w:rFonts w:asciiTheme="minorEastAsia" w:hAnsiTheme="minorEastAsia" w:cstheme="minorEastAsia"/>
          <w:kern w:val="0"/>
          <w:sz w:val="24"/>
          <w:szCs w:val="24"/>
          <w:highlight w:val="none"/>
        </w:rPr>
        <w:sectPr>
          <w:footerReference r:id="rId7"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kern w:val="0"/>
          <w:sz w:val="24"/>
          <w:szCs w:val="24"/>
          <w:highlight w:val="none"/>
        </w:rPr>
        <w:t xml:space="preserve"> 202</w:t>
      </w:r>
      <w:r>
        <w:rPr>
          <w:rFonts w:hint="eastAsia" w:asciiTheme="minorEastAsia" w:hAnsiTheme="minorEastAsia" w:cstheme="minorEastAsia"/>
          <w:kern w:val="0"/>
          <w:sz w:val="24"/>
          <w:szCs w:val="24"/>
          <w:highlight w:val="none"/>
          <w:lang w:val="en-US" w:eastAsia="zh-CN"/>
        </w:rPr>
        <w:t>5</w:t>
      </w:r>
      <w:r>
        <w:rPr>
          <w:rFonts w:hint="eastAsia" w:asciiTheme="minorEastAsia" w:hAnsiTheme="minorEastAsia" w:cstheme="minorEastAsia"/>
          <w:kern w:val="0"/>
          <w:sz w:val="24"/>
          <w:szCs w:val="24"/>
          <w:highlight w:val="none"/>
        </w:rPr>
        <w:t>年</w:t>
      </w:r>
      <w:r>
        <w:rPr>
          <w:rFonts w:hint="eastAsia" w:asciiTheme="minorEastAsia" w:hAnsiTheme="minorEastAsia" w:cstheme="minorEastAsia"/>
          <w:kern w:val="0"/>
          <w:sz w:val="24"/>
          <w:szCs w:val="24"/>
          <w:highlight w:val="none"/>
          <w:lang w:val="en-US" w:eastAsia="zh-CN"/>
        </w:rPr>
        <w:t>06</w:t>
      </w:r>
      <w:r>
        <w:rPr>
          <w:rFonts w:hint="eastAsia" w:asciiTheme="minorEastAsia" w:hAnsi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13</w:t>
      </w:r>
      <w:r>
        <w:rPr>
          <w:rFonts w:hint="eastAsia" w:asciiTheme="minorEastAsia" w:hAnsiTheme="minorEastAsia" w:cstheme="minorEastAsia"/>
          <w:kern w:val="0"/>
          <w:sz w:val="24"/>
          <w:szCs w:val="24"/>
          <w:highlight w:val="none"/>
        </w:rPr>
        <w:t>日</w:t>
      </w:r>
    </w:p>
    <w:p w14:paraId="5F867CBB">
      <w:pPr>
        <w:pStyle w:val="3"/>
        <w:spacing w:beforeLines="100" w:afterLines="50" w:line="600" w:lineRule="exact"/>
        <w:rPr>
          <w:rFonts w:asciiTheme="minorEastAsia" w:hAnsiTheme="minorEastAsia" w:eastAsiaTheme="minorEastAsia" w:cstheme="minorEastAsia"/>
          <w:sz w:val="36"/>
          <w:szCs w:val="36"/>
        </w:rPr>
      </w:pPr>
      <w:bookmarkStart w:id="6" w:name="_Toc438048787"/>
      <w:bookmarkStart w:id="7" w:name="_Toc8689"/>
      <w:bookmarkStart w:id="8" w:name="_Toc6264"/>
      <w:bookmarkStart w:id="9" w:name="_Toc30089"/>
      <w:bookmarkStart w:id="10" w:name="_Toc338"/>
      <w:bookmarkStart w:id="11" w:name="_Toc19272"/>
      <w:bookmarkStart w:id="12" w:name="_Toc262"/>
      <w:r>
        <w:rPr>
          <w:rFonts w:hint="eastAsia" w:asciiTheme="minorEastAsia" w:hAnsiTheme="minorEastAsia" w:eastAsiaTheme="minorEastAsia" w:cstheme="minorEastAsia"/>
          <w:sz w:val="36"/>
          <w:szCs w:val="36"/>
        </w:rPr>
        <w:t>第二部分  投标人须知前附表</w:t>
      </w:r>
      <w:bookmarkEnd w:id="6"/>
      <w:bookmarkEnd w:id="7"/>
      <w:bookmarkEnd w:id="8"/>
      <w:bookmarkEnd w:id="9"/>
    </w:p>
    <w:tbl>
      <w:tblPr>
        <w:tblStyle w:val="28"/>
        <w:tblpPr w:leftFromText="180" w:rightFromText="180" w:vertAnchor="text" w:horzAnchor="page" w:tblpX="1130" w:tblpY="309"/>
        <w:tblOverlap w:val="never"/>
        <w:tblW w:w="981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0"/>
        <w:gridCol w:w="966"/>
        <w:gridCol w:w="8306"/>
      </w:tblGrid>
      <w:tr w14:paraId="077D7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Align w:val="center"/>
          </w:tcPr>
          <w:p w14:paraId="376FB180">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966" w:type="dxa"/>
            <w:vAlign w:val="center"/>
          </w:tcPr>
          <w:p w14:paraId="2BCD1F3A">
            <w:pPr>
              <w:spacing w:beforeLines="50" w:line="360" w:lineRule="auto"/>
              <w:rPr>
                <w:rFonts w:asciiTheme="minorEastAsia" w:hAnsiTheme="minorEastAsia" w:cstheme="minorEastAsia"/>
                <w:b/>
                <w:szCs w:val="21"/>
              </w:rPr>
            </w:pPr>
            <w:r>
              <w:rPr>
                <w:rFonts w:hint="eastAsia" w:asciiTheme="minorEastAsia" w:hAnsiTheme="minorEastAsia" w:cstheme="minorEastAsia"/>
                <w:b/>
                <w:szCs w:val="21"/>
              </w:rPr>
              <w:t>条款</w:t>
            </w:r>
          </w:p>
        </w:tc>
        <w:tc>
          <w:tcPr>
            <w:tcW w:w="8306" w:type="dxa"/>
            <w:vAlign w:val="center"/>
          </w:tcPr>
          <w:p w14:paraId="2C57584C">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编 列 内 容</w:t>
            </w:r>
          </w:p>
        </w:tc>
      </w:tr>
      <w:tr w14:paraId="5C985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Align w:val="center"/>
          </w:tcPr>
          <w:p w14:paraId="292D731C">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1</w:t>
            </w:r>
          </w:p>
        </w:tc>
        <w:tc>
          <w:tcPr>
            <w:tcW w:w="966" w:type="dxa"/>
            <w:vAlign w:val="center"/>
          </w:tcPr>
          <w:p w14:paraId="536E1F6F">
            <w:pPr>
              <w:spacing w:line="360" w:lineRule="auto"/>
              <w:rPr>
                <w:rFonts w:asciiTheme="minorEastAsia" w:hAnsiTheme="minorEastAsia" w:cstheme="minorEastAsia"/>
                <w:szCs w:val="21"/>
              </w:rPr>
            </w:pPr>
            <w:r>
              <w:rPr>
                <w:rFonts w:hint="eastAsia" w:asciiTheme="minorEastAsia" w:hAnsiTheme="minorEastAsia" w:cstheme="minorEastAsia"/>
                <w:szCs w:val="21"/>
              </w:rPr>
              <w:t>项目名称</w:t>
            </w:r>
          </w:p>
        </w:tc>
        <w:tc>
          <w:tcPr>
            <w:tcW w:w="8306" w:type="dxa"/>
            <w:vAlign w:val="center"/>
          </w:tcPr>
          <w:p w14:paraId="5D2625B0">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西安市市场监督管理局2025年机电类特种设备安全质量监督抽查项目（二次）</w:t>
            </w:r>
          </w:p>
        </w:tc>
      </w:tr>
      <w:tr w14:paraId="68D4F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4" w:hRule="atLeast"/>
        </w:trPr>
        <w:tc>
          <w:tcPr>
            <w:tcW w:w="540" w:type="dxa"/>
            <w:vAlign w:val="center"/>
          </w:tcPr>
          <w:p w14:paraId="43141C8D">
            <w:pPr>
              <w:spacing w:beforeLines="50" w:line="360" w:lineRule="auto"/>
              <w:jc w:val="center"/>
              <w:rPr>
                <w:rFonts w:asciiTheme="minorEastAsia" w:hAnsiTheme="minorEastAsia" w:cstheme="minorEastAsia"/>
                <w:b/>
                <w:szCs w:val="21"/>
              </w:rPr>
            </w:pPr>
          </w:p>
          <w:p w14:paraId="709AE320">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2</w:t>
            </w:r>
          </w:p>
        </w:tc>
        <w:tc>
          <w:tcPr>
            <w:tcW w:w="966" w:type="dxa"/>
            <w:vAlign w:val="center"/>
          </w:tcPr>
          <w:p w14:paraId="3E4EE65E">
            <w:pPr>
              <w:spacing w:line="360" w:lineRule="auto"/>
              <w:rPr>
                <w:rFonts w:asciiTheme="minorEastAsia" w:hAnsiTheme="minorEastAsia" w:cstheme="minorEastAsia"/>
                <w:szCs w:val="21"/>
              </w:rPr>
            </w:pPr>
            <w:r>
              <w:rPr>
                <w:rFonts w:hint="eastAsia" w:asciiTheme="minorEastAsia" w:hAnsiTheme="minorEastAsia" w:cstheme="minorEastAsia"/>
                <w:szCs w:val="21"/>
              </w:rPr>
              <w:t>采购人</w:t>
            </w:r>
          </w:p>
        </w:tc>
        <w:tc>
          <w:tcPr>
            <w:tcW w:w="8306" w:type="dxa"/>
            <w:vAlign w:val="center"/>
          </w:tcPr>
          <w:p w14:paraId="6CD77689">
            <w:pPr>
              <w:widowControl/>
              <w:wordWrap w:val="0"/>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采购人名称：</w:t>
            </w:r>
            <w:r>
              <w:rPr>
                <w:rFonts w:hint="eastAsia" w:asciiTheme="minorEastAsia" w:hAnsiTheme="minorEastAsia" w:cstheme="minorEastAsia"/>
                <w:szCs w:val="21"/>
                <w:lang w:eastAsia="zh-CN"/>
              </w:rPr>
              <w:t>西安市市场监督管理局</w:t>
            </w:r>
          </w:p>
          <w:p w14:paraId="1C6B2EFF">
            <w:pPr>
              <w:widowControl/>
              <w:wordWrap w:val="0"/>
              <w:spacing w:line="360" w:lineRule="auto"/>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地址：陕西省西安市经开区凤城八路109号</w:t>
            </w:r>
          </w:p>
          <w:p w14:paraId="7B1DAE14">
            <w:pPr>
              <w:widowControl/>
              <w:wordWrap w:val="0"/>
              <w:spacing w:line="360" w:lineRule="auto"/>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联系人：王老师</w:t>
            </w:r>
          </w:p>
          <w:p w14:paraId="4D317736">
            <w:pPr>
              <w:widowControl/>
              <w:wordWrap w:val="0"/>
              <w:spacing w:line="360" w:lineRule="auto"/>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联系方式：029-81876957</w:t>
            </w:r>
          </w:p>
        </w:tc>
      </w:tr>
      <w:tr w14:paraId="35E39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65" w:hRule="atLeast"/>
        </w:trPr>
        <w:tc>
          <w:tcPr>
            <w:tcW w:w="540" w:type="dxa"/>
            <w:tcBorders>
              <w:top w:val="single" w:color="auto" w:sz="4" w:space="0"/>
            </w:tcBorders>
            <w:vAlign w:val="center"/>
          </w:tcPr>
          <w:p w14:paraId="4060199D">
            <w:pPr>
              <w:spacing w:beforeLines="50" w:line="360" w:lineRule="auto"/>
              <w:jc w:val="center"/>
              <w:rPr>
                <w:rFonts w:asciiTheme="minorEastAsia" w:hAnsiTheme="minorEastAsia" w:cstheme="minorEastAsia"/>
                <w:b/>
                <w:szCs w:val="21"/>
              </w:rPr>
            </w:pPr>
          </w:p>
          <w:p w14:paraId="005F573B">
            <w:pPr>
              <w:spacing w:beforeLines="50" w:line="360" w:lineRule="auto"/>
              <w:jc w:val="center"/>
              <w:rPr>
                <w:rFonts w:asciiTheme="minorEastAsia" w:hAnsiTheme="minorEastAsia" w:cstheme="minorEastAsia"/>
                <w:b/>
                <w:szCs w:val="21"/>
              </w:rPr>
            </w:pPr>
          </w:p>
          <w:p w14:paraId="46DC4493">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3</w:t>
            </w:r>
          </w:p>
        </w:tc>
        <w:tc>
          <w:tcPr>
            <w:tcW w:w="966" w:type="dxa"/>
            <w:tcBorders>
              <w:top w:val="single" w:color="auto" w:sz="4" w:space="0"/>
            </w:tcBorders>
            <w:vAlign w:val="center"/>
          </w:tcPr>
          <w:p w14:paraId="279D95CB">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w:t>
            </w:r>
          </w:p>
        </w:tc>
        <w:tc>
          <w:tcPr>
            <w:tcW w:w="8306" w:type="dxa"/>
            <w:tcBorders>
              <w:top w:val="single" w:color="auto" w:sz="4" w:space="0"/>
            </w:tcBorders>
            <w:vAlign w:val="center"/>
          </w:tcPr>
          <w:p w14:paraId="7C16D32E">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采购代理机构：陕西万泽招标有限公司</w:t>
            </w:r>
          </w:p>
          <w:p w14:paraId="2BBB4BAC">
            <w:pPr>
              <w:spacing w:line="360" w:lineRule="auto"/>
              <w:rPr>
                <w:rFonts w:asciiTheme="minorEastAsia" w:hAnsiTheme="minorEastAsia" w:cstheme="minorEastAsia"/>
                <w:szCs w:val="21"/>
              </w:rPr>
            </w:pPr>
            <w:r>
              <w:rPr>
                <w:rFonts w:hint="eastAsia" w:asciiTheme="minorEastAsia" w:hAnsiTheme="minorEastAsia" w:cstheme="minorEastAsia"/>
                <w:szCs w:val="21"/>
              </w:rPr>
              <w:t>地        址：西安市高新区唐延路35号旺座现代城C座2502室</w:t>
            </w:r>
          </w:p>
          <w:p w14:paraId="17107D96">
            <w:pPr>
              <w:spacing w:line="360" w:lineRule="auto"/>
              <w:rPr>
                <w:rFonts w:hint="default" w:asciiTheme="minorEastAsia" w:hAnsiTheme="minorEastAsia" w:cstheme="minorEastAsia"/>
                <w:szCs w:val="21"/>
                <w:lang w:val="en-US" w:eastAsia="zh-CN"/>
              </w:rPr>
            </w:pPr>
            <w:r>
              <w:rPr>
                <w:rFonts w:hint="eastAsia" w:asciiTheme="minorEastAsia" w:hAnsiTheme="minorEastAsia" w:cstheme="minorEastAsia"/>
                <w:szCs w:val="21"/>
              </w:rPr>
              <w:t>联   系   人：张刘艳  刘嘉辉</w:t>
            </w:r>
          </w:p>
          <w:p w14:paraId="6FB0D340">
            <w:pPr>
              <w:spacing w:line="360" w:lineRule="auto"/>
              <w:rPr>
                <w:rFonts w:asciiTheme="minorEastAsia" w:hAnsiTheme="minorEastAsia" w:cstheme="minorEastAsia"/>
                <w:szCs w:val="21"/>
              </w:rPr>
            </w:pPr>
            <w:r>
              <w:rPr>
                <w:rFonts w:hint="eastAsia" w:asciiTheme="minorEastAsia" w:hAnsiTheme="minorEastAsia" w:cstheme="minorEastAsia"/>
                <w:szCs w:val="21"/>
              </w:rPr>
              <w:t>电        话：029-88319689-80</w:t>
            </w:r>
            <w:r>
              <w:rPr>
                <w:rFonts w:hint="eastAsia" w:asciiTheme="minorEastAsia" w:hAnsiTheme="minorEastAsia" w:cstheme="minorEastAsia"/>
                <w:szCs w:val="21"/>
                <w:lang w:val="en-US" w:eastAsia="zh-CN"/>
              </w:rPr>
              <w:t>0</w:t>
            </w:r>
            <w:r>
              <w:rPr>
                <w:rFonts w:hint="eastAsia" w:asciiTheme="minorEastAsia" w:hAnsiTheme="minorEastAsia" w:cstheme="minorEastAsia"/>
                <w:szCs w:val="21"/>
              </w:rPr>
              <w:t>4</w:t>
            </w:r>
          </w:p>
          <w:p w14:paraId="417E9734">
            <w:pPr>
              <w:spacing w:line="360" w:lineRule="auto"/>
              <w:rPr>
                <w:rFonts w:asciiTheme="minorEastAsia" w:hAnsiTheme="minorEastAsia" w:cstheme="minorEastAsia"/>
                <w:szCs w:val="21"/>
              </w:rPr>
            </w:pPr>
            <w:r>
              <w:rPr>
                <w:rFonts w:hint="eastAsia" w:asciiTheme="minorEastAsia" w:hAnsiTheme="minorEastAsia" w:cstheme="minorEastAsia"/>
                <w:szCs w:val="21"/>
              </w:rPr>
              <w:t>邮        箱：sxwzzb123@163.com</w:t>
            </w:r>
          </w:p>
        </w:tc>
      </w:tr>
      <w:tr w14:paraId="597DD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14:paraId="5C88FC6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966" w:type="dxa"/>
            <w:vAlign w:val="center"/>
          </w:tcPr>
          <w:p w14:paraId="31088F7D">
            <w:pPr>
              <w:spacing w:line="360" w:lineRule="auto"/>
              <w:rPr>
                <w:rFonts w:asciiTheme="minorEastAsia" w:hAnsiTheme="minorEastAsia" w:cstheme="minorEastAsia"/>
                <w:szCs w:val="21"/>
              </w:rPr>
            </w:pPr>
            <w:r>
              <w:rPr>
                <w:rFonts w:hint="eastAsia" w:asciiTheme="minorEastAsia" w:hAnsiTheme="minorEastAsia" w:cstheme="minorEastAsia"/>
                <w:szCs w:val="21"/>
              </w:rPr>
              <w:t>联合体形式</w:t>
            </w:r>
          </w:p>
        </w:tc>
        <w:tc>
          <w:tcPr>
            <w:tcW w:w="8306" w:type="dxa"/>
            <w:vAlign w:val="center"/>
          </w:tcPr>
          <w:p w14:paraId="1D093198">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不接受联合体投标</w:t>
            </w:r>
          </w:p>
        </w:tc>
      </w:tr>
      <w:tr w14:paraId="1EBD6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14:paraId="6A64915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966" w:type="dxa"/>
            <w:vAlign w:val="center"/>
          </w:tcPr>
          <w:p w14:paraId="6E58D137">
            <w:pPr>
              <w:spacing w:line="360" w:lineRule="auto"/>
              <w:rPr>
                <w:rFonts w:asciiTheme="minorEastAsia" w:hAnsiTheme="minorEastAsia" w:cstheme="minorEastAsia"/>
                <w:szCs w:val="21"/>
              </w:rPr>
            </w:pPr>
            <w:r>
              <w:rPr>
                <w:rFonts w:hint="eastAsia" w:asciiTheme="minorEastAsia" w:hAnsiTheme="minorEastAsia" w:cstheme="minorEastAsia"/>
                <w:szCs w:val="21"/>
              </w:rPr>
              <w:t>备选</w:t>
            </w:r>
          </w:p>
          <w:p w14:paraId="663D9819">
            <w:pPr>
              <w:spacing w:line="360" w:lineRule="auto"/>
              <w:rPr>
                <w:rFonts w:asciiTheme="minorEastAsia" w:hAnsiTheme="minorEastAsia" w:cstheme="minorEastAsia"/>
                <w:szCs w:val="21"/>
              </w:rPr>
            </w:pPr>
            <w:r>
              <w:rPr>
                <w:rFonts w:hint="eastAsia" w:asciiTheme="minorEastAsia" w:hAnsiTheme="minorEastAsia" w:cstheme="minorEastAsia"/>
                <w:szCs w:val="21"/>
              </w:rPr>
              <w:t>方案</w:t>
            </w:r>
          </w:p>
        </w:tc>
        <w:tc>
          <w:tcPr>
            <w:tcW w:w="8306" w:type="dxa"/>
            <w:vAlign w:val="center"/>
          </w:tcPr>
          <w:p w14:paraId="203FDB8A">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不允许提供</w:t>
            </w:r>
          </w:p>
        </w:tc>
      </w:tr>
      <w:tr w14:paraId="5AD0D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86" w:hRule="atLeast"/>
        </w:trPr>
        <w:tc>
          <w:tcPr>
            <w:tcW w:w="540" w:type="dxa"/>
            <w:vAlign w:val="center"/>
          </w:tcPr>
          <w:p w14:paraId="24E96B8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66" w:type="dxa"/>
            <w:vAlign w:val="center"/>
          </w:tcPr>
          <w:p w14:paraId="5CB4B5FA">
            <w:pPr>
              <w:spacing w:line="360" w:lineRule="auto"/>
              <w:rPr>
                <w:rFonts w:hint="eastAsia" w:asciiTheme="minorEastAsia" w:hAnsiTheme="minorEastAsia" w:eastAsiaTheme="minorEastAsia" w:cstheme="minorEastAsia"/>
                <w:szCs w:val="21"/>
                <w:lang w:eastAsia="zh-CN"/>
              </w:rPr>
            </w:pPr>
            <w:r>
              <w:rPr>
                <w:rFonts w:hint="eastAsia" w:ascii="宋体" w:hAnsi="宋体" w:cs="宋体"/>
                <w:szCs w:val="21"/>
              </w:rPr>
              <w:t>打 包</w:t>
            </w:r>
          </w:p>
        </w:tc>
        <w:tc>
          <w:tcPr>
            <w:tcW w:w="8306" w:type="dxa"/>
            <w:vAlign w:val="center"/>
          </w:tcPr>
          <w:p w14:paraId="1CEEC169">
            <w:pPr>
              <w:spacing w:line="360" w:lineRule="auto"/>
              <w:jc w:val="left"/>
              <w:rPr>
                <w:rFonts w:asciiTheme="minorEastAsia" w:hAnsiTheme="minorEastAsia" w:cstheme="minorEastAsia"/>
                <w:szCs w:val="21"/>
              </w:rPr>
            </w:pPr>
            <w:r>
              <w:rPr>
                <w:rFonts w:hint="eastAsia" w:ascii="宋体" w:hAnsi="宋体" w:cs="宋体"/>
                <w:szCs w:val="21"/>
              </w:rPr>
              <w:t>本次采购不分包，</w:t>
            </w:r>
            <w:r>
              <w:rPr>
                <w:rFonts w:hint="eastAsia" w:ascii="宋体" w:hAnsi="宋体" w:cs="宋体"/>
                <w:szCs w:val="21"/>
                <w:lang w:val="en-US" w:eastAsia="zh-CN"/>
              </w:rPr>
              <w:t>投标人</w:t>
            </w:r>
            <w:r>
              <w:rPr>
                <w:rFonts w:hint="eastAsia" w:ascii="宋体" w:hAnsi="宋体" w:cs="宋体"/>
                <w:szCs w:val="21"/>
              </w:rPr>
              <w:t>可根据自身的资质情况和经营范围对本项目进行</w:t>
            </w:r>
            <w:r>
              <w:rPr>
                <w:rFonts w:hint="eastAsia" w:ascii="宋体" w:hAnsi="宋体" w:cs="宋体"/>
                <w:szCs w:val="21"/>
                <w:lang w:val="en-US" w:eastAsia="zh-CN"/>
              </w:rPr>
              <w:t>投标</w:t>
            </w:r>
            <w:r>
              <w:rPr>
                <w:rFonts w:hint="eastAsia" w:ascii="宋体" w:hAnsi="宋体" w:cs="宋体"/>
                <w:szCs w:val="21"/>
              </w:rPr>
              <w:t>，不得自行分解或只对本次项目中的品目进行不完全</w:t>
            </w:r>
            <w:r>
              <w:rPr>
                <w:rFonts w:hint="eastAsia" w:ascii="宋体" w:hAnsi="宋体" w:cs="宋体"/>
                <w:szCs w:val="21"/>
                <w:lang w:val="en-US" w:eastAsia="zh-CN"/>
              </w:rPr>
              <w:t>投标</w:t>
            </w:r>
            <w:r>
              <w:rPr>
                <w:rFonts w:hint="eastAsia" w:ascii="宋体" w:hAnsi="宋体" w:cs="宋体"/>
                <w:szCs w:val="21"/>
              </w:rPr>
              <w:t>，任何不完全的</w:t>
            </w:r>
            <w:r>
              <w:rPr>
                <w:rFonts w:hint="eastAsia" w:ascii="宋体" w:hAnsi="宋体" w:cs="宋体"/>
                <w:szCs w:val="21"/>
                <w:lang w:val="en-US" w:eastAsia="zh-CN"/>
              </w:rPr>
              <w:t>投标</w:t>
            </w:r>
            <w:r>
              <w:rPr>
                <w:rFonts w:hint="eastAsia" w:ascii="宋体" w:hAnsi="宋体" w:cs="宋体"/>
                <w:szCs w:val="21"/>
              </w:rPr>
              <w:t>将按无效</w:t>
            </w:r>
            <w:r>
              <w:rPr>
                <w:rFonts w:hint="eastAsia" w:ascii="宋体" w:hAnsi="宋体" w:cs="宋体"/>
                <w:szCs w:val="21"/>
                <w:lang w:val="en-US" w:eastAsia="zh-CN"/>
              </w:rPr>
              <w:t>投标</w:t>
            </w:r>
            <w:r>
              <w:rPr>
                <w:rFonts w:hint="eastAsia" w:ascii="宋体" w:hAnsi="宋体" w:cs="宋体"/>
                <w:szCs w:val="21"/>
              </w:rPr>
              <w:t>处理。</w:t>
            </w:r>
          </w:p>
        </w:tc>
      </w:tr>
      <w:tr w14:paraId="3A92D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14:paraId="489AED5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966" w:type="dxa"/>
            <w:vAlign w:val="center"/>
          </w:tcPr>
          <w:p w14:paraId="10AA93DA">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14:paraId="7D212327">
            <w:pPr>
              <w:spacing w:line="360" w:lineRule="auto"/>
              <w:rPr>
                <w:rFonts w:asciiTheme="minorEastAsia" w:hAnsiTheme="minorEastAsia" w:cstheme="minorEastAsia"/>
                <w:szCs w:val="21"/>
              </w:rPr>
            </w:pPr>
            <w:r>
              <w:rPr>
                <w:rFonts w:hint="eastAsia" w:asciiTheme="minorEastAsia" w:hAnsiTheme="minorEastAsia" w:cstheme="minorEastAsia"/>
                <w:szCs w:val="21"/>
              </w:rPr>
              <w:t>有效期</w:t>
            </w:r>
          </w:p>
        </w:tc>
        <w:tc>
          <w:tcPr>
            <w:tcW w:w="8306" w:type="dxa"/>
            <w:vAlign w:val="center"/>
          </w:tcPr>
          <w:p w14:paraId="5F854578">
            <w:pPr>
              <w:spacing w:line="360" w:lineRule="auto"/>
              <w:rPr>
                <w:rFonts w:asciiTheme="minorEastAsia" w:hAnsiTheme="minorEastAsia" w:cstheme="minorEastAsia"/>
                <w:szCs w:val="21"/>
              </w:rPr>
            </w:pPr>
            <w:r>
              <w:rPr>
                <w:rFonts w:hint="eastAsia" w:asciiTheme="minorEastAsia" w:hAnsiTheme="minorEastAsia" w:cstheme="minorEastAsia"/>
                <w:szCs w:val="21"/>
              </w:rPr>
              <w:t>投标文件从开标之日起，投标有效期为90日历天。</w:t>
            </w:r>
          </w:p>
        </w:tc>
      </w:tr>
      <w:tr w14:paraId="249C4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40" w:hRule="atLeast"/>
        </w:trPr>
        <w:tc>
          <w:tcPr>
            <w:tcW w:w="540" w:type="dxa"/>
            <w:vAlign w:val="center"/>
          </w:tcPr>
          <w:p w14:paraId="3D4D569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66" w:type="dxa"/>
            <w:vAlign w:val="center"/>
          </w:tcPr>
          <w:p w14:paraId="7C9118B8">
            <w:pPr>
              <w:spacing w:line="360" w:lineRule="auto"/>
              <w:rPr>
                <w:rFonts w:asciiTheme="minorEastAsia" w:hAnsiTheme="minorEastAsia" w:cstheme="minorEastAsia"/>
                <w:szCs w:val="21"/>
              </w:rPr>
            </w:pPr>
            <w:r>
              <w:rPr>
                <w:rFonts w:hint="eastAsia" w:asciiTheme="minorEastAsia" w:hAnsiTheme="minorEastAsia" w:cstheme="minorEastAsia"/>
                <w:szCs w:val="21"/>
              </w:rPr>
              <w:t>资格</w:t>
            </w:r>
          </w:p>
          <w:p w14:paraId="3E822B8B">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306" w:type="dxa"/>
            <w:vAlign w:val="center"/>
          </w:tcPr>
          <w:p w14:paraId="1D428D84">
            <w:pPr>
              <w:spacing w:line="360" w:lineRule="auto"/>
              <w:jc w:val="left"/>
              <w:rPr>
                <w:szCs w:val="21"/>
              </w:rPr>
            </w:pPr>
            <w:r>
              <w:rPr>
                <w:rFonts w:hint="eastAsia"/>
              </w:rPr>
              <w:t>符</w:t>
            </w:r>
            <w:r>
              <w:rPr>
                <w:rFonts w:hint="eastAsia" w:ascii="宋体" w:hAnsi="宋体" w:cs="宋体"/>
                <w:szCs w:val="21"/>
              </w:rPr>
              <w:t>合《</w:t>
            </w:r>
            <w:r>
              <w:rPr>
                <w:rFonts w:hint="eastAsia"/>
                <w:szCs w:val="21"/>
              </w:rPr>
              <w:t>中华人民共和国政府采购法》第二十二条规定，并提供以下材料：</w:t>
            </w:r>
          </w:p>
          <w:p w14:paraId="283FA648">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1、具有独立承担民事责任能力的法人、其他组织或自然人，并出具合法有效的营业执照或事业单位法人证书等国家规定的相关证明，自然人参与的提供其身份证明；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r>
              <w:rPr>
                <w:rFonts w:ascii="宋体" w:hAnsi="宋体" w:cs="宋体"/>
                <w:bCs/>
                <w:kern w:val="0"/>
                <w:szCs w:val="21"/>
              </w:rPr>
              <w:t xml:space="preserve">  </w:t>
            </w:r>
          </w:p>
          <w:p w14:paraId="66C72952">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投标人提供本单位2024年10月至今已缴纳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14:paraId="7E76F798">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3、税收缴纳证明：投标人提供本单位2024年10月至今已缴纳的至少一个月纳税证明或完税证明，依法免税的单位应提供相关证明材料（以税款所属时期为准）；</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14:paraId="7CA3BD3C">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4、财务状况证明：提供本单位经会计师事务所审计的2024年财务审计报告（须带二维码可验证）或在开标日期前六个月内其基本开户银行出具的资信证明；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14:paraId="4AD59035">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5、投标人应出具参加本次政府采购活动前3年内在经营活动中没有重大违法违纪，以及未被列入失信被执行人、重大税收违法案件当事人名单、政府采购严重违法失信行为记录名单的书面声明</w:t>
            </w:r>
            <w:r>
              <w:rPr>
                <w:rFonts w:hint="eastAsia" w:ascii="宋体" w:hAnsi="宋体" w:cs="宋体"/>
                <w:kern w:val="0"/>
                <w:szCs w:val="21"/>
              </w:rPr>
              <w:t>；</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w:t>
            </w:r>
            <w:r>
              <w:rPr>
                <w:rFonts w:hint="eastAsia" w:cstheme="minorBidi"/>
                <w:b/>
                <w:bCs/>
                <w:szCs w:val="21"/>
                <w:lang w:eastAsia="zh-CN"/>
              </w:rPr>
              <w:t>招标</w:t>
            </w:r>
            <w:r>
              <w:rPr>
                <w:rFonts w:hint="eastAsia" w:cstheme="minorBidi"/>
                <w:b/>
                <w:bCs/>
                <w:szCs w:val="21"/>
              </w:rPr>
              <w:t>文件第七部分。</w:t>
            </w:r>
          </w:p>
          <w:p w14:paraId="6174B9E0">
            <w:pPr>
              <w:snapToGrid w:val="0"/>
              <w:spacing w:line="360" w:lineRule="auto"/>
              <w:ind w:firstLine="420" w:firstLineChars="200"/>
              <w:jc w:val="left"/>
              <w:rPr>
                <w:rFonts w:ascii="宋体" w:hAnsi="宋体" w:cs="宋体"/>
                <w:b/>
                <w:kern w:val="0"/>
                <w:szCs w:val="21"/>
              </w:rPr>
            </w:pPr>
            <w:r>
              <w:rPr>
                <w:rFonts w:hint="eastAsia" w:ascii="宋体" w:hAnsi="宋体" w:cs="宋体"/>
                <w:bCs/>
                <w:kern w:val="0"/>
                <w:szCs w:val="21"/>
              </w:rPr>
              <w:t>6、非法定代表人参加投标，须提供法定代表人授权委托书（授权代表参与投标的，</w:t>
            </w:r>
            <w:r>
              <w:rPr>
                <w:rFonts w:hint="eastAsia" w:ascii="宋体" w:hAnsi="宋体" w:cs="宋体"/>
                <w:b/>
                <w:bCs w:val="0"/>
                <w:kern w:val="0"/>
                <w:szCs w:val="21"/>
              </w:rPr>
              <w:t>提供授权代表开标前三个月内至少一个月的社会保险参保缴费情况证明</w:t>
            </w:r>
            <w:r>
              <w:rPr>
                <w:rFonts w:hint="eastAsia" w:ascii="宋体" w:hAnsi="宋体" w:cs="宋体"/>
                <w:bCs/>
                <w:kern w:val="0"/>
                <w:szCs w:val="21"/>
              </w:rPr>
              <w:t>）；法定代表人参加投标时,只须提供法定代表人身份证</w:t>
            </w:r>
            <w:r>
              <w:rPr>
                <w:rFonts w:hint="eastAsia" w:ascii="宋体" w:hAnsi="宋体" w:cs="宋体"/>
                <w:b/>
                <w:kern w:val="0"/>
                <w:szCs w:val="21"/>
              </w:rPr>
              <w:t>；</w:t>
            </w:r>
          </w:p>
          <w:p w14:paraId="261583BA">
            <w:pPr>
              <w:adjustRightInd w:val="0"/>
              <w:snapToGrid w:val="0"/>
              <w:spacing w:line="360" w:lineRule="auto"/>
              <w:ind w:firstLine="420" w:firstLineChars="200"/>
              <w:rPr>
                <w:rFonts w:hint="eastAsia" w:asciiTheme="minorHAnsi" w:hAnsiTheme="minorHAnsi" w:eastAsiaTheme="minorEastAsia" w:cstheme="minorBidi"/>
                <w:b/>
                <w:bCs/>
                <w:kern w:val="2"/>
                <w:sz w:val="21"/>
                <w:szCs w:val="20"/>
                <w:lang w:val="en-US" w:eastAsia="zh-CN" w:bidi="ar-SA"/>
              </w:rPr>
            </w:pPr>
            <w:r>
              <w:rPr>
                <w:rFonts w:hint="eastAsia"/>
                <w:b w:val="0"/>
                <w:bCs w:val="0"/>
                <w:lang w:val="en-US" w:eastAsia="zh-CN"/>
              </w:rPr>
              <w:t>7</w:t>
            </w:r>
            <w:r>
              <w:rPr>
                <w:rFonts w:hint="eastAsia"/>
                <w:b w:val="0"/>
                <w:bCs w:val="0"/>
              </w:rPr>
              <w:t>、投标人应为具备国家市场监督管理总局颁发的《中华人民共和国特种设备检验检测机构核准证（综合检验机构甲类）》或者《中华人民共和国特种设备检验检测机构核准证（甲类A2级及以上检验机构）》的特种设备检验检测机构。（提供证明资料）；</w:t>
            </w:r>
            <w:r>
              <w:rPr>
                <w:rFonts w:hint="eastAsia" w:cstheme="minorBidi"/>
                <w:b/>
                <w:bCs/>
                <w:kern w:val="2"/>
                <w:sz w:val="21"/>
                <w:szCs w:val="20"/>
                <w:lang w:val="en-US" w:eastAsia="zh-CN" w:bidi="ar-SA"/>
              </w:rPr>
              <w:t>提供复印件加盖投标人鲜章。</w:t>
            </w:r>
          </w:p>
          <w:p w14:paraId="6D7259B4">
            <w:pPr>
              <w:adjustRightInd w:val="0"/>
              <w:snapToGrid w:val="0"/>
              <w:spacing w:line="360" w:lineRule="auto"/>
              <w:ind w:firstLine="420" w:firstLineChars="200"/>
              <w:rPr>
                <w:rFonts w:hint="eastAsia" w:cstheme="minorBidi"/>
                <w:b w:val="0"/>
                <w:bCs w:val="0"/>
                <w:kern w:val="2"/>
                <w:sz w:val="21"/>
                <w:szCs w:val="20"/>
                <w:lang w:val="en-US" w:eastAsia="zh-CN" w:bidi="ar-SA"/>
              </w:rPr>
            </w:pPr>
            <w:r>
              <w:rPr>
                <w:rFonts w:hint="eastAsia" w:cstheme="minorBidi"/>
                <w:b w:val="0"/>
                <w:bCs w:val="0"/>
                <w:kern w:val="2"/>
                <w:sz w:val="21"/>
                <w:szCs w:val="20"/>
                <w:lang w:val="en-US" w:eastAsia="zh-CN" w:bidi="ar-SA"/>
              </w:rPr>
              <w:t>8、投标人须具备评审资格并提供国家级或省级市场监管部门书面认定证明或其他相关证明材料。（提供证明材料）</w:t>
            </w:r>
            <w:r>
              <w:rPr>
                <w:rFonts w:hint="eastAsia" w:cstheme="minorBidi"/>
                <w:b/>
                <w:bCs/>
                <w:kern w:val="2"/>
                <w:sz w:val="21"/>
                <w:szCs w:val="20"/>
                <w:lang w:val="en-US" w:eastAsia="zh-CN" w:bidi="ar-SA"/>
              </w:rPr>
              <w:t>；提供复印件加盖投标人鲜章。</w:t>
            </w:r>
          </w:p>
          <w:p w14:paraId="60C7AFDC">
            <w:pPr>
              <w:adjustRightInd w:val="0"/>
              <w:snapToGrid w:val="0"/>
              <w:spacing w:line="360" w:lineRule="auto"/>
              <w:ind w:firstLine="420" w:firstLineChars="200"/>
              <w:rPr>
                <w:rFonts w:hint="default" w:cstheme="minorBidi"/>
                <w:b w:val="0"/>
                <w:bCs w:val="0"/>
                <w:kern w:val="2"/>
                <w:sz w:val="21"/>
                <w:szCs w:val="20"/>
                <w:lang w:val="en-US" w:eastAsia="zh-CN" w:bidi="ar-SA"/>
              </w:rPr>
            </w:pPr>
            <w:r>
              <w:rPr>
                <w:rFonts w:hint="eastAsia" w:cstheme="minorBidi"/>
                <w:b w:val="0"/>
                <w:bCs w:val="0"/>
                <w:kern w:val="2"/>
                <w:sz w:val="21"/>
                <w:szCs w:val="20"/>
                <w:lang w:val="en-US" w:eastAsia="zh-CN" w:bidi="ar-SA"/>
              </w:rPr>
              <w:t>9、投标人须承诺与被抽查单位不存在资产、业务、管理等方面的利益关系。（提供书面声明）</w:t>
            </w:r>
            <w:r>
              <w:rPr>
                <w:rFonts w:hint="eastAsia" w:cstheme="minorBidi"/>
                <w:b/>
                <w:bCs/>
                <w:kern w:val="2"/>
                <w:sz w:val="21"/>
                <w:szCs w:val="20"/>
                <w:lang w:val="en-US" w:eastAsia="zh-CN" w:bidi="ar-SA"/>
              </w:rPr>
              <w:t>；提供复印件加盖投标人鲜章。</w:t>
            </w:r>
          </w:p>
          <w:p w14:paraId="4FC63FF4">
            <w:pPr>
              <w:adjustRightInd w:val="0"/>
              <w:snapToGrid w:val="0"/>
              <w:spacing w:line="360" w:lineRule="auto"/>
              <w:ind w:firstLine="420" w:firstLineChars="200"/>
              <w:rPr>
                <w:rFonts w:hint="eastAsia" w:asciiTheme="minorHAnsi" w:hAnsiTheme="minorHAnsi" w:eastAsiaTheme="minorEastAsia" w:cstheme="minorBidi"/>
                <w:b w:val="0"/>
                <w:bCs w:val="0"/>
                <w:kern w:val="2"/>
                <w:sz w:val="21"/>
                <w:szCs w:val="20"/>
                <w:lang w:val="en-US" w:eastAsia="zh-CN" w:bidi="ar-SA"/>
              </w:rPr>
            </w:pPr>
            <w:r>
              <w:rPr>
                <w:rFonts w:hint="eastAsia" w:cstheme="minorBidi"/>
                <w:b w:val="0"/>
                <w:bCs w:val="0"/>
                <w:kern w:val="2"/>
                <w:sz w:val="21"/>
                <w:szCs w:val="20"/>
                <w:lang w:val="en-US" w:eastAsia="zh-CN" w:bidi="ar-SA"/>
              </w:rPr>
              <w:t>10</w:t>
            </w:r>
            <w:r>
              <w:rPr>
                <w:rFonts w:hint="eastAsia" w:asciiTheme="minorHAnsi" w:hAnsiTheme="minorHAnsi" w:eastAsiaTheme="minorEastAsia" w:cstheme="minorBidi"/>
                <w:b w:val="0"/>
                <w:bCs w:val="0"/>
                <w:kern w:val="2"/>
                <w:sz w:val="21"/>
                <w:szCs w:val="20"/>
                <w:lang w:val="en-US" w:eastAsia="zh-CN" w:bidi="ar-SA"/>
              </w:rPr>
              <w:t>、本项目不接受联合体投标。</w:t>
            </w:r>
          </w:p>
          <w:p w14:paraId="5E558523">
            <w:pPr>
              <w:pStyle w:val="5"/>
              <w:spacing w:line="360" w:lineRule="auto"/>
              <w:ind w:firstLine="422" w:firstLineChars="200"/>
              <w:rPr>
                <w:rFonts w:asciiTheme="minorEastAsia" w:hAnsiTheme="minorEastAsia" w:cstheme="minorEastAsia"/>
                <w:b/>
                <w:bCs/>
                <w:szCs w:val="21"/>
              </w:rPr>
            </w:pPr>
            <w:r>
              <w:rPr>
                <w:rFonts w:hint="eastAsia"/>
                <w:b/>
                <w:bCs/>
              </w:rPr>
              <w:t>注：</w:t>
            </w:r>
            <w:r>
              <w:rPr>
                <w:rFonts w:ascii="Calibri" w:hAnsi="Calibri" w:cs="Calibri"/>
                <w:b/>
                <w:bCs/>
                <w:szCs w:val="21"/>
              </w:rPr>
              <w:t>①</w:t>
            </w:r>
            <w:r>
              <w:rPr>
                <w:rFonts w:hint="eastAsia" w:asciiTheme="minorEastAsia" w:hAnsiTheme="minorEastAsia" w:cstheme="minorEastAsia"/>
                <w:b/>
                <w:bCs/>
                <w:szCs w:val="21"/>
              </w:rPr>
              <w:t>投标人应在投标文件正本中附按照上述要求须提供的资格证明文件（身份证原件除外），作为资格审查的依据，资审时凡有一项不合格者，均按无效投标处理。</w:t>
            </w:r>
          </w:p>
          <w:p w14:paraId="2808834A">
            <w:pPr>
              <w:pStyle w:val="5"/>
              <w:spacing w:line="360" w:lineRule="auto"/>
              <w:ind w:right="170" w:rightChars="81" w:firstLine="422" w:firstLineChars="200"/>
              <w:rPr>
                <w:b/>
                <w:bCs/>
              </w:rPr>
            </w:pPr>
            <w:r>
              <w:rPr>
                <w:rFonts w:ascii="Calibri" w:hAnsi="Calibri" w:cs="Calibri"/>
                <w:b/>
                <w:bCs/>
                <w:szCs w:val="21"/>
              </w:rPr>
              <w:t>②</w:t>
            </w:r>
            <w:r>
              <w:rPr>
                <w:rFonts w:hint="eastAsia" w:asciiTheme="minorEastAsia" w:hAnsiTheme="minorEastAsia" w:cstheme="minorEastAsia"/>
                <w:b/>
                <w:bCs/>
                <w:szCs w:val="21"/>
              </w:rPr>
              <w:t>投标人自行承担所提供原件及其复印件的真实性、合法性及有效性，由于投标人未在响应文件中提供或所提供证明材料不合格的，将按无效响应处理。（如投标人的各类证书原件正在变更、年检中的，须有相应的行业管理部门出具书面证明，并提供相应的证书复印件加盖投标人鲜章。）</w:t>
            </w:r>
          </w:p>
        </w:tc>
      </w:tr>
      <w:tr w14:paraId="62776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40" w:type="dxa"/>
            <w:vAlign w:val="center"/>
          </w:tcPr>
          <w:p w14:paraId="360987D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966" w:type="dxa"/>
            <w:vAlign w:val="center"/>
          </w:tcPr>
          <w:p w14:paraId="0AB044CF">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14:paraId="32A96374">
            <w:pPr>
              <w:spacing w:line="360" w:lineRule="auto"/>
              <w:rPr>
                <w:rFonts w:asciiTheme="minorEastAsia" w:hAnsiTheme="minorEastAsia" w:cstheme="minorEastAsia"/>
                <w:szCs w:val="21"/>
              </w:rPr>
            </w:pPr>
            <w:r>
              <w:rPr>
                <w:rFonts w:hint="eastAsia" w:asciiTheme="minorEastAsia" w:hAnsiTheme="minorEastAsia" w:cstheme="minorEastAsia"/>
                <w:szCs w:val="21"/>
              </w:rPr>
              <w:t>保证金</w:t>
            </w:r>
          </w:p>
        </w:tc>
        <w:tc>
          <w:tcPr>
            <w:tcW w:w="8306" w:type="dxa"/>
            <w:vAlign w:val="center"/>
          </w:tcPr>
          <w:p w14:paraId="31B6D268">
            <w:pPr>
              <w:spacing w:line="360" w:lineRule="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无</w:t>
            </w:r>
          </w:p>
        </w:tc>
      </w:tr>
      <w:tr w14:paraId="0BC4A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55" w:hRule="atLeast"/>
        </w:trPr>
        <w:tc>
          <w:tcPr>
            <w:tcW w:w="540" w:type="dxa"/>
            <w:vAlign w:val="center"/>
          </w:tcPr>
          <w:p w14:paraId="799B1DA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966" w:type="dxa"/>
            <w:vAlign w:val="center"/>
          </w:tcPr>
          <w:p w14:paraId="65869437">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14:paraId="0B7396DE">
            <w:pPr>
              <w:spacing w:line="360" w:lineRule="auto"/>
              <w:rPr>
                <w:rFonts w:asciiTheme="minorEastAsia" w:hAnsiTheme="minorEastAsia" w:cstheme="minorEastAsia"/>
                <w:szCs w:val="21"/>
              </w:rPr>
            </w:pPr>
            <w:r>
              <w:rPr>
                <w:rFonts w:hint="eastAsia" w:asciiTheme="minorEastAsia" w:hAnsiTheme="minorEastAsia" w:cstheme="minorEastAsia"/>
                <w:szCs w:val="21"/>
              </w:rPr>
              <w:t>文件</w:t>
            </w:r>
          </w:p>
        </w:tc>
        <w:tc>
          <w:tcPr>
            <w:tcW w:w="8306" w:type="dxa"/>
            <w:vAlign w:val="center"/>
          </w:tcPr>
          <w:p w14:paraId="7AE01FD4">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投标文</w:t>
            </w:r>
            <w:r>
              <w:rPr>
                <w:rFonts w:hint="eastAsia" w:asciiTheme="minorEastAsia" w:hAnsiTheme="minorEastAsia" w:cstheme="minorEastAsia"/>
                <w:color w:val="000000" w:themeColor="text1"/>
                <w:szCs w:val="21"/>
                <w14:textFill>
                  <w14:solidFill>
                    <w14:schemeClr w14:val="tx1"/>
                  </w14:solidFill>
                </w14:textFill>
              </w:rPr>
              <w:t>件</w:t>
            </w:r>
            <w:r>
              <w:rPr>
                <w:rFonts w:hint="eastAsia" w:asciiTheme="minorEastAsia" w:hAnsiTheme="minorEastAsia" w:cstheme="minorEastAsia"/>
                <w:b/>
                <w:bCs/>
                <w:color w:val="000000" w:themeColor="text1"/>
                <w:szCs w:val="21"/>
                <w14:textFill>
                  <w14:solidFill>
                    <w14:schemeClr w14:val="tx1"/>
                  </w14:solidFill>
                </w14:textFill>
              </w:rPr>
              <w:t>正本壹份、副本肆份</w:t>
            </w:r>
            <w:r>
              <w:rPr>
                <w:rFonts w:hint="eastAsia" w:asciiTheme="minorEastAsia" w:hAnsiTheme="minorEastAsia" w:cstheme="minorEastAsia"/>
                <w:szCs w:val="21"/>
              </w:rPr>
              <w:t>，分别胶装装订成册，且封面须清楚地标明“正本”或“副本”；若正本和副本不符，以正本书面文件为准；同时提供与正本内容一致的电子版（U盘、</w:t>
            </w:r>
            <w:r>
              <w:rPr>
                <w:rFonts w:hint="eastAsia" w:asciiTheme="minorEastAsia" w:hAnsiTheme="minorEastAsia" w:cstheme="minorEastAsia"/>
                <w:b/>
                <w:bCs/>
                <w:szCs w:val="21"/>
              </w:rPr>
              <w:t>电子文档应为PDF与WORD格式各一份</w:t>
            </w:r>
            <w:r>
              <w:rPr>
                <w:rFonts w:hint="eastAsia" w:asciiTheme="minorEastAsia" w:hAnsiTheme="minorEastAsia" w:cstheme="minorEastAsia"/>
                <w:szCs w:val="21"/>
              </w:rPr>
              <w:t>）、开标一览表一份</w:t>
            </w:r>
            <w:r>
              <w:rPr>
                <w:rFonts w:hint="eastAsia" w:asciiTheme="minorEastAsia" w:hAnsiTheme="minorEastAsia" w:cstheme="minorEastAsia"/>
                <w:b/>
                <w:bCs/>
                <w:szCs w:val="21"/>
              </w:rPr>
              <w:t>（</w:t>
            </w:r>
            <w:r>
              <w:rPr>
                <w:rFonts w:hint="eastAsia" w:asciiTheme="minorEastAsia" w:hAnsiTheme="minorEastAsia" w:cstheme="minorEastAsia"/>
                <w:szCs w:val="21"/>
              </w:rPr>
              <w:t>用于开标唱标单独提交的“开标一览表”须为原件）。</w:t>
            </w:r>
          </w:p>
        </w:tc>
      </w:tr>
      <w:tr w14:paraId="2B710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85" w:hRule="atLeast"/>
        </w:trPr>
        <w:tc>
          <w:tcPr>
            <w:tcW w:w="540" w:type="dxa"/>
            <w:vAlign w:val="center"/>
          </w:tcPr>
          <w:p w14:paraId="440D292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966" w:type="dxa"/>
            <w:vAlign w:val="center"/>
          </w:tcPr>
          <w:p w14:paraId="201D35B1">
            <w:pPr>
              <w:spacing w:line="360" w:lineRule="auto"/>
              <w:rPr>
                <w:rFonts w:asciiTheme="minorEastAsia" w:hAnsiTheme="minorEastAsia" w:cstheme="minorEastAsia"/>
                <w:szCs w:val="21"/>
              </w:rPr>
            </w:pPr>
            <w:r>
              <w:rPr>
                <w:rFonts w:hint="eastAsia" w:asciiTheme="minorEastAsia" w:hAnsiTheme="minorEastAsia" w:cstheme="minorEastAsia"/>
                <w:szCs w:val="21"/>
              </w:rPr>
              <w:t>包装密封</w:t>
            </w:r>
          </w:p>
        </w:tc>
        <w:tc>
          <w:tcPr>
            <w:tcW w:w="8306" w:type="dxa"/>
            <w:vAlign w:val="center"/>
          </w:tcPr>
          <w:p w14:paraId="75A99618">
            <w:pPr>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szCs w:val="21"/>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Theme="minorEastAsia" w:hAnsiTheme="minorEastAsia" w:cstheme="minorEastAsia"/>
                <w:color w:val="000000" w:themeColor="text1"/>
                <w:szCs w:val="21"/>
                <w14:textFill>
                  <w14:solidFill>
                    <w14:schemeClr w14:val="tx1"/>
                  </w14:solidFill>
                </w14:textFill>
              </w:rPr>
              <w:t>鲜章，封袋正面要粘贴投标人全称、项目名称、编号、</w:t>
            </w:r>
            <w:r>
              <w:rPr>
                <w:rFonts w:hint="eastAsia" w:asciiTheme="minorEastAsia" w:hAnsiTheme="minorEastAsia" w:cstheme="minorEastAsia"/>
                <w:color w:val="000000" w:themeColor="text1"/>
                <w:szCs w:val="21"/>
                <w:lang w:eastAsia="zh-CN"/>
                <w14:textFill>
                  <w14:solidFill>
                    <w14:schemeClr w14:val="tx1"/>
                  </w14:solidFill>
                </w14:textFill>
              </w:rPr>
              <w:t>标段</w:t>
            </w:r>
            <w:r>
              <w:rPr>
                <w:rFonts w:hint="eastAsia" w:asciiTheme="minorEastAsia" w:hAnsiTheme="minorEastAsia" w:cstheme="minorEastAsia"/>
                <w:color w:val="000000" w:themeColor="text1"/>
                <w:szCs w:val="21"/>
                <w14:textFill>
                  <w14:solidFill>
                    <w14:schemeClr w14:val="tx1"/>
                  </w14:solidFill>
                </w14:textFill>
              </w:rPr>
              <w:t>号等标识</w:t>
            </w:r>
            <w:r>
              <w:rPr>
                <w:rFonts w:hint="eastAsia" w:asciiTheme="minorEastAsia" w:hAnsiTheme="minorEastAsia" w:cstheme="minorEastAsia"/>
                <w:szCs w:val="21"/>
              </w:rPr>
              <w:t>，且</w:t>
            </w:r>
            <w:r>
              <w:rPr>
                <w:rFonts w:hint="eastAsia" w:asciiTheme="minorEastAsia" w:hAnsiTheme="minorEastAsia" w:cstheme="minorEastAsia"/>
                <w:kern w:val="0"/>
                <w:szCs w:val="21"/>
              </w:rPr>
              <w:t>投标文件袋上应加盖投标人公章（</w:t>
            </w:r>
            <w:r>
              <w:rPr>
                <w:rFonts w:hint="eastAsia" w:asciiTheme="minorEastAsia" w:hAnsiTheme="minorEastAsia" w:cstheme="minorEastAsia"/>
                <w:szCs w:val="21"/>
              </w:rPr>
              <w:t>封面标识见招标文件</w:t>
            </w:r>
            <w:r>
              <w:rPr>
                <w:rFonts w:hint="eastAsia" w:asciiTheme="minorEastAsia" w:hAnsiTheme="minorEastAsia" w:cstheme="minorEastAsia"/>
                <w:b/>
                <w:bCs/>
                <w:szCs w:val="21"/>
              </w:rPr>
              <w:t>附件一</w:t>
            </w:r>
            <w:r>
              <w:rPr>
                <w:rFonts w:hint="eastAsia" w:asciiTheme="minorEastAsia" w:hAnsiTheme="minorEastAsia" w:cstheme="minorEastAsia"/>
                <w:szCs w:val="21"/>
              </w:rPr>
              <w:t>）</w:t>
            </w:r>
            <w:r>
              <w:rPr>
                <w:rFonts w:hint="eastAsia" w:asciiTheme="minorEastAsia" w:hAnsiTheme="minorEastAsia" w:cstheme="minorEastAsia"/>
                <w:kern w:val="0"/>
                <w:szCs w:val="21"/>
              </w:rPr>
              <w:t>如果未按上述规定进行密封，投标人的投标文件有权被拒绝</w:t>
            </w:r>
            <w:r>
              <w:rPr>
                <w:rFonts w:hint="eastAsia" w:asciiTheme="minorEastAsia" w:hAnsiTheme="minorEastAsia" w:cstheme="minorEastAsia"/>
                <w:szCs w:val="21"/>
              </w:rPr>
              <w:t>。</w:t>
            </w:r>
          </w:p>
          <w:p w14:paraId="369F5B0A">
            <w:pPr>
              <w:spacing w:line="360"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如果投标人未按上述要求密封及加写标记，误投或过早启封的投标文件，将自行承担其投标文件被拒收的风险。</w:t>
            </w:r>
          </w:p>
        </w:tc>
      </w:tr>
      <w:tr w14:paraId="71DA8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14:paraId="6ED3B28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966" w:type="dxa"/>
            <w:vAlign w:val="center"/>
          </w:tcPr>
          <w:p w14:paraId="4F063317">
            <w:pPr>
              <w:spacing w:line="360" w:lineRule="auto"/>
              <w:rPr>
                <w:rFonts w:asciiTheme="minorEastAsia" w:hAnsiTheme="minorEastAsia" w:cstheme="minorEastAsia"/>
                <w:szCs w:val="21"/>
              </w:rPr>
            </w:pPr>
            <w:r>
              <w:rPr>
                <w:rFonts w:hint="eastAsia" w:asciiTheme="minorEastAsia" w:hAnsiTheme="minorEastAsia" w:cstheme="minorEastAsia"/>
                <w:color w:val="000000"/>
                <w:szCs w:val="21"/>
              </w:rPr>
              <w:t>评审办法</w:t>
            </w:r>
          </w:p>
        </w:tc>
        <w:tc>
          <w:tcPr>
            <w:tcW w:w="8306" w:type="dxa"/>
            <w:vAlign w:val="center"/>
          </w:tcPr>
          <w:p w14:paraId="2E4390E9">
            <w:pPr>
              <w:spacing w:line="360" w:lineRule="auto"/>
              <w:rPr>
                <w:rFonts w:asciiTheme="minorEastAsia" w:hAnsiTheme="minorEastAsia" w:cstheme="minorEastAsia"/>
                <w:b/>
                <w:bCs/>
                <w:color w:val="000000"/>
                <w:szCs w:val="21"/>
              </w:rPr>
            </w:pPr>
            <w:r>
              <w:rPr>
                <w:rFonts w:hint="eastAsia" w:asciiTheme="minorEastAsia" w:hAnsiTheme="minorEastAsia" w:cstheme="minorEastAsia"/>
                <w:szCs w:val="21"/>
              </w:rPr>
              <w:t>综合评分法（详见第四部分）</w:t>
            </w:r>
          </w:p>
        </w:tc>
      </w:tr>
      <w:tr w14:paraId="722AF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14:paraId="5F23B004">
            <w:pPr>
              <w:spacing w:line="360" w:lineRule="auto"/>
              <w:jc w:val="center"/>
              <w:rPr>
                <w:rFonts w:asciiTheme="minorEastAsia" w:hAnsiTheme="minorEastAsia" w:cstheme="minorEastAsia"/>
                <w:szCs w:val="21"/>
              </w:rPr>
            </w:pPr>
            <w:r>
              <w:rPr>
                <w:rFonts w:ascii="宋体" w:hAnsi="宋体" w:cs="宋体"/>
                <w:szCs w:val="21"/>
              </w:rPr>
              <w:t>1</w:t>
            </w:r>
            <w:r>
              <w:rPr>
                <w:rFonts w:hint="eastAsia" w:ascii="宋体" w:hAnsi="宋体" w:cs="宋体"/>
                <w:szCs w:val="21"/>
              </w:rPr>
              <w:t>3</w:t>
            </w:r>
          </w:p>
        </w:tc>
        <w:tc>
          <w:tcPr>
            <w:tcW w:w="966" w:type="dxa"/>
            <w:vAlign w:val="center"/>
          </w:tcPr>
          <w:p w14:paraId="5CD39892">
            <w:pPr>
              <w:spacing w:line="360" w:lineRule="auto"/>
              <w:jc w:val="center"/>
              <w:rPr>
                <w:rFonts w:ascii="宋体" w:hAnsi="宋体" w:cs="宋体"/>
                <w:color w:val="000000"/>
                <w:sz w:val="20"/>
                <w:szCs w:val="21"/>
              </w:rPr>
            </w:pPr>
            <w:r>
              <w:rPr>
                <w:rFonts w:hint="eastAsia" w:ascii="宋体" w:hAnsi="宋体" w:cs="宋体"/>
                <w:szCs w:val="21"/>
              </w:rPr>
              <w:t>质疑与投诉</w:t>
            </w:r>
          </w:p>
        </w:tc>
        <w:tc>
          <w:tcPr>
            <w:tcW w:w="8306" w:type="dxa"/>
            <w:vAlign w:val="center"/>
          </w:tcPr>
          <w:p w14:paraId="6ED48838">
            <w:pPr>
              <w:spacing w:line="360" w:lineRule="auto"/>
              <w:jc w:val="left"/>
              <w:rPr>
                <w:rFonts w:hint="eastAsia" w:ascii="宋体" w:hAnsi="宋体" w:eastAsia="宋体" w:cs="宋体"/>
                <w:kern w:val="0"/>
                <w:sz w:val="24"/>
                <w:szCs w:val="24"/>
                <w:lang w:eastAsia="zh-CN"/>
              </w:rPr>
            </w:pPr>
            <w:r>
              <w:rPr>
                <w:rFonts w:hint="eastAsia" w:ascii="宋体"/>
                <w:szCs w:val="21"/>
              </w:rPr>
              <w:t>质疑、投诉的接收和处理严格按照《中华人</w:t>
            </w:r>
            <w:r>
              <w:rPr>
                <w:rFonts w:hint="eastAsia" w:ascii="宋体"/>
                <w:szCs w:val="21"/>
                <w:lang w:val="en-US" w:eastAsia="zh-CN"/>
              </w:rPr>
              <w:t>民</w:t>
            </w:r>
            <w:r>
              <w:rPr>
                <w:rFonts w:hint="eastAsia" w:ascii="宋体"/>
                <w:szCs w:val="21"/>
              </w:rPr>
              <w:t>共和国政府采购法》、《政府采购质疑和投诉办法》财政部令第94号、《财政部关于加强政府采购供应商投诉受理审查工作的通知》、《陕西省财政厅关于进一步规范政府采购活动的通知》（陕财办采资（2014）143号）等的相关规定办理。</w:t>
            </w:r>
          </w:p>
        </w:tc>
      </w:tr>
      <w:tr w14:paraId="0B7E8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14:paraId="399D38F6">
            <w:pPr>
              <w:spacing w:line="360" w:lineRule="auto"/>
              <w:jc w:val="center"/>
              <w:rPr>
                <w:rFonts w:asciiTheme="minorEastAsia" w:hAnsiTheme="minorEastAsia" w:cstheme="minorEastAsia"/>
                <w:szCs w:val="21"/>
              </w:rPr>
            </w:pPr>
            <w:r>
              <w:rPr>
                <w:rFonts w:hint="eastAsia" w:ascii="宋体" w:hAnsi="宋体" w:cs="宋体"/>
                <w:szCs w:val="21"/>
              </w:rPr>
              <w:t>14</w:t>
            </w:r>
          </w:p>
        </w:tc>
        <w:tc>
          <w:tcPr>
            <w:tcW w:w="966" w:type="dxa"/>
            <w:vAlign w:val="center"/>
          </w:tcPr>
          <w:p w14:paraId="77504552">
            <w:pPr>
              <w:spacing w:line="360" w:lineRule="auto"/>
              <w:jc w:val="center"/>
              <w:rPr>
                <w:rFonts w:ascii="宋体" w:hAnsi="宋体" w:cs="宋体"/>
                <w:szCs w:val="21"/>
              </w:rPr>
            </w:pPr>
            <w:r>
              <w:rPr>
                <w:rFonts w:hint="eastAsia" w:ascii="宋体" w:hAnsi="宋体" w:cs="宋体"/>
                <w:szCs w:val="21"/>
              </w:rPr>
              <w:t>小微</w:t>
            </w:r>
          </w:p>
          <w:p w14:paraId="19F39F0A">
            <w:pPr>
              <w:spacing w:line="360" w:lineRule="auto"/>
              <w:jc w:val="center"/>
              <w:rPr>
                <w:rFonts w:ascii="宋体" w:hAnsi="宋体" w:cs="宋体"/>
                <w:color w:val="000000"/>
                <w:sz w:val="20"/>
                <w:szCs w:val="21"/>
              </w:rPr>
            </w:pPr>
            <w:r>
              <w:rPr>
                <w:rFonts w:hint="eastAsia" w:ascii="宋体" w:hAnsi="宋体" w:cs="宋体"/>
                <w:szCs w:val="21"/>
              </w:rPr>
              <w:t>企业</w:t>
            </w:r>
          </w:p>
        </w:tc>
        <w:tc>
          <w:tcPr>
            <w:tcW w:w="8306" w:type="dxa"/>
            <w:vAlign w:val="center"/>
          </w:tcPr>
          <w:p w14:paraId="2E23E412">
            <w:pPr>
              <w:spacing w:line="360" w:lineRule="auto"/>
              <w:jc w:val="left"/>
              <w:rPr>
                <w:rFonts w:hint="eastAsia" w:ascii="宋体" w:hAnsi="宋体" w:eastAsia="宋体" w:cs="宋体"/>
                <w:kern w:val="0"/>
                <w:sz w:val="24"/>
                <w:szCs w:val="24"/>
                <w:lang w:eastAsia="zh-CN"/>
              </w:rPr>
            </w:pPr>
            <w:r>
              <w:rPr>
                <w:rFonts w:hint="eastAsia" w:ascii="宋体" w:hAnsi="宋体" w:cs="宋体"/>
                <w:szCs w:val="21"/>
              </w:rPr>
              <w:t>根据《政府采购促进中小企业发展暂行办法》，供应商提供的《中小企业声明函》（</w:t>
            </w:r>
            <w:r>
              <w:rPr>
                <w:rFonts w:hint="eastAsia" w:ascii="宋体" w:hAnsi="宋体" w:cs="宋体"/>
                <w:b/>
                <w:bCs/>
                <w:szCs w:val="21"/>
              </w:rPr>
              <w:t>附件二</w:t>
            </w:r>
            <w:r>
              <w:rPr>
                <w:rFonts w:hint="eastAsia" w:ascii="宋体" w:hAnsi="宋体" w:cs="宋体"/>
                <w:szCs w:val="21"/>
              </w:rPr>
              <w:t>）。其划型标准严格按照国家工信部、国家统计局、国家发展改革委、财政部出台的《中小企业划型标准规定》（工信部联企业[2011]300号）执行。供应商提供的《中小企业声明函》资料必须真实，否则，按照有关规定予以处理。</w:t>
            </w:r>
          </w:p>
        </w:tc>
      </w:tr>
      <w:tr w14:paraId="2BEFF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14:paraId="7B911C06">
            <w:pPr>
              <w:spacing w:line="360" w:lineRule="auto"/>
              <w:jc w:val="center"/>
              <w:rPr>
                <w:rFonts w:asciiTheme="minorEastAsia" w:hAnsiTheme="minorEastAsia" w:cstheme="minorEastAsia"/>
                <w:szCs w:val="21"/>
              </w:rPr>
            </w:pPr>
            <w:r>
              <w:rPr>
                <w:rFonts w:hint="eastAsia" w:ascii="宋体" w:hAnsi="宋体" w:cs="宋体"/>
                <w:szCs w:val="21"/>
              </w:rPr>
              <w:t>1</w:t>
            </w:r>
            <w:r>
              <w:rPr>
                <w:rFonts w:hint="eastAsia" w:ascii="宋体" w:hAnsi="宋体" w:cs="宋体"/>
                <w:szCs w:val="21"/>
                <w:lang w:val="en-US" w:eastAsia="zh-CN"/>
              </w:rPr>
              <w:t>5</w:t>
            </w:r>
          </w:p>
        </w:tc>
        <w:tc>
          <w:tcPr>
            <w:tcW w:w="966" w:type="dxa"/>
            <w:vAlign w:val="center"/>
          </w:tcPr>
          <w:p w14:paraId="1EA1BB20">
            <w:pPr>
              <w:spacing w:line="360" w:lineRule="auto"/>
              <w:jc w:val="center"/>
              <w:rPr>
                <w:rFonts w:ascii="宋体" w:hAnsi="宋体" w:cs="宋体"/>
                <w:color w:val="000000"/>
                <w:sz w:val="20"/>
                <w:szCs w:val="21"/>
              </w:rPr>
            </w:pPr>
            <w:r>
              <w:rPr>
                <w:rFonts w:hint="eastAsia" w:ascii="宋体" w:hAnsi="宋体" w:cs="宋体"/>
                <w:szCs w:val="21"/>
              </w:rPr>
              <w:t>履约保证金</w:t>
            </w:r>
          </w:p>
        </w:tc>
        <w:tc>
          <w:tcPr>
            <w:tcW w:w="8306" w:type="dxa"/>
            <w:vAlign w:val="center"/>
          </w:tcPr>
          <w:p w14:paraId="0EDD8194">
            <w:pPr>
              <w:spacing w:line="360" w:lineRule="auto"/>
              <w:jc w:val="left"/>
              <w:rPr>
                <w:rFonts w:hint="eastAsia" w:ascii="宋体" w:hAnsi="宋体" w:eastAsia="宋体" w:cs="宋体"/>
                <w:kern w:val="0"/>
                <w:sz w:val="24"/>
                <w:szCs w:val="24"/>
                <w:lang w:eastAsia="zh-CN"/>
              </w:rPr>
            </w:pPr>
            <w:r>
              <w:rPr>
                <w:rFonts w:hint="eastAsia" w:ascii="宋体"/>
                <w:szCs w:val="21"/>
              </w:rPr>
              <w:t>不要求提供</w:t>
            </w:r>
          </w:p>
        </w:tc>
      </w:tr>
      <w:tr w14:paraId="35000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14:paraId="4858BAF0">
            <w:pPr>
              <w:spacing w:line="360" w:lineRule="auto"/>
              <w:jc w:val="center"/>
              <w:rPr>
                <w:rFonts w:asciiTheme="minorEastAsia" w:hAnsiTheme="minorEastAsia" w:cstheme="minorEastAsia"/>
                <w:szCs w:val="21"/>
              </w:rPr>
            </w:pPr>
            <w:r>
              <w:rPr>
                <w:rFonts w:hint="eastAsia" w:ascii="宋体" w:hAnsi="宋体" w:cs="宋体"/>
                <w:szCs w:val="21"/>
              </w:rPr>
              <w:t>1</w:t>
            </w:r>
            <w:r>
              <w:rPr>
                <w:rFonts w:hint="eastAsia" w:ascii="宋体" w:hAnsi="宋体" w:cs="宋体"/>
                <w:szCs w:val="21"/>
                <w:lang w:val="en-US" w:eastAsia="zh-CN"/>
              </w:rPr>
              <w:t>6</w:t>
            </w:r>
          </w:p>
        </w:tc>
        <w:tc>
          <w:tcPr>
            <w:tcW w:w="966" w:type="dxa"/>
            <w:vAlign w:val="center"/>
          </w:tcPr>
          <w:p w14:paraId="2720EF81">
            <w:pPr>
              <w:spacing w:line="360" w:lineRule="auto"/>
              <w:jc w:val="center"/>
              <w:textAlignment w:val="baseline"/>
              <w:rPr>
                <w:rFonts w:ascii="宋体" w:hAnsi="宋体" w:cs="宋体"/>
                <w:color w:val="000000"/>
                <w:sz w:val="20"/>
                <w:szCs w:val="21"/>
              </w:rPr>
            </w:pPr>
            <w:r>
              <w:rPr>
                <w:rFonts w:hint="eastAsia" w:ascii="宋体" w:hAnsi="宋体" w:cs="宋体"/>
                <w:szCs w:val="21"/>
              </w:rPr>
              <w:t>履约验收</w:t>
            </w:r>
          </w:p>
        </w:tc>
        <w:tc>
          <w:tcPr>
            <w:tcW w:w="8306" w:type="dxa"/>
            <w:vAlign w:val="center"/>
          </w:tcPr>
          <w:p w14:paraId="4BDFF972">
            <w:pPr>
              <w:spacing w:line="360" w:lineRule="auto"/>
              <w:jc w:val="left"/>
              <w:textAlignment w:val="baseline"/>
              <w:rPr>
                <w:rFonts w:hint="eastAsia" w:ascii="宋体" w:hAnsi="宋体" w:eastAsia="宋体" w:cs="宋体"/>
                <w:kern w:val="0"/>
                <w:sz w:val="24"/>
                <w:szCs w:val="24"/>
                <w:lang w:eastAsia="zh-CN"/>
              </w:rPr>
            </w:pPr>
            <w:r>
              <w:rPr>
                <w:rFonts w:hint="eastAsia" w:ascii="宋体" w:hAnsi="宋体" w:cs="宋体"/>
                <w:szCs w:val="21"/>
              </w:rPr>
              <w:t>是否委托采购代理机构组织履约验收：否。</w:t>
            </w:r>
          </w:p>
        </w:tc>
      </w:tr>
      <w:tr w14:paraId="013C1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14:paraId="2D641519">
            <w:pPr>
              <w:spacing w:line="360" w:lineRule="auto"/>
              <w:jc w:val="center"/>
              <w:rPr>
                <w:rFonts w:asciiTheme="minorEastAsia" w:hAnsiTheme="minorEastAsia" w:cstheme="minorEastAsia"/>
                <w:szCs w:val="21"/>
              </w:rPr>
            </w:pPr>
            <w:r>
              <w:rPr>
                <w:rFonts w:ascii="宋体" w:hAnsi="宋体" w:cs="宋体"/>
                <w:szCs w:val="21"/>
              </w:rPr>
              <w:t>1</w:t>
            </w:r>
            <w:r>
              <w:rPr>
                <w:rFonts w:hint="eastAsia" w:ascii="宋体" w:hAnsi="宋体" w:cs="宋体"/>
                <w:szCs w:val="21"/>
                <w:lang w:val="en-US" w:eastAsia="zh-CN"/>
              </w:rPr>
              <w:t>7</w:t>
            </w:r>
          </w:p>
        </w:tc>
        <w:tc>
          <w:tcPr>
            <w:tcW w:w="966" w:type="dxa"/>
            <w:vAlign w:val="center"/>
          </w:tcPr>
          <w:p w14:paraId="797FB7D2">
            <w:pPr>
              <w:spacing w:line="360" w:lineRule="auto"/>
              <w:jc w:val="center"/>
              <w:rPr>
                <w:rFonts w:ascii="宋体" w:hAnsi="宋体" w:cs="宋体"/>
                <w:color w:val="000000"/>
                <w:sz w:val="20"/>
                <w:szCs w:val="21"/>
              </w:rPr>
            </w:pPr>
            <w:r>
              <w:rPr>
                <w:rFonts w:hint="eastAsia" w:ascii="宋体" w:hAnsi="宋体" w:cs="宋体"/>
                <w:szCs w:val="21"/>
              </w:rPr>
              <w:t>进口产品</w:t>
            </w:r>
          </w:p>
        </w:tc>
        <w:tc>
          <w:tcPr>
            <w:tcW w:w="8306" w:type="dxa"/>
            <w:vAlign w:val="center"/>
          </w:tcPr>
          <w:p w14:paraId="709D4FA8">
            <w:pPr>
              <w:spacing w:line="360" w:lineRule="auto"/>
              <w:jc w:val="left"/>
              <w:rPr>
                <w:rFonts w:hint="eastAsia" w:ascii="宋体" w:hAnsi="宋体" w:eastAsia="宋体" w:cs="宋体"/>
                <w:kern w:val="0"/>
                <w:sz w:val="24"/>
                <w:szCs w:val="24"/>
                <w:lang w:eastAsia="zh-CN"/>
              </w:rPr>
            </w:pPr>
            <w:r>
              <w:rPr>
                <w:rFonts w:hint="eastAsia" w:ascii="宋体"/>
                <w:kern w:val="0"/>
                <w:szCs w:val="21"/>
              </w:rPr>
              <w:t>本项目不允许采购进口产品</w:t>
            </w:r>
          </w:p>
        </w:tc>
      </w:tr>
      <w:tr w14:paraId="6772D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14:paraId="749FBC27">
            <w:pPr>
              <w:spacing w:line="360" w:lineRule="auto"/>
              <w:jc w:val="center"/>
              <w:rPr>
                <w:rFonts w:asciiTheme="minorEastAsia" w:hAnsiTheme="minorEastAsia" w:cstheme="minorEastAsia"/>
                <w:szCs w:val="21"/>
              </w:rPr>
            </w:pPr>
            <w:r>
              <w:rPr>
                <w:rFonts w:hint="eastAsia" w:ascii="宋体"/>
                <w:szCs w:val="21"/>
                <w:lang w:val="en-US" w:eastAsia="zh-CN"/>
              </w:rPr>
              <w:t>18</w:t>
            </w:r>
          </w:p>
        </w:tc>
        <w:tc>
          <w:tcPr>
            <w:tcW w:w="966" w:type="dxa"/>
            <w:vAlign w:val="center"/>
          </w:tcPr>
          <w:p w14:paraId="691ED179">
            <w:pPr>
              <w:spacing w:line="360" w:lineRule="auto"/>
              <w:rPr>
                <w:rFonts w:ascii="宋体" w:hAnsi="宋体" w:cs="宋体"/>
                <w:color w:val="000000"/>
                <w:sz w:val="20"/>
                <w:szCs w:val="21"/>
              </w:rPr>
            </w:pPr>
            <w:r>
              <w:rPr>
                <w:rFonts w:hint="eastAsia" w:ascii="宋体" w:hAnsi="宋体" w:cs="宋体"/>
                <w:szCs w:val="21"/>
              </w:rPr>
              <w:t>项目性质</w:t>
            </w:r>
          </w:p>
        </w:tc>
        <w:tc>
          <w:tcPr>
            <w:tcW w:w="8306" w:type="dxa"/>
            <w:vAlign w:val="center"/>
          </w:tcPr>
          <w:p w14:paraId="56EDDF27">
            <w:pPr>
              <w:spacing w:line="360" w:lineRule="auto"/>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非专门面向中小企业采购</w:t>
            </w:r>
          </w:p>
          <w:p w14:paraId="34BE66A6">
            <w:pPr>
              <w:spacing w:line="360" w:lineRule="auto"/>
              <w:rPr>
                <w:rFonts w:ascii="宋体" w:hAnsi="宋体" w:cs="宋体"/>
                <w:szCs w:val="21"/>
              </w:rPr>
            </w:pPr>
            <w:r>
              <w:rPr>
                <w:rFonts w:hint="eastAsia" w:ascii="宋体" w:hAnsi="宋体" w:cs="宋体"/>
                <w:szCs w:val="21"/>
              </w:rPr>
              <w:t>对符合《政府采购促进中小企业发展管理办法》(财库{2020}46号)规定的小微企业(监狱企业视同小型、微型企业)的报价给予</w:t>
            </w:r>
            <w:r>
              <w:rPr>
                <w:rFonts w:hint="eastAsia" w:ascii="宋体" w:hAnsi="宋体" w:cs="宋体"/>
                <w:szCs w:val="21"/>
                <w:u w:val="single"/>
              </w:rPr>
              <w:t>10</w:t>
            </w:r>
            <w:r>
              <w:rPr>
                <w:rFonts w:hint="eastAsia" w:ascii="宋体" w:hAnsi="宋体" w:cs="宋体"/>
                <w:szCs w:val="21"/>
              </w:rPr>
              <w:t>％(10％</w:t>
            </w:r>
            <w:r>
              <w:rPr>
                <w:rFonts w:hint="eastAsia" w:ascii="宋体" w:hAnsi="宋体" w:cs="宋体"/>
                <w:szCs w:val="21"/>
                <w:lang w:eastAsia="zh-CN"/>
              </w:rPr>
              <w:t>～</w:t>
            </w:r>
            <w:r>
              <w:rPr>
                <w:rFonts w:hint="eastAsia" w:ascii="宋体" w:hAnsi="宋体" w:cs="宋体"/>
                <w:szCs w:val="21"/>
              </w:rPr>
              <w:t>20％)的扣除,用扣除后的价格参加评审。</w:t>
            </w:r>
          </w:p>
          <w:p w14:paraId="000EDC63">
            <w:pPr>
              <w:spacing w:line="360" w:lineRule="auto"/>
              <w:jc w:val="left"/>
              <w:rPr>
                <w:rFonts w:ascii="宋体" w:hAnsi="宋体" w:cs="宋体"/>
                <w:szCs w:val="21"/>
              </w:rPr>
            </w:pPr>
            <w:r>
              <w:rPr>
                <w:rFonts w:hint="eastAsia" w:ascii="宋体" w:hAnsi="宋体" w:cs="宋体"/>
                <w:szCs w:val="21"/>
              </w:rPr>
              <w:t>根据《政府采购促进中小企业发展暂行办法》，投标人提供的《中小企业声明函》</w:t>
            </w:r>
            <w:r>
              <w:rPr>
                <w:rFonts w:hint="eastAsia" w:ascii="宋体" w:hAnsi="宋体" w:cs="宋体"/>
                <w:b/>
                <w:bCs/>
                <w:szCs w:val="21"/>
              </w:rPr>
              <w:t>（附件二）</w:t>
            </w:r>
            <w:r>
              <w:rPr>
                <w:rFonts w:hint="eastAsia" w:ascii="宋体" w:hAnsi="宋体" w:cs="宋体"/>
                <w:szCs w:val="21"/>
              </w:rPr>
              <w:t>。其划型标准严格按照国家工信部、国家统计局、</w:t>
            </w:r>
            <w:r>
              <w:rPr>
                <w:rFonts w:hint="eastAsia" w:ascii="宋体" w:hAnsi="宋体" w:cs="宋体"/>
                <w:szCs w:val="21"/>
                <w:lang w:eastAsia="zh-CN"/>
              </w:rPr>
              <w:t>国家发展改革委</w:t>
            </w:r>
            <w:r>
              <w:rPr>
                <w:rFonts w:hint="eastAsia" w:ascii="宋体" w:hAnsi="宋体" w:cs="宋体"/>
                <w:szCs w:val="21"/>
              </w:rPr>
              <w:t>、财政部出台的《中小企业划型标准规定》（工信部联企业[2011]300号）执行。投标人提供的《中小企业声明函》资料必须真实，否则，按照有关规定予以处理。</w:t>
            </w:r>
          </w:p>
          <w:p w14:paraId="500E6840">
            <w:pPr>
              <w:spacing w:line="360" w:lineRule="auto"/>
              <w:jc w:val="left"/>
              <w:rPr>
                <w:rFonts w:hint="eastAsia" w:ascii="宋体" w:hAnsi="宋体" w:eastAsia="宋体" w:cs="宋体"/>
                <w:kern w:val="0"/>
                <w:sz w:val="24"/>
                <w:szCs w:val="24"/>
                <w:lang w:eastAsia="zh-CN"/>
              </w:rPr>
            </w:pPr>
            <w:r>
              <w:rPr>
                <w:rFonts w:hint="eastAsia" w:ascii="宋体" w:hAnsi="宋体" w:cs="宋体"/>
                <w:szCs w:val="21"/>
                <w:lang w:eastAsia="zh-CN"/>
              </w:rPr>
              <w:t>□</w:t>
            </w:r>
            <w:r>
              <w:rPr>
                <w:rFonts w:hint="eastAsia" w:ascii="宋体" w:hAnsi="宋体" w:cs="宋体"/>
                <w:szCs w:val="21"/>
              </w:rPr>
              <w:t>专门面向中小企业采购仅允许中小企业或小型、微型企业参与投标。</w:t>
            </w:r>
          </w:p>
        </w:tc>
      </w:tr>
      <w:tr w14:paraId="16418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14:paraId="7E125592">
            <w:pPr>
              <w:spacing w:line="360" w:lineRule="auto"/>
              <w:jc w:val="center"/>
              <w:rPr>
                <w:rFonts w:asciiTheme="minorEastAsia" w:hAnsiTheme="minorEastAsia" w:cstheme="minorEastAsia"/>
                <w:szCs w:val="21"/>
              </w:rPr>
            </w:pPr>
            <w:r>
              <w:rPr>
                <w:rFonts w:hint="eastAsia" w:ascii="宋体"/>
                <w:szCs w:val="21"/>
                <w:lang w:val="en-US" w:eastAsia="zh-CN"/>
              </w:rPr>
              <w:t>19</w:t>
            </w:r>
          </w:p>
        </w:tc>
        <w:tc>
          <w:tcPr>
            <w:tcW w:w="966" w:type="dxa"/>
            <w:vAlign w:val="center"/>
          </w:tcPr>
          <w:p w14:paraId="5E3390BE">
            <w:pPr>
              <w:spacing w:line="360" w:lineRule="auto"/>
              <w:jc w:val="center"/>
              <w:rPr>
                <w:rFonts w:ascii="宋体" w:hAnsi="宋体" w:cs="宋体"/>
                <w:color w:val="000000"/>
                <w:sz w:val="20"/>
                <w:szCs w:val="21"/>
              </w:rPr>
            </w:pPr>
            <w:r>
              <w:rPr>
                <w:rFonts w:hint="eastAsia" w:ascii="宋体" w:hAnsi="宋体" w:cs="宋体"/>
                <w:b/>
                <w:bCs/>
                <w:color w:val="000000"/>
                <w:szCs w:val="21"/>
              </w:rPr>
              <w:t>弃标须知</w:t>
            </w:r>
          </w:p>
        </w:tc>
        <w:tc>
          <w:tcPr>
            <w:tcW w:w="8306" w:type="dxa"/>
            <w:vAlign w:val="center"/>
          </w:tcPr>
          <w:p w14:paraId="7DE1FE22">
            <w:pPr>
              <w:spacing w:line="360" w:lineRule="auto"/>
              <w:ind w:firstLine="422" w:firstLineChars="200"/>
              <w:jc w:val="left"/>
              <w:rPr>
                <w:rFonts w:hint="eastAsia" w:ascii="宋体" w:hAnsi="宋体" w:eastAsia="宋体" w:cs="宋体"/>
                <w:kern w:val="0"/>
                <w:sz w:val="24"/>
                <w:szCs w:val="24"/>
                <w:lang w:eastAsia="zh-CN"/>
              </w:rPr>
            </w:pPr>
            <w:r>
              <w:rPr>
                <w:rFonts w:hint="eastAsia" w:ascii="宋体" w:hAnsi="宋体" w:cs="宋体"/>
                <w:b/>
                <w:bCs/>
                <w:szCs w:val="21"/>
              </w:rPr>
              <w:t>根据市财函</w:t>
            </w:r>
            <w:r>
              <w:rPr>
                <w:rFonts w:hint="eastAsia" w:ascii="宋体" w:hAnsi="宋体" w:cs="宋体"/>
                <w:b/>
                <w:bCs/>
                <w:szCs w:val="21"/>
                <w:lang w:eastAsia="zh-CN"/>
              </w:rPr>
              <w:t>【</w:t>
            </w:r>
            <w:r>
              <w:rPr>
                <w:rFonts w:hint="eastAsia" w:ascii="宋体" w:hAnsi="宋体" w:cs="宋体"/>
                <w:b/>
                <w:bCs/>
                <w:szCs w:val="21"/>
              </w:rPr>
              <w:t>2021</w:t>
            </w:r>
            <w:r>
              <w:rPr>
                <w:rFonts w:hint="eastAsia" w:ascii="宋体" w:hAnsi="宋体" w:cs="宋体"/>
                <w:b/>
                <w:bCs/>
                <w:szCs w:val="21"/>
                <w:lang w:eastAsia="zh-CN"/>
              </w:rPr>
              <w:t>】</w:t>
            </w:r>
            <w:r>
              <w:rPr>
                <w:rFonts w:hint="eastAsia" w:ascii="宋体" w:hAnsi="宋体" w:cs="宋体"/>
                <w:b/>
                <w:bCs/>
                <w:szCs w:val="21"/>
              </w:rPr>
              <w:t>431号文第16条规定：供应商登记免费领取采购文件的，如不参与项目投标，应在递交投标（或</w:t>
            </w:r>
            <w:r>
              <w:rPr>
                <w:rFonts w:hint="eastAsia" w:ascii="宋体" w:hAnsi="宋体" w:cs="宋体"/>
                <w:b/>
                <w:bCs/>
                <w:szCs w:val="21"/>
                <w:lang w:val="en-US" w:eastAsia="zh-CN"/>
              </w:rPr>
              <w:t>响</w:t>
            </w:r>
            <w:r>
              <w:rPr>
                <w:rFonts w:hint="eastAsia" w:ascii="宋体" w:hAnsi="宋体" w:cs="宋体"/>
                <w:b/>
                <w:bCs/>
                <w:szCs w:val="21"/>
              </w:rPr>
              <w:t>应）文件截止时间前一日以书面形式告知采购代理机构。否则，采购代理机构可以向财政部门</w:t>
            </w:r>
            <w:r>
              <w:rPr>
                <w:rFonts w:hint="eastAsia" w:ascii="宋体" w:hAnsi="宋体" w:cs="宋体"/>
                <w:b/>
                <w:bCs/>
                <w:szCs w:val="21"/>
                <w:lang w:eastAsia="zh-CN"/>
              </w:rPr>
              <w:t>反映</w:t>
            </w:r>
            <w:r>
              <w:rPr>
                <w:rFonts w:hint="eastAsia" w:ascii="宋体" w:hAnsi="宋体" w:cs="宋体"/>
                <w:b/>
                <w:bCs/>
                <w:szCs w:val="21"/>
              </w:rPr>
              <w:t>情况并提供佐证。供应商一年内累计出现三次该情形，将被监管部门记录为失信行为。</w:t>
            </w:r>
          </w:p>
        </w:tc>
      </w:tr>
      <w:tr w14:paraId="0980F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14:paraId="788CD1BF">
            <w:pPr>
              <w:spacing w:line="360" w:lineRule="auto"/>
              <w:jc w:val="center"/>
              <w:rPr>
                <w:rFonts w:hint="eastAsia" w:asciiTheme="minorEastAsia" w:hAnsiTheme="minorEastAsia" w:cstheme="minorEastAsia"/>
                <w:szCs w:val="21"/>
              </w:rPr>
            </w:pPr>
            <w:r>
              <w:rPr>
                <w:rFonts w:hint="eastAsia" w:ascii="宋体"/>
                <w:szCs w:val="21"/>
                <w:lang w:val="en-US" w:eastAsia="zh-CN"/>
              </w:rPr>
              <w:t>20</w:t>
            </w:r>
          </w:p>
        </w:tc>
        <w:tc>
          <w:tcPr>
            <w:tcW w:w="966" w:type="dxa"/>
            <w:vAlign w:val="center"/>
          </w:tcPr>
          <w:p w14:paraId="7F69FF43">
            <w:pPr>
              <w:spacing w:line="360" w:lineRule="auto"/>
              <w:jc w:val="center"/>
              <w:rPr>
                <w:rFonts w:hint="eastAsia" w:ascii="宋体" w:hAnsi="宋体" w:cs="宋体"/>
                <w:szCs w:val="21"/>
              </w:rPr>
            </w:pPr>
            <w:r>
              <w:rPr>
                <w:rFonts w:hint="eastAsia" w:ascii="宋体" w:hAnsi="宋体" w:cs="宋体"/>
                <w:color w:val="000000"/>
              </w:rPr>
              <w:t>政府采购信用融资</w:t>
            </w:r>
          </w:p>
        </w:tc>
        <w:tc>
          <w:tcPr>
            <w:tcW w:w="8306" w:type="dxa"/>
            <w:vAlign w:val="center"/>
          </w:tcPr>
          <w:p w14:paraId="1C44145E">
            <w:pPr>
              <w:pStyle w:val="19"/>
              <w:spacing w:line="360" w:lineRule="auto"/>
              <w:rPr>
                <w:rFonts w:hint="eastAsia" w:eastAsia="宋体"/>
                <w:sz w:val="21"/>
                <w:szCs w:val="21"/>
                <w:lang w:val="en-US" w:eastAsia="zh-CN"/>
              </w:rPr>
            </w:pPr>
            <w:r>
              <w:rPr>
                <w:rFonts w:hint="eastAsia" w:eastAsia="宋体"/>
                <w:sz w:val="21"/>
                <w:szCs w:val="21"/>
                <w:lang w:val="en-US" w:eastAsia="zh-CN"/>
              </w:rPr>
              <w:t>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具体名单见网址：</w:t>
            </w:r>
            <w:r>
              <w:rPr>
                <w:rFonts w:hint="eastAsia" w:eastAsia="宋体"/>
                <w:sz w:val="21"/>
                <w:szCs w:val="21"/>
                <w:lang w:val="en-US" w:eastAsia="zh-CN"/>
              </w:rPr>
              <w:drawing>
                <wp:inline distT="0" distB="0" distL="114300" distR="114300">
                  <wp:extent cx="190500" cy="142875"/>
                  <wp:effectExtent l="0" t="0" r="0" b="952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25" cstate="print"/>
                          <a:stretch>
                            <a:fillRect/>
                          </a:stretch>
                        </pic:blipFill>
                        <pic:spPr>
                          <a:xfrm>
                            <a:off x="0" y="0"/>
                            <a:ext cx="190500" cy="142875"/>
                          </a:xfrm>
                          <a:prstGeom prst="rect">
                            <a:avLst/>
                          </a:prstGeom>
                          <a:noFill/>
                          <a:ln w="9525">
                            <a:noFill/>
                          </a:ln>
                        </pic:spPr>
                      </pic:pic>
                    </a:graphicData>
                  </a:graphic>
                </wp:inline>
              </w:drawing>
            </w:r>
            <w:r>
              <w:rPr>
                <w:rFonts w:hint="eastAsia" w:eastAsia="宋体"/>
                <w:sz w:val="21"/>
                <w:szCs w:val="21"/>
                <w:lang w:val="en-US" w:eastAsia="zh-CN"/>
              </w:rPr>
              <w:t>http://xaczj.xa.gov.cn/zfcg/cgfg/5db9054565cbd804f69e97e0.html中《西安市财政局关于进一步做好政府采购信用担保及信用融资工作有关事宜的通知》）。</w:t>
            </w:r>
          </w:p>
          <w:p w14:paraId="70E66B5E">
            <w:pPr>
              <w:pStyle w:val="19"/>
              <w:spacing w:line="360" w:lineRule="auto"/>
              <w:rPr>
                <w:rFonts w:hint="eastAsia" w:eastAsia="宋体"/>
                <w:sz w:val="21"/>
                <w:szCs w:val="21"/>
                <w:lang w:val="en-US" w:eastAsia="zh-CN"/>
              </w:rPr>
            </w:pPr>
            <w:r>
              <w:rPr>
                <w:rFonts w:hint="eastAsia" w:eastAsia="宋体"/>
                <w:sz w:val="21"/>
                <w:szCs w:val="21"/>
                <w:lang w:val="en-US" w:eastAsia="zh-CN"/>
              </w:rPr>
              <w:t>投标供应商在缴纳投标保证金及中标供应商缴纳履约保证金时可自愿选择通过担保机构保函的形式缴纳；中标供应商如果需要融资贷款服务的，可凭中标通知书、政府采购合同等相关资料，按照实施方案规定的程序申请办理，具体规定可登录西安市财政局网站(</w:t>
            </w:r>
            <w:r>
              <w:rPr>
                <w:rFonts w:hint="eastAsia" w:eastAsia="宋体"/>
                <w:sz w:val="21"/>
                <w:szCs w:val="21"/>
                <w:lang w:val="en-US" w:eastAsia="zh-CN"/>
              </w:rPr>
              <w:drawing>
                <wp:inline distT="0" distB="0" distL="114300" distR="114300">
                  <wp:extent cx="190500" cy="142875"/>
                  <wp:effectExtent l="0" t="0" r="0" b="9525"/>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25" cstate="print"/>
                          <a:stretch>
                            <a:fillRect/>
                          </a:stretch>
                        </pic:blipFill>
                        <pic:spPr>
                          <a:xfrm>
                            <a:off x="0" y="0"/>
                            <a:ext cx="190500" cy="142875"/>
                          </a:xfrm>
                          <a:prstGeom prst="rect">
                            <a:avLst/>
                          </a:prstGeom>
                          <a:noFill/>
                          <a:ln w="9525">
                            <a:noFill/>
                          </a:ln>
                        </pic:spPr>
                      </pic:pic>
                    </a:graphicData>
                  </a:graphic>
                </wp:inline>
              </w:drawing>
            </w:r>
            <w:r>
              <w:rPr>
                <w:rFonts w:hint="eastAsia" w:eastAsia="宋体"/>
                <w:sz w:val="21"/>
                <w:szCs w:val="21"/>
                <w:lang w:val="en-US" w:eastAsia="zh-CN"/>
              </w:rPr>
              <w:t>http://xaczj.xa.gov.cn/)政府采购专栏中查询了解。</w:t>
            </w:r>
          </w:p>
          <w:p w14:paraId="65596A01">
            <w:pPr>
              <w:pStyle w:val="19"/>
              <w:rPr>
                <w:rFonts w:hint="eastAsia" w:ascii="宋体" w:hAnsi="宋体" w:cs="宋体"/>
                <w:szCs w:val="21"/>
              </w:rPr>
            </w:pPr>
          </w:p>
        </w:tc>
      </w:tr>
      <w:tr w14:paraId="65F7F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14:paraId="6DEB5D69">
            <w:pPr>
              <w:spacing w:line="360" w:lineRule="auto"/>
              <w:jc w:val="center"/>
              <w:rPr>
                <w:rFonts w:asciiTheme="minorEastAsia" w:hAnsiTheme="minorEastAsia" w:cstheme="minorEastAsia"/>
                <w:szCs w:val="21"/>
              </w:rPr>
            </w:pPr>
            <w:r>
              <w:rPr>
                <w:rFonts w:hint="eastAsia" w:ascii="宋体"/>
                <w:szCs w:val="21"/>
                <w:lang w:val="en-US" w:eastAsia="zh-CN"/>
              </w:rPr>
              <w:t>22</w:t>
            </w:r>
          </w:p>
        </w:tc>
        <w:tc>
          <w:tcPr>
            <w:tcW w:w="966" w:type="dxa"/>
            <w:vAlign w:val="center"/>
          </w:tcPr>
          <w:p w14:paraId="6BF692C6">
            <w:pPr>
              <w:spacing w:line="360" w:lineRule="auto"/>
              <w:jc w:val="center"/>
              <w:rPr>
                <w:rFonts w:ascii="宋体" w:hAnsi="宋体" w:cs="宋体"/>
                <w:szCs w:val="21"/>
              </w:rPr>
            </w:pPr>
            <w:r>
              <w:rPr>
                <w:rFonts w:hint="eastAsia" w:ascii="宋体" w:hAnsi="宋体" w:cs="宋体"/>
                <w:color w:val="000000"/>
                <w:lang w:val="en-US" w:eastAsia="zh-CN"/>
              </w:rPr>
              <w:t>本项目所属行业</w:t>
            </w:r>
          </w:p>
        </w:tc>
        <w:tc>
          <w:tcPr>
            <w:tcW w:w="8306" w:type="dxa"/>
            <w:vAlign w:val="center"/>
          </w:tcPr>
          <w:p w14:paraId="749E37B3">
            <w:pPr>
              <w:pStyle w:val="19"/>
              <w:rPr>
                <w:rFonts w:ascii="宋体" w:hAnsi="宋体" w:cs="宋体"/>
                <w:szCs w:val="21"/>
              </w:rPr>
            </w:pPr>
            <w:r>
              <w:rPr>
                <w:rFonts w:hint="eastAsia" w:ascii="宋体" w:hAnsi="宋体" w:cs="宋体"/>
                <w:b/>
                <w:bCs/>
                <w:sz w:val="21"/>
                <w:szCs w:val="21"/>
              </w:rPr>
              <w:t>本项目属于其他未列明行业</w:t>
            </w:r>
          </w:p>
        </w:tc>
      </w:tr>
    </w:tbl>
    <w:p w14:paraId="17BEC8BA">
      <w:pPr>
        <w:pStyle w:val="3"/>
        <w:sectPr>
          <w:footerReference r:id="rId8" w:type="default"/>
          <w:pgSz w:w="11906" w:h="16838"/>
          <w:pgMar w:top="1440" w:right="1304" w:bottom="1440" w:left="1304" w:header="851" w:footer="992" w:gutter="0"/>
          <w:cols w:space="0" w:num="1"/>
          <w:docGrid w:type="lines" w:linePitch="325" w:charSpace="0"/>
        </w:sectPr>
      </w:pPr>
    </w:p>
    <w:p w14:paraId="6D4CCCD8">
      <w:pPr>
        <w:pStyle w:val="3"/>
      </w:pPr>
      <w:bookmarkStart w:id="13" w:name="_Toc13103"/>
      <w:r>
        <w:rPr>
          <w:rFonts w:hint="eastAsia"/>
        </w:rPr>
        <w:t>第三部分  投标人须知</w:t>
      </w:r>
      <w:bookmarkEnd w:id="10"/>
      <w:bookmarkEnd w:id="11"/>
      <w:bookmarkEnd w:id="13"/>
    </w:p>
    <w:p w14:paraId="262B666D">
      <w:pPr>
        <w:pStyle w:val="4"/>
        <w:rPr>
          <w:rFonts w:asciiTheme="minorEastAsia" w:hAnsiTheme="minorEastAsia" w:eastAsiaTheme="minorEastAsia" w:cstheme="minorEastAsia"/>
        </w:rPr>
      </w:pPr>
      <w:bookmarkStart w:id="14" w:name="_Toc26739"/>
      <w:bookmarkStart w:id="15" w:name="_Toc15780"/>
      <w:bookmarkStart w:id="16" w:name="_Toc15316"/>
      <w:r>
        <w:rPr>
          <w:rFonts w:hint="eastAsia" w:asciiTheme="minorEastAsia" w:hAnsiTheme="minorEastAsia" w:eastAsiaTheme="minorEastAsia" w:cstheme="minorEastAsia"/>
        </w:rPr>
        <w:t>一、总 则</w:t>
      </w:r>
      <w:bookmarkEnd w:id="14"/>
      <w:bookmarkEnd w:id="15"/>
      <w:bookmarkEnd w:id="16"/>
    </w:p>
    <w:p w14:paraId="3A85E915">
      <w:pPr>
        <w:pStyle w:val="8"/>
        <w:numPr>
          <w:ilvl w:val="0"/>
          <w:numId w:val="2"/>
        </w:numPr>
      </w:pPr>
      <w:bookmarkStart w:id="17" w:name="_Toc9257"/>
      <w:bookmarkStart w:id="18" w:name="_Toc380336725"/>
      <w:bookmarkStart w:id="19" w:name="_Toc6742"/>
      <w:bookmarkStart w:id="20" w:name="_Toc358364319"/>
      <w:r>
        <w:rPr>
          <w:rFonts w:hint="eastAsia"/>
        </w:rPr>
        <w:t>适用范围</w:t>
      </w:r>
      <w:bookmarkEnd w:id="17"/>
      <w:bookmarkEnd w:id="18"/>
      <w:bookmarkEnd w:id="19"/>
      <w:bookmarkEnd w:id="20"/>
    </w:p>
    <w:p w14:paraId="5CF49D29">
      <w:pPr>
        <w:widowControl/>
        <w:numPr>
          <w:ilvl w:val="1"/>
          <w:numId w:val="3"/>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本招标文件适用于本次招标活动的全过程。</w:t>
      </w:r>
    </w:p>
    <w:p w14:paraId="7B82BD4F">
      <w:pPr>
        <w:widowControl/>
        <w:numPr>
          <w:ilvl w:val="1"/>
          <w:numId w:val="3"/>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本次采购属政府采购，采购人、采购代理机构、投标人、评标委员会的相关行为均受《中华人民共和国政府采购法》及实施条例、财政部规章及政府采购项目所在地有关法规</w:t>
      </w:r>
      <w:r>
        <w:rPr>
          <w:rFonts w:hint="eastAsia" w:asciiTheme="minorEastAsia" w:hAnsiTheme="minorEastAsia" w:cstheme="minorEastAsia"/>
          <w:color w:val="000000" w:themeColor="text1"/>
          <w:kern w:val="0"/>
          <w:sz w:val="24"/>
          <w:szCs w:val="24"/>
          <w14:textFill>
            <w14:solidFill>
              <w14:schemeClr w14:val="tx1"/>
            </w14:solidFill>
          </w14:textFill>
        </w:rPr>
        <w:t>、规章</w:t>
      </w:r>
      <w:r>
        <w:rPr>
          <w:rFonts w:hint="eastAsia" w:asciiTheme="minorEastAsia" w:hAnsiTheme="minorEastAsia" w:cstheme="minorEastAsia"/>
          <w:kern w:val="0"/>
          <w:sz w:val="24"/>
          <w:szCs w:val="24"/>
        </w:rPr>
        <w:t>的约束，其权利受到上述法律法规的保护。</w:t>
      </w:r>
    </w:p>
    <w:p w14:paraId="49C4D1C4">
      <w:pPr>
        <w:pStyle w:val="8"/>
        <w:numPr>
          <w:ilvl w:val="0"/>
          <w:numId w:val="2"/>
        </w:numPr>
      </w:pPr>
      <w:bookmarkStart w:id="21" w:name="_Toc7922"/>
      <w:bookmarkStart w:id="22" w:name="_Toc11287"/>
      <w:bookmarkStart w:id="23" w:name="_Toc358364320"/>
      <w:bookmarkStart w:id="24" w:name="_Toc380336726"/>
      <w:r>
        <w:rPr>
          <w:rFonts w:hint="eastAsia"/>
        </w:rPr>
        <w:t>定义</w:t>
      </w:r>
      <w:bookmarkEnd w:id="21"/>
      <w:bookmarkEnd w:id="22"/>
      <w:bookmarkEnd w:id="23"/>
      <w:bookmarkEnd w:id="24"/>
      <w:r>
        <w:rPr>
          <w:rFonts w:hint="eastAsia"/>
        </w:rPr>
        <w:t xml:space="preserve"> </w:t>
      </w:r>
    </w:p>
    <w:p w14:paraId="1AC24605">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2.1 “采购人”是指依法进行政府采购的国家机关、事业单位、团体组织。本次政府采购的采购人名称、地址、电话见投标人须知前附表。</w:t>
      </w:r>
    </w:p>
    <w:p w14:paraId="695F3BEB">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2.2 “采购代理机构”是指接受采购人委托，代理采购项目的集中采购机构和其他采购代理机构。本次采购代理机构名称、地址、电话见投标人须知前附表。</w:t>
      </w:r>
    </w:p>
    <w:p w14:paraId="49EFA77B">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2.3 “投标人”是</w:t>
      </w:r>
      <w:r>
        <w:rPr>
          <w:rFonts w:hint="eastAsia" w:ascii="宋体" w:hAnsi="宋体" w:cs="宋体"/>
          <w:sz w:val="24"/>
          <w:szCs w:val="24"/>
        </w:rPr>
        <w:t>参与本项目投标活动的</w:t>
      </w:r>
      <w:r>
        <w:rPr>
          <w:rFonts w:hint="eastAsia" w:ascii="宋体" w:hAnsi="宋体" w:eastAsia="宋体" w:cs="宋体"/>
          <w:color w:val="000000"/>
          <w:sz w:val="24"/>
          <w:szCs w:val="24"/>
        </w:rPr>
        <w:t>法人</w:t>
      </w:r>
      <w:r>
        <w:rPr>
          <w:rFonts w:hint="eastAsia" w:ascii="宋体" w:hAnsi="宋体" w:cs="宋体"/>
          <w:color w:val="000000"/>
          <w:sz w:val="24"/>
          <w:szCs w:val="24"/>
        </w:rPr>
        <w:t>、</w:t>
      </w:r>
      <w:r>
        <w:rPr>
          <w:rFonts w:hint="eastAsia" w:ascii="宋体" w:hAnsi="宋体" w:eastAsia="宋体" w:cs="宋体"/>
          <w:color w:val="000000"/>
          <w:sz w:val="24"/>
          <w:szCs w:val="24"/>
        </w:rPr>
        <w:t>其他组织</w:t>
      </w:r>
      <w:r>
        <w:rPr>
          <w:rFonts w:hint="eastAsia" w:ascii="宋体" w:hAnsi="宋体" w:cs="宋体"/>
          <w:color w:val="000000"/>
          <w:sz w:val="24"/>
          <w:szCs w:val="24"/>
        </w:rPr>
        <w:t>或自然人</w:t>
      </w:r>
      <w:r>
        <w:rPr>
          <w:rFonts w:hint="eastAsia" w:asciiTheme="minorEastAsia" w:hAnsiTheme="minorEastAsia" w:cstheme="minorEastAsia"/>
          <w:kern w:val="0"/>
          <w:sz w:val="24"/>
          <w:szCs w:val="24"/>
        </w:rPr>
        <w:t>。</w:t>
      </w:r>
    </w:p>
    <w:p w14:paraId="581DD699">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2.4 “货物” 是指各种形态和种类的物品，包括原材料、燃料、设备、产品等。按照财政部《政府采购进口产品管理办法》（财库[2007]119号）的有关规定，本招标文件涉及的所有采购内容除特别标注为“可接受进口产品”外，均必须采购国产产品。进口产品特指“通过中国海关报关验放进入中国境内且产自关境外的产品”。</w:t>
      </w:r>
    </w:p>
    <w:p w14:paraId="235B6FBF">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2.5 “服务”指除了货物和工程外的其他政府采购对象。包含除货物以外规定由投标人承担的与货物有关的辅助服务。</w:t>
      </w:r>
    </w:p>
    <w:p w14:paraId="44DAF62F">
      <w:pPr>
        <w:pStyle w:val="8"/>
        <w:numPr>
          <w:ilvl w:val="0"/>
          <w:numId w:val="2"/>
        </w:numPr>
      </w:pPr>
      <w:bookmarkStart w:id="25" w:name="_Toc358364321"/>
      <w:bookmarkStart w:id="26" w:name="_Toc23781"/>
      <w:bookmarkStart w:id="27" w:name="_Toc17676"/>
      <w:bookmarkStart w:id="28" w:name="_Toc380336727"/>
      <w:r>
        <w:rPr>
          <w:rFonts w:hint="eastAsia"/>
        </w:rPr>
        <w:t>合格的</w:t>
      </w:r>
      <w:bookmarkEnd w:id="25"/>
      <w:bookmarkEnd w:id="26"/>
      <w:bookmarkEnd w:id="27"/>
      <w:bookmarkEnd w:id="28"/>
      <w:r>
        <w:rPr>
          <w:rFonts w:hint="eastAsia"/>
        </w:rPr>
        <w:t>投标人</w:t>
      </w:r>
    </w:p>
    <w:p w14:paraId="32FDFD4D">
      <w:p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3.1具有本项目生产、制造、加工、供应或实施能力，符合、承认并承诺履行本招标文件各项规定的国内投标人。</w:t>
      </w:r>
    </w:p>
    <w:p w14:paraId="3BBB58F3">
      <w:p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3.2投标人应遵守有关的国家法律、法规和条例，具备《中华人民共和国政府采购法》和本文件中规定的条件：</w:t>
      </w:r>
    </w:p>
    <w:p w14:paraId="5FD4A2B4">
      <w:pPr>
        <w:numPr>
          <w:ilvl w:val="0"/>
          <w:numId w:val="4"/>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具有独立承担民事责任的能力；</w:t>
      </w:r>
    </w:p>
    <w:p w14:paraId="6EB1A918">
      <w:pPr>
        <w:numPr>
          <w:ilvl w:val="0"/>
          <w:numId w:val="4"/>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具有良好的商业信誉和健全的财务会计制度；</w:t>
      </w:r>
    </w:p>
    <w:p w14:paraId="4CD413CD">
      <w:pPr>
        <w:numPr>
          <w:ilvl w:val="0"/>
          <w:numId w:val="4"/>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具有履行合同所必需的设备和专业技术能力；</w:t>
      </w:r>
    </w:p>
    <w:p w14:paraId="5D235BDC">
      <w:pPr>
        <w:numPr>
          <w:ilvl w:val="0"/>
          <w:numId w:val="4"/>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具有依法缴纳税收和社会保障资金的良好记录；</w:t>
      </w:r>
    </w:p>
    <w:p w14:paraId="74162EAD">
      <w:pPr>
        <w:numPr>
          <w:ilvl w:val="0"/>
          <w:numId w:val="4"/>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参加此项采购活动前三年内，在经营活动中没有重大违法记录；</w:t>
      </w:r>
    </w:p>
    <w:p w14:paraId="4C152A4E">
      <w:pPr>
        <w:numPr>
          <w:ilvl w:val="0"/>
          <w:numId w:val="4"/>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法律、行政法规规定的其他条件。</w:t>
      </w:r>
    </w:p>
    <w:p w14:paraId="54A0B031">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3.3投标人购买招标文件时应登记备案，并提供有效联系方式。</w:t>
      </w:r>
    </w:p>
    <w:p w14:paraId="4E8F8ED8">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3.4如投标人代表不是法定代表人，须持有《法定代表人授权委托书》 (按招标文件提供的格式填写)。</w:t>
      </w:r>
    </w:p>
    <w:p w14:paraId="6E264E5C">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3.5投标人应独立于采购人，不得直接或间接地与采购人为采购本次招标的货物进行设计、编制技术规格</w:t>
      </w:r>
      <w:r>
        <w:rPr>
          <w:rFonts w:hint="eastAsia" w:asciiTheme="minorEastAsia" w:hAnsiTheme="minorEastAsia" w:cstheme="minorEastAsia"/>
          <w:sz w:val="24"/>
          <w:szCs w:val="24"/>
          <w:lang w:eastAsia="zh-CN"/>
        </w:rPr>
        <w:t>和其他</w:t>
      </w:r>
      <w:r>
        <w:rPr>
          <w:rFonts w:hint="eastAsia" w:asciiTheme="minorEastAsia" w:hAnsiTheme="minorEastAsia" w:cstheme="minorEastAsia"/>
          <w:sz w:val="24"/>
          <w:szCs w:val="24"/>
        </w:rPr>
        <w:t>文 件所委托的咨询公司或其附属机构有任何关联。</w:t>
      </w:r>
    </w:p>
    <w:p w14:paraId="0B0AA540">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3.6投标人不得存在下列情形之一：</w:t>
      </w:r>
    </w:p>
    <w:p w14:paraId="3BAB6CD0">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（1）与采购人采购代理机构存在隶属关系或者其他利害关系；</w:t>
      </w:r>
    </w:p>
    <w:p w14:paraId="063286D4">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（2）与其他投标人的法定代表人（或者负责人）为同一人，或者与其他投标人存在直接控股、管理关系；</w:t>
      </w:r>
    </w:p>
    <w:p w14:paraId="2B1122CA">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（3）受到刑事处罚，或者受到三万元以上罚款，责令停产停业、在一年至三年内禁止参加政府采购活动、暂扣或吊销许可证、暂扣或吊销执照等情形之一的行政处罚，或者存在财政部门认定的其</w:t>
      </w:r>
      <w:r>
        <w:rPr>
          <w:rFonts w:hint="eastAsia" w:asciiTheme="minorEastAsia" w:hAnsiTheme="minorEastAsia" w:cstheme="minorEastAsia"/>
          <w:kern w:val="0"/>
          <w:sz w:val="24"/>
          <w:szCs w:val="24"/>
        </w:rPr>
        <w:t>他重大违法记录。</w:t>
      </w:r>
    </w:p>
    <w:p w14:paraId="480E95D8">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在投标截止日前被列入失信被执行人、重大税收违法案件当事人名单、政府采购严重违法失信行为记录名单（处罚期限届满的除外）以信用中国网（www.creditchina.gov.cn）、中国政府采购网（www.ccgp.gov.cn）查询结果为准。</w:t>
      </w:r>
    </w:p>
    <w:p w14:paraId="106AFD48">
      <w:pPr>
        <w:pStyle w:val="8"/>
        <w:numPr>
          <w:ilvl w:val="0"/>
          <w:numId w:val="2"/>
        </w:numPr>
      </w:pPr>
      <w:bookmarkStart w:id="29" w:name="_Toc380336728"/>
      <w:bookmarkStart w:id="30" w:name="_Toc540"/>
      <w:bookmarkStart w:id="31" w:name="_Toc358364322"/>
      <w:bookmarkStart w:id="32" w:name="_Toc22444"/>
      <w:r>
        <w:rPr>
          <w:rFonts w:hint="eastAsia"/>
        </w:rPr>
        <w:t>费用</w:t>
      </w:r>
      <w:bookmarkEnd w:id="29"/>
      <w:bookmarkEnd w:id="30"/>
      <w:bookmarkEnd w:id="31"/>
      <w:bookmarkEnd w:id="32"/>
    </w:p>
    <w:p w14:paraId="003A2992">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w:t>
      </w:r>
      <w:r>
        <w:rPr>
          <w:rFonts w:hint="eastAsia" w:asciiTheme="minorEastAsia" w:hAnsiTheme="minorEastAsia" w:cstheme="minorEastAsia"/>
          <w:kern w:val="0"/>
          <w:sz w:val="24"/>
          <w:szCs w:val="24"/>
        </w:rPr>
        <w:t>标人应承担所有与准备和参加投标有关的费用，采购代理机构（或采购人)在任何情况下均无义务和责任承担这些费用。</w:t>
      </w:r>
    </w:p>
    <w:p w14:paraId="0CFC8445">
      <w:pPr>
        <w:pStyle w:val="8"/>
        <w:numPr>
          <w:ilvl w:val="0"/>
          <w:numId w:val="2"/>
        </w:numPr>
      </w:pPr>
      <w:r>
        <w:rPr>
          <w:rFonts w:hint="eastAsia"/>
        </w:rPr>
        <w:t>采购进口产品</w:t>
      </w:r>
    </w:p>
    <w:p w14:paraId="46C2078A">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5.1 除公告及投标人须知前附表另有规定外，本项目拒绝进口产品参加采购活动，供应商以进口产品进行投标时，将在符合性审查时按照无效投标进行处理。</w:t>
      </w:r>
    </w:p>
    <w:p w14:paraId="0A3CBB38">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5.2 本项目第五部分采购要求中标明“可接受进口产品”的，采购活动不限制满足招标文件要求的国产产品参与本次采购。</w:t>
      </w:r>
    </w:p>
    <w:p w14:paraId="326CA92C">
      <w:pPr>
        <w:pStyle w:val="8"/>
        <w:numPr>
          <w:ilvl w:val="0"/>
          <w:numId w:val="2"/>
        </w:numPr>
        <w:spacing w:afterLines="100"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政府采购政策支持</w:t>
      </w:r>
    </w:p>
    <w:p w14:paraId="06AA7A59">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6.1对列入财政部、</w:t>
      </w:r>
      <w:r>
        <w:rPr>
          <w:rFonts w:hint="eastAsia" w:asciiTheme="minorEastAsia" w:hAnsiTheme="minorEastAsia" w:cstheme="minorEastAsia"/>
          <w:kern w:val="0"/>
          <w:sz w:val="24"/>
          <w:szCs w:val="24"/>
          <w:lang w:eastAsia="zh-CN"/>
        </w:rPr>
        <w:t>国家发展改革委</w:t>
      </w:r>
      <w:r>
        <w:rPr>
          <w:rFonts w:hint="eastAsia" w:asciiTheme="minorEastAsia" w:hAnsiTheme="minorEastAsia" w:cstheme="minorEastAsia"/>
          <w:kern w:val="0"/>
          <w:sz w:val="24"/>
          <w:szCs w:val="24"/>
        </w:rPr>
        <w:t xml:space="preserve">发布的《节能产品政府采购清单》且属于应当“强制采购的节能产品”，按照规定实行强制采购。 </w:t>
      </w:r>
    </w:p>
    <w:p w14:paraId="5F36C597">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6.2对列入财政部、</w:t>
      </w:r>
      <w:r>
        <w:rPr>
          <w:rFonts w:hint="eastAsia" w:asciiTheme="minorEastAsia" w:hAnsiTheme="minorEastAsia" w:cstheme="minorEastAsia"/>
          <w:kern w:val="0"/>
          <w:sz w:val="24"/>
          <w:szCs w:val="24"/>
          <w:lang w:eastAsia="zh-CN"/>
        </w:rPr>
        <w:t>国家发展和改革委员会</w:t>
      </w:r>
      <w:r>
        <w:rPr>
          <w:rFonts w:hint="eastAsia" w:asciiTheme="minorEastAsia" w:hAnsiTheme="minorEastAsia" w:cstheme="minorEastAsia"/>
          <w:kern w:val="0"/>
          <w:sz w:val="24"/>
          <w:szCs w:val="24"/>
        </w:rPr>
        <w:t>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14:paraId="4A409F2C">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6.3产品同时属于“非强制采购节能产品”、环境标志产品的，评审时只有其中一项能享受优先待遇（投标人自行选择，并在报价文件中填写相关信息及数据）。  </w:t>
      </w:r>
    </w:p>
    <w:p w14:paraId="19E90672">
      <w:pPr>
        <w:pStyle w:val="4"/>
        <w:jc w:val="left"/>
        <w:rPr>
          <w:sz w:val="32"/>
          <w:szCs w:val="32"/>
        </w:rPr>
      </w:pPr>
      <w:r>
        <w:rPr>
          <w:rFonts w:hint="eastAsia" w:asciiTheme="minorEastAsia" w:hAnsiTheme="minorEastAsia" w:cstheme="minorEastAsia"/>
          <w:color w:val="0000FF"/>
          <w:kern w:val="0"/>
          <w:sz w:val="32"/>
          <w:szCs w:val="32"/>
        </w:rPr>
        <w:t xml:space="preserve"> </w:t>
      </w:r>
      <w:bookmarkStart w:id="33" w:name="_Toc230"/>
      <w:bookmarkStart w:id="34" w:name="_Toc7144"/>
      <w:bookmarkStart w:id="35" w:name="_Toc21454"/>
      <w:r>
        <w:rPr>
          <w:rFonts w:hint="eastAsia"/>
          <w:sz w:val="32"/>
          <w:szCs w:val="32"/>
        </w:rPr>
        <w:t>二、招标文件</w:t>
      </w:r>
      <w:bookmarkEnd w:id="33"/>
      <w:bookmarkEnd w:id="34"/>
      <w:bookmarkEnd w:id="35"/>
    </w:p>
    <w:p w14:paraId="77400B26">
      <w:pPr>
        <w:pStyle w:val="8"/>
        <w:numPr>
          <w:ilvl w:val="0"/>
          <w:numId w:val="5"/>
        </w:numPr>
      </w:pPr>
      <w:bookmarkStart w:id="36" w:name="_Toc17817"/>
      <w:bookmarkStart w:id="37" w:name="_Toc5801"/>
      <w:r>
        <w:rPr>
          <w:rFonts w:hint="eastAsia"/>
        </w:rPr>
        <w:t>招标文件</w:t>
      </w:r>
      <w:bookmarkEnd w:id="36"/>
      <w:r>
        <w:rPr>
          <w:rFonts w:hint="eastAsia"/>
        </w:rPr>
        <w:t>的构成</w:t>
      </w:r>
      <w:bookmarkEnd w:id="37"/>
    </w:p>
    <w:p w14:paraId="2D669396">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bookmarkStart w:id="38" w:name="_Toc19797"/>
      <w:r>
        <w:rPr>
          <w:rFonts w:hint="eastAsia" w:asciiTheme="minorEastAsia" w:hAnsiTheme="minorEastAsia" w:cstheme="minorEastAsia"/>
          <w:sz w:val="24"/>
          <w:szCs w:val="24"/>
        </w:rPr>
        <w:t>1.1 招标文件是投标人准备投标文件和参加投标的依据，同时也是评标的重要依据，具有准法律文件性质。本招标文件包括以下内容：</w:t>
      </w:r>
    </w:p>
    <w:p w14:paraId="14E306BE">
      <w:pPr>
        <w:numPr>
          <w:ilvl w:val="0"/>
          <w:numId w:val="6"/>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公开招标公告；</w:t>
      </w:r>
    </w:p>
    <w:p w14:paraId="0128C4FB">
      <w:pPr>
        <w:numPr>
          <w:ilvl w:val="0"/>
          <w:numId w:val="6"/>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投标人须知前附表；</w:t>
      </w:r>
    </w:p>
    <w:p w14:paraId="4420CB5A">
      <w:pPr>
        <w:numPr>
          <w:ilvl w:val="0"/>
          <w:numId w:val="6"/>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w:t>
      </w:r>
    </w:p>
    <w:p w14:paraId="330F6342">
      <w:pPr>
        <w:numPr>
          <w:ilvl w:val="0"/>
          <w:numId w:val="6"/>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评审办法；</w:t>
      </w:r>
    </w:p>
    <w:p w14:paraId="613E0EE9">
      <w:pPr>
        <w:numPr>
          <w:ilvl w:val="0"/>
          <w:numId w:val="6"/>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采购要求；</w:t>
      </w:r>
    </w:p>
    <w:p w14:paraId="68A8593C">
      <w:pPr>
        <w:numPr>
          <w:ilvl w:val="0"/>
          <w:numId w:val="6"/>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合同条款；</w:t>
      </w:r>
    </w:p>
    <w:p w14:paraId="6AF4F37E">
      <w:pPr>
        <w:numPr>
          <w:ilvl w:val="0"/>
          <w:numId w:val="6"/>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投标文件格式。</w:t>
      </w:r>
    </w:p>
    <w:p w14:paraId="7FC5D961">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1.2 </w:t>
      </w:r>
      <w:r>
        <w:rPr>
          <w:rFonts w:hint="eastAsia" w:asciiTheme="minorEastAsia" w:hAnsiTheme="minorEastAsia" w:cstheme="minorEastAsia"/>
          <w:sz w:val="24"/>
          <w:szCs w:val="24"/>
        </w:rPr>
        <w:t>投标人应认真阅读招标文件中所有的条款、事项、格式和技术规范、参数及要求等。投标人没有按照招标文件要求提交全部资料，或者没有对招标文件在各方面都做出实质性响应，将导致其投标被拒绝或被认定为无效投标。</w:t>
      </w:r>
    </w:p>
    <w:p w14:paraId="6020F248">
      <w:pPr>
        <w:pStyle w:val="8"/>
        <w:numPr>
          <w:ilvl w:val="0"/>
          <w:numId w:val="5"/>
        </w:numPr>
      </w:pPr>
      <w:r>
        <w:rPr>
          <w:rFonts w:hint="eastAsia"/>
        </w:rPr>
        <w:t>招标文件的澄清</w:t>
      </w:r>
      <w:bookmarkEnd w:id="38"/>
    </w:p>
    <w:p w14:paraId="33399807">
      <w:pPr>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应认真阅读和充分理解招标文件中所有的事项，如有问题或疑义请及时函告。否则，视为同意招标文件的一切条款和要求并承担由此引起的一切法律责任。凡因投标人对招标文件阅读不深、理解不透、误解、疏漏</w:t>
      </w:r>
      <w:r>
        <w:rPr>
          <w:rFonts w:hint="eastAsia" w:asciiTheme="minorEastAsia" w:hAnsiTheme="minorEastAsia" w:cstheme="minorEastAsia"/>
          <w:sz w:val="24"/>
          <w:szCs w:val="24"/>
          <w:lang w:eastAsia="zh-CN"/>
        </w:rPr>
        <w:t>或</w:t>
      </w:r>
      <w:r>
        <w:rPr>
          <w:rFonts w:hint="eastAsia" w:asciiTheme="minorEastAsia" w:hAnsiTheme="minorEastAsia" w:cstheme="minorEastAsia"/>
          <w:sz w:val="24"/>
          <w:szCs w:val="24"/>
        </w:rPr>
        <w:t>因市场行情了解不清造成的后果和风险均由投标人自行承担。</w:t>
      </w:r>
    </w:p>
    <w:p w14:paraId="6FDDD290">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任何对招标文件进行询问或要求进行澄清的投标人，均应在收到招标文件后七个工作日内按公开招标文件中的通讯地址以书面形式递交代理机构，采购人或代理机构对收到的任何询问或澄清要求将在三个工作日内作出书面答复。</w:t>
      </w:r>
    </w:p>
    <w:p w14:paraId="2B9D05C7">
      <w:pPr>
        <w:pStyle w:val="8"/>
        <w:keepNext w:val="0"/>
        <w:keepLines w:val="0"/>
        <w:numPr>
          <w:ilvl w:val="0"/>
          <w:numId w:val="5"/>
        </w:numPr>
        <w:spacing w:line="500" w:lineRule="exact"/>
        <w:ind w:firstLine="562" w:firstLineChars="200"/>
        <w:rPr>
          <w:rFonts w:asciiTheme="minorEastAsia" w:hAnsiTheme="minorEastAsia" w:cstheme="minorEastAsia"/>
          <w:szCs w:val="28"/>
        </w:rPr>
      </w:pPr>
      <w:bookmarkStart w:id="39" w:name="_Toc6390"/>
      <w:r>
        <w:rPr>
          <w:rFonts w:hint="eastAsia" w:asciiTheme="minorEastAsia" w:hAnsiTheme="minorEastAsia" w:cstheme="minorEastAsia"/>
          <w:szCs w:val="28"/>
        </w:rPr>
        <w:t>招标文件的修改</w:t>
      </w:r>
      <w:bookmarkEnd w:id="39"/>
    </w:p>
    <w:p w14:paraId="62BF7EB2">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bookmarkStart w:id="40" w:name="_Toc31188"/>
      <w:r>
        <w:rPr>
          <w:rFonts w:hint="eastAsia" w:asciiTheme="minorEastAsia" w:hAnsiTheme="minorEastAsia" w:cstheme="minorEastAsia"/>
          <w:sz w:val="24"/>
          <w:szCs w:val="24"/>
        </w:rPr>
        <w:t>3.1 在投标截止时间十五日前，无论出于何种原因，代理机构可主动地或在解答投标人提出的澄清问题时，对招标文件进行修改。招标文件的澄清和修改将以书面形式通知所有投标人，并作为招标文件的补充，与其具有同等法律效力。</w:t>
      </w:r>
    </w:p>
    <w:p w14:paraId="39F92E8C">
      <w:pPr>
        <w:tabs>
          <w:tab w:val="left" w:pos="0"/>
        </w:tabs>
        <w:adjustRightInd w:val="0"/>
        <w:snapToGrid w:val="0"/>
        <w:spacing w:line="500" w:lineRule="exact"/>
        <w:ind w:firstLine="480" w:firstLineChars="200"/>
        <w:jc w:val="left"/>
        <w:rPr>
          <w:rFonts w:asciiTheme="minorEastAsia" w:hAnsiTheme="minorEastAsia" w:cstheme="minorEastAsia"/>
          <w:b/>
          <w:bCs/>
          <w:color w:val="FF0000"/>
          <w:sz w:val="24"/>
          <w:szCs w:val="24"/>
        </w:rPr>
      </w:pPr>
      <w:r>
        <w:rPr>
          <w:rFonts w:hint="eastAsia" w:asciiTheme="minorEastAsia" w:hAnsiTheme="minorEastAsia" w:cstheme="minorEastAsia"/>
          <w:sz w:val="24"/>
          <w:szCs w:val="24"/>
        </w:rPr>
        <w:t>3.2 为方便投标人对招标文件修改或澄清内容有充分的时间进行补充修改，代理机构可适当延长投标截止时间和开标时间，在招标文件要求提交投标文件的截止期三日前，将变更时间书面通知所有购买招标文件的投标人。</w:t>
      </w:r>
    </w:p>
    <w:p w14:paraId="042358E1">
      <w:pPr>
        <w:pStyle w:val="8"/>
        <w:keepNext w:val="0"/>
        <w:keepLines w:val="0"/>
        <w:numPr>
          <w:ilvl w:val="0"/>
          <w:numId w:val="5"/>
        </w:numPr>
        <w:spacing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招标文件的获取</w:t>
      </w:r>
      <w:bookmarkEnd w:id="40"/>
    </w:p>
    <w:p w14:paraId="71CE34E7">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投标人必须从代理机构购买招标文件，投标人自行转让或复制招标文件视为无效。招标文件一经售出，一律不退，仅作为本次公开招标使用。</w:t>
      </w:r>
    </w:p>
    <w:p w14:paraId="2296F808">
      <w:pPr>
        <w:pStyle w:val="8"/>
        <w:numPr>
          <w:ilvl w:val="0"/>
          <w:numId w:val="5"/>
        </w:numPr>
        <w:spacing w:line="500" w:lineRule="exact"/>
        <w:ind w:firstLine="562" w:firstLineChars="200"/>
        <w:rPr>
          <w:rFonts w:asciiTheme="minorEastAsia" w:hAnsiTheme="minorEastAsia" w:cstheme="minorEastAsia"/>
          <w:szCs w:val="28"/>
        </w:rPr>
      </w:pPr>
      <w:bookmarkStart w:id="41" w:name="_Toc5095"/>
      <w:r>
        <w:rPr>
          <w:rFonts w:hint="eastAsia" w:asciiTheme="minorEastAsia" w:hAnsiTheme="minorEastAsia" w:cstheme="minorEastAsia"/>
          <w:szCs w:val="28"/>
        </w:rPr>
        <w:t>招标文件的解释权归代理机构</w:t>
      </w:r>
      <w:bookmarkEnd w:id="41"/>
    </w:p>
    <w:p w14:paraId="1C69A388">
      <w:pPr>
        <w:pStyle w:val="4"/>
        <w:rPr>
          <w:rFonts w:asciiTheme="minorEastAsia" w:hAnsiTheme="minorEastAsia" w:eastAsiaTheme="minorEastAsia" w:cstheme="minorEastAsia"/>
        </w:rPr>
      </w:pPr>
      <w:bookmarkStart w:id="42" w:name="_Toc30368"/>
      <w:bookmarkStart w:id="43" w:name="_Toc15601"/>
      <w:bookmarkStart w:id="44" w:name="_Toc30698"/>
      <w:r>
        <w:rPr>
          <w:rFonts w:hint="eastAsia" w:asciiTheme="minorEastAsia" w:hAnsiTheme="minorEastAsia" w:eastAsiaTheme="minorEastAsia" w:cstheme="minorEastAsia"/>
        </w:rPr>
        <w:t>三、投标文件</w:t>
      </w:r>
      <w:bookmarkEnd w:id="42"/>
      <w:bookmarkEnd w:id="43"/>
      <w:bookmarkEnd w:id="44"/>
    </w:p>
    <w:p w14:paraId="0B674C10">
      <w:pPr>
        <w:pStyle w:val="8"/>
        <w:numPr>
          <w:ilvl w:val="0"/>
          <w:numId w:val="7"/>
        </w:numPr>
        <w:spacing w:line="500" w:lineRule="exact"/>
        <w:ind w:firstLine="562" w:firstLineChars="200"/>
        <w:rPr>
          <w:rFonts w:asciiTheme="minorEastAsia" w:hAnsiTheme="minorEastAsia" w:cstheme="minorEastAsia"/>
          <w:szCs w:val="28"/>
        </w:rPr>
      </w:pPr>
      <w:bookmarkStart w:id="45" w:name="_Toc17549"/>
      <w:r>
        <w:rPr>
          <w:rFonts w:hint="eastAsia" w:asciiTheme="minorEastAsia" w:hAnsiTheme="minorEastAsia" w:cstheme="minorEastAsia"/>
          <w:szCs w:val="28"/>
        </w:rPr>
        <w:t>投标文件的编制</w:t>
      </w:r>
      <w:bookmarkEnd w:id="45"/>
    </w:p>
    <w:p w14:paraId="4DD2592E">
      <w:pPr>
        <w:spacing w:line="500" w:lineRule="exact"/>
        <w:ind w:firstLine="480" w:firstLineChars="200"/>
        <w:jc w:val="left"/>
        <w:rPr>
          <w:rFonts w:asciiTheme="minorEastAsia" w:hAnsiTheme="minorEastAsia" w:cstheme="minorEastAsia"/>
          <w:sz w:val="24"/>
          <w:szCs w:val="24"/>
          <w:highlight w:val="yellow"/>
        </w:rPr>
      </w:pPr>
      <w:r>
        <w:rPr>
          <w:rFonts w:hint="eastAsia" w:asciiTheme="minorEastAsia" w:hAnsiTheme="minorEastAsia" w:cstheme="minorEastAsia"/>
          <w:sz w:val="24"/>
          <w:szCs w:val="24"/>
        </w:rPr>
        <w:t>1.1 投标文件应根据代理机构发售的招标文件格式和顺序编制。具体内容包括：</w:t>
      </w:r>
    </w:p>
    <w:p w14:paraId="7B0B8244">
      <w:pPr>
        <w:numPr>
          <w:ilvl w:val="0"/>
          <w:numId w:val="8"/>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投标函；</w:t>
      </w:r>
    </w:p>
    <w:p w14:paraId="3DEF0456">
      <w:pPr>
        <w:numPr>
          <w:ilvl w:val="0"/>
          <w:numId w:val="8"/>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开标一览表；</w:t>
      </w:r>
    </w:p>
    <w:p w14:paraId="64B1BF35">
      <w:pPr>
        <w:numPr>
          <w:ilvl w:val="0"/>
          <w:numId w:val="8"/>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分项报价表；</w:t>
      </w:r>
    </w:p>
    <w:p w14:paraId="0F818F3A">
      <w:pPr>
        <w:numPr>
          <w:ilvl w:val="0"/>
          <w:numId w:val="8"/>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投标人资质证明资料；</w:t>
      </w:r>
    </w:p>
    <w:p w14:paraId="4F7430E3">
      <w:pPr>
        <w:numPr>
          <w:ilvl w:val="0"/>
          <w:numId w:val="8"/>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 xml:space="preserve">商务和技术响应偏离表；  </w:t>
      </w:r>
    </w:p>
    <w:p w14:paraId="684BC9C3">
      <w:pPr>
        <w:numPr>
          <w:ilvl w:val="0"/>
          <w:numId w:val="8"/>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技术支持资料；</w:t>
      </w:r>
    </w:p>
    <w:p w14:paraId="72581978">
      <w:pPr>
        <w:numPr>
          <w:ilvl w:val="0"/>
          <w:numId w:val="8"/>
        </w:numPr>
        <w:tabs>
          <w:tab w:val="left" w:pos="0"/>
        </w:tabs>
        <w:adjustRightInd w:val="0"/>
        <w:snapToGrid w:val="0"/>
        <w:spacing w:line="440" w:lineRule="exact"/>
        <w:jc w:val="left"/>
        <w:rPr>
          <w:rFonts w:ascii="宋体" w:cs="宋体"/>
          <w:sz w:val="24"/>
          <w:szCs w:val="24"/>
        </w:rPr>
      </w:pPr>
      <w:r>
        <w:rPr>
          <w:rFonts w:hint="eastAsia" w:ascii="宋体" w:cs="宋体"/>
          <w:sz w:val="24"/>
          <w:szCs w:val="24"/>
        </w:rPr>
        <w:t>投标人业绩一览表；</w:t>
      </w:r>
    </w:p>
    <w:p w14:paraId="393C82C7">
      <w:pPr>
        <w:numPr>
          <w:ilvl w:val="0"/>
          <w:numId w:val="8"/>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投标人认为有必要说明的其他问题；</w:t>
      </w:r>
    </w:p>
    <w:p w14:paraId="1365E165">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（9）投标人承诺书。</w:t>
      </w:r>
    </w:p>
    <w:p w14:paraId="33878268">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1.2 投标人须依据招标文件内容和投标文件格式的要求编制投标文件；</w:t>
      </w:r>
    </w:p>
    <w:p w14:paraId="112DC673">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投标文件规格幅面（A4），可采用双面打印，按照招标文件所规定的内容顺序，统一编目、编页码装订，技术文件中的各项表格须按照招标文件第七部分格式要求制作。由于编排混乱导致投标文件被误读或查找不到，其责任应当由投标人承担。 </w:t>
      </w:r>
    </w:p>
    <w:p w14:paraId="17CC955D">
      <w:pPr>
        <w:pStyle w:val="8"/>
        <w:numPr>
          <w:ilvl w:val="0"/>
          <w:numId w:val="7"/>
        </w:numPr>
      </w:pPr>
      <w:bookmarkStart w:id="46" w:name="_Toc27646"/>
      <w:r>
        <w:rPr>
          <w:rFonts w:hint="eastAsia"/>
        </w:rPr>
        <w:t>投标报价</w:t>
      </w:r>
      <w:bookmarkEnd w:id="46"/>
    </w:p>
    <w:p w14:paraId="44FF92BD">
      <w:pPr>
        <w:tabs>
          <w:tab w:val="left" w:pos="0"/>
        </w:tabs>
        <w:spacing w:line="500" w:lineRule="exact"/>
        <w:ind w:firstLine="480" w:firstLineChars="200"/>
        <w:rPr>
          <w:rFonts w:asciiTheme="minorEastAsia" w:hAnsiTheme="minorEastAsia" w:cstheme="minorEastAsia"/>
          <w:sz w:val="24"/>
          <w:szCs w:val="24"/>
          <w:highlight w:val="none"/>
        </w:rPr>
      </w:pPr>
      <w:bookmarkStart w:id="47" w:name="_Toc29200"/>
      <w:r>
        <w:rPr>
          <w:rFonts w:hint="eastAsia" w:asciiTheme="minorEastAsia" w:hAnsiTheme="minorEastAsia" w:cstheme="minorEastAsia"/>
          <w:sz w:val="24"/>
          <w:szCs w:val="24"/>
        </w:rPr>
        <w:t>2.1 投标人应在投标报价表中标明完成本次招标所要求的货物、服务且验收合格的所有费用，包括</w:t>
      </w:r>
      <w:r>
        <w:rPr>
          <w:rFonts w:hint="eastAsia" w:ascii="宋体" w:hAnsi="宋体" w:cs="宋体"/>
          <w:sz w:val="24"/>
          <w:szCs w:val="24"/>
          <w:lang w:eastAsia="zh-CN"/>
        </w:rPr>
        <w:t>货物</w:t>
      </w:r>
      <w:r>
        <w:rPr>
          <w:rFonts w:hint="eastAsia" w:ascii="宋体" w:hAnsi="宋体" w:cs="宋体"/>
          <w:sz w:val="24"/>
          <w:szCs w:val="24"/>
        </w:rPr>
        <w:t>报价、技术培训费、检测费、人工费、税金及进口产品（如果有）国家按现行税收政策征收的一切税费等</w:t>
      </w:r>
      <w:r>
        <w:rPr>
          <w:rFonts w:hint="eastAsia" w:asciiTheme="minorEastAsia" w:hAnsiTheme="minorEastAsia" w:cstheme="minorEastAsia"/>
          <w:sz w:val="24"/>
          <w:szCs w:val="24"/>
        </w:rPr>
        <w:t>。投标报价表中标明本次货物</w:t>
      </w:r>
      <w:r>
        <w:rPr>
          <w:rFonts w:hint="eastAsia" w:asciiTheme="minorEastAsia" w:hAnsiTheme="minorEastAsia" w:cstheme="minorEastAsia"/>
          <w:sz w:val="24"/>
          <w:szCs w:val="24"/>
          <w:highlight w:val="none"/>
        </w:rPr>
        <w:t>、服务的所有单项价格和总价，任何有选择的报价将不予接受，否则按无效投标处理。</w:t>
      </w:r>
    </w:p>
    <w:p w14:paraId="73638B42">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highlight w:val="none"/>
        </w:rPr>
        <w:t>2.2 投标人应在投标文件中的开标一览表（唱标报告）上，标明所投</w:t>
      </w:r>
      <w:r>
        <w:rPr>
          <w:rFonts w:hint="eastAsia" w:asciiTheme="minorEastAsia" w:hAnsiTheme="minorEastAsia" w:cstheme="minorEastAsia"/>
          <w:sz w:val="24"/>
          <w:szCs w:val="24"/>
          <w:highlight w:val="none"/>
          <w:lang w:val="en-US" w:eastAsia="zh-CN"/>
        </w:rPr>
        <w:t>服务</w:t>
      </w:r>
      <w:r>
        <w:rPr>
          <w:rFonts w:hint="eastAsia" w:asciiTheme="minorEastAsia" w:hAnsiTheme="minorEastAsia" w:cstheme="minorEastAsia"/>
          <w:sz w:val="24"/>
          <w:szCs w:val="24"/>
          <w:highlight w:val="none"/>
        </w:rPr>
        <w:t>的</w:t>
      </w:r>
      <w:r>
        <w:rPr>
          <w:rFonts w:hint="eastAsia" w:ascii="宋体" w:hAnsi="宋体" w:cs="宋体"/>
          <w:sz w:val="24"/>
          <w:szCs w:val="24"/>
          <w:highlight w:val="none"/>
          <w:lang w:val="en-US" w:eastAsia="zh-CN"/>
        </w:rPr>
        <w:t>总报价、</w:t>
      </w:r>
      <w:r>
        <w:rPr>
          <w:rFonts w:hint="eastAsia" w:ascii="宋体" w:hAnsi="宋体" w:cs="宋体"/>
          <w:sz w:val="24"/>
          <w:szCs w:val="24"/>
          <w:highlight w:val="none"/>
        </w:rPr>
        <w:t xml:space="preserve"> 服务期限</w:t>
      </w:r>
      <w:r>
        <w:rPr>
          <w:rFonts w:hint="eastAsia" w:asciiTheme="minorEastAsia" w:hAnsiTheme="minorEastAsia" w:cstheme="minorEastAsia"/>
          <w:sz w:val="24"/>
          <w:szCs w:val="24"/>
          <w:highlight w:val="none"/>
        </w:rPr>
        <w:t>、质保期等，并由法定代表人或被授权人代表签署；任何有选择的报价不予接受。</w:t>
      </w:r>
    </w:p>
    <w:p w14:paraId="37558FB8">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2.3投标报价表中标的价格，在合同执行过程中，不得以任何理由变更。</w:t>
      </w:r>
    </w:p>
    <w:p w14:paraId="6F969177">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2.4 采用综合评分法的，最低报价不能作为中标的保证。</w:t>
      </w:r>
    </w:p>
    <w:p w14:paraId="1EF31058">
      <w:pPr>
        <w:pStyle w:val="8"/>
        <w:numPr>
          <w:ilvl w:val="0"/>
          <w:numId w:val="7"/>
        </w:numPr>
        <w:spacing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投标货币</w:t>
      </w:r>
      <w:bookmarkEnd w:id="47"/>
    </w:p>
    <w:p w14:paraId="0E0AB064">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投标人应当根据招标文件的要求和范围，以人民币为投标货币。</w:t>
      </w:r>
    </w:p>
    <w:p w14:paraId="708FA0B9">
      <w:pPr>
        <w:pStyle w:val="8"/>
        <w:numPr>
          <w:ilvl w:val="0"/>
          <w:numId w:val="7"/>
        </w:numPr>
        <w:spacing w:line="500" w:lineRule="exact"/>
        <w:ind w:firstLine="562" w:firstLineChars="200"/>
        <w:rPr>
          <w:rFonts w:asciiTheme="minorEastAsia" w:hAnsiTheme="minorEastAsia" w:cstheme="minorEastAsia"/>
          <w:szCs w:val="28"/>
        </w:rPr>
      </w:pPr>
      <w:bookmarkStart w:id="48" w:name="_Toc19668"/>
      <w:r>
        <w:rPr>
          <w:rFonts w:hint="eastAsia" w:asciiTheme="minorEastAsia" w:hAnsiTheme="minorEastAsia" w:cstheme="minorEastAsia"/>
          <w:szCs w:val="28"/>
        </w:rPr>
        <w:t>投标有效期</w:t>
      </w:r>
      <w:bookmarkEnd w:id="48"/>
    </w:p>
    <w:p w14:paraId="73544168">
      <w:pPr>
        <w:adjustRightInd w:val="0"/>
        <w:snapToGrid w:val="0"/>
        <w:spacing w:line="500" w:lineRule="exact"/>
        <w:ind w:firstLine="480" w:firstLineChars="200"/>
        <w:rPr>
          <w:rFonts w:asciiTheme="minorEastAsia" w:hAnsiTheme="minorEastAsia" w:cstheme="minorEastAsia"/>
          <w:sz w:val="24"/>
          <w:szCs w:val="24"/>
          <w:highlight w:val="yellow"/>
        </w:rPr>
      </w:pPr>
      <w:r>
        <w:rPr>
          <w:rFonts w:hint="eastAsia" w:asciiTheme="minorEastAsia" w:hAnsiTheme="minorEastAsia" w:cstheme="minorEastAsia"/>
          <w:sz w:val="24"/>
          <w:szCs w:val="24"/>
        </w:rPr>
        <w:t>投标有效期见投标人须知前附表，无投标有效期或投标有效期短于此规定期限的投标文件，视为无效文件，其投标将被拒绝。</w:t>
      </w:r>
    </w:p>
    <w:p w14:paraId="5EF9FDEC">
      <w:pPr>
        <w:pStyle w:val="8"/>
        <w:numPr>
          <w:ilvl w:val="0"/>
          <w:numId w:val="7"/>
        </w:numPr>
        <w:spacing w:line="500" w:lineRule="exact"/>
        <w:ind w:firstLine="562" w:firstLineChars="200"/>
        <w:rPr>
          <w:rFonts w:asciiTheme="minorEastAsia" w:hAnsiTheme="minorEastAsia" w:cstheme="minorEastAsia"/>
          <w:szCs w:val="28"/>
        </w:rPr>
      </w:pPr>
      <w:bookmarkStart w:id="49" w:name="_Toc24827"/>
      <w:r>
        <w:rPr>
          <w:rFonts w:hint="eastAsia" w:asciiTheme="minorEastAsia" w:hAnsiTheme="minorEastAsia" w:cstheme="minorEastAsia"/>
          <w:szCs w:val="28"/>
        </w:rPr>
        <w:t>投标文件的装订、密封和签署</w:t>
      </w:r>
      <w:bookmarkEnd w:id="49"/>
    </w:p>
    <w:p w14:paraId="32D4BC4A">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5.1 投标文件的装订</w:t>
      </w:r>
    </w:p>
    <w:p w14:paraId="25EE95EE">
      <w:pPr>
        <w:tabs>
          <w:tab w:val="left" w:pos="0"/>
        </w:tabs>
        <w:spacing w:line="500" w:lineRule="exact"/>
        <w:ind w:firstLine="480" w:firstLineChars="200"/>
        <w:rPr>
          <w:rFonts w:asciiTheme="minorEastAsia" w:hAnsiTheme="minorEastAsia" w:cstheme="minorEastAsia"/>
          <w:b/>
          <w:bCs/>
          <w:sz w:val="24"/>
          <w:szCs w:val="24"/>
        </w:rPr>
      </w:pPr>
      <w:r>
        <w:rPr>
          <w:rFonts w:hint="eastAsia" w:asciiTheme="minorEastAsia" w:hAnsiTheme="minorEastAsia" w:cstheme="minorEastAsia"/>
          <w:sz w:val="24"/>
          <w:szCs w:val="24"/>
        </w:rPr>
        <w:t>投标文件</w:t>
      </w:r>
      <w:r>
        <w:rPr>
          <w:rFonts w:hint="eastAsia" w:asciiTheme="minorEastAsia" w:hAnsiTheme="minorEastAsia" w:cstheme="minorEastAsia"/>
          <w:b/>
          <w:bCs/>
          <w:sz w:val="24"/>
          <w:szCs w:val="24"/>
        </w:rPr>
        <w:t>正本一份、副本四份</w:t>
      </w:r>
      <w:r>
        <w:rPr>
          <w:rFonts w:hint="eastAsia" w:asciiTheme="minorEastAsia" w:hAnsiTheme="minorEastAsia" w:cstheme="minorEastAsia"/>
          <w:sz w:val="24"/>
          <w:szCs w:val="24"/>
        </w:rPr>
        <w:t>，分别胶装装订成册，且封面须清楚地标明“正本”或“副本”；若正本和副本不符，以正本书面文件为准；同时提供与正本内容一致的</w:t>
      </w:r>
      <w:bookmarkStart w:id="50" w:name="OLE_LINK13"/>
      <w:r>
        <w:rPr>
          <w:rFonts w:hint="eastAsia" w:asciiTheme="minorEastAsia" w:hAnsiTheme="minorEastAsia" w:cstheme="minorEastAsia"/>
          <w:sz w:val="24"/>
          <w:szCs w:val="24"/>
        </w:rPr>
        <w:t>电子版</w:t>
      </w:r>
      <w:bookmarkEnd w:id="50"/>
      <w:r>
        <w:rPr>
          <w:rFonts w:hint="eastAsia" w:asciiTheme="minorEastAsia" w:hAnsiTheme="minorEastAsia" w:cstheme="minorEastAsia"/>
          <w:sz w:val="24"/>
          <w:szCs w:val="24"/>
        </w:rPr>
        <w:t>（U盘、</w:t>
      </w:r>
      <w:r>
        <w:rPr>
          <w:rFonts w:hint="eastAsia" w:asciiTheme="minorEastAsia" w:hAnsiTheme="minorEastAsia" w:cstheme="minorEastAsia"/>
          <w:b/>
          <w:bCs/>
          <w:sz w:val="24"/>
          <w:szCs w:val="24"/>
        </w:rPr>
        <w:t>电子文档应为PDF与WORD格式各一份</w:t>
      </w:r>
      <w:r>
        <w:rPr>
          <w:rFonts w:hint="eastAsia" w:asciiTheme="minorEastAsia" w:hAnsiTheme="minorEastAsia" w:cstheme="minorEastAsia"/>
          <w:sz w:val="24"/>
          <w:szCs w:val="24"/>
        </w:rPr>
        <w:t>）、开标一览表一份</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用于开标唱标单独提交的“开标一览表”应为原件</w:t>
      </w:r>
      <w:r>
        <w:rPr>
          <w:rFonts w:hint="eastAsia" w:asciiTheme="minorEastAsia" w:hAnsiTheme="minorEastAsia" w:cstheme="minorEastAsia"/>
          <w:b/>
          <w:bCs/>
          <w:sz w:val="24"/>
          <w:szCs w:val="24"/>
        </w:rPr>
        <w:t>）。</w:t>
      </w:r>
    </w:p>
    <w:p w14:paraId="73786FE3">
      <w:pPr>
        <w:spacing w:line="500" w:lineRule="exact"/>
        <w:ind w:left="420" w:left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5.2 投标文件的签署</w:t>
      </w:r>
    </w:p>
    <w:p w14:paraId="57421D59">
      <w:pPr>
        <w:spacing w:line="500" w:lineRule="exact"/>
        <w:ind w:firstLine="480" w:firstLineChars="200"/>
        <w:jc w:val="left"/>
        <w:rPr>
          <w:rFonts w:asciiTheme="minorEastAsia" w:hAnsiTheme="minorEastAsia" w:cstheme="minorEastAsia"/>
          <w:color w:val="FF0000"/>
          <w:sz w:val="24"/>
          <w:szCs w:val="24"/>
        </w:rPr>
      </w:pPr>
      <w:r>
        <w:rPr>
          <w:rFonts w:hint="eastAsia" w:asciiTheme="minorEastAsia" w:hAnsiTheme="minorEastAsia" w:cstheme="minorEastAsia"/>
          <w:sz w:val="24"/>
          <w:szCs w:val="24"/>
        </w:rPr>
        <w:t>5.2.1投标人在投标文件中指定的页面的落款处，按招标文件要求由投标人的法定代表人或其授权代表在规定的签章处签字或盖章。</w:t>
      </w:r>
    </w:p>
    <w:p w14:paraId="4FE63190">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5.2.2投标人应按照招标文件要求，在每一份投标文件的正本和副本封面下方以及其他招标文件要求的位置填写投标人全称并加盖公章。</w:t>
      </w:r>
    </w:p>
    <w:p w14:paraId="238F0949">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5.2.3投标文件应字迹清楚、内容齐全、不得涂改或增删。如有修改和增删，必须有投标人公章及法定代表人或其授权代表签字。</w:t>
      </w:r>
    </w:p>
    <w:p w14:paraId="4C444D94">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5.2.4因投标文件字迹潦草或表达不清所引起的不利后果由投标人承担。</w:t>
      </w:r>
    </w:p>
    <w:p w14:paraId="5232DE2D">
      <w:pPr>
        <w:spacing w:line="500" w:lineRule="exact"/>
        <w:ind w:left="420" w:left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5.3 投标文件的密封</w:t>
      </w:r>
    </w:p>
    <w:p w14:paraId="6951C774">
      <w:pPr>
        <w:numPr>
          <w:ilvl w:val="0"/>
          <w:numId w:val="9"/>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标文件正本、所有的副本、电子版本、开标一览表需分开密封装在单独的封袋中（封袋不得有破损），且在封袋正面标明“正本”“副本”“电子版”“开标一览表”字样。封袋应加贴封条，并在封线处加盖投标人鲜章，封袋正面要粘贴投标人全称、项目名称、编号、</w:t>
      </w:r>
      <w:r>
        <w:rPr>
          <w:rFonts w:hint="eastAsia" w:asciiTheme="minorEastAsia" w:hAnsiTheme="minorEastAsia" w:cstheme="minorEastAsia"/>
          <w:sz w:val="24"/>
          <w:szCs w:val="24"/>
          <w:lang w:eastAsia="zh-CN"/>
        </w:rPr>
        <w:t>标段</w:t>
      </w:r>
      <w:r>
        <w:rPr>
          <w:rFonts w:hint="eastAsia" w:asciiTheme="minorEastAsia" w:hAnsiTheme="minorEastAsia" w:cstheme="minorEastAsia"/>
          <w:sz w:val="24"/>
          <w:szCs w:val="24"/>
        </w:rPr>
        <w:t>号等标识</w:t>
      </w:r>
      <w:r>
        <w:rPr>
          <w:rFonts w:hint="eastAsia" w:asciiTheme="minorEastAsia" w:hAnsiTheme="minorEastAsia" w:cstheme="minorEastAsia"/>
          <w:sz w:val="24"/>
          <w:szCs w:val="24"/>
          <w:lang w:eastAsia="zh-CN"/>
        </w:rPr>
        <w:t>且</w:t>
      </w:r>
      <w:r>
        <w:rPr>
          <w:rFonts w:hint="eastAsia" w:asciiTheme="minorEastAsia" w:hAnsiTheme="minorEastAsia" w:cstheme="minorEastAsia"/>
          <w:kern w:val="0"/>
          <w:sz w:val="24"/>
          <w:szCs w:val="24"/>
        </w:rPr>
        <w:t>投标文件袋上应加盖投标人公章（</w:t>
      </w:r>
      <w:r>
        <w:rPr>
          <w:rFonts w:hint="eastAsia" w:asciiTheme="minorEastAsia" w:hAnsiTheme="minorEastAsia" w:cstheme="minorEastAsia"/>
          <w:sz w:val="24"/>
          <w:szCs w:val="24"/>
        </w:rPr>
        <w:t>封面标识见招标文件</w:t>
      </w:r>
      <w:r>
        <w:rPr>
          <w:rFonts w:hint="eastAsia" w:asciiTheme="minorEastAsia" w:hAnsiTheme="minorEastAsia" w:cstheme="minorEastAsia"/>
          <w:b/>
          <w:bCs/>
          <w:sz w:val="24"/>
          <w:szCs w:val="24"/>
        </w:rPr>
        <w:t>附件一</w:t>
      </w:r>
      <w:r>
        <w:rPr>
          <w:rFonts w:hint="eastAsia" w:asciiTheme="minorEastAsia" w:hAnsiTheme="minorEastAsia" w:cstheme="minorEastAsia"/>
          <w:sz w:val="24"/>
          <w:szCs w:val="24"/>
        </w:rPr>
        <w:t>）</w:t>
      </w:r>
      <w:r>
        <w:rPr>
          <w:rFonts w:hint="eastAsia" w:asciiTheme="minorEastAsia" w:hAnsiTheme="minorEastAsia" w:cstheme="minorEastAsia"/>
          <w:kern w:val="0"/>
          <w:sz w:val="24"/>
          <w:szCs w:val="24"/>
        </w:rPr>
        <w:t>如果未按上述规定进行密封，投标人的投标文件有权被拒绝</w:t>
      </w:r>
      <w:r>
        <w:rPr>
          <w:rFonts w:hint="eastAsia" w:asciiTheme="minorEastAsia" w:hAnsiTheme="minorEastAsia" w:cstheme="minorEastAsia"/>
          <w:sz w:val="24"/>
          <w:szCs w:val="24"/>
        </w:rPr>
        <w:t>；</w:t>
      </w:r>
    </w:p>
    <w:p w14:paraId="62E11327">
      <w:pPr>
        <w:numPr>
          <w:ilvl w:val="0"/>
          <w:numId w:val="9"/>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如果投标人未按上述要求密封及加写标记，误投或过早启封的投标文件，将自行承担其投标文件被视为无效投标文件的风险；</w:t>
      </w:r>
    </w:p>
    <w:p w14:paraId="0BBDA74E">
      <w:pPr>
        <w:spacing w:line="500" w:lineRule="exact"/>
        <w:ind w:firstLine="420" w:firstLineChars="175"/>
        <w:rPr>
          <w:rFonts w:asciiTheme="minorEastAsia" w:hAnsiTheme="minorEastAsia" w:cstheme="minorEastAsia"/>
          <w:color w:val="FF0000"/>
          <w:sz w:val="24"/>
          <w:szCs w:val="24"/>
        </w:rPr>
      </w:pPr>
      <w:r>
        <w:rPr>
          <w:rFonts w:hint="eastAsia" w:asciiTheme="minorEastAsia" w:hAnsiTheme="minorEastAsia" w:cstheme="minorEastAsia"/>
          <w:sz w:val="24"/>
          <w:szCs w:val="24"/>
        </w:rPr>
        <w:t>（3）本次招标只接受简体中文文字的投标文件；</w:t>
      </w:r>
      <w:r>
        <w:rPr>
          <w:rFonts w:hint="eastAsia" w:asciiTheme="minorEastAsia" w:hAnsiTheme="minorEastAsia" w:cstheme="minorEastAsia"/>
          <w:b/>
          <w:bCs/>
          <w:sz w:val="24"/>
          <w:szCs w:val="24"/>
        </w:rPr>
        <w:t>如投标文件中出现外文资料，必须配以中文译文，否则，由此引发的一切责任由投标人自负</w:t>
      </w:r>
      <w:r>
        <w:rPr>
          <w:rFonts w:hint="eastAsia" w:asciiTheme="minorEastAsia" w:hAnsiTheme="minorEastAsia" w:cstheme="minorEastAsia"/>
          <w:sz w:val="24"/>
          <w:szCs w:val="24"/>
        </w:rPr>
        <w:t>。</w:t>
      </w:r>
    </w:p>
    <w:p w14:paraId="3D186C18">
      <w:pPr>
        <w:widowControl/>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（4）拒绝接受以电话、传真、电子邮件形式的投标。</w:t>
      </w:r>
    </w:p>
    <w:p w14:paraId="656A460A">
      <w:pPr>
        <w:pStyle w:val="8"/>
        <w:numPr>
          <w:ilvl w:val="0"/>
          <w:numId w:val="7"/>
        </w:numPr>
        <w:spacing w:line="500" w:lineRule="exact"/>
        <w:ind w:firstLine="562" w:firstLineChars="200"/>
        <w:rPr>
          <w:rFonts w:asciiTheme="minorEastAsia" w:hAnsiTheme="minorEastAsia" w:cstheme="minorEastAsia"/>
          <w:szCs w:val="28"/>
        </w:rPr>
      </w:pPr>
      <w:bookmarkStart w:id="51" w:name="_Toc22752"/>
      <w:r>
        <w:rPr>
          <w:rFonts w:hint="eastAsia" w:asciiTheme="minorEastAsia" w:hAnsiTheme="minorEastAsia" w:cstheme="minorEastAsia"/>
          <w:szCs w:val="28"/>
        </w:rPr>
        <w:t>知识产权</w:t>
      </w:r>
      <w:bookmarkEnd w:id="51"/>
    </w:p>
    <w:p w14:paraId="3AAA50BF">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6.1 投标人应保证在本项目使用的任何货物和服务（包括部分使用）时，不会产生因第三方提出侵犯其专利权、商标权或</w:t>
      </w:r>
      <w:r>
        <w:rPr>
          <w:rFonts w:hint="eastAsia" w:asciiTheme="minorEastAsia" w:hAnsiTheme="minorEastAsia" w:cstheme="minorEastAsia"/>
          <w:sz w:val="24"/>
          <w:szCs w:val="24"/>
          <w:lang w:eastAsia="zh-CN"/>
        </w:rPr>
        <w:t>其他</w:t>
      </w:r>
      <w:r>
        <w:rPr>
          <w:rFonts w:hint="eastAsia" w:asciiTheme="minorEastAsia" w:hAnsiTheme="minorEastAsia" w:cstheme="minorEastAsia"/>
          <w:sz w:val="24"/>
          <w:szCs w:val="24"/>
        </w:rPr>
        <w:t>知识产权而引起的法律和经济纠纷，如因专利权、商标权或</w:t>
      </w:r>
      <w:r>
        <w:rPr>
          <w:rFonts w:hint="eastAsia" w:asciiTheme="minorEastAsia" w:hAnsiTheme="minorEastAsia" w:cstheme="minorEastAsia"/>
          <w:sz w:val="24"/>
          <w:szCs w:val="24"/>
          <w:lang w:eastAsia="zh-CN"/>
        </w:rPr>
        <w:t>其他</w:t>
      </w:r>
      <w:r>
        <w:rPr>
          <w:rFonts w:hint="eastAsia" w:asciiTheme="minorEastAsia" w:hAnsiTheme="minorEastAsia" w:cstheme="minorEastAsia"/>
          <w:sz w:val="24"/>
          <w:szCs w:val="24"/>
        </w:rPr>
        <w:t>知识产权而引起法律纠纷和经济纠纷，由投标人承担所有相关责任。</w:t>
      </w:r>
    </w:p>
    <w:p w14:paraId="3CA072B5">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 采购人享有本项目在实施过程中产生的知识成果及知识产权。</w:t>
      </w:r>
    </w:p>
    <w:p w14:paraId="2FC67517">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6.3 投标人如欲在项目实施过程中采用自有知识成果，需在投标文件中声明，并提供相关知识产权证明文件。使用该知识成果后，投标人须提供开发接口和开发手册等技术文档，并承诺提供无限期技术支持，采购人享有永久使用权。</w:t>
      </w:r>
    </w:p>
    <w:p w14:paraId="38919621">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6.4 如投标人所不拥有的知识产权，则在投标报价中必须包括合法获取该知识产权的相关费用。</w:t>
      </w:r>
    </w:p>
    <w:p w14:paraId="44F0EC74">
      <w:pPr>
        <w:pStyle w:val="4"/>
        <w:rPr>
          <w:sz w:val="28"/>
          <w:szCs w:val="28"/>
        </w:rPr>
      </w:pPr>
      <w:bookmarkStart w:id="52" w:name="_Toc3565"/>
      <w:bookmarkStart w:id="53" w:name="_Toc1700"/>
      <w:bookmarkStart w:id="54" w:name="_Toc22133"/>
      <w:bookmarkStart w:id="55" w:name="_Toc3736"/>
      <w:r>
        <w:rPr>
          <w:rFonts w:hint="eastAsia"/>
          <w:sz w:val="28"/>
          <w:szCs w:val="28"/>
        </w:rPr>
        <w:t>四、投标文件的递交</w:t>
      </w:r>
      <w:bookmarkEnd w:id="52"/>
      <w:bookmarkEnd w:id="53"/>
      <w:bookmarkEnd w:id="54"/>
    </w:p>
    <w:bookmarkEnd w:id="55"/>
    <w:p w14:paraId="65A8773C">
      <w:pPr>
        <w:pStyle w:val="8"/>
        <w:numPr>
          <w:ilvl w:val="0"/>
          <w:numId w:val="10"/>
        </w:numPr>
      </w:pPr>
      <w:bookmarkStart w:id="56" w:name="_Toc3685"/>
      <w:r>
        <w:rPr>
          <w:rFonts w:hint="eastAsia"/>
        </w:rPr>
        <w:t>投标文件递交</w:t>
      </w:r>
      <w:bookmarkEnd w:id="56"/>
    </w:p>
    <w:p w14:paraId="0DD2B057">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 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代理机构项目承办人在招标文件规定的投标文件递交截止时间前，只负责投标文件的接收、清点、造册登记工作，并请投标人代表签字确认，对其有效性不负任何责任。</w:t>
      </w:r>
    </w:p>
    <w:p w14:paraId="6B4225D2">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1.2逾期送达或者未按照招标文件要求密封的投标文件，采购代理机构应当拒收。</w:t>
      </w:r>
    </w:p>
    <w:p w14:paraId="0A6BB034">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1.3代理机构不接受邮寄的投标文件。</w:t>
      </w:r>
    </w:p>
    <w:p w14:paraId="2EDD676B">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1.4 无论投标人中标与否，其投标文件恕不退还。</w:t>
      </w:r>
    </w:p>
    <w:p w14:paraId="73B1F85C">
      <w:pPr>
        <w:pStyle w:val="8"/>
        <w:numPr>
          <w:ilvl w:val="0"/>
          <w:numId w:val="10"/>
        </w:numPr>
      </w:pPr>
      <w:bookmarkStart w:id="57" w:name="_Toc12741"/>
      <w:r>
        <w:rPr>
          <w:rFonts w:hint="eastAsia"/>
        </w:rPr>
        <w:t>投标文件的修改和撤回</w:t>
      </w:r>
      <w:bookmarkEnd w:id="57"/>
    </w:p>
    <w:p w14:paraId="2379D435">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投标人可以在投标截止时间前，对所递交的投标文件进行补充、修改或者撤回，并以书面形式通知采购代理机构（或采购人)。</w:t>
      </w:r>
    </w:p>
    <w:p w14:paraId="0C11B325">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投标人撤回投标的要求应由投标人法定代表人或投标人代表签署，补充、修改投标文件的书面材料，应当按照招标文件要求签署、盖章，作为投标文件的组成部分，在投标截止时间前密封送达开标地点，同时应在封套上标明“修改投标文件(并注明项目编号)”和“开标时启封”字样。</w:t>
      </w:r>
    </w:p>
    <w:p w14:paraId="4FBFB78B">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2.3 在投标截止时间之后，投标人不得对其投标文件进行补充、修改或撤回。</w:t>
      </w:r>
    </w:p>
    <w:p w14:paraId="4AD7E864">
      <w:pPr>
        <w:pStyle w:val="4"/>
        <w:rPr>
          <w:sz w:val="28"/>
          <w:szCs w:val="28"/>
        </w:rPr>
      </w:pPr>
      <w:bookmarkStart w:id="58" w:name="_Toc7745"/>
      <w:bookmarkStart w:id="59" w:name="_Toc27066"/>
      <w:bookmarkStart w:id="60" w:name="_Toc14415"/>
      <w:bookmarkStart w:id="61" w:name="_Toc10182"/>
      <w:r>
        <w:rPr>
          <w:rFonts w:hint="eastAsia"/>
          <w:sz w:val="28"/>
          <w:szCs w:val="28"/>
        </w:rPr>
        <w:t>五、 开标、评审、定标</w:t>
      </w:r>
      <w:bookmarkEnd w:id="58"/>
      <w:bookmarkEnd w:id="59"/>
      <w:bookmarkEnd w:id="60"/>
      <w:bookmarkEnd w:id="61"/>
    </w:p>
    <w:p w14:paraId="7A6C0B29">
      <w:pPr>
        <w:pStyle w:val="8"/>
        <w:keepNext w:val="0"/>
        <w:keepLines w:val="0"/>
        <w:numPr>
          <w:ilvl w:val="0"/>
          <w:numId w:val="11"/>
        </w:numPr>
        <w:spacing w:line="500" w:lineRule="exact"/>
        <w:ind w:firstLine="562" w:firstLineChars="200"/>
        <w:rPr>
          <w:rFonts w:asciiTheme="minorEastAsia" w:hAnsiTheme="minorEastAsia" w:cstheme="minorEastAsia"/>
          <w:szCs w:val="28"/>
        </w:rPr>
      </w:pPr>
      <w:bookmarkStart w:id="62" w:name="_Toc27216"/>
      <w:r>
        <w:rPr>
          <w:rFonts w:hint="eastAsia" w:asciiTheme="minorEastAsia" w:hAnsiTheme="minorEastAsia" w:cstheme="minorEastAsia"/>
          <w:szCs w:val="28"/>
        </w:rPr>
        <w:t>开标</w:t>
      </w:r>
      <w:bookmarkEnd w:id="62"/>
    </w:p>
    <w:p w14:paraId="41EE0265">
      <w:pPr>
        <w:widowControl/>
        <w:numPr>
          <w:ilvl w:val="1"/>
          <w:numId w:val="12"/>
        </w:numPr>
        <w:tabs>
          <w:tab w:val="left" w:pos="0"/>
        </w:tabs>
        <w:spacing w:line="500" w:lineRule="exact"/>
        <w:ind w:firstLine="480" w:firstLineChars="200"/>
        <w:jc w:val="left"/>
      </w:pPr>
      <w:r>
        <w:rPr>
          <w:rFonts w:hint="eastAsia" w:asciiTheme="minorEastAsia" w:hAnsiTheme="minorEastAsia" w:cstheme="minorEastAsia"/>
          <w:sz w:val="24"/>
          <w:szCs w:val="24"/>
        </w:rPr>
        <w:t>采购代理机构按招标公告中规定的时间和地点接收投标人递交的投标文件，主持开标会议，邀请投标人参加。投标人不足三家的，不得开标。评标委员会成员不得参加开标活动。</w:t>
      </w:r>
    </w:p>
    <w:p w14:paraId="3D716D0D">
      <w:pPr>
        <w:widowControl/>
        <w:numPr>
          <w:ilvl w:val="1"/>
          <w:numId w:val="12"/>
        </w:num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开标时，由投标人或者其推选的代表检查投标文件的密封情况；经确认无误后，由采购代理机构工作人员当众拆封，宣布投标人名称、投标价格和招标文件规定的需要宣布的其他内容。所有投标唱标完毕，如投标人代表对宣读的“开标一览表”上的内容有异议的，应在获得开标会议主持人同意后当场提出。如确实属于唱标人员宣读错误，经投标人代表核实后，当场予以更正，不属于唱标人员宣读错误的，以单独密封的开标一览表为准。</w:t>
      </w:r>
    </w:p>
    <w:p w14:paraId="064BE4F3">
      <w:pPr>
        <w:widowControl/>
        <w:numPr>
          <w:ilvl w:val="1"/>
          <w:numId w:val="12"/>
        </w:numPr>
        <w:tabs>
          <w:tab w:val="left" w:pos="0"/>
        </w:tabs>
        <w:spacing w:line="500" w:lineRule="exact"/>
        <w:ind w:firstLine="480" w:firstLineChars="200"/>
        <w:jc w:val="left"/>
        <w:rPr>
          <w:rFonts w:asciiTheme="minorEastAsia" w:hAnsiTheme="minorEastAsia" w:cstheme="minorEastAsia"/>
          <w:sz w:val="24"/>
          <w:szCs w:val="24"/>
        </w:rPr>
      </w:pPr>
      <w:r>
        <w:rPr>
          <w:rFonts w:asciiTheme="minorEastAsia" w:hAnsiTheme="minorEastAsia" w:cstheme="minorEastAsia"/>
          <w:sz w:val="24"/>
          <w:szCs w:val="24"/>
        </w:rPr>
        <w:t>代理机构指定专人负责将投标人的名称、投标项目名称、投标价格等</w:t>
      </w:r>
      <w:r>
        <w:rPr>
          <w:rFonts w:hint="eastAsia" w:asciiTheme="minorEastAsia" w:hAnsiTheme="minorEastAsia" w:cstheme="minorEastAsia"/>
          <w:sz w:val="24"/>
          <w:szCs w:val="24"/>
        </w:rPr>
        <w:t>开标过程</w:t>
      </w:r>
      <w:r>
        <w:rPr>
          <w:rFonts w:asciiTheme="minorEastAsia" w:hAnsiTheme="minorEastAsia" w:cstheme="minorEastAsia"/>
          <w:sz w:val="24"/>
          <w:szCs w:val="24"/>
        </w:rPr>
        <w:t>进行记录，</w:t>
      </w:r>
      <w:r>
        <w:rPr>
          <w:rFonts w:hint="eastAsia" w:asciiTheme="minorEastAsia" w:hAnsiTheme="minorEastAsia" w:cstheme="minorEastAsia"/>
          <w:sz w:val="24"/>
          <w:szCs w:val="24"/>
        </w:rPr>
        <w:t>由参加开标的各投标人代表和相关工作人员签字确认，</w:t>
      </w:r>
      <w:r>
        <w:rPr>
          <w:rFonts w:asciiTheme="minorEastAsia" w:hAnsiTheme="minorEastAsia" w:cstheme="minorEastAsia"/>
          <w:sz w:val="24"/>
          <w:szCs w:val="24"/>
        </w:rPr>
        <w:t>并存档备案</w:t>
      </w:r>
      <w:r>
        <w:rPr>
          <w:rFonts w:hint="eastAsia" w:asciiTheme="minorEastAsia" w:hAnsiTheme="minorEastAsia" w:cstheme="minorEastAsia"/>
          <w:sz w:val="24"/>
          <w:szCs w:val="24"/>
        </w:rPr>
        <w:t xml:space="preserve">。投标人未参加开标或未签字确认的，视同认可开标结果。 </w:t>
      </w:r>
    </w:p>
    <w:p w14:paraId="5E596E86">
      <w:pPr>
        <w:widowControl/>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1.4开标时，投标文件中出现下列情况，修正原则为：</w:t>
      </w:r>
    </w:p>
    <w:p w14:paraId="3731294F">
      <w:pPr>
        <w:numPr>
          <w:ilvl w:val="0"/>
          <w:numId w:val="13"/>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投标文件中开标一览表（报价表）内容与投标文件中相应内容不一致的，以开标一览表（报价表）为准；</w:t>
      </w:r>
    </w:p>
    <w:p w14:paraId="7E0A57CB">
      <w:pPr>
        <w:numPr>
          <w:ilvl w:val="0"/>
          <w:numId w:val="13"/>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14:paraId="3A6DB5A2">
      <w:pPr>
        <w:numPr>
          <w:ilvl w:val="0"/>
          <w:numId w:val="13"/>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单价金额小数点或者百分比有明显错位的，以开标一览表的总价为准，并修改单价；</w:t>
      </w:r>
    </w:p>
    <w:p w14:paraId="6694A3C1">
      <w:pPr>
        <w:numPr>
          <w:ilvl w:val="0"/>
          <w:numId w:val="13"/>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14:paraId="6C8E4703">
      <w:pPr>
        <w:numPr>
          <w:ilvl w:val="0"/>
          <w:numId w:val="13"/>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投标文件正本与副本不一致的，以正本为准；</w:t>
      </w:r>
    </w:p>
    <w:p w14:paraId="79BCAE5E">
      <w:pPr>
        <w:numPr>
          <w:ilvl w:val="0"/>
          <w:numId w:val="13"/>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报价金额精确到小数点后两位，不进行四舍五入； </w:t>
      </w:r>
    </w:p>
    <w:p w14:paraId="0F899476">
      <w:pPr>
        <w:numPr>
          <w:ilvl w:val="0"/>
          <w:numId w:val="13"/>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投标文件单独密封递交的开标一览表与正本不一致的，以单独密封递交的开标一览表为准；</w:t>
      </w:r>
    </w:p>
    <w:p w14:paraId="40210297">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同时出现两种以上不一致的，按照前款规定的顺序修正。修正后的报价按照《政府采购货物和服务招标投标管理办法》第五十一条第二款的规定经投标人确认后产生约束力，投标人不确认的，其投标无效。</w:t>
      </w:r>
    </w:p>
    <w:p w14:paraId="68707EBC">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1.5投标人代表对开标过程和开标记录有疑义，以及认为采购人、采购代理机构相关工作人员有需要回避的情形的，应当场提出询问或者回避申请。</w:t>
      </w:r>
    </w:p>
    <w:p w14:paraId="1875730C">
      <w:pPr>
        <w:pStyle w:val="8"/>
        <w:keepNext w:val="0"/>
        <w:keepLines w:val="0"/>
        <w:numPr>
          <w:ilvl w:val="0"/>
          <w:numId w:val="11"/>
        </w:numPr>
        <w:spacing w:line="500" w:lineRule="exact"/>
        <w:ind w:firstLine="562" w:firstLineChars="200"/>
        <w:rPr>
          <w:rFonts w:asciiTheme="minorEastAsia" w:hAnsiTheme="minorEastAsia" w:cstheme="minorEastAsia"/>
          <w:szCs w:val="28"/>
        </w:rPr>
      </w:pPr>
      <w:bookmarkStart w:id="63" w:name="_Toc380336750"/>
      <w:bookmarkStart w:id="64" w:name="_Toc20569"/>
      <w:bookmarkStart w:id="65" w:name="_Toc801"/>
      <w:bookmarkStart w:id="66" w:name="_Toc358364344"/>
      <w:r>
        <w:rPr>
          <w:rFonts w:hint="eastAsia" w:asciiTheme="minorEastAsia" w:hAnsiTheme="minorEastAsia" w:cstheme="minorEastAsia"/>
          <w:szCs w:val="28"/>
        </w:rPr>
        <w:t>评标委员会</w:t>
      </w:r>
      <w:bookmarkEnd w:id="63"/>
      <w:bookmarkEnd w:id="64"/>
      <w:bookmarkEnd w:id="65"/>
      <w:bookmarkEnd w:id="66"/>
    </w:p>
    <w:p w14:paraId="5D1A8226">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w:t>
      </w:r>
      <w:r>
        <w:rPr>
          <w:rFonts w:ascii="宋体" w:hAnsi="宋体" w:cs="宋体"/>
          <w:sz w:val="24"/>
          <w:szCs w:val="24"/>
        </w:rPr>
        <w:t>为</w:t>
      </w:r>
      <w:r>
        <w:rPr>
          <w:rFonts w:hint="eastAsia" w:asciiTheme="minorEastAsia" w:hAnsiTheme="minorEastAsia" w:cstheme="minorEastAsia"/>
          <w:kern w:val="0"/>
          <w:sz w:val="24"/>
          <w:szCs w:val="24"/>
        </w:rPr>
        <w:t>确保评标工作公开、公平、公正，依法成立评标委员会。 评标委员会由采购人代表和评审专家组成，成员人数应当为5人（含）以上单数，其中评审专家不得少于成员总数的三分之二。评标委员会成员应当遵守并履行下列责任和义务：</w:t>
      </w:r>
    </w:p>
    <w:p w14:paraId="56E46E12">
      <w:pPr>
        <w:spacing w:line="500" w:lineRule="exact"/>
        <w:ind w:firstLine="720" w:firstLineChars="300"/>
        <w:jc w:val="left"/>
        <w:rPr>
          <w:rFonts w:ascii="宋体" w:hAnsi="宋体" w:cs="宋体"/>
          <w:sz w:val="24"/>
          <w:szCs w:val="24"/>
        </w:rPr>
      </w:pPr>
      <w:r>
        <w:rPr>
          <w:rFonts w:hint="eastAsia" w:asciiTheme="minorEastAsia" w:hAnsiTheme="minorEastAsia" w:cstheme="minorEastAsia"/>
          <w:kern w:val="0"/>
          <w:sz w:val="24"/>
          <w:szCs w:val="24"/>
        </w:rPr>
        <w:t>2.1.1遵纪守</w:t>
      </w:r>
      <w:r>
        <w:rPr>
          <w:rFonts w:hint="eastAsia" w:ascii="宋体" w:hAnsi="宋体" w:cs="宋体"/>
          <w:sz w:val="24"/>
          <w:szCs w:val="24"/>
        </w:rPr>
        <w:t>法，客</w:t>
      </w:r>
      <w:r>
        <w:rPr>
          <w:rFonts w:ascii="宋体" w:hAnsi="宋体" w:cs="宋体"/>
          <w:sz w:val="24"/>
          <w:szCs w:val="24"/>
        </w:rPr>
        <w:t>观</w:t>
      </w:r>
      <w:r>
        <w:rPr>
          <w:rFonts w:hint="eastAsia" w:ascii="宋体" w:hAnsi="宋体" w:cs="宋体"/>
          <w:sz w:val="24"/>
          <w:szCs w:val="24"/>
        </w:rPr>
        <w:t>、公正、</w:t>
      </w:r>
      <w:r>
        <w:rPr>
          <w:rFonts w:ascii="宋体" w:hAnsi="宋体" w:cs="宋体"/>
          <w:sz w:val="24"/>
          <w:szCs w:val="24"/>
        </w:rPr>
        <w:t>认</w:t>
      </w:r>
      <w:r>
        <w:rPr>
          <w:rFonts w:hint="eastAsia" w:ascii="宋体" w:hAnsi="宋体" w:cs="宋体"/>
          <w:sz w:val="24"/>
          <w:szCs w:val="24"/>
        </w:rPr>
        <w:t>真</w:t>
      </w:r>
      <w:r>
        <w:rPr>
          <w:rFonts w:ascii="宋体" w:hAnsi="宋体" w:cs="宋体"/>
          <w:sz w:val="24"/>
          <w:szCs w:val="24"/>
        </w:rPr>
        <w:t>负责</w:t>
      </w:r>
      <w:r>
        <w:rPr>
          <w:rFonts w:hint="eastAsia" w:ascii="宋体" w:hAnsi="宋体" w:cs="宋体"/>
          <w:sz w:val="24"/>
          <w:szCs w:val="24"/>
        </w:rPr>
        <w:t>地履行</w:t>
      </w:r>
      <w:r>
        <w:rPr>
          <w:rFonts w:ascii="宋体" w:hAnsi="宋体" w:cs="宋体"/>
          <w:sz w:val="24"/>
          <w:szCs w:val="24"/>
        </w:rPr>
        <w:t>职责，审</w:t>
      </w:r>
      <w:r>
        <w:rPr>
          <w:rFonts w:hint="eastAsia" w:ascii="宋体" w:hAnsi="宋体" w:cs="宋体"/>
          <w:sz w:val="24"/>
          <w:szCs w:val="24"/>
        </w:rPr>
        <w:t>查投</w:t>
      </w:r>
      <w:r>
        <w:rPr>
          <w:rFonts w:ascii="宋体" w:hAnsi="宋体" w:cs="宋体"/>
          <w:sz w:val="24"/>
          <w:szCs w:val="24"/>
        </w:rPr>
        <w:t>标</w:t>
      </w:r>
      <w:r>
        <w:rPr>
          <w:rFonts w:hint="eastAsia" w:ascii="宋体" w:hAnsi="宋体" w:cs="宋体"/>
          <w:sz w:val="24"/>
          <w:szCs w:val="24"/>
        </w:rPr>
        <w:t>文件是否符合</w:t>
      </w:r>
      <w:r>
        <w:rPr>
          <w:rFonts w:ascii="宋体" w:hAnsi="宋体" w:cs="宋体"/>
          <w:sz w:val="24"/>
          <w:szCs w:val="24"/>
        </w:rPr>
        <w:t>招标</w:t>
      </w:r>
      <w:r>
        <w:rPr>
          <w:rFonts w:hint="eastAsia" w:ascii="宋体" w:hAnsi="宋体" w:cs="宋体"/>
          <w:sz w:val="24"/>
          <w:szCs w:val="24"/>
        </w:rPr>
        <w:t>文件的要求，并</w:t>
      </w:r>
      <w:r>
        <w:rPr>
          <w:rFonts w:hint="eastAsia" w:ascii="宋体" w:hAnsi="宋体" w:cs="宋体"/>
          <w:sz w:val="24"/>
          <w:szCs w:val="24"/>
          <w:lang w:eastAsia="zh-CN"/>
        </w:rPr>
        <w:t>作出评价</w:t>
      </w:r>
      <w:r>
        <w:rPr>
          <w:rFonts w:hint="eastAsia" w:ascii="宋体" w:hAnsi="宋体" w:cs="宋体"/>
          <w:sz w:val="24"/>
          <w:szCs w:val="24"/>
        </w:rPr>
        <w:t>；</w:t>
      </w:r>
    </w:p>
    <w:p w14:paraId="4E09B8F8">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2.1.2审查、评价投标文件是否符合招标文件的商务、技术等实质性要求；</w:t>
      </w:r>
    </w:p>
    <w:p w14:paraId="1362649C">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2.1.3要求投标人</w:t>
      </w:r>
      <w:r>
        <w:rPr>
          <w:rFonts w:ascii="宋体" w:hAnsi="宋体" w:cs="宋体"/>
          <w:sz w:val="24"/>
          <w:szCs w:val="24"/>
        </w:rPr>
        <w:t>对</w:t>
      </w:r>
      <w:r>
        <w:rPr>
          <w:rFonts w:hint="eastAsia" w:ascii="宋体" w:hAnsi="宋体" w:cs="宋体"/>
          <w:sz w:val="24"/>
          <w:szCs w:val="24"/>
        </w:rPr>
        <w:t>投</w:t>
      </w:r>
      <w:r>
        <w:rPr>
          <w:rFonts w:ascii="宋体" w:hAnsi="宋体" w:cs="宋体"/>
          <w:sz w:val="24"/>
          <w:szCs w:val="24"/>
        </w:rPr>
        <w:t>标</w:t>
      </w:r>
      <w:r>
        <w:rPr>
          <w:rFonts w:hint="eastAsia" w:ascii="宋体" w:hAnsi="宋体" w:cs="宋体"/>
          <w:sz w:val="24"/>
          <w:szCs w:val="24"/>
        </w:rPr>
        <w:t>文件有</w:t>
      </w:r>
      <w:r>
        <w:rPr>
          <w:rFonts w:ascii="宋体" w:hAnsi="宋体" w:cs="宋体"/>
          <w:sz w:val="24"/>
          <w:szCs w:val="24"/>
        </w:rPr>
        <w:t>关</w:t>
      </w:r>
      <w:r>
        <w:rPr>
          <w:rFonts w:hint="eastAsia" w:ascii="宋体" w:hAnsi="宋体" w:cs="宋体"/>
          <w:sz w:val="24"/>
          <w:szCs w:val="24"/>
        </w:rPr>
        <w:t>事</w:t>
      </w:r>
      <w:r>
        <w:rPr>
          <w:rFonts w:ascii="宋体" w:hAnsi="宋体" w:cs="宋体"/>
          <w:sz w:val="24"/>
          <w:szCs w:val="24"/>
        </w:rPr>
        <w:t>项</w:t>
      </w:r>
      <w:r>
        <w:rPr>
          <w:rFonts w:hint="eastAsia" w:ascii="宋体" w:hAnsi="宋体" w:cs="宋体"/>
          <w:sz w:val="24"/>
          <w:szCs w:val="24"/>
        </w:rPr>
        <w:t>作出</w:t>
      </w:r>
      <w:r>
        <w:rPr>
          <w:rFonts w:ascii="宋体" w:hAnsi="宋体" w:cs="宋体"/>
          <w:sz w:val="24"/>
          <w:szCs w:val="24"/>
        </w:rPr>
        <w:t>解释</w:t>
      </w:r>
      <w:r>
        <w:rPr>
          <w:rFonts w:hint="eastAsia" w:ascii="宋体" w:hAnsi="宋体" w:cs="宋体"/>
          <w:sz w:val="24"/>
          <w:szCs w:val="24"/>
        </w:rPr>
        <w:t>或澄清；</w:t>
      </w:r>
    </w:p>
    <w:p w14:paraId="2BB9BEDC">
      <w:pPr>
        <w:spacing w:line="360" w:lineRule="auto"/>
        <w:ind w:firstLine="660" w:firstLineChars="275"/>
        <w:jc w:val="left"/>
        <w:rPr>
          <w:rFonts w:ascii="宋体" w:hAnsi="宋体" w:cs="宋体"/>
          <w:sz w:val="24"/>
          <w:szCs w:val="24"/>
        </w:rPr>
      </w:pPr>
      <w:r>
        <w:rPr>
          <w:rFonts w:hint="eastAsia" w:ascii="宋体" w:hAnsi="宋体" w:cs="宋体"/>
          <w:sz w:val="24"/>
          <w:szCs w:val="24"/>
        </w:rPr>
        <w:t>2.1.4对投标文件进行比较和评价，确定中标候选人名单，</w:t>
      </w:r>
      <w:r>
        <w:rPr>
          <w:rFonts w:ascii="宋体" w:hAnsi="宋体" w:cs="宋体"/>
          <w:sz w:val="24"/>
          <w:szCs w:val="24"/>
        </w:rPr>
        <w:t>对评审</w:t>
      </w:r>
      <w:r>
        <w:rPr>
          <w:rFonts w:hint="eastAsia" w:ascii="宋体" w:hAnsi="宋体" w:cs="宋体"/>
          <w:sz w:val="24"/>
          <w:szCs w:val="24"/>
        </w:rPr>
        <w:t>意</w:t>
      </w:r>
      <w:r>
        <w:rPr>
          <w:rFonts w:ascii="宋体" w:hAnsi="宋体" w:cs="宋体"/>
          <w:sz w:val="24"/>
          <w:szCs w:val="24"/>
        </w:rPr>
        <w:t>见</w:t>
      </w:r>
      <w:r>
        <w:rPr>
          <w:rFonts w:hint="eastAsia" w:ascii="宋体" w:hAnsi="宋体" w:cs="宋体"/>
          <w:sz w:val="24"/>
          <w:szCs w:val="24"/>
        </w:rPr>
        <w:t>承</w:t>
      </w:r>
      <w:r>
        <w:rPr>
          <w:rFonts w:ascii="宋体" w:hAnsi="宋体" w:cs="宋体"/>
          <w:sz w:val="24"/>
          <w:szCs w:val="24"/>
        </w:rPr>
        <w:t>担个</w:t>
      </w:r>
      <w:r>
        <w:rPr>
          <w:rFonts w:hint="eastAsia" w:ascii="宋体" w:hAnsi="宋体" w:cs="宋体"/>
          <w:sz w:val="24"/>
          <w:szCs w:val="24"/>
        </w:rPr>
        <w:t>人</w:t>
      </w:r>
      <w:r>
        <w:rPr>
          <w:rFonts w:ascii="宋体" w:hAnsi="宋体" w:cs="宋体"/>
          <w:sz w:val="24"/>
          <w:szCs w:val="24"/>
        </w:rPr>
        <w:t>责</w:t>
      </w:r>
      <w:r>
        <w:rPr>
          <w:rFonts w:hint="eastAsia" w:ascii="宋体" w:hAnsi="宋体" w:cs="宋体"/>
          <w:sz w:val="24"/>
          <w:szCs w:val="24"/>
        </w:rPr>
        <w:t>任；</w:t>
      </w:r>
    </w:p>
    <w:p w14:paraId="025089BD">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2.1.5</w:t>
      </w:r>
      <w:r>
        <w:rPr>
          <w:rFonts w:ascii="宋体" w:hAnsi="宋体" w:cs="宋体"/>
          <w:sz w:val="24"/>
          <w:szCs w:val="24"/>
        </w:rPr>
        <w:t>对评标过</w:t>
      </w:r>
      <w:r>
        <w:rPr>
          <w:rFonts w:hint="eastAsia" w:ascii="宋体" w:hAnsi="宋体" w:cs="宋体"/>
          <w:sz w:val="24"/>
          <w:szCs w:val="24"/>
        </w:rPr>
        <w:t>程和</w:t>
      </w:r>
      <w:r>
        <w:rPr>
          <w:rFonts w:ascii="宋体" w:hAnsi="宋体" w:cs="宋体"/>
          <w:sz w:val="24"/>
          <w:szCs w:val="24"/>
        </w:rPr>
        <w:t>结</w:t>
      </w:r>
      <w:r>
        <w:rPr>
          <w:rFonts w:hint="eastAsia" w:ascii="宋体" w:hAnsi="宋体" w:cs="宋体"/>
          <w:sz w:val="24"/>
          <w:szCs w:val="24"/>
        </w:rPr>
        <w:t>果以及投标人的商</w:t>
      </w:r>
      <w:r>
        <w:rPr>
          <w:rFonts w:ascii="宋体" w:hAnsi="宋体" w:cs="宋体"/>
          <w:sz w:val="24"/>
          <w:szCs w:val="24"/>
        </w:rPr>
        <w:t>业</w:t>
      </w:r>
      <w:r>
        <w:rPr>
          <w:rFonts w:hint="eastAsia" w:ascii="宋体" w:hAnsi="宋体" w:cs="宋体"/>
          <w:sz w:val="24"/>
          <w:szCs w:val="24"/>
        </w:rPr>
        <w:t>秘密保密；</w:t>
      </w:r>
    </w:p>
    <w:p w14:paraId="3207F825">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2.1.6</w:t>
      </w:r>
      <w:r>
        <w:rPr>
          <w:rFonts w:ascii="宋体" w:hAnsi="宋体" w:cs="宋体"/>
          <w:sz w:val="24"/>
          <w:szCs w:val="24"/>
        </w:rPr>
        <w:t>参</w:t>
      </w:r>
      <w:r>
        <w:rPr>
          <w:rFonts w:hint="eastAsia" w:ascii="宋体" w:hAnsi="宋体" w:cs="宋体"/>
          <w:sz w:val="24"/>
          <w:szCs w:val="24"/>
        </w:rPr>
        <w:t>与</w:t>
      </w:r>
      <w:r>
        <w:rPr>
          <w:rFonts w:ascii="宋体" w:hAnsi="宋体" w:cs="宋体"/>
          <w:sz w:val="24"/>
          <w:szCs w:val="24"/>
        </w:rPr>
        <w:t>评标结</w:t>
      </w:r>
      <w:r>
        <w:rPr>
          <w:rFonts w:hint="eastAsia" w:ascii="宋体" w:hAnsi="宋体" w:cs="宋体"/>
          <w:sz w:val="24"/>
          <w:szCs w:val="24"/>
        </w:rPr>
        <w:t>果</w:t>
      </w:r>
      <w:r>
        <w:rPr>
          <w:rFonts w:ascii="宋体" w:hAnsi="宋体" w:cs="宋体"/>
          <w:sz w:val="24"/>
          <w:szCs w:val="24"/>
        </w:rPr>
        <w:t>报</w:t>
      </w:r>
      <w:r>
        <w:rPr>
          <w:rFonts w:hint="eastAsia" w:ascii="宋体" w:hAnsi="宋体" w:cs="宋体"/>
          <w:sz w:val="24"/>
          <w:szCs w:val="24"/>
        </w:rPr>
        <w:t>告的起草；</w:t>
      </w:r>
    </w:p>
    <w:p w14:paraId="0F18D77A">
      <w:pPr>
        <w:spacing w:line="360" w:lineRule="auto"/>
        <w:ind w:left="420" w:firstLine="240" w:firstLineChars="100"/>
        <w:jc w:val="left"/>
        <w:rPr>
          <w:rFonts w:eastAsia="宋体"/>
        </w:rPr>
      </w:pPr>
      <w:r>
        <w:rPr>
          <w:rFonts w:hint="eastAsia" w:ascii="宋体" w:hAnsi="宋体" w:cs="宋体"/>
          <w:sz w:val="24"/>
          <w:szCs w:val="24"/>
        </w:rPr>
        <w:t>2.1.7配合采</w:t>
      </w:r>
      <w:r>
        <w:rPr>
          <w:rFonts w:ascii="宋体" w:hAnsi="宋体" w:cs="宋体"/>
          <w:sz w:val="24"/>
          <w:szCs w:val="24"/>
        </w:rPr>
        <w:t>购</w:t>
      </w:r>
      <w:r>
        <w:rPr>
          <w:rFonts w:hint="eastAsia" w:ascii="宋体" w:hAnsi="宋体" w:cs="宋体"/>
          <w:sz w:val="24"/>
          <w:szCs w:val="24"/>
        </w:rPr>
        <w:t>人、代理机构答复投标人提出的</w:t>
      </w:r>
      <w:r>
        <w:rPr>
          <w:rFonts w:ascii="宋体" w:hAnsi="宋体" w:cs="宋体"/>
          <w:sz w:val="24"/>
          <w:szCs w:val="24"/>
        </w:rPr>
        <w:t>质</w:t>
      </w:r>
      <w:r>
        <w:rPr>
          <w:rFonts w:hint="eastAsia" w:ascii="宋体" w:hAnsi="宋体" w:cs="宋体"/>
          <w:sz w:val="24"/>
          <w:szCs w:val="24"/>
        </w:rPr>
        <w:t>疑，配合</w:t>
      </w:r>
      <w:r>
        <w:rPr>
          <w:rFonts w:ascii="宋体" w:hAnsi="宋体" w:cs="宋体"/>
          <w:sz w:val="24"/>
          <w:szCs w:val="24"/>
        </w:rPr>
        <w:t>财</w:t>
      </w:r>
      <w:r>
        <w:rPr>
          <w:rFonts w:hint="eastAsia" w:ascii="宋体" w:hAnsi="宋体" w:cs="宋体"/>
          <w:sz w:val="24"/>
          <w:szCs w:val="24"/>
        </w:rPr>
        <w:t>政</w:t>
      </w:r>
      <w:r>
        <w:rPr>
          <w:rFonts w:ascii="宋体" w:hAnsi="宋体" w:cs="宋体"/>
          <w:sz w:val="24"/>
          <w:szCs w:val="24"/>
        </w:rPr>
        <w:t>部门处</w:t>
      </w:r>
      <w:r>
        <w:rPr>
          <w:rFonts w:hint="eastAsia" w:ascii="宋体" w:hAnsi="宋体" w:cs="宋体"/>
          <w:sz w:val="24"/>
          <w:szCs w:val="24"/>
        </w:rPr>
        <w:t>理投</w:t>
      </w:r>
      <w:r>
        <w:rPr>
          <w:rFonts w:ascii="宋体" w:hAnsi="宋体" w:cs="宋体"/>
          <w:sz w:val="24"/>
          <w:szCs w:val="24"/>
        </w:rPr>
        <w:t>诉</w:t>
      </w:r>
      <w:r>
        <w:rPr>
          <w:rFonts w:hint="eastAsia" w:ascii="宋体" w:hAnsi="宋体" w:cs="宋体"/>
          <w:sz w:val="24"/>
          <w:szCs w:val="24"/>
        </w:rPr>
        <w:t>工作；</w:t>
      </w:r>
    </w:p>
    <w:p w14:paraId="19E46ECF">
      <w:pPr>
        <w:spacing w:line="360" w:lineRule="auto"/>
        <w:ind w:firstLine="420" w:firstLineChars="175"/>
        <w:jc w:val="left"/>
        <w:rPr>
          <w:rFonts w:asciiTheme="minorEastAsia" w:hAnsiTheme="minorEastAsia" w:cstheme="minorEastAsia"/>
          <w:kern w:val="0"/>
          <w:sz w:val="24"/>
          <w:szCs w:val="24"/>
        </w:rPr>
      </w:pPr>
      <w:r>
        <w:rPr>
          <w:rFonts w:hint="eastAsia" w:ascii="宋体" w:hAnsi="宋体" w:cs="宋体"/>
          <w:sz w:val="24"/>
          <w:szCs w:val="24"/>
        </w:rPr>
        <w:t xml:space="preserve">2.2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w:t>
      </w:r>
    </w:p>
    <w:p w14:paraId="0F54F110">
      <w:pPr>
        <w:pStyle w:val="8"/>
        <w:numPr>
          <w:ilvl w:val="0"/>
          <w:numId w:val="11"/>
        </w:numPr>
        <w:spacing w:line="500" w:lineRule="exact"/>
        <w:ind w:firstLine="562" w:firstLineChars="200"/>
        <w:rPr>
          <w:rFonts w:asciiTheme="minorEastAsia" w:hAnsiTheme="minorEastAsia" w:cstheme="minorEastAsia"/>
          <w:szCs w:val="28"/>
        </w:rPr>
      </w:pPr>
      <w:bookmarkStart w:id="67" w:name="_Toc28085"/>
      <w:bookmarkStart w:id="68" w:name="_Toc385958808"/>
      <w:bookmarkStart w:id="69" w:name="_Toc27940"/>
      <w:bookmarkStart w:id="70" w:name="_Toc386129876"/>
      <w:r>
        <w:rPr>
          <w:rFonts w:hint="eastAsia" w:asciiTheme="minorEastAsia" w:hAnsiTheme="minorEastAsia" w:cstheme="minorEastAsia"/>
          <w:szCs w:val="28"/>
        </w:rPr>
        <w:t>投标文件初审</w:t>
      </w:r>
      <w:bookmarkEnd w:id="67"/>
      <w:bookmarkEnd w:id="68"/>
      <w:bookmarkEnd w:id="69"/>
      <w:bookmarkEnd w:id="70"/>
    </w:p>
    <w:p w14:paraId="6689D9EE">
      <w:pPr>
        <w:overflowPunct w:val="0"/>
        <w:adjustRightInd w:val="0"/>
        <w:snapToGrid w:val="0"/>
        <w:spacing w:line="500" w:lineRule="exact"/>
        <w:ind w:left="420"/>
        <w:rPr>
          <w:rFonts w:asciiTheme="minorEastAsia" w:hAnsiTheme="minorEastAsia" w:cstheme="minorEastAsia"/>
          <w:kern w:val="0"/>
          <w:sz w:val="24"/>
          <w:szCs w:val="24"/>
        </w:rPr>
      </w:pPr>
      <w:bookmarkStart w:id="71" w:name="_Toc17705"/>
      <w:r>
        <w:rPr>
          <w:rFonts w:hint="eastAsia" w:asciiTheme="minorEastAsia" w:hAnsiTheme="minorEastAsia" w:cstheme="minorEastAsia"/>
          <w:kern w:val="0"/>
          <w:sz w:val="24"/>
          <w:szCs w:val="24"/>
        </w:rPr>
        <w:t xml:space="preserve"> 3.1 投标人的资格性审查</w:t>
      </w:r>
    </w:p>
    <w:p w14:paraId="51B8D177">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按照《中华人民共和国政府采购法》及实施条例和《政府采购货物和服务招标投标管理办法》（中华人民共和国财政部令第87号）的规定，资格审查由采购代理机构或采购人对投标人的资格证明文件进行审查，</w:t>
      </w:r>
      <w:r>
        <w:rPr>
          <w:rFonts w:hint="eastAsia" w:asciiTheme="minorEastAsia" w:hAnsiTheme="minorEastAsia" w:cstheme="minorEastAsia"/>
          <w:b/>
          <w:bCs/>
          <w:kern w:val="0"/>
          <w:sz w:val="24"/>
          <w:szCs w:val="24"/>
        </w:rPr>
        <w:t>投标人应按照招标文件第二部分投标人须知前附表8、资格要求提交资格证明材料，以确保投标人是否具备相应资格。</w:t>
      </w:r>
      <w:r>
        <w:rPr>
          <w:rFonts w:hint="eastAsia" w:asciiTheme="minorEastAsia" w:hAnsiTheme="minorEastAsia" w:cstheme="minorEastAsia"/>
          <w:kern w:val="0"/>
          <w:sz w:val="24"/>
          <w:szCs w:val="24"/>
        </w:rPr>
        <w:t xml:space="preserve">未通过资格审查的投标人不得进入评标，其投标将被认定为无效。 </w:t>
      </w:r>
    </w:p>
    <w:p w14:paraId="0AC73ECC">
      <w:pPr>
        <w:overflowPunct w:val="0"/>
        <w:adjustRightInd w:val="0"/>
        <w:snapToGrid w:val="0"/>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3.2 投标文件符合性审查 </w:t>
      </w:r>
    </w:p>
    <w:p w14:paraId="7C34C872">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依据法律法规和招标文件的规定，由评标委员会对符合资格要求的投标人的投标文件有效性、完整性和对招标文件的响应程度进行符合性审查，以确定是否对招标文件的实质性内容作出响应，下列情况有一项不满足者（但不限于）不得进入下一轮评审：</w:t>
      </w:r>
    </w:p>
    <w:tbl>
      <w:tblPr>
        <w:tblStyle w:val="29"/>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423"/>
        <w:gridCol w:w="8025"/>
      </w:tblGrid>
      <w:tr w14:paraId="27E9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restart"/>
            <w:vAlign w:val="center"/>
          </w:tcPr>
          <w:p w14:paraId="6F8B75FD">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符合性</w:t>
            </w:r>
          </w:p>
          <w:p w14:paraId="6CE2EC7E">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审查</w:t>
            </w:r>
          </w:p>
        </w:tc>
        <w:tc>
          <w:tcPr>
            <w:tcW w:w="423" w:type="dxa"/>
          </w:tcPr>
          <w:p w14:paraId="51FF31D4">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8025" w:type="dxa"/>
            <w:vAlign w:val="top"/>
          </w:tcPr>
          <w:p w14:paraId="7B4C39FF">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投标报价</w:t>
            </w:r>
            <w:r>
              <w:rPr>
                <w:rFonts w:hint="eastAsia" w:asciiTheme="minorEastAsia" w:hAnsiTheme="minorEastAsia" w:cstheme="minorEastAsia"/>
                <w:kern w:val="0"/>
                <w:szCs w:val="21"/>
                <w:lang w:val="en-US" w:eastAsia="zh-CN"/>
              </w:rPr>
              <w:t>是否</w:t>
            </w:r>
            <w:r>
              <w:rPr>
                <w:rFonts w:hint="eastAsia" w:asciiTheme="minorEastAsia" w:hAnsiTheme="minorEastAsia" w:cstheme="minorEastAsia"/>
                <w:kern w:val="0"/>
                <w:szCs w:val="21"/>
              </w:rPr>
              <w:t>超过预算及最高限价</w:t>
            </w:r>
          </w:p>
        </w:tc>
      </w:tr>
      <w:tr w14:paraId="1425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continue"/>
          </w:tcPr>
          <w:p w14:paraId="22641D99">
            <w:pPr>
              <w:overflowPunct w:val="0"/>
              <w:adjustRightInd w:val="0"/>
              <w:snapToGrid w:val="0"/>
              <w:spacing w:line="500" w:lineRule="exact"/>
              <w:rPr>
                <w:rFonts w:asciiTheme="minorEastAsia" w:hAnsiTheme="minorEastAsia" w:cstheme="minorEastAsia"/>
                <w:kern w:val="0"/>
                <w:szCs w:val="21"/>
              </w:rPr>
            </w:pPr>
          </w:p>
        </w:tc>
        <w:tc>
          <w:tcPr>
            <w:tcW w:w="423" w:type="dxa"/>
          </w:tcPr>
          <w:p w14:paraId="5D46D6D4">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8025" w:type="dxa"/>
            <w:vAlign w:val="top"/>
          </w:tcPr>
          <w:p w14:paraId="7278DCC5">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kern w:val="0"/>
                <w:szCs w:val="21"/>
                <w:lang w:val="en-US" w:eastAsia="zh-CN"/>
              </w:rPr>
              <w:t>投标</w:t>
            </w:r>
            <w:r>
              <w:rPr>
                <w:rFonts w:hint="eastAsia" w:ascii="宋体" w:hAnsi="宋体" w:cs="宋体"/>
                <w:kern w:val="0"/>
                <w:szCs w:val="21"/>
              </w:rPr>
              <w:t>文件</w:t>
            </w:r>
            <w:r>
              <w:rPr>
                <w:rFonts w:hint="eastAsia" w:ascii="宋体" w:hAnsi="宋体" w:eastAsia="宋体" w:cs="宋体"/>
                <w:color w:val="auto"/>
                <w:highlight w:val="none"/>
              </w:rPr>
              <w:t>服务期限</w:t>
            </w:r>
            <w:r>
              <w:rPr>
                <w:rFonts w:hint="eastAsia" w:ascii="宋体" w:hAnsi="宋体" w:eastAsia="宋体" w:cs="宋体"/>
                <w:color w:val="auto"/>
                <w:highlight w:val="none"/>
                <w:lang w:val="en-US" w:eastAsia="zh-CN"/>
              </w:rPr>
              <w:t>是否</w:t>
            </w:r>
            <w:r>
              <w:rPr>
                <w:rFonts w:hint="eastAsia" w:ascii="宋体" w:hAnsi="宋体" w:eastAsia="宋体" w:cs="宋体"/>
                <w:color w:val="auto"/>
                <w:highlight w:val="none"/>
              </w:rPr>
              <w:t>满足招标文件要求</w:t>
            </w:r>
          </w:p>
        </w:tc>
      </w:tr>
      <w:tr w14:paraId="1974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continue"/>
          </w:tcPr>
          <w:p w14:paraId="6489CE1C">
            <w:pPr>
              <w:overflowPunct w:val="0"/>
              <w:adjustRightInd w:val="0"/>
              <w:snapToGrid w:val="0"/>
              <w:spacing w:line="500" w:lineRule="exact"/>
              <w:rPr>
                <w:rFonts w:asciiTheme="minorEastAsia" w:hAnsiTheme="minorEastAsia" w:cstheme="minorEastAsia"/>
                <w:kern w:val="0"/>
                <w:szCs w:val="21"/>
              </w:rPr>
            </w:pPr>
          </w:p>
        </w:tc>
        <w:tc>
          <w:tcPr>
            <w:tcW w:w="423" w:type="dxa"/>
          </w:tcPr>
          <w:p w14:paraId="5BA4DAE8">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8025" w:type="dxa"/>
            <w:vAlign w:val="top"/>
          </w:tcPr>
          <w:p w14:paraId="14823C30">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kern w:val="0"/>
                <w:szCs w:val="21"/>
                <w:lang w:val="en-US" w:eastAsia="zh-CN"/>
              </w:rPr>
              <w:t>投标</w:t>
            </w:r>
            <w:r>
              <w:rPr>
                <w:rFonts w:hint="eastAsia" w:ascii="宋体" w:hAnsi="宋体" w:cs="宋体"/>
                <w:kern w:val="0"/>
                <w:szCs w:val="21"/>
              </w:rPr>
              <w:t>文件</w:t>
            </w:r>
            <w:r>
              <w:rPr>
                <w:rFonts w:hint="eastAsia" w:ascii="宋体" w:hAnsi="宋体" w:eastAsia="宋体" w:cs="宋体"/>
                <w:color w:val="auto"/>
                <w:highlight w:val="none"/>
                <w:lang w:val="en-US" w:eastAsia="zh-CN"/>
              </w:rPr>
              <w:t>质保期是否</w:t>
            </w:r>
            <w:r>
              <w:rPr>
                <w:rFonts w:hint="eastAsia" w:ascii="宋体" w:hAnsi="宋体" w:eastAsia="宋体" w:cs="宋体"/>
                <w:color w:val="auto"/>
                <w:highlight w:val="none"/>
              </w:rPr>
              <w:t>满足招标文件要求</w:t>
            </w:r>
          </w:p>
        </w:tc>
      </w:tr>
      <w:tr w14:paraId="01F5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continue"/>
          </w:tcPr>
          <w:p w14:paraId="5C987B2C">
            <w:pPr>
              <w:overflowPunct w:val="0"/>
              <w:adjustRightInd w:val="0"/>
              <w:snapToGrid w:val="0"/>
              <w:spacing w:line="500" w:lineRule="exact"/>
              <w:rPr>
                <w:rFonts w:asciiTheme="minorEastAsia" w:hAnsiTheme="minorEastAsia" w:cstheme="minorEastAsia"/>
                <w:kern w:val="0"/>
                <w:szCs w:val="21"/>
              </w:rPr>
            </w:pPr>
          </w:p>
        </w:tc>
        <w:tc>
          <w:tcPr>
            <w:tcW w:w="423" w:type="dxa"/>
            <w:shd w:val="clear"/>
            <w:vAlign w:val="top"/>
          </w:tcPr>
          <w:p w14:paraId="4C65FAD9">
            <w:pPr>
              <w:overflowPunct w:val="0"/>
              <w:adjustRightInd w:val="0"/>
              <w:snapToGrid w:val="0"/>
              <w:spacing w:line="500" w:lineRule="exac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4</w:t>
            </w:r>
          </w:p>
        </w:tc>
        <w:tc>
          <w:tcPr>
            <w:tcW w:w="8025" w:type="dxa"/>
            <w:vAlign w:val="top"/>
          </w:tcPr>
          <w:p w14:paraId="0097F6FA">
            <w:pPr>
              <w:overflowPunct w:val="0"/>
              <w:adjustRightInd w:val="0"/>
              <w:snapToGrid w:val="0"/>
              <w:spacing w:line="500" w:lineRule="exact"/>
              <w:rPr>
                <w:rFonts w:hint="eastAsia" w:ascii="宋体" w:hAnsi="宋体" w:cs="宋体"/>
                <w:szCs w:val="21"/>
                <w:lang w:eastAsia="zh-CN"/>
              </w:rPr>
            </w:pPr>
            <w:r>
              <w:rPr>
                <w:rFonts w:hint="eastAsia" w:ascii="宋体" w:hAnsi="宋体" w:eastAsia="宋体" w:cs="宋体"/>
                <w:color w:val="000000" w:themeColor="text1"/>
                <w14:textFill>
                  <w14:solidFill>
                    <w14:schemeClr w14:val="tx1"/>
                  </w14:solidFill>
                </w14:textFill>
              </w:rPr>
              <w:t>签</w:t>
            </w:r>
            <w:r>
              <w:rPr>
                <w:rFonts w:hint="eastAsia" w:ascii="宋体" w:hAnsi="宋体" w:eastAsia="宋体" w:cs="宋体"/>
                <w:color w:val="000000" w:themeColor="text1"/>
                <w:lang w:val="en-US" w:eastAsia="zh-CN"/>
                <w14:textFill>
                  <w14:solidFill>
                    <w14:schemeClr w14:val="tx1"/>
                  </w14:solidFill>
                </w14:textFill>
              </w:rPr>
              <w:t>署、盖</w:t>
            </w:r>
            <w:r>
              <w:rPr>
                <w:rFonts w:hint="eastAsia" w:ascii="宋体" w:hAnsi="宋体" w:eastAsia="宋体" w:cs="宋体"/>
                <w:color w:val="000000" w:themeColor="text1"/>
                <w14:textFill>
                  <w14:solidFill>
                    <w14:schemeClr w14:val="tx1"/>
                  </w14:solidFill>
                </w14:textFill>
              </w:rPr>
              <w:t>章</w:t>
            </w:r>
            <w:r>
              <w:rPr>
                <w:rFonts w:hint="eastAsia" w:ascii="宋体" w:hAnsi="宋体" w:eastAsia="宋体" w:cs="宋体"/>
                <w:color w:val="000000" w:themeColor="text1"/>
                <w:lang w:val="en-US" w:eastAsia="zh-CN"/>
                <w14:textFill>
                  <w14:solidFill>
                    <w14:schemeClr w14:val="tx1"/>
                  </w14:solidFill>
                </w14:textFill>
              </w:rPr>
              <w:t>是否</w:t>
            </w:r>
            <w:r>
              <w:rPr>
                <w:rFonts w:hint="eastAsia" w:ascii="宋体" w:hAnsi="宋体" w:eastAsia="宋体" w:cs="宋体"/>
                <w:color w:val="000000" w:themeColor="text1"/>
                <w14:textFill>
                  <w14:solidFill>
                    <w14:schemeClr w14:val="tx1"/>
                  </w14:solidFill>
                </w14:textFill>
              </w:rPr>
              <w:t>符合招标文件要求，且无遗漏。</w:t>
            </w:r>
          </w:p>
        </w:tc>
      </w:tr>
      <w:tr w14:paraId="0D02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continue"/>
          </w:tcPr>
          <w:p w14:paraId="53203068">
            <w:pPr>
              <w:overflowPunct w:val="0"/>
              <w:adjustRightInd w:val="0"/>
              <w:snapToGrid w:val="0"/>
              <w:spacing w:line="500" w:lineRule="exact"/>
              <w:rPr>
                <w:rFonts w:asciiTheme="minorEastAsia" w:hAnsiTheme="minorEastAsia" w:cstheme="minorEastAsia"/>
                <w:kern w:val="0"/>
                <w:szCs w:val="21"/>
              </w:rPr>
            </w:pPr>
          </w:p>
        </w:tc>
        <w:tc>
          <w:tcPr>
            <w:tcW w:w="423" w:type="dxa"/>
            <w:shd w:val="clear"/>
            <w:vAlign w:val="top"/>
          </w:tcPr>
          <w:p w14:paraId="40B8A508">
            <w:pPr>
              <w:overflowPunct w:val="0"/>
              <w:adjustRightInd w:val="0"/>
              <w:snapToGrid w:val="0"/>
              <w:spacing w:line="500" w:lineRule="exact"/>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5</w:t>
            </w:r>
          </w:p>
        </w:tc>
        <w:tc>
          <w:tcPr>
            <w:tcW w:w="8025" w:type="dxa"/>
            <w:vAlign w:val="top"/>
          </w:tcPr>
          <w:p w14:paraId="0CA280EE">
            <w:pPr>
              <w:overflowPunct w:val="0"/>
              <w:adjustRightInd w:val="0"/>
              <w:snapToGrid w:val="0"/>
              <w:spacing w:line="500" w:lineRule="exact"/>
              <w:rPr>
                <w:rFonts w:hint="eastAsia" w:ascii="宋体" w:hAnsi="宋体" w:cs="宋体"/>
                <w:szCs w:val="21"/>
                <w:lang w:eastAsia="zh-CN"/>
              </w:rPr>
            </w:pPr>
            <w:r>
              <w:rPr>
                <w:rFonts w:hint="eastAsia" w:ascii="宋体" w:hAnsi="宋体" w:eastAsia="宋体" w:cs="宋体"/>
                <w:color w:val="000000" w:themeColor="text1"/>
                <w14:textFill>
                  <w14:solidFill>
                    <w14:schemeClr w14:val="tx1"/>
                  </w14:solidFill>
                </w14:textFill>
              </w:rPr>
              <w:t>投标文件有效期</w:t>
            </w:r>
            <w:r>
              <w:rPr>
                <w:rFonts w:hint="eastAsia" w:ascii="宋体" w:hAnsi="宋体" w:eastAsia="宋体" w:cs="宋体"/>
                <w:color w:val="000000" w:themeColor="text1"/>
                <w:lang w:val="en-US" w:eastAsia="zh-CN"/>
                <w14:textFill>
                  <w14:solidFill>
                    <w14:schemeClr w14:val="tx1"/>
                  </w14:solidFill>
                </w14:textFill>
              </w:rPr>
              <w:t>是否</w:t>
            </w:r>
            <w:r>
              <w:rPr>
                <w:rFonts w:hint="eastAsia" w:ascii="宋体" w:hAnsi="宋体" w:eastAsia="宋体" w:cs="宋体"/>
                <w:color w:val="000000" w:themeColor="text1"/>
                <w14:textFill>
                  <w14:solidFill>
                    <w14:schemeClr w14:val="tx1"/>
                  </w14:solidFill>
                </w14:textFill>
              </w:rPr>
              <w:t>符合招标文件的要求</w:t>
            </w:r>
          </w:p>
        </w:tc>
      </w:tr>
      <w:tr w14:paraId="7F26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continue"/>
          </w:tcPr>
          <w:p w14:paraId="392326D7">
            <w:pPr>
              <w:overflowPunct w:val="0"/>
              <w:adjustRightInd w:val="0"/>
              <w:snapToGrid w:val="0"/>
              <w:spacing w:line="500" w:lineRule="exact"/>
              <w:rPr>
                <w:rFonts w:asciiTheme="minorEastAsia" w:hAnsiTheme="minorEastAsia" w:cstheme="minorEastAsia"/>
                <w:kern w:val="0"/>
                <w:szCs w:val="21"/>
              </w:rPr>
            </w:pPr>
          </w:p>
        </w:tc>
        <w:tc>
          <w:tcPr>
            <w:tcW w:w="423" w:type="dxa"/>
            <w:shd w:val="clear"/>
            <w:vAlign w:val="top"/>
          </w:tcPr>
          <w:p w14:paraId="01F941CB">
            <w:pPr>
              <w:overflowPunct w:val="0"/>
              <w:adjustRightInd w:val="0"/>
              <w:snapToGrid w:val="0"/>
              <w:spacing w:line="500" w:lineRule="exac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6</w:t>
            </w:r>
          </w:p>
        </w:tc>
        <w:tc>
          <w:tcPr>
            <w:tcW w:w="8025" w:type="dxa"/>
            <w:vAlign w:val="top"/>
          </w:tcPr>
          <w:p w14:paraId="7CFDB029">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szCs w:val="21"/>
                <w:lang w:eastAsia="zh-CN"/>
              </w:rPr>
              <w:t>是否响应商务条款要求或增加了采购人难以接受的条款</w:t>
            </w:r>
          </w:p>
        </w:tc>
      </w:tr>
      <w:tr w14:paraId="77B3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1" w:type="dxa"/>
            <w:vMerge w:val="continue"/>
          </w:tcPr>
          <w:p w14:paraId="42D30373">
            <w:pPr>
              <w:overflowPunct w:val="0"/>
              <w:adjustRightInd w:val="0"/>
              <w:snapToGrid w:val="0"/>
              <w:spacing w:line="500" w:lineRule="exact"/>
              <w:rPr>
                <w:rFonts w:asciiTheme="minorEastAsia" w:hAnsiTheme="minorEastAsia" w:cstheme="minorEastAsia"/>
                <w:kern w:val="0"/>
                <w:szCs w:val="21"/>
              </w:rPr>
            </w:pPr>
          </w:p>
        </w:tc>
        <w:tc>
          <w:tcPr>
            <w:tcW w:w="423" w:type="dxa"/>
          </w:tcPr>
          <w:p w14:paraId="1D99908A">
            <w:pPr>
              <w:overflowPunct w:val="0"/>
              <w:adjustRightInd w:val="0"/>
              <w:snapToGrid w:val="0"/>
              <w:spacing w:line="500" w:lineRule="exact"/>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7</w:t>
            </w:r>
          </w:p>
        </w:tc>
        <w:tc>
          <w:tcPr>
            <w:tcW w:w="8025" w:type="dxa"/>
            <w:vAlign w:val="top"/>
          </w:tcPr>
          <w:p w14:paraId="2B506E43">
            <w:pPr>
              <w:overflowPunct w:val="0"/>
              <w:adjustRightInd w:val="0"/>
              <w:snapToGrid w:val="0"/>
              <w:spacing w:line="500" w:lineRule="exact"/>
              <w:rPr>
                <w:rFonts w:asciiTheme="minorEastAsia" w:hAnsiTheme="minorEastAsia" w:cstheme="minorEastAsia"/>
                <w:kern w:val="0"/>
                <w:szCs w:val="21"/>
              </w:rPr>
            </w:pPr>
            <w:r>
              <w:rPr>
                <w:rFonts w:hint="eastAsia" w:ascii="宋体" w:hAnsi="宋体" w:eastAsia="宋体" w:cs="宋体"/>
                <w:color w:val="auto"/>
                <w:highlight w:val="none"/>
              </w:rPr>
              <w:t>是否符合法律法规和采购文件规定的其他实质性要求</w:t>
            </w:r>
          </w:p>
        </w:tc>
      </w:tr>
    </w:tbl>
    <w:p w14:paraId="3F0DCA7F">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3.3 经过对投标人及投标文件审查，出现下列情况者（但不限于），视为未响应招标文件实质性要求，其投标文件按无效投标处理：</w:t>
      </w:r>
    </w:p>
    <w:p w14:paraId="1DCA3374">
      <w:pPr>
        <w:numPr>
          <w:ilvl w:val="0"/>
          <w:numId w:val="14"/>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投标人的投标报价超过采购预算或者最高限价； </w:t>
      </w:r>
    </w:p>
    <w:p w14:paraId="670C6243">
      <w:pPr>
        <w:numPr>
          <w:ilvl w:val="0"/>
          <w:numId w:val="14"/>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投标人未经过正常渠道购买招标文件，或投标人名称与购买招标文件时登记的投标人名称不符的；</w:t>
      </w:r>
    </w:p>
    <w:p w14:paraId="3CC32860">
      <w:pPr>
        <w:numPr>
          <w:ilvl w:val="0"/>
          <w:numId w:val="14"/>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投标文件未按招标文件要求签署、盖章的；无投标有效期或有效期达不到招标文件要求的；</w:t>
      </w:r>
    </w:p>
    <w:p w14:paraId="3D502E57">
      <w:pPr>
        <w:numPr>
          <w:ilvl w:val="0"/>
          <w:numId w:val="14"/>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投标人未按照招标文件投标保证金的要求缴纳或投标保证金的交付单位和投标人的名称不一致，视为无效投标；</w:t>
      </w:r>
    </w:p>
    <w:p w14:paraId="5C3ABA58">
      <w:pPr>
        <w:numPr>
          <w:ilvl w:val="0"/>
          <w:numId w:val="14"/>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投标人针对同一项目递交两份或多份内容不同的投标文件，未书面声明哪一份是有效的或出现选择性报价的；</w:t>
      </w:r>
    </w:p>
    <w:p w14:paraId="0EE701D2">
      <w:pPr>
        <w:numPr>
          <w:ilvl w:val="0"/>
          <w:numId w:val="14"/>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投标人未按招标文件要求提供产品的技术参数及产品供货渠道不明确的；</w:t>
      </w:r>
    </w:p>
    <w:p w14:paraId="5CFAD57F">
      <w:pPr>
        <w:numPr>
          <w:ilvl w:val="0"/>
          <w:numId w:val="14"/>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人的报价明显低于其他通过符合性审查投标人的报价，有可能影响货物质量或者不能诚信履约的，且不能按照评标委员会要求在评标现场合理的时间内提供书面说明及相关证明材料且证明其报价合理性的；</w:t>
      </w:r>
    </w:p>
    <w:p w14:paraId="19DD4404">
      <w:pPr>
        <w:numPr>
          <w:ilvl w:val="0"/>
          <w:numId w:val="14"/>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经评标委员会一致认定为虚假应标的；</w:t>
      </w:r>
    </w:p>
    <w:p w14:paraId="1B8B4D0F">
      <w:pPr>
        <w:numPr>
          <w:ilvl w:val="0"/>
          <w:numId w:val="14"/>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投标报价出现漏项或货物数量与要求不符的；</w:t>
      </w:r>
    </w:p>
    <w:p w14:paraId="79F587A2">
      <w:pPr>
        <w:numPr>
          <w:ilvl w:val="0"/>
          <w:numId w:val="14"/>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经评标委员会一致认定投标货物的技术参数、性能指标与招标文件要求出现重大负偏差的；或者提供虚假证明（包括第三方的虚假证明），除按无效文件处理外，还将按照政府采购法的有关规定进行处罚；</w:t>
      </w:r>
    </w:p>
    <w:p w14:paraId="4D258D12">
      <w:pPr>
        <w:numPr>
          <w:ilvl w:val="0"/>
          <w:numId w:val="14"/>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投标文件与招标文件在商务要求条款不一致或附加了采购人不能接受的附加条件或条款的；</w:t>
      </w:r>
    </w:p>
    <w:p w14:paraId="1D7C6FC0">
      <w:pPr>
        <w:numPr>
          <w:ilvl w:val="0"/>
          <w:numId w:val="14"/>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如澄清、补正、说明的内容与投标文件内容有重大相悖或矛盾，将被认定为无效投标；</w:t>
      </w:r>
    </w:p>
    <w:p w14:paraId="3AC3F957">
      <w:pPr>
        <w:numPr>
          <w:ilvl w:val="0"/>
          <w:numId w:val="14"/>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招标文件规定的其他投标无效的情形。</w:t>
      </w:r>
    </w:p>
    <w:p w14:paraId="5FB11C43">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3.4投标人有下列情形之一的，视为投标人串通投标，其投标无效：</w:t>
      </w:r>
    </w:p>
    <w:p w14:paraId="001D5986">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（1）不同投标人的投标文件由同一单位或者个人编制；</w:t>
      </w:r>
    </w:p>
    <w:p w14:paraId="5A0D4D60">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（2）不同投标人委托同一单位或者个人办理投标事宜；</w:t>
      </w:r>
    </w:p>
    <w:p w14:paraId="4F97C2E8">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（3）不同投标人的投标文件载明的项目管理成员或者联系人员为同一人；</w:t>
      </w:r>
    </w:p>
    <w:p w14:paraId="051903CF">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（4）不同投标人的投标文件异常一致或者投标报价呈规律性差异；</w:t>
      </w:r>
    </w:p>
    <w:p w14:paraId="05AB2096">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（5）不同投标人的投标文件相互混装；</w:t>
      </w:r>
    </w:p>
    <w:p w14:paraId="3DFC5C23">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（6）不同投标人的投标保证金从同一单位或者个人的账户转出。</w:t>
      </w:r>
    </w:p>
    <w:p w14:paraId="1B10E1A6">
      <w:pPr>
        <w:spacing w:line="500" w:lineRule="exact"/>
        <w:ind w:firstLine="420" w:firstLineChars="175"/>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3.5 如出现对招标文件作出实质性响应的投标人或者合格投标人不足三家的情况，不得评标。</w:t>
      </w:r>
    </w:p>
    <w:p w14:paraId="2075D376">
      <w:pPr>
        <w:spacing w:line="500" w:lineRule="exact"/>
        <w:ind w:firstLine="422" w:firstLineChars="175"/>
        <w:rPr>
          <w:rFonts w:asciiTheme="minorEastAsia" w:hAnsiTheme="minorEastAsia" w:cstheme="minorEastAsia"/>
          <w:b/>
          <w:bCs/>
          <w:sz w:val="24"/>
          <w:szCs w:val="24"/>
        </w:rPr>
      </w:pPr>
      <w:r>
        <w:rPr>
          <w:rFonts w:hint="eastAsia" w:asciiTheme="minorEastAsia" w:hAnsiTheme="minorEastAsia" w:cstheme="minorEastAsia"/>
          <w:b/>
          <w:bCs/>
          <w:sz w:val="24"/>
          <w:szCs w:val="24"/>
        </w:rPr>
        <w:t>3.6根据《政府采购货物和服务招标投标管理办法》相关规定，单一产品采购项目提供相同品牌产品或非单一产品采购项目多家投标人提供的核心产品品牌相同的且通过资格审查、符合性审查的不同投标人参加同一合同项下投标的，按一家投标人计算，评审后得分最高的同品牌投标人获得中标候选人推荐资格；评审得分相同的，由采购人或者采购人委托评标委员会按照报价得分最高的方式确定一个投标人获得中标候选人推荐资格。</w:t>
      </w:r>
    </w:p>
    <w:p w14:paraId="006A291F">
      <w:pPr>
        <w:spacing w:line="500" w:lineRule="exact"/>
        <w:ind w:firstLine="420" w:firstLineChars="175"/>
        <w:rPr>
          <w:rFonts w:asciiTheme="minorEastAsia" w:hAnsiTheme="minorEastAsia" w:cstheme="minorEastAsia"/>
          <w:sz w:val="24"/>
          <w:szCs w:val="24"/>
        </w:rPr>
      </w:pPr>
      <w:r>
        <w:rPr>
          <w:rFonts w:hint="eastAsia" w:asciiTheme="minorEastAsia" w:hAnsiTheme="minorEastAsia" w:cstheme="minorEastAsia"/>
          <w:sz w:val="24"/>
          <w:szCs w:val="24"/>
        </w:rPr>
        <w:t>4、投标文件澄清</w:t>
      </w:r>
      <w:bookmarkEnd w:id="71"/>
    </w:p>
    <w:p w14:paraId="7409C068">
      <w:pPr>
        <w:overflowPunct w:val="0"/>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在评标期间,采购代理机构可根据评标委员会对其投标文件有疑义不清楚的内容，要求投标人对其投标文件进行澄清。</w:t>
      </w:r>
    </w:p>
    <w:p w14:paraId="0A09ADB6">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4.2 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投标人将自行承担评标委员会视其投标无效的风险。 </w:t>
      </w:r>
    </w:p>
    <w:p w14:paraId="38CD851A">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4.3 如评标委员会一致认为某个投标人的报价明显不合理，有降低质量、不能诚信履行的可能时，评标委员会有权决定是否通知投标人限期进行书面解释或提供相关证明材料。若已要求，而该投标人在规定期限内未做出解释、做出的解释不合理或不能提供证明材料的，评标委员会有权拒绝该投标。</w:t>
      </w:r>
    </w:p>
    <w:p w14:paraId="2D5C99C8">
      <w:pPr>
        <w:pStyle w:val="8"/>
        <w:numPr>
          <w:ilvl w:val="0"/>
          <w:numId w:val="11"/>
        </w:numPr>
      </w:pPr>
      <w:bookmarkStart w:id="72" w:name="_Toc8353"/>
      <w:r>
        <w:rPr>
          <w:rFonts w:hint="eastAsia"/>
        </w:rPr>
        <w:t>评标</w:t>
      </w:r>
      <w:bookmarkEnd w:id="72"/>
    </w:p>
    <w:p w14:paraId="52342DB0">
      <w:pPr>
        <w:spacing w:line="500" w:lineRule="exact"/>
        <w:ind w:firstLine="480" w:firstLineChars="200"/>
        <w:jc w:val="left"/>
        <w:rPr>
          <w:rFonts w:asciiTheme="minorEastAsia" w:hAnsiTheme="minorEastAsia" w:cstheme="minorEastAsia"/>
          <w:sz w:val="24"/>
          <w:szCs w:val="24"/>
        </w:rPr>
      </w:pPr>
      <w:bookmarkStart w:id="73" w:name="_Toc12947"/>
      <w:r>
        <w:rPr>
          <w:rFonts w:hint="eastAsia" w:asciiTheme="minorEastAsia" w:hAnsiTheme="minorEastAsia" w:cstheme="minorEastAsia"/>
          <w:sz w:val="24"/>
          <w:szCs w:val="24"/>
        </w:rPr>
        <w:t>4.1评标委员会有权对在开标、评标过程中出现的一切问题，根据《中华人民共和国政府采购法》和《政府采购货物和服务招标投标管理办法》的条款，本着公开、公平、公正的原则进行处理。</w:t>
      </w:r>
    </w:p>
    <w:p w14:paraId="2F705B59">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4.2采用综合评分法：采取逐项分步评审方式，每一步评审不符合者，不进入下一步评审，全部评审合格的投标人由评标委员会按照公开招标文件中第四部分评分标准规定的各项因素进行比较、自主打分、综合评审。评标委员会将评审得分汇总后，按评标总得分由高到低汇总排序，推荐3名中标候选人；若有两个或两个以上投标人得分相同，投标人名次按报价得分高低排序；得分且投标报价相同的，按技术指标优劣顺序排列，并填报评标报告。</w:t>
      </w:r>
    </w:p>
    <w:p w14:paraId="2CE670E5">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4.3评标委员会只对实质上响应招标文件的投标进行评价和比较；评审应严格按照招标文件的要求和条件进行；具体评审原则和中标条件详见招标文件第四部分“评审办法”。</w:t>
      </w:r>
    </w:p>
    <w:p w14:paraId="319D3BAB">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4.4评标委员会成员对需要共同认定的事项存在争议的，应当按照少数服从多数的原则作出结论。持不同意见的评标委员会成员应当在评标报告上签署不同意见及理由，否则视为同意评标报告。</w:t>
      </w:r>
    </w:p>
    <w:p w14:paraId="7D0A38BF">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4.5 评标结果汇总完成后，除下列情形外，任何人不得修改评标结果：</w:t>
      </w:r>
    </w:p>
    <w:p w14:paraId="7A7BDAC9">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（一）分值汇总计算错误的；</w:t>
      </w:r>
    </w:p>
    <w:p w14:paraId="0BF4C6CB">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（二）分项评分超出评分标准范围的；</w:t>
      </w:r>
    </w:p>
    <w:p w14:paraId="3F62B333">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（三）评标委员会成员对客观评审因素评分不一致的；</w:t>
      </w:r>
    </w:p>
    <w:p w14:paraId="427B3BD3">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（四）经评标委员会认定评分畸高、畸低的。</w:t>
      </w:r>
    </w:p>
    <w:p w14:paraId="5EF0C02B">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C528717">
      <w:pPr>
        <w:pStyle w:val="8"/>
        <w:numPr>
          <w:ilvl w:val="0"/>
          <w:numId w:val="11"/>
        </w:numPr>
      </w:pPr>
      <w:r>
        <w:rPr>
          <w:rFonts w:hint="eastAsia"/>
        </w:rPr>
        <w:t>定标</w:t>
      </w:r>
      <w:bookmarkEnd w:id="73"/>
    </w:p>
    <w:p w14:paraId="74A1F5B0">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5.1代理机构在评标结束后1个工作日内将评标报告送达采购单位，采购单位在收到评标报告后4个工作日内，按照评标报告中推荐的中标候选人顺序确认第一中标候选人为中标单位，同时书面复函代理机构；</w:t>
      </w:r>
    </w:p>
    <w:p w14:paraId="716ACA11">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5.2代理机构收到采购单位“定标复函”后1个工作日内，在财政部门指定的政府采购信息媒体上发布中标公告，并向中标人发出“中标通知书”。</w:t>
      </w:r>
    </w:p>
    <w:p w14:paraId="784A5E5A">
      <w:pPr>
        <w:pStyle w:val="8"/>
        <w:ind w:left="420"/>
      </w:pPr>
      <w:r>
        <w:rPr>
          <w:rFonts w:hint="eastAsia"/>
        </w:rPr>
        <w:t>6、政府采购信用融资</w:t>
      </w:r>
    </w:p>
    <w:p w14:paraId="547EAF84">
      <w:pPr>
        <w:spacing w:line="500" w:lineRule="exact"/>
        <w:ind w:firstLine="480" w:firstLineChars="200"/>
        <w:jc w:val="left"/>
        <w:rPr>
          <w:rFonts w:hint="eastAsia" w:ascii="宋体" w:hAnsi="宋体" w:eastAsia="宋体" w:cs="宋体"/>
          <w:sz w:val="24"/>
          <w:szCs w:val="24"/>
          <w:lang w:eastAsia="zh-CN"/>
        </w:rPr>
      </w:pPr>
      <w:r>
        <w:rPr>
          <w:rFonts w:ascii="宋体" w:hAnsi="宋体" w:eastAsia="宋体" w:cs="宋体"/>
          <w:sz w:val="24"/>
          <w:szCs w:val="24"/>
        </w:rPr>
        <w:t>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具体名单见网址：</w:t>
      </w:r>
      <w:r>
        <w:rPr>
          <w:rFonts w:ascii="宋体" w:hAnsi="宋体" w:eastAsia="宋体" w:cs="宋体"/>
          <w:sz w:val="24"/>
          <w:szCs w:val="24"/>
        </w:rPr>
        <w:drawing>
          <wp:inline distT="0" distB="0" distL="114300" distR="114300">
            <wp:extent cx="190500" cy="142875"/>
            <wp:effectExtent l="0" t="0" r="0" b="9525"/>
            <wp:docPr id="1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IMG_256"/>
                    <pic:cNvPicPr>
                      <a:picLocks noChangeAspect="1"/>
                    </pic:cNvPicPr>
                  </pic:nvPicPr>
                  <pic:blipFill>
                    <a:blip r:embed="rId25" cstate="print"/>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http://xaczj.xa.gov.cn/zfcg/cgfg/5db9054565cbd804f69e97e0.html中《西安市财政局关于进一步做好政府采购信用担保及信用融资工作有关事宜的通知》）。</w:t>
      </w:r>
    </w:p>
    <w:p w14:paraId="5B6803DF">
      <w:pPr>
        <w:spacing w:line="500" w:lineRule="exact"/>
        <w:ind w:firstLine="480" w:firstLineChars="200"/>
        <w:jc w:val="left"/>
        <w:rPr>
          <w:rFonts w:asciiTheme="minorEastAsia" w:hAnsiTheme="minorEastAsia" w:cstheme="minorEastAsia"/>
          <w:sz w:val="24"/>
          <w:szCs w:val="24"/>
        </w:rPr>
      </w:pPr>
      <w:r>
        <w:rPr>
          <w:rFonts w:ascii="宋体" w:hAnsi="宋体" w:eastAsia="宋体" w:cs="宋体"/>
          <w:sz w:val="24"/>
          <w:szCs w:val="24"/>
        </w:rPr>
        <w:t>投标供应商在缴纳投标保证金及中标供应商缴纳履约保证金时可自愿选择通过担保机构保函的形式缴纳；中标供应商如果需要融资贷款服务的，可凭中标通知书、政府采购合同等相关资料，按照实施方案规定的程序申请办理，具体规定</w:t>
      </w:r>
      <w:r>
        <w:rPr>
          <w:rFonts w:hint="eastAsia" w:ascii="宋体" w:hAnsi="宋体" w:eastAsia="宋体" w:cs="宋体"/>
          <w:sz w:val="24"/>
          <w:szCs w:val="24"/>
          <w:lang w:eastAsia="zh-CN"/>
        </w:rPr>
        <w:t>可登录</w:t>
      </w:r>
      <w:r>
        <w:rPr>
          <w:rFonts w:ascii="宋体" w:hAnsi="宋体" w:eastAsia="宋体" w:cs="宋体"/>
          <w:sz w:val="24"/>
          <w:szCs w:val="24"/>
        </w:rPr>
        <w:t>西安市财政局网站(</w:t>
      </w:r>
      <w:r>
        <w:rPr>
          <w:rFonts w:ascii="宋体" w:hAnsi="宋体" w:eastAsia="宋体" w:cs="宋体"/>
          <w:sz w:val="24"/>
          <w:szCs w:val="24"/>
        </w:rPr>
        <w:drawing>
          <wp:inline distT="0" distB="0" distL="114300" distR="114300">
            <wp:extent cx="190500" cy="142875"/>
            <wp:effectExtent l="0" t="0" r="0" b="9525"/>
            <wp:docPr id="1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57"/>
                    <pic:cNvPicPr>
                      <a:picLocks noChangeAspect="1"/>
                    </pic:cNvPicPr>
                  </pic:nvPicPr>
                  <pic:blipFill>
                    <a:blip r:embed="rId25" cstate="print"/>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http://xaczj.xa.gov.cn/)政府采购专栏中查询了解。</w:t>
      </w:r>
    </w:p>
    <w:p w14:paraId="11E7C321">
      <w:pPr>
        <w:pStyle w:val="13"/>
      </w:pPr>
    </w:p>
    <w:p w14:paraId="0C752274">
      <w:pPr>
        <w:pStyle w:val="4"/>
      </w:pPr>
      <w:bookmarkStart w:id="74" w:name="_Toc3364"/>
      <w:bookmarkStart w:id="75" w:name="_Toc19972"/>
      <w:bookmarkStart w:id="76" w:name="_Toc25308"/>
      <w:bookmarkStart w:id="77" w:name="_Toc20993"/>
      <w:r>
        <w:rPr>
          <w:rFonts w:hint="eastAsia"/>
        </w:rPr>
        <w:t>六、签订合同</w:t>
      </w:r>
      <w:bookmarkEnd w:id="74"/>
      <w:bookmarkEnd w:id="75"/>
      <w:bookmarkEnd w:id="76"/>
      <w:bookmarkEnd w:id="77"/>
    </w:p>
    <w:p w14:paraId="2DF3DE56">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1、中标后，中标人与采购人洽谈合同条款，并签订供货合同，同时送代理机构归档，招标文件及中标人的投标文件均作为合同的组成部分。</w:t>
      </w:r>
    </w:p>
    <w:p w14:paraId="548719D8">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2、所签订的合同不得对招标文件和中标人投标文件作实质性修改。</w:t>
      </w:r>
    </w:p>
    <w:p w14:paraId="69885D54">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3、招标文件、中标人的投标文件及澄清文件等，均作为合同的附件，是签订合同的依据。</w:t>
      </w:r>
    </w:p>
    <w:p w14:paraId="3420E481">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4、根据需要，代理机构应协助采购人监督、协调和处理履约过程中出现的问题。</w:t>
      </w:r>
    </w:p>
    <w:p w14:paraId="66E6D192">
      <w:pPr>
        <w:spacing w:line="360" w:lineRule="auto"/>
        <w:ind w:firstLine="480"/>
        <w:jc w:val="left"/>
        <w:rPr>
          <w:rFonts w:asciiTheme="minorEastAsia" w:hAnsiTheme="minorEastAsia" w:cstheme="minorEastAsia"/>
          <w:sz w:val="24"/>
          <w:szCs w:val="24"/>
        </w:rPr>
      </w:pPr>
      <w:r>
        <w:rPr>
          <w:rFonts w:hint="eastAsia" w:asciiTheme="minorEastAsia" w:hAnsiTheme="minorEastAsia" w:cstheme="minorEastAsia"/>
          <w:sz w:val="24"/>
          <w:szCs w:val="24"/>
        </w:rPr>
        <w:t>5、西安市财政局政府采购管理处在合同履行期间以及履行期后，可以随时检查项目的执行情况，对采购标准、采购内容进行调查核实，并对发现的问题进行处理。</w:t>
      </w:r>
    </w:p>
    <w:p w14:paraId="78C8F036">
      <w:pPr>
        <w:pStyle w:val="4"/>
      </w:pPr>
      <w:bookmarkStart w:id="78" w:name="_Toc2796"/>
      <w:bookmarkStart w:id="79" w:name="_Toc26132"/>
      <w:bookmarkStart w:id="80" w:name="_Toc28110"/>
      <w:bookmarkStart w:id="81" w:name="_Toc13574"/>
      <w:r>
        <w:rPr>
          <w:rFonts w:hint="eastAsia"/>
        </w:rPr>
        <w:t>七、代理服务费</w:t>
      </w:r>
      <w:bookmarkEnd w:id="78"/>
      <w:bookmarkEnd w:id="79"/>
      <w:bookmarkEnd w:id="80"/>
      <w:bookmarkEnd w:id="81"/>
    </w:p>
    <w:p w14:paraId="58CAAEBF">
      <w:pPr>
        <w:spacing w:line="360" w:lineRule="auto"/>
        <w:ind w:firstLine="480" w:firstLineChars="200"/>
        <w:jc w:val="left"/>
        <w:rPr>
          <w:rFonts w:asciiTheme="minorEastAsia" w:hAnsiTheme="minorEastAsia" w:cstheme="minorEastAsia"/>
          <w:sz w:val="24"/>
          <w:szCs w:val="24"/>
        </w:rPr>
      </w:pPr>
      <w:r>
        <w:rPr>
          <w:rFonts w:hint="eastAsia" w:ascii="宋体" w:hAnsi="宋体" w:cs="宋体"/>
          <w:sz w:val="24"/>
          <w:szCs w:val="24"/>
        </w:rPr>
        <w:t>以本采购项目中标价为基数，参照国家计委关于印发《招标代理服务收费管理暂行办法》的通知（计价格[2002]1980号）和发改办价格[2003]857号规定收取</w:t>
      </w:r>
      <w:r>
        <w:rPr>
          <w:rFonts w:hint="eastAsia" w:ascii="宋体" w:hAnsi="宋体" w:cs="宋体"/>
          <w:sz w:val="24"/>
          <w:szCs w:val="24"/>
          <w:lang w:eastAsia="zh-CN"/>
        </w:rPr>
        <w:t>，</w:t>
      </w:r>
      <w:r>
        <w:rPr>
          <w:rFonts w:hint="eastAsia" w:ascii="宋体" w:hAnsi="宋体" w:cs="宋体"/>
          <w:sz w:val="24"/>
          <w:szCs w:val="24"/>
          <w:lang w:val="en-US" w:eastAsia="zh-CN"/>
        </w:rPr>
        <w:t>不足6000元的按6000元计取</w:t>
      </w:r>
      <w:r>
        <w:rPr>
          <w:rFonts w:hint="eastAsia" w:asciiTheme="minorEastAsia" w:hAnsiTheme="minorEastAsia" w:cstheme="minorEastAsia"/>
          <w:sz w:val="24"/>
          <w:szCs w:val="24"/>
        </w:rPr>
        <w:t xml:space="preserve">。 </w:t>
      </w:r>
    </w:p>
    <w:p w14:paraId="783C8859">
      <w:pPr>
        <w:spacing w:line="360" w:lineRule="auto"/>
        <w:ind w:firstLine="480" w:firstLineChars="200"/>
        <w:jc w:val="left"/>
        <w:rPr>
          <w:rFonts w:asciiTheme="minorEastAsia" w:hAnsiTheme="minorEastAsia" w:cstheme="minorEastAsia"/>
          <w:sz w:val="28"/>
          <w:szCs w:val="28"/>
        </w:rPr>
      </w:pPr>
      <w:r>
        <w:rPr>
          <w:rFonts w:hint="eastAsia" w:asciiTheme="minorEastAsia" w:hAnsiTheme="minorEastAsia" w:cstheme="minorEastAsia"/>
          <w:sz w:val="24"/>
          <w:szCs w:val="24"/>
        </w:rPr>
        <w:t>投标人将招标代理服务费计入投标报价但不单独列明，中标单位在领取中标通知书前，须向采购代理机构一次性支付招标代理服务费；代理服务费以转账、电汇或现金等形式交纳</w:t>
      </w:r>
      <w:r>
        <w:rPr>
          <w:rFonts w:hint="eastAsia" w:asciiTheme="minorEastAsia" w:hAnsiTheme="minorEastAsia" w:cstheme="minorEastAsia"/>
          <w:sz w:val="28"/>
          <w:szCs w:val="28"/>
        </w:rPr>
        <w:t>。</w:t>
      </w:r>
    </w:p>
    <w:p w14:paraId="5D87ABEB">
      <w:pPr>
        <w:pStyle w:val="13"/>
        <w:numPr>
          <w:ilvl w:val="0"/>
          <w:numId w:val="15"/>
        </w:numPr>
        <w:jc w:val="center"/>
        <w:rPr>
          <w:rFonts w:ascii="Arial" w:hAnsi="Arial" w:eastAsia="宋体"/>
          <w:b/>
          <w:sz w:val="24"/>
        </w:rPr>
      </w:pPr>
      <w:r>
        <w:rPr>
          <w:rFonts w:hint="eastAsia" w:ascii="Arial" w:hAnsi="Arial" w:eastAsia="宋体"/>
          <w:b/>
          <w:sz w:val="24"/>
        </w:rPr>
        <w:t>履约验收</w:t>
      </w:r>
    </w:p>
    <w:p w14:paraId="16589694">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政府采购合同的履行、违约责任和解决争议的方法等适用《中华人民共和国民法典》。采购人按照政府采购合同规定的技术、服务、安全标准组织对供应商履约情况进行验收，并出具验收书。</w:t>
      </w:r>
    </w:p>
    <w:p w14:paraId="3F4A67FA">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履约验收的费用及要求详见“供应商须知前附表”。</w:t>
      </w:r>
    </w:p>
    <w:p w14:paraId="4BC54F89">
      <w:pPr>
        <w:pStyle w:val="4"/>
      </w:pPr>
      <w:bookmarkStart w:id="82" w:name="_Toc29212"/>
      <w:bookmarkStart w:id="83" w:name="_Toc12124"/>
      <w:bookmarkStart w:id="84" w:name="_Toc3298"/>
      <w:bookmarkStart w:id="85" w:name="_Toc12904"/>
      <w:r>
        <w:rPr>
          <w:rFonts w:hint="eastAsia"/>
        </w:rPr>
        <w:t>九、质疑和投诉</w:t>
      </w:r>
      <w:bookmarkEnd w:id="82"/>
      <w:bookmarkEnd w:id="83"/>
    </w:p>
    <w:p w14:paraId="1C3EEDB9">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质疑、投诉的接收和处理严格按照《</w:t>
      </w:r>
      <w:r>
        <w:rPr>
          <w:rFonts w:hint="eastAsia" w:asciiTheme="minorEastAsia" w:hAnsiTheme="minorEastAsia" w:cstheme="minorEastAsia"/>
          <w:sz w:val="24"/>
          <w:szCs w:val="24"/>
          <w:lang w:eastAsia="zh-CN"/>
        </w:rPr>
        <w:t>中华人民共和国</w:t>
      </w:r>
      <w:r>
        <w:rPr>
          <w:rFonts w:hint="eastAsia" w:asciiTheme="minorEastAsia" w:hAnsiTheme="minorEastAsia" w:cstheme="minorEastAsia"/>
          <w:sz w:val="24"/>
          <w:szCs w:val="24"/>
        </w:rPr>
        <w:t xml:space="preserve">政府采购法》、《政府采购质疑和投诉办法》财政部令第94号、《财政部关于加强政府采购供应商投诉受理审查工作的通知》等的相关规定办理。 </w:t>
      </w:r>
    </w:p>
    <w:p w14:paraId="16331D5A">
      <w:pPr>
        <w:spacing w:line="360" w:lineRule="auto"/>
        <w:ind w:firstLine="480" w:firstLineChars="200"/>
        <w:rPr>
          <w:rFonts w:eastAsia="宋体"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eastAsia="宋体" w:cs="宋体"/>
          <w:color w:val="333333"/>
          <w:sz w:val="24"/>
          <w:szCs w:val="24"/>
          <w:shd w:val="clear" w:color="auto" w:fill="FFFFFF"/>
        </w:rPr>
        <w:t>供应商应该在法定质疑期内一次性提出针对同一采购程序环节的质疑</w:t>
      </w:r>
      <w:r>
        <w:rPr>
          <w:rFonts w:hint="eastAsia" w:ascii="宋体" w:hAnsi="宋体" w:cs="宋体"/>
          <w:color w:val="333333"/>
          <w:sz w:val="24"/>
          <w:szCs w:val="24"/>
          <w:shd w:val="clear" w:color="auto" w:fill="FFFFFF"/>
        </w:rPr>
        <w:t>，</w:t>
      </w:r>
      <w:r>
        <w:rPr>
          <w:rFonts w:hint="eastAsia" w:asciiTheme="minorEastAsia" w:hAnsiTheme="minorEastAsia" w:cstheme="minorEastAsia"/>
          <w:sz w:val="24"/>
          <w:szCs w:val="24"/>
        </w:rPr>
        <w:t>逾期质疑无效。</w:t>
      </w:r>
    </w:p>
    <w:p w14:paraId="6EE79154">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 质疑文件应当包括下列主要内容：</w:t>
      </w:r>
    </w:p>
    <w:p w14:paraId="717F630C">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14:paraId="23CFC9B5">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14:paraId="0EB145AD">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14:paraId="41B77D60">
      <w:pPr>
        <w:tabs>
          <w:tab w:val="left" w:pos="840"/>
        </w:tabs>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4）提出质疑的日期。</w:t>
      </w:r>
    </w:p>
    <w:p w14:paraId="14DE04AA">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质疑函应当署名。质疑供应商为自然人的，应当由本人签字；质疑供应商为法人或者其他组织的，应当由法定代表人或者主要负责人签字盖章并加盖公章。</w:t>
      </w:r>
    </w:p>
    <w:p w14:paraId="27CBEA50">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供应商质疑应当有明确的请求和必要的证明材料。</w:t>
      </w:r>
      <w:r>
        <w:rPr>
          <w:rFonts w:hint="eastAsia" w:asciiTheme="minorEastAsia" w:hAnsiTheme="minorEastAsia" w:cstheme="minorEastAsia"/>
          <w:color w:val="000000" w:themeColor="text1"/>
          <w:sz w:val="24"/>
          <w:szCs w:val="24"/>
          <w14:textFill>
            <w14:solidFill>
              <w14:schemeClr w14:val="tx1"/>
            </w14:solidFill>
          </w14:textFill>
        </w:rPr>
        <w:t>质疑内容不得含有虚假、恶意</w:t>
      </w:r>
      <w:r>
        <w:rPr>
          <w:rFonts w:hint="eastAsia" w:asciiTheme="minorEastAsia" w:hAnsiTheme="minorEastAsia" w:cstheme="minorEastAsia"/>
          <w:color w:val="000000" w:themeColor="text1"/>
          <w:sz w:val="24"/>
          <w:szCs w:val="24"/>
          <w:lang w:eastAsia="zh-CN"/>
          <w14:textFill>
            <w14:solidFill>
              <w14:schemeClr w14:val="tx1"/>
            </w14:solidFill>
          </w14:textFill>
        </w:rPr>
        <w:t>成分</w:t>
      </w:r>
      <w:r>
        <w:rPr>
          <w:rFonts w:hint="eastAsia" w:asciiTheme="minorEastAsia" w:hAnsiTheme="minorEastAsia" w:cstheme="minorEastAsia"/>
          <w:color w:val="000000" w:themeColor="text1"/>
          <w:sz w:val="24"/>
          <w:szCs w:val="24"/>
          <w14:textFill>
            <w14:solidFill>
              <w14:schemeClr w14:val="tx1"/>
            </w14:solidFill>
          </w14:textFill>
        </w:rPr>
        <w:t>。依照谁主张谁举证的原则，提出质疑者必须同时提交相关确凿的证据材料和注明证据的确切来源，证据来源必须合法，采购代理机构有权将质疑函转发质疑事项各关联方，请</w:t>
      </w:r>
      <w:r>
        <w:rPr>
          <w:rFonts w:hint="eastAsia" w:asciiTheme="minorEastAsia" w:hAnsiTheme="minorEastAsia" w:cstheme="minorEastAsia"/>
          <w:sz w:val="24"/>
          <w:szCs w:val="24"/>
        </w:rPr>
        <w:t>其作出解释说明。对捏造事实、滥用维权扰乱采购秩序的恶意质疑者，将依法处理。</w:t>
      </w:r>
    </w:p>
    <w:p w14:paraId="57FC22E4">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 xml:space="preserve">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 。 </w:t>
      </w:r>
    </w:p>
    <w:p w14:paraId="1CE2B7B6">
      <w:pPr>
        <w:spacing w:line="360" w:lineRule="auto"/>
        <w:ind w:left="19" w:leftChars="9" w:firstLine="458" w:firstLineChars="191"/>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cstheme="minorEastAsia"/>
          <w:color w:val="000000" w:themeColor="text1"/>
          <w:sz w:val="24"/>
          <w:szCs w:val="24"/>
          <w14:textFill>
            <w14:solidFill>
              <w14:schemeClr w14:val="tx1"/>
            </w14:solidFill>
          </w14:textFill>
        </w:rPr>
        <w:t>质疑供应商对采购人、采购代理机构的质疑答复不满意，或者采购人、采购代理机构未在规定期限内作出答复的，可以在答复期满后15个工作日内向采购人的同级政府采购监督管理部门提起投诉。</w:t>
      </w:r>
    </w:p>
    <w:p w14:paraId="1B44BCF3">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cstheme="minorEastAsia"/>
          <w:color w:val="000000" w:themeColor="text1"/>
          <w:sz w:val="24"/>
          <w:szCs w:val="24"/>
          <w14:textFill>
            <w14:solidFill>
              <w14:schemeClr w14:val="tx1"/>
            </w14:solidFill>
          </w14:textFill>
        </w:rPr>
        <w:t>质疑受理部门：陕西万泽招标有限公司。</w:t>
      </w:r>
    </w:p>
    <w:p w14:paraId="279F5B65">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cstheme="minorEastAsia"/>
          <w:color w:val="000000" w:themeColor="text1"/>
          <w:sz w:val="24"/>
          <w:szCs w:val="24"/>
          <w14:textFill>
            <w14:solidFill>
              <w14:schemeClr w14:val="tx1"/>
            </w14:solidFill>
          </w14:textFill>
        </w:rPr>
        <w:t>提交质疑文件地点：</w:t>
      </w:r>
      <w:r>
        <w:rPr>
          <w:rFonts w:hint="eastAsia" w:ascii="宋体" w:hAnsi="宋体" w:cs="宋体"/>
          <w:kern w:val="0"/>
          <w:sz w:val="24"/>
          <w:szCs w:val="24"/>
        </w:rPr>
        <w:t>西安市高新区唐延路35号旺座现代城C座2502室</w:t>
      </w:r>
      <w:r>
        <w:rPr>
          <w:rFonts w:hint="eastAsia" w:asciiTheme="minorEastAsia" w:hAnsiTheme="minorEastAsia" w:cstheme="minorEastAsia"/>
          <w:color w:val="000000" w:themeColor="text1"/>
          <w:sz w:val="24"/>
          <w:szCs w:val="24"/>
          <w14:textFill>
            <w14:solidFill>
              <w14:schemeClr w14:val="tx1"/>
            </w14:solidFill>
          </w14:textFill>
        </w:rPr>
        <w:t>。</w:t>
      </w:r>
    </w:p>
    <w:p w14:paraId="158CE25E">
      <w:pPr>
        <w:tabs>
          <w:tab w:val="left" w:pos="0"/>
          <w:tab w:val="left" w:pos="600"/>
          <w:tab w:val="left" w:pos="4700"/>
        </w:tabs>
        <w:autoSpaceDE w:val="0"/>
        <w:autoSpaceDN w:val="0"/>
        <w:spacing w:line="360" w:lineRule="auto"/>
        <w:ind w:left="599" w:leftChars="228" w:hanging="120" w:hangingChars="50"/>
        <w:textAlignment w:val="bottom"/>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9</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本次采购活动中，采购代理机构对质疑回复等文件的送达方式为现场取件。</w:t>
      </w:r>
    </w:p>
    <w:p w14:paraId="514496D4">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10</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质疑函应当使用中文。质疑函范本详见财政部制定的范本即招标文件附件六。</w:t>
      </w:r>
    </w:p>
    <w:p w14:paraId="32BF3608">
      <w:pPr>
        <w:pStyle w:val="4"/>
        <w:bidi w:val="0"/>
        <w:rPr>
          <w:rFonts w:ascii="宋体" w:hAnsi="宋体" w:cs="宋体"/>
          <w:sz w:val="24"/>
          <w:szCs w:val="24"/>
        </w:rPr>
      </w:pPr>
      <w:bookmarkStart w:id="86" w:name="_Toc25652"/>
      <w:bookmarkStart w:id="87" w:name="_Toc9626"/>
      <w:bookmarkStart w:id="88" w:name="_Toc1320"/>
      <w:bookmarkStart w:id="89" w:name="_Toc28106"/>
      <w:bookmarkStart w:id="90" w:name="_Toc18620"/>
      <w:r>
        <w:rPr>
          <w:rFonts w:hint="eastAsia" w:ascii="宋体" w:hAnsi="宋体" w:cs="宋体"/>
          <w:b w:val="0"/>
          <w:bCs/>
          <w:sz w:val="24"/>
          <w:szCs w:val="24"/>
          <w:lang w:val="en-US" w:eastAsia="zh-CN"/>
        </w:rPr>
        <w:t>十</w:t>
      </w:r>
      <w:r>
        <w:rPr>
          <w:rFonts w:hint="eastAsia" w:ascii="宋体" w:hAnsi="宋体" w:cs="宋体"/>
          <w:b w:val="0"/>
          <w:bCs/>
          <w:sz w:val="24"/>
          <w:szCs w:val="24"/>
        </w:rPr>
        <w:t>、其他</w:t>
      </w:r>
      <w:bookmarkEnd w:id="86"/>
      <w:bookmarkEnd w:id="87"/>
      <w:bookmarkEnd w:id="88"/>
      <w:bookmarkEnd w:id="89"/>
      <w:bookmarkEnd w:id="90"/>
    </w:p>
    <w:p w14:paraId="4A4E3E88">
      <w:pPr>
        <w:rPr>
          <w:rFonts w:ascii="宋体" w:hAnsi="宋体" w:cs="宋体"/>
        </w:rPr>
      </w:pPr>
    </w:p>
    <w:p w14:paraId="3D138479">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投标</w:t>
      </w:r>
      <w:r>
        <w:rPr>
          <w:rFonts w:hint="eastAsia" w:ascii="宋体" w:hAnsi="宋体" w:cs="宋体"/>
          <w:sz w:val="24"/>
          <w:szCs w:val="24"/>
        </w:rPr>
        <w:t>文件递交截止时间后，提交</w:t>
      </w:r>
      <w:r>
        <w:rPr>
          <w:rFonts w:hint="eastAsia" w:ascii="宋体" w:hAnsi="宋体" w:cs="宋体"/>
          <w:sz w:val="24"/>
          <w:szCs w:val="24"/>
          <w:lang w:val="en-US" w:eastAsia="zh-CN"/>
        </w:rPr>
        <w:t>投标</w:t>
      </w:r>
      <w:r>
        <w:rPr>
          <w:rFonts w:hint="eastAsia" w:ascii="宋体" w:hAnsi="宋体" w:cs="宋体"/>
          <w:sz w:val="24"/>
          <w:szCs w:val="24"/>
        </w:rPr>
        <w:t>文件的</w:t>
      </w:r>
      <w:r>
        <w:rPr>
          <w:rFonts w:hint="eastAsia" w:ascii="宋体" w:hAnsi="宋体" w:cs="宋体"/>
          <w:sz w:val="24"/>
          <w:szCs w:val="24"/>
          <w:lang w:val="en-US" w:eastAsia="zh-CN"/>
        </w:rPr>
        <w:t>投标人</w:t>
      </w:r>
      <w:r>
        <w:rPr>
          <w:rFonts w:hint="eastAsia" w:ascii="宋体" w:hAnsi="宋体" w:cs="宋体"/>
          <w:sz w:val="24"/>
          <w:szCs w:val="24"/>
        </w:rPr>
        <w:t>不足3家或者通过资格审查或符合性审查的</w:t>
      </w:r>
      <w:r>
        <w:rPr>
          <w:rFonts w:hint="eastAsia" w:ascii="宋体" w:hAnsi="宋体" w:cs="宋体"/>
          <w:sz w:val="24"/>
          <w:szCs w:val="24"/>
          <w:lang w:val="en-US" w:eastAsia="zh-CN"/>
        </w:rPr>
        <w:t>供应商</w:t>
      </w:r>
      <w:r>
        <w:rPr>
          <w:rFonts w:hint="eastAsia" w:ascii="宋体" w:hAnsi="宋体" w:cs="宋体"/>
          <w:sz w:val="24"/>
          <w:szCs w:val="24"/>
        </w:rPr>
        <w:t>不足3家的，根据《西安市财政局关于进一步规范市级预算单位变更政府采购方式审批管理的通知》</w:t>
      </w:r>
      <w:r>
        <w:rPr>
          <w:rFonts w:hint="eastAsia" w:ascii="宋体" w:hAnsi="宋体" w:cs="宋体"/>
          <w:kern w:val="0"/>
          <w:sz w:val="24"/>
          <w:szCs w:val="24"/>
        </w:rPr>
        <w:t>市财发〔2017〕186号</w:t>
      </w:r>
      <w:r>
        <w:rPr>
          <w:rFonts w:hint="eastAsia" w:ascii="宋体" w:hAnsi="宋体" w:cs="宋体"/>
          <w:sz w:val="24"/>
          <w:szCs w:val="24"/>
        </w:rPr>
        <w:t>、《西安市财政局关于进一步加强政府采购评审组织过程中变更采购方式管理的通知》（市财发〔2013〕333号）、《西安市财政局关于贯彻实施&lt;政府采购非招标采购方式管理办法&gt;的通知》（市财函〔2014〕120号）</w:t>
      </w:r>
    </w:p>
    <w:p w14:paraId="3F38616F">
      <w:pPr>
        <w:spacing w:line="360" w:lineRule="auto"/>
        <w:ind w:firstLine="480" w:firstLineChars="200"/>
        <w:rPr>
          <w:rFonts w:ascii="宋体" w:hAnsi="宋体" w:cs="宋体"/>
          <w:sz w:val="24"/>
          <w:szCs w:val="24"/>
        </w:rPr>
      </w:pPr>
      <w:r>
        <w:rPr>
          <w:rFonts w:hint="eastAsia" w:ascii="宋体" w:hAnsi="宋体" w:cs="宋体"/>
          <w:sz w:val="24"/>
          <w:szCs w:val="24"/>
        </w:rPr>
        <w:t>9.1按废标处理；</w:t>
      </w:r>
    </w:p>
    <w:p w14:paraId="47A942F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9.2</w:t>
      </w:r>
      <w:r>
        <w:rPr>
          <w:rFonts w:hint="eastAsia" w:ascii="宋体" w:hAnsi="宋体" w:cs="宋体"/>
          <w:sz w:val="24"/>
          <w:szCs w:val="24"/>
          <w:highlight w:val="none"/>
          <w:lang w:val="en-US" w:eastAsia="zh-CN"/>
        </w:rPr>
        <w:t>根据</w:t>
      </w:r>
      <w:r>
        <w:rPr>
          <w:rFonts w:hint="eastAsia" w:ascii="宋体" w:hAnsi="宋体" w:cs="宋体"/>
          <w:sz w:val="24"/>
          <w:szCs w:val="24"/>
          <w:highlight w:val="none"/>
        </w:rPr>
        <w:t>《西安市财政局关于进一步规范市级预算单位变更政府采购方式审批管理的通知》</w:t>
      </w:r>
      <w:r>
        <w:rPr>
          <w:rFonts w:hint="eastAsia" w:ascii="宋体" w:hAnsi="宋体" w:cs="宋体"/>
          <w:kern w:val="0"/>
          <w:sz w:val="24"/>
          <w:szCs w:val="24"/>
          <w:highlight w:val="none"/>
        </w:rPr>
        <w:t>市财发〔2017〕186号</w:t>
      </w:r>
      <w:r>
        <w:rPr>
          <w:rFonts w:hint="eastAsia" w:ascii="宋体" w:hAnsi="宋体" w:cs="宋体"/>
          <w:sz w:val="24"/>
          <w:szCs w:val="24"/>
          <w:highlight w:val="none"/>
        </w:rPr>
        <w:t>规定，经采购人报财政部门批准后现场改变采购方式，继续采购活动。</w:t>
      </w:r>
    </w:p>
    <w:p w14:paraId="13CB2B6C">
      <w:pPr>
        <w:spacing w:line="360" w:lineRule="auto"/>
        <w:ind w:firstLine="480" w:firstLineChars="200"/>
        <w:rPr>
          <w:rFonts w:ascii="宋体" w:hAnsi="宋体" w:cs="宋体"/>
          <w:sz w:val="24"/>
          <w:szCs w:val="24"/>
        </w:rPr>
      </w:pPr>
      <w:r>
        <w:rPr>
          <w:rFonts w:hint="eastAsia" w:ascii="宋体" w:hAnsi="宋体" w:cs="宋体"/>
          <w:sz w:val="24"/>
          <w:szCs w:val="24"/>
        </w:rPr>
        <w:t>9.2</w:t>
      </w:r>
      <w:r>
        <w:rPr>
          <w:rFonts w:hint="eastAsia" w:ascii="宋体" w:hAnsi="宋体" w:cs="宋体"/>
          <w:sz w:val="24"/>
          <w:szCs w:val="24"/>
          <w:lang w:val="en-US" w:eastAsia="zh-CN"/>
        </w:rPr>
        <w:t>.1</w:t>
      </w:r>
      <w:r>
        <w:rPr>
          <w:rFonts w:hint="eastAsia" w:ascii="宋体" w:hAnsi="宋体" w:cs="宋体"/>
          <w:sz w:val="24"/>
          <w:szCs w:val="24"/>
        </w:rPr>
        <w:t>如果采用竞争性磋商方式继续进行采购，则按照以下程序进行：</w:t>
      </w:r>
    </w:p>
    <w:p w14:paraId="47BEAD75">
      <w:pPr>
        <w:spacing w:line="360" w:lineRule="auto"/>
        <w:ind w:firstLine="480" w:firstLineChars="200"/>
        <w:rPr>
          <w:rFonts w:ascii="宋体" w:hAnsi="宋体" w:cs="宋体"/>
          <w:sz w:val="24"/>
          <w:szCs w:val="24"/>
        </w:rPr>
      </w:pPr>
      <w:r>
        <w:rPr>
          <w:rFonts w:hint="eastAsia" w:ascii="宋体" w:hAnsi="宋体" w:cs="宋体"/>
          <w:sz w:val="24"/>
          <w:szCs w:val="24"/>
        </w:rPr>
        <w:t>《财政部关于印发政府采购竞争性磋商采购方式管理暂行办法的通知》（财库〔2014〕214号），本次评审采用多轮报价，综合评分的办法，即从质量和服务均能满足</w:t>
      </w:r>
      <w:r>
        <w:rPr>
          <w:rFonts w:hint="eastAsia" w:ascii="宋体" w:hAnsi="宋体" w:cs="宋体"/>
          <w:sz w:val="24"/>
          <w:szCs w:val="24"/>
          <w:lang w:eastAsia="zh-CN"/>
        </w:rPr>
        <w:t>采购文件</w:t>
      </w:r>
      <w:r>
        <w:rPr>
          <w:rFonts w:hint="eastAsia" w:ascii="宋体" w:hAnsi="宋体" w:cs="宋体"/>
          <w:sz w:val="24"/>
          <w:szCs w:val="24"/>
        </w:rPr>
        <w:t xml:space="preserve">要求的供应商中，综合评分推荐成交候选人。  </w:t>
      </w:r>
    </w:p>
    <w:p w14:paraId="0DF707F9">
      <w:pPr>
        <w:overflowPunct w:val="0"/>
        <w:adjustRightInd w:val="0"/>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 xml:space="preserve"> 9.</w:t>
      </w:r>
      <w:r>
        <w:rPr>
          <w:rFonts w:hint="eastAsia" w:ascii="宋体" w:hAnsi="宋体" w:cs="宋体"/>
          <w:kern w:val="0"/>
          <w:sz w:val="24"/>
          <w:szCs w:val="24"/>
          <w:lang w:val="en-US" w:eastAsia="zh-CN"/>
        </w:rPr>
        <w:t>2.2</w:t>
      </w:r>
      <w:r>
        <w:rPr>
          <w:rFonts w:hint="eastAsia" w:ascii="宋体" w:hAnsi="宋体" w:cs="宋体"/>
          <w:kern w:val="0"/>
          <w:sz w:val="24"/>
          <w:szCs w:val="24"/>
        </w:rPr>
        <w:t>如果采用竞争性谈判方式继续进行采购，则按照以下程序进行：</w:t>
      </w:r>
    </w:p>
    <w:p w14:paraId="5B531A04">
      <w:pPr>
        <w:spacing w:line="360" w:lineRule="auto"/>
        <w:ind w:firstLine="480" w:firstLineChars="200"/>
        <w:rPr>
          <w:rFonts w:hint="eastAsia" w:ascii="宋体" w:hAnsi="宋体" w:cs="宋体"/>
          <w:sz w:val="24"/>
          <w:szCs w:val="24"/>
        </w:rPr>
      </w:pPr>
      <w:r>
        <w:rPr>
          <w:rFonts w:hint="eastAsia" w:ascii="宋体" w:hAnsi="宋体" w:cs="宋体"/>
          <w:kern w:val="0"/>
          <w:sz w:val="24"/>
          <w:szCs w:val="24"/>
        </w:rPr>
        <w:t>竞争性谈判遵循《政府采购非招标采购方式管理办法》（中华人民共和国财政部令第74号），根据质量和服务均能够满足采购文件实质性响应要求且最后</w:t>
      </w:r>
      <w:r>
        <w:rPr>
          <w:rFonts w:hint="eastAsia" w:ascii="宋体" w:hAnsi="宋体" w:cs="宋体"/>
          <w:sz w:val="24"/>
          <w:szCs w:val="24"/>
        </w:rPr>
        <w:t>报价最低的原则确定成交候选人。</w:t>
      </w:r>
    </w:p>
    <w:p w14:paraId="09A77F38">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9.2.3</w:t>
      </w:r>
      <w:r>
        <w:rPr>
          <w:rFonts w:hint="eastAsia" w:ascii="宋体" w:hAnsi="宋体" w:cs="宋体"/>
          <w:kern w:val="0"/>
          <w:sz w:val="24"/>
          <w:szCs w:val="24"/>
        </w:rPr>
        <w:t>如果采用</w:t>
      </w:r>
      <w:r>
        <w:rPr>
          <w:rFonts w:hint="eastAsia" w:ascii="宋体" w:hAnsi="宋体" w:cs="宋体"/>
          <w:kern w:val="0"/>
          <w:sz w:val="24"/>
          <w:szCs w:val="24"/>
          <w:lang w:val="en-US" w:eastAsia="zh-CN"/>
        </w:rPr>
        <w:t>单一来源</w:t>
      </w:r>
      <w:r>
        <w:rPr>
          <w:rFonts w:hint="eastAsia" w:ascii="宋体" w:hAnsi="宋体" w:cs="宋体"/>
          <w:kern w:val="0"/>
          <w:sz w:val="24"/>
          <w:szCs w:val="24"/>
        </w:rPr>
        <w:t>方式继续进行采购，则按照以下程序进行：</w:t>
      </w:r>
    </w:p>
    <w:p w14:paraId="4AE4ACD9">
      <w:p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实施竞争性磋商的货物、服务类采购项目，如果招标过程中有效供应商只有1家，申请变更为单一来源采购方式的;</w:t>
      </w:r>
    </w:p>
    <w:p w14:paraId="6385222E">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实施竞争性磋商的货物、服务、工程类采购项目，如果第一次开标有效供应商只有1家，必须废标，重新组织开标。重新开标时有效供应商仍只有1家，依据财政部门核批的变更申请表，申请变更为单一来源采购方式的。</w:t>
      </w:r>
    </w:p>
    <w:p w14:paraId="67402719">
      <w:pPr>
        <w:sectPr>
          <w:headerReference r:id="rId9" w:type="default"/>
          <w:footerReference r:id="rId10" w:type="default"/>
          <w:pgSz w:w="11906" w:h="16838"/>
          <w:pgMar w:top="1440" w:right="1304" w:bottom="1440" w:left="1304" w:header="851" w:footer="992" w:gutter="0"/>
          <w:cols w:space="0" w:num="1"/>
          <w:docGrid w:type="lines" w:linePitch="325" w:charSpace="0"/>
        </w:sectPr>
      </w:pPr>
    </w:p>
    <w:bookmarkEnd w:id="84"/>
    <w:bookmarkEnd w:id="85"/>
    <w:p w14:paraId="392BD6A0">
      <w:pPr>
        <w:pStyle w:val="3"/>
      </w:pPr>
      <w:bookmarkStart w:id="91" w:name="_Toc13136"/>
      <w:bookmarkStart w:id="92" w:name="_Toc15136"/>
      <w:bookmarkStart w:id="93" w:name="_Toc19586"/>
      <w:bookmarkStart w:id="94" w:name="_Toc473"/>
      <w:r>
        <w:rPr>
          <w:rFonts w:hint="eastAsia"/>
        </w:rPr>
        <w:t>第四部分  评审办法</w:t>
      </w:r>
      <w:bookmarkEnd w:id="91"/>
    </w:p>
    <w:p w14:paraId="61AD5606">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本次评标采用综合评分法，综合评分因素的主要因素为价格、技术、</w:t>
      </w:r>
      <w:r>
        <w:rPr>
          <w:rFonts w:hint="eastAsia" w:asciiTheme="minorEastAsia" w:hAnsiTheme="minorEastAsia" w:cstheme="minorEastAsia"/>
          <w:sz w:val="24"/>
          <w:szCs w:val="24"/>
          <w:lang w:val="en-US" w:eastAsia="zh-CN"/>
        </w:rPr>
        <w:t>商务</w:t>
      </w:r>
      <w:r>
        <w:rPr>
          <w:rFonts w:hint="eastAsia" w:asciiTheme="minorEastAsia" w:hAnsiTheme="minorEastAsia" w:cstheme="minorEastAsia"/>
          <w:sz w:val="24"/>
          <w:szCs w:val="24"/>
        </w:rPr>
        <w:t>等以及对招标文件的响应程度。每一投标人的最终得分为所有评委评分的</w:t>
      </w:r>
      <w:r>
        <w:rPr>
          <w:rFonts w:hint="eastAsia" w:asciiTheme="minorEastAsia" w:hAnsiTheme="minorEastAsia" w:cstheme="minorEastAsia"/>
          <w:sz w:val="24"/>
          <w:szCs w:val="24"/>
          <w:lang w:eastAsia="zh-CN"/>
        </w:rPr>
        <w:t>算术</w:t>
      </w:r>
      <w:r>
        <w:rPr>
          <w:rFonts w:hint="eastAsia" w:asciiTheme="minorEastAsia" w:hAnsiTheme="minorEastAsia" w:cstheme="minorEastAsia"/>
          <w:sz w:val="24"/>
          <w:szCs w:val="24"/>
        </w:rPr>
        <w:t>平均值。</w:t>
      </w:r>
    </w:p>
    <w:p w14:paraId="3A9AA9EA">
      <w:pPr>
        <w:bidi w:val="0"/>
        <w:jc w:val="center"/>
        <w:rPr>
          <w:sz w:val="28"/>
          <w:szCs w:val="28"/>
        </w:rPr>
      </w:pPr>
      <w:bookmarkStart w:id="95" w:name="_Toc22520"/>
      <w:bookmarkStart w:id="96" w:name="_Toc18693"/>
      <w:bookmarkStart w:id="97" w:name="_Toc6304"/>
      <w:r>
        <w:rPr>
          <w:rFonts w:hint="eastAsia"/>
          <w:sz w:val="28"/>
          <w:szCs w:val="28"/>
        </w:rPr>
        <w:t>评审办法</w:t>
      </w:r>
      <w:bookmarkEnd w:id="95"/>
      <w:bookmarkEnd w:id="96"/>
      <w:bookmarkEnd w:id="97"/>
    </w:p>
    <w:tbl>
      <w:tblPr>
        <w:tblStyle w:val="29"/>
        <w:tblW w:w="1015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12"/>
        <w:gridCol w:w="654"/>
        <w:gridCol w:w="771"/>
        <w:gridCol w:w="8013"/>
      </w:tblGrid>
      <w:tr w14:paraId="24CC37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7" w:hRule="atLeast"/>
          <w:tblHeader/>
          <w:jc w:val="center"/>
        </w:trPr>
        <w:tc>
          <w:tcPr>
            <w:tcW w:w="712" w:type="dxa"/>
            <w:vAlign w:val="center"/>
          </w:tcPr>
          <w:p w14:paraId="3FE95D95">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项别</w:t>
            </w:r>
          </w:p>
        </w:tc>
        <w:tc>
          <w:tcPr>
            <w:tcW w:w="654" w:type="dxa"/>
            <w:vAlign w:val="center"/>
          </w:tcPr>
          <w:p w14:paraId="76B8002E">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总分值</w:t>
            </w:r>
          </w:p>
        </w:tc>
        <w:tc>
          <w:tcPr>
            <w:tcW w:w="771" w:type="dxa"/>
            <w:vAlign w:val="center"/>
          </w:tcPr>
          <w:p w14:paraId="0BEBE9DD">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分项最高分值</w:t>
            </w:r>
          </w:p>
        </w:tc>
        <w:tc>
          <w:tcPr>
            <w:tcW w:w="8013" w:type="dxa"/>
            <w:vAlign w:val="center"/>
          </w:tcPr>
          <w:p w14:paraId="74776E37">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评审要素</w:t>
            </w:r>
          </w:p>
        </w:tc>
      </w:tr>
      <w:tr w14:paraId="31A474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50" w:hRule="atLeast"/>
          <w:jc w:val="center"/>
        </w:trPr>
        <w:tc>
          <w:tcPr>
            <w:tcW w:w="712" w:type="dxa"/>
            <w:vAlign w:val="center"/>
          </w:tcPr>
          <w:p w14:paraId="49709B72">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价格</w:t>
            </w:r>
          </w:p>
        </w:tc>
        <w:tc>
          <w:tcPr>
            <w:tcW w:w="654" w:type="dxa"/>
            <w:vAlign w:val="center"/>
          </w:tcPr>
          <w:p w14:paraId="00082E4C">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771" w:type="dxa"/>
            <w:vAlign w:val="center"/>
          </w:tcPr>
          <w:p w14:paraId="54E4D0D5">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8013" w:type="dxa"/>
            <w:vAlign w:val="center"/>
          </w:tcPr>
          <w:p w14:paraId="692C5032">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1.经初审合格的投标文件，其投标报价为有效投标报价，并对有效投标报价进行政策性扣减，依据扣减后的价格（评审价格）进行价格评审。</w:t>
            </w:r>
          </w:p>
          <w:p w14:paraId="640D8D51">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2.满足招标文件实质性要求且最终报价最低的投标人的价格为投标基准价，其价格分为满分20分。</w:t>
            </w:r>
          </w:p>
          <w:p w14:paraId="76F33FA1">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3.投标报价得分=（投标基准价/投标报价）×20的公式计算得分。</w:t>
            </w:r>
          </w:p>
          <w:p w14:paraId="6CDCF035">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4.投标报价不完整的，不进入评标标准价的计算，本项得0分。</w:t>
            </w:r>
          </w:p>
          <w:p w14:paraId="72F810AB">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5.经评委一致认定，投标人的投标最终总报价低于公认市场成本，或超过采购预算,其投标将被拒绝。</w:t>
            </w:r>
          </w:p>
        </w:tc>
      </w:tr>
      <w:tr w14:paraId="0AD66F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90" w:hRule="atLeast"/>
          <w:jc w:val="center"/>
        </w:trPr>
        <w:tc>
          <w:tcPr>
            <w:tcW w:w="712" w:type="dxa"/>
            <w:vMerge w:val="restart"/>
            <w:vAlign w:val="center"/>
          </w:tcPr>
          <w:p w14:paraId="0D0B6B2D">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服务</w:t>
            </w:r>
          </w:p>
          <w:p w14:paraId="0A1B673B">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方案</w:t>
            </w:r>
          </w:p>
        </w:tc>
        <w:tc>
          <w:tcPr>
            <w:tcW w:w="654" w:type="dxa"/>
            <w:vMerge w:val="restart"/>
            <w:vAlign w:val="center"/>
          </w:tcPr>
          <w:p w14:paraId="5853F9A8">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33</w:t>
            </w:r>
          </w:p>
        </w:tc>
        <w:tc>
          <w:tcPr>
            <w:tcW w:w="771" w:type="dxa"/>
            <w:vAlign w:val="center"/>
          </w:tcPr>
          <w:p w14:paraId="289D76DA">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8013" w:type="dxa"/>
            <w:vAlign w:val="center"/>
          </w:tcPr>
          <w:p w14:paraId="3BE55459">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需求理解：</w:t>
            </w:r>
          </w:p>
          <w:p w14:paraId="67E1BB4A">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 对采购需求的理解；2.对项目现状的了解情况；3.对本项目重点、难点的分析；4. 合理化建议。</w:t>
            </w:r>
          </w:p>
          <w:p w14:paraId="59DAE15E">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评分标准：</w:t>
            </w:r>
          </w:p>
          <w:p w14:paraId="3D04CB09">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（1）对采购项目需求的理解准确到位，对项目现状调研论证充分，对采购项目的特点、重点、难点能提出针对性切实可行的解决方法，且措施科学全面的，得（7-8]分；</w:t>
            </w:r>
          </w:p>
          <w:p w14:paraId="7BEDE3B8">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（2）对采购项目需求的理解基本准确，对项目现状的调研论证一般，对采购项目的特点、重点、难点有基本的解决办法和措施，得(4-7]分；</w:t>
            </w:r>
          </w:p>
          <w:p w14:paraId="704606AC">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（3）对采购项目需求理解不到位，未进行项目现状调研论证，对采购项目的特点、重点、难点未提出针对性解决方法和措施的，得[1-4]分;</w:t>
            </w:r>
          </w:p>
          <w:p w14:paraId="497AE600">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（4）未提供相应内容的不得分。</w:t>
            </w:r>
          </w:p>
        </w:tc>
      </w:tr>
      <w:tr w14:paraId="333D25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6" w:hRule="atLeast"/>
          <w:jc w:val="center"/>
        </w:trPr>
        <w:tc>
          <w:tcPr>
            <w:tcW w:w="712" w:type="dxa"/>
            <w:vMerge w:val="continue"/>
            <w:vAlign w:val="center"/>
          </w:tcPr>
          <w:p w14:paraId="5F6E685C">
            <w:pPr>
              <w:spacing w:line="280" w:lineRule="exact"/>
              <w:jc w:val="center"/>
              <w:rPr>
                <w:rFonts w:hint="eastAsia" w:ascii="宋体" w:hAnsi="宋体" w:eastAsia="宋体" w:cs="宋体"/>
                <w:color w:val="auto"/>
                <w:highlight w:val="none"/>
              </w:rPr>
            </w:pPr>
          </w:p>
        </w:tc>
        <w:tc>
          <w:tcPr>
            <w:tcW w:w="654" w:type="dxa"/>
            <w:vMerge w:val="continue"/>
            <w:vAlign w:val="center"/>
          </w:tcPr>
          <w:p w14:paraId="29A68530">
            <w:pPr>
              <w:spacing w:line="280" w:lineRule="exact"/>
              <w:jc w:val="center"/>
              <w:rPr>
                <w:rFonts w:hint="eastAsia" w:ascii="宋体" w:hAnsi="宋体" w:eastAsia="宋体" w:cs="宋体"/>
                <w:color w:val="auto"/>
                <w:highlight w:val="none"/>
              </w:rPr>
            </w:pPr>
          </w:p>
        </w:tc>
        <w:tc>
          <w:tcPr>
            <w:tcW w:w="771" w:type="dxa"/>
            <w:vAlign w:val="center"/>
          </w:tcPr>
          <w:p w14:paraId="74504E43">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8013" w:type="dxa"/>
            <w:vAlign w:val="center"/>
          </w:tcPr>
          <w:p w14:paraId="47D759A6">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项目实施方案应具备：</w:t>
            </w:r>
          </w:p>
          <w:p w14:paraId="2B971224">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项目内容及工作流程；2.监督抽查具体内容及方法要求；3.配备满足项目实施的人员、工具和车辆；4.项目实施计划；5.项目重点、难点问题的应对措施及改进建议；6.实施监督抽查工作的应急预案；7.监督抽查过程中突发事件的处置措施。</w:t>
            </w:r>
          </w:p>
          <w:p w14:paraId="5D9FCAF0">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56394D8D">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项目实施方案包含但不限于1-7项，方案内容详细完整、工作流程科学合理，监督抽查的具体内容和方法要求符合采购人需求，配备的人员、工具、车辆能够满足项目实施需求，总体计划和月度计划任务分布合理，项目重点、难点问题的应对措施及改进建议、应急预案与实际情况结合紧密，对突发情况能迅速组织有效力量响应，得（10-14]分；</w:t>
            </w:r>
          </w:p>
          <w:p w14:paraId="6F60F76E">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项目实施方案只包含1-7项，方案内容相对完整，工作流程、监督抽查的具体内容和方法要求、配备的人员、工具、车辆相对满足项目实施需求，总体计划和月度计划任务、项目重点难点问题的应对措施及改进建议、应急预案基本符合项目要求，对突发情况能够响应，得(7-10]分；</w:t>
            </w:r>
          </w:p>
          <w:p w14:paraId="760135A9">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项目实施方案仅包含1-7项，方案内容、工作流程、具体内容和方法要求、配备的人员、工具、车辆基本满足项目实施需求，总体计划和月度计划任务、项目重点难点问题的应对措施及改进建议、应急预案与项目要求差距较大，对突发情况未能有效响应，得(4-7]分；</w:t>
            </w:r>
          </w:p>
          <w:p w14:paraId="27749A98">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（4）供应商编制的项目实施方案未能满足本项目的需求，其服务水平未能符合国家、行业和地方标准的，得[1-4]分；</w:t>
            </w:r>
          </w:p>
          <w:p w14:paraId="3F5B78FC">
            <w:pPr>
              <w:pStyle w:val="82"/>
              <w:spacing w:line="280" w:lineRule="exact"/>
              <w:ind w:firstLine="480" w:firstLineChars="200"/>
              <w:jc w:val="both"/>
              <w:rPr>
                <w:rFonts w:hint="eastAsia" w:ascii="宋体" w:hAnsi="宋体" w:eastAsia="宋体" w:cs="宋体"/>
                <w:b/>
                <w:color w:val="auto"/>
                <w:highlight w:val="none"/>
              </w:rPr>
            </w:pPr>
            <w:r>
              <w:rPr>
                <w:rFonts w:hint="eastAsia" w:ascii="宋体" w:hAnsi="宋体" w:eastAsia="宋体" w:cs="宋体"/>
                <w:color w:val="auto"/>
                <w:highlight w:val="none"/>
              </w:rPr>
              <w:t>（5）未提供相应内容的不得分。</w:t>
            </w:r>
          </w:p>
        </w:tc>
      </w:tr>
      <w:tr w14:paraId="5DFA38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4" w:hRule="atLeast"/>
          <w:jc w:val="center"/>
        </w:trPr>
        <w:tc>
          <w:tcPr>
            <w:tcW w:w="712" w:type="dxa"/>
            <w:vMerge w:val="continue"/>
            <w:vAlign w:val="center"/>
          </w:tcPr>
          <w:p w14:paraId="4BC624B3">
            <w:pPr>
              <w:spacing w:line="280" w:lineRule="exact"/>
              <w:jc w:val="center"/>
              <w:rPr>
                <w:rFonts w:hint="eastAsia" w:ascii="宋体" w:hAnsi="宋体" w:eastAsia="宋体" w:cs="宋体"/>
                <w:color w:val="auto"/>
                <w:highlight w:val="none"/>
              </w:rPr>
            </w:pPr>
          </w:p>
        </w:tc>
        <w:tc>
          <w:tcPr>
            <w:tcW w:w="654" w:type="dxa"/>
            <w:vMerge w:val="continue"/>
            <w:vAlign w:val="center"/>
          </w:tcPr>
          <w:p w14:paraId="0B7ACC55">
            <w:pPr>
              <w:spacing w:line="280" w:lineRule="exact"/>
              <w:jc w:val="center"/>
              <w:rPr>
                <w:rFonts w:hint="eastAsia" w:ascii="宋体" w:hAnsi="宋体" w:eastAsia="宋体" w:cs="宋体"/>
                <w:color w:val="auto"/>
                <w:highlight w:val="none"/>
              </w:rPr>
            </w:pPr>
          </w:p>
        </w:tc>
        <w:tc>
          <w:tcPr>
            <w:tcW w:w="771" w:type="dxa"/>
            <w:vAlign w:val="center"/>
          </w:tcPr>
          <w:p w14:paraId="00FDA28A">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8013" w:type="dxa"/>
            <w:vAlign w:val="center"/>
          </w:tcPr>
          <w:p w14:paraId="1D512A74">
            <w:pPr>
              <w:pStyle w:val="82"/>
              <w:spacing w:line="280" w:lineRule="exact"/>
              <w:ind w:firstLine="499"/>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项目组织架构及管理制度：</w:t>
            </w:r>
          </w:p>
          <w:p w14:paraId="4DD65EF6">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1.项目管理机构及其职责；2.管理制度；</w:t>
            </w:r>
          </w:p>
          <w:p w14:paraId="3405D8E6">
            <w:pPr>
              <w:pStyle w:val="82"/>
              <w:spacing w:line="280" w:lineRule="exact"/>
              <w:ind w:firstLine="499"/>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评分标准:</w:t>
            </w:r>
          </w:p>
          <w:p w14:paraId="5F5EC353">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（1）监督抽查项目的组织架构完善，各项管理制度健全，结合项目实际紧密，得(3-5]分；</w:t>
            </w:r>
          </w:p>
          <w:p w14:paraId="517823D7">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（2）监督抽查项目的组织架构和各项管理制度，能基本满足本项目实施的，得（1-3]分；</w:t>
            </w:r>
          </w:p>
          <w:p w14:paraId="0903BD09">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（3）存在缺项、内容不完整的得1分；</w:t>
            </w:r>
          </w:p>
          <w:p w14:paraId="6F77B225">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（4）未提供相应内容的不得分。</w:t>
            </w:r>
          </w:p>
        </w:tc>
      </w:tr>
      <w:tr w14:paraId="5DB82D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1" w:hRule="atLeast"/>
          <w:jc w:val="center"/>
        </w:trPr>
        <w:tc>
          <w:tcPr>
            <w:tcW w:w="712" w:type="dxa"/>
            <w:vMerge w:val="continue"/>
            <w:vAlign w:val="center"/>
          </w:tcPr>
          <w:p w14:paraId="634D683C">
            <w:pPr>
              <w:spacing w:line="280" w:lineRule="exact"/>
              <w:jc w:val="center"/>
              <w:rPr>
                <w:rFonts w:hint="eastAsia" w:ascii="宋体" w:hAnsi="宋体" w:eastAsia="宋体" w:cs="宋体"/>
                <w:color w:val="auto"/>
                <w:highlight w:val="none"/>
              </w:rPr>
            </w:pPr>
          </w:p>
        </w:tc>
        <w:tc>
          <w:tcPr>
            <w:tcW w:w="654" w:type="dxa"/>
            <w:vMerge w:val="continue"/>
            <w:vAlign w:val="center"/>
          </w:tcPr>
          <w:p w14:paraId="2BA4B657">
            <w:pPr>
              <w:spacing w:line="280" w:lineRule="exact"/>
              <w:jc w:val="center"/>
              <w:rPr>
                <w:rFonts w:hint="eastAsia" w:ascii="宋体" w:hAnsi="宋体" w:eastAsia="宋体" w:cs="宋体"/>
                <w:color w:val="auto"/>
                <w:highlight w:val="none"/>
              </w:rPr>
            </w:pPr>
          </w:p>
        </w:tc>
        <w:tc>
          <w:tcPr>
            <w:tcW w:w="771" w:type="dxa"/>
            <w:vAlign w:val="center"/>
          </w:tcPr>
          <w:p w14:paraId="68F3FAB3">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8013" w:type="dxa"/>
            <w:vAlign w:val="center"/>
          </w:tcPr>
          <w:p w14:paraId="72E58FB9">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出具报告的格式及内容：</w:t>
            </w:r>
          </w:p>
          <w:p w14:paraId="6BC79F38">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按文件中的要求制定监督抽查所需报告的格式及内容。</w:t>
            </w:r>
          </w:p>
          <w:p w14:paraId="643420A7">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3ED58381">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（1）抽查报告格式科学合理、内容完整的，得(4-6]分；</w:t>
            </w:r>
          </w:p>
          <w:p w14:paraId="2022C7BA">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（2）抽查报告格式基本合理、内容基本完整的，得(2-4]分；</w:t>
            </w:r>
          </w:p>
          <w:p w14:paraId="7154F891">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（3）抽查报告格式混乱、内容不完整的，得[1-2]分；</w:t>
            </w:r>
          </w:p>
          <w:p w14:paraId="63D0D63F">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（4）未提供相应内容的不得分。</w:t>
            </w:r>
          </w:p>
        </w:tc>
      </w:tr>
      <w:tr w14:paraId="4C20A8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69" w:hRule="atLeast"/>
          <w:jc w:val="center"/>
        </w:trPr>
        <w:tc>
          <w:tcPr>
            <w:tcW w:w="712" w:type="dxa"/>
            <w:vMerge w:val="restart"/>
            <w:vAlign w:val="center"/>
          </w:tcPr>
          <w:p w14:paraId="7DB9D99C">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质量</w:t>
            </w:r>
          </w:p>
          <w:p w14:paraId="5DDE3B1E">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保证</w:t>
            </w:r>
          </w:p>
        </w:tc>
        <w:tc>
          <w:tcPr>
            <w:tcW w:w="654" w:type="dxa"/>
            <w:vMerge w:val="restart"/>
            <w:vAlign w:val="center"/>
          </w:tcPr>
          <w:p w14:paraId="318EDB12">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771" w:type="dxa"/>
            <w:vAlign w:val="center"/>
          </w:tcPr>
          <w:p w14:paraId="50770DF7">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8013" w:type="dxa"/>
            <w:vAlign w:val="center"/>
          </w:tcPr>
          <w:p w14:paraId="025FA110">
            <w:pPr>
              <w:pStyle w:val="82"/>
              <w:spacing w:line="280" w:lineRule="exact"/>
              <w:ind w:firstLine="499"/>
              <w:rPr>
                <w:rFonts w:hint="eastAsia" w:ascii="宋体" w:hAnsi="宋体" w:eastAsia="宋体" w:cs="宋体"/>
                <w:b/>
                <w:color w:val="auto"/>
                <w:highlight w:val="none"/>
              </w:rPr>
            </w:pPr>
            <w:r>
              <w:rPr>
                <w:rFonts w:hint="eastAsia" w:ascii="宋体" w:hAnsi="宋体" w:eastAsia="宋体" w:cs="宋体"/>
                <w:b/>
                <w:color w:val="auto"/>
                <w:highlight w:val="none"/>
              </w:rPr>
              <w:t>信息化能力：</w:t>
            </w:r>
          </w:p>
          <w:p w14:paraId="29B29E9B">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1.具有功能完备的特种设备监督抽查的信息化系统，可按照采购人需求进行监督抽查任务分类，并实现随机抽样、接收下发抽查数据任务、抽查进展状况查询、抽查结果传递、扫码回传整改资料等功能；</w:t>
            </w:r>
          </w:p>
          <w:p w14:paraId="447B7834">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2.具有监督抽查全流程无纸化功能：支持任务申请、下达、录入、校核、审核、批准、发送等全流程无纸化操作，并涵盖可单独验证的符合《电子签名法》的电子签名/签章；</w:t>
            </w:r>
          </w:p>
          <w:p w14:paraId="4FBF2FD7">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3.具有较强的交互和协同处理功能，开放客户端，可实现现场开具“两书一单”，涵盖客户签名，现场拍照，电子签名/签章等；</w:t>
            </w:r>
          </w:p>
          <w:p w14:paraId="749B39D9">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4.具有较强的管理功能，可实现多维度统计分析，基础数据配置、记录表卡管理等；</w:t>
            </w:r>
          </w:p>
          <w:p w14:paraId="02072582">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5.具有较强的运维团队，对采购人在监督抽查过程中的需求能快速响应。</w:t>
            </w:r>
          </w:p>
          <w:p w14:paraId="6736A073">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35B64CC6">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（1）投标人提供的信息化系统能完全满足但不限于1-5项要求功能的，得(7-10]分；</w:t>
            </w:r>
          </w:p>
          <w:p w14:paraId="2DAC0F1D">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（2）投标人提供的信息化系统能基本满足1-5项要求的功能的，得(4-7]分；</w:t>
            </w:r>
          </w:p>
          <w:p w14:paraId="3CCC9471">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（3）投标人提供的信息化系统能基本满足1-5项要求单个功能的，得[1-4]分；</w:t>
            </w:r>
          </w:p>
          <w:p w14:paraId="0F6782C7">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（4）未提供相应内容的不得分。</w:t>
            </w:r>
          </w:p>
          <w:p w14:paraId="1110C9F6">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（提供与软件开发公司关于开发信息系统平台的合同复印件或内部立项及验收材料。）</w:t>
            </w:r>
          </w:p>
        </w:tc>
      </w:tr>
      <w:tr w14:paraId="2F625E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4" w:hRule="atLeast"/>
          <w:jc w:val="center"/>
        </w:trPr>
        <w:tc>
          <w:tcPr>
            <w:tcW w:w="712" w:type="dxa"/>
            <w:vMerge w:val="continue"/>
            <w:vAlign w:val="center"/>
          </w:tcPr>
          <w:p w14:paraId="1BF2D0AF">
            <w:pPr>
              <w:spacing w:line="280" w:lineRule="exact"/>
              <w:jc w:val="center"/>
              <w:rPr>
                <w:rFonts w:hint="eastAsia" w:ascii="宋体" w:hAnsi="宋体" w:eastAsia="宋体" w:cs="宋体"/>
                <w:color w:val="auto"/>
                <w:highlight w:val="none"/>
              </w:rPr>
            </w:pPr>
          </w:p>
        </w:tc>
        <w:tc>
          <w:tcPr>
            <w:tcW w:w="654" w:type="dxa"/>
            <w:vMerge w:val="continue"/>
            <w:vAlign w:val="center"/>
          </w:tcPr>
          <w:p w14:paraId="4D3C7E06">
            <w:pPr>
              <w:pStyle w:val="82"/>
              <w:pBdr>
                <w:between w:val="single" w:color="auto" w:sz="4" w:space="1"/>
              </w:pBdr>
              <w:spacing w:line="280" w:lineRule="exact"/>
              <w:jc w:val="center"/>
              <w:rPr>
                <w:rFonts w:hint="eastAsia" w:ascii="宋体" w:hAnsi="宋体" w:eastAsia="宋体" w:cs="宋体"/>
                <w:color w:val="auto"/>
                <w:highlight w:val="none"/>
              </w:rPr>
            </w:pPr>
          </w:p>
        </w:tc>
        <w:tc>
          <w:tcPr>
            <w:tcW w:w="771" w:type="dxa"/>
            <w:vAlign w:val="center"/>
          </w:tcPr>
          <w:p w14:paraId="24BB8BB7">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013" w:type="dxa"/>
            <w:vAlign w:val="center"/>
          </w:tcPr>
          <w:p w14:paraId="49EBB5A9">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质量保证措施：</w:t>
            </w:r>
          </w:p>
          <w:p w14:paraId="72A4E77D">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1.质量目标；2.奖惩措施；3.服务质量检查；4.验收方法和标准;5.投诉处理；6.整改方案。</w:t>
            </w:r>
          </w:p>
          <w:p w14:paraId="3B51911C">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4338ABD3">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（1）质量保证措施内容满足1—6要求的，得3分；</w:t>
            </w:r>
          </w:p>
          <w:p w14:paraId="70249085">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（2）质量保证措施基本满足上述1—6要求的，得2分；</w:t>
            </w:r>
          </w:p>
          <w:p w14:paraId="45C93A79">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（3）质量保证措施与上述1—6要求相比有缺失的，得1分；</w:t>
            </w:r>
          </w:p>
          <w:p w14:paraId="53D50D0C">
            <w:pPr>
              <w:pStyle w:val="82"/>
              <w:spacing w:line="280" w:lineRule="exact"/>
              <w:ind w:firstLine="480" w:firstLineChars="200"/>
              <w:jc w:val="both"/>
              <w:rPr>
                <w:rFonts w:hint="eastAsia" w:ascii="宋体" w:hAnsi="宋体" w:eastAsia="宋体" w:cs="宋体"/>
                <w:b/>
                <w:color w:val="auto"/>
                <w:highlight w:val="none"/>
              </w:rPr>
            </w:pPr>
            <w:r>
              <w:rPr>
                <w:rFonts w:hint="eastAsia" w:ascii="宋体" w:hAnsi="宋体" w:eastAsia="宋体" w:cs="宋体"/>
                <w:color w:val="auto"/>
                <w:highlight w:val="none"/>
              </w:rPr>
              <w:t>（4）未提供相应质量保证措施的不得分。</w:t>
            </w:r>
          </w:p>
        </w:tc>
      </w:tr>
      <w:tr w14:paraId="430476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1" w:hRule="atLeast"/>
          <w:jc w:val="center"/>
        </w:trPr>
        <w:tc>
          <w:tcPr>
            <w:tcW w:w="712" w:type="dxa"/>
            <w:vMerge w:val="continue"/>
            <w:vAlign w:val="center"/>
          </w:tcPr>
          <w:p w14:paraId="6BBFDB23">
            <w:pPr>
              <w:spacing w:line="280" w:lineRule="exact"/>
              <w:jc w:val="center"/>
              <w:rPr>
                <w:rFonts w:hint="eastAsia" w:ascii="宋体" w:hAnsi="宋体" w:eastAsia="宋体" w:cs="宋体"/>
                <w:color w:val="auto"/>
                <w:highlight w:val="none"/>
              </w:rPr>
            </w:pPr>
          </w:p>
        </w:tc>
        <w:tc>
          <w:tcPr>
            <w:tcW w:w="654" w:type="dxa"/>
            <w:vMerge w:val="continue"/>
            <w:vAlign w:val="center"/>
          </w:tcPr>
          <w:p w14:paraId="3A46BE8F">
            <w:pPr>
              <w:pStyle w:val="82"/>
              <w:pBdr>
                <w:between w:val="single" w:color="auto" w:sz="4" w:space="1"/>
              </w:pBdr>
              <w:spacing w:line="280" w:lineRule="exact"/>
              <w:jc w:val="center"/>
              <w:rPr>
                <w:rFonts w:hint="eastAsia" w:ascii="宋体" w:hAnsi="宋体" w:eastAsia="宋体" w:cs="宋体"/>
                <w:color w:val="auto"/>
                <w:highlight w:val="none"/>
              </w:rPr>
            </w:pPr>
          </w:p>
        </w:tc>
        <w:tc>
          <w:tcPr>
            <w:tcW w:w="771" w:type="dxa"/>
            <w:vAlign w:val="center"/>
          </w:tcPr>
          <w:p w14:paraId="47093CB4">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013" w:type="dxa"/>
            <w:vAlign w:val="center"/>
          </w:tcPr>
          <w:p w14:paraId="486AAD8A">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服务承诺：</w:t>
            </w:r>
          </w:p>
          <w:p w14:paraId="3F907368">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1.售后服务承诺；2.服务响应及时；3.违约承诺。</w:t>
            </w:r>
          </w:p>
          <w:p w14:paraId="23A82251">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0439467C">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（1）售后服务承诺操作性强、响应迅速且责任明晰的，得3分；</w:t>
            </w:r>
          </w:p>
          <w:p w14:paraId="2451BA59">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（2）售后服务承诺操作性一般，有服务响应及责任区分的，得2分；</w:t>
            </w:r>
          </w:p>
          <w:p w14:paraId="6E669DC1">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（3）售后服务承诺、响应及责任区分有缺项的，得1分；</w:t>
            </w:r>
          </w:p>
          <w:p w14:paraId="71BEE282">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（4）未提供相应内容的不得分。</w:t>
            </w:r>
          </w:p>
        </w:tc>
      </w:tr>
      <w:tr w14:paraId="3A0898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8" w:hRule="atLeast"/>
          <w:jc w:val="center"/>
        </w:trPr>
        <w:tc>
          <w:tcPr>
            <w:tcW w:w="712" w:type="dxa"/>
            <w:vMerge w:val="restart"/>
            <w:vAlign w:val="center"/>
          </w:tcPr>
          <w:p w14:paraId="1D4523FE">
            <w:pPr>
              <w:pStyle w:val="82"/>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人员</w:t>
            </w:r>
          </w:p>
          <w:p w14:paraId="00828B2A">
            <w:pPr>
              <w:pStyle w:val="82"/>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配备</w:t>
            </w:r>
          </w:p>
        </w:tc>
        <w:tc>
          <w:tcPr>
            <w:tcW w:w="654" w:type="dxa"/>
            <w:vMerge w:val="restart"/>
            <w:vAlign w:val="center"/>
          </w:tcPr>
          <w:p w14:paraId="2B216D1A">
            <w:pPr>
              <w:pStyle w:val="82"/>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771" w:type="dxa"/>
            <w:vAlign w:val="center"/>
          </w:tcPr>
          <w:p w14:paraId="3C6343AE">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8013" w:type="dxa"/>
            <w:vAlign w:val="center"/>
          </w:tcPr>
          <w:p w14:paraId="47284942">
            <w:pPr>
              <w:pStyle w:val="82"/>
              <w:spacing w:line="280" w:lineRule="exact"/>
              <w:ind w:firstLine="499"/>
              <w:rPr>
                <w:rFonts w:hint="eastAsia" w:ascii="宋体" w:hAnsi="宋体" w:eastAsia="宋体" w:cs="宋体"/>
                <w:color w:val="auto"/>
                <w:highlight w:val="none"/>
              </w:rPr>
            </w:pPr>
            <w:r>
              <w:rPr>
                <w:rFonts w:hint="eastAsia" w:ascii="宋体" w:hAnsi="宋体" w:eastAsia="宋体" w:cs="宋体"/>
                <w:b/>
                <w:color w:val="auto"/>
                <w:highlight w:val="none"/>
              </w:rPr>
              <w:t>拟安排的项目负责人情况:</w:t>
            </w:r>
          </w:p>
          <w:p w14:paraId="6F8F3F71">
            <w:pPr>
              <w:pStyle w:val="82"/>
              <w:spacing w:line="2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1.项目负责人具有正高（教授）级职称，得2分；项目负责人具有高级职称，得1分。</w:t>
            </w:r>
          </w:p>
          <w:p w14:paraId="6581C36A">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2.项目负责人参与、主持过国家级特种设备技术规范或标准起草工作的，得2分；项目负责人参与、主持过省级及以下特种设备或技术规范、地方标准起草工作的，得1分；</w:t>
            </w:r>
          </w:p>
          <w:p w14:paraId="3E32B2F8">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职称证书及工作经历证明材料扫描件作为得分依据；2.评分中出现无证明资料或专家无法凭所提供资料判断是否得分的情况，一律作不得分处理；3.要求拟安排的项目负责人（1人）必须在投标单位缴纳至少六个月社保，否则本项直接计0分。要求提供人员社保记录，社保记录与投标人单位应保持一致。）</w:t>
            </w:r>
          </w:p>
        </w:tc>
      </w:tr>
      <w:tr w14:paraId="29C8CF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85" w:hRule="atLeast"/>
          <w:jc w:val="center"/>
        </w:trPr>
        <w:tc>
          <w:tcPr>
            <w:tcW w:w="712" w:type="dxa"/>
            <w:vMerge w:val="continue"/>
          </w:tcPr>
          <w:p w14:paraId="76CC809C">
            <w:pPr>
              <w:spacing w:line="280" w:lineRule="exact"/>
              <w:rPr>
                <w:rFonts w:hint="eastAsia" w:ascii="宋体" w:hAnsi="宋体" w:eastAsia="宋体" w:cs="宋体"/>
                <w:color w:val="auto"/>
                <w:highlight w:val="none"/>
              </w:rPr>
            </w:pPr>
          </w:p>
        </w:tc>
        <w:tc>
          <w:tcPr>
            <w:tcW w:w="654" w:type="dxa"/>
            <w:vMerge w:val="continue"/>
          </w:tcPr>
          <w:p w14:paraId="1E6ED9E9">
            <w:pPr>
              <w:spacing w:line="280" w:lineRule="exact"/>
              <w:rPr>
                <w:rFonts w:hint="eastAsia" w:ascii="宋体" w:hAnsi="宋体" w:eastAsia="宋体" w:cs="宋体"/>
                <w:color w:val="auto"/>
                <w:highlight w:val="none"/>
              </w:rPr>
            </w:pPr>
          </w:p>
        </w:tc>
        <w:tc>
          <w:tcPr>
            <w:tcW w:w="771" w:type="dxa"/>
            <w:vAlign w:val="center"/>
          </w:tcPr>
          <w:p w14:paraId="1DAA6F3A">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8013" w:type="dxa"/>
            <w:vAlign w:val="center"/>
          </w:tcPr>
          <w:p w14:paraId="2E79C4A9">
            <w:pPr>
              <w:pStyle w:val="82"/>
              <w:spacing w:line="280" w:lineRule="exact"/>
              <w:ind w:firstLine="499"/>
              <w:rPr>
                <w:rFonts w:hint="eastAsia" w:ascii="宋体" w:hAnsi="宋体" w:eastAsia="宋体" w:cs="宋体"/>
                <w:b/>
                <w:color w:val="auto"/>
                <w:highlight w:val="none"/>
              </w:rPr>
            </w:pPr>
            <w:r>
              <w:rPr>
                <w:rFonts w:hint="eastAsia" w:ascii="宋体" w:hAnsi="宋体" w:eastAsia="宋体" w:cs="宋体"/>
                <w:b/>
                <w:color w:val="auto"/>
                <w:highlight w:val="none"/>
              </w:rPr>
              <w:t>拟投入本项目的人员资质及数量：</w:t>
            </w:r>
          </w:p>
          <w:p w14:paraId="107A50E7">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1.具有机电类特种设备检验师资质和机电类检验员资质总数达到100人及以上，其中机电类检验师资质总数达到80以上的，得8分（需要同时满足）；</w:t>
            </w:r>
          </w:p>
          <w:p w14:paraId="3F7E68AA">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2.具有机电类特种设备检验师资质和机电类检验员资质总数达到80人及以上，其中机电类检验师资质人数达到60人以上的，得6分（需要同时满足）；</w:t>
            </w:r>
          </w:p>
          <w:p w14:paraId="6F8204D1">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3.具有机电类特种设备检验师资质和机电类检验员资质总数达到60人及以上，其中机电类检验师资质人数达到40人以上的，得4分（需要同时满足）；</w:t>
            </w:r>
          </w:p>
          <w:p w14:paraId="69FFB591">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 具有机电类特种设备检验师资质和机电类检验员资质总数达到40人及以上，其中机电类检验师资质人数达到20人以上的，得2分（需要同时满足）。</w:t>
            </w:r>
          </w:p>
          <w:p w14:paraId="11E56E65">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（提供相关人员资格证书和本项目开标日前连续六个月供应商为相关人员缴纳的社保证明文件复印件。）</w:t>
            </w:r>
          </w:p>
        </w:tc>
      </w:tr>
      <w:tr w14:paraId="46A59A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91" w:hRule="atLeast"/>
          <w:jc w:val="center"/>
        </w:trPr>
        <w:tc>
          <w:tcPr>
            <w:tcW w:w="712" w:type="dxa"/>
            <w:vMerge w:val="restart"/>
            <w:vAlign w:val="center"/>
          </w:tcPr>
          <w:p w14:paraId="17D47938">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业绩</w:t>
            </w:r>
          </w:p>
        </w:tc>
        <w:tc>
          <w:tcPr>
            <w:tcW w:w="654" w:type="dxa"/>
            <w:vMerge w:val="restart"/>
            <w:vAlign w:val="center"/>
          </w:tcPr>
          <w:p w14:paraId="4D3B0A7F">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771" w:type="dxa"/>
            <w:vAlign w:val="center"/>
          </w:tcPr>
          <w:p w14:paraId="6D0E89F8">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013" w:type="dxa"/>
            <w:vAlign w:val="center"/>
          </w:tcPr>
          <w:p w14:paraId="61CFD525">
            <w:pPr>
              <w:pStyle w:val="82"/>
              <w:spacing w:line="280" w:lineRule="exact"/>
              <w:ind w:firstLine="499"/>
              <w:rPr>
                <w:rFonts w:hint="eastAsia" w:ascii="宋体" w:hAnsi="宋体" w:eastAsia="宋体" w:cs="宋体"/>
                <w:b/>
                <w:color w:val="auto"/>
                <w:highlight w:val="none"/>
              </w:rPr>
            </w:pPr>
            <w:r>
              <w:rPr>
                <w:rFonts w:hint="eastAsia" w:ascii="宋体" w:hAnsi="宋体" w:eastAsia="宋体" w:cs="宋体"/>
                <w:b/>
                <w:color w:val="auto"/>
                <w:highlight w:val="none"/>
              </w:rPr>
              <w:t>监督抽查业绩：</w:t>
            </w:r>
          </w:p>
          <w:p w14:paraId="7D30D590">
            <w:pPr>
              <w:pStyle w:val="82"/>
              <w:spacing w:line="2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1.在各地政府项目中承担机电类特种设备生产单位监督抽查工作的业绩证明，每出具一份得1分，最高得1分；</w:t>
            </w:r>
          </w:p>
          <w:p w14:paraId="557DEF72">
            <w:pPr>
              <w:pStyle w:val="82"/>
              <w:spacing w:line="2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2.在各地政府项目中承担机电类特种设备使用单位监督抽查工作的业绩证明，每出具一份得1分，最高得1分；</w:t>
            </w:r>
          </w:p>
          <w:p w14:paraId="59CFB1A0">
            <w:pPr>
              <w:pStyle w:val="82"/>
              <w:spacing w:line="2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各类监督抽查工作包含但不限于特种设备监管部门开展的电梯安全评估、保障性检验、隐患排查等工作。</w:t>
            </w:r>
          </w:p>
          <w:p w14:paraId="5B57C540">
            <w:pPr>
              <w:pStyle w:val="82"/>
              <w:spacing w:line="280" w:lineRule="exact"/>
              <w:ind w:firstLine="499"/>
              <w:rPr>
                <w:rFonts w:hint="eastAsia" w:ascii="宋体" w:hAnsi="宋体" w:eastAsia="宋体" w:cs="宋体"/>
                <w:color w:val="auto"/>
                <w:highlight w:val="none"/>
              </w:rPr>
            </w:pPr>
            <w:r>
              <w:rPr>
                <w:rFonts w:hint="eastAsia" w:ascii="宋体" w:hAnsi="宋体" w:eastAsia="宋体" w:cs="宋体"/>
                <w:b/>
                <w:color w:val="auto"/>
                <w:highlight w:val="none"/>
              </w:rPr>
              <w:t>评分标准：</w:t>
            </w:r>
          </w:p>
          <w:p w14:paraId="5137041D">
            <w:pPr>
              <w:pStyle w:val="82"/>
              <w:spacing w:line="280" w:lineRule="exact"/>
              <w:rPr>
                <w:rFonts w:hint="eastAsia" w:ascii="宋体" w:hAnsi="宋体" w:eastAsia="宋体" w:cs="宋体"/>
                <w:b/>
                <w:color w:val="auto"/>
                <w:highlight w:val="none"/>
              </w:rPr>
            </w:pPr>
            <w:r>
              <w:rPr>
                <w:rFonts w:hint="eastAsia" w:ascii="宋体" w:hAnsi="宋体" w:eastAsia="宋体" w:cs="宋体"/>
                <w:color w:val="auto"/>
                <w:highlight w:val="none"/>
              </w:rPr>
              <w:t>以上业绩需提供2022年至今已开始实施的采购合同（或任务书、工作文件以及相关评估、检验报告）和相应的验收文件复印件加盖公章。</w:t>
            </w:r>
          </w:p>
        </w:tc>
      </w:tr>
      <w:tr w14:paraId="223FAF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712" w:type="dxa"/>
            <w:vMerge w:val="continue"/>
            <w:vAlign w:val="center"/>
          </w:tcPr>
          <w:p w14:paraId="5A2656FB">
            <w:pPr>
              <w:spacing w:line="280" w:lineRule="exact"/>
              <w:jc w:val="center"/>
              <w:rPr>
                <w:rFonts w:hint="eastAsia" w:ascii="宋体" w:hAnsi="宋体" w:eastAsia="宋体" w:cs="宋体"/>
                <w:color w:val="auto"/>
                <w:highlight w:val="none"/>
              </w:rPr>
            </w:pPr>
          </w:p>
        </w:tc>
        <w:tc>
          <w:tcPr>
            <w:tcW w:w="654" w:type="dxa"/>
            <w:vMerge w:val="continue"/>
            <w:vAlign w:val="center"/>
          </w:tcPr>
          <w:p w14:paraId="0BE3B387">
            <w:pPr>
              <w:spacing w:line="280" w:lineRule="exact"/>
              <w:jc w:val="center"/>
              <w:rPr>
                <w:rFonts w:hint="eastAsia" w:ascii="宋体" w:hAnsi="宋体" w:eastAsia="宋体" w:cs="宋体"/>
                <w:color w:val="auto"/>
                <w:highlight w:val="none"/>
              </w:rPr>
            </w:pPr>
          </w:p>
        </w:tc>
        <w:tc>
          <w:tcPr>
            <w:tcW w:w="771" w:type="dxa"/>
            <w:vAlign w:val="center"/>
          </w:tcPr>
          <w:p w14:paraId="396AFB70">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013" w:type="dxa"/>
            <w:vAlign w:val="center"/>
          </w:tcPr>
          <w:p w14:paraId="583CD6C5">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服务质量评价：</w:t>
            </w:r>
          </w:p>
          <w:p w14:paraId="310830AA">
            <w:pPr>
              <w:pStyle w:val="82"/>
              <w:spacing w:line="280" w:lineRule="exact"/>
              <w:ind w:firstLine="480" w:firstLineChars="200"/>
              <w:rPr>
                <w:rFonts w:hint="eastAsia" w:ascii="宋体" w:hAnsi="宋体" w:eastAsia="宋体" w:cs="宋体"/>
                <w:b/>
                <w:color w:val="auto"/>
                <w:highlight w:val="none"/>
              </w:rPr>
            </w:pPr>
            <w:r>
              <w:rPr>
                <w:rFonts w:hint="eastAsia" w:ascii="宋体" w:hAnsi="宋体" w:eastAsia="宋体" w:cs="宋体"/>
                <w:color w:val="auto"/>
                <w:highlight w:val="none"/>
              </w:rPr>
              <w:t>获得采购单位或被委托单位出具的服务质量评价，每出具一份评价为优的，得1分；评价为良的，得0.5分；其他情况得0分。最高得2分。</w:t>
            </w:r>
          </w:p>
        </w:tc>
      </w:tr>
      <w:tr w14:paraId="74B773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68" w:hRule="atLeast"/>
          <w:jc w:val="center"/>
        </w:trPr>
        <w:tc>
          <w:tcPr>
            <w:tcW w:w="712" w:type="dxa"/>
            <w:vMerge w:val="restart"/>
            <w:vAlign w:val="center"/>
          </w:tcPr>
          <w:p w14:paraId="0031B96F">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综合</w:t>
            </w:r>
          </w:p>
          <w:p w14:paraId="0EA392BF">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实力</w:t>
            </w:r>
          </w:p>
        </w:tc>
        <w:tc>
          <w:tcPr>
            <w:tcW w:w="654" w:type="dxa"/>
            <w:vMerge w:val="restart"/>
            <w:vAlign w:val="center"/>
          </w:tcPr>
          <w:p w14:paraId="34415E70">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771" w:type="dxa"/>
            <w:vAlign w:val="center"/>
          </w:tcPr>
          <w:p w14:paraId="4AD0C79C">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013" w:type="dxa"/>
            <w:vAlign w:val="center"/>
          </w:tcPr>
          <w:p w14:paraId="46867E51">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认证体系：</w:t>
            </w:r>
          </w:p>
          <w:p w14:paraId="30A8D0AE">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1.实验室CNAS认可或检验机构CNAS认可；2.CMA资质认定；3.质量管理体系认证。</w:t>
            </w:r>
          </w:p>
          <w:p w14:paraId="575A6239">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评分标准:</w:t>
            </w:r>
          </w:p>
          <w:p w14:paraId="41771BB2">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1.提供有效的资格（认证）证书复印件；</w:t>
            </w:r>
          </w:p>
          <w:p w14:paraId="116E403A">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2.评分中出现无证明资料或专家无法凭所提供资料判断是否得分的情况，一律作不得分处理。</w:t>
            </w:r>
          </w:p>
          <w:p w14:paraId="4DA2AC43">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3.每提供一个上述认证得1分，此项最多得3分。</w:t>
            </w:r>
          </w:p>
        </w:tc>
      </w:tr>
      <w:tr w14:paraId="22656B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28" w:hRule="atLeast"/>
          <w:jc w:val="center"/>
        </w:trPr>
        <w:tc>
          <w:tcPr>
            <w:tcW w:w="712" w:type="dxa"/>
            <w:vMerge w:val="continue"/>
            <w:vAlign w:val="center"/>
          </w:tcPr>
          <w:p w14:paraId="3CCBB589">
            <w:pPr>
              <w:spacing w:line="280" w:lineRule="exact"/>
              <w:jc w:val="center"/>
              <w:rPr>
                <w:rFonts w:hint="eastAsia" w:ascii="宋体" w:hAnsi="宋体" w:eastAsia="宋体" w:cs="宋体"/>
                <w:color w:val="auto"/>
                <w:highlight w:val="none"/>
              </w:rPr>
            </w:pPr>
          </w:p>
        </w:tc>
        <w:tc>
          <w:tcPr>
            <w:tcW w:w="654" w:type="dxa"/>
            <w:vMerge w:val="continue"/>
            <w:vAlign w:val="center"/>
          </w:tcPr>
          <w:p w14:paraId="6E001738">
            <w:pPr>
              <w:spacing w:line="280" w:lineRule="exact"/>
              <w:jc w:val="center"/>
              <w:rPr>
                <w:rFonts w:hint="eastAsia" w:ascii="宋体" w:hAnsi="宋体" w:eastAsia="宋体" w:cs="宋体"/>
                <w:color w:val="auto"/>
                <w:highlight w:val="none"/>
              </w:rPr>
            </w:pPr>
          </w:p>
        </w:tc>
        <w:tc>
          <w:tcPr>
            <w:tcW w:w="771" w:type="dxa"/>
            <w:vAlign w:val="center"/>
          </w:tcPr>
          <w:p w14:paraId="1487A001">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013" w:type="dxa"/>
            <w:vAlign w:val="center"/>
          </w:tcPr>
          <w:p w14:paraId="32120621">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投标人资格情况及通过相关认证情况: </w:t>
            </w:r>
          </w:p>
          <w:p w14:paraId="7881E991">
            <w:pPr>
              <w:spacing w:line="28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投标人通过省级或以上重点实验室、质检站（中心）的，得2分，没有不得分。</w:t>
            </w:r>
          </w:p>
          <w:p w14:paraId="2AEA47C1">
            <w:pPr>
              <w:pStyle w:val="82"/>
              <w:spacing w:line="280" w:lineRule="exact"/>
              <w:ind w:firstLine="499"/>
              <w:jc w:val="both"/>
              <w:rPr>
                <w:rFonts w:hint="eastAsia" w:ascii="宋体" w:hAnsi="宋体" w:eastAsia="宋体" w:cs="宋体"/>
                <w:color w:val="auto"/>
                <w:highlight w:val="none"/>
              </w:rPr>
            </w:pPr>
            <w:r>
              <w:rPr>
                <w:rFonts w:hint="eastAsia" w:ascii="宋体" w:hAnsi="宋体" w:eastAsia="宋体" w:cs="宋体"/>
                <w:b/>
                <w:color w:val="auto"/>
                <w:highlight w:val="none"/>
              </w:rPr>
              <w:t xml:space="preserve">评分标准: </w:t>
            </w:r>
          </w:p>
          <w:p w14:paraId="78CF7620">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1.提供有效的资格（认证）证书复印件；</w:t>
            </w:r>
          </w:p>
          <w:p w14:paraId="49F3A09C">
            <w:pPr>
              <w:pStyle w:val="82"/>
              <w:spacing w:line="280" w:lineRule="exact"/>
              <w:ind w:firstLine="480" w:firstLineChars="200"/>
              <w:jc w:val="both"/>
              <w:rPr>
                <w:rFonts w:hint="eastAsia" w:ascii="宋体" w:hAnsi="宋体" w:eastAsia="宋体" w:cs="宋体"/>
                <w:b/>
                <w:color w:val="auto"/>
                <w:highlight w:val="none"/>
              </w:rPr>
            </w:pPr>
            <w:r>
              <w:rPr>
                <w:rFonts w:hint="eastAsia" w:ascii="宋体" w:hAnsi="宋体" w:eastAsia="宋体" w:cs="宋体"/>
                <w:color w:val="auto"/>
                <w:highlight w:val="none"/>
              </w:rPr>
              <w:t>2.评分中出现无证明资料或专家无法凭所提供资料判断是否得分的情况，一律作不得分处理。）</w:t>
            </w:r>
          </w:p>
        </w:tc>
      </w:tr>
      <w:tr w14:paraId="07FC6B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84" w:hRule="atLeast"/>
          <w:jc w:val="center"/>
        </w:trPr>
        <w:tc>
          <w:tcPr>
            <w:tcW w:w="712" w:type="dxa"/>
            <w:vMerge w:val="continue"/>
          </w:tcPr>
          <w:p w14:paraId="27DD87C7">
            <w:pPr>
              <w:spacing w:line="280" w:lineRule="exact"/>
              <w:rPr>
                <w:rFonts w:hint="eastAsia" w:ascii="宋体" w:hAnsi="宋体" w:eastAsia="宋体" w:cs="宋体"/>
                <w:color w:val="auto"/>
                <w:highlight w:val="none"/>
              </w:rPr>
            </w:pPr>
          </w:p>
        </w:tc>
        <w:tc>
          <w:tcPr>
            <w:tcW w:w="654" w:type="dxa"/>
            <w:vMerge w:val="continue"/>
          </w:tcPr>
          <w:p w14:paraId="78AEA3CC">
            <w:pPr>
              <w:spacing w:line="280" w:lineRule="exact"/>
              <w:rPr>
                <w:rFonts w:hint="eastAsia" w:ascii="宋体" w:hAnsi="宋体" w:eastAsia="宋体" w:cs="宋体"/>
                <w:color w:val="auto"/>
                <w:highlight w:val="none"/>
              </w:rPr>
            </w:pPr>
          </w:p>
        </w:tc>
        <w:tc>
          <w:tcPr>
            <w:tcW w:w="771" w:type="dxa"/>
            <w:vAlign w:val="center"/>
          </w:tcPr>
          <w:p w14:paraId="5ECEC663">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013" w:type="dxa"/>
            <w:vAlign w:val="center"/>
          </w:tcPr>
          <w:p w14:paraId="3D9DB8C7">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科研能力：</w:t>
            </w:r>
          </w:p>
          <w:p w14:paraId="66C68AF3">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2016年1月1日起承担过国家级机电类特种设备科研项目的，每项1分，省级及以下机电类特种设备科研项目的，每项0.5分，最多得2分。</w:t>
            </w:r>
          </w:p>
          <w:p w14:paraId="69CD7241">
            <w:pPr>
              <w:pStyle w:val="82"/>
              <w:spacing w:line="280" w:lineRule="exact"/>
              <w:ind w:firstLine="499"/>
              <w:jc w:val="both"/>
              <w:rPr>
                <w:rFonts w:hint="eastAsia" w:ascii="宋体" w:hAnsi="宋体" w:eastAsia="宋体" w:cs="宋体"/>
                <w:color w:val="auto"/>
                <w:highlight w:val="none"/>
              </w:rPr>
            </w:pPr>
            <w:r>
              <w:rPr>
                <w:rFonts w:hint="eastAsia" w:ascii="宋体" w:hAnsi="宋体" w:eastAsia="宋体" w:cs="宋体"/>
                <w:b/>
                <w:color w:val="auto"/>
                <w:highlight w:val="none"/>
              </w:rPr>
              <w:t xml:space="preserve">评分标准: </w:t>
            </w:r>
          </w:p>
          <w:p w14:paraId="09A509A0">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1.提供相关证明复印件；</w:t>
            </w:r>
          </w:p>
          <w:p w14:paraId="1B6EE2B8">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2.评分中出现无证明资料或专家无法凭所提供资料判断是否得分的情况，一律作不得分处理。</w:t>
            </w:r>
          </w:p>
        </w:tc>
      </w:tr>
      <w:tr w14:paraId="60BD87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84" w:hRule="atLeast"/>
          <w:jc w:val="center"/>
        </w:trPr>
        <w:tc>
          <w:tcPr>
            <w:tcW w:w="712" w:type="dxa"/>
            <w:vMerge w:val="continue"/>
          </w:tcPr>
          <w:p w14:paraId="79A308F7">
            <w:pPr>
              <w:spacing w:line="280" w:lineRule="exact"/>
              <w:rPr>
                <w:rFonts w:hint="eastAsia" w:ascii="宋体" w:hAnsi="宋体" w:eastAsia="宋体" w:cs="宋体"/>
                <w:color w:val="auto"/>
                <w:highlight w:val="none"/>
              </w:rPr>
            </w:pPr>
          </w:p>
        </w:tc>
        <w:tc>
          <w:tcPr>
            <w:tcW w:w="654" w:type="dxa"/>
            <w:vMerge w:val="continue"/>
          </w:tcPr>
          <w:p w14:paraId="7E9BDD9E">
            <w:pPr>
              <w:spacing w:line="280" w:lineRule="exact"/>
              <w:rPr>
                <w:rFonts w:hint="eastAsia" w:ascii="宋体" w:hAnsi="宋体" w:eastAsia="宋体" w:cs="宋体"/>
                <w:color w:val="auto"/>
                <w:highlight w:val="none"/>
              </w:rPr>
            </w:pPr>
          </w:p>
        </w:tc>
        <w:tc>
          <w:tcPr>
            <w:tcW w:w="771" w:type="dxa"/>
            <w:vAlign w:val="center"/>
          </w:tcPr>
          <w:p w14:paraId="3C91FA33">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013" w:type="dxa"/>
            <w:vAlign w:val="center"/>
          </w:tcPr>
          <w:p w14:paraId="47383D7C">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自主知识产权产品（创新、设计）: </w:t>
            </w:r>
          </w:p>
          <w:p w14:paraId="539B9869">
            <w:pPr>
              <w:pStyle w:val="82"/>
              <w:spacing w:line="2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2016年1月1日起投标人在机电类特种设备领域获得的国家发明专利授权，每项1分，最多2分。</w:t>
            </w:r>
          </w:p>
          <w:p w14:paraId="1332D03C">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1F6B4A57">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1.提供相关证明复印件；</w:t>
            </w:r>
          </w:p>
          <w:p w14:paraId="720FBC73">
            <w:pPr>
              <w:spacing w:line="2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2.评分中出现无证明资料或专家无法凭所提供资料判断是否得分的情况，一律作不得分处理。</w:t>
            </w:r>
          </w:p>
        </w:tc>
      </w:tr>
      <w:tr w14:paraId="0634BF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4" w:hRule="atLeast"/>
          <w:jc w:val="center"/>
        </w:trPr>
        <w:tc>
          <w:tcPr>
            <w:tcW w:w="712" w:type="dxa"/>
            <w:vMerge w:val="continue"/>
            <w:vAlign w:val="center"/>
          </w:tcPr>
          <w:p w14:paraId="62081AA6">
            <w:pPr>
              <w:pStyle w:val="82"/>
              <w:pBdr>
                <w:between w:val="single" w:color="auto" w:sz="4" w:space="1"/>
              </w:pBdr>
              <w:spacing w:line="280" w:lineRule="exact"/>
              <w:jc w:val="center"/>
              <w:rPr>
                <w:rFonts w:hint="eastAsia" w:ascii="宋体" w:hAnsi="宋体" w:eastAsia="宋体" w:cs="宋体"/>
                <w:color w:val="auto"/>
                <w:highlight w:val="none"/>
              </w:rPr>
            </w:pPr>
          </w:p>
        </w:tc>
        <w:tc>
          <w:tcPr>
            <w:tcW w:w="654" w:type="dxa"/>
            <w:vMerge w:val="continue"/>
            <w:vAlign w:val="center"/>
          </w:tcPr>
          <w:p w14:paraId="6BF34E3C">
            <w:pPr>
              <w:pStyle w:val="82"/>
              <w:pBdr>
                <w:between w:val="single" w:color="auto" w:sz="4" w:space="1"/>
              </w:pBdr>
              <w:spacing w:line="280" w:lineRule="exact"/>
              <w:jc w:val="center"/>
              <w:rPr>
                <w:rFonts w:hint="eastAsia" w:ascii="宋体" w:hAnsi="宋体" w:eastAsia="宋体" w:cs="宋体"/>
                <w:color w:val="auto"/>
                <w:highlight w:val="none"/>
              </w:rPr>
            </w:pPr>
          </w:p>
        </w:tc>
        <w:tc>
          <w:tcPr>
            <w:tcW w:w="771" w:type="dxa"/>
            <w:vAlign w:val="center"/>
          </w:tcPr>
          <w:p w14:paraId="700D3E44">
            <w:pPr>
              <w:pStyle w:val="82"/>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8013" w:type="dxa"/>
            <w:vAlign w:val="center"/>
          </w:tcPr>
          <w:p w14:paraId="471ABB40">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应急保障经验：</w:t>
            </w:r>
          </w:p>
          <w:p w14:paraId="678E6C86">
            <w:pPr>
              <w:pStyle w:val="82"/>
              <w:spacing w:line="280" w:lineRule="exact"/>
              <w:ind w:firstLine="470" w:firstLineChars="196"/>
              <w:jc w:val="both"/>
              <w:rPr>
                <w:rFonts w:hint="eastAsia" w:ascii="宋体" w:hAnsi="宋体" w:eastAsia="宋体" w:cs="宋体"/>
                <w:color w:val="auto"/>
                <w:highlight w:val="none"/>
              </w:rPr>
            </w:pPr>
            <w:r>
              <w:rPr>
                <w:rFonts w:hint="eastAsia" w:ascii="宋体" w:hAnsi="宋体" w:eastAsia="宋体" w:cs="宋体"/>
                <w:color w:val="auto"/>
                <w:highlight w:val="none"/>
              </w:rPr>
              <w:t>1.参与国际型会议、重大活动等主会场电梯安全保障工作的，得6分；</w:t>
            </w:r>
          </w:p>
          <w:p w14:paraId="5DE64E8F">
            <w:pPr>
              <w:pStyle w:val="82"/>
              <w:spacing w:line="280" w:lineRule="exact"/>
              <w:ind w:firstLine="470" w:firstLineChars="196"/>
              <w:jc w:val="both"/>
              <w:rPr>
                <w:rFonts w:hint="eastAsia" w:ascii="宋体" w:hAnsi="宋体" w:eastAsia="宋体" w:cs="宋体"/>
                <w:color w:val="auto"/>
                <w:highlight w:val="none"/>
              </w:rPr>
            </w:pPr>
            <w:r>
              <w:rPr>
                <w:rFonts w:hint="eastAsia" w:ascii="宋体" w:hAnsi="宋体" w:eastAsia="宋体" w:cs="宋体"/>
                <w:color w:val="auto"/>
                <w:highlight w:val="none"/>
              </w:rPr>
              <w:t>2.参与全国性会议、重大活动等主会场电梯安全保障工作的，得4分；</w:t>
            </w:r>
          </w:p>
          <w:p w14:paraId="6760A3C8">
            <w:pPr>
              <w:pStyle w:val="82"/>
              <w:spacing w:line="280" w:lineRule="exact"/>
              <w:ind w:firstLine="470" w:firstLineChars="196"/>
              <w:jc w:val="both"/>
              <w:rPr>
                <w:rFonts w:hint="eastAsia" w:ascii="宋体" w:hAnsi="宋体" w:eastAsia="宋体" w:cs="宋体"/>
                <w:color w:val="auto"/>
                <w:highlight w:val="none"/>
              </w:rPr>
            </w:pPr>
            <w:r>
              <w:rPr>
                <w:rFonts w:hint="eastAsia" w:ascii="宋体" w:hAnsi="宋体" w:eastAsia="宋体" w:cs="宋体"/>
                <w:color w:val="auto"/>
                <w:highlight w:val="none"/>
              </w:rPr>
              <w:t>3.参与全省性会议、重大活动等主会场电梯安全保障工作的，得2分。</w:t>
            </w:r>
          </w:p>
          <w:p w14:paraId="017815B6">
            <w:pPr>
              <w:pStyle w:val="82"/>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76E5A9BA">
            <w:pPr>
              <w:pStyle w:val="82"/>
              <w:spacing w:line="280" w:lineRule="exact"/>
              <w:ind w:firstLine="470" w:firstLineChars="196"/>
              <w:jc w:val="both"/>
              <w:rPr>
                <w:rFonts w:hint="eastAsia" w:ascii="宋体" w:hAnsi="宋体" w:eastAsia="宋体" w:cs="宋体"/>
                <w:color w:val="auto"/>
                <w:highlight w:val="none"/>
              </w:rPr>
            </w:pPr>
            <w:r>
              <w:rPr>
                <w:rFonts w:hint="eastAsia" w:ascii="宋体" w:hAnsi="宋体" w:eastAsia="宋体" w:cs="宋体"/>
                <w:color w:val="auto"/>
                <w:highlight w:val="none"/>
              </w:rPr>
              <w:t>1.提供会议、重大活动举办方或举办地政府部门相关证明文件；</w:t>
            </w:r>
          </w:p>
          <w:p w14:paraId="63AD30C4">
            <w:pPr>
              <w:pStyle w:val="82"/>
              <w:pBdr>
                <w:between w:val="single" w:color="auto" w:sz="4" w:space="1"/>
              </w:pBdr>
              <w:spacing w:line="2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2.评分中出现无证明资料或专家无法凭所提供资料判断是否得分的情况，一律作不得分处理。</w:t>
            </w:r>
          </w:p>
        </w:tc>
      </w:tr>
      <w:tr w14:paraId="2FDB6B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15" w:hRule="atLeast"/>
          <w:jc w:val="center"/>
        </w:trPr>
        <w:tc>
          <w:tcPr>
            <w:tcW w:w="712" w:type="dxa"/>
            <w:vAlign w:val="center"/>
          </w:tcPr>
          <w:p w14:paraId="30A9F59D">
            <w:pPr>
              <w:pStyle w:val="82"/>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c>
          <w:tcPr>
            <w:tcW w:w="9438" w:type="dxa"/>
            <w:gridSpan w:val="3"/>
            <w:vAlign w:val="center"/>
          </w:tcPr>
          <w:p w14:paraId="0340507F">
            <w:pPr>
              <w:pStyle w:val="82"/>
              <w:spacing w:line="3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1.评标委员会各成员独立打分；</w:t>
            </w:r>
          </w:p>
          <w:p w14:paraId="555CBE0D">
            <w:pPr>
              <w:pStyle w:val="82"/>
              <w:spacing w:line="3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2.评委打分超过得分界限或未按本表规定赋分时，该评委的打分作废，不计入汇总分；</w:t>
            </w:r>
          </w:p>
          <w:p w14:paraId="61F3CF1E">
            <w:pPr>
              <w:pStyle w:val="82"/>
              <w:spacing w:line="38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3.若出现综合得分并列时，比较价格得分，此分项得分高者排序在前； 若价格得分仍相同，比较技术得分，此分项得分高者排序在前；若技术得分仍相同，则由全体评标委员会成员无记名投票，得票高者排序在前；</w:t>
            </w:r>
          </w:p>
          <w:p w14:paraId="615D8CEF">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4.各种计算采用插入法，数字均保留两位小数，第二位“ 四舍五入”；</w:t>
            </w:r>
          </w:p>
          <w:p w14:paraId="5CF4A143">
            <w:pPr>
              <w:spacing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5.评标过程中，若出现特殊情况时，由评标委员会决定暂停评标，并提出具体处理意见。</w:t>
            </w:r>
          </w:p>
        </w:tc>
      </w:tr>
    </w:tbl>
    <w:p w14:paraId="23E22081">
      <w:pPr>
        <w:rPr>
          <w:rFonts w:ascii="宋体" w:hAnsi="宋体" w:cs="宋体"/>
          <w:sz w:val="24"/>
          <w:szCs w:val="24"/>
        </w:rPr>
      </w:pPr>
      <w:r>
        <w:rPr>
          <w:rFonts w:hint="eastAsia" w:ascii="宋体" w:hAnsi="宋体" w:cs="宋体"/>
          <w:sz w:val="24"/>
          <w:szCs w:val="24"/>
        </w:rPr>
        <w:t>备注：</w:t>
      </w:r>
    </w:p>
    <w:p w14:paraId="1EDD7455">
      <w:pPr>
        <w:spacing w:line="360" w:lineRule="auto"/>
        <w:ind w:firstLine="241" w:firstLineChars="100"/>
        <w:rPr>
          <w:rFonts w:ascii="宋体" w:cs="宋体"/>
          <w:b/>
          <w:bCs/>
          <w:sz w:val="24"/>
          <w:szCs w:val="24"/>
        </w:rPr>
      </w:pPr>
      <w:r>
        <w:rPr>
          <w:rFonts w:hint="eastAsia" w:ascii="宋体" w:hAnsi="宋体" w:cs="宋体"/>
          <w:b/>
          <w:bCs/>
          <w:sz w:val="24"/>
          <w:szCs w:val="24"/>
        </w:rPr>
        <w:t>（一）对小型或微型企业参加政府采购投标的扶持：</w:t>
      </w:r>
    </w:p>
    <w:p w14:paraId="76DD31AA">
      <w:pPr>
        <w:spacing w:line="360" w:lineRule="auto"/>
        <w:ind w:firstLine="480" w:firstLineChars="200"/>
        <w:rPr>
          <w:rFonts w:ascii="宋体" w:eastAsia="宋体" w:cs="宋体"/>
          <w:sz w:val="24"/>
          <w:szCs w:val="24"/>
        </w:rPr>
      </w:pPr>
      <w:r>
        <w:rPr>
          <w:rFonts w:hint="eastAsia" w:ascii="宋体" w:hAnsi="宋体" w:cs="宋体"/>
          <w:sz w:val="24"/>
          <w:szCs w:val="24"/>
        </w:rPr>
        <w:t>根据</w:t>
      </w:r>
      <w:r>
        <w:rPr>
          <w:rFonts w:hint="eastAsia" w:ascii="宋体" w:hAnsi="宋体" w:eastAsia="宋体" w:cs="宋体"/>
          <w:i w:val="0"/>
          <w:iCs w:val="0"/>
          <w:caps w:val="0"/>
          <w:color w:val="auto"/>
          <w:spacing w:val="0"/>
          <w:kern w:val="0"/>
          <w:sz w:val="24"/>
          <w:szCs w:val="24"/>
          <w:shd w:val="clear" w:fill="FFFFFF"/>
          <w:lang w:val="en-US" w:eastAsia="zh-CN" w:bidi="ar"/>
        </w:rPr>
        <w:t>《政府采购促进中小企业发展管理办法》（财库〔2020〕46号）及《财政部关于进一步加大政府采购支持中小企业力度的通知》财库〔2022〕19号</w:t>
      </w:r>
      <w:r>
        <w:rPr>
          <w:rFonts w:hint="eastAsia" w:ascii="宋体" w:hAnsi="宋体" w:cs="宋体"/>
          <w:sz w:val="24"/>
          <w:szCs w:val="24"/>
        </w:rPr>
        <w:t>的规定，对于非专门面向中小企业的项目，对小型和微型企业产品的价格给予</w:t>
      </w:r>
      <w:r>
        <w:rPr>
          <w:rFonts w:hint="eastAsia" w:ascii="宋体" w:hAnsi="宋体" w:cs="宋体"/>
          <w:sz w:val="24"/>
          <w:szCs w:val="24"/>
          <w:lang w:val="en-US" w:eastAsia="zh-CN"/>
        </w:rPr>
        <w:t>10</w:t>
      </w:r>
      <w:r>
        <w:rPr>
          <w:rFonts w:ascii="宋体" w:hAnsi="宋体" w:cs="宋体"/>
          <w:sz w:val="24"/>
          <w:szCs w:val="24"/>
        </w:rPr>
        <w:t>%</w:t>
      </w:r>
      <w:r>
        <w:rPr>
          <w:rFonts w:hint="eastAsia" w:ascii="宋体" w:hAnsi="宋体" w:cs="宋体"/>
          <w:sz w:val="24"/>
          <w:szCs w:val="24"/>
        </w:rPr>
        <w:t>的扣除，用扣除后的价格参与评审；供应商可在投标文件中提供小型和微型企业声明，具体格式详见附件。</w:t>
      </w:r>
    </w:p>
    <w:p w14:paraId="33FD565A">
      <w:pPr>
        <w:spacing w:line="360" w:lineRule="auto"/>
        <w:ind w:firstLine="482" w:firstLineChars="200"/>
        <w:rPr>
          <w:rFonts w:ascii="宋体" w:eastAsia="宋体" w:cs="宋体"/>
          <w:b/>
          <w:bCs/>
          <w:sz w:val="24"/>
          <w:szCs w:val="24"/>
        </w:rPr>
      </w:pPr>
      <w:r>
        <w:rPr>
          <w:rFonts w:hint="eastAsia" w:ascii="宋体" w:eastAsia="宋体" w:cs="宋体"/>
          <w:b/>
          <w:bCs/>
          <w:sz w:val="24"/>
          <w:szCs w:val="24"/>
        </w:rPr>
        <w:t>（二）对监狱企业、残疾人福利企业的扶持</w:t>
      </w:r>
    </w:p>
    <w:p w14:paraId="10145B1D">
      <w:pPr>
        <w:spacing w:line="360" w:lineRule="auto"/>
        <w:ind w:firstLine="480" w:firstLineChars="200"/>
        <w:rPr>
          <w:rFonts w:ascii="宋体" w:hAnsi="宋体" w:cs="宋体"/>
          <w:sz w:val="24"/>
          <w:szCs w:val="24"/>
        </w:rPr>
      </w:pPr>
      <w:r>
        <w:rPr>
          <w:rFonts w:hint="eastAsia" w:ascii="宋体" w:cs="宋体"/>
          <w:sz w:val="24"/>
          <w:szCs w:val="24"/>
        </w:rPr>
        <w:t>根据</w:t>
      </w:r>
      <w:r>
        <w:rPr>
          <w:rFonts w:hint="eastAsia" w:ascii="宋体" w:eastAsia="宋体" w:cs="宋体"/>
          <w:sz w:val="24"/>
          <w:szCs w:val="24"/>
        </w:rPr>
        <w:t>《关于政府采购支持监狱企业发展有关问题的通知》（财库[2014]68号）</w:t>
      </w:r>
      <w:r>
        <w:rPr>
          <w:rFonts w:hint="eastAsia" w:ascii="宋体" w:hAnsi="宋体" w:cs="宋体"/>
          <w:sz w:val="24"/>
          <w:szCs w:val="24"/>
        </w:rPr>
        <w:t>（提供由省级以上监狱管理局、戒毒管理局（含新疆生产建设兵团）出具的属于监狱企业的证明文件）、《三部门联合发布关于促进残疾人就业政府采购政策的通知》（财库〔2017〕141号）的规定，对监狱企业、残疾人福利企业给予</w:t>
      </w:r>
      <w:r>
        <w:rPr>
          <w:rFonts w:hint="eastAsia" w:ascii="宋体" w:hAnsi="宋体" w:cs="宋体"/>
          <w:sz w:val="24"/>
          <w:szCs w:val="24"/>
          <w:lang w:val="en-US" w:eastAsia="zh-CN"/>
        </w:rPr>
        <w:t>10</w:t>
      </w:r>
      <w:r>
        <w:rPr>
          <w:rFonts w:hint="eastAsia" w:ascii="宋体" w:hAnsi="宋体" w:cs="宋体"/>
          <w:sz w:val="24"/>
          <w:szCs w:val="24"/>
        </w:rPr>
        <w:t xml:space="preserve">%的价格扣除，用扣除后的价格参与评审。 </w:t>
      </w:r>
    </w:p>
    <w:p w14:paraId="46887D1D">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 不重复享受政策。</w:t>
      </w:r>
    </w:p>
    <w:p w14:paraId="374438FE">
      <w:pPr>
        <w:spacing w:line="360" w:lineRule="auto"/>
        <w:ind w:firstLine="482" w:firstLineChars="200"/>
        <w:rPr>
          <w:rFonts w:ascii="宋体" w:eastAsia="宋体" w:cs="宋体"/>
          <w:b/>
          <w:bCs/>
          <w:sz w:val="24"/>
          <w:szCs w:val="24"/>
        </w:rPr>
      </w:pPr>
      <w:r>
        <w:rPr>
          <w:rFonts w:hint="eastAsia" w:ascii="宋体" w:hAnsi="宋体" w:cs="宋体"/>
          <w:b/>
          <w:bCs/>
          <w:sz w:val="24"/>
          <w:szCs w:val="24"/>
        </w:rPr>
        <w:t>（四）对节能、环保政策的支持</w:t>
      </w:r>
    </w:p>
    <w:p w14:paraId="4DF14D83">
      <w:pPr>
        <w:spacing w:line="360" w:lineRule="auto"/>
        <w:ind w:firstLine="480" w:firstLineChars="200"/>
        <w:rPr>
          <w:rFonts w:ascii="宋体" w:eastAsia="宋体" w:cs="Times New Roman"/>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14:paraId="1DAC14EB">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14:paraId="43E0DF6C">
      <w:pPr>
        <w:spacing w:line="360" w:lineRule="auto"/>
        <w:ind w:firstLine="480" w:firstLineChars="200"/>
        <w:rPr>
          <w:rFonts w:ascii="宋体" w:hAnsi="宋体" w:cs="宋体"/>
          <w:sz w:val="24"/>
          <w:szCs w:val="24"/>
        </w:r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14:paraId="4A2B110E">
      <w:pPr>
        <w:rPr>
          <w:sz w:val="24"/>
          <w:szCs w:val="24"/>
        </w:rPr>
        <w:sectPr>
          <w:pgSz w:w="11900" w:h="16840"/>
          <w:pgMar w:top="1440" w:right="1800" w:bottom="1440" w:left="1800" w:header="851" w:footer="992" w:gutter="0"/>
          <w:cols w:space="425" w:num="1"/>
          <w:docGrid w:type="lines" w:linePitch="312" w:charSpace="0"/>
        </w:sectPr>
      </w:pPr>
    </w:p>
    <w:p w14:paraId="4A38EB6E">
      <w:pPr>
        <w:pStyle w:val="3"/>
        <w:bidi w:val="0"/>
      </w:pPr>
      <w:bookmarkStart w:id="98" w:name="_Toc6217"/>
      <w:bookmarkStart w:id="99" w:name="_Toc12246"/>
      <w:r>
        <w:rPr>
          <w:rFonts w:hint="eastAsia"/>
        </w:rPr>
        <w:t>第五部分  采购要求</w:t>
      </w:r>
      <w:bookmarkEnd w:id="92"/>
      <w:bookmarkEnd w:id="98"/>
      <w:bookmarkEnd w:id="99"/>
    </w:p>
    <w:p w14:paraId="0D208793">
      <w:pPr>
        <w:pStyle w:val="8"/>
        <w:bidi w:val="0"/>
      </w:pPr>
      <w:r>
        <w:rPr>
          <w:rFonts w:hint="eastAsia"/>
        </w:rPr>
        <w:t>一、商务要求</w:t>
      </w:r>
    </w:p>
    <w:p w14:paraId="2CCAA371">
      <w:pPr>
        <w:tabs>
          <w:tab w:val="left" w:pos="420"/>
        </w:tabs>
        <w:spacing w:line="360" w:lineRule="auto"/>
        <w:ind w:firstLine="480" w:firstLineChars="200"/>
        <w:rPr>
          <w:rFonts w:hint="eastAsia" w:eastAsiaTheme="minorEastAsia"/>
          <w:sz w:val="24"/>
          <w:szCs w:val="24"/>
          <w:lang w:eastAsia="zh-CN"/>
        </w:rPr>
      </w:pPr>
      <w:r>
        <w:rPr>
          <w:rFonts w:hint="eastAsia"/>
          <w:sz w:val="24"/>
          <w:szCs w:val="24"/>
        </w:rPr>
        <w:t>（一）服务期限</w:t>
      </w:r>
      <w:r>
        <w:rPr>
          <w:rFonts w:hint="eastAsia"/>
          <w:sz w:val="24"/>
          <w:szCs w:val="24"/>
          <w:lang w:eastAsia="zh-CN"/>
        </w:rPr>
        <w:t>：</w:t>
      </w:r>
    </w:p>
    <w:p w14:paraId="5C12BECE">
      <w:pPr>
        <w:tabs>
          <w:tab w:val="left" w:pos="420"/>
        </w:tabs>
        <w:spacing w:line="360" w:lineRule="auto"/>
        <w:ind w:firstLine="480" w:firstLineChars="200"/>
        <w:rPr>
          <w:rFonts w:hint="eastAsia"/>
          <w:sz w:val="24"/>
          <w:szCs w:val="24"/>
        </w:rPr>
      </w:pPr>
      <w:r>
        <w:rPr>
          <w:rFonts w:hint="eastAsia"/>
          <w:sz w:val="24"/>
          <w:szCs w:val="24"/>
        </w:rPr>
        <w:t>自合同签订后5个工作日内开始实施监督抽查工作，并于2025年12月10日完成现场抽查任务。</w:t>
      </w:r>
    </w:p>
    <w:p w14:paraId="38DEA4B3">
      <w:pPr>
        <w:tabs>
          <w:tab w:val="left" w:pos="420"/>
        </w:tabs>
        <w:spacing w:line="360" w:lineRule="auto"/>
        <w:ind w:firstLine="480" w:firstLineChars="200"/>
        <w:rPr>
          <w:rFonts w:hint="eastAsia"/>
          <w:sz w:val="24"/>
          <w:szCs w:val="24"/>
        </w:rPr>
      </w:pPr>
      <w:r>
        <w:rPr>
          <w:rFonts w:hint="eastAsia"/>
          <w:sz w:val="24"/>
          <w:szCs w:val="24"/>
        </w:rPr>
        <w:t>（二）质保期：项目验收完成后5个月，主要内容为项目现场复核、报告复核、技术咨询回应等。</w:t>
      </w:r>
    </w:p>
    <w:p w14:paraId="6E277778">
      <w:pPr>
        <w:tabs>
          <w:tab w:val="left" w:pos="420"/>
        </w:tabs>
        <w:spacing w:line="360" w:lineRule="auto"/>
        <w:ind w:firstLine="480" w:firstLineChars="200"/>
        <w:rPr>
          <w:rFonts w:hint="eastAsia"/>
          <w:sz w:val="24"/>
          <w:szCs w:val="24"/>
        </w:rPr>
      </w:pPr>
      <w:r>
        <w:rPr>
          <w:rFonts w:hint="eastAsia"/>
          <w:sz w:val="24"/>
          <w:szCs w:val="24"/>
        </w:rPr>
        <w:t>（三）服务终止</w:t>
      </w:r>
    </w:p>
    <w:p w14:paraId="5C18C9C1">
      <w:pPr>
        <w:tabs>
          <w:tab w:val="left" w:pos="420"/>
        </w:tabs>
        <w:spacing w:line="360" w:lineRule="auto"/>
        <w:ind w:firstLine="480" w:firstLineChars="200"/>
        <w:rPr>
          <w:rFonts w:hint="eastAsia"/>
          <w:sz w:val="24"/>
          <w:szCs w:val="24"/>
        </w:rPr>
      </w:pPr>
      <w:r>
        <w:rPr>
          <w:rFonts w:hint="eastAsia"/>
          <w:sz w:val="24"/>
          <w:szCs w:val="24"/>
        </w:rPr>
        <w:t>在有效服务期内，如中标供应商在人员配置、作业管理、质量控制、科学高效、便捷服务等各方面不能满足采购文件的相关要求或没有实现投标文件中的相关承诺，采购人有权单方面解除合同，并保留追究违约责任。同时将违约情况上报财政部门列入政府采购失信名单。</w:t>
      </w:r>
    </w:p>
    <w:p w14:paraId="6DA2DE57">
      <w:pPr>
        <w:tabs>
          <w:tab w:val="left" w:pos="420"/>
        </w:tabs>
        <w:spacing w:line="360" w:lineRule="auto"/>
        <w:ind w:firstLine="480" w:firstLineChars="200"/>
        <w:rPr>
          <w:rFonts w:hint="eastAsia"/>
          <w:sz w:val="24"/>
          <w:szCs w:val="24"/>
        </w:rPr>
      </w:pPr>
      <w:r>
        <w:rPr>
          <w:rFonts w:hint="eastAsia"/>
          <w:sz w:val="24"/>
          <w:szCs w:val="24"/>
        </w:rPr>
        <w:t>（四）完成服务成果</w:t>
      </w:r>
    </w:p>
    <w:p w14:paraId="588CBB83">
      <w:pPr>
        <w:tabs>
          <w:tab w:val="left" w:pos="420"/>
        </w:tabs>
        <w:spacing w:line="360" w:lineRule="auto"/>
        <w:ind w:firstLine="480" w:firstLineChars="200"/>
        <w:rPr>
          <w:rFonts w:hint="eastAsia"/>
          <w:sz w:val="24"/>
          <w:szCs w:val="24"/>
        </w:rPr>
      </w:pPr>
      <w:r>
        <w:rPr>
          <w:rFonts w:hint="eastAsia"/>
          <w:sz w:val="24"/>
          <w:szCs w:val="24"/>
        </w:rPr>
        <w:t>1.中标供应商于2025年12月10日前，完成2025年机电类特种设备生产、使用单位抽查工作。其中，抽查生产单位不少于150家，使用单位不少于400家。</w:t>
      </w:r>
    </w:p>
    <w:p w14:paraId="5ED11EC1">
      <w:pPr>
        <w:tabs>
          <w:tab w:val="left" w:pos="420"/>
        </w:tabs>
        <w:spacing w:line="360" w:lineRule="auto"/>
        <w:ind w:firstLine="480" w:firstLineChars="200"/>
        <w:rPr>
          <w:rFonts w:hint="eastAsia"/>
          <w:sz w:val="24"/>
          <w:szCs w:val="24"/>
        </w:rPr>
      </w:pPr>
      <w:r>
        <w:rPr>
          <w:rFonts w:hint="eastAsia"/>
          <w:sz w:val="24"/>
          <w:szCs w:val="24"/>
        </w:rPr>
        <w:t>2.中标供应商于2025年12月15日前，向采购人提交监督抽查汇总表、分析报告、总结报告；同时提交不少于150家机电类特种设备生产单位监督抽查报告、不少于400家机电类特种设备使用单位监督抽查报告的电子版材料。提交报告及电子版材料符合采购人要求后视为合同履约完成。</w:t>
      </w:r>
    </w:p>
    <w:p w14:paraId="2A50CB0A">
      <w:pPr>
        <w:tabs>
          <w:tab w:val="left" w:pos="420"/>
        </w:tabs>
        <w:spacing w:line="360" w:lineRule="auto"/>
        <w:ind w:firstLine="480" w:firstLineChars="200"/>
        <w:rPr>
          <w:rFonts w:hint="eastAsia"/>
          <w:sz w:val="24"/>
          <w:szCs w:val="24"/>
        </w:rPr>
      </w:pPr>
      <w:r>
        <w:rPr>
          <w:rFonts w:hint="eastAsia"/>
          <w:sz w:val="24"/>
          <w:szCs w:val="24"/>
        </w:rPr>
        <w:t>3.根据采购人需求，承办监督抽查工作动员部署会议、阶段小结、监督抽查完成后的总结会议以及项目验收会。</w:t>
      </w:r>
    </w:p>
    <w:p w14:paraId="35C2856B">
      <w:pPr>
        <w:tabs>
          <w:tab w:val="left" w:pos="420"/>
        </w:tabs>
        <w:spacing w:line="360" w:lineRule="auto"/>
        <w:ind w:firstLine="480" w:firstLineChars="200"/>
        <w:rPr>
          <w:rFonts w:hint="eastAsia"/>
          <w:sz w:val="24"/>
          <w:szCs w:val="24"/>
        </w:rPr>
      </w:pPr>
      <w:r>
        <w:rPr>
          <w:rFonts w:hint="eastAsia"/>
          <w:sz w:val="24"/>
          <w:szCs w:val="24"/>
        </w:rPr>
        <w:t>4.根据采购人需求，帮助完成相关特种设备专项应急预案范本的修订、应急预案演练、特种设备安全宣传、特种设备安全监察人员能力提升培训等工作。监督抽查时应组织被抽查单位安全总监、安全员进行现场考试，并将考试成绩按照相关要求登记上传，帮扶指导企业落实“两个规定”。配合监管部门做好各项专项整治；协助被抽查单位完成陕西省特种设备智慧监管平台数据录入工作，完善企业库、人员库和设备库。</w:t>
      </w:r>
    </w:p>
    <w:p w14:paraId="031FC482">
      <w:pPr>
        <w:tabs>
          <w:tab w:val="left" w:pos="420"/>
        </w:tabs>
        <w:spacing w:line="360" w:lineRule="auto"/>
        <w:ind w:firstLine="480" w:firstLineChars="200"/>
        <w:rPr>
          <w:rFonts w:hint="eastAsia"/>
          <w:sz w:val="24"/>
          <w:szCs w:val="24"/>
        </w:rPr>
      </w:pPr>
      <w:r>
        <w:rPr>
          <w:rFonts w:hint="eastAsia"/>
          <w:sz w:val="24"/>
          <w:szCs w:val="24"/>
        </w:rPr>
        <w:t>5.本项目设定质量保证期，质保期为项目验收完成后5个月，主要内容为项目现场复核、报告复核、技术咨询回应等。</w:t>
      </w:r>
    </w:p>
    <w:p w14:paraId="11F95278">
      <w:pPr>
        <w:tabs>
          <w:tab w:val="left" w:pos="420"/>
        </w:tabs>
        <w:spacing w:line="360" w:lineRule="auto"/>
        <w:ind w:firstLine="480" w:firstLineChars="200"/>
        <w:rPr>
          <w:rFonts w:hint="eastAsia"/>
          <w:sz w:val="24"/>
          <w:szCs w:val="24"/>
        </w:rPr>
      </w:pPr>
      <w:r>
        <w:rPr>
          <w:rFonts w:hint="eastAsia"/>
          <w:sz w:val="24"/>
          <w:szCs w:val="24"/>
        </w:rPr>
        <w:t>（五）付款方式</w:t>
      </w:r>
    </w:p>
    <w:p w14:paraId="5898D8EE">
      <w:pPr>
        <w:tabs>
          <w:tab w:val="left" w:pos="420"/>
        </w:tabs>
        <w:spacing w:line="360" w:lineRule="auto"/>
        <w:ind w:firstLine="480" w:firstLineChars="200"/>
        <w:rPr>
          <w:rFonts w:hint="eastAsia"/>
          <w:sz w:val="24"/>
          <w:szCs w:val="24"/>
        </w:rPr>
      </w:pPr>
      <w:r>
        <w:rPr>
          <w:rFonts w:hint="eastAsia"/>
          <w:sz w:val="24"/>
          <w:szCs w:val="24"/>
        </w:rPr>
        <w:t>1.款项支付：银行转账，分期付款。</w:t>
      </w:r>
    </w:p>
    <w:p w14:paraId="38BFD9CD">
      <w:pPr>
        <w:tabs>
          <w:tab w:val="left" w:pos="420"/>
        </w:tabs>
        <w:spacing w:line="360" w:lineRule="auto"/>
        <w:ind w:firstLine="480" w:firstLineChars="200"/>
        <w:rPr>
          <w:rFonts w:hint="eastAsia"/>
          <w:sz w:val="24"/>
          <w:szCs w:val="24"/>
        </w:rPr>
      </w:pPr>
      <w:r>
        <w:rPr>
          <w:rFonts w:hint="eastAsia"/>
          <w:sz w:val="24"/>
          <w:szCs w:val="24"/>
        </w:rPr>
        <w:t>2.付款条件：签订合同后支付合同总价款的50%，验收合格后支付合同总价款的25%（最多支付至220000.00元），项目完成质保期满后支付剩余合同价款。</w:t>
      </w:r>
    </w:p>
    <w:p w14:paraId="5A3048B2">
      <w:pPr>
        <w:pStyle w:val="8"/>
        <w:bidi w:val="0"/>
        <w:rPr>
          <w:rFonts w:hint="eastAsia"/>
        </w:rPr>
      </w:pPr>
      <w:r>
        <w:rPr>
          <w:rFonts w:hint="eastAsia"/>
        </w:rPr>
        <w:t>二、项目概况</w:t>
      </w:r>
    </w:p>
    <w:p w14:paraId="0F8B5C69">
      <w:pPr>
        <w:tabs>
          <w:tab w:val="left" w:pos="420"/>
        </w:tabs>
        <w:spacing w:line="360" w:lineRule="auto"/>
        <w:ind w:firstLine="480" w:firstLineChars="200"/>
        <w:rPr>
          <w:sz w:val="24"/>
          <w:szCs w:val="24"/>
        </w:rPr>
      </w:pPr>
      <w:r>
        <w:rPr>
          <w:rFonts w:hint="eastAsia"/>
          <w:sz w:val="24"/>
          <w:szCs w:val="24"/>
        </w:rPr>
        <w:t>为全面排查整治特种设备安全隐患，督促我市特种设备生产、使用单位主体责任落实，预防和减少安全事故，保障全市机电类特种设备安全稳定。根据《中华人民共和国特种设备安全法》等法律法规规章和安全技术规范，结合实际，按照随机抽查、分布合理、重点突出的原则，委托第三方专业机构，对全市机电类特种设备生产、使用单位进行监督抽查，重点查找和解决机电类特种设备生产、使用单位在主体责任落实环节中存在的问题和风险，整治安全隐患，查处违法行为，规范安全秩序，夯实安全责任，促进全市特种设备安全形势平稳向好发展。</w:t>
      </w:r>
    </w:p>
    <w:p w14:paraId="38B81899">
      <w:pPr>
        <w:pStyle w:val="8"/>
        <w:spacing w:line="360" w:lineRule="auto"/>
        <w:jc w:val="left"/>
        <w:rPr>
          <w:rFonts w:hint="eastAsia" w:ascii="宋体" w:hAnsi="宋体" w:eastAsia="宋体" w:cs="宋体"/>
          <w:b/>
          <w:bCs/>
          <w:color w:val="auto"/>
          <w:sz w:val="24"/>
          <w:szCs w:val="24"/>
          <w:highlight w:val="none"/>
        </w:rPr>
      </w:pPr>
      <w:bookmarkStart w:id="100" w:name="_Toc25388"/>
      <w:bookmarkStart w:id="101" w:name="_Toc30533"/>
      <w:bookmarkStart w:id="102" w:name="_Toc17121"/>
      <w:bookmarkStart w:id="103" w:name="_Toc16840"/>
      <w:r>
        <w:rPr>
          <w:rFonts w:hint="eastAsia" w:ascii="宋体" w:hAnsi="宋体" w:eastAsia="宋体" w:cs="宋体"/>
          <w:b/>
          <w:bCs/>
          <w:color w:val="auto"/>
          <w:sz w:val="24"/>
          <w:szCs w:val="24"/>
          <w:highlight w:val="none"/>
        </w:rPr>
        <w:t>三、项目数量及内容</w:t>
      </w:r>
    </w:p>
    <w:p w14:paraId="099470F7">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2025 机电类特种设备生产、使用单位监督抽查项目计划抽查不少于550家，其中，生产单位不少于150家，使用单位不少于400家。</w:t>
      </w:r>
    </w:p>
    <w:p w14:paraId="1EBE5CDE">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机电类特种设备生产单位监督抽查。抽取注册地在西安市的电梯、起重机械、场（厂）内专用机动车辆、大型游乐设施、客运索道的生产（制造、安装、改造、修理）单位不少于150家，依据相关法律法规规章和安全技术规范，核查确认其行政许可、人员管理、生产档案、证后许可资源条件保持、“两个规定”及“日管控、周排查、月调度”工作机制落实情况，对其质量安全主体责任落实情况和质量体系运行情况进行监督验证。</w:t>
      </w:r>
    </w:p>
    <w:p w14:paraId="07FD7FC7">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机电类特种设备使用单位监督抽查。抽取西安市辖区内机电类特种设备使用单位不少于400家，依据相关法律法规规章和安全技术规范，检查在用特种设备安全管理情况、安全管理机构设置、安全管理制度落实、安全技术档案建立、“两个规定”及“日管控、周排查、月调度”工作机制落实等情况，对其主体责任落实情况和设备安全状况运行监督验证。</w:t>
      </w:r>
    </w:p>
    <w:p w14:paraId="231BA194">
      <w:pPr>
        <w:pStyle w:val="8"/>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四、项目实施要求</w:t>
      </w:r>
    </w:p>
    <w:p w14:paraId="76126BA7">
      <w:pPr>
        <w:pStyle w:val="2"/>
        <w:numPr>
          <w:ilvl w:val="3"/>
          <w:numId w:val="0"/>
        </w:numPr>
        <w:rPr>
          <w:color w:val="auto"/>
          <w:sz w:val="24"/>
          <w:szCs w:val="24"/>
          <w:highlight w:val="none"/>
        </w:rPr>
      </w:pPr>
      <w:r>
        <w:rPr>
          <w:rFonts w:hint="eastAsia"/>
          <w:color w:val="auto"/>
          <w:sz w:val="24"/>
          <w:szCs w:val="24"/>
          <w:highlight w:val="none"/>
        </w:rPr>
        <w:t>（一）技术服务要求</w:t>
      </w:r>
    </w:p>
    <w:p w14:paraId="3BB8CB0C">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1.未经采购人同意，中标供应商不得以任何方式转包、分包或挂靠本项目。</w:t>
      </w:r>
    </w:p>
    <w:p w14:paraId="3B525C0F">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2.中标供应商应明确被抽检单位报送相关资料的联系地址、联系人及联系方式。</w:t>
      </w:r>
    </w:p>
    <w:p w14:paraId="61A276FA">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供应商应当成立监督抽查工作机构，根据有关法律、法规、安全技术规范编制监督抽查工作实施方案。方案应当科学、高效、准确、便捷，符合实际。方案应当包含监督抽查需求的技术人员、检测工具、车辆配置、突发事件处置等要素。</w:t>
      </w:r>
    </w:p>
    <w:p w14:paraId="30BB3242">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4.中标供应商应当制定监督抽查工作实施总计划、月度计划，且计划任务分布合理；对监督抽查过程中出现的突发情况能迅速组织力量响应。</w:t>
      </w:r>
    </w:p>
    <w:p w14:paraId="1883D4DD">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5.中标供应商应当严格按照监督抽查工作实施方案规定的项目、要求和方法组织实施监督抽查工作。监督抽查工作开展过程中做好有关安全防护措施，对监督抽查工作中的安全负全责。</w:t>
      </w:r>
    </w:p>
    <w:p w14:paraId="1489CF52">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6.中标供应商开展现场监督抽查工作，应减少对被抽查单位正常工作的影响。</w:t>
      </w:r>
    </w:p>
    <w:p w14:paraId="05E336A3">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中标供应商提供监督抽查任务使用的信息化系统，至少可以实现数据随机抽样、接收下发监督抽查任务、进展状况查询、数据统计分析，系统能够满足出具、查询监督抽查过程中开具的通知书、报告单，且运行可靠、稳定，并能配备专人配合采购人做好监督抽查全过程数据处理工作。</w:t>
      </w:r>
    </w:p>
    <w:p w14:paraId="78B3C761">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供应商拟投入监督抽查工作的人员应当具备相应技术能力，熟悉特种设备安全质量管理，掌握特种设备有关法律、法规、安全技术规范和标准，了解生产、检验检测行政许可工作管理要求，并对监督抽查项目内容、判定依据和相关行政监管法规要求、工作流程有一定认知。</w:t>
      </w:r>
    </w:p>
    <w:p w14:paraId="23F4CEF9">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9.中标供应商不得提前向被抽查单位透露有关监督抽查工作的计划、内容等信息；未经同意，不得对外发布、泄漏监督抽查工作的相关信息；不得泄露被抽查单位的商业信息。</w:t>
      </w:r>
    </w:p>
    <w:p w14:paraId="01B4EE51">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10.中标供应商对监督抽查过程中未发现问题的，应及时出具报告，并分类、逐单位建立监督抽查电子档案，定期向采购人提交汇总信息。</w:t>
      </w:r>
    </w:p>
    <w:p w14:paraId="15275453">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11.中标供应商对监督抽查过程中发现的严重事故隐患（重大违法行为）每周汇总一次，对发现的不符合项每月汇总一次，并将《严重事故隐患（重大违法行为）汇总表》《监督抽查汇总表》提交采购人。</w:t>
      </w:r>
    </w:p>
    <w:p w14:paraId="20DA9ECB">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12.中标供应商应严格遵守有关纪律规定，在监督抽查过程中不得向被抽查对象收取任何费用，不得向被抽查对象提出与监督抽查无关的服务和要求。</w:t>
      </w:r>
    </w:p>
    <w:p w14:paraId="7E0A836C">
      <w:pPr>
        <w:pStyle w:val="2"/>
        <w:numPr>
          <w:ilvl w:val="3"/>
          <w:numId w:val="0"/>
        </w:numPr>
        <w:ind w:left="864" w:hanging="864"/>
        <w:rPr>
          <w:color w:val="auto"/>
          <w:sz w:val="24"/>
          <w:szCs w:val="24"/>
          <w:highlight w:val="none"/>
        </w:rPr>
      </w:pPr>
      <w:r>
        <w:rPr>
          <w:rFonts w:hint="eastAsia"/>
          <w:color w:val="auto"/>
          <w:sz w:val="24"/>
          <w:szCs w:val="24"/>
          <w:highlight w:val="none"/>
        </w:rPr>
        <w:t>（二）出具报告相关规定</w:t>
      </w:r>
    </w:p>
    <w:p w14:paraId="7460B07B">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1.按照《西安市市场监督管理局2025年特种设备安全质量监督抽查工作实施方案》和采购单位要求，对所抽查到的相关单位，逐个单位实施监督抽查并逐份出具监督抽查报告。</w:t>
      </w:r>
    </w:p>
    <w:p w14:paraId="3C5F4E67">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监督抽查过程中发现不符合项的，监督抽查机构应向被抽查单位出具《监督抽查不符合项目通知书》，发现严重事故隐患（重大违法行为）的，同时出具《严重事故隐患（重大违法行为）报告单》。出具的《通知书》《报告单》须经被抽查单位现场配合人员签字确认。对于拒绝签字的现场配合抽查人员应注明原因并留存相关证据链。</w:t>
      </w:r>
    </w:p>
    <w:p w14:paraId="2F4F98AA">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3.监督抽查出具的《监督抽查不符合项目通知书》《严重事故隐患（重大违法行为）报告单》，现场以短信的形式推送至被抽查单位和辖区监管部门。</w:t>
      </w:r>
    </w:p>
    <w:p w14:paraId="1BA08408">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4.被抽查单位在规定时间内完成监督抽查不符合项整改后，向监督抽查机构提出复查申请。监督抽查机构应及时安排复查并出具相关复查结论。</w:t>
      </w:r>
    </w:p>
    <w:p w14:paraId="77F5EB50">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督抽查机构对复查不合格的，向被抽查单位出具《复查不合格设备报送单》，对逾期未申请复查的单位，应填写《逾期未申请复查设备报送单》，同时将《复查不合格设备报送单》《逾期未申请复查设备报送单》报送辖区监管部门。</w:t>
      </w:r>
    </w:p>
    <w:p w14:paraId="3051560C">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6.被抽查单位对抽查结果有异议的，监督抽查机构应当配合各级监管部门做好相关处理工作。</w:t>
      </w:r>
    </w:p>
    <w:p w14:paraId="3B5ED91C">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7.《通知书》《报告单》中不符合项目、严重事故隐患（重大违法行为）的文字表述必须严谨，符合相关法律、法规、安全技术规范要求，且与《监督抽查报告》及监督抽查原始记录一致。</w:t>
      </w:r>
    </w:p>
    <w:p w14:paraId="40BBDD57">
      <w:pPr>
        <w:pStyle w:val="2"/>
        <w:numPr>
          <w:ilvl w:val="3"/>
          <w:numId w:val="0"/>
        </w:numPr>
        <w:ind w:left="864" w:hanging="864"/>
        <w:rPr>
          <w:color w:val="auto"/>
          <w:sz w:val="24"/>
          <w:szCs w:val="24"/>
          <w:highlight w:val="none"/>
        </w:rPr>
      </w:pPr>
      <w:r>
        <w:rPr>
          <w:rFonts w:hint="eastAsia"/>
          <w:color w:val="auto"/>
          <w:sz w:val="24"/>
          <w:szCs w:val="24"/>
          <w:highlight w:val="none"/>
        </w:rPr>
        <w:t>（三）完成服务成果</w:t>
      </w:r>
    </w:p>
    <w:p w14:paraId="0227281A">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1.中标供应商于2025年12月10日前，完成2025年机电类特种设备生产、使用单位抽查工作。其中，抽查生产单位不少于150家，使用单位不少于400家。</w:t>
      </w:r>
    </w:p>
    <w:p w14:paraId="333A2A97">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供应商于2025年12月15日前，向采购人提交监督抽查汇总表、分析报告、总结报告；同时提交不少于150家机电类特种设备生产单位监督抽查报告、不少于400家机电类特种设备使用单位监督抽查报告的电子版材料。提交报告及电子版材料符合采购人要求后视为合同履约完成。</w:t>
      </w:r>
    </w:p>
    <w:p w14:paraId="59809EB9">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3.根据采购人需求，承办监督抽查工作动员部署会议、阶段小结、监督抽查完成后的总结会议以及项目验收会。</w:t>
      </w:r>
    </w:p>
    <w:p w14:paraId="36561512">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采购人需求，帮助完成相关特种设备专项应急预案范本的修订、应急预案演练、特种设备安全宣传、特种设备安全监察人员能力提升培训等工作。监督抽查时协助现场监察人员对被抽查单位安全总监、安全员进行现场考试，帮扶指导企业落实“两个规定”。配合监管部门做好各项专项整治；协助被抽查单位完成陕西省特种设备智慧监管平台数据录入工作，完善企业库、人员库和设备库。</w:t>
      </w:r>
    </w:p>
    <w:p w14:paraId="1F7322AA">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5.本项目设定质量保证期，质保期为项目验收完成后5个月，主要内容为项目现场复核、报告复核、技术咨询回应等。</w:t>
      </w:r>
    </w:p>
    <w:p w14:paraId="1F05A668">
      <w:pPr>
        <w:pStyle w:val="8"/>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五、具体内容及方法要求（包含但不限于以下内容）</w:t>
      </w:r>
    </w:p>
    <w:p w14:paraId="36CDA4AC">
      <w:pPr>
        <w:autoSpaceDE w:val="0"/>
        <w:autoSpaceDN w:val="0"/>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（一）机电类特种设备生产单位监督抽查项目内容及方法要求</w:t>
      </w:r>
    </w:p>
    <w:p w14:paraId="0A331981">
      <w:pPr>
        <w:rPr>
          <w:color w:val="auto"/>
          <w:highlight w:val="none"/>
        </w:rPr>
      </w:pPr>
      <w:r>
        <w:rPr>
          <w:rFonts w:hint="eastAsia" w:ascii="宋体" w:hAnsi="宋体" w:eastAsia="宋体" w:cs="宋体"/>
          <w:color w:val="auto"/>
          <w:highlight w:val="none"/>
        </w:rPr>
        <w:t>1.机电类特种设备生产单位（除电梯维保单位外）</w:t>
      </w:r>
    </w:p>
    <w:tbl>
      <w:tblPr>
        <w:tblStyle w:val="28"/>
        <w:tblW w:w="907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567"/>
        <w:gridCol w:w="1134"/>
        <w:gridCol w:w="5953"/>
        <w:gridCol w:w="1417"/>
      </w:tblGrid>
      <w:tr w14:paraId="7973BC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567" w:type="dxa"/>
            <w:vAlign w:val="center"/>
          </w:tcPr>
          <w:p w14:paraId="6566141F">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序号</w:t>
            </w:r>
          </w:p>
        </w:tc>
        <w:tc>
          <w:tcPr>
            <w:tcW w:w="1134" w:type="dxa"/>
            <w:vAlign w:val="center"/>
          </w:tcPr>
          <w:p w14:paraId="181ED430">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项目</w:t>
            </w:r>
          </w:p>
        </w:tc>
        <w:tc>
          <w:tcPr>
            <w:tcW w:w="5953" w:type="dxa"/>
            <w:vAlign w:val="center"/>
          </w:tcPr>
          <w:p w14:paraId="71BEF0A1">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抽查内容与要求</w:t>
            </w:r>
          </w:p>
        </w:tc>
        <w:tc>
          <w:tcPr>
            <w:tcW w:w="1417" w:type="dxa"/>
            <w:vAlign w:val="center"/>
          </w:tcPr>
          <w:p w14:paraId="45223D5C">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监督抽查</w:t>
            </w:r>
          </w:p>
          <w:p w14:paraId="4D98C96A">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方法</w:t>
            </w:r>
          </w:p>
        </w:tc>
      </w:tr>
      <w:tr w14:paraId="26BC35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6823ACA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34" w:type="dxa"/>
            <w:vAlign w:val="center"/>
          </w:tcPr>
          <w:p w14:paraId="3BA2A94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行政许可</w:t>
            </w:r>
          </w:p>
        </w:tc>
        <w:tc>
          <w:tcPr>
            <w:tcW w:w="5953" w:type="dxa"/>
            <w:vAlign w:val="center"/>
          </w:tcPr>
          <w:p w14:paraId="6A44EE3E">
            <w:pPr>
              <w:autoSpaceDE w:val="0"/>
              <w:autoSpaceDN w:val="0"/>
              <w:adjustRightIn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许可证在有效期内</w:t>
            </w:r>
          </w:p>
        </w:tc>
        <w:tc>
          <w:tcPr>
            <w:tcW w:w="1417" w:type="dxa"/>
            <w:vMerge w:val="restart"/>
            <w:vAlign w:val="center"/>
          </w:tcPr>
          <w:p w14:paraId="7174BE7A">
            <w:pPr>
              <w:spacing w:line="320" w:lineRule="exact"/>
              <w:jc w:val="center"/>
              <w:rPr>
                <w:rFonts w:hint="eastAsia" w:ascii="宋体" w:hAnsi="宋体" w:eastAsia="宋体" w:cs="宋体"/>
                <w:bCs/>
                <w:color w:val="auto"/>
                <w:highlight w:val="none"/>
              </w:rPr>
            </w:pPr>
            <w:r>
              <w:rPr>
                <w:rFonts w:hint="eastAsia" w:ascii="宋体" w:hAnsi="宋体" w:eastAsia="宋体" w:cs="宋体"/>
                <w:color w:val="auto"/>
                <w:highlight w:val="none"/>
              </w:rPr>
              <w:t>现场检查档案资料、制度落实、等情况，检查相关记录资料</w:t>
            </w:r>
          </w:p>
        </w:tc>
      </w:tr>
      <w:tr w14:paraId="090755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1D4EC83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134" w:type="dxa"/>
            <w:vAlign w:val="center"/>
          </w:tcPr>
          <w:p w14:paraId="7262E92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生产档案</w:t>
            </w:r>
          </w:p>
        </w:tc>
        <w:tc>
          <w:tcPr>
            <w:tcW w:w="5953" w:type="dxa"/>
            <w:vAlign w:val="center"/>
          </w:tcPr>
          <w:p w14:paraId="57973F7A">
            <w:pPr>
              <w:autoSpaceDE w:val="0"/>
              <w:autoSpaceDN w:val="0"/>
              <w:adjustRightIn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建立设计、制造、安装、改造、重大修理档案</w:t>
            </w:r>
          </w:p>
        </w:tc>
        <w:tc>
          <w:tcPr>
            <w:tcW w:w="1417" w:type="dxa"/>
            <w:vMerge w:val="continue"/>
            <w:vAlign w:val="center"/>
          </w:tcPr>
          <w:p w14:paraId="606B2214">
            <w:pPr>
              <w:spacing w:line="320" w:lineRule="exact"/>
              <w:jc w:val="center"/>
              <w:rPr>
                <w:rFonts w:hint="eastAsia" w:ascii="宋体" w:hAnsi="宋体" w:eastAsia="宋体" w:cs="宋体"/>
                <w:color w:val="auto"/>
                <w:highlight w:val="none"/>
              </w:rPr>
            </w:pPr>
          </w:p>
        </w:tc>
      </w:tr>
      <w:tr w14:paraId="569E48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796D88D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134" w:type="dxa"/>
            <w:vAlign w:val="center"/>
          </w:tcPr>
          <w:p w14:paraId="7A284BA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设计审批</w:t>
            </w:r>
          </w:p>
        </w:tc>
        <w:tc>
          <w:tcPr>
            <w:tcW w:w="5953" w:type="dxa"/>
            <w:vAlign w:val="center"/>
          </w:tcPr>
          <w:p w14:paraId="76EBC0C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设计文件鉴定或设计单位许可符合要求</w:t>
            </w:r>
          </w:p>
        </w:tc>
        <w:tc>
          <w:tcPr>
            <w:tcW w:w="1417" w:type="dxa"/>
            <w:vMerge w:val="continue"/>
            <w:vAlign w:val="center"/>
          </w:tcPr>
          <w:p w14:paraId="4D4E79AA">
            <w:pPr>
              <w:spacing w:line="320" w:lineRule="exact"/>
              <w:jc w:val="center"/>
              <w:rPr>
                <w:rFonts w:hint="eastAsia" w:ascii="宋体" w:hAnsi="宋体" w:eastAsia="宋体" w:cs="宋体"/>
                <w:color w:val="auto"/>
                <w:highlight w:val="none"/>
              </w:rPr>
            </w:pPr>
          </w:p>
        </w:tc>
      </w:tr>
      <w:tr w14:paraId="7C3386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1153E74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134" w:type="dxa"/>
            <w:vAlign w:val="center"/>
          </w:tcPr>
          <w:p w14:paraId="5ADB820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检验资料</w:t>
            </w:r>
          </w:p>
        </w:tc>
        <w:tc>
          <w:tcPr>
            <w:tcW w:w="5953" w:type="dxa"/>
            <w:vAlign w:val="center"/>
          </w:tcPr>
          <w:p w14:paraId="32172E97">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型式试验、监督检验资料齐全。</w:t>
            </w:r>
          </w:p>
        </w:tc>
        <w:tc>
          <w:tcPr>
            <w:tcW w:w="1417" w:type="dxa"/>
            <w:vMerge w:val="continue"/>
            <w:vAlign w:val="center"/>
          </w:tcPr>
          <w:p w14:paraId="3E63229C">
            <w:pPr>
              <w:spacing w:line="320" w:lineRule="exact"/>
              <w:jc w:val="center"/>
              <w:rPr>
                <w:rFonts w:hint="eastAsia" w:ascii="宋体" w:hAnsi="宋体" w:eastAsia="宋体" w:cs="宋体"/>
                <w:color w:val="auto"/>
                <w:highlight w:val="none"/>
              </w:rPr>
            </w:pPr>
          </w:p>
        </w:tc>
      </w:tr>
      <w:tr w14:paraId="5637F3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567" w:type="dxa"/>
            <w:vAlign w:val="center"/>
          </w:tcPr>
          <w:p w14:paraId="5FC16F2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134" w:type="dxa"/>
            <w:vAlign w:val="center"/>
          </w:tcPr>
          <w:p w14:paraId="1AD3590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生产情况</w:t>
            </w:r>
          </w:p>
          <w:p w14:paraId="390B648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记录</w:t>
            </w:r>
          </w:p>
        </w:tc>
        <w:tc>
          <w:tcPr>
            <w:tcW w:w="5953" w:type="dxa"/>
            <w:vAlign w:val="center"/>
          </w:tcPr>
          <w:p w14:paraId="051C0947">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现场抽查生产记录和成品仓库中的产品，未发现超出许可范围和许可有效期生产的情形。</w:t>
            </w:r>
          </w:p>
        </w:tc>
        <w:tc>
          <w:tcPr>
            <w:tcW w:w="1417" w:type="dxa"/>
            <w:vMerge w:val="continue"/>
            <w:vAlign w:val="center"/>
          </w:tcPr>
          <w:p w14:paraId="1F9C9CCC">
            <w:pPr>
              <w:spacing w:line="320" w:lineRule="exact"/>
              <w:jc w:val="center"/>
              <w:rPr>
                <w:rFonts w:hint="eastAsia" w:ascii="宋体" w:hAnsi="宋体" w:eastAsia="宋体" w:cs="宋体"/>
                <w:color w:val="auto"/>
                <w:highlight w:val="none"/>
              </w:rPr>
            </w:pPr>
          </w:p>
        </w:tc>
      </w:tr>
      <w:tr w14:paraId="5F7CD8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567" w:type="dxa"/>
            <w:vAlign w:val="center"/>
          </w:tcPr>
          <w:p w14:paraId="3B92154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134" w:type="dxa"/>
            <w:vAlign w:val="center"/>
          </w:tcPr>
          <w:p w14:paraId="6E47625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档案抽查</w:t>
            </w:r>
          </w:p>
        </w:tc>
        <w:tc>
          <w:tcPr>
            <w:tcW w:w="5953" w:type="dxa"/>
            <w:vAlign w:val="center"/>
          </w:tcPr>
          <w:p w14:paraId="4395899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（1）产品生产过程资料按要求存档。</w:t>
            </w:r>
          </w:p>
          <w:p w14:paraId="5ACD216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（2）特种设备出厂资料、竣工资料移交记录按要求存档。</w:t>
            </w:r>
          </w:p>
        </w:tc>
        <w:tc>
          <w:tcPr>
            <w:tcW w:w="1417" w:type="dxa"/>
            <w:vMerge w:val="continue"/>
            <w:vAlign w:val="center"/>
          </w:tcPr>
          <w:p w14:paraId="0A865BCF">
            <w:pPr>
              <w:spacing w:line="320" w:lineRule="exact"/>
              <w:jc w:val="center"/>
              <w:rPr>
                <w:rFonts w:hint="eastAsia" w:ascii="宋体" w:hAnsi="宋体" w:eastAsia="宋体" w:cs="宋体"/>
                <w:color w:val="auto"/>
                <w:highlight w:val="none"/>
              </w:rPr>
            </w:pPr>
          </w:p>
        </w:tc>
      </w:tr>
      <w:tr w14:paraId="53C7E1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53832CC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134" w:type="dxa"/>
            <w:vAlign w:val="center"/>
          </w:tcPr>
          <w:p w14:paraId="6A5AE06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整改情况</w:t>
            </w:r>
          </w:p>
        </w:tc>
        <w:tc>
          <w:tcPr>
            <w:tcW w:w="5953" w:type="dxa"/>
            <w:vAlign w:val="center"/>
          </w:tcPr>
          <w:p w14:paraId="3B60D6FE">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最近一次评审提出的整改项目均已按要求整改并复评合格。</w:t>
            </w:r>
          </w:p>
        </w:tc>
        <w:tc>
          <w:tcPr>
            <w:tcW w:w="1417" w:type="dxa"/>
            <w:vMerge w:val="continue"/>
            <w:vAlign w:val="center"/>
          </w:tcPr>
          <w:p w14:paraId="0D24B1DB">
            <w:pPr>
              <w:spacing w:line="320" w:lineRule="exact"/>
              <w:jc w:val="center"/>
              <w:rPr>
                <w:rFonts w:hint="eastAsia" w:ascii="宋体" w:hAnsi="宋体" w:eastAsia="宋体" w:cs="宋体"/>
                <w:color w:val="auto"/>
                <w:highlight w:val="none"/>
              </w:rPr>
            </w:pPr>
          </w:p>
        </w:tc>
      </w:tr>
      <w:tr w14:paraId="309997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361EBA6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134" w:type="dxa"/>
            <w:vAlign w:val="center"/>
          </w:tcPr>
          <w:p w14:paraId="53E2E68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变更申请</w:t>
            </w:r>
          </w:p>
        </w:tc>
        <w:tc>
          <w:tcPr>
            <w:tcW w:w="5953" w:type="dxa"/>
            <w:vAlign w:val="center"/>
          </w:tcPr>
          <w:p w14:paraId="42B2975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单位名称、住所、制造地址、办公地址改变及时申请变更。</w:t>
            </w:r>
          </w:p>
        </w:tc>
        <w:tc>
          <w:tcPr>
            <w:tcW w:w="1417" w:type="dxa"/>
            <w:vMerge w:val="continue"/>
            <w:vAlign w:val="center"/>
          </w:tcPr>
          <w:p w14:paraId="5864DDB0">
            <w:pPr>
              <w:spacing w:line="320" w:lineRule="exact"/>
              <w:jc w:val="center"/>
              <w:rPr>
                <w:rFonts w:hint="eastAsia" w:ascii="宋体" w:hAnsi="宋体" w:eastAsia="宋体" w:cs="宋体"/>
                <w:color w:val="auto"/>
                <w:highlight w:val="none"/>
              </w:rPr>
            </w:pPr>
          </w:p>
        </w:tc>
      </w:tr>
      <w:tr w14:paraId="6E6D41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0F48BAC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134" w:type="dxa"/>
            <w:vAlign w:val="center"/>
          </w:tcPr>
          <w:p w14:paraId="7432A86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工作场所</w:t>
            </w:r>
          </w:p>
        </w:tc>
        <w:tc>
          <w:tcPr>
            <w:tcW w:w="5953" w:type="dxa"/>
            <w:vAlign w:val="center"/>
          </w:tcPr>
          <w:p w14:paraId="567278A3">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具有日常工作需要的固定办公场所，面积符合相关要求。</w:t>
            </w:r>
          </w:p>
        </w:tc>
        <w:tc>
          <w:tcPr>
            <w:tcW w:w="1417" w:type="dxa"/>
            <w:vMerge w:val="continue"/>
            <w:vAlign w:val="center"/>
          </w:tcPr>
          <w:p w14:paraId="008AF889">
            <w:pPr>
              <w:spacing w:line="320" w:lineRule="exact"/>
              <w:jc w:val="center"/>
              <w:rPr>
                <w:rFonts w:hint="eastAsia" w:ascii="宋体" w:hAnsi="宋体" w:eastAsia="宋体" w:cs="宋体"/>
                <w:color w:val="auto"/>
                <w:highlight w:val="none"/>
              </w:rPr>
            </w:pPr>
          </w:p>
        </w:tc>
      </w:tr>
      <w:tr w14:paraId="7DEE5E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7081A7B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134" w:type="dxa"/>
            <w:vAlign w:val="center"/>
          </w:tcPr>
          <w:p w14:paraId="390B176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设备设施</w:t>
            </w:r>
          </w:p>
        </w:tc>
        <w:tc>
          <w:tcPr>
            <w:tcW w:w="5953" w:type="dxa"/>
            <w:vAlign w:val="center"/>
          </w:tcPr>
          <w:p w14:paraId="798EA09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设备设施符合相关要求。</w:t>
            </w:r>
          </w:p>
        </w:tc>
        <w:tc>
          <w:tcPr>
            <w:tcW w:w="1417" w:type="dxa"/>
            <w:vMerge w:val="continue"/>
            <w:vAlign w:val="center"/>
          </w:tcPr>
          <w:p w14:paraId="6FB49614">
            <w:pPr>
              <w:spacing w:line="320" w:lineRule="exact"/>
              <w:jc w:val="center"/>
              <w:rPr>
                <w:rFonts w:hint="eastAsia" w:ascii="宋体" w:hAnsi="宋体" w:eastAsia="宋体" w:cs="宋体"/>
                <w:color w:val="auto"/>
                <w:highlight w:val="none"/>
              </w:rPr>
            </w:pPr>
          </w:p>
        </w:tc>
      </w:tr>
      <w:tr w14:paraId="5C33B7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3CAFEBA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134" w:type="dxa"/>
            <w:vAlign w:val="center"/>
          </w:tcPr>
          <w:p w14:paraId="43EF1D1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管理制度</w:t>
            </w:r>
          </w:p>
        </w:tc>
        <w:tc>
          <w:tcPr>
            <w:tcW w:w="5953" w:type="dxa"/>
            <w:vAlign w:val="center"/>
          </w:tcPr>
          <w:p w14:paraId="473BA52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有健全的质量保证、安全管理和岗位责任等制度并有效运行。</w:t>
            </w:r>
          </w:p>
        </w:tc>
        <w:tc>
          <w:tcPr>
            <w:tcW w:w="1417" w:type="dxa"/>
            <w:vMerge w:val="continue"/>
            <w:vAlign w:val="center"/>
          </w:tcPr>
          <w:p w14:paraId="563C23BC">
            <w:pPr>
              <w:spacing w:line="320" w:lineRule="exact"/>
              <w:jc w:val="center"/>
              <w:rPr>
                <w:rFonts w:hint="eastAsia" w:ascii="宋体" w:hAnsi="宋体" w:eastAsia="宋体" w:cs="宋体"/>
                <w:color w:val="auto"/>
                <w:highlight w:val="none"/>
              </w:rPr>
            </w:pPr>
          </w:p>
        </w:tc>
      </w:tr>
      <w:tr w14:paraId="6254A4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7" w:hRule="atLeast"/>
        </w:trPr>
        <w:tc>
          <w:tcPr>
            <w:tcW w:w="567" w:type="dxa"/>
            <w:vAlign w:val="center"/>
          </w:tcPr>
          <w:p w14:paraId="4708A39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134" w:type="dxa"/>
            <w:vAlign w:val="center"/>
          </w:tcPr>
          <w:p w14:paraId="317936F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人员管理</w:t>
            </w:r>
          </w:p>
        </w:tc>
        <w:tc>
          <w:tcPr>
            <w:tcW w:w="5953" w:type="dxa"/>
            <w:vAlign w:val="center"/>
          </w:tcPr>
          <w:p w14:paraId="123F8545">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（1）书面任命质量、技术负责人。</w:t>
            </w:r>
          </w:p>
          <w:p w14:paraId="29E8572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（2）特种设备安全管理人员、检测人员、作业人员等许可相关在岗人员的资格和数量符合要求。</w:t>
            </w:r>
          </w:p>
        </w:tc>
        <w:tc>
          <w:tcPr>
            <w:tcW w:w="1417" w:type="dxa"/>
            <w:vMerge w:val="continue"/>
            <w:vAlign w:val="center"/>
          </w:tcPr>
          <w:p w14:paraId="51631CCC">
            <w:pPr>
              <w:spacing w:line="320" w:lineRule="exact"/>
              <w:jc w:val="center"/>
              <w:rPr>
                <w:rFonts w:hint="eastAsia" w:ascii="宋体" w:hAnsi="宋体" w:eastAsia="宋体" w:cs="宋体"/>
                <w:color w:val="auto"/>
                <w:highlight w:val="none"/>
              </w:rPr>
            </w:pPr>
          </w:p>
        </w:tc>
      </w:tr>
      <w:tr w14:paraId="71DC84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08" w:hRule="atLeast"/>
        </w:trPr>
        <w:tc>
          <w:tcPr>
            <w:tcW w:w="567" w:type="dxa"/>
            <w:vAlign w:val="center"/>
          </w:tcPr>
          <w:p w14:paraId="6436215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134" w:type="dxa"/>
            <w:vAlign w:val="center"/>
          </w:tcPr>
          <w:p w14:paraId="0BAA5569">
            <w:pPr>
              <w:spacing w:line="320" w:lineRule="exact"/>
              <w:jc w:val="center"/>
              <w:rPr>
                <w:rFonts w:hint="eastAsia" w:ascii="宋体" w:hAnsi="宋体" w:eastAsia="宋体" w:cs="宋体"/>
                <w:color w:val="auto"/>
                <w:highlight w:val="none"/>
              </w:rPr>
            </w:pPr>
            <w:r>
              <w:rPr>
                <w:rFonts w:hint="eastAsia" w:ascii="宋体" w:hAnsi="宋体" w:eastAsia="宋体" w:cs="宋体"/>
                <w:bCs/>
                <w:color w:val="auto"/>
                <w:highlight w:val="none"/>
              </w:rPr>
              <w:t>安全责任落实</w:t>
            </w:r>
          </w:p>
        </w:tc>
        <w:tc>
          <w:tcPr>
            <w:tcW w:w="5953" w:type="dxa"/>
            <w:vAlign w:val="center"/>
          </w:tcPr>
          <w:p w14:paraId="209B5D3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（1）书面任命质量安全总监、质量安全员。</w:t>
            </w:r>
          </w:p>
          <w:p w14:paraId="03539FB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（2）开展质量安全总监和质量安全员培训及考核的存档资料。</w:t>
            </w:r>
          </w:p>
          <w:p w14:paraId="3A22BA59">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（3）制定单位《特种设备安全风险管控清单》《特种设备安全总监职责》《特种设备安全员守则》等文件。</w:t>
            </w:r>
          </w:p>
          <w:p w14:paraId="6153A8C5">
            <w:pPr>
              <w:autoSpaceDE w:val="0"/>
              <w:autoSpaceDN w:val="0"/>
              <w:adjustRightInd w:val="0"/>
              <w:rPr>
                <w:rFonts w:hint="eastAsia" w:ascii="宋体" w:hAnsi="宋体" w:eastAsia="宋体" w:cs="宋体"/>
                <w:color w:val="auto"/>
                <w:highlight w:val="none"/>
              </w:rPr>
            </w:pPr>
            <w:r>
              <w:rPr>
                <w:rFonts w:hint="eastAsia" w:ascii="宋体" w:hAnsi="宋体" w:eastAsia="宋体" w:cs="宋体"/>
                <w:color w:val="auto"/>
                <w:highlight w:val="none"/>
              </w:rPr>
              <w:t>（4）建立并落实日管控、周排查、月调度工作机制。</w:t>
            </w:r>
          </w:p>
          <w:p w14:paraId="617E8680">
            <w:pPr>
              <w:autoSpaceDE w:val="0"/>
              <w:autoSpaceDN w:val="0"/>
              <w:adjustRightIn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（5）查阅《每日安全检查记录》《每周安全排查治理报告》《每月安全调度会议纪要》记录。</w:t>
            </w:r>
          </w:p>
          <w:p w14:paraId="4DFABCC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（6）协助现场监察人员对安全总监、安全员的开展监督抽查考核。</w:t>
            </w:r>
          </w:p>
        </w:tc>
        <w:tc>
          <w:tcPr>
            <w:tcW w:w="1417" w:type="dxa"/>
            <w:vMerge w:val="continue"/>
            <w:vAlign w:val="center"/>
          </w:tcPr>
          <w:p w14:paraId="27292E28">
            <w:pPr>
              <w:spacing w:line="320" w:lineRule="exact"/>
              <w:jc w:val="center"/>
              <w:rPr>
                <w:rFonts w:hint="eastAsia" w:ascii="宋体" w:hAnsi="宋体" w:eastAsia="宋体" w:cs="宋体"/>
                <w:color w:val="auto"/>
                <w:highlight w:val="none"/>
              </w:rPr>
            </w:pPr>
          </w:p>
        </w:tc>
      </w:tr>
    </w:tbl>
    <w:p w14:paraId="33DEB4BD">
      <w:pPr>
        <w:rPr>
          <w:rFonts w:hint="eastAsia" w:ascii="宋体" w:hAnsi="宋体" w:eastAsia="宋体" w:cs="宋体"/>
          <w:color w:val="auto"/>
          <w:highlight w:val="none"/>
        </w:rPr>
      </w:pPr>
      <w:r>
        <w:rPr>
          <w:rFonts w:hint="eastAsia" w:ascii="宋体" w:hAnsi="宋体" w:eastAsia="宋体" w:cs="宋体"/>
          <w:color w:val="auto"/>
          <w:highlight w:val="none"/>
        </w:rPr>
        <w:t>2.电梯维保单位</w:t>
      </w:r>
    </w:p>
    <w:tbl>
      <w:tblPr>
        <w:tblStyle w:val="28"/>
        <w:tblW w:w="907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567"/>
        <w:gridCol w:w="1134"/>
        <w:gridCol w:w="5953"/>
        <w:gridCol w:w="1417"/>
      </w:tblGrid>
      <w:tr w14:paraId="2FB8D6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67" w:type="dxa"/>
            <w:vAlign w:val="center"/>
          </w:tcPr>
          <w:p w14:paraId="01C8869D">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序号</w:t>
            </w:r>
          </w:p>
        </w:tc>
        <w:tc>
          <w:tcPr>
            <w:tcW w:w="1134" w:type="dxa"/>
            <w:vAlign w:val="center"/>
          </w:tcPr>
          <w:p w14:paraId="04E0E13F">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项目</w:t>
            </w:r>
          </w:p>
        </w:tc>
        <w:tc>
          <w:tcPr>
            <w:tcW w:w="5953" w:type="dxa"/>
            <w:vAlign w:val="center"/>
          </w:tcPr>
          <w:p w14:paraId="422DE7CF">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抽查内容与要求</w:t>
            </w:r>
          </w:p>
        </w:tc>
        <w:tc>
          <w:tcPr>
            <w:tcW w:w="1417" w:type="dxa"/>
            <w:vAlign w:val="center"/>
          </w:tcPr>
          <w:p w14:paraId="7622CA53">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抽查方法</w:t>
            </w:r>
          </w:p>
        </w:tc>
      </w:tr>
      <w:tr w14:paraId="3EA863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61" w:hRule="atLeast"/>
        </w:trPr>
        <w:tc>
          <w:tcPr>
            <w:tcW w:w="567" w:type="dxa"/>
            <w:vAlign w:val="center"/>
          </w:tcPr>
          <w:p w14:paraId="61145740">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34" w:type="dxa"/>
            <w:vAlign w:val="center"/>
          </w:tcPr>
          <w:p w14:paraId="64640C9D">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建立安全管理体系</w:t>
            </w:r>
          </w:p>
        </w:tc>
        <w:tc>
          <w:tcPr>
            <w:tcW w:w="5953" w:type="dxa"/>
            <w:vAlign w:val="center"/>
          </w:tcPr>
          <w:p w14:paraId="6D44BF1F">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（1）现行有效的相关法规政策文件齐全,在其框架下建立安全管理体系，整理建档；</w:t>
            </w:r>
          </w:p>
          <w:p w14:paraId="0164EB2C">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（2）质量保证、安全管理和岗位责任等制度健全；</w:t>
            </w:r>
          </w:p>
          <w:p w14:paraId="179EA179">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（3）有保障安全管理体系有效运行的措施。</w:t>
            </w:r>
          </w:p>
        </w:tc>
        <w:tc>
          <w:tcPr>
            <w:tcW w:w="1417" w:type="dxa"/>
            <w:vAlign w:val="center"/>
          </w:tcPr>
          <w:p w14:paraId="3BA5520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查阅体系</w:t>
            </w:r>
          </w:p>
          <w:p w14:paraId="5049EA25">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文件</w:t>
            </w:r>
          </w:p>
        </w:tc>
      </w:tr>
      <w:tr w14:paraId="59BF1E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0" w:hRule="atLeast"/>
        </w:trPr>
        <w:tc>
          <w:tcPr>
            <w:tcW w:w="567" w:type="dxa"/>
            <w:vAlign w:val="center"/>
          </w:tcPr>
          <w:p w14:paraId="5D07ECE8">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134" w:type="dxa"/>
            <w:vAlign w:val="center"/>
          </w:tcPr>
          <w:p w14:paraId="14185B8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加强日常安全自查</w:t>
            </w:r>
          </w:p>
        </w:tc>
        <w:tc>
          <w:tcPr>
            <w:tcW w:w="5953" w:type="dxa"/>
            <w:vAlign w:val="center"/>
          </w:tcPr>
          <w:p w14:paraId="057CC67B">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（1）制定自行检测、日常检查、维护保养、检验等自查计划并按相关技术规范要求实施；</w:t>
            </w:r>
          </w:p>
          <w:p w14:paraId="1ED70E23">
            <w:pPr>
              <w:autoSpaceDE w:val="0"/>
              <w:autoSpaceDN w:val="0"/>
              <w:adjustRightInd w:val="0"/>
              <w:rPr>
                <w:rFonts w:hint="eastAsia" w:ascii="宋体" w:hAnsi="宋体" w:eastAsia="宋体" w:cs="宋体"/>
                <w:color w:val="auto"/>
                <w:highlight w:val="none"/>
              </w:rPr>
            </w:pPr>
            <w:r>
              <w:rPr>
                <w:rFonts w:hint="eastAsia" w:ascii="宋体" w:hAnsi="宋体" w:eastAsia="宋体" w:cs="宋体"/>
                <w:color w:val="auto"/>
                <w:highlight w:val="none"/>
              </w:rPr>
              <w:t>（2）保存相关自查记录，保证信息能追溯。</w:t>
            </w:r>
          </w:p>
        </w:tc>
        <w:tc>
          <w:tcPr>
            <w:tcW w:w="1417" w:type="dxa"/>
            <w:vAlign w:val="center"/>
          </w:tcPr>
          <w:p w14:paraId="3B462A0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查阅相关</w:t>
            </w:r>
          </w:p>
          <w:p w14:paraId="0DC85705">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资料</w:t>
            </w:r>
          </w:p>
        </w:tc>
      </w:tr>
      <w:tr w14:paraId="4C6349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567" w:type="dxa"/>
            <w:vAlign w:val="center"/>
          </w:tcPr>
          <w:p w14:paraId="14124836">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134" w:type="dxa"/>
            <w:vAlign w:val="center"/>
          </w:tcPr>
          <w:p w14:paraId="1C68F87E">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遵守安全防护操作规程</w:t>
            </w:r>
          </w:p>
        </w:tc>
        <w:tc>
          <w:tcPr>
            <w:tcW w:w="5953" w:type="dxa"/>
            <w:vAlign w:val="center"/>
          </w:tcPr>
          <w:p w14:paraId="0211A815">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进行维护保养或救援时，落实现场安全防护措施，按照操作规程和技术规范作业，保证施工安全。</w:t>
            </w:r>
          </w:p>
        </w:tc>
        <w:tc>
          <w:tcPr>
            <w:tcW w:w="1417" w:type="dxa"/>
            <w:vAlign w:val="center"/>
          </w:tcPr>
          <w:p w14:paraId="7A69EAD8">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查阅相关见证资料</w:t>
            </w:r>
          </w:p>
        </w:tc>
      </w:tr>
      <w:tr w14:paraId="0EA406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48" w:hRule="atLeast"/>
        </w:trPr>
        <w:tc>
          <w:tcPr>
            <w:tcW w:w="567" w:type="dxa"/>
            <w:vAlign w:val="center"/>
          </w:tcPr>
          <w:p w14:paraId="180E16F1">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134" w:type="dxa"/>
            <w:vAlign w:val="center"/>
          </w:tcPr>
          <w:p w14:paraId="6F92CBA7">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配备相</w:t>
            </w:r>
          </w:p>
          <w:p w14:paraId="6D9BB708">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应人员</w:t>
            </w:r>
          </w:p>
        </w:tc>
        <w:tc>
          <w:tcPr>
            <w:tcW w:w="5953" w:type="dxa"/>
            <w:vAlign w:val="center"/>
          </w:tcPr>
          <w:p w14:paraId="09C9A75E">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（1）按照《特种设备生产和充装单位许可规则》（TSG 07-2019）相关要求，具有相应的技术负责人、质量保证体系人员、技术人员（项目负责人）、质量检验人员、作业人员，并且有相关人员任命文件；</w:t>
            </w:r>
          </w:p>
          <w:p w14:paraId="18268590">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（2）技术负责人、质量保证体系人员、技术人员（项目负责人）、质量检验人员、作业人员数量、职称或者学历符合《特种设备生产和充装单位许可规则》（TSG 07-2019）规定要求；</w:t>
            </w:r>
          </w:p>
          <w:p w14:paraId="18DE9292">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（3）建立人员台账，按照年度安全教育和技能培训计划，定期组织开展必要的安全教育和技能培训、考核。</w:t>
            </w:r>
          </w:p>
          <w:p w14:paraId="2DA9B9CA">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（4）有保障人员执行安全技术规范和管理制度的措施。</w:t>
            </w:r>
          </w:p>
        </w:tc>
        <w:tc>
          <w:tcPr>
            <w:tcW w:w="1417" w:type="dxa"/>
            <w:vAlign w:val="center"/>
          </w:tcPr>
          <w:p w14:paraId="6349508C">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现场检查相关资料</w:t>
            </w:r>
          </w:p>
        </w:tc>
      </w:tr>
      <w:tr w14:paraId="500F29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5" w:hRule="atLeast"/>
        </w:trPr>
        <w:tc>
          <w:tcPr>
            <w:tcW w:w="567" w:type="dxa"/>
            <w:vAlign w:val="center"/>
          </w:tcPr>
          <w:p w14:paraId="45A27DFC">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134" w:type="dxa"/>
            <w:vAlign w:val="center"/>
          </w:tcPr>
          <w:p w14:paraId="05C80EC8">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按规范维护保养</w:t>
            </w:r>
          </w:p>
        </w:tc>
        <w:tc>
          <w:tcPr>
            <w:tcW w:w="5953" w:type="dxa"/>
            <w:vAlign w:val="center"/>
          </w:tcPr>
          <w:p w14:paraId="66EBC726">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（1）建立维护保养电梯台账，根据《电梯维护保养规则》（TSG T5002-2017）以及电梯产品安装使用维护说明书的相关要求，制定维护保养方案，并严格执行；</w:t>
            </w:r>
          </w:p>
          <w:p w14:paraId="7E43FB5B">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（2）如实填写维护保养记录，每部电梯的保养记录保存4 年以上。采用按需维保模式的要保存相关信息并可查证；</w:t>
            </w:r>
          </w:p>
          <w:p w14:paraId="110ECA3F">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（3）抽查本年度2-5个维保项目各1-3台电梯的维护保养记录，检查维保项目落实情况；</w:t>
            </w:r>
          </w:p>
          <w:p w14:paraId="7F7193D9">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（4）对保存有效期内的其他年度的维护保养记录随机抽查3—5份，检查维保项目落实情况。</w:t>
            </w:r>
          </w:p>
        </w:tc>
        <w:tc>
          <w:tcPr>
            <w:tcW w:w="1417" w:type="dxa"/>
            <w:vAlign w:val="center"/>
          </w:tcPr>
          <w:p w14:paraId="4341D82E">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查阅相关方案及维护保养记录</w:t>
            </w:r>
          </w:p>
        </w:tc>
      </w:tr>
      <w:tr w14:paraId="645F1E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4" w:hRule="atLeast"/>
        </w:trPr>
        <w:tc>
          <w:tcPr>
            <w:tcW w:w="567" w:type="dxa"/>
            <w:vAlign w:val="center"/>
          </w:tcPr>
          <w:p w14:paraId="70B2A7A7">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134" w:type="dxa"/>
            <w:vAlign w:val="center"/>
          </w:tcPr>
          <w:p w14:paraId="10D6ADD4">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规范作业人员管理</w:t>
            </w:r>
          </w:p>
        </w:tc>
        <w:tc>
          <w:tcPr>
            <w:tcW w:w="5953" w:type="dxa"/>
            <w:vAlign w:val="center"/>
          </w:tcPr>
          <w:p w14:paraId="16D750BF">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（1）配备与维护保养业务相适应的维护保养人员，加强培训教育管理，持证上岗；</w:t>
            </w:r>
          </w:p>
          <w:p w14:paraId="5D4161BD">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（2）维护保养或救援时不得少于2 人；</w:t>
            </w:r>
          </w:p>
          <w:p w14:paraId="304F6BE6">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（3）鼓励建立惩戒措施或制度，规范作业人员行为。</w:t>
            </w:r>
          </w:p>
        </w:tc>
        <w:tc>
          <w:tcPr>
            <w:tcW w:w="1417" w:type="dxa"/>
            <w:vAlign w:val="center"/>
          </w:tcPr>
          <w:p w14:paraId="71EB2108">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查阅相关记录及见证材料</w:t>
            </w:r>
          </w:p>
        </w:tc>
      </w:tr>
      <w:tr w14:paraId="63D4DD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71" w:hRule="atLeast"/>
        </w:trPr>
        <w:tc>
          <w:tcPr>
            <w:tcW w:w="567" w:type="dxa"/>
            <w:vAlign w:val="center"/>
          </w:tcPr>
          <w:p w14:paraId="303051AA">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134" w:type="dxa"/>
            <w:vAlign w:val="center"/>
          </w:tcPr>
          <w:p w14:paraId="48B9BBE0">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保持电梯安全性能</w:t>
            </w:r>
          </w:p>
        </w:tc>
        <w:tc>
          <w:tcPr>
            <w:tcW w:w="5953" w:type="dxa"/>
            <w:vAlign w:val="center"/>
          </w:tcPr>
          <w:p w14:paraId="18696767">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（1）加强电梯安全防范和隐患治理，协助使用单位制定安全管理制度和应急救援预案；</w:t>
            </w:r>
          </w:p>
          <w:p w14:paraId="1EB0AAE5">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（2）发现事故隐患及时书面告知使用单位；</w:t>
            </w:r>
          </w:p>
          <w:p w14:paraId="7A98C9D0">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（3）对新承担维护保养的电梯进行安全性能确认；</w:t>
            </w:r>
          </w:p>
          <w:p w14:paraId="52831A5C">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（4）加强电梯安全保护装置的维护保养，并保证其正常有效。</w:t>
            </w:r>
          </w:p>
        </w:tc>
        <w:tc>
          <w:tcPr>
            <w:tcW w:w="1417" w:type="dxa"/>
            <w:vAlign w:val="center"/>
          </w:tcPr>
          <w:p w14:paraId="0A97278C">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查阅相关见证材料</w:t>
            </w:r>
          </w:p>
        </w:tc>
      </w:tr>
      <w:tr w14:paraId="3F5B29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71" w:hRule="atLeast"/>
        </w:trPr>
        <w:tc>
          <w:tcPr>
            <w:tcW w:w="567" w:type="dxa"/>
            <w:vAlign w:val="center"/>
          </w:tcPr>
          <w:p w14:paraId="7840A2CC">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134" w:type="dxa"/>
            <w:vAlign w:val="center"/>
          </w:tcPr>
          <w:p w14:paraId="62B26F62">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履行应急救援职责</w:t>
            </w:r>
          </w:p>
        </w:tc>
        <w:tc>
          <w:tcPr>
            <w:tcW w:w="5953" w:type="dxa"/>
            <w:vAlign w:val="center"/>
          </w:tcPr>
          <w:p w14:paraId="7267E56E">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（1）建立应急值班制度，保持24 小时电话畅通，接到故障或困人等信息后，设区市抵达时间不超过30 分钟，其他地区一般不超过1小时；</w:t>
            </w:r>
          </w:p>
          <w:p w14:paraId="16D99D35">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（2）制定电梯故障和事故应急救援预案，每年至少进行一次应急救援演练并作出记录。</w:t>
            </w:r>
          </w:p>
        </w:tc>
        <w:tc>
          <w:tcPr>
            <w:tcW w:w="1417" w:type="dxa"/>
            <w:vAlign w:val="center"/>
          </w:tcPr>
          <w:p w14:paraId="3570B1A0">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查阅应急救援专项预案及演练记录验证应急预案电话是否畅通</w:t>
            </w:r>
          </w:p>
        </w:tc>
      </w:tr>
      <w:tr w14:paraId="5C38B9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84" w:hRule="atLeast"/>
        </w:trPr>
        <w:tc>
          <w:tcPr>
            <w:tcW w:w="567" w:type="dxa"/>
            <w:vAlign w:val="center"/>
          </w:tcPr>
          <w:p w14:paraId="27628604">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134" w:type="dxa"/>
            <w:vAlign w:val="center"/>
          </w:tcPr>
          <w:p w14:paraId="09BC02CD">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许可条件保持情况</w:t>
            </w:r>
          </w:p>
        </w:tc>
        <w:tc>
          <w:tcPr>
            <w:tcW w:w="5953" w:type="dxa"/>
            <w:vAlign w:val="center"/>
          </w:tcPr>
          <w:p w14:paraId="0CC4208F">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（1）《营业执照》《中华人民共和国特种设备生产许可证》信息一致，并在有效期内；具有日常工作需要的固定办公场所。</w:t>
            </w:r>
          </w:p>
          <w:p w14:paraId="5B21B64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（2）制定持续保持许可条件的制度或措施；</w:t>
            </w:r>
          </w:p>
          <w:p w14:paraId="3759F78A">
            <w:pPr>
              <w:autoSpaceDE w:val="0"/>
              <w:autoSpaceDN w:val="0"/>
              <w:adjustRightIn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（3）许可条件发生变化或不能满足时及时整改，仍达不到许可条件的应报告发证机关；</w:t>
            </w:r>
          </w:p>
          <w:p w14:paraId="117A42C0">
            <w:pPr>
              <w:autoSpaceDE w:val="0"/>
              <w:autoSpaceDN w:val="0"/>
              <w:adjustRightIn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（4）单位名称、住所、办公地址改变及时申请变更。</w:t>
            </w:r>
          </w:p>
        </w:tc>
        <w:tc>
          <w:tcPr>
            <w:tcW w:w="1417" w:type="dxa"/>
            <w:vAlign w:val="center"/>
          </w:tcPr>
          <w:p w14:paraId="1A5F7C85">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现场查验相关信息及资料</w:t>
            </w:r>
          </w:p>
        </w:tc>
      </w:tr>
      <w:tr w14:paraId="2D33B3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84" w:hRule="atLeast"/>
        </w:trPr>
        <w:tc>
          <w:tcPr>
            <w:tcW w:w="567" w:type="dxa"/>
            <w:vAlign w:val="center"/>
          </w:tcPr>
          <w:p w14:paraId="073921DC">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134" w:type="dxa"/>
            <w:vAlign w:val="center"/>
          </w:tcPr>
          <w:p w14:paraId="35D4A4E0">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bCs/>
                <w:color w:val="auto"/>
                <w:highlight w:val="none"/>
              </w:rPr>
              <w:t>安全责任落实</w:t>
            </w:r>
          </w:p>
        </w:tc>
        <w:tc>
          <w:tcPr>
            <w:tcW w:w="5953" w:type="dxa"/>
            <w:vAlign w:val="center"/>
          </w:tcPr>
          <w:p w14:paraId="39C608CE">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（1）书面任命质量安全总监、质量安全员；</w:t>
            </w:r>
          </w:p>
          <w:p w14:paraId="7D4CA21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（2）开展质量安全总监和质量安全员培训及考核的存档资料；</w:t>
            </w:r>
          </w:p>
          <w:p w14:paraId="7FF37C0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（3）制定单位《特种设备安全风险管控清单》《特种设备安全总监职责》《特种设备安全员守则》等文件；</w:t>
            </w:r>
          </w:p>
          <w:p w14:paraId="3AEB49B4">
            <w:pPr>
              <w:autoSpaceDE w:val="0"/>
              <w:autoSpaceDN w:val="0"/>
              <w:adjustRightInd w:val="0"/>
              <w:rPr>
                <w:rFonts w:hint="eastAsia" w:ascii="宋体" w:hAnsi="宋体" w:eastAsia="宋体" w:cs="宋体"/>
                <w:color w:val="auto"/>
                <w:highlight w:val="none"/>
              </w:rPr>
            </w:pPr>
            <w:r>
              <w:rPr>
                <w:rFonts w:hint="eastAsia" w:ascii="宋体" w:hAnsi="宋体" w:eastAsia="宋体" w:cs="宋体"/>
                <w:color w:val="auto"/>
                <w:highlight w:val="none"/>
              </w:rPr>
              <w:t>（4）建立并落实日管控、周排查、月调度工作机制；</w:t>
            </w:r>
          </w:p>
          <w:p w14:paraId="6F775AC6">
            <w:pPr>
              <w:autoSpaceDE w:val="0"/>
              <w:autoSpaceDN w:val="0"/>
              <w:adjustRightInd w:val="0"/>
              <w:rPr>
                <w:rFonts w:hint="eastAsia" w:ascii="宋体" w:hAnsi="宋体" w:eastAsia="宋体" w:cs="宋体"/>
                <w:color w:val="auto"/>
                <w:highlight w:val="none"/>
              </w:rPr>
            </w:pPr>
            <w:r>
              <w:rPr>
                <w:rFonts w:hint="eastAsia" w:ascii="宋体" w:hAnsi="宋体" w:eastAsia="宋体" w:cs="宋体"/>
                <w:color w:val="auto"/>
                <w:highlight w:val="none"/>
              </w:rPr>
              <w:t>（5）查阅《每日安全检查记录》《每周安全排查治理报告》《每月安全调度会议纪要》记录；</w:t>
            </w:r>
          </w:p>
          <w:p w14:paraId="50E25CB5">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（6）对质量安全总监、质量安全员开展监督抽查考核。</w:t>
            </w:r>
          </w:p>
        </w:tc>
        <w:tc>
          <w:tcPr>
            <w:tcW w:w="1417" w:type="dxa"/>
            <w:vAlign w:val="center"/>
          </w:tcPr>
          <w:p w14:paraId="170B727C">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检查相关制度、任命文件及记录资料</w:t>
            </w:r>
          </w:p>
        </w:tc>
      </w:tr>
    </w:tbl>
    <w:p w14:paraId="337FAE6A">
      <w:pPr>
        <w:autoSpaceDE w:val="0"/>
        <w:autoSpaceDN w:val="0"/>
        <w:adjustRightInd w:val="0"/>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（二）机电类特种设备使用单位监督抽查项目内容及方法要求</w:t>
      </w:r>
    </w:p>
    <w:tbl>
      <w:tblPr>
        <w:tblStyle w:val="28"/>
        <w:tblW w:w="907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67"/>
        <w:gridCol w:w="1134"/>
        <w:gridCol w:w="5953"/>
        <w:gridCol w:w="1417"/>
      </w:tblGrid>
      <w:tr w14:paraId="22304E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67" w:type="dxa"/>
            <w:vAlign w:val="center"/>
          </w:tcPr>
          <w:p w14:paraId="4452DA72">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序号</w:t>
            </w:r>
          </w:p>
        </w:tc>
        <w:tc>
          <w:tcPr>
            <w:tcW w:w="1134" w:type="dxa"/>
            <w:vAlign w:val="center"/>
          </w:tcPr>
          <w:p w14:paraId="39931B42">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项目</w:t>
            </w:r>
          </w:p>
        </w:tc>
        <w:tc>
          <w:tcPr>
            <w:tcW w:w="5953" w:type="dxa"/>
            <w:tcBorders>
              <w:bottom w:val="single" w:color="auto" w:sz="4" w:space="0"/>
            </w:tcBorders>
            <w:vAlign w:val="center"/>
          </w:tcPr>
          <w:p w14:paraId="5B8996A1">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抽查内容与要求</w:t>
            </w:r>
          </w:p>
        </w:tc>
        <w:tc>
          <w:tcPr>
            <w:tcW w:w="1417" w:type="dxa"/>
            <w:tcBorders>
              <w:bottom w:val="single" w:color="auto" w:sz="4" w:space="0"/>
            </w:tcBorders>
            <w:vAlign w:val="center"/>
          </w:tcPr>
          <w:p w14:paraId="48648EA8">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监督抽查</w:t>
            </w:r>
          </w:p>
          <w:p w14:paraId="54C199A6">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方法</w:t>
            </w:r>
          </w:p>
        </w:tc>
      </w:tr>
      <w:tr w14:paraId="5823B3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54" w:hRule="atLeast"/>
        </w:trPr>
        <w:tc>
          <w:tcPr>
            <w:tcW w:w="567" w:type="dxa"/>
            <w:vAlign w:val="center"/>
          </w:tcPr>
          <w:p w14:paraId="323691AB">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1134" w:type="dxa"/>
            <w:vAlign w:val="center"/>
          </w:tcPr>
          <w:p w14:paraId="727F0B3C">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设备档案</w:t>
            </w:r>
          </w:p>
        </w:tc>
        <w:tc>
          <w:tcPr>
            <w:tcW w:w="5953" w:type="dxa"/>
            <w:tcBorders>
              <w:bottom w:val="single" w:color="auto" w:sz="4" w:space="0"/>
            </w:tcBorders>
            <w:vAlign w:val="center"/>
          </w:tcPr>
          <w:p w14:paraId="0EDEECE5">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（1）所抽查设备办理使用登记；</w:t>
            </w:r>
          </w:p>
          <w:p w14:paraId="1932B67B">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（2）所抽查设备在检验有效期内；</w:t>
            </w:r>
          </w:p>
          <w:p w14:paraId="498F436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（3）按要求建立设备档案且档案齐全；</w:t>
            </w:r>
          </w:p>
          <w:p w14:paraId="1818D10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（4）所抽查设备按要求进行经常性维护保养或者定期自行检查并有记录；</w:t>
            </w:r>
          </w:p>
          <w:p w14:paraId="0B16FB5E">
            <w:pPr>
              <w:pStyle w:val="83"/>
              <w:spacing w:line="320" w:lineRule="exact"/>
              <w:rPr>
                <w:rFonts w:hint="eastAsia" w:ascii="宋体" w:hAnsi="宋体" w:cs="宋体"/>
                <w:color w:val="auto"/>
                <w:szCs w:val="24"/>
                <w:highlight w:val="none"/>
              </w:rPr>
            </w:pPr>
            <w:r>
              <w:rPr>
                <w:rFonts w:hint="eastAsia" w:ascii="宋体" w:hAnsi="宋体" w:cs="宋体"/>
                <w:color w:val="auto"/>
                <w:szCs w:val="24"/>
                <w:highlight w:val="none"/>
              </w:rPr>
              <w:t>（5）有设备故障、异常情况处理记录；</w:t>
            </w:r>
          </w:p>
          <w:p w14:paraId="0BB5FD2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（6）有事故隐患排查和整治记录。</w:t>
            </w:r>
          </w:p>
        </w:tc>
        <w:tc>
          <w:tcPr>
            <w:tcW w:w="1417" w:type="dxa"/>
            <w:tcBorders>
              <w:bottom w:val="single" w:color="auto" w:sz="4" w:space="0"/>
            </w:tcBorders>
            <w:vAlign w:val="center"/>
          </w:tcPr>
          <w:p w14:paraId="5FBC5C09">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检查各类档案资料及</w:t>
            </w:r>
            <w:r>
              <w:rPr>
                <w:rFonts w:hint="eastAsia" w:ascii="宋体" w:hAnsi="宋体" w:eastAsia="宋体" w:cs="宋体"/>
                <w:color w:val="auto"/>
                <w:highlight w:val="none"/>
              </w:rPr>
              <w:t>证书有效期和相关记录</w:t>
            </w:r>
          </w:p>
        </w:tc>
      </w:tr>
      <w:tr w14:paraId="5DFB0C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47" w:hRule="atLeast"/>
        </w:trPr>
        <w:tc>
          <w:tcPr>
            <w:tcW w:w="567" w:type="dxa"/>
            <w:vAlign w:val="center"/>
          </w:tcPr>
          <w:p w14:paraId="6CBAE2E4">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1134" w:type="dxa"/>
            <w:vAlign w:val="center"/>
          </w:tcPr>
          <w:p w14:paraId="589F2376">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人员档案</w:t>
            </w:r>
          </w:p>
        </w:tc>
        <w:tc>
          <w:tcPr>
            <w:tcW w:w="5953" w:type="dxa"/>
            <w:tcBorders>
              <w:bottom w:val="single" w:color="auto" w:sz="4" w:space="0"/>
            </w:tcBorders>
            <w:vAlign w:val="center"/>
          </w:tcPr>
          <w:p w14:paraId="6C204F97">
            <w:pPr>
              <w:spacing w:line="320" w:lineRule="exact"/>
              <w:rPr>
                <w:rFonts w:hint="eastAsia" w:ascii="宋体" w:hAnsi="宋体" w:eastAsia="宋体" w:cs="宋体"/>
                <w:color w:val="auto"/>
                <w:highlight w:val="none"/>
              </w:rPr>
            </w:pPr>
            <w:r>
              <w:rPr>
                <w:rFonts w:hint="eastAsia" w:ascii="宋体" w:hAnsi="宋体" w:eastAsia="宋体" w:cs="宋体"/>
                <w:bCs/>
                <w:color w:val="auto"/>
                <w:spacing w:val="4"/>
                <w:highlight w:val="none"/>
              </w:rPr>
              <w:t>（1）特种设备</w:t>
            </w:r>
            <w:r>
              <w:rPr>
                <w:rFonts w:hint="eastAsia" w:ascii="宋体" w:hAnsi="宋体" w:eastAsia="宋体" w:cs="宋体"/>
                <w:color w:val="auto"/>
                <w:highlight w:val="none"/>
              </w:rPr>
              <w:t>安全管理和作业人员证在有效期内，项目符合要求并办理聘用手续；</w:t>
            </w:r>
          </w:p>
          <w:p w14:paraId="2E9A3903">
            <w:pPr>
              <w:spacing w:line="320" w:lineRule="exact"/>
              <w:rPr>
                <w:rFonts w:hint="eastAsia" w:ascii="宋体" w:hAnsi="宋体" w:eastAsia="宋体" w:cs="宋体"/>
                <w:bCs/>
                <w:color w:val="auto"/>
                <w:spacing w:val="4"/>
                <w:highlight w:val="none"/>
              </w:rPr>
            </w:pPr>
            <w:r>
              <w:rPr>
                <w:rFonts w:hint="eastAsia" w:ascii="宋体" w:hAnsi="宋体" w:eastAsia="宋体" w:cs="宋体"/>
                <w:color w:val="auto"/>
                <w:highlight w:val="none"/>
              </w:rPr>
              <w:t>（2）有特种设备作业人员培训考核记录。</w:t>
            </w:r>
          </w:p>
        </w:tc>
        <w:tc>
          <w:tcPr>
            <w:tcW w:w="1417" w:type="dxa"/>
            <w:tcBorders>
              <w:bottom w:val="single" w:color="auto" w:sz="4" w:space="0"/>
            </w:tcBorders>
            <w:vAlign w:val="center"/>
          </w:tcPr>
          <w:p w14:paraId="6D89E3F5">
            <w:pPr>
              <w:spacing w:line="320" w:lineRule="exact"/>
              <w:jc w:val="center"/>
              <w:rPr>
                <w:rFonts w:hint="eastAsia" w:ascii="宋体" w:hAnsi="宋体" w:eastAsia="宋体" w:cs="宋体"/>
                <w:bCs/>
                <w:color w:val="auto"/>
                <w:highlight w:val="none"/>
              </w:rPr>
            </w:pPr>
            <w:r>
              <w:rPr>
                <w:rFonts w:hint="eastAsia" w:ascii="宋体" w:hAnsi="宋体" w:eastAsia="宋体" w:cs="宋体"/>
                <w:color w:val="auto"/>
                <w:highlight w:val="none"/>
              </w:rPr>
              <w:t>检查证书有效期及聘用手续、培训考核相关记录</w:t>
            </w:r>
          </w:p>
        </w:tc>
      </w:tr>
      <w:tr w14:paraId="22F2B7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47" w:hRule="atLeast"/>
        </w:trPr>
        <w:tc>
          <w:tcPr>
            <w:tcW w:w="567" w:type="dxa"/>
            <w:vAlign w:val="center"/>
          </w:tcPr>
          <w:p w14:paraId="032952A1">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1134" w:type="dxa"/>
            <w:vAlign w:val="center"/>
          </w:tcPr>
          <w:p w14:paraId="6353A3E2">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机构及</w:t>
            </w:r>
          </w:p>
          <w:p w14:paraId="1AC2F431">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制度</w:t>
            </w:r>
          </w:p>
        </w:tc>
        <w:tc>
          <w:tcPr>
            <w:tcW w:w="5953" w:type="dxa"/>
            <w:tcBorders>
              <w:bottom w:val="single" w:color="auto" w:sz="4" w:space="0"/>
            </w:tcBorders>
            <w:vAlign w:val="center"/>
          </w:tcPr>
          <w:p w14:paraId="441EB32C">
            <w:pPr>
              <w:spacing w:line="320" w:lineRule="exact"/>
              <w:rPr>
                <w:rFonts w:hint="eastAsia" w:ascii="宋体" w:hAnsi="宋体" w:eastAsia="宋体" w:cs="宋体"/>
                <w:bCs/>
                <w:color w:val="auto"/>
                <w:spacing w:val="4"/>
                <w:highlight w:val="none"/>
              </w:rPr>
            </w:pPr>
            <w:r>
              <w:rPr>
                <w:rFonts w:hint="eastAsia" w:ascii="宋体" w:hAnsi="宋体" w:eastAsia="宋体" w:cs="宋体"/>
                <w:bCs/>
                <w:color w:val="auto"/>
                <w:spacing w:val="4"/>
                <w:highlight w:val="none"/>
              </w:rPr>
              <w:t>（1）</w:t>
            </w:r>
            <w:r>
              <w:rPr>
                <w:rFonts w:hint="eastAsia" w:ascii="宋体" w:hAnsi="宋体" w:eastAsia="宋体" w:cs="宋体"/>
                <w:color w:val="auto"/>
                <w:highlight w:val="none"/>
              </w:rPr>
              <w:t>按规定设置安全管理机构或配备专兼职安全管理人员，并书面任命安全责任人；</w:t>
            </w:r>
          </w:p>
          <w:p w14:paraId="68CC81BD">
            <w:pPr>
              <w:spacing w:line="320" w:lineRule="exact"/>
              <w:rPr>
                <w:rFonts w:hint="eastAsia" w:ascii="宋体" w:hAnsi="宋体" w:eastAsia="宋体" w:cs="宋体"/>
                <w:color w:val="auto"/>
                <w:highlight w:val="none"/>
              </w:rPr>
            </w:pPr>
            <w:r>
              <w:rPr>
                <w:rFonts w:hint="eastAsia" w:ascii="宋体" w:hAnsi="宋体" w:eastAsia="宋体" w:cs="宋体"/>
                <w:bCs/>
                <w:color w:val="auto"/>
                <w:spacing w:val="4"/>
                <w:highlight w:val="none"/>
              </w:rPr>
              <w:t>（2）</w:t>
            </w:r>
            <w:r>
              <w:rPr>
                <w:rFonts w:hint="eastAsia" w:ascii="宋体" w:hAnsi="宋体" w:eastAsia="宋体" w:cs="宋体"/>
                <w:color w:val="auto"/>
                <w:highlight w:val="none"/>
              </w:rPr>
              <w:t>建立并实施安全管理制度和操作规程；</w:t>
            </w:r>
          </w:p>
          <w:p w14:paraId="089A18F0">
            <w:pPr>
              <w:spacing w:line="320" w:lineRule="exact"/>
              <w:rPr>
                <w:rFonts w:hint="eastAsia" w:ascii="宋体" w:hAnsi="宋体" w:eastAsia="宋体" w:cs="宋体"/>
                <w:bCs/>
                <w:color w:val="auto"/>
                <w:spacing w:val="4"/>
                <w:highlight w:val="none"/>
              </w:rPr>
            </w:pPr>
            <w:r>
              <w:rPr>
                <w:rFonts w:hint="eastAsia" w:ascii="宋体" w:hAnsi="宋体" w:eastAsia="宋体" w:cs="宋体"/>
                <w:color w:val="auto"/>
                <w:highlight w:val="none"/>
              </w:rPr>
              <w:t>（3）制定事故应急（专项）预案并有演练记录。</w:t>
            </w:r>
          </w:p>
        </w:tc>
        <w:tc>
          <w:tcPr>
            <w:tcW w:w="1417" w:type="dxa"/>
            <w:tcBorders>
              <w:bottom w:val="single" w:color="auto" w:sz="4" w:space="0"/>
            </w:tcBorders>
            <w:vAlign w:val="center"/>
          </w:tcPr>
          <w:p w14:paraId="1ABB6A89">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查阅相关见证资料</w:t>
            </w:r>
          </w:p>
        </w:tc>
      </w:tr>
      <w:tr w14:paraId="7BCCAE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0" w:hRule="atLeast"/>
        </w:trPr>
        <w:tc>
          <w:tcPr>
            <w:tcW w:w="567" w:type="dxa"/>
            <w:vAlign w:val="center"/>
          </w:tcPr>
          <w:p w14:paraId="5483F4DE">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1134" w:type="dxa"/>
            <w:tcBorders>
              <w:top w:val="single" w:color="auto" w:sz="4" w:space="0"/>
              <w:bottom w:val="single" w:color="auto" w:sz="4" w:space="0"/>
            </w:tcBorders>
            <w:vAlign w:val="center"/>
          </w:tcPr>
          <w:p w14:paraId="6555DE35">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安全责任落实</w:t>
            </w:r>
          </w:p>
        </w:tc>
        <w:tc>
          <w:tcPr>
            <w:tcW w:w="5953" w:type="dxa"/>
            <w:tcBorders>
              <w:top w:val="single" w:color="auto" w:sz="4" w:space="0"/>
              <w:bottom w:val="single" w:color="auto" w:sz="4" w:space="0"/>
            </w:tcBorders>
            <w:vAlign w:val="center"/>
          </w:tcPr>
          <w:p w14:paraId="2A3A973C">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（1）书面任命安全总监、安全员。</w:t>
            </w:r>
          </w:p>
          <w:p w14:paraId="24C8959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（2）开展安全总监和安全员培训及考核的存档资料。</w:t>
            </w:r>
          </w:p>
          <w:p w14:paraId="3E1E9B1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（3）制定单位《特种设备安全风险管控清单》《特种设备安全总监职责》《特种设备安全员守则》等文件。</w:t>
            </w:r>
          </w:p>
          <w:p w14:paraId="372FA847">
            <w:pPr>
              <w:autoSpaceDE w:val="0"/>
              <w:autoSpaceDN w:val="0"/>
              <w:adjustRightInd w:val="0"/>
              <w:rPr>
                <w:rFonts w:hint="eastAsia" w:ascii="宋体" w:hAnsi="宋体" w:eastAsia="宋体" w:cs="宋体"/>
                <w:color w:val="auto"/>
                <w:highlight w:val="none"/>
              </w:rPr>
            </w:pPr>
            <w:r>
              <w:rPr>
                <w:rFonts w:hint="eastAsia" w:ascii="宋体" w:hAnsi="宋体" w:eastAsia="宋体" w:cs="宋体"/>
                <w:color w:val="auto"/>
                <w:highlight w:val="none"/>
              </w:rPr>
              <w:t>（4）建立并落实日管控、周排查、月调度工作机制。</w:t>
            </w:r>
          </w:p>
          <w:p w14:paraId="3A57821C">
            <w:pPr>
              <w:autoSpaceDE w:val="0"/>
              <w:autoSpaceDN w:val="0"/>
              <w:adjustRightInd w:val="0"/>
              <w:rPr>
                <w:rFonts w:hint="eastAsia" w:ascii="宋体" w:hAnsi="宋体" w:eastAsia="宋体" w:cs="宋体"/>
                <w:color w:val="auto"/>
                <w:highlight w:val="none"/>
              </w:rPr>
            </w:pPr>
            <w:r>
              <w:rPr>
                <w:rFonts w:hint="eastAsia" w:ascii="宋体" w:hAnsi="宋体" w:eastAsia="宋体" w:cs="宋体"/>
                <w:color w:val="auto"/>
                <w:highlight w:val="none"/>
              </w:rPr>
              <w:t>（5）查阅《每日安全检查记录》《每周安全排查治理报告》《每月安全调度会议纪要》记录。</w:t>
            </w:r>
          </w:p>
          <w:p w14:paraId="4A274F9A">
            <w:pPr>
              <w:autoSpaceDE w:val="0"/>
              <w:autoSpaceDN w:val="0"/>
              <w:adjustRightInd w:val="0"/>
              <w:rPr>
                <w:rFonts w:hint="eastAsia" w:ascii="宋体" w:hAnsi="宋体" w:eastAsia="宋体" w:cs="宋体"/>
                <w:color w:val="auto"/>
                <w:highlight w:val="none"/>
              </w:rPr>
            </w:pPr>
            <w:r>
              <w:rPr>
                <w:rFonts w:hint="eastAsia" w:ascii="宋体" w:hAnsi="宋体" w:eastAsia="宋体" w:cs="宋体"/>
                <w:color w:val="auto"/>
                <w:highlight w:val="none"/>
              </w:rPr>
              <w:t>（6）协助现场监察人员对安全总监、安全员开展监督抽查考核。</w:t>
            </w:r>
          </w:p>
        </w:tc>
        <w:tc>
          <w:tcPr>
            <w:tcW w:w="1417" w:type="dxa"/>
            <w:vAlign w:val="center"/>
          </w:tcPr>
          <w:p w14:paraId="6125A23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检查相关制度、任命文件及记录资料</w:t>
            </w:r>
          </w:p>
        </w:tc>
      </w:tr>
      <w:tr w14:paraId="791492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58" w:hRule="atLeast"/>
        </w:trPr>
        <w:tc>
          <w:tcPr>
            <w:tcW w:w="567" w:type="dxa"/>
            <w:tcBorders>
              <w:top w:val="single" w:color="auto" w:sz="4" w:space="0"/>
            </w:tcBorders>
            <w:vAlign w:val="center"/>
          </w:tcPr>
          <w:p w14:paraId="76450B9C">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5</w:t>
            </w:r>
          </w:p>
        </w:tc>
        <w:tc>
          <w:tcPr>
            <w:tcW w:w="1134" w:type="dxa"/>
            <w:tcBorders>
              <w:top w:val="single" w:color="auto" w:sz="4" w:space="0"/>
            </w:tcBorders>
            <w:vAlign w:val="center"/>
          </w:tcPr>
          <w:p w14:paraId="51DB5B6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大型游乐设施</w:t>
            </w:r>
            <w:r>
              <w:rPr>
                <w:rFonts w:hint="eastAsia" w:ascii="宋体" w:hAnsi="宋体" w:eastAsia="宋体" w:cs="宋体"/>
                <w:bCs/>
                <w:color w:val="auto"/>
                <w:highlight w:val="none"/>
              </w:rPr>
              <w:t>安全管理要求</w:t>
            </w:r>
          </w:p>
        </w:tc>
        <w:tc>
          <w:tcPr>
            <w:tcW w:w="5953" w:type="dxa"/>
            <w:tcBorders>
              <w:top w:val="single" w:color="auto" w:sz="4" w:space="0"/>
            </w:tcBorders>
            <w:vAlign w:val="center"/>
          </w:tcPr>
          <w:p w14:paraId="674D6DE1">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sz w:val="24"/>
                <w:szCs w:val="24"/>
                <w:highlight w:val="none"/>
              </w:rPr>
              <w:t>（1）</w:t>
            </w:r>
            <w:r>
              <w:rPr>
                <w:rFonts w:hint="eastAsia" w:hAnsi="宋体" w:cs="宋体"/>
                <w:color w:val="auto"/>
                <w:kern w:val="0"/>
                <w:sz w:val="24"/>
                <w:szCs w:val="24"/>
                <w:highlight w:val="none"/>
              </w:rPr>
              <w:t>使用标志及安全标志：①设备按要求办理使用登记并将使用标志置于显著位置。②设有显著的警示标志。③进出口设有显著的乘客须知和身高标尺等安全标志。</w:t>
            </w:r>
          </w:p>
          <w:p w14:paraId="207D422F">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（2）作业人员的有效证件在显著位置公示。</w:t>
            </w:r>
          </w:p>
          <w:p w14:paraId="0060B8B4">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sz w:val="24"/>
                <w:szCs w:val="24"/>
                <w:highlight w:val="none"/>
              </w:rPr>
              <w:t>（3）</w:t>
            </w:r>
            <w:r>
              <w:rPr>
                <w:rFonts w:hint="eastAsia" w:hAnsi="宋体" w:cs="宋体"/>
                <w:color w:val="auto"/>
                <w:kern w:val="0"/>
                <w:sz w:val="24"/>
                <w:szCs w:val="24"/>
                <w:highlight w:val="none"/>
              </w:rPr>
              <w:t>安全保护装置：①抽查配备的安全带、安全压杠等乘客束缚装置，应当完好有效。②抽查座舱舱门锁紧装置，应当完好有效。</w:t>
            </w:r>
          </w:p>
          <w:p w14:paraId="199A8AA3">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（4）定期修订应急救援（专项）预案，并按照预案开展应急救援演练。</w:t>
            </w:r>
          </w:p>
          <w:p w14:paraId="58C5605D">
            <w:pPr>
              <w:pStyle w:val="84"/>
              <w:widowControl w:val="0"/>
              <w:adjustRightInd w:val="0"/>
              <w:snapToGrid w:val="0"/>
              <w:spacing w:line="320" w:lineRule="exact"/>
              <w:ind w:firstLine="0" w:firstLineChars="0"/>
              <w:rPr>
                <w:rFonts w:hint="eastAsia" w:hAnsi="宋体" w:cs="宋体"/>
                <w:color w:val="auto"/>
                <w:sz w:val="24"/>
                <w:szCs w:val="24"/>
                <w:highlight w:val="none"/>
              </w:rPr>
            </w:pPr>
            <w:r>
              <w:rPr>
                <w:rFonts w:hint="eastAsia" w:hAnsi="宋体" w:cs="宋体"/>
                <w:color w:val="auto"/>
                <w:kern w:val="0"/>
                <w:sz w:val="24"/>
                <w:szCs w:val="24"/>
                <w:highlight w:val="none"/>
              </w:rPr>
              <w:t>（5）按规定进行设备运营前试运行检查、日常检查和维护保养、定期自行检查。</w:t>
            </w:r>
          </w:p>
        </w:tc>
        <w:tc>
          <w:tcPr>
            <w:tcW w:w="1417" w:type="dxa"/>
            <w:tcBorders>
              <w:top w:val="single" w:color="auto" w:sz="4" w:space="0"/>
            </w:tcBorders>
            <w:vAlign w:val="center"/>
          </w:tcPr>
          <w:p w14:paraId="270EAD2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查阅标识标志、人员证件、相关记录，验证安全保护装置是否有效</w:t>
            </w:r>
          </w:p>
        </w:tc>
      </w:tr>
      <w:tr w14:paraId="0050DE8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3" w:hRule="atLeast"/>
        </w:trPr>
        <w:tc>
          <w:tcPr>
            <w:tcW w:w="567" w:type="dxa"/>
            <w:vAlign w:val="center"/>
          </w:tcPr>
          <w:p w14:paraId="254F69DB">
            <w:pPr>
              <w:spacing w:line="320" w:lineRule="exact"/>
              <w:jc w:val="center"/>
              <w:rPr>
                <w:rFonts w:hint="eastAsia" w:ascii="宋体" w:hAnsi="宋体" w:eastAsia="宋体" w:cs="宋体"/>
                <w:color w:val="auto"/>
                <w:highlight w:val="none"/>
              </w:rPr>
            </w:pPr>
            <w:r>
              <w:rPr>
                <w:rFonts w:hint="eastAsia" w:ascii="宋体" w:hAnsi="宋体" w:eastAsia="宋体" w:cs="宋体"/>
                <w:bCs/>
                <w:color w:val="auto"/>
                <w:highlight w:val="none"/>
              </w:rPr>
              <w:t>6</w:t>
            </w:r>
          </w:p>
        </w:tc>
        <w:tc>
          <w:tcPr>
            <w:tcW w:w="1134" w:type="dxa"/>
            <w:vAlign w:val="center"/>
          </w:tcPr>
          <w:p w14:paraId="729CCBC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电梯</w:t>
            </w:r>
            <w:r>
              <w:rPr>
                <w:rFonts w:hint="eastAsia" w:ascii="宋体" w:hAnsi="宋体" w:eastAsia="宋体" w:cs="宋体"/>
                <w:bCs/>
                <w:color w:val="auto"/>
                <w:highlight w:val="none"/>
              </w:rPr>
              <w:t>安全管理要求</w:t>
            </w:r>
          </w:p>
        </w:tc>
        <w:tc>
          <w:tcPr>
            <w:tcW w:w="5953" w:type="dxa"/>
            <w:vAlign w:val="center"/>
          </w:tcPr>
          <w:p w14:paraId="044172C0">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（1）使用标志及安全警示：①设备按要求办理使用登记并将使用标志置于设备的显著位置。②安全注意事项和警示标志置于易于为乘客注意的显著位置。</w:t>
            </w:r>
          </w:p>
          <w:p w14:paraId="5DDBD5BD">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2）安全保护装置：①电梯轿厢内设置的紧急报警装置有效，联系畅通。②轿厢门防夹保护装置有效。③自动扶梯和自动人行道急停开关有效，且有清晰的永久性标识。④自动扶梯围裙板上的防夹装置完整。⑤自动扶梯和自动人行道出入口处梳齿板完好。⑥在与楼板交叉处以及各交叉设置的自动扶梯或者自动人行道之间，按要求装设防护挡板（扶手带外缘与任何障碍物之间距离大于等于400mm的除外）。</w:t>
            </w:r>
          </w:p>
          <w:p w14:paraId="55A39105">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（3）显示信号系统：抽查呼梯、选层、楼层指示等显示信号系统功能有效，指示正确。</w:t>
            </w:r>
          </w:p>
          <w:p w14:paraId="7EFF5317">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（4）维保情况：①签订维保合同并在有效期内。②有维保记录，并经安全管理人员签字确认。</w:t>
            </w:r>
          </w:p>
          <w:p w14:paraId="2423973D">
            <w:pPr>
              <w:spacing w:line="32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（5）</w:t>
            </w:r>
            <w:r>
              <w:rPr>
                <w:rFonts w:hint="eastAsia" w:ascii="宋体" w:hAnsi="宋体" w:eastAsia="宋体" w:cs="宋体"/>
                <w:color w:val="auto"/>
                <w:highlight w:val="none"/>
                <w:lang w:val="zh-CN"/>
              </w:rPr>
              <w:t>结合维护保养计划和方案，认真做好原有维护保养项目，同时增加一次电梯反绳轮（含防脱槽装置、轴承、固定零部件等）、导轨、限速器、安全钳的维护保养以及限速器—安全钳联动试验；对于额定载重量在1600kg 及以上的曳引驱动乘客电梯和额定载重量在3000kg 及以上的曳引驱动载货电梯，应在轿厢内装载额定载荷，以检修速度进行限速器—安全钳联动试验；并留存上述增加维保项目的相应照片或视频等见证材料。</w:t>
            </w:r>
          </w:p>
        </w:tc>
        <w:tc>
          <w:tcPr>
            <w:tcW w:w="1417" w:type="dxa"/>
            <w:vAlign w:val="center"/>
          </w:tcPr>
          <w:p w14:paraId="046DB8A2">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lang w:val="zh-CN"/>
              </w:rPr>
              <w:t>查阅相关标志标识及记录、见证资料，验证安全保护装置及显示信号系统是否有效</w:t>
            </w:r>
          </w:p>
        </w:tc>
      </w:tr>
      <w:tr w14:paraId="3318DB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08" w:hRule="atLeast"/>
        </w:trPr>
        <w:tc>
          <w:tcPr>
            <w:tcW w:w="567" w:type="dxa"/>
            <w:vAlign w:val="center"/>
          </w:tcPr>
          <w:p w14:paraId="39763D1C">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7</w:t>
            </w:r>
          </w:p>
        </w:tc>
        <w:tc>
          <w:tcPr>
            <w:tcW w:w="1134" w:type="dxa"/>
            <w:vAlign w:val="center"/>
          </w:tcPr>
          <w:p w14:paraId="0813210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起重机械</w:t>
            </w:r>
            <w:r>
              <w:rPr>
                <w:rFonts w:hint="eastAsia" w:ascii="宋体" w:hAnsi="宋体" w:eastAsia="宋体" w:cs="宋体"/>
                <w:bCs/>
                <w:color w:val="auto"/>
                <w:highlight w:val="none"/>
              </w:rPr>
              <w:t>安全管理要求</w:t>
            </w:r>
          </w:p>
        </w:tc>
        <w:tc>
          <w:tcPr>
            <w:tcW w:w="5953" w:type="dxa"/>
            <w:vAlign w:val="center"/>
          </w:tcPr>
          <w:p w14:paraId="60E616AD">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（1）使用标志：①设备按要求办理使用登记并将使用标志置于设备的显著位置或存放档案中。②有额定起重量（额定起重力矩）标识，且固定在显著位置。</w:t>
            </w:r>
          </w:p>
          <w:p w14:paraId="7600D997">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（2）安全保护装置：①按要求设置紧急停止开关且完好。②按要求设置起重量限制器且完好。③按要求设置力矩限制器且完好。④按要求设置防坠安全器且完好。⑤按要求设置高度限制器且完好。</w:t>
            </w:r>
          </w:p>
          <w:p w14:paraId="19A86188">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（3）维保情况：按规定进行定期自行检查和维护保养</w:t>
            </w:r>
          </w:p>
        </w:tc>
        <w:tc>
          <w:tcPr>
            <w:tcW w:w="1417" w:type="dxa"/>
            <w:vAlign w:val="center"/>
          </w:tcPr>
          <w:p w14:paraId="6BB252A1">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lang w:val="zh-CN"/>
              </w:rPr>
              <w:t>查阅相关标志标识及记录，验证安全保护装置是否有效</w:t>
            </w:r>
          </w:p>
        </w:tc>
      </w:tr>
      <w:tr w14:paraId="590CA7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65" w:hRule="atLeast"/>
        </w:trPr>
        <w:tc>
          <w:tcPr>
            <w:tcW w:w="567" w:type="dxa"/>
            <w:vAlign w:val="center"/>
          </w:tcPr>
          <w:p w14:paraId="5BA8D439">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8</w:t>
            </w:r>
          </w:p>
        </w:tc>
        <w:tc>
          <w:tcPr>
            <w:tcW w:w="1134" w:type="dxa"/>
            <w:vAlign w:val="center"/>
          </w:tcPr>
          <w:p w14:paraId="76E2870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场（厂）内专用机动车辆</w:t>
            </w:r>
            <w:r>
              <w:rPr>
                <w:rFonts w:hint="eastAsia" w:ascii="宋体" w:hAnsi="宋体" w:eastAsia="宋体" w:cs="宋体"/>
                <w:bCs/>
                <w:color w:val="auto"/>
                <w:highlight w:val="none"/>
              </w:rPr>
              <w:t>安全管理要求</w:t>
            </w:r>
          </w:p>
        </w:tc>
        <w:tc>
          <w:tcPr>
            <w:tcW w:w="5953" w:type="dxa"/>
            <w:vAlign w:val="center"/>
          </w:tcPr>
          <w:p w14:paraId="6B637FE5">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（1）使用标志及安全标志：①设备按要求办理使用登记并将使用标志置于显著位置。②悬挂有效牌照。③设置安全警示标志。</w:t>
            </w:r>
          </w:p>
          <w:p w14:paraId="632E585E">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2）安全装置：①车辆的照明系统和仪表盘正常。②车辆的行车、驻车制动系统有效。③有能发出清晰声响的警示装置（如喇叭）。④车辆后视镜有效。⑤按要求配备灭火器（仅观光车辆）。⑥按要求配置安全带（仅坐驾式车辆）。⑦紧急断电开关有效（仅电动车辆）。⑧视频监控装置有效（仅观光列车）。</w:t>
            </w:r>
          </w:p>
          <w:p w14:paraId="040108CF">
            <w:pPr>
              <w:pStyle w:val="84"/>
              <w:widowControl w:val="0"/>
              <w:adjustRightInd w:val="0"/>
              <w:snapToGrid w:val="0"/>
              <w:spacing w:line="320" w:lineRule="exact"/>
              <w:ind w:firstLine="0" w:firstLineChars="0"/>
              <w:rPr>
                <w:rFonts w:hint="eastAsia" w:hAnsi="宋体" w:cs="宋体"/>
                <w:color w:val="auto"/>
                <w:sz w:val="24"/>
                <w:szCs w:val="24"/>
                <w:highlight w:val="none"/>
              </w:rPr>
            </w:pPr>
            <w:r>
              <w:rPr>
                <w:rFonts w:hint="eastAsia" w:hAnsi="宋体" w:cs="宋体"/>
                <w:color w:val="auto"/>
                <w:kern w:val="0"/>
                <w:sz w:val="24"/>
                <w:szCs w:val="24"/>
                <w:highlight w:val="none"/>
              </w:rPr>
              <w:t>（3）运行及维保情况：①按规定进行定期自行检查和维护保养。②非公路用旅游观光车辆在上下车站点处明示行驶路线图。</w:t>
            </w:r>
          </w:p>
        </w:tc>
        <w:tc>
          <w:tcPr>
            <w:tcW w:w="1417" w:type="dxa"/>
            <w:vAlign w:val="center"/>
          </w:tcPr>
          <w:p w14:paraId="36BBADF0">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lang w:val="zh-CN"/>
              </w:rPr>
              <w:t>查阅相关标志标识及记录，验证安全保护装置是否有效</w:t>
            </w:r>
          </w:p>
        </w:tc>
      </w:tr>
      <w:tr w14:paraId="76F68C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61" w:hRule="atLeast"/>
        </w:trPr>
        <w:tc>
          <w:tcPr>
            <w:tcW w:w="567" w:type="dxa"/>
            <w:tcBorders>
              <w:top w:val="single" w:color="auto" w:sz="4" w:space="0"/>
            </w:tcBorders>
            <w:vAlign w:val="center"/>
          </w:tcPr>
          <w:p w14:paraId="5587A45A">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9</w:t>
            </w:r>
          </w:p>
        </w:tc>
        <w:tc>
          <w:tcPr>
            <w:tcW w:w="1134" w:type="dxa"/>
            <w:tcBorders>
              <w:top w:val="single" w:color="auto" w:sz="4" w:space="0"/>
            </w:tcBorders>
            <w:vAlign w:val="center"/>
          </w:tcPr>
          <w:p w14:paraId="4FB8FAD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客运索道</w:t>
            </w:r>
            <w:r>
              <w:rPr>
                <w:rFonts w:hint="eastAsia" w:ascii="宋体" w:hAnsi="宋体" w:eastAsia="宋体" w:cs="宋体"/>
                <w:bCs/>
                <w:color w:val="auto"/>
                <w:highlight w:val="none"/>
              </w:rPr>
              <w:t>安全管理要求</w:t>
            </w:r>
          </w:p>
        </w:tc>
        <w:tc>
          <w:tcPr>
            <w:tcW w:w="5953" w:type="dxa"/>
            <w:tcBorders>
              <w:top w:val="single" w:color="auto" w:sz="4" w:space="0"/>
            </w:tcBorders>
            <w:vAlign w:val="center"/>
          </w:tcPr>
          <w:p w14:paraId="067CFF41">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sz w:val="24"/>
                <w:szCs w:val="24"/>
                <w:highlight w:val="none"/>
              </w:rPr>
              <w:t>（1）</w:t>
            </w:r>
            <w:r>
              <w:rPr>
                <w:rFonts w:hint="eastAsia" w:hAnsi="宋体" w:cs="宋体"/>
                <w:color w:val="auto"/>
                <w:kern w:val="0"/>
                <w:sz w:val="24"/>
                <w:szCs w:val="24"/>
                <w:highlight w:val="none"/>
              </w:rPr>
              <w:t>使用标志及安全标志：①设备按要求办理使用登记并将使用标志置于显著位置。②进站口设乘客须知。③站台按规定设上下车线、禁止线等安全标志。④吊篮、吊箱内有安全说明。</w:t>
            </w:r>
          </w:p>
          <w:p w14:paraId="0459039C">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（2）作业人员的有效证件在显著位置公示。</w:t>
            </w:r>
          </w:p>
          <w:p w14:paraId="65EC247A">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（3）通信装置：①站房之间有专用电话，且至少有一条外线电话，并能保持通讯可靠。②沿线广播系统有效。</w:t>
            </w:r>
          </w:p>
          <w:p w14:paraId="2F404DFD">
            <w:pPr>
              <w:pStyle w:val="84"/>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（4）应急救援：有应急救援专项预案、救援装备，并按照要求开展应急救援演练。</w:t>
            </w:r>
          </w:p>
          <w:p w14:paraId="50FCAB71">
            <w:pPr>
              <w:pStyle w:val="84"/>
              <w:widowControl w:val="0"/>
              <w:adjustRightInd w:val="0"/>
              <w:snapToGrid w:val="0"/>
              <w:spacing w:line="320" w:lineRule="exact"/>
              <w:ind w:firstLine="0" w:firstLineChars="0"/>
              <w:rPr>
                <w:rFonts w:hint="eastAsia" w:hAnsi="宋体" w:cs="宋体"/>
                <w:color w:val="auto"/>
                <w:sz w:val="24"/>
                <w:szCs w:val="24"/>
                <w:highlight w:val="none"/>
              </w:rPr>
            </w:pPr>
            <w:r>
              <w:rPr>
                <w:rFonts w:hint="eastAsia" w:hAnsi="宋体" w:cs="宋体"/>
                <w:color w:val="auto"/>
                <w:kern w:val="0"/>
                <w:sz w:val="24"/>
                <w:szCs w:val="24"/>
                <w:highlight w:val="none"/>
              </w:rPr>
              <w:t>（5）运行及维保情况：按规定进行设备运营前试运行检查、日常检查和维护保养、定期自行检查，并有检查记录。</w:t>
            </w:r>
          </w:p>
        </w:tc>
        <w:tc>
          <w:tcPr>
            <w:tcW w:w="1417" w:type="dxa"/>
            <w:tcBorders>
              <w:top w:val="single" w:color="auto" w:sz="4" w:space="0"/>
            </w:tcBorders>
            <w:vAlign w:val="center"/>
          </w:tcPr>
          <w:p w14:paraId="0849E14D">
            <w:pPr>
              <w:spacing w:line="32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查阅相关标志标识及记录，验证通讯装置是否</w:t>
            </w:r>
          </w:p>
          <w:p w14:paraId="1554F2E2">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lang w:val="zh-CN"/>
              </w:rPr>
              <w:t>有效</w:t>
            </w:r>
          </w:p>
        </w:tc>
      </w:tr>
      <w:bookmarkEnd w:id="93"/>
      <w:bookmarkEnd w:id="100"/>
      <w:bookmarkEnd w:id="101"/>
      <w:bookmarkEnd w:id="102"/>
      <w:bookmarkEnd w:id="103"/>
    </w:tbl>
    <w:p w14:paraId="66AB4324">
      <w:pPr>
        <w:numPr>
          <w:ilvl w:val="0"/>
          <w:numId w:val="0"/>
        </w:numPr>
        <w:spacing w:line="360" w:lineRule="auto"/>
        <w:ind w:firstLine="210" w:firstLineChars="100"/>
        <w:jc w:val="left"/>
        <w:rPr>
          <w:rFonts w:hint="eastAsia"/>
        </w:rPr>
      </w:pPr>
      <w:bookmarkStart w:id="104" w:name="_Toc24641"/>
      <w:r>
        <w:rPr>
          <w:rFonts w:hint="eastAsia"/>
        </w:rPr>
        <w:br w:type="page"/>
      </w:r>
    </w:p>
    <w:p w14:paraId="59537E06">
      <w:pPr>
        <w:pStyle w:val="3"/>
        <w:bidi w:val="0"/>
        <w:rPr>
          <w:rFonts w:hint="eastAsia"/>
          <w:lang w:eastAsia="zh-CN"/>
        </w:rPr>
      </w:pPr>
      <w:bookmarkStart w:id="105" w:name="_Toc27393"/>
      <w:r>
        <w:rPr>
          <w:rFonts w:hint="eastAsia"/>
          <w:lang w:val="en-US" w:eastAsia="zh-CN"/>
        </w:rPr>
        <w:t xml:space="preserve">第六部分   </w:t>
      </w:r>
      <w:r>
        <w:t>合同</w:t>
      </w:r>
      <w:r>
        <w:rPr>
          <w:rFonts w:hint="eastAsia"/>
        </w:rPr>
        <w:t>主要</w:t>
      </w:r>
      <w:r>
        <w:t>条款</w:t>
      </w:r>
      <w:r>
        <w:rPr>
          <w:rFonts w:hint="eastAsia"/>
          <w:lang w:eastAsia="zh-CN"/>
        </w:rPr>
        <w:t>（</w:t>
      </w:r>
      <w:r>
        <w:rPr>
          <w:rFonts w:hint="eastAsia"/>
          <w:lang w:val="en-US" w:eastAsia="zh-CN"/>
        </w:rPr>
        <w:t>参考合同</w:t>
      </w:r>
      <w:r>
        <w:rPr>
          <w:rFonts w:hint="eastAsia"/>
          <w:lang w:eastAsia="zh-CN"/>
        </w:rPr>
        <w:t>）</w:t>
      </w:r>
      <w:bookmarkEnd w:id="105"/>
    </w:p>
    <w:p w14:paraId="7B915AEA">
      <w:pPr>
        <w:numPr>
          <w:ilvl w:val="0"/>
          <w:numId w:val="0"/>
        </w:numPr>
        <w:spacing w:line="360" w:lineRule="auto"/>
        <w:jc w:val="right"/>
        <w:rPr>
          <w:rFonts w:hint="eastAsia" w:ascii="宋体" w:hAnsi="宋体" w:eastAsia="宋体" w:cs="宋体"/>
          <w:color w:val="auto"/>
          <w:sz w:val="72"/>
          <w:szCs w:val="72"/>
          <w:highlight w:val="none"/>
        </w:rPr>
      </w:pPr>
      <w:r>
        <w:rPr>
          <w:rFonts w:hint="eastAsia" w:ascii="宋体" w:hAnsi="宋体" w:eastAsia="宋体" w:cs="宋体"/>
          <w:b/>
          <w:color w:val="auto"/>
          <w:sz w:val="32"/>
          <w:szCs w:val="32"/>
          <w:highlight w:val="none"/>
          <w:bdr w:val="single" w:color="auto" w:sz="4" w:space="0"/>
          <w:shd w:val="pct10" w:color="auto" w:fill="FFFFFF"/>
        </w:rPr>
        <w:t>政府采购项目</w:t>
      </w:r>
    </w:p>
    <w:p w14:paraId="5A708FA1">
      <w:pPr>
        <w:pStyle w:val="25"/>
        <w:spacing w:before="395" w:beforeLines="100"/>
        <w:ind w:firstLine="420"/>
        <w:jc w:val="center"/>
        <w:rPr>
          <w:rFonts w:hint="eastAsia" w:eastAsia="宋体"/>
          <w:b/>
          <w:bCs/>
          <w:color w:val="auto"/>
          <w:sz w:val="48"/>
          <w:szCs w:val="48"/>
          <w:highlight w:val="none"/>
        </w:rPr>
      </w:pPr>
      <w:r>
        <w:rPr>
          <w:rFonts w:hint="eastAsia" w:eastAsia="宋体"/>
          <w:b/>
          <w:bCs/>
          <w:color w:val="auto"/>
          <w:sz w:val="48"/>
          <w:szCs w:val="48"/>
          <w:highlight w:val="none"/>
        </w:rPr>
        <w:t>西安市市场监督管理局</w:t>
      </w:r>
    </w:p>
    <w:p w14:paraId="1516693C">
      <w:pPr>
        <w:pStyle w:val="25"/>
        <w:spacing w:before="395" w:beforeLines="100"/>
        <w:ind w:firstLine="420"/>
        <w:jc w:val="center"/>
        <w:rPr>
          <w:rFonts w:hint="eastAsia" w:eastAsia="宋体"/>
          <w:b/>
          <w:bCs/>
          <w:color w:val="auto"/>
          <w:sz w:val="48"/>
          <w:szCs w:val="48"/>
          <w:highlight w:val="none"/>
          <w:lang w:eastAsia="zh-CN"/>
        </w:rPr>
      </w:pPr>
      <w:r>
        <w:rPr>
          <w:rFonts w:hint="eastAsia" w:eastAsia="宋体"/>
          <w:b/>
          <w:bCs/>
          <w:color w:val="auto"/>
          <w:sz w:val="48"/>
          <w:szCs w:val="48"/>
          <w:highlight w:val="none"/>
        </w:rPr>
        <w:t>2025年机电类特种设备安全质量监督抽查项目</w:t>
      </w:r>
      <w:r>
        <w:rPr>
          <w:rFonts w:hint="eastAsia"/>
          <w:b/>
          <w:bCs/>
          <w:color w:val="auto"/>
          <w:sz w:val="48"/>
          <w:szCs w:val="48"/>
          <w:highlight w:val="none"/>
          <w:lang w:eastAsia="zh-CN"/>
        </w:rPr>
        <w:t>（</w:t>
      </w:r>
      <w:r>
        <w:rPr>
          <w:rFonts w:hint="eastAsia"/>
          <w:b/>
          <w:bCs/>
          <w:color w:val="auto"/>
          <w:sz w:val="48"/>
          <w:szCs w:val="48"/>
          <w:highlight w:val="none"/>
          <w:lang w:val="en-US" w:eastAsia="zh-CN"/>
        </w:rPr>
        <w:t>二次</w:t>
      </w:r>
      <w:r>
        <w:rPr>
          <w:rFonts w:hint="eastAsia"/>
          <w:b/>
          <w:bCs/>
          <w:color w:val="auto"/>
          <w:sz w:val="48"/>
          <w:szCs w:val="48"/>
          <w:highlight w:val="none"/>
          <w:lang w:eastAsia="zh-CN"/>
        </w:rPr>
        <w:t>）</w:t>
      </w:r>
    </w:p>
    <w:p w14:paraId="17CFDAB2">
      <w:pPr>
        <w:jc w:val="center"/>
        <w:rPr>
          <w:rFonts w:hint="eastAsia" w:ascii="宋体" w:hAnsi="宋体" w:eastAsia="宋体" w:cs="宋体"/>
          <w:b/>
          <w:bCs/>
          <w:color w:val="auto"/>
          <w:sz w:val="72"/>
          <w:szCs w:val="72"/>
          <w:highlight w:val="none"/>
        </w:rPr>
      </w:pPr>
    </w:p>
    <w:p w14:paraId="1C05A579">
      <w:pPr>
        <w:jc w:val="center"/>
        <w:rPr>
          <w:rFonts w:hint="eastAsia" w:ascii="宋体" w:hAnsi="宋体" w:eastAsia="宋体" w:cs="宋体"/>
          <w:b/>
          <w:bCs/>
          <w:color w:val="auto"/>
          <w:spacing w:val="68"/>
          <w:sz w:val="28"/>
          <w:szCs w:val="28"/>
          <w:highlight w:val="none"/>
        </w:rPr>
      </w:pPr>
      <w:r>
        <w:rPr>
          <w:rFonts w:hint="eastAsia" w:ascii="宋体" w:hAnsi="宋体" w:eastAsia="宋体" w:cs="宋体"/>
          <w:b/>
          <w:bCs/>
          <w:color w:val="auto"/>
          <w:sz w:val="72"/>
          <w:szCs w:val="72"/>
          <w:highlight w:val="none"/>
        </w:rPr>
        <w:t>服务合同</w:t>
      </w:r>
    </w:p>
    <w:p w14:paraId="1FA9DF63">
      <w:pPr>
        <w:rPr>
          <w:rFonts w:hint="eastAsia" w:ascii="宋体" w:hAnsi="宋体" w:eastAsia="宋体" w:cs="宋体"/>
          <w:color w:val="auto"/>
          <w:spacing w:val="68"/>
          <w:sz w:val="28"/>
          <w:szCs w:val="28"/>
          <w:highlight w:val="none"/>
        </w:rPr>
      </w:pPr>
    </w:p>
    <w:p w14:paraId="52EB96EE">
      <w:pPr>
        <w:rPr>
          <w:rFonts w:hint="eastAsia" w:ascii="宋体" w:hAnsi="宋体" w:eastAsia="宋体" w:cs="宋体"/>
          <w:color w:val="auto"/>
          <w:spacing w:val="68"/>
          <w:sz w:val="28"/>
          <w:szCs w:val="28"/>
          <w:highlight w:val="none"/>
        </w:rPr>
      </w:pPr>
    </w:p>
    <w:p w14:paraId="330A0A9E">
      <w:pPr>
        <w:rPr>
          <w:rFonts w:hint="eastAsia" w:ascii="宋体" w:hAnsi="宋体" w:eastAsia="宋体" w:cs="宋体"/>
          <w:color w:val="auto"/>
          <w:spacing w:val="68"/>
          <w:sz w:val="28"/>
          <w:szCs w:val="28"/>
          <w:highlight w:val="none"/>
        </w:rPr>
      </w:pPr>
    </w:p>
    <w:p w14:paraId="5A2B2C0F">
      <w:pPr>
        <w:spacing w:line="360" w:lineRule="auto"/>
        <w:rPr>
          <w:rFonts w:hint="eastAsia" w:ascii="宋体" w:hAnsi="宋体" w:eastAsia="宋体" w:cs="宋体"/>
          <w:b/>
          <w:color w:val="auto"/>
          <w:sz w:val="28"/>
          <w:szCs w:val="28"/>
          <w:highlight w:val="none"/>
        </w:rPr>
      </w:pPr>
    </w:p>
    <w:p w14:paraId="5A4A8C85">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编    号：政采-西安市-2025-</w:t>
      </w:r>
    </w:p>
    <w:p w14:paraId="78FDA4E7">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合同编号：</w:t>
      </w:r>
    </w:p>
    <w:p w14:paraId="30464441">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服务内容：2025年机电类特种设备生产、使用单位监督抽查</w:t>
      </w:r>
    </w:p>
    <w:p w14:paraId="2953D269">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需    方：西安市市场监督管理局</w:t>
      </w:r>
    </w:p>
    <w:p w14:paraId="0FBBD50C">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    方：</w:t>
      </w:r>
    </w:p>
    <w:p w14:paraId="33E8EB1A">
      <w:pPr>
        <w:rPr>
          <w:rFonts w:hint="eastAsia" w:ascii="宋体" w:hAnsi="宋体" w:eastAsia="宋体" w:cs="宋体"/>
          <w:color w:val="auto"/>
          <w:spacing w:val="68"/>
          <w:sz w:val="28"/>
          <w:szCs w:val="28"/>
          <w:highlight w:val="none"/>
        </w:rPr>
      </w:pPr>
      <w:r>
        <w:rPr>
          <w:rFonts w:hint="eastAsia" w:ascii="宋体" w:hAnsi="宋体" w:eastAsia="宋体" w:cs="宋体"/>
          <w:b/>
          <w:color w:val="auto"/>
          <w:sz w:val="28"/>
          <w:szCs w:val="28"/>
          <w:highlight w:val="none"/>
        </w:rPr>
        <w:t>鉴 证 方：陕西万泽招标有限公司</w:t>
      </w:r>
    </w:p>
    <w:p w14:paraId="099011B3">
      <w:pPr>
        <w:jc w:val="center"/>
        <w:rPr>
          <w:rFonts w:hint="eastAsia" w:ascii="宋体" w:hAnsi="宋体" w:eastAsia="宋体" w:cs="宋体"/>
          <w:color w:val="auto"/>
          <w:highlight w:val="none"/>
        </w:rPr>
      </w:pPr>
    </w:p>
    <w:p w14:paraId="7703BDEA">
      <w:pPr>
        <w:rPr>
          <w:rFonts w:hint="eastAsia" w:ascii="宋体" w:hAnsi="宋体" w:eastAsia="宋体" w:cs="宋体"/>
          <w:color w:val="auto"/>
          <w:highlight w:val="none"/>
          <w:u w:val="single"/>
        </w:rPr>
      </w:pPr>
      <w:r>
        <w:rPr>
          <w:rFonts w:hint="eastAsia" w:ascii="宋体" w:hAnsi="宋体" w:eastAsia="宋体" w:cs="宋体"/>
          <w:color w:val="auto"/>
          <w:highlight w:val="none"/>
          <w:u w:val="single"/>
        </w:rPr>
        <w:br w:type="page"/>
      </w:r>
    </w:p>
    <w:p w14:paraId="6599BB8F">
      <w:pPr>
        <w:adjustRightInd w:val="0"/>
        <w:snapToGrid w:val="0"/>
        <w:spacing w:line="360" w:lineRule="auto"/>
        <w:ind w:firstLine="640"/>
        <w:rPr>
          <w:rFonts w:hint="eastAsia" w:ascii="宋体" w:hAnsi="宋体" w:eastAsia="宋体" w:cs="宋体"/>
          <w:color w:val="auto"/>
          <w:highlight w:val="none"/>
        </w:rPr>
      </w:pPr>
      <w:r>
        <w:rPr>
          <w:rFonts w:hint="eastAsia" w:ascii="宋体" w:hAnsi="宋体" w:eastAsia="宋体" w:cs="宋体"/>
          <w:color w:val="auto"/>
          <w:highlight w:val="none"/>
          <w:u w:val="single"/>
        </w:rPr>
        <w:t>西安市市场监督管理局</w:t>
      </w:r>
      <w:r>
        <w:rPr>
          <w:rFonts w:hint="eastAsia" w:ascii="宋体" w:hAnsi="宋体" w:eastAsia="宋体" w:cs="宋体"/>
          <w:color w:val="auto"/>
          <w:highlight w:val="none"/>
        </w:rPr>
        <w:t xml:space="preserve"> （以下简称需方）和（以下简称供方）根据《中华人民共和国民法典》和有关法律法规，遵循平等、自愿、公平和诚实信用原则，同意按照下面的条款和条件订立本政府采购合同，共同信守。</w:t>
      </w:r>
    </w:p>
    <w:p w14:paraId="55BD3909">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kern w:val="2"/>
          <w:highlight w:val="none"/>
        </w:rPr>
        <w:t xml:space="preserve">一、项目概况 </w:t>
      </w:r>
    </w:p>
    <w:p w14:paraId="5741F12C">
      <w:pPr>
        <w:adjustRightInd w:val="0"/>
        <w:snapToGrid w:val="0"/>
        <w:spacing w:line="360" w:lineRule="auto"/>
        <w:ind w:firstLine="640"/>
        <w:rPr>
          <w:rFonts w:hint="eastAsia" w:ascii="宋体" w:hAnsi="宋体" w:eastAsia="宋体" w:cs="宋体"/>
          <w:color w:val="auto"/>
          <w:highlight w:val="none"/>
          <w:lang w:eastAsia="zh-CN"/>
        </w:rPr>
      </w:pPr>
      <w:r>
        <w:rPr>
          <w:rFonts w:hint="eastAsia" w:ascii="宋体" w:hAnsi="宋体" w:eastAsia="宋体" w:cs="宋体"/>
          <w:color w:val="auto"/>
          <w:kern w:val="2"/>
          <w:highlight w:val="none"/>
        </w:rPr>
        <w:t>（一）项目名称：2025年机电类特种设备安全质量监督抽查项目</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二次</w:t>
      </w:r>
      <w:r>
        <w:rPr>
          <w:rFonts w:hint="eastAsia" w:ascii="宋体" w:hAnsi="宋体" w:eastAsia="宋体" w:cs="宋体"/>
          <w:color w:val="auto"/>
          <w:kern w:val="2"/>
          <w:highlight w:val="none"/>
          <w:lang w:eastAsia="zh-CN"/>
        </w:rPr>
        <w:t>）</w:t>
      </w:r>
    </w:p>
    <w:p w14:paraId="17CE1C33">
      <w:pPr>
        <w:adjustRightInd w:val="0"/>
        <w:snapToGrid w:val="0"/>
        <w:spacing w:line="360" w:lineRule="auto"/>
        <w:ind w:firstLine="640"/>
        <w:rPr>
          <w:rFonts w:hint="eastAsia" w:ascii="宋体" w:hAnsi="宋体" w:eastAsia="宋体" w:cs="宋体"/>
          <w:color w:val="auto"/>
          <w:highlight w:val="none"/>
        </w:rPr>
      </w:pPr>
      <w:r>
        <w:rPr>
          <w:rFonts w:hint="eastAsia" w:ascii="宋体" w:hAnsi="宋体" w:eastAsia="宋体" w:cs="宋体"/>
          <w:color w:val="auto"/>
          <w:kern w:val="2"/>
          <w:highlight w:val="none"/>
        </w:rPr>
        <w:t>（二）项目地点：西安市</w:t>
      </w:r>
      <w:r>
        <w:rPr>
          <w:rFonts w:hint="eastAsia" w:ascii="宋体" w:hAnsi="宋体" w:eastAsia="宋体" w:cs="宋体"/>
          <w:color w:val="auto"/>
          <w:highlight w:val="none"/>
        </w:rPr>
        <w:t>辖区范围内</w:t>
      </w:r>
    </w:p>
    <w:p w14:paraId="591C83A1">
      <w:pPr>
        <w:adjustRightInd w:val="0"/>
        <w:snapToGrid w:val="0"/>
        <w:spacing w:line="360" w:lineRule="auto"/>
        <w:ind w:firstLine="640"/>
        <w:rPr>
          <w:rFonts w:hint="eastAsia" w:ascii="宋体" w:hAnsi="宋体" w:eastAsia="宋体" w:cs="宋体"/>
          <w:color w:val="auto"/>
          <w:highlight w:val="none"/>
        </w:rPr>
      </w:pPr>
      <w:r>
        <w:rPr>
          <w:rFonts w:hint="eastAsia" w:ascii="宋体" w:hAnsi="宋体" w:eastAsia="宋体" w:cs="宋体"/>
          <w:color w:val="auto"/>
          <w:kern w:val="2"/>
          <w:highlight w:val="none"/>
        </w:rPr>
        <w:t>（三）项目概况：为全面排查整治特种设备安全隐患，督促我市特种设备生产、使用单位主体责任落实，预防和减少安全事故，保障全市机电类特种设备安全稳定。根据《中华人民共和国特种设备安全法》等法律法规规章和安全技术规范，结合实际，按照随机抽查、分布合理、重点突出的原则，委托第三方专业机构，对全市机电类特种设备生产、使用单位进行监督抽查，重点查找和解决机电类特种设备生产、使用单位在主体责任落实环节中存在的问题和风险，整治安全隐患，查处违法行为，规范安全秩序，夯实安全责任，促进全市特种设备安全形势平稳向好发展。</w:t>
      </w:r>
    </w:p>
    <w:p w14:paraId="35F28CAF">
      <w:pPr>
        <w:adjustRightInd w:val="0"/>
        <w:snapToGrid w:val="0"/>
        <w:spacing w:line="360" w:lineRule="auto"/>
        <w:ind w:firstLine="422" w:firstLineChars="200"/>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二、合同标的物内容及数量</w:t>
      </w:r>
      <w:r>
        <w:rPr>
          <w:rFonts w:hint="eastAsia" w:ascii="宋体" w:hAnsi="宋体" w:eastAsia="宋体" w:cs="宋体"/>
          <w:color w:val="auto"/>
          <w:kern w:val="2"/>
          <w:highlight w:val="none"/>
        </w:rPr>
        <w:t>：</w:t>
      </w:r>
    </w:p>
    <w:p w14:paraId="350BDD35">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2025 机电类特种设备生产、使用单位监督抽查项目计划抽查不少于550家，其中，生产单位不少于150家，使用单位不少于400家。</w:t>
      </w:r>
    </w:p>
    <w:p w14:paraId="2332069C">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机电类特种设备生产单位监督抽查。抽取注册地在西安市的电梯、起重机械、场（厂）内专用机动车辆、大型游乐设施、客运索道的生产（制造、安装、改造、修理）单位不少于150家，依据相关法律法规规章和安全技术规范，核查确认其行政许可、人员管理、生产档案、证后许可资源条件保持、“两个规定”及“日管控、周排查、月调度”工作机制落实情况，对其质量安全主体责任落实情况和质量体系运行情况进行监督验证。</w:t>
      </w:r>
    </w:p>
    <w:p w14:paraId="513445AB">
      <w:pPr>
        <w:spacing w:line="560" w:lineRule="exact"/>
        <w:ind w:firstLine="420" w:firstLineChars="200"/>
        <w:rPr>
          <w:rFonts w:hint="eastAsia" w:ascii="宋体" w:hAnsi="宋体" w:eastAsia="宋体" w:cs="宋体"/>
          <w:color w:val="auto"/>
          <w:sz w:val="28"/>
          <w:szCs w:val="28"/>
          <w:highlight w:val="none"/>
        </w:rPr>
      </w:pPr>
      <w:r>
        <w:rPr>
          <w:rFonts w:hint="eastAsia" w:ascii="宋体" w:hAnsi="宋体" w:eastAsia="宋体" w:cs="宋体"/>
          <w:color w:val="auto"/>
          <w:highlight w:val="none"/>
        </w:rPr>
        <w:t>（二）机电类特种设备使用单位监督抽查。抽取西安市辖区内机电类特种设备使用单位不少于400家，依据相关法律法规规章和安全技术规范，检查在用特种设备安全管理情况、安全管理机构设置、安全管理制度落实、安全技术档案建立、“两个规定”及“日管控、周排查、月调度”工作机制落实等情况，对其主体责任落实情况和设备安全状况运行监督验证。</w:t>
      </w:r>
    </w:p>
    <w:p w14:paraId="5D619766">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 xml:space="preserve">三、合同价款 </w:t>
      </w:r>
    </w:p>
    <w:p w14:paraId="03F9FB93">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（一）合同总价款：元整（￥元）含税。</w:t>
      </w:r>
    </w:p>
    <w:p w14:paraId="2834EFE0">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（二）合同总价即中标价，包含但不限于检测费、税费等一切费用，除此之外需方对供方不承担其他任何付款义务，不受市场价变化或实际工作量变化的影响。</w:t>
      </w:r>
    </w:p>
    <w:p w14:paraId="11E3241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四、服务要求</w:t>
      </w:r>
    </w:p>
    <w:p w14:paraId="51EB62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（一）服务期限</w:t>
      </w:r>
    </w:p>
    <w:p w14:paraId="4E39A53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自合同签订后5个工作日内开始实施监督抽查工作，并于2025年12月10日完成现场抽查任务。</w:t>
      </w:r>
    </w:p>
    <w:p w14:paraId="148413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（二）服务终止</w:t>
      </w:r>
    </w:p>
    <w:p w14:paraId="29FC9ED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有效服务期内，如供中标供应商在人员配置、作业管理、质量控制、科学高效、便捷服务等各方面不能满足采购文件的相关要求或没有实现投标文件中的相关承诺，采购人有权单方面解除合同，并保留追究违约责任。同时将违约情况上报财政部门列入政府采购失信名单。</w:t>
      </w:r>
    </w:p>
    <w:p w14:paraId="5B65BB93">
      <w:pPr>
        <w:pStyle w:val="7"/>
        <w:spacing w:line="360" w:lineRule="auto"/>
        <w:ind w:left="49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五、进度要求</w:t>
      </w:r>
    </w:p>
    <w:p w14:paraId="68D9D5B5">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1.中标供应商于2025年12月10日前，完成2025年机电类特种设备生产、使用单位抽查工作。其中，抽查生产单位不少于150家，使用单位不少于400家。</w:t>
      </w:r>
    </w:p>
    <w:p w14:paraId="07E882C2">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中标供应商于2025年12月15日前，向采购人提交监督抽查汇总表、分析报告、总结报告；同时提交不少于150家机电类特种设备生产单位监督抽查报告、不少于400家机电类特种设备使用单位监督抽查报告的电子版材料。提交报告及电子版材料符合采购人要求后视为合同履约完成。</w:t>
      </w:r>
    </w:p>
    <w:p w14:paraId="7DED0592">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3.根据采购人需求，承办监督抽查工作动员部署会议、阶段小结、监督抽查完成后的总结会议以及项目验收会。</w:t>
      </w:r>
    </w:p>
    <w:p w14:paraId="08FB9B9E">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根据采购人需求，帮助完成相关特种设备专项应急预案范本的修订、应急预案演练、特种设备安全宣传、特种设备安全监察人员能力提升培训等工作。监督抽查时应组织被抽查单位安全总监、安全员进行现场考试，并将考试成绩按照相关要求登记上传，帮扶指导企业落实“两个规定”。配合监管部门做好各项专项整治；协助被抽查单位完成陕西省特种设备智慧监管平台数据录入工作，完善企业库、人员库和设备库。</w:t>
      </w:r>
    </w:p>
    <w:p w14:paraId="378DAD54">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5.本项目设定质量保证期，质保期为项目验收完成后5个月，主要内容为项目现场复核、报告复核、技术咨询回应等</w:t>
      </w:r>
    </w:p>
    <w:p w14:paraId="513F3A71">
      <w:pPr>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六、付款方式</w:t>
      </w:r>
    </w:p>
    <w:p w14:paraId="01B1F3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（一）支付方式：分期付款，银行转账</w:t>
      </w:r>
    </w:p>
    <w:p w14:paraId="22D604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kern w:val="2"/>
          <w:highlight w:val="none"/>
        </w:rPr>
        <w:t>签订合同后支付合同总价款的50%，验收合格后支付合同总价款的25%（</w:t>
      </w:r>
      <w:r>
        <w:rPr>
          <w:rFonts w:hint="eastAsia" w:ascii="宋体" w:hAnsi="宋体" w:eastAsia="宋体" w:cs="宋体"/>
          <w:b/>
          <w:bCs/>
          <w:color w:val="auto"/>
          <w:kern w:val="2"/>
          <w:highlight w:val="none"/>
        </w:rPr>
        <w:t>最多支付至220000.00元</w:t>
      </w:r>
      <w:r>
        <w:rPr>
          <w:rFonts w:hint="eastAsia" w:ascii="宋体" w:hAnsi="宋体" w:eastAsia="宋体" w:cs="宋体"/>
          <w:color w:val="auto"/>
          <w:kern w:val="2"/>
          <w:highlight w:val="none"/>
        </w:rPr>
        <w:t>），</w:t>
      </w:r>
      <w:r>
        <w:rPr>
          <w:rFonts w:hint="eastAsia" w:ascii="宋体" w:hAnsi="宋体" w:eastAsia="宋体" w:cs="宋体"/>
          <w:color w:val="auto"/>
          <w:highlight w:val="none"/>
        </w:rPr>
        <w:t>即人民币（大写）元整；（￥元）。</w:t>
      </w:r>
    </w:p>
    <w:p w14:paraId="07676A0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w:t>
      </w:r>
      <w:r>
        <w:rPr>
          <w:rFonts w:hint="eastAsia" w:ascii="宋体" w:hAnsi="宋体" w:eastAsia="宋体" w:cs="宋体"/>
          <w:color w:val="auto"/>
          <w:kern w:val="2"/>
          <w:highlight w:val="none"/>
        </w:rPr>
        <w:t>项目完成</w:t>
      </w:r>
      <w:r>
        <w:rPr>
          <w:rFonts w:hint="eastAsia" w:ascii="宋体" w:hAnsi="宋体" w:eastAsia="宋体" w:cs="宋体"/>
          <w:b/>
          <w:bCs/>
          <w:color w:val="auto"/>
          <w:kern w:val="2"/>
          <w:highlight w:val="none"/>
        </w:rPr>
        <w:t>质保期满后</w:t>
      </w:r>
      <w:r>
        <w:rPr>
          <w:rFonts w:hint="eastAsia" w:ascii="宋体" w:hAnsi="宋体" w:eastAsia="宋体" w:cs="宋体"/>
          <w:color w:val="auto"/>
          <w:kern w:val="2"/>
          <w:highlight w:val="none"/>
        </w:rPr>
        <w:t>支付剩余合同价款</w:t>
      </w:r>
      <w:r>
        <w:rPr>
          <w:rFonts w:hint="eastAsia" w:ascii="宋体" w:hAnsi="宋体" w:eastAsia="宋体" w:cs="宋体"/>
          <w:color w:val="auto"/>
          <w:highlight w:val="none"/>
        </w:rPr>
        <w:t>即人民币</w:t>
      </w:r>
      <w:r>
        <w:rPr>
          <w:rFonts w:hint="eastAsia" w:ascii="宋体" w:hAnsi="宋体" w:eastAsia="宋体" w:cs="宋体"/>
          <w:color w:val="auto"/>
          <w:highlight w:val="none"/>
          <w:u w:val="single"/>
        </w:rPr>
        <w:t>（大写）</w:t>
      </w:r>
      <w:r>
        <w:rPr>
          <w:rFonts w:hint="eastAsia" w:ascii="宋体" w:hAnsi="宋体" w:eastAsia="宋体" w:cs="宋体"/>
          <w:color w:val="auto"/>
          <w:highlight w:val="none"/>
        </w:rPr>
        <w:t>元整；（￥元）。</w:t>
      </w:r>
    </w:p>
    <w:p w14:paraId="255B7B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（四）供方收款账号信息：</w:t>
      </w:r>
    </w:p>
    <w:p w14:paraId="41A0282B">
      <w:pPr>
        <w:pStyle w:val="7"/>
        <w:spacing w:line="360" w:lineRule="auto"/>
        <w:ind w:left="497"/>
        <w:rPr>
          <w:rFonts w:hint="eastAsia" w:ascii="宋体" w:hAnsi="宋体" w:eastAsia="宋体" w:cs="宋体"/>
          <w:color w:val="auto"/>
          <w:sz w:val="24"/>
          <w:highlight w:val="none"/>
        </w:rPr>
      </w:pPr>
      <w:r>
        <w:rPr>
          <w:rFonts w:hint="eastAsia" w:ascii="宋体" w:hAnsi="宋体" w:eastAsia="宋体" w:cs="宋体"/>
          <w:color w:val="auto"/>
          <w:sz w:val="24"/>
          <w:highlight w:val="none"/>
        </w:rPr>
        <w:t>（五）需方在收到供方开具的付款等额增值税普通发票后按照上述付款期限付款。</w:t>
      </w:r>
    </w:p>
    <w:p w14:paraId="3831BFD4">
      <w:pPr>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七、质量保证</w:t>
      </w:r>
    </w:p>
    <w:p w14:paraId="6799096C">
      <w:pPr>
        <w:autoSpaceDE w:val="0"/>
        <w:autoSpaceDN w:val="0"/>
        <w:adjustRightInd w:val="0"/>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（一）供方应遵循严谨、准确、客观、公开、公平原则，保证检验报告准确性并对检验质量及检验结果的真实性承担法律责任。</w:t>
      </w:r>
    </w:p>
    <w:p w14:paraId="750B532A">
      <w:pPr>
        <w:autoSpaceDE w:val="0"/>
        <w:autoSpaceDN w:val="0"/>
        <w:adjustRightInd w:val="0"/>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（二）供方保证按时、准确完成特种设备监督抽查任务；</w:t>
      </w:r>
    </w:p>
    <w:p w14:paraId="4E8277C8">
      <w:pPr>
        <w:autoSpaceDE w:val="0"/>
        <w:autoSpaceDN w:val="0"/>
        <w:adjustRightInd w:val="0"/>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（三）供方保证所供服务没有涉及其他权力纠纷。因侵权而产生的一切后果由供方负责，需方保留索赔权利；</w:t>
      </w:r>
    </w:p>
    <w:p w14:paraId="7E3A0181">
      <w:pPr>
        <w:autoSpaceDE w:val="0"/>
        <w:autoSpaceDN w:val="0"/>
        <w:adjustRightInd w:val="0"/>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（四）供方所提供的服务符合国家现行标准和相应的技术规范，这些标准和技术规范应为合同签订之日为止最新公布发行的标准和技术规范。</w:t>
      </w:r>
    </w:p>
    <w:p w14:paraId="1258A781">
      <w:pPr>
        <w:autoSpaceDE w:val="0"/>
        <w:autoSpaceDN w:val="0"/>
        <w:adjustRightInd w:val="0"/>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供方提供的货物、工程、服务等需符合现行的国家、行业、地区、企业质量安全标准及要求，标准不一致的，以更为严格的为准，投标服务商对提供的货物、工程、服务等的质量、安全、环保等负全权责任。</w:t>
      </w:r>
    </w:p>
    <w:p w14:paraId="6E1EBA3B">
      <w:pPr>
        <w:autoSpaceDE w:val="0"/>
        <w:autoSpaceDN w:val="0"/>
        <w:adjustRightInd w:val="0"/>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供方在抽查工作中接受西安市市场监管局的监督。抽查工作须保证整体工作质量，按时完成工作计划，配合西安市市场监管局、分局实施问题特种设备复查和后期处理工作。对西安市市场监管局责令整改逾期未改的，西安市市场监管局可根据实际情况，终止服务合同，并由供方承担违约责任。</w:t>
      </w:r>
    </w:p>
    <w:p w14:paraId="2BDB5662">
      <w:pPr>
        <w:pStyle w:val="7"/>
        <w:ind w:left="49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八、服务成果</w:t>
      </w:r>
    </w:p>
    <w:p w14:paraId="188DA547">
      <w:pPr>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1.中标供应商于2025年12月10日前，完成2025年机电类特种设备生产、使用单位抽查工作。其中，抽查生产单位不少于150家，使用单位不少于400家。</w:t>
      </w:r>
    </w:p>
    <w:p w14:paraId="0D0A46B3">
      <w:pPr>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中标供应商于2025年12月15日前，向采购人提交监督抽查汇总表、分析报告、总结报告；同时提交不少于150家机电类特种设备生产单位监督抽查报告、不少于400家机电类特种设备使用单位监督抽查报告的电子版材料。提交报告及电子版材料符合采购人要求后视为合同履约完成。</w:t>
      </w:r>
    </w:p>
    <w:p w14:paraId="5E46F374">
      <w:pPr>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3.根据采购人需求，承办监督抽查工作动员部署会议、阶段小结、监督抽查完成后的总结会议以及项目验收会。</w:t>
      </w:r>
    </w:p>
    <w:p w14:paraId="62F68C58">
      <w:pPr>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根据采购人需求，帮助完成相关特种设备专项应急预案范本的修订、应急预案演练、特种设备安全宣传、特种设备安全监察人员能力提升培训等工作。监督抽查时应组织被抽查单位安全总监、安全员进行现场考试，并将考试成绩按照相关要求登记上传，帮扶指导企业落实“两个规定”。配合监管部门做好各项专项整治；协助被抽查单位完成陕西省特种设备智慧监管平台数据录入工作，完善企业库、人员库和设备库。</w:t>
      </w:r>
    </w:p>
    <w:p w14:paraId="2772F8B1">
      <w:pPr>
        <w:ind w:firstLine="420" w:firstLineChars="200"/>
        <w:rPr>
          <w:rFonts w:hint="eastAsia" w:ascii="宋体" w:hAnsi="宋体" w:eastAsia="宋体" w:cs="宋体"/>
          <w:b/>
          <w:color w:val="auto"/>
          <w:highlight w:val="none"/>
        </w:rPr>
      </w:pPr>
      <w:r>
        <w:rPr>
          <w:rFonts w:hint="eastAsia" w:ascii="宋体" w:hAnsi="宋体" w:eastAsia="宋体" w:cs="宋体"/>
          <w:bCs/>
          <w:color w:val="auto"/>
          <w:highlight w:val="none"/>
        </w:rPr>
        <w:t>5.本项目设定质量保证期，质保期为项目验收完成后5个月，主要内容为项目现场复核、报告复核、技术咨询回应等。</w:t>
      </w:r>
    </w:p>
    <w:p w14:paraId="00BB6749">
      <w:pPr>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九、考核验收：</w:t>
      </w:r>
    </w:p>
    <w:p w14:paraId="30760B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（一）服务期满后，需方组织供方,必要时请有关专家进行考核验收，验收合格后，填写政府采购项目验收单（一式伍份）作为对服务的最终认可。</w:t>
      </w:r>
    </w:p>
    <w:p w14:paraId="3BB163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（二）需方向供方提供服务过程中的所有资料,以便需方日后管理和维护。</w:t>
      </w:r>
    </w:p>
    <w:p w14:paraId="1F4C422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（三）验收依据 </w:t>
      </w:r>
    </w:p>
    <w:p w14:paraId="4B93D2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1、招标文件、投标文件、澄清表（函）；</w:t>
      </w:r>
    </w:p>
    <w:p w14:paraId="00F5BE8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2、本合同及附件文本； </w:t>
      </w:r>
    </w:p>
    <w:p w14:paraId="6E9B6D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3、国家相应的标准、规范。</w:t>
      </w:r>
    </w:p>
    <w:p w14:paraId="5BB473E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十、保密条款</w:t>
      </w:r>
    </w:p>
    <w:p w14:paraId="34CF4FF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（一）未经需方同意，供方不得向第三方扩散、转让需方该项目中的所有中间抽查数据和总结报告；</w:t>
      </w:r>
    </w:p>
    <w:p w14:paraId="103C8C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（二）双方应妥善保管对方提供的资料，保守对方的各项秘密。未经对方许可，不得利用知悉的对方资料和总结报告为自己或第三方谋取利益。</w:t>
      </w:r>
    </w:p>
    <w:p w14:paraId="7DE3300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（三）在合同有效期内，供方在合同义务下所完成的需提交给需方的全部成果（包括知识产权）全部归需方所有。</w:t>
      </w:r>
    </w:p>
    <w:p w14:paraId="0FB71407">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十一、合同争议的解决</w:t>
      </w:r>
    </w:p>
    <w:p w14:paraId="7D8818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合同执行中发生争议的，当事人双方应协商解决，协商达不成一致时，可向需方所在地人民法院提请诉讼。</w:t>
      </w:r>
    </w:p>
    <w:p w14:paraId="691162D4">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十二、不可抗力情况下的免责约定</w:t>
      </w:r>
    </w:p>
    <w:p w14:paraId="5B0940A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双方约定不可抗力情况指：双方不可预见、不可避免、不可克服的客观情况，但不包括双方的违约或疏忽。这些事件包括但不限于：战争、严重火灾、洪水、</w:t>
      </w:r>
    </w:p>
    <w:p w14:paraId="0D01EDC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台风、地震等。</w:t>
      </w:r>
    </w:p>
    <w:p w14:paraId="1E0BE47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十三、违约责任：</w:t>
      </w:r>
    </w:p>
    <w:p w14:paraId="494804F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（一）按照《中华人民共和国民法典》中的相关条款执行。</w:t>
      </w:r>
    </w:p>
    <w:p w14:paraId="6AF354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未按合同要求提供服务或服务质量不能满足合同要求，需方应当将供方违约的情况以及拟采取的措施以书面形式报政府采购监管部门，根据政府采购监管部门的处理意见，需方有权依据《中华人民共和国民法典》有关条款及合同约定终止合同，并要求供方承担违约责任。同时，政府采购监管部门有权依据《中华人民共和国政府采购法》及相关法律法规对供方的违法行为进行相应的处罚。</w:t>
      </w:r>
    </w:p>
    <w:p w14:paraId="140B9A0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（三）在本合同履行过程中，双方因违约或造成对方经济、社会效益等损失的应当赔偿。</w:t>
      </w:r>
    </w:p>
    <w:p w14:paraId="1C2095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（四）需方无正当理由拒绝接受服务，到期拒付服务费的，需方向供方偿付本合同总价款 5 %的违约金。由于需方为政府职能部门，双方一致同意因地方政府涉及本合同中对应的抽检产品质量监管规定或有关法律、法规及政策的变化调整、财政支付程序性问题造成的需方支付延迟的，供方予以谅解，需方不必承担违约责任。</w:t>
      </w:r>
    </w:p>
    <w:p w14:paraId="29216C1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（五）供方提供的服务不符合本项目相关文件和本合同规定的，需方有权拒绝，并且供方须向需方支付本合同总价款 5 %的违约金。</w:t>
      </w:r>
    </w:p>
    <w:p w14:paraId="023D7C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（六）供方未能按照本合同约定时间提供服务或完成约定的项目服务内容的，从逾期之日起每日按本合同总价款 0.1 %的数额向需方支付违约金；逾期 30 日以上的，需方有权终止合同，由此造成的需方经济损失由供方承担。</w:t>
      </w:r>
    </w:p>
    <w:p w14:paraId="0BEDD17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（七）未经需方同意，供方不得擅自将本合同服务转包第三方承担。</w:t>
      </w:r>
    </w:p>
    <w:p w14:paraId="3D89550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（八）双方确定，在本合同有效期内，需方指定______为需方项目联系人，供方指定______为供方项目联系人。项目联系人承担以下责任：</w:t>
      </w:r>
    </w:p>
    <w:p w14:paraId="589041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1．保持联络，及时协调有关问题。 </w:t>
      </w:r>
    </w:p>
    <w:p w14:paraId="31395C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2．监督合同的执行。</w:t>
      </w:r>
    </w:p>
    <w:p w14:paraId="00AF72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一方变更项目联系人的，应当及时以书面形式通知另一方。未及时通知并影响本合同履行或造成损失的，应承担相应的责任。</w:t>
      </w:r>
    </w:p>
    <w:p w14:paraId="65DAAA19">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十四、合同变更</w:t>
      </w:r>
    </w:p>
    <w:p w14:paraId="10BC73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合同的执行期内，双方均不得随意变更或解除合同。如因项目需求情况发生变化，需要项目变更的，应双方协商后签订项目变更协议，并经鉴证方确认后生效（如双方变更事项不能达成一致的，仍按原合同履行，否则视为违约）。</w:t>
      </w:r>
    </w:p>
    <w:p w14:paraId="28AD8232">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十五、送达及生效</w:t>
      </w:r>
    </w:p>
    <w:p w14:paraId="2368784E">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合同所显示当事人联系方式和联系信息适用于双方往来联系、书面文件送达及争议解决时法律文书送达。因联系方式和联系信息错误而无法直接送达的自交邮后第7日视为送达。</w:t>
      </w:r>
    </w:p>
    <w:p w14:paraId="79DC0E64">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本政府采购合同经双方盖章且授权代表签字后生效。本合同一式陆份，需方叁份、供方贰份、鉴证方壹份。</w:t>
      </w:r>
    </w:p>
    <w:p w14:paraId="0A210C2A">
      <w:pPr>
        <w:autoSpaceDE w:val="0"/>
        <w:autoSpaceDN w:val="0"/>
        <w:adjustRightIn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十六、其他事项</w:t>
      </w:r>
    </w:p>
    <w:p w14:paraId="30DC6839">
      <w:pPr>
        <w:spacing w:line="360" w:lineRule="auto"/>
        <w:ind w:left="420"/>
        <w:rPr>
          <w:rFonts w:hint="eastAsia" w:ascii="宋体" w:hAnsi="宋体" w:eastAsia="宋体" w:cs="宋体"/>
          <w:color w:val="auto"/>
          <w:highlight w:val="none"/>
        </w:rPr>
      </w:pPr>
      <w:r>
        <w:rPr>
          <w:rFonts w:hint="eastAsia" w:ascii="宋体" w:hAnsi="宋体" w:eastAsia="宋体" w:cs="宋体"/>
          <w:color w:val="auto"/>
          <w:highlight w:val="none"/>
        </w:rPr>
        <w:t>（一）采购文件、响应文件、澄清表（函）、成交通知书、合同附件均成为合同不可分割的部分。</w:t>
      </w:r>
    </w:p>
    <w:p w14:paraId="129718B1">
      <w:pPr>
        <w:spacing w:line="360" w:lineRule="auto"/>
        <w:ind w:left="420"/>
        <w:rPr>
          <w:rFonts w:hint="eastAsia" w:ascii="宋体" w:hAnsi="宋体" w:eastAsia="宋体" w:cs="宋体"/>
          <w:color w:val="auto"/>
          <w:highlight w:val="none"/>
        </w:rPr>
      </w:pPr>
      <w:r>
        <w:rPr>
          <w:rFonts w:hint="eastAsia" w:ascii="宋体" w:hAnsi="宋体" w:eastAsia="宋体" w:cs="宋体"/>
          <w:color w:val="auto"/>
          <w:highlight w:val="none"/>
        </w:rPr>
        <w:t>（二）未尽事宜，经双方协商一致，签订补充协议，补充协议与本合同具有同等法律效力。</w:t>
      </w:r>
    </w:p>
    <w:p w14:paraId="2B53749A">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本页无正文</w:t>
      </w:r>
    </w:p>
    <w:tbl>
      <w:tblPr>
        <w:tblStyle w:val="28"/>
        <w:tblW w:w="9038" w:type="dxa"/>
        <w:jc w:val="center"/>
        <w:tblLayout w:type="fixed"/>
        <w:tblCellMar>
          <w:top w:w="0" w:type="dxa"/>
          <w:left w:w="108" w:type="dxa"/>
          <w:bottom w:w="0" w:type="dxa"/>
          <w:right w:w="108" w:type="dxa"/>
        </w:tblCellMar>
      </w:tblPr>
      <w:tblGrid>
        <w:gridCol w:w="3043"/>
        <w:gridCol w:w="2978"/>
        <w:gridCol w:w="3017"/>
      </w:tblGrid>
      <w:tr w14:paraId="6536080B">
        <w:tblPrEx>
          <w:tblCellMar>
            <w:top w:w="0" w:type="dxa"/>
            <w:left w:w="108" w:type="dxa"/>
            <w:bottom w:w="0" w:type="dxa"/>
            <w:right w:w="108" w:type="dxa"/>
          </w:tblCellMar>
        </w:tblPrEx>
        <w:trPr>
          <w:trHeight w:val="739" w:hRule="atLeast"/>
          <w:jc w:val="center"/>
        </w:trPr>
        <w:tc>
          <w:tcPr>
            <w:tcW w:w="3043" w:type="dxa"/>
            <w:noWrap/>
            <w:vAlign w:val="center"/>
          </w:tcPr>
          <w:p w14:paraId="3BAD1036">
            <w:pPr>
              <w:rPr>
                <w:rFonts w:hint="eastAsia" w:ascii="宋体" w:hAnsi="宋体" w:cs="宋体"/>
                <w:color w:val="auto"/>
                <w:highlight w:val="none"/>
              </w:rPr>
            </w:pPr>
            <w:r>
              <w:rPr>
                <w:rFonts w:hint="eastAsia" w:ascii="宋体" w:hAnsi="宋体" w:cs="宋体"/>
                <w:b/>
                <w:bCs/>
                <w:color w:val="auto"/>
                <w:highlight w:val="none"/>
              </w:rPr>
              <w:t>需方：西安市市场监督管理局（盖章）</w:t>
            </w:r>
          </w:p>
        </w:tc>
        <w:tc>
          <w:tcPr>
            <w:tcW w:w="2978" w:type="dxa"/>
            <w:noWrap/>
            <w:vAlign w:val="center"/>
          </w:tcPr>
          <w:p w14:paraId="7953C067">
            <w:pPr>
              <w:rPr>
                <w:rFonts w:hint="eastAsia" w:ascii="宋体" w:hAnsi="宋体" w:cs="宋体"/>
                <w:color w:val="auto"/>
                <w:highlight w:val="none"/>
              </w:rPr>
            </w:pPr>
            <w:r>
              <w:rPr>
                <w:rFonts w:hint="eastAsia" w:ascii="宋体" w:hAnsi="宋体" w:cs="宋体"/>
                <w:b/>
                <w:bCs/>
                <w:color w:val="auto"/>
                <w:highlight w:val="none"/>
              </w:rPr>
              <w:t>供方：（盖章）</w:t>
            </w:r>
          </w:p>
        </w:tc>
        <w:tc>
          <w:tcPr>
            <w:tcW w:w="3017" w:type="dxa"/>
            <w:vMerge w:val="restart"/>
            <w:noWrap/>
          </w:tcPr>
          <w:p w14:paraId="1D0938FD">
            <w:pPr>
              <w:rPr>
                <w:rFonts w:hint="eastAsia" w:ascii="宋体" w:hAnsi="宋体" w:cs="宋体"/>
                <w:b/>
                <w:bCs/>
                <w:color w:val="auto"/>
                <w:highlight w:val="none"/>
              </w:rPr>
            </w:pPr>
            <w:r>
              <w:rPr>
                <w:rFonts w:hint="eastAsia" w:ascii="宋体" w:hAnsi="宋体" w:cs="宋体"/>
                <w:b/>
                <w:bCs/>
                <w:color w:val="auto"/>
                <w:highlight w:val="none"/>
              </w:rPr>
              <w:t>鉴证方：陕西万泽招标有限公司</w:t>
            </w:r>
          </w:p>
          <w:p w14:paraId="05DC0846">
            <w:pPr>
              <w:ind w:left="242" w:hanging="204" w:hangingChars="97"/>
              <w:rPr>
                <w:rFonts w:hint="eastAsia" w:ascii="宋体" w:hAnsi="宋体" w:cs="宋体"/>
                <w:color w:val="auto"/>
                <w:highlight w:val="none"/>
              </w:rPr>
            </w:pPr>
            <w:r>
              <w:rPr>
                <w:rFonts w:hint="eastAsia" w:ascii="宋体" w:hAnsi="宋体" w:cs="宋体"/>
                <w:b/>
                <w:bCs/>
                <w:color w:val="auto"/>
                <w:highlight w:val="none"/>
              </w:rPr>
              <w:t>（盖章）</w:t>
            </w:r>
          </w:p>
        </w:tc>
      </w:tr>
      <w:tr w14:paraId="0326B229">
        <w:tblPrEx>
          <w:tblCellMar>
            <w:top w:w="0" w:type="dxa"/>
            <w:left w:w="108" w:type="dxa"/>
            <w:bottom w:w="0" w:type="dxa"/>
            <w:right w:w="108" w:type="dxa"/>
          </w:tblCellMar>
        </w:tblPrEx>
        <w:trPr>
          <w:trHeight w:val="598" w:hRule="atLeast"/>
          <w:jc w:val="center"/>
        </w:trPr>
        <w:tc>
          <w:tcPr>
            <w:tcW w:w="3043" w:type="dxa"/>
            <w:noWrap/>
            <w:vAlign w:val="center"/>
          </w:tcPr>
          <w:p w14:paraId="64DF8B0D">
            <w:pPr>
              <w:rPr>
                <w:rFonts w:hint="eastAsia" w:ascii="宋体" w:hAnsi="宋体" w:cs="宋体"/>
                <w:color w:val="auto"/>
                <w:highlight w:val="none"/>
              </w:rPr>
            </w:pPr>
            <w:r>
              <w:rPr>
                <w:rFonts w:hint="eastAsia" w:ascii="宋体" w:hAnsi="宋体" w:cs="宋体"/>
                <w:b/>
                <w:bCs/>
                <w:color w:val="auto"/>
                <w:highlight w:val="none"/>
              </w:rPr>
              <w:t>法人或委托代理人：</w:t>
            </w:r>
          </w:p>
        </w:tc>
        <w:tc>
          <w:tcPr>
            <w:tcW w:w="2978" w:type="dxa"/>
            <w:noWrap/>
            <w:vAlign w:val="center"/>
          </w:tcPr>
          <w:p w14:paraId="6EE651A1">
            <w:pPr>
              <w:rPr>
                <w:rFonts w:hint="eastAsia" w:ascii="宋体" w:hAnsi="宋体" w:cs="宋体"/>
                <w:color w:val="auto"/>
                <w:highlight w:val="none"/>
              </w:rPr>
            </w:pPr>
            <w:r>
              <w:rPr>
                <w:rFonts w:hint="eastAsia" w:ascii="宋体" w:hAnsi="宋体" w:cs="宋体"/>
                <w:b/>
                <w:bCs/>
                <w:color w:val="auto"/>
                <w:highlight w:val="none"/>
              </w:rPr>
              <w:t>法人或委托代理人：</w:t>
            </w:r>
          </w:p>
        </w:tc>
        <w:tc>
          <w:tcPr>
            <w:tcW w:w="3017" w:type="dxa"/>
            <w:vMerge w:val="continue"/>
            <w:noWrap/>
            <w:vAlign w:val="center"/>
          </w:tcPr>
          <w:p w14:paraId="14D67A83">
            <w:pPr>
              <w:rPr>
                <w:rFonts w:hint="eastAsia" w:ascii="宋体" w:hAnsi="宋体" w:cs="宋体"/>
                <w:color w:val="auto"/>
                <w:highlight w:val="none"/>
              </w:rPr>
            </w:pPr>
          </w:p>
        </w:tc>
      </w:tr>
      <w:tr w14:paraId="1B29857D">
        <w:tblPrEx>
          <w:tblCellMar>
            <w:top w:w="0" w:type="dxa"/>
            <w:left w:w="108" w:type="dxa"/>
            <w:bottom w:w="0" w:type="dxa"/>
            <w:right w:w="108" w:type="dxa"/>
          </w:tblCellMar>
        </w:tblPrEx>
        <w:trPr>
          <w:trHeight w:val="739" w:hRule="atLeast"/>
          <w:jc w:val="center"/>
        </w:trPr>
        <w:tc>
          <w:tcPr>
            <w:tcW w:w="3043" w:type="dxa"/>
            <w:noWrap/>
            <w:vAlign w:val="center"/>
          </w:tcPr>
          <w:p w14:paraId="7E8D75B4">
            <w:pPr>
              <w:rPr>
                <w:rFonts w:hint="eastAsia" w:ascii="宋体" w:hAnsi="宋体" w:cs="宋体"/>
                <w:color w:val="auto"/>
                <w:highlight w:val="none"/>
              </w:rPr>
            </w:pPr>
            <w:r>
              <w:rPr>
                <w:rFonts w:hint="eastAsia" w:ascii="宋体" w:hAnsi="宋体" w:cs="宋体"/>
                <w:b/>
                <w:bCs/>
                <w:color w:val="auto"/>
                <w:highlight w:val="none"/>
              </w:rPr>
              <w:t>户名：</w:t>
            </w:r>
          </w:p>
        </w:tc>
        <w:tc>
          <w:tcPr>
            <w:tcW w:w="2978" w:type="dxa"/>
            <w:noWrap/>
            <w:vAlign w:val="center"/>
          </w:tcPr>
          <w:p w14:paraId="13E97E0C">
            <w:pPr>
              <w:rPr>
                <w:rFonts w:hint="eastAsia" w:ascii="宋体" w:hAnsi="宋体" w:cs="宋体"/>
                <w:color w:val="auto"/>
                <w:highlight w:val="none"/>
              </w:rPr>
            </w:pPr>
            <w:r>
              <w:rPr>
                <w:rFonts w:hint="eastAsia" w:ascii="宋体" w:hAnsi="宋体" w:cs="宋体"/>
                <w:b/>
                <w:bCs/>
                <w:color w:val="auto"/>
                <w:highlight w:val="none"/>
              </w:rPr>
              <w:t>户名：</w:t>
            </w:r>
          </w:p>
        </w:tc>
        <w:tc>
          <w:tcPr>
            <w:tcW w:w="3017" w:type="dxa"/>
            <w:vMerge w:val="continue"/>
            <w:noWrap/>
            <w:vAlign w:val="center"/>
          </w:tcPr>
          <w:p w14:paraId="7F953BF1">
            <w:pPr>
              <w:rPr>
                <w:rFonts w:hint="eastAsia" w:ascii="宋体" w:hAnsi="宋体" w:cs="宋体"/>
                <w:color w:val="auto"/>
                <w:highlight w:val="none"/>
              </w:rPr>
            </w:pPr>
          </w:p>
        </w:tc>
      </w:tr>
      <w:tr w14:paraId="1928E4E1">
        <w:tblPrEx>
          <w:tblCellMar>
            <w:top w:w="0" w:type="dxa"/>
            <w:left w:w="108" w:type="dxa"/>
            <w:bottom w:w="0" w:type="dxa"/>
            <w:right w:w="108" w:type="dxa"/>
          </w:tblCellMar>
        </w:tblPrEx>
        <w:trPr>
          <w:trHeight w:val="739" w:hRule="atLeast"/>
          <w:jc w:val="center"/>
        </w:trPr>
        <w:tc>
          <w:tcPr>
            <w:tcW w:w="3043" w:type="dxa"/>
            <w:noWrap/>
            <w:vAlign w:val="center"/>
          </w:tcPr>
          <w:p w14:paraId="22F2C67B">
            <w:pPr>
              <w:rPr>
                <w:rFonts w:hint="eastAsia" w:ascii="宋体" w:hAnsi="宋体" w:cs="宋体"/>
                <w:color w:val="auto"/>
                <w:highlight w:val="none"/>
              </w:rPr>
            </w:pPr>
            <w:r>
              <w:rPr>
                <w:rFonts w:hint="eastAsia" w:ascii="宋体" w:hAnsi="宋体" w:cs="宋体"/>
                <w:b/>
                <w:bCs/>
                <w:color w:val="auto"/>
                <w:highlight w:val="none"/>
              </w:rPr>
              <w:t>开户行：</w:t>
            </w:r>
          </w:p>
        </w:tc>
        <w:tc>
          <w:tcPr>
            <w:tcW w:w="2978" w:type="dxa"/>
            <w:noWrap/>
            <w:vAlign w:val="center"/>
          </w:tcPr>
          <w:p w14:paraId="56B52DC1">
            <w:pPr>
              <w:rPr>
                <w:rFonts w:hint="eastAsia" w:ascii="宋体" w:hAnsi="宋体" w:cs="宋体"/>
                <w:color w:val="auto"/>
                <w:highlight w:val="none"/>
              </w:rPr>
            </w:pPr>
            <w:r>
              <w:rPr>
                <w:rFonts w:hint="eastAsia" w:ascii="宋体" w:hAnsi="宋体" w:cs="宋体"/>
                <w:b/>
                <w:bCs/>
                <w:color w:val="auto"/>
                <w:highlight w:val="none"/>
              </w:rPr>
              <w:t>开户行：</w:t>
            </w:r>
          </w:p>
        </w:tc>
        <w:tc>
          <w:tcPr>
            <w:tcW w:w="3017" w:type="dxa"/>
            <w:noWrap/>
            <w:vAlign w:val="center"/>
          </w:tcPr>
          <w:p w14:paraId="7FA9337B">
            <w:pPr>
              <w:rPr>
                <w:rFonts w:hint="eastAsia" w:ascii="宋体" w:hAnsi="宋体" w:cs="宋体"/>
                <w:color w:val="auto"/>
                <w:highlight w:val="none"/>
              </w:rPr>
            </w:pPr>
            <w:r>
              <w:rPr>
                <w:rFonts w:hint="eastAsia" w:ascii="宋体" w:hAnsi="宋体" w:cs="宋体"/>
                <w:b/>
                <w:bCs/>
                <w:color w:val="auto"/>
                <w:highlight w:val="none"/>
              </w:rPr>
              <w:t>代表签字：</w:t>
            </w:r>
          </w:p>
        </w:tc>
      </w:tr>
      <w:tr w14:paraId="3AF46956">
        <w:tblPrEx>
          <w:tblCellMar>
            <w:top w:w="0" w:type="dxa"/>
            <w:left w:w="108" w:type="dxa"/>
            <w:bottom w:w="0" w:type="dxa"/>
            <w:right w:w="108" w:type="dxa"/>
          </w:tblCellMar>
        </w:tblPrEx>
        <w:trPr>
          <w:trHeight w:val="598" w:hRule="atLeast"/>
          <w:jc w:val="center"/>
        </w:trPr>
        <w:tc>
          <w:tcPr>
            <w:tcW w:w="3043" w:type="dxa"/>
            <w:noWrap/>
            <w:vAlign w:val="center"/>
          </w:tcPr>
          <w:p w14:paraId="50E1547E">
            <w:pPr>
              <w:rPr>
                <w:rFonts w:hint="eastAsia" w:ascii="宋体" w:hAnsi="宋体" w:cs="宋体"/>
                <w:color w:val="auto"/>
                <w:highlight w:val="none"/>
              </w:rPr>
            </w:pPr>
            <w:r>
              <w:rPr>
                <w:rFonts w:hint="eastAsia" w:ascii="宋体" w:hAnsi="宋体" w:cs="宋体"/>
                <w:b/>
                <w:bCs/>
                <w:color w:val="auto"/>
                <w:highlight w:val="none"/>
              </w:rPr>
              <w:t>账号：</w:t>
            </w:r>
          </w:p>
        </w:tc>
        <w:tc>
          <w:tcPr>
            <w:tcW w:w="2978" w:type="dxa"/>
            <w:noWrap/>
            <w:vAlign w:val="center"/>
          </w:tcPr>
          <w:p w14:paraId="6F734DEC">
            <w:pPr>
              <w:rPr>
                <w:rFonts w:hint="eastAsia" w:ascii="宋体" w:hAnsi="宋体" w:cs="宋体"/>
                <w:color w:val="auto"/>
                <w:highlight w:val="none"/>
              </w:rPr>
            </w:pPr>
            <w:r>
              <w:rPr>
                <w:rFonts w:hint="eastAsia" w:ascii="宋体" w:hAnsi="宋体" w:cs="宋体"/>
                <w:b/>
                <w:bCs/>
                <w:color w:val="auto"/>
                <w:highlight w:val="none"/>
              </w:rPr>
              <w:t>账号：</w:t>
            </w:r>
          </w:p>
        </w:tc>
        <w:tc>
          <w:tcPr>
            <w:tcW w:w="3017" w:type="dxa"/>
            <w:noWrap/>
            <w:vAlign w:val="center"/>
          </w:tcPr>
          <w:p w14:paraId="35814302">
            <w:pPr>
              <w:rPr>
                <w:rFonts w:hint="eastAsia" w:ascii="宋体" w:hAnsi="宋体" w:cs="宋体"/>
                <w:color w:val="auto"/>
                <w:highlight w:val="none"/>
              </w:rPr>
            </w:pPr>
          </w:p>
        </w:tc>
      </w:tr>
      <w:tr w14:paraId="35710373">
        <w:tblPrEx>
          <w:tblCellMar>
            <w:top w:w="0" w:type="dxa"/>
            <w:left w:w="108" w:type="dxa"/>
            <w:bottom w:w="0" w:type="dxa"/>
            <w:right w:w="108" w:type="dxa"/>
          </w:tblCellMar>
        </w:tblPrEx>
        <w:trPr>
          <w:trHeight w:val="598" w:hRule="atLeast"/>
          <w:jc w:val="center"/>
        </w:trPr>
        <w:tc>
          <w:tcPr>
            <w:tcW w:w="3043" w:type="dxa"/>
            <w:noWrap/>
            <w:vAlign w:val="center"/>
          </w:tcPr>
          <w:p w14:paraId="4D79D844">
            <w:pPr>
              <w:rPr>
                <w:rFonts w:hint="eastAsia" w:ascii="宋体" w:hAnsi="宋体" w:cs="宋体"/>
                <w:color w:val="auto"/>
                <w:highlight w:val="none"/>
              </w:rPr>
            </w:pPr>
            <w:r>
              <w:rPr>
                <w:rFonts w:hint="eastAsia" w:ascii="宋体" w:hAnsi="宋体" w:cs="宋体"/>
                <w:b/>
                <w:bCs/>
                <w:color w:val="auto"/>
                <w:highlight w:val="none"/>
              </w:rPr>
              <w:t>电话：</w:t>
            </w:r>
          </w:p>
        </w:tc>
        <w:tc>
          <w:tcPr>
            <w:tcW w:w="2978" w:type="dxa"/>
            <w:noWrap/>
            <w:vAlign w:val="center"/>
          </w:tcPr>
          <w:p w14:paraId="566A823E">
            <w:pPr>
              <w:rPr>
                <w:rFonts w:hint="eastAsia" w:ascii="宋体" w:hAnsi="宋体" w:cs="宋体"/>
                <w:color w:val="auto"/>
                <w:highlight w:val="none"/>
              </w:rPr>
            </w:pPr>
            <w:r>
              <w:rPr>
                <w:rFonts w:hint="eastAsia" w:ascii="宋体" w:hAnsi="宋体" w:cs="宋体"/>
                <w:b/>
                <w:bCs/>
                <w:color w:val="auto"/>
                <w:highlight w:val="none"/>
              </w:rPr>
              <w:t xml:space="preserve">电话: </w:t>
            </w:r>
          </w:p>
        </w:tc>
        <w:tc>
          <w:tcPr>
            <w:tcW w:w="3017" w:type="dxa"/>
            <w:noWrap/>
            <w:vAlign w:val="center"/>
          </w:tcPr>
          <w:p w14:paraId="4F1360AF">
            <w:pPr>
              <w:rPr>
                <w:rFonts w:hint="eastAsia" w:ascii="宋体" w:hAnsi="宋体" w:cs="宋体"/>
                <w:color w:val="auto"/>
                <w:highlight w:val="none"/>
              </w:rPr>
            </w:pPr>
            <w:r>
              <w:rPr>
                <w:rFonts w:hint="eastAsia" w:ascii="宋体" w:hAnsi="宋体" w:cs="宋体"/>
                <w:b/>
                <w:bCs/>
                <w:color w:val="auto"/>
                <w:highlight w:val="none"/>
              </w:rPr>
              <w:t>电话029-88319689</w:t>
            </w:r>
          </w:p>
        </w:tc>
      </w:tr>
      <w:tr w14:paraId="502EB734">
        <w:tblPrEx>
          <w:tblCellMar>
            <w:top w:w="0" w:type="dxa"/>
            <w:left w:w="108" w:type="dxa"/>
            <w:bottom w:w="0" w:type="dxa"/>
            <w:right w:w="108" w:type="dxa"/>
          </w:tblCellMar>
        </w:tblPrEx>
        <w:trPr>
          <w:trHeight w:val="1109" w:hRule="atLeast"/>
          <w:jc w:val="center"/>
        </w:trPr>
        <w:tc>
          <w:tcPr>
            <w:tcW w:w="3043" w:type="dxa"/>
            <w:noWrap/>
            <w:vAlign w:val="center"/>
          </w:tcPr>
          <w:p w14:paraId="4B9E1F81">
            <w:pPr>
              <w:rPr>
                <w:rFonts w:hint="eastAsia" w:ascii="宋体" w:hAnsi="宋体" w:cs="宋体"/>
                <w:color w:val="auto"/>
                <w:highlight w:val="none"/>
              </w:rPr>
            </w:pPr>
            <w:r>
              <w:rPr>
                <w:rFonts w:hint="eastAsia" w:ascii="宋体" w:hAnsi="宋体" w:cs="宋体"/>
                <w:b/>
                <w:bCs/>
                <w:color w:val="auto"/>
                <w:highlight w:val="none"/>
              </w:rPr>
              <w:t>地址：凤城八路109号2号楼五层</w:t>
            </w:r>
          </w:p>
        </w:tc>
        <w:tc>
          <w:tcPr>
            <w:tcW w:w="2978" w:type="dxa"/>
            <w:noWrap/>
            <w:vAlign w:val="center"/>
          </w:tcPr>
          <w:p w14:paraId="0C2B71B5">
            <w:pPr>
              <w:rPr>
                <w:rFonts w:hint="eastAsia" w:ascii="宋体" w:hAnsi="宋体" w:cs="宋体"/>
                <w:color w:val="auto"/>
                <w:highlight w:val="none"/>
              </w:rPr>
            </w:pPr>
            <w:r>
              <w:rPr>
                <w:rFonts w:hint="eastAsia" w:ascii="宋体" w:hAnsi="宋体" w:cs="宋体"/>
                <w:b/>
                <w:bCs/>
                <w:color w:val="auto"/>
                <w:highlight w:val="none"/>
              </w:rPr>
              <w:t>地址：</w:t>
            </w:r>
          </w:p>
        </w:tc>
        <w:tc>
          <w:tcPr>
            <w:tcW w:w="3017" w:type="dxa"/>
            <w:noWrap/>
            <w:vAlign w:val="center"/>
          </w:tcPr>
          <w:p w14:paraId="79B5D80F">
            <w:pPr>
              <w:rPr>
                <w:rFonts w:hint="eastAsia" w:ascii="宋体" w:hAnsi="宋体" w:cs="宋体" w:eastAsiaTheme="minorEastAsia"/>
                <w:color w:val="auto"/>
                <w:highlight w:val="none"/>
                <w:lang w:eastAsia="zh-CN"/>
              </w:rPr>
            </w:pPr>
            <w:r>
              <w:rPr>
                <w:rFonts w:hint="eastAsia" w:ascii="宋体" w:hAnsi="宋体" w:cs="宋体"/>
                <w:b/>
                <w:bCs/>
                <w:color w:val="auto"/>
                <w:highlight w:val="none"/>
              </w:rPr>
              <w:t>地址：西安市高新区唐延路旺座现代城C座25楼250</w:t>
            </w:r>
            <w:r>
              <w:rPr>
                <w:rFonts w:hint="eastAsia" w:ascii="宋体" w:hAnsi="宋体" w:cs="宋体"/>
                <w:b/>
                <w:bCs/>
                <w:color w:val="auto"/>
                <w:highlight w:val="none"/>
                <w:lang w:val="en-US" w:eastAsia="zh-CN"/>
              </w:rPr>
              <w:t>2</w:t>
            </w:r>
          </w:p>
        </w:tc>
      </w:tr>
      <w:tr w14:paraId="2E43B31A">
        <w:tblPrEx>
          <w:tblCellMar>
            <w:top w:w="0" w:type="dxa"/>
            <w:left w:w="108" w:type="dxa"/>
            <w:bottom w:w="0" w:type="dxa"/>
            <w:right w:w="108" w:type="dxa"/>
          </w:tblCellMar>
        </w:tblPrEx>
        <w:trPr>
          <w:trHeight w:val="598" w:hRule="atLeast"/>
          <w:jc w:val="center"/>
        </w:trPr>
        <w:tc>
          <w:tcPr>
            <w:tcW w:w="3043" w:type="dxa"/>
            <w:noWrap/>
            <w:vAlign w:val="center"/>
          </w:tcPr>
          <w:p w14:paraId="2B371431">
            <w:pPr>
              <w:rPr>
                <w:rFonts w:hint="eastAsia" w:ascii="宋体" w:hAnsi="宋体" w:cs="宋体"/>
                <w:color w:val="auto"/>
                <w:highlight w:val="none"/>
              </w:rPr>
            </w:pPr>
            <w:r>
              <w:rPr>
                <w:rFonts w:hint="eastAsia" w:ascii="宋体" w:hAnsi="宋体" w:cs="宋体"/>
                <w:b/>
                <w:bCs/>
                <w:color w:val="auto"/>
                <w:highlight w:val="none"/>
              </w:rPr>
              <w:t>日期: 2025年</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月</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日</w:t>
            </w:r>
          </w:p>
        </w:tc>
        <w:tc>
          <w:tcPr>
            <w:tcW w:w="2978" w:type="dxa"/>
            <w:noWrap/>
            <w:vAlign w:val="center"/>
          </w:tcPr>
          <w:p w14:paraId="7B0E6E85">
            <w:pPr>
              <w:rPr>
                <w:rFonts w:hint="eastAsia" w:ascii="宋体" w:hAnsi="宋体" w:cs="宋体"/>
                <w:color w:val="auto"/>
                <w:highlight w:val="none"/>
              </w:rPr>
            </w:pPr>
            <w:r>
              <w:rPr>
                <w:rFonts w:hint="eastAsia" w:ascii="宋体" w:hAnsi="宋体" w:cs="宋体"/>
                <w:b/>
                <w:bCs/>
                <w:color w:val="auto"/>
                <w:highlight w:val="none"/>
              </w:rPr>
              <w:t>日期: 2025年</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月</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日</w:t>
            </w:r>
          </w:p>
        </w:tc>
        <w:tc>
          <w:tcPr>
            <w:tcW w:w="3017" w:type="dxa"/>
            <w:noWrap/>
            <w:vAlign w:val="center"/>
          </w:tcPr>
          <w:p w14:paraId="73B2D288">
            <w:pPr>
              <w:rPr>
                <w:rFonts w:hint="eastAsia" w:ascii="宋体" w:hAnsi="宋体" w:cs="宋体"/>
                <w:color w:val="auto"/>
                <w:highlight w:val="none"/>
              </w:rPr>
            </w:pPr>
          </w:p>
        </w:tc>
      </w:tr>
    </w:tbl>
    <w:p w14:paraId="50FE78AE">
      <w:pPr>
        <w:tabs>
          <w:tab w:val="left" w:pos="5875"/>
        </w:tabs>
        <w:spacing w:line="360" w:lineRule="auto"/>
      </w:pPr>
    </w:p>
    <w:bookmarkEnd w:id="104"/>
    <w:p w14:paraId="2DCE25AD">
      <w:pPr>
        <w:pStyle w:val="3"/>
        <w:keepNext w:val="0"/>
        <w:pageBreakBefore/>
        <w:spacing w:beforeLines="100" w:afterLines="150" w:line="500" w:lineRule="exact"/>
        <w:rPr>
          <w:rFonts w:asciiTheme="minorEastAsia" w:hAnsiTheme="minorEastAsia" w:eastAsiaTheme="minorEastAsia" w:cstheme="minorEastAsia"/>
        </w:rPr>
      </w:pPr>
      <w:bookmarkStart w:id="106" w:name="_Toc10789"/>
      <w:r>
        <w:rPr>
          <w:rFonts w:hint="eastAsia" w:asciiTheme="minorEastAsia" w:hAnsiTheme="minorEastAsia" w:eastAsiaTheme="minorEastAsia" w:cstheme="minorEastAsia"/>
          <w:sz w:val="36"/>
          <w:szCs w:val="36"/>
        </w:rPr>
        <w:t>第七部分  投标文件格式</w:t>
      </w:r>
      <w:bookmarkEnd w:id="94"/>
      <w:bookmarkEnd w:id="106"/>
    </w:p>
    <w:p w14:paraId="7A524C68">
      <w:pPr>
        <w:adjustRightInd w:val="0"/>
        <w:snapToGrid w:val="0"/>
        <w:spacing w:line="500" w:lineRule="exact"/>
        <w:jc w:val="left"/>
        <w:rPr>
          <w:rFonts w:asciiTheme="minorEastAsia" w:hAnsiTheme="minorEastAsia" w:cstheme="minorEastAsia"/>
          <w:b/>
          <w:w w:val="120"/>
          <w:sz w:val="28"/>
          <w:szCs w:val="28"/>
        </w:rPr>
      </w:pPr>
      <w:r>
        <w:rPr>
          <w:rFonts w:hint="eastAsia" w:asciiTheme="minorEastAsia" w:hAnsiTheme="minorEastAsia" w:cstheme="minorEastAsia"/>
          <w:b/>
          <w:w w:val="120"/>
          <w:sz w:val="28"/>
          <w:szCs w:val="28"/>
        </w:rPr>
        <w:t>项目编号：</w:t>
      </w:r>
      <w:r>
        <w:rPr>
          <w:rFonts w:hint="eastAsia" w:asciiTheme="minorEastAsia" w:hAnsiTheme="minorEastAsia" w:cstheme="minorEastAsia"/>
          <w:b/>
          <w:w w:val="120"/>
          <w:sz w:val="28"/>
          <w:szCs w:val="28"/>
          <w:lang w:eastAsia="zh-CN"/>
        </w:rPr>
        <w:t>SXWZ2025ZB-SGLJ-070A</w:t>
      </w:r>
      <w:r>
        <w:rPr>
          <w:rFonts w:hint="eastAsia" w:asciiTheme="minorEastAsia" w:hAnsiTheme="minorEastAsia" w:cstheme="minorEastAsia"/>
          <w:b/>
          <w:w w:val="120"/>
          <w:sz w:val="28"/>
          <w:szCs w:val="28"/>
        </w:rPr>
        <w:t xml:space="preserve">        （正本或副本）</w:t>
      </w:r>
    </w:p>
    <w:p w14:paraId="2AFA8BFE">
      <w:pPr>
        <w:snapToGrid w:val="0"/>
        <w:spacing w:line="360" w:lineRule="auto"/>
        <w:ind w:right="-99" w:rightChars="-47"/>
        <w:rPr>
          <w:rFonts w:asciiTheme="minorEastAsia" w:hAnsiTheme="minorEastAsia" w:cstheme="minorEastAsia"/>
          <w:b/>
          <w:bCs/>
          <w:sz w:val="72"/>
          <w:szCs w:val="72"/>
        </w:rPr>
      </w:pPr>
      <w:r>
        <w:rPr>
          <w:rFonts w:hint="eastAsia" w:ascii="宋体" w:hAnsi="宋体" w:cs="宋体"/>
          <w:b/>
          <w:bCs/>
          <w:sz w:val="72"/>
          <w:szCs w:val="72"/>
        </w:rPr>
        <w:t xml:space="preserve">         </w:t>
      </w:r>
    </w:p>
    <w:p w14:paraId="712C89A5">
      <w:pPr>
        <w:snapToGrid w:val="0"/>
        <w:spacing w:line="480" w:lineRule="auto"/>
        <w:jc w:val="center"/>
        <w:rPr>
          <w:rFonts w:hint="eastAsia" w:asciiTheme="minorEastAsia" w:hAnsiTheme="minorEastAsia" w:cstheme="minorEastAsia"/>
          <w:b/>
          <w:bCs/>
          <w:sz w:val="52"/>
          <w:szCs w:val="52"/>
          <w:lang w:eastAsia="zh-CN"/>
        </w:rPr>
      </w:pPr>
      <w:r>
        <w:rPr>
          <w:rFonts w:hint="eastAsia" w:asciiTheme="minorEastAsia" w:hAnsiTheme="minorEastAsia" w:cstheme="minorEastAsia"/>
          <w:b/>
          <w:bCs/>
          <w:sz w:val="52"/>
          <w:szCs w:val="52"/>
          <w:lang w:eastAsia="zh-CN"/>
        </w:rPr>
        <w:t>西安市市场监督管理局</w:t>
      </w:r>
    </w:p>
    <w:p w14:paraId="5B4BD47A">
      <w:pPr>
        <w:snapToGrid w:val="0"/>
        <w:spacing w:line="480" w:lineRule="auto"/>
        <w:jc w:val="center"/>
        <w:rPr>
          <w:rFonts w:hint="eastAsia" w:asciiTheme="minorEastAsia" w:hAnsiTheme="minorEastAsia" w:cstheme="minorEastAsia"/>
          <w:b/>
          <w:bCs/>
          <w:sz w:val="52"/>
          <w:szCs w:val="52"/>
          <w:lang w:eastAsia="zh-CN"/>
        </w:rPr>
      </w:pPr>
      <w:r>
        <w:rPr>
          <w:rFonts w:hint="eastAsia" w:asciiTheme="minorEastAsia" w:hAnsiTheme="minorEastAsia" w:cstheme="minorEastAsia"/>
          <w:b/>
          <w:bCs/>
          <w:sz w:val="52"/>
          <w:szCs w:val="52"/>
          <w:lang w:eastAsia="zh-CN"/>
        </w:rPr>
        <w:t>2025年机电类特种设备安全质量监督抽查项目（二次）</w:t>
      </w:r>
    </w:p>
    <w:p w14:paraId="5D328C35">
      <w:pPr>
        <w:snapToGrid w:val="0"/>
        <w:spacing w:line="480" w:lineRule="auto"/>
        <w:jc w:val="center"/>
        <w:rPr>
          <w:rFonts w:asciiTheme="minorEastAsia" w:hAnsiTheme="minorEastAsia" w:cstheme="minorEastAsia"/>
          <w:b/>
          <w:bCs/>
          <w:sz w:val="72"/>
          <w:szCs w:val="72"/>
        </w:rPr>
      </w:pPr>
      <w:r>
        <w:rPr>
          <w:rFonts w:hint="eastAsia" w:asciiTheme="minorEastAsia" w:hAnsiTheme="minorEastAsia" w:cstheme="minorEastAsia"/>
          <w:b/>
          <w:bCs/>
          <w:sz w:val="72"/>
          <w:szCs w:val="72"/>
        </w:rPr>
        <w:t>投标文件</w:t>
      </w:r>
    </w:p>
    <w:p w14:paraId="10AA235B">
      <w:pPr>
        <w:snapToGrid w:val="0"/>
        <w:spacing w:line="480" w:lineRule="auto"/>
        <w:ind w:firstLine="1600" w:firstLineChars="500"/>
        <w:jc w:val="left"/>
        <w:rPr>
          <w:rFonts w:asciiTheme="minorEastAsia" w:hAnsiTheme="minorEastAsia" w:cstheme="minorEastAsia"/>
          <w:sz w:val="32"/>
          <w:szCs w:val="32"/>
          <w:lang w:val="zh-CN"/>
        </w:rPr>
      </w:pPr>
    </w:p>
    <w:p w14:paraId="598CBAE8">
      <w:pPr>
        <w:pStyle w:val="19"/>
        <w:rPr>
          <w:lang w:val="zh-CN"/>
        </w:rPr>
      </w:pPr>
    </w:p>
    <w:p w14:paraId="628C04C9">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lang w:val="zh-CN"/>
        </w:rPr>
        <w:t>投标人（单位名称及公章）：</w:t>
      </w:r>
      <w:r>
        <w:rPr>
          <w:rFonts w:hint="eastAsia" w:asciiTheme="minorEastAsia" w:hAnsiTheme="minorEastAsia" w:cstheme="minorEastAsia"/>
          <w:sz w:val="32"/>
          <w:szCs w:val="32"/>
          <w:u w:val="single"/>
        </w:rPr>
        <w:t xml:space="preserve">                         </w:t>
      </w:r>
    </w:p>
    <w:p w14:paraId="2ACADE91">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rPr>
        <w:t>日  期</w:t>
      </w:r>
      <w:r>
        <w:rPr>
          <w:rFonts w:hint="eastAsia" w:asciiTheme="minorEastAsia" w:hAnsiTheme="minorEastAsia" w:cstheme="minorEastAsia"/>
          <w:sz w:val="32"/>
          <w:szCs w:val="32"/>
          <w:lang w:val="zh-CN"/>
        </w:rPr>
        <w:t>：</w:t>
      </w:r>
      <w:r>
        <w:rPr>
          <w:rFonts w:hint="eastAsia" w:asciiTheme="minorEastAsia" w:hAnsiTheme="minorEastAsia" w:cstheme="minorEastAsia"/>
          <w:sz w:val="32"/>
          <w:szCs w:val="32"/>
          <w:u w:val="single"/>
        </w:rPr>
        <w:t xml:space="preserve">                                          </w:t>
      </w:r>
    </w:p>
    <w:p w14:paraId="00810ABF">
      <w:pPr>
        <w:pageBreakBefore/>
        <w:spacing w:beforeLines="100" w:afterLines="150" w:line="500" w:lineRule="exact"/>
        <w:ind w:firstLine="723" w:firstLineChars="200"/>
        <w:jc w:val="center"/>
        <w:rPr>
          <w:rFonts w:asciiTheme="minorEastAsia" w:hAnsiTheme="minorEastAsia" w:cstheme="minorEastAsia"/>
          <w:b/>
          <w:sz w:val="50"/>
        </w:rPr>
      </w:pPr>
      <w:r>
        <w:rPr>
          <w:rFonts w:hint="eastAsia" w:asciiTheme="minorEastAsia" w:hAnsiTheme="minorEastAsia" w:cstheme="minorEastAsia"/>
          <w:b/>
          <w:sz w:val="36"/>
          <w:szCs w:val="36"/>
        </w:rPr>
        <w:t>目 录</w:t>
      </w:r>
    </w:p>
    <w:p w14:paraId="079B6AED">
      <w:pPr>
        <w:pStyle w:val="15"/>
        <w:snapToGrid w:val="0"/>
        <w:spacing w:line="480" w:lineRule="auto"/>
        <w:ind w:firstLine="562" w:firstLineChars="200"/>
        <w:jc w:val="left"/>
        <w:rPr>
          <w:rFonts w:asciiTheme="minorEastAsia" w:hAnsiTheme="minorEastAsia" w:cstheme="minorEastAsia"/>
          <w:b/>
          <w:bCs/>
          <w:sz w:val="28"/>
          <w:szCs w:val="28"/>
        </w:rPr>
      </w:pPr>
      <w:bookmarkStart w:id="107" w:name="_Toc21472"/>
      <w:r>
        <w:rPr>
          <w:rFonts w:hint="eastAsia" w:asciiTheme="minorEastAsia" w:hAnsiTheme="minorEastAsia" w:cstheme="minorEastAsia"/>
          <w:b/>
          <w:bCs/>
          <w:sz w:val="28"/>
          <w:szCs w:val="28"/>
        </w:rPr>
        <w:t>第一章   投标函</w:t>
      </w:r>
    </w:p>
    <w:p w14:paraId="36DEFD50">
      <w:pPr>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第二</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开标一览表 </w:t>
      </w:r>
    </w:p>
    <w:p w14:paraId="08E49FE6">
      <w:pPr>
        <w:pStyle w:val="15"/>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第三章   </w:t>
      </w:r>
      <w:r>
        <w:rPr>
          <w:rFonts w:hint="eastAsia" w:asciiTheme="minorEastAsia" w:hAnsiTheme="minorEastAsia" w:cstheme="minorEastAsia"/>
          <w:b/>
          <w:sz w:val="28"/>
          <w:szCs w:val="28"/>
        </w:rPr>
        <w:t>分项报价表</w:t>
      </w:r>
    </w:p>
    <w:p w14:paraId="07C021E9">
      <w:pPr>
        <w:pStyle w:val="15"/>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sz w:val="28"/>
          <w:szCs w:val="28"/>
        </w:rPr>
        <w:t>第四</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资质证明资料</w:t>
      </w:r>
    </w:p>
    <w:p w14:paraId="5012FD35">
      <w:pPr>
        <w:pStyle w:val="15"/>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第五</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商务和技术响应偏离表</w:t>
      </w:r>
    </w:p>
    <w:p w14:paraId="5FBD4DBE">
      <w:pPr>
        <w:pStyle w:val="15"/>
        <w:snapToGrid w:val="0"/>
        <w:spacing w:line="480" w:lineRule="auto"/>
        <w:ind w:firstLine="562" w:firstLineChars="200"/>
        <w:jc w:val="left"/>
        <w:rPr>
          <w:rFonts w:hint="eastAsia" w:asciiTheme="minorEastAsia" w:hAnsiTheme="minorEastAsia" w:cstheme="minorEastAsia"/>
          <w:b/>
          <w:sz w:val="28"/>
          <w:szCs w:val="28"/>
        </w:rPr>
      </w:pPr>
      <w:r>
        <w:rPr>
          <w:rFonts w:hint="eastAsia" w:asciiTheme="minorEastAsia" w:hAnsiTheme="minorEastAsia" w:cstheme="minorEastAsia"/>
          <w:b/>
          <w:sz w:val="28"/>
          <w:szCs w:val="28"/>
        </w:rPr>
        <w:t>第六</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技术支持资</w:t>
      </w:r>
    </w:p>
    <w:p w14:paraId="5FF56460">
      <w:pPr>
        <w:pStyle w:val="15"/>
        <w:snapToGrid w:val="0"/>
        <w:spacing w:line="480" w:lineRule="auto"/>
        <w:ind w:firstLine="562" w:firstLineChars="200"/>
        <w:jc w:val="left"/>
        <w:rPr>
          <w:rFonts w:hint="default" w:asciiTheme="minorEastAsia" w:hAnsiTheme="minorEastAsia" w:eastAsiaTheme="minorEastAsia" w:cstheme="minorEastAsia"/>
          <w:b/>
          <w:sz w:val="28"/>
          <w:szCs w:val="28"/>
          <w:lang w:val="en-US" w:eastAsia="zh-CN"/>
        </w:rPr>
      </w:pPr>
      <w:r>
        <w:rPr>
          <w:rFonts w:hint="eastAsia" w:asciiTheme="minorEastAsia" w:hAnsiTheme="minorEastAsia" w:cstheme="minorEastAsia"/>
          <w:b/>
          <w:sz w:val="28"/>
          <w:szCs w:val="28"/>
        </w:rPr>
        <w:t>第七</w:t>
      </w:r>
      <w:r>
        <w:rPr>
          <w:rFonts w:hint="eastAsia" w:asciiTheme="minorEastAsia" w:hAnsiTheme="minorEastAsia" w:cstheme="minorEastAsia"/>
          <w:b/>
          <w:bCs/>
          <w:sz w:val="28"/>
          <w:szCs w:val="28"/>
        </w:rPr>
        <w:t>章</w:t>
      </w:r>
      <w:r>
        <w:rPr>
          <w:rFonts w:hint="eastAsia" w:asciiTheme="minorEastAsia" w:hAnsiTheme="minorEastAsia" w:cstheme="minorEastAsia"/>
          <w:b/>
          <w:bCs/>
          <w:sz w:val="28"/>
          <w:szCs w:val="28"/>
          <w:lang w:val="en-US" w:eastAsia="zh-CN"/>
        </w:rPr>
        <w:t xml:space="preserve">   服务方案</w:t>
      </w:r>
    </w:p>
    <w:p w14:paraId="17E27C99">
      <w:pPr>
        <w:pStyle w:val="15"/>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w:t>
      </w:r>
      <w:r>
        <w:rPr>
          <w:rFonts w:hint="eastAsia" w:asciiTheme="minorEastAsia" w:hAnsiTheme="minorEastAsia" w:cstheme="minorEastAsia"/>
          <w:b/>
          <w:sz w:val="28"/>
          <w:szCs w:val="28"/>
          <w:lang w:val="en-US" w:eastAsia="zh-CN"/>
        </w:rPr>
        <w:t>八</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投标人业绩一览表</w:t>
      </w:r>
    </w:p>
    <w:p w14:paraId="1D6EFE81">
      <w:pPr>
        <w:pStyle w:val="15"/>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w:t>
      </w:r>
      <w:r>
        <w:rPr>
          <w:rFonts w:hint="eastAsia" w:asciiTheme="minorEastAsia" w:hAnsiTheme="minorEastAsia" w:cstheme="minorEastAsia"/>
          <w:b/>
          <w:sz w:val="28"/>
          <w:szCs w:val="28"/>
          <w:lang w:val="en-US" w:eastAsia="zh-CN"/>
        </w:rPr>
        <w:t>九</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投标人认为有必要说明的其他问题</w:t>
      </w:r>
    </w:p>
    <w:p w14:paraId="730C9E84">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w:t>
      </w:r>
      <w:r>
        <w:rPr>
          <w:rFonts w:hint="eastAsia" w:asciiTheme="minorEastAsia" w:hAnsiTheme="minorEastAsia" w:cstheme="minorEastAsia"/>
          <w:b/>
          <w:bCs/>
          <w:sz w:val="28"/>
          <w:szCs w:val="28"/>
          <w:lang w:val="en-US" w:eastAsia="zh-CN"/>
        </w:rPr>
        <w:t>十</w:t>
      </w:r>
      <w:r>
        <w:rPr>
          <w:rFonts w:hint="eastAsia" w:asciiTheme="minorEastAsia" w:hAnsiTheme="minorEastAsia" w:cstheme="minorEastAsia"/>
          <w:b/>
          <w:bCs/>
          <w:sz w:val="28"/>
          <w:szCs w:val="28"/>
        </w:rPr>
        <w:t>章   投标人承诺书</w:t>
      </w:r>
    </w:p>
    <w:p w14:paraId="2D48309C">
      <w:pPr>
        <w:pStyle w:val="4"/>
        <w:pageBreakBefore/>
        <w:spacing w:beforeLines="100" w:afterLines="150" w:line="500" w:lineRule="exact"/>
        <w:rPr>
          <w:rFonts w:hint="eastAsia" w:asciiTheme="minorEastAsia" w:hAnsiTheme="minorEastAsia" w:eastAsiaTheme="minorEastAsia" w:cstheme="minorEastAsia"/>
          <w:sz w:val="36"/>
          <w:szCs w:val="36"/>
        </w:rPr>
      </w:pPr>
      <w:bookmarkStart w:id="108" w:name="_Toc21059"/>
      <w:r>
        <w:rPr>
          <w:rFonts w:hint="eastAsia" w:asciiTheme="minorEastAsia" w:hAnsiTheme="minorEastAsia" w:eastAsiaTheme="minorEastAsia" w:cstheme="minorEastAsia"/>
          <w:sz w:val="36"/>
          <w:szCs w:val="36"/>
        </w:rPr>
        <w:t>第一章  投标函</w:t>
      </w:r>
      <w:bookmarkEnd w:id="107"/>
      <w:bookmarkEnd w:id="108"/>
    </w:p>
    <w:p w14:paraId="788CF02B">
      <w:pPr>
        <w:adjustRightInd w:val="0"/>
        <w:snapToGrid w:val="0"/>
        <w:spacing w:line="276" w:lineRule="auto"/>
        <w:jc w:val="left"/>
        <w:rPr>
          <w:rFonts w:asciiTheme="minorEastAsia" w:hAnsiTheme="minorEastAsia" w:cstheme="minorEastAsia"/>
          <w:bCs/>
          <w:sz w:val="28"/>
          <w:szCs w:val="28"/>
          <w:highlight w:val="none"/>
        </w:rPr>
      </w:pPr>
      <w:r>
        <w:rPr>
          <w:rFonts w:hint="eastAsia" w:asciiTheme="minorEastAsia" w:hAnsiTheme="minorEastAsia" w:cstheme="minorEastAsia"/>
          <w:b/>
          <w:bCs/>
          <w:sz w:val="28"/>
          <w:szCs w:val="28"/>
          <w:highlight w:val="none"/>
        </w:rPr>
        <w:t>陕西万泽招标有限公司</w:t>
      </w:r>
      <w:r>
        <w:rPr>
          <w:rFonts w:hint="eastAsia" w:asciiTheme="minorEastAsia" w:hAnsiTheme="minorEastAsia" w:cstheme="minorEastAsia"/>
          <w:bCs/>
          <w:sz w:val="28"/>
          <w:szCs w:val="28"/>
          <w:highlight w:val="none"/>
        </w:rPr>
        <w:t>：</w:t>
      </w:r>
    </w:p>
    <w:p w14:paraId="529AAD23">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我单位收到编号为：</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的招标文件，经详细研究，我公司决定参加本次招标活动。为此，我方郑重承诺以下诸点，并负法律责任。</w:t>
      </w:r>
    </w:p>
    <w:p w14:paraId="627FA69C">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1、愿意按照招标文件中的全部要求，提供合格的产品及完善的技术服务，履行合同的责任和义务。</w:t>
      </w:r>
    </w:p>
    <w:p w14:paraId="21CD258C">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2、按照招标文件的规定，完成总体供货和服务的投标总报价为：</w:t>
      </w:r>
    </w:p>
    <w:p w14:paraId="0D8DDCB1">
      <w:pPr>
        <w:adjustRightInd w:val="0"/>
        <w:snapToGrid w:val="0"/>
        <w:spacing w:line="360" w:lineRule="auto"/>
        <w:ind w:left="210" w:leftChars="100" w:firstLine="240" w:firstLineChars="1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人民币（大写）：</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；（小写）</w:t>
      </w:r>
      <w:r>
        <w:rPr>
          <w:rFonts w:hint="eastAsia" w:asciiTheme="minorEastAsia" w:hAnsiTheme="minorEastAsia" w:cstheme="minorEastAsia"/>
          <w:spacing w:val="-6"/>
          <w:sz w:val="24"/>
          <w:szCs w:val="24"/>
          <w:highlight w:val="none"/>
        </w:rPr>
        <w:t>￥</w:t>
      </w:r>
      <w:r>
        <w:rPr>
          <w:rFonts w:hint="eastAsia" w:asciiTheme="minorEastAsia" w:hAnsiTheme="minorEastAsia" w:cstheme="minorEastAsia"/>
          <w:sz w:val="24"/>
          <w:szCs w:val="24"/>
          <w:highlight w:val="none"/>
        </w:rPr>
        <w:t>：</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元。</w:t>
      </w:r>
    </w:p>
    <w:p w14:paraId="4E005326">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3、我方提交的投标文件正本一份、副本四份，电子文档一份、开标一览表一份。</w:t>
      </w:r>
    </w:p>
    <w:p w14:paraId="568B07E8">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4、我们已详细阅读了招标文件，完全理解并同意放弃提出含糊不清和误解问题的权力。</w:t>
      </w:r>
    </w:p>
    <w:p w14:paraId="117D4716">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5、如果我方在投标后到规定的投标有效期内撤回投标文件及承诺，我们的保证金将被对方没收。</w:t>
      </w:r>
    </w:p>
    <w:p w14:paraId="52EC64C9">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6、同意向贵方提供贵方可能要求的、与本次投标有关的任何证据资料。</w:t>
      </w:r>
    </w:p>
    <w:p w14:paraId="455B7DEB">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7、我方承诺投标有效期为开标后</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90</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日历日内有效。</w:t>
      </w:r>
    </w:p>
    <w:p w14:paraId="2AA18A92">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8、所有关于本次投标的函电，请按下列地址联系：</w:t>
      </w:r>
    </w:p>
    <w:p w14:paraId="1DBC8D03">
      <w:pPr>
        <w:adjustRightInd w:val="0"/>
        <w:snapToGrid w:val="0"/>
        <w:spacing w:line="360" w:lineRule="auto"/>
        <w:ind w:firstLine="480" w:firstLineChars="200"/>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投标人（单位名称及公章）：</w:t>
      </w:r>
      <w:r>
        <w:rPr>
          <w:rFonts w:hint="eastAsia" w:asciiTheme="minorEastAsia" w:hAnsiTheme="minorEastAsia" w:cstheme="minorEastAsia"/>
          <w:sz w:val="24"/>
          <w:szCs w:val="24"/>
          <w:highlight w:val="none"/>
          <w:u w:val="single"/>
        </w:rPr>
        <w:t xml:space="preserve">                  </w:t>
      </w:r>
    </w:p>
    <w:p w14:paraId="208F904F">
      <w:pPr>
        <w:adjustRightInd w:val="0"/>
        <w:snapToGrid w:val="0"/>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法定代表人/被授权人（签字或盖章）：</w:t>
      </w:r>
      <w:r>
        <w:rPr>
          <w:rFonts w:hint="eastAsia" w:asciiTheme="minorEastAsia" w:hAnsiTheme="minorEastAsia" w:cstheme="minorEastAsia"/>
          <w:sz w:val="24"/>
          <w:szCs w:val="24"/>
          <w:highlight w:val="none"/>
          <w:u w:val="single"/>
        </w:rPr>
        <w:t xml:space="preserve">               </w:t>
      </w:r>
    </w:p>
    <w:p w14:paraId="4B95EAEF">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地    址： </w:t>
      </w:r>
      <w:r>
        <w:rPr>
          <w:rFonts w:hint="eastAsia" w:asciiTheme="minorEastAsia" w:hAnsiTheme="minorEastAsia" w:cstheme="minorEastAsia"/>
          <w:sz w:val="24"/>
          <w:szCs w:val="24"/>
          <w:highlight w:val="none"/>
          <w:u w:val="single"/>
        </w:rPr>
        <w:t xml:space="preserve">                                    </w:t>
      </w:r>
    </w:p>
    <w:p w14:paraId="15D1273A">
      <w:pPr>
        <w:adjustRightInd w:val="0"/>
        <w:snapToGrid w:val="0"/>
        <w:spacing w:line="360" w:lineRule="auto"/>
        <w:ind w:firstLine="480" w:firstLineChars="200"/>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 xml:space="preserve">开户银行： </w:t>
      </w:r>
      <w:r>
        <w:rPr>
          <w:rFonts w:hint="eastAsia" w:asciiTheme="minorEastAsia" w:hAnsiTheme="minorEastAsia" w:cstheme="minorEastAsia"/>
          <w:sz w:val="24"/>
          <w:szCs w:val="24"/>
          <w:highlight w:val="none"/>
          <w:u w:val="single"/>
        </w:rPr>
        <w:t xml:space="preserve">                                 </w:t>
      </w:r>
    </w:p>
    <w:p w14:paraId="31E64BEB">
      <w:pPr>
        <w:adjustRightInd w:val="0"/>
        <w:snapToGrid w:val="0"/>
        <w:spacing w:line="360" w:lineRule="auto"/>
        <w:ind w:firstLine="480" w:firstLineChars="200"/>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帐    号：</w:t>
      </w:r>
      <w:r>
        <w:rPr>
          <w:rFonts w:hint="eastAsia" w:asciiTheme="minorEastAsia" w:hAnsiTheme="minorEastAsia" w:cstheme="minorEastAsia"/>
          <w:sz w:val="24"/>
          <w:szCs w:val="24"/>
          <w:highlight w:val="none"/>
          <w:u w:val="single"/>
        </w:rPr>
        <w:t xml:space="preserve">                                  </w:t>
      </w:r>
    </w:p>
    <w:p w14:paraId="68125439">
      <w:pPr>
        <w:adjustRightInd w:val="0"/>
        <w:snapToGrid w:val="0"/>
        <w:spacing w:line="360" w:lineRule="auto"/>
        <w:ind w:firstLine="480" w:firstLineChars="200"/>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电    话：</w:t>
      </w:r>
      <w:r>
        <w:rPr>
          <w:rFonts w:hint="eastAsia" w:asciiTheme="minorEastAsia" w:hAnsiTheme="minorEastAsia" w:cstheme="minorEastAsia"/>
          <w:sz w:val="24"/>
          <w:szCs w:val="24"/>
          <w:highlight w:val="none"/>
          <w:u w:val="single"/>
        </w:rPr>
        <w:t xml:space="preserve">                                  </w:t>
      </w:r>
    </w:p>
    <w:p w14:paraId="3B3CF7F0">
      <w:pPr>
        <w:adjustRightInd w:val="0"/>
        <w:snapToGrid w:val="0"/>
        <w:spacing w:line="360" w:lineRule="auto"/>
        <w:ind w:firstLine="480" w:firstLineChars="200"/>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传    真：</w:t>
      </w:r>
      <w:r>
        <w:rPr>
          <w:rFonts w:hint="eastAsia" w:asciiTheme="minorEastAsia" w:hAnsiTheme="minorEastAsia" w:cstheme="minorEastAsia"/>
          <w:sz w:val="24"/>
          <w:szCs w:val="24"/>
          <w:highlight w:val="none"/>
          <w:u w:val="single"/>
        </w:rPr>
        <w:t xml:space="preserve">                                  </w:t>
      </w:r>
    </w:p>
    <w:p w14:paraId="2126FB51">
      <w:pPr>
        <w:adjustRightInd w:val="0"/>
        <w:snapToGrid w:val="0"/>
        <w:spacing w:line="360" w:lineRule="auto"/>
        <w:ind w:firstLine="480" w:firstLineChars="200"/>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邮    编：</w:t>
      </w:r>
      <w:r>
        <w:rPr>
          <w:rFonts w:hint="eastAsia" w:asciiTheme="minorEastAsia" w:hAnsiTheme="minorEastAsia" w:cstheme="minorEastAsia"/>
          <w:sz w:val="24"/>
          <w:szCs w:val="24"/>
          <w:highlight w:val="none"/>
          <w:u w:val="single"/>
        </w:rPr>
        <w:t xml:space="preserve">                                  </w:t>
      </w:r>
    </w:p>
    <w:p w14:paraId="6D1C1CBD">
      <w:pPr>
        <w:adjustRightInd w:val="0"/>
        <w:snapToGrid w:val="0"/>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日    期：</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年</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月</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日</w:t>
      </w:r>
    </w:p>
    <w:p w14:paraId="13986C92">
      <w:pPr>
        <w:adjustRightInd w:val="0"/>
        <w:snapToGrid w:val="0"/>
        <w:spacing w:line="360" w:lineRule="auto"/>
        <w:ind w:firstLine="480" w:firstLineChars="200"/>
        <w:rPr>
          <w:rFonts w:hint="eastAsia" w:asciiTheme="minorEastAsia" w:hAnsiTheme="minorEastAsia" w:cstheme="minorEastAsia"/>
          <w:sz w:val="24"/>
          <w:szCs w:val="24"/>
        </w:rPr>
      </w:pPr>
    </w:p>
    <w:p w14:paraId="09BD0A30">
      <w:pPr>
        <w:rPr>
          <w:rFonts w:hint="eastAsia" w:asciiTheme="minorEastAsia" w:hAnsiTheme="minorEastAsia" w:cstheme="minorEastAsia"/>
          <w:sz w:val="24"/>
          <w:szCs w:val="24"/>
        </w:rPr>
      </w:pPr>
      <w:r>
        <w:rPr>
          <w:rFonts w:hint="eastAsia" w:asciiTheme="minorEastAsia" w:hAnsiTheme="minorEastAsia" w:cstheme="minorEastAsia"/>
          <w:sz w:val="24"/>
          <w:szCs w:val="24"/>
        </w:rPr>
        <w:br w:type="page"/>
      </w:r>
    </w:p>
    <w:p w14:paraId="313039CF">
      <w:pPr>
        <w:pStyle w:val="4"/>
        <w:spacing w:beforeLines="100" w:afterLines="150" w:line="500" w:lineRule="exact"/>
        <w:rPr>
          <w:rFonts w:asciiTheme="minorEastAsia" w:hAnsiTheme="minorEastAsia" w:eastAsiaTheme="minorEastAsia" w:cstheme="minorEastAsia"/>
          <w:sz w:val="36"/>
          <w:szCs w:val="36"/>
        </w:rPr>
      </w:pPr>
      <w:bookmarkStart w:id="109" w:name="_Toc15401"/>
      <w:bookmarkStart w:id="110" w:name="_Toc18167"/>
      <w:r>
        <w:rPr>
          <w:rFonts w:hint="eastAsia" w:asciiTheme="minorEastAsia" w:hAnsiTheme="minorEastAsia" w:eastAsiaTheme="minorEastAsia" w:cstheme="minorEastAsia"/>
          <w:sz w:val="36"/>
          <w:szCs w:val="36"/>
        </w:rPr>
        <w:t>第二章  开标一览表</w:t>
      </w:r>
      <w:bookmarkEnd w:id="109"/>
      <w:bookmarkEnd w:id="110"/>
    </w:p>
    <w:p w14:paraId="1F13AFF7">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14:paraId="4B21B756">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u w:val="none"/>
        </w:rPr>
        <w:t xml:space="preserve"> </w:t>
      </w:r>
      <w:r>
        <w:rPr>
          <w:rFonts w:hint="eastAsia" w:asciiTheme="minorEastAsia" w:hAnsiTheme="minorEastAsia" w:cstheme="minorEastAsia"/>
          <w:sz w:val="28"/>
          <w:szCs w:val="28"/>
          <w:u w:val="single"/>
        </w:rPr>
        <w:t xml:space="preserve">                                    </w:t>
      </w:r>
    </w:p>
    <w:p w14:paraId="795C5C52">
      <w:pPr>
        <w:kinsoku w:val="0"/>
        <w:spacing w:line="360" w:lineRule="auto"/>
        <w:jc w:val="left"/>
        <w:rPr>
          <w:rFonts w:asciiTheme="minorEastAsia" w:hAnsiTheme="minorEastAsia" w:cstheme="minorEastAsia"/>
          <w:sz w:val="28"/>
          <w:szCs w:val="28"/>
          <w:highlight w:val="yellow"/>
        </w:rPr>
      </w:pPr>
      <w:r>
        <w:rPr>
          <w:rFonts w:hint="eastAsia" w:asciiTheme="minorEastAsia" w:hAnsiTheme="minorEastAsia" w:cstheme="minorEastAsia"/>
          <w:sz w:val="28"/>
          <w:szCs w:val="28"/>
        </w:rPr>
        <w:t>单    位：元</w:t>
      </w:r>
    </w:p>
    <w:tbl>
      <w:tblPr>
        <w:tblStyle w:val="28"/>
        <w:tblpPr w:leftFromText="180" w:rightFromText="180" w:vertAnchor="text" w:horzAnchor="page" w:tblpXSpec="center" w:tblpY="360"/>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2698"/>
        <w:gridCol w:w="2580"/>
        <w:gridCol w:w="2560"/>
      </w:tblGrid>
      <w:tr w14:paraId="21D8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894" w:type="dxa"/>
            <w:tcBorders>
              <w:tl2br w:val="single" w:color="auto" w:sz="4" w:space="0"/>
            </w:tcBorders>
          </w:tcPr>
          <w:p w14:paraId="0BAF782E">
            <w:pPr>
              <w:kinsoku w:val="0"/>
              <w:spacing w:line="480" w:lineRule="auto"/>
              <w:ind w:firstLine="630" w:firstLineChars="300"/>
              <w:jc w:val="left"/>
              <w:rPr>
                <w:rFonts w:ascii="宋体" w:hAnsi="宋体" w:cs="宋体"/>
                <w:szCs w:val="21"/>
              </w:rPr>
            </w:pPr>
            <w:r>
              <w:rPr>
                <w:rFonts w:ascii="宋体" w:hAnsi="宋体" w:cs="宋体"/>
                <w:szCs w:val="21"/>
              </w:rPr>
              <w:t>报价内</w:t>
            </w:r>
            <w:r>
              <w:rPr>
                <w:rFonts w:hint="eastAsia" w:ascii="宋体" w:hAnsi="宋体" w:cs="宋体"/>
                <w:szCs w:val="21"/>
              </w:rPr>
              <w:t>容</w:t>
            </w:r>
          </w:p>
          <w:p w14:paraId="68D1CC13">
            <w:pPr>
              <w:kinsoku w:val="0"/>
              <w:spacing w:line="480" w:lineRule="auto"/>
              <w:jc w:val="left"/>
              <w:rPr>
                <w:rFonts w:ascii="宋体" w:hAnsi="宋体" w:cs="宋体"/>
                <w:szCs w:val="21"/>
              </w:rPr>
            </w:pPr>
            <w:r>
              <w:rPr>
                <w:rFonts w:hint="eastAsia" w:ascii="宋体" w:hAnsi="宋体" w:cs="宋体"/>
                <w:szCs w:val="21"/>
              </w:rPr>
              <w:t>投</w:t>
            </w:r>
            <w:r>
              <w:rPr>
                <w:rFonts w:ascii="宋体" w:hAnsi="宋体" w:cs="宋体"/>
                <w:szCs w:val="21"/>
              </w:rPr>
              <w:t>标内</w:t>
            </w:r>
            <w:r>
              <w:rPr>
                <w:rFonts w:hint="eastAsia" w:ascii="宋体" w:hAnsi="宋体" w:cs="宋体"/>
                <w:szCs w:val="21"/>
              </w:rPr>
              <w:t>容</w:t>
            </w:r>
          </w:p>
        </w:tc>
        <w:tc>
          <w:tcPr>
            <w:tcW w:w="2698" w:type="dxa"/>
            <w:vAlign w:val="center"/>
          </w:tcPr>
          <w:p w14:paraId="48200A48">
            <w:pPr>
              <w:kinsoku w:val="0"/>
              <w:spacing w:line="480" w:lineRule="auto"/>
              <w:jc w:val="center"/>
              <w:rPr>
                <w:rFonts w:ascii="宋体" w:hAnsi="宋体" w:cs="宋体"/>
                <w:szCs w:val="21"/>
              </w:rPr>
            </w:pPr>
            <w:r>
              <w:rPr>
                <w:rFonts w:hint="eastAsia" w:ascii="宋体" w:hAnsi="宋体" w:cs="宋体"/>
                <w:szCs w:val="21"/>
              </w:rPr>
              <w:t>投标总报价（元）</w:t>
            </w:r>
          </w:p>
        </w:tc>
        <w:tc>
          <w:tcPr>
            <w:tcW w:w="2580" w:type="dxa"/>
            <w:vAlign w:val="center"/>
          </w:tcPr>
          <w:p w14:paraId="067ED7D7">
            <w:pPr>
              <w:kinsoku w:val="0"/>
              <w:spacing w:line="480" w:lineRule="auto"/>
              <w:jc w:val="center"/>
              <w:rPr>
                <w:rFonts w:ascii="宋体" w:hAnsi="宋体" w:cs="宋体"/>
                <w:szCs w:val="21"/>
              </w:rPr>
            </w:pPr>
            <w:r>
              <w:rPr>
                <w:rFonts w:hint="eastAsia" w:ascii="宋体" w:hAnsi="宋体" w:cs="宋体"/>
                <w:szCs w:val="21"/>
              </w:rPr>
              <w:t>服务期限</w:t>
            </w:r>
          </w:p>
        </w:tc>
        <w:tc>
          <w:tcPr>
            <w:tcW w:w="2560" w:type="dxa"/>
            <w:vAlign w:val="center"/>
          </w:tcPr>
          <w:p w14:paraId="14586CBA">
            <w:pPr>
              <w:kinsoku w:val="0"/>
              <w:spacing w:line="480" w:lineRule="auto"/>
              <w:jc w:val="center"/>
              <w:rPr>
                <w:rFonts w:hint="eastAsia" w:ascii="宋体" w:hAnsi="宋体" w:cs="宋体" w:eastAsiaTheme="minorEastAsia"/>
                <w:szCs w:val="21"/>
                <w:lang w:val="en-US" w:eastAsia="zh-CN"/>
              </w:rPr>
            </w:pPr>
            <w:r>
              <w:rPr>
                <w:rFonts w:hint="eastAsia" w:ascii="宋体" w:hAnsi="宋体" w:cs="宋体"/>
                <w:szCs w:val="21"/>
                <w:lang w:val="en-US" w:eastAsia="zh-CN"/>
              </w:rPr>
              <w:t>质保期</w:t>
            </w:r>
          </w:p>
        </w:tc>
      </w:tr>
      <w:tr w14:paraId="7491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894" w:type="dxa"/>
            <w:vAlign w:val="center"/>
          </w:tcPr>
          <w:p w14:paraId="05F949B0">
            <w:pPr>
              <w:kinsoku w:val="0"/>
              <w:spacing w:line="480" w:lineRule="auto"/>
              <w:jc w:val="left"/>
              <w:rPr>
                <w:rFonts w:hint="eastAsia" w:ascii="宋体" w:hAnsi="宋体" w:cs="宋体" w:eastAsiaTheme="minorEastAsia"/>
                <w:szCs w:val="21"/>
                <w:lang w:eastAsia="zh-CN"/>
              </w:rPr>
            </w:pPr>
            <w:r>
              <w:rPr>
                <w:rFonts w:hint="eastAsia" w:ascii="宋体" w:hAnsi="宋体" w:cs="宋体"/>
                <w:szCs w:val="21"/>
                <w:lang w:eastAsia="zh-CN"/>
              </w:rPr>
              <w:t>西安市市场监督管理局2025年机电类特种设备安全质量监督抽查项目（二次）</w:t>
            </w:r>
          </w:p>
        </w:tc>
        <w:tc>
          <w:tcPr>
            <w:tcW w:w="2698" w:type="dxa"/>
            <w:vAlign w:val="center"/>
          </w:tcPr>
          <w:p w14:paraId="5745081C">
            <w:pPr>
              <w:kinsoku w:val="0"/>
              <w:spacing w:line="480" w:lineRule="auto"/>
              <w:jc w:val="left"/>
              <w:rPr>
                <w:rFonts w:ascii="宋体" w:hAnsi="宋体" w:cs="宋体"/>
                <w:szCs w:val="21"/>
              </w:rPr>
            </w:pPr>
          </w:p>
        </w:tc>
        <w:tc>
          <w:tcPr>
            <w:tcW w:w="2580" w:type="dxa"/>
            <w:vAlign w:val="center"/>
          </w:tcPr>
          <w:p w14:paraId="05F105D2">
            <w:pPr>
              <w:kinsoku w:val="0"/>
              <w:spacing w:line="480" w:lineRule="auto"/>
              <w:jc w:val="left"/>
              <w:rPr>
                <w:rFonts w:ascii="宋体" w:hAnsi="宋体" w:cs="宋体"/>
                <w:szCs w:val="21"/>
              </w:rPr>
            </w:pPr>
            <w:r>
              <w:rPr>
                <w:rFonts w:hint="eastAsia" w:ascii="宋体" w:hAnsi="宋体" w:cs="宋体"/>
                <w:szCs w:val="21"/>
              </w:rPr>
              <w:t>自合同签订后</w:t>
            </w:r>
            <w:r>
              <w:rPr>
                <w:rFonts w:hint="eastAsia" w:ascii="宋体" w:hAnsi="宋体" w:cs="宋体"/>
                <w:szCs w:val="21"/>
                <w:u w:val="single"/>
                <w:lang w:val="en-US" w:eastAsia="zh-CN"/>
              </w:rPr>
              <w:t xml:space="preserve">   </w:t>
            </w:r>
            <w:r>
              <w:rPr>
                <w:rFonts w:hint="eastAsia" w:ascii="宋体" w:hAnsi="宋体" w:cs="宋体"/>
                <w:szCs w:val="21"/>
              </w:rPr>
              <w:t>个工作日内开始实施监督抽查工作，并于2025年12月10日完成现场抽查任务。</w:t>
            </w:r>
          </w:p>
        </w:tc>
        <w:tc>
          <w:tcPr>
            <w:tcW w:w="2560" w:type="dxa"/>
            <w:vAlign w:val="center"/>
          </w:tcPr>
          <w:p w14:paraId="137053F7">
            <w:pPr>
              <w:kinsoku w:val="0"/>
              <w:spacing w:line="480" w:lineRule="auto"/>
              <w:jc w:val="left"/>
              <w:rPr>
                <w:rFonts w:hint="eastAsia" w:ascii="宋体" w:hAnsi="宋体" w:cs="宋体"/>
                <w:szCs w:val="21"/>
                <w:lang w:eastAsia="zh-CN"/>
              </w:rPr>
            </w:pPr>
            <w:r>
              <w:rPr>
                <w:rFonts w:hint="eastAsia" w:ascii="宋体" w:hAnsi="宋体" w:cs="宋体"/>
                <w:szCs w:val="21"/>
                <w:lang w:eastAsia="zh-CN"/>
              </w:rPr>
              <w:t>项目验收完成后</w:t>
            </w:r>
            <w:r>
              <w:rPr>
                <w:rFonts w:hint="eastAsia" w:ascii="宋体" w:hAnsi="宋体" w:cs="宋体"/>
                <w:szCs w:val="21"/>
                <w:u w:val="single"/>
                <w:lang w:val="en-US" w:eastAsia="zh-CN"/>
              </w:rPr>
              <w:t xml:space="preserve">   </w:t>
            </w:r>
            <w:r>
              <w:rPr>
                <w:rFonts w:hint="eastAsia" w:ascii="宋体" w:hAnsi="宋体" w:cs="宋体"/>
                <w:szCs w:val="21"/>
                <w:lang w:eastAsia="zh-CN"/>
              </w:rPr>
              <w:t>个月，主要内容为项目现场复核、报告复核、技术咨询回应等。</w:t>
            </w:r>
          </w:p>
        </w:tc>
      </w:tr>
      <w:tr w14:paraId="32E4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9732" w:type="dxa"/>
            <w:gridSpan w:val="4"/>
            <w:vAlign w:val="center"/>
          </w:tcPr>
          <w:p w14:paraId="38BE171E">
            <w:pPr>
              <w:kinsoku w:val="0"/>
              <w:spacing w:line="480" w:lineRule="auto"/>
              <w:ind w:firstLine="420" w:firstLineChars="200"/>
              <w:jc w:val="left"/>
            </w:pPr>
            <w:r>
              <w:t>备</w:t>
            </w:r>
            <w:r>
              <w:rPr>
                <w:rFonts w:hint="eastAsia"/>
              </w:rPr>
              <w:t>注：</w:t>
            </w:r>
          </w:p>
          <w:p w14:paraId="6E101AE6">
            <w:pPr>
              <w:kinsoku w:val="0"/>
              <w:spacing w:line="480" w:lineRule="auto"/>
              <w:ind w:firstLine="420" w:firstLineChars="200"/>
              <w:jc w:val="left"/>
            </w:pPr>
            <w:r>
              <w:rPr>
                <w:rFonts w:hint="eastAsia"/>
              </w:rPr>
              <w:t>1、表</w:t>
            </w:r>
            <w:r>
              <w:t>内报价内</w:t>
            </w:r>
            <w:r>
              <w:rPr>
                <w:rFonts w:hint="eastAsia"/>
              </w:rPr>
              <w:t>容以元</w:t>
            </w:r>
            <w:r>
              <w:t>为单</w:t>
            </w:r>
            <w:r>
              <w:rPr>
                <w:rFonts w:hint="eastAsia"/>
              </w:rPr>
              <w:t xml:space="preserve">位，精确到小数点后两位。 </w:t>
            </w:r>
          </w:p>
          <w:p w14:paraId="18AD8A9C">
            <w:pPr>
              <w:pStyle w:val="2"/>
              <w:ind w:firstLine="420" w:firstLineChars="200"/>
              <w:rPr>
                <w:rFonts w:asciiTheme="minorHAnsi" w:hAnsiTheme="minorHAnsi" w:eastAsiaTheme="minorEastAsia" w:cstheme="minorBidi"/>
                <w:b w:val="0"/>
                <w:sz w:val="21"/>
              </w:rPr>
            </w:pPr>
            <w:r>
              <w:rPr>
                <w:rFonts w:asciiTheme="minorHAnsi" w:hAnsiTheme="minorHAnsi" w:eastAsiaTheme="minorEastAsia" w:cstheme="minorBidi"/>
                <w:b w:val="0"/>
                <w:sz w:val="21"/>
              </w:rPr>
              <w:t>2、</w:t>
            </w:r>
            <w:r>
              <w:rPr>
                <w:rFonts w:hint="eastAsia" w:asciiTheme="minorHAnsi" w:hAnsiTheme="minorHAnsi" w:eastAsiaTheme="minorEastAsia" w:cstheme="minorBidi"/>
                <w:b w:val="0"/>
                <w:sz w:val="21"/>
              </w:rPr>
              <w:t>服务期限</w:t>
            </w:r>
            <w:r>
              <w:rPr>
                <w:rFonts w:asciiTheme="minorHAnsi" w:hAnsiTheme="minorHAnsi" w:eastAsiaTheme="minorEastAsia" w:cstheme="minorBidi"/>
                <w:b w:val="0"/>
                <w:sz w:val="21"/>
              </w:rPr>
              <w:t>、</w:t>
            </w:r>
            <w:r>
              <w:rPr>
                <w:rFonts w:hint="eastAsia" w:asciiTheme="minorHAnsi" w:hAnsiTheme="minorHAnsi" w:eastAsiaTheme="minorEastAsia" w:cstheme="minorBidi"/>
                <w:b w:val="0"/>
                <w:sz w:val="21"/>
              </w:rPr>
              <w:t>质保期</w:t>
            </w:r>
            <w:r>
              <w:rPr>
                <w:rFonts w:asciiTheme="minorHAnsi" w:hAnsiTheme="minorHAnsi" w:eastAsiaTheme="minorEastAsia" w:cstheme="minorBidi"/>
                <w:b w:val="0"/>
                <w:sz w:val="21"/>
              </w:rPr>
              <w:t>要求详见第五部分采购要求</w:t>
            </w:r>
          </w:p>
        </w:tc>
      </w:tr>
    </w:tbl>
    <w:p w14:paraId="45C2C304">
      <w:pPr>
        <w:widowControl/>
        <w:tabs>
          <w:tab w:val="left" w:pos="4000"/>
        </w:tabs>
        <w:snapToGrid w:val="0"/>
        <w:spacing w:line="300" w:lineRule="auto"/>
        <w:jc w:val="left"/>
        <w:rPr>
          <w:rFonts w:asciiTheme="minorEastAsia" w:hAnsiTheme="minorEastAsia" w:cstheme="minorEastAsia"/>
          <w:b/>
          <w:bCs/>
          <w:spacing w:val="20"/>
          <w:kern w:val="0"/>
          <w:sz w:val="28"/>
          <w:szCs w:val="28"/>
        </w:rPr>
      </w:pPr>
      <w:r>
        <w:rPr>
          <w:rFonts w:hint="eastAsia" w:asciiTheme="minorEastAsia" w:hAnsiTheme="minorEastAsia" w:cstheme="minorEastAsia"/>
          <w:b/>
          <w:bCs/>
          <w:spacing w:val="20"/>
          <w:kern w:val="0"/>
          <w:sz w:val="28"/>
          <w:szCs w:val="28"/>
        </w:rPr>
        <w:t>注：此表再制作一份原件单独密封递交，供唱标时使用。</w:t>
      </w:r>
    </w:p>
    <w:p w14:paraId="5D7066FF">
      <w:pPr>
        <w:widowControl/>
        <w:tabs>
          <w:tab w:val="left" w:pos="4000"/>
        </w:tabs>
        <w:snapToGrid w:val="0"/>
        <w:spacing w:line="300" w:lineRule="auto"/>
        <w:jc w:val="left"/>
        <w:rPr>
          <w:rFonts w:asciiTheme="minorEastAsia" w:hAnsiTheme="minorEastAsia" w:cstheme="minorEastAsia"/>
          <w:b/>
          <w:bCs/>
          <w:spacing w:val="20"/>
          <w:kern w:val="0"/>
          <w:sz w:val="28"/>
          <w:szCs w:val="28"/>
        </w:rPr>
      </w:pPr>
    </w:p>
    <w:p w14:paraId="0A9E2081">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14:paraId="0C2B22DC">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14:paraId="6E6B5D91">
      <w:pPr>
        <w:adjustRightInd w:val="0"/>
        <w:snapToGrid w:val="0"/>
        <w:spacing w:line="480" w:lineRule="auto"/>
        <w:rPr>
          <w:rFonts w:hint="eastAsia" w:asciiTheme="minorEastAsia" w:hAnsiTheme="minorEastAsia" w:cstheme="minorEastAsia"/>
          <w:sz w:val="28"/>
          <w:szCs w:val="28"/>
        </w:r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14:paraId="121434EC">
      <w:pPr>
        <w:rPr>
          <w:rFonts w:hint="eastAsia" w:asciiTheme="minorEastAsia" w:hAnsiTheme="minorEastAsia" w:cstheme="minorEastAsia"/>
          <w:sz w:val="28"/>
          <w:szCs w:val="28"/>
        </w:rPr>
      </w:pPr>
      <w:r>
        <w:rPr>
          <w:rFonts w:hint="eastAsia" w:asciiTheme="minorEastAsia" w:hAnsiTheme="minorEastAsia" w:cstheme="minorEastAsia"/>
          <w:sz w:val="28"/>
          <w:szCs w:val="28"/>
        </w:rPr>
        <w:br w:type="page"/>
      </w:r>
    </w:p>
    <w:p w14:paraId="5714AA56">
      <w:pPr>
        <w:pStyle w:val="4"/>
      </w:pPr>
      <w:bookmarkStart w:id="111" w:name="_Toc2211"/>
      <w:r>
        <w:rPr>
          <w:rFonts w:hint="eastAsia"/>
        </w:rPr>
        <w:t>第三章  分项报价表</w:t>
      </w:r>
      <w:bookmarkEnd w:id="111"/>
    </w:p>
    <w:p w14:paraId="46BCFE81">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14:paraId="16C4435C">
      <w:pPr>
        <w:widowControl/>
        <w:wordWrap w:val="0"/>
        <w:spacing w:line="360" w:lineRule="auto"/>
        <w:jc w:val="left"/>
        <w:rPr>
          <w:rFonts w:hint="eastAsia"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p>
    <w:p w14:paraId="44F0D7EF">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共</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页，第</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w:t>
      </w:r>
    </w:p>
    <w:tbl>
      <w:tblPr>
        <w:tblStyle w:val="28"/>
        <w:tblW w:w="91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76"/>
        <w:gridCol w:w="1215"/>
        <w:gridCol w:w="4602"/>
        <w:gridCol w:w="799"/>
        <w:gridCol w:w="931"/>
        <w:gridCol w:w="937"/>
      </w:tblGrid>
      <w:tr w14:paraId="16C413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45" w:hRule="atLeast"/>
          <w:jc w:val="center"/>
        </w:trPr>
        <w:tc>
          <w:tcPr>
            <w:tcW w:w="9160" w:type="dxa"/>
            <w:gridSpan w:val="6"/>
            <w:shd w:val="clear" w:color="auto" w:fill="F1F1F1" w:themeFill="background1" w:themeFillShade="F2"/>
            <w:noWrap/>
            <w:tcMar>
              <w:top w:w="20" w:type="dxa"/>
              <w:left w:w="20" w:type="dxa"/>
              <w:bottom w:w="0" w:type="dxa"/>
              <w:right w:w="20" w:type="dxa"/>
            </w:tcMar>
            <w:vAlign w:val="center"/>
          </w:tcPr>
          <w:p w14:paraId="1335ECA4">
            <w:pPr>
              <w:jc w:val="center"/>
              <w:rPr>
                <w:rFonts w:hint="eastAsia" w:ascii="宋体" w:hAnsi="宋体" w:eastAsia="宋体" w:cs="宋体"/>
                <w:color w:val="auto"/>
                <w:highlight w:val="none"/>
              </w:rPr>
            </w:pPr>
            <w:r>
              <w:rPr>
                <w:rFonts w:hint="eastAsia" w:ascii="宋体" w:hAnsi="宋体" w:eastAsia="宋体" w:cs="宋体"/>
                <w:color w:val="auto"/>
                <w:highlight w:val="none"/>
              </w:rPr>
              <w:t>费用明细</w:t>
            </w:r>
          </w:p>
        </w:tc>
      </w:tr>
      <w:tr w14:paraId="74BB5F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7B34250B">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15" w:type="dxa"/>
            <w:noWrap/>
            <w:tcMar>
              <w:top w:w="20" w:type="dxa"/>
              <w:left w:w="20" w:type="dxa"/>
              <w:bottom w:w="0" w:type="dxa"/>
              <w:right w:w="20" w:type="dxa"/>
            </w:tcMar>
            <w:vAlign w:val="center"/>
          </w:tcPr>
          <w:p w14:paraId="1A7E1C99">
            <w:pPr>
              <w:jc w:val="center"/>
              <w:rPr>
                <w:rFonts w:hint="eastAsia" w:ascii="宋体" w:hAnsi="宋体" w:eastAsia="宋体" w:cs="宋体"/>
                <w:color w:val="auto"/>
                <w:highlight w:val="none"/>
              </w:rPr>
            </w:pPr>
            <w:r>
              <w:rPr>
                <w:rFonts w:hint="eastAsia" w:ascii="宋体" w:hAnsi="宋体" w:eastAsia="宋体" w:cs="宋体"/>
                <w:color w:val="auto"/>
                <w:highlight w:val="none"/>
              </w:rPr>
              <w:t>费用名称</w:t>
            </w:r>
          </w:p>
        </w:tc>
        <w:tc>
          <w:tcPr>
            <w:tcW w:w="4602" w:type="dxa"/>
            <w:noWrap/>
            <w:tcMar>
              <w:top w:w="20" w:type="dxa"/>
              <w:left w:w="20" w:type="dxa"/>
              <w:bottom w:w="0" w:type="dxa"/>
              <w:right w:w="20" w:type="dxa"/>
            </w:tcMar>
            <w:vAlign w:val="center"/>
          </w:tcPr>
          <w:p w14:paraId="731BC7F6">
            <w:pPr>
              <w:jc w:val="center"/>
              <w:rPr>
                <w:rFonts w:hint="eastAsia" w:ascii="宋体" w:hAnsi="宋体" w:eastAsia="宋体" w:cs="宋体"/>
                <w:color w:val="auto"/>
                <w:highlight w:val="none"/>
              </w:rPr>
            </w:pPr>
            <w:r>
              <w:rPr>
                <w:rFonts w:hint="eastAsia" w:ascii="宋体" w:hAnsi="宋体" w:eastAsia="宋体" w:cs="宋体"/>
                <w:color w:val="auto"/>
                <w:highlight w:val="none"/>
              </w:rPr>
              <w:t>费用描述</w:t>
            </w:r>
          </w:p>
        </w:tc>
        <w:tc>
          <w:tcPr>
            <w:tcW w:w="799" w:type="dxa"/>
            <w:noWrap/>
            <w:tcMar>
              <w:top w:w="20" w:type="dxa"/>
              <w:left w:w="20" w:type="dxa"/>
              <w:bottom w:w="0" w:type="dxa"/>
              <w:right w:w="20" w:type="dxa"/>
            </w:tcMar>
            <w:vAlign w:val="center"/>
          </w:tcPr>
          <w:p w14:paraId="0BD312EB">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931" w:type="dxa"/>
            <w:noWrap/>
            <w:tcMar>
              <w:top w:w="20" w:type="dxa"/>
              <w:left w:w="20" w:type="dxa"/>
              <w:bottom w:w="0" w:type="dxa"/>
              <w:right w:w="20" w:type="dxa"/>
            </w:tcMar>
            <w:vAlign w:val="center"/>
          </w:tcPr>
          <w:p w14:paraId="3B89803D">
            <w:pPr>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937" w:type="dxa"/>
            <w:vAlign w:val="center"/>
          </w:tcPr>
          <w:p w14:paraId="250966D9">
            <w:pPr>
              <w:jc w:val="center"/>
              <w:rPr>
                <w:rFonts w:hint="eastAsia" w:ascii="宋体" w:hAnsi="宋体" w:eastAsia="宋体" w:cs="宋体"/>
                <w:color w:val="auto"/>
                <w:highlight w:val="none"/>
              </w:rPr>
            </w:pPr>
            <w:r>
              <w:rPr>
                <w:rFonts w:hint="eastAsia" w:ascii="宋体" w:hAnsi="宋体" w:eastAsia="宋体" w:cs="宋体"/>
                <w:color w:val="auto"/>
                <w:highlight w:val="none"/>
              </w:rPr>
              <w:t>总价</w:t>
            </w:r>
          </w:p>
        </w:tc>
      </w:tr>
      <w:tr w14:paraId="0F780C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5350AAA8">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58AFE2F2">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6EA237AD">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603ED8EA">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66146697">
            <w:pPr>
              <w:jc w:val="center"/>
              <w:rPr>
                <w:rFonts w:hint="eastAsia" w:ascii="宋体" w:hAnsi="宋体" w:eastAsia="宋体" w:cs="宋体"/>
                <w:color w:val="auto"/>
                <w:highlight w:val="none"/>
              </w:rPr>
            </w:pPr>
          </w:p>
        </w:tc>
        <w:tc>
          <w:tcPr>
            <w:tcW w:w="937" w:type="dxa"/>
            <w:vAlign w:val="center"/>
          </w:tcPr>
          <w:p w14:paraId="37B0AA0A">
            <w:pPr>
              <w:jc w:val="center"/>
              <w:rPr>
                <w:rFonts w:hint="eastAsia" w:ascii="宋体" w:hAnsi="宋体" w:eastAsia="宋体" w:cs="宋体"/>
                <w:color w:val="auto"/>
                <w:highlight w:val="none"/>
              </w:rPr>
            </w:pPr>
          </w:p>
        </w:tc>
      </w:tr>
      <w:tr w14:paraId="54C460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0B8F5BFB">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15C86150">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4349E539">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04EB872A">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5AAD065C">
            <w:pPr>
              <w:jc w:val="center"/>
              <w:rPr>
                <w:rFonts w:hint="eastAsia" w:ascii="宋体" w:hAnsi="宋体" w:eastAsia="宋体" w:cs="宋体"/>
                <w:color w:val="auto"/>
                <w:highlight w:val="none"/>
              </w:rPr>
            </w:pPr>
          </w:p>
        </w:tc>
        <w:tc>
          <w:tcPr>
            <w:tcW w:w="937" w:type="dxa"/>
            <w:vAlign w:val="center"/>
          </w:tcPr>
          <w:p w14:paraId="3AD9E8CA">
            <w:pPr>
              <w:jc w:val="center"/>
              <w:rPr>
                <w:rFonts w:hint="eastAsia" w:ascii="宋体" w:hAnsi="宋体" w:eastAsia="宋体" w:cs="宋体"/>
                <w:color w:val="auto"/>
                <w:highlight w:val="none"/>
              </w:rPr>
            </w:pPr>
          </w:p>
        </w:tc>
      </w:tr>
      <w:tr w14:paraId="7C473C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0CB33327">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51BE0994">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02824544">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5AA7F4A7">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7861984A">
            <w:pPr>
              <w:jc w:val="center"/>
              <w:rPr>
                <w:rFonts w:hint="eastAsia" w:ascii="宋体" w:hAnsi="宋体" w:eastAsia="宋体" w:cs="宋体"/>
                <w:color w:val="auto"/>
                <w:highlight w:val="none"/>
              </w:rPr>
            </w:pPr>
          </w:p>
        </w:tc>
        <w:tc>
          <w:tcPr>
            <w:tcW w:w="937" w:type="dxa"/>
            <w:vAlign w:val="center"/>
          </w:tcPr>
          <w:p w14:paraId="531C35C2">
            <w:pPr>
              <w:jc w:val="center"/>
              <w:rPr>
                <w:rFonts w:hint="eastAsia" w:ascii="宋体" w:hAnsi="宋体" w:eastAsia="宋体" w:cs="宋体"/>
                <w:color w:val="auto"/>
                <w:highlight w:val="none"/>
              </w:rPr>
            </w:pPr>
          </w:p>
        </w:tc>
      </w:tr>
      <w:tr w14:paraId="5EA156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53E6F3F9">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5E2A7C62">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1EF2AF25">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5F35D55D">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2F473018">
            <w:pPr>
              <w:jc w:val="center"/>
              <w:rPr>
                <w:rFonts w:hint="eastAsia" w:ascii="宋体" w:hAnsi="宋体" w:eastAsia="宋体" w:cs="宋体"/>
                <w:color w:val="auto"/>
                <w:highlight w:val="none"/>
              </w:rPr>
            </w:pPr>
          </w:p>
        </w:tc>
        <w:tc>
          <w:tcPr>
            <w:tcW w:w="937" w:type="dxa"/>
            <w:vAlign w:val="center"/>
          </w:tcPr>
          <w:p w14:paraId="590CE45B">
            <w:pPr>
              <w:jc w:val="center"/>
              <w:rPr>
                <w:rFonts w:hint="eastAsia" w:ascii="宋体" w:hAnsi="宋体" w:eastAsia="宋体" w:cs="宋体"/>
                <w:color w:val="auto"/>
                <w:highlight w:val="none"/>
              </w:rPr>
            </w:pPr>
          </w:p>
        </w:tc>
      </w:tr>
      <w:tr w14:paraId="2BBA73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6E80EF86">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6371E542">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2374FF4D">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5A72FD25">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08665BEC">
            <w:pPr>
              <w:jc w:val="center"/>
              <w:rPr>
                <w:rFonts w:hint="eastAsia" w:ascii="宋体" w:hAnsi="宋体" w:eastAsia="宋体" w:cs="宋体"/>
                <w:color w:val="auto"/>
                <w:highlight w:val="none"/>
              </w:rPr>
            </w:pPr>
          </w:p>
        </w:tc>
        <w:tc>
          <w:tcPr>
            <w:tcW w:w="937" w:type="dxa"/>
            <w:vAlign w:val="center"/>
          </w:tcPr>
          <w:p w14:paraId="59E11A4A">
            <w:pPr>
              <w:jc w:val="center"/>
              <w:rPr>
                <w:rFonts w:hint="eastAsia" w:ascii="宋体" w:hAnsi="宋体" w:eastAsia="宋体" w:cs="宋体"/>
                <w:color w:val="auto"/>
                <w:highlight w:val="none"/>
              </w:rPr>
            </w:pPr>
          </w:p>
        </w:tc>
      </w:tr>
      <w:tr w14:paraId="1FE8AC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2AEE07E9">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08B24CA4">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3B32DEA2">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2993C964">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25A1C152">
            <w:pPr>
              <w:jc w:val="center"/>
              <w:rPr>
                <w:rFonts w:hint="eastAsia" w:ascii="宋体" w:hAnsi="宋体" w:eastAsia="宋体" w:cs="宋体"/>
                <w:color w:val="auto"/>
                <w:highlight w:val="none"/>
              </w:rPr>
            </w:pPr>
          </w:p>
        </w:tc>
        <w:tc>
          <w:tcPr>
            <w:tcW w:w="937" w:type="dxa"/>
            <w:vAlign w:val="center"/>
          </w:tcPr>
          <w:p w14:paraId="49821EE9">
            <w:pPr>
              <w:jc w:val="center"/>
              <w:rPr>
                <w:rFonts w:hint="eastAsia" w:ascii="宋体" w:hAnsi="宋体" w:eastAsia="宋体" w:cs="宋体"/>
                <w:color w:val="auto"/>
                <w:highlight w:val="none"/>
              </w:rPr>
            </w:pPr>
          </w:p>
        </w:tc>
      </w:tr>
      <w:tr w14:paraId="332A50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3C29057C">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0CC44B81">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61914517">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1D146A29">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33396277">
            <w:pPr>
              <w:jc w:val="center"/>
              <w:rPr>
                <w:rFonts w:hint="eastAsia" w:ascii="宋体" w:hAnsi="宋体" w:eastAsia="宋体" w:cs="宋体"/>
                <w:color w:val="auto"/>
                <w:highlight w:val="none"/>
              </w:rPr>
            </w:pPr>
          </w:p>
        </w:tc>
        <w:tc>
          <w:tcPr>
            <w:tcW w:w="937" w:type="dxa"/>
            <w:vAlign w:val="center"/>
          </w:tcPr>
          <w:p w14:paraId="3B833238">
            <w:pPr>
              <w:jc w:val="center"/>
              <w:rPr>
                <w:rFonts w:hint="eastAsia" w:ascii="宋体" w:hAnsi="宋体" w:eastAsia="宋体" w:cs="宋体"/>
                <w:color w:val="auto"/>
                <w:highlight w:val="none"/>
              </w:rPr>
            </w:pPr>
          </w:p>
        </w:tc>
      </w:tr>
      <w:tr w14:paraId="1304CB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79650D5A">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34BE2B1C">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7E889CEC">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59F8FC13">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3FEB45EF">
            <w:pPr>
              <w:jc w:val="center"/>
              <w:rPr>
                <w:rFonts w:hint="eastAsia" w:ascii="宋体" w:hAnsi="宋体" w:eastAsia="宋体" w:cs="宋体"/>
                <w:color w:val="auto"/>
                <w:highlight w:val="none"/>
              </w:rPr>
            </w:pPr>
          </w:p>
        </w:tc>
        <w:tc>
          <w:tcPr>
            <w:tcW w:w="937" w:type="dxa"/>
            <w:vAlign w:val="center"/>
          </w:tcPr>
          <w:p w14:paraId="3FE6C448">
            <w:pPr>
              <w:jc w:val="center"/>
              <w:rPr>
                <w:rFonts w:hint="eastAsia" w:ascii="宋体" w:hAnsi="宋体" w:eastAsia="宋体" w:cs="宋体"/>
                <w:color w:val="auto"/>
                <w:highlight w:val="none"/>
              </w:rPr>
            </w:pPr>
          </w:p>
        </w:tc>
      </w:tr>
      <w:tr w14:paraId="18EC15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3A01F8C7">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78B1BD3C">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55B5A9EC">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354497C7">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237F8D5A">
            <w:pPr>
              <w:jc w:val="center"/>
              <w:rPr>
                <w:rFonts w:hint="eastAsia" w:ascii="宋体" w:hAnsi="宋体" w:eastAsia="宋体" w:cs="宋体"/>
                <w:color w:val="auto"/>
                <w:highlight w:val="none"/>
              </w:rPr>
            </w:pPr>
          </w:p>
        </w:tc>
        <w:tc>
          <w:tcPr>
            <w:tcW w:w="937" w:type="dxa"/>
            <w:vAlign w:val="center"/>
          </w:tcPr>
          <w:p w14:paraId="6F5E8A49">
            <w:pPr>
              <w:jc w:val="center"/>
              <w:rPr>
                <w:rFonts w:hint="eastAsia" w:ascii="宋体" w:hAnsi="宋体" w:eastAsia="宋体" w:cs="宋体"/>
                <w:color w:val="auto"/>
                <w:highlight w:val="none"/>
              </w:rPr>
            </w:pPr>
          </w:p>
        </w:tc>
      </w:tr>
      <w:tr w14:paraId="15DBAB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34017018">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36362315">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55ECB8B7">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75772762">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772ED1CF">
            <w:pPr>
              <w:jc w:val="center"/>
              <w:rPr>
                <w:rFonts w:hint="eastAsia" w:ascii="宋体" w:hAnsi="宋体" w:eastAsia="宋体" w:cs="宋体"/>
                <w:color w:val="auto"/>
                <w:highlight w:val="none"/>
              </w:rPr>
            </w:pPr>
          </w:p>
        </w:tc>
        <w:tc>
          <w:tcPr>
            <w:tcW w:w="937" w:type="dxa"/>
            <w:vAlign w:val="center"/>
          </w:tcPr>
          <w:p w14:paraId="5A33F21A">
            <w:pPr>
              <w:jc w:val="center"/>
              <w:rPr>
                <w:rFonts w:hint="eastAsia" w:ascii="宋体" w:hAnsi="宋体" w:eastAsia="宋体" w:cs="宋体"/>
                <w:color w:val="auto"/>
                <w:highlight w:val="none"/>
              </w:rPr>
            </w:pPr>
          </w:p>
        </w:tc>
      </w:tr>
      <w:tr w14:paraId="25A834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2756230E">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2E8B98B1">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3C6D9884">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5380CE1A">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0F6FA699">
            <w:pPr>
              <w:jc w:val="center"/>
              <w:rPr>
                <w:rFonts w:hint="eastAsia" w:ascii="宋体" w:hAnsi="宋体" w:eastAsia="宋体" w:cs="宋体"/>
                <w:color w:val="auto"/>
                <w:highlight w:val="none"/>
              </w:rPr>
            </w:pPr>
          </w:p>
        </w:tc>
        <w:tc>
          <w:tcPr>
            <w:tcW w:w="937" w:type="dxa"/>
            <w:vAlign w:val="center"/>
          </w:tcPr>
          <w:p w14:paraId="4956E551">
            <w:pPr>
              <w:jc w:val="center"/>
              <w:rPr>
                <w:rFonts w:hint="eastAsia" w:ascii="宋体" w:hAnsi="宋体" w:eastAsia="宋体" w:cs="宋体"/>
                <w:color w:val="auto"/>
                <w:highlight w:val="none"/>
              </w:rPr>
            </w:pPr>
          </w:p>
        </w:tc>
      </w:tr>
      <w:tr w14:paraId="757613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41038CDD">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403FE489">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6E2F24F9">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21AA500E">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1DCDFCA2">
            <w:pPr>
              <w:jc w:val="center"/>
              <w:rPr>
                <w:rFonts w:hint="eastAsia" w:ascii="宋体" w:hAnsi="宋体" w:eastAsia="宋体" w:cs="宋体"/>
                <w:color w:val="auto"/>
                <w:highlight w:val="none"/>
              </w:rPr>
            </w:pPr>
          </w:p>
        </w:tc>
        <w:tc>
          <w:tcPr>
            <w:tcW w:w="937" w:type="dxa"/>
            <w:vAlign w:val="center"/>
          </w:tcPr>
          <w:p w14:paraId="02619AA3">
            <w:pPr>
              <w:jc w:val="center"/>
              <w:rPr>
                <w:rFonts w:hint="eastAsia" w:ascii="宋体" w:hAnsi="宋体" w:eastAsia="宋体" w:cs="宋体"/>
                <w:color w:val="auto"/>
                <w:highlight w:val="none"/>
              </w:rPr>
            </w:pPr>
          </w:p>
        </w:tc>
      </w:tr>
      <w:tr w14:paraId="7B4AE1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4DC92133">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380B7945">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2B381A71">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225B3ABE">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20E94EC3">
            <w:pPr>
              <w:jc w:val="center"/>
              <w:rPr>
                <w:rFonts w:hint="eastAsia" w:ascii="宋体" w:hAnsi="宋体" w:eastAsia="宋体" w:cs="宋体"/>
                <w:color w:val="auto"/>
                <w:highlight w:val="none"/>
              </w:rPr>
            </w:pPr>
          </w:p>
        </w:tc>
        <w:tc>
          <w:tcPr>
            <w:tcW w:w="937" w:type="dxa"/>
            <w:vAlign w:val="center"/>
          </w:tcPr>
          <w:p w14:paraId="317F4A1C">
            <w:pPr>
              <w:jc w:val="center"/>
              <w:rPr>
                <w:rFonts w:hint="eastAsia" w:ascii="宋体" w:hAnsi="宋体" w:eastAsia="宋体" w:cs="宋体"/>
                <w:color w:val="auto"/>
                <w:highlight w:val="none"/>
              </w:rPr>
            </w:pPr>
          </w:p>
        </w:tc>
      </w:tr>
      <w:tr w14:paraId="51A17F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02BF701B">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053C6459">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78E26812">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20BF8526">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6E63CEDB">
            <w:pPr>
              <w:jc w:val="center"/>
              <w:rPr>
                <w:rFonts w:hint="eastAsia" w:ascii="宋体" w:hAnsi="宋体" w:eastAsia="宋体" w:cs="宋体"/>
                <w:color w:val="auto"/>
                <w:highlight w:val="none"/>
              </w:rPr>
            </w:pPr>
          </w:p>
        </w:tc>
        <w:tc>
          <w:tcPr>
            <w:tcW w:w="937" w:type="dxa"/>
            <w:vAlign w:val="center"/>
          </w:tcPr>
          <w:p w14:paraId="06038F6A">
            <w:pPr>
              <w:jc w:val="center"/>
              <w:rPr>
                <w:rFonts w:hint="eastAsia" w:ascii="宋体" w:hAnsi="宋体" w:eastAsia="宋体" w:cs="宋体"/>
                <w:color w:val="auto"/>
                <w:highlight w:val="none"/>
              </w:rPr>
            </w:pPr>
          </w:p>
        </w:tc>
      </w:tr>
      <w:tr w14:paraId="4016EF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6" w:hRule="atLeast"/>
          <w:jc w:val="center"/>
        </w:trPr>
        <w:tc>
          <w:tcPr>
            <w:tcW w:w="8223" w:type="dxa"/>
            <w:gridSpan w:val="5"/>
            <w:noWrap/>
            <w:tcMar>
              <w:top w:w="20" w:type="dxa"/>
              <w:left w:w="20" w:type="dxa"/>
              <w:bottom w:w="0" w:type="dxa"/>
              <w:right w:w="20" w:type="dxa"/>
            </w:tcMar>
            <w:vAlign w:val="center"/>
          </w:tcPr>
          <w:p w14:paraId="3BAC8D41">
            <w:pPr>
              <w:jc w:val="center"/>
              <w:rPr>
                <w:rFonts w:hint="eastAsia" w:ascii="宋体" w:hAnsi="宋体" w:eastAsia="宋体" w:cs="宋体"/>
                <w:color w:val="auto"/>
                <w:highlight w:val="none"/>
              </w:rPr>
            </w:pPr>
            <w:r>
              <w:rPr>
                <w:rFonts w:hint="eastAsia" w:ascii="宋体" w:hAnsi="宋体" w:eastAsia="宋体" w:cs="宋体"/>
                <w:color w:val="auto"/>
                <w:highlight w:val="none"/>
              </w:rPr>
              <w:t>总计</w:t>
            </w:r>
          </w:p>
        </w:tc>
        <w:tc>
          <w:tcPr>
            <w:tcW w:w="937" w:type="dxa"/>
            <w:vAlign w:val="center"/>
          </w:tcPr>
          <w:p w14:paraId="65B3DC4A">
            <w:pPr>
              <w:jc w:val="center"/>
              <w:rPr>
                <w:rFonts w:hint="eastAsia" w:ascii="宋体" w:hAnsi="宋体" w:eastAsia="宋体" w:cs="宋体"/>
                <w:color w:val="auto"/>
                <w:highlight w:val="none"/>
              </w:rPr>
            </w:pPr>
          </w:p>
        </w:tc>
      </w:tr>
    </w:tbl>
    <w:p w14:paraId="6F126939">
      <w:pPr>
        <w:bidi w:val="0"/>
        <w:rPr>
          <w:rFonts w:hint="eastAsia"/>
        </w:rPr>
      </w:pPr>
    </w:p>
    <w:p w14:paraId="2135F2F7">
      <w:pPr>
        <w:bidi w:val="0"/>
        <w:rPr>
          <w:rFonts w:hint="eastAsia"/>
        </w:rPr>
      </w:pPr>
      <w:r>
        <w:rPr>
          <w:rFonts w:hint="eastAsia"/>
        </w:rPr>
        <w:t>说明：1.此表由投标人按项目情况自行列支，仅作参考。</w:t>
      </w:r>
    </w:p>
    <w:p w14:paraId="72F08D9F">
      <w:pPr>
        <w:bidi w:val="0"/>
        <w:ind w:firstLine="630" w:firstLineChars="300"/>
      </w:pPr>
      <w:r>
        <w:rPr>
          <w:rFonts w:hint="eastAsia"/>
        </w:rPr>
        <w:t>2.表格空间不足时，可自行扩展。</w:t>
      </w:r>
    </w:p>
    <w:p w14:paraId="4A6AE496">
      <w:pPr>
        <w:adjustRightInd w:val="0"/>
        <w:snapToGrid w:val="0"/>
        <w:spacing w:line="480" w:lineRule="auto"/>
        <w:jc w:val="left"/>
        <w:rPr>
          <w:rFonts w:hint="eastAsia" w:asciiTheme="minorEastAsia" w:hAnsiTheme="minorEastAsia" w:cstheme="minorEastAsia"/>
          <w:sz w:val="28"/>
          <w:szCs w:val="28"/>
        </w:rPr>
      </w:pPr>
    </w:p>
    <w:p w14:paraId="17E7A0E2">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14:paraId="5626D721">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14:paraId="7F567015">
      <w:pPr>
        <w:adjustRightInd w:val="0"/>
        <w:snapToGrid w:val="0"/>
        <w:spacing w:line="480" w:lineRule="auto"/>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bookmarkStart w:id="112" w:name="_Toc15967"/>
    </w:p>
    <w:bookmarkEnd w:id="112"/>
    <w:p w14:paraId="336B4E39">
      <w:pPr>
        <w:rPr>
          <w:rFonts w:hint="eastAsia"/>
          <w:color w:val="000000" w:themeColor="text1"/>
          <w14:textFill>
            <w14:solidFill>
              <w14:schemeClr w14:val="tx1"/>
            </w14:solidFill>
          </w14:textFill>
        </w:rPr>
      </w:pPr>
      <w:bookmarkStart w:id="113" w:name="_Toc25889"/>
      <w:bookmarkStart w:id="114" w:name="_Toc30178"/>
      <w:bookmarkStart w:id="115" w:name="_Toc3301"/>
      <w:bookmarkStart w:id="116" w:name="_Toc28294"/>
      <w:bookmarkStart w:id="117" w:name="_Toc8188"/>
      <w:bookmarkStart w:id="118" w:name="_Toc1408"/>
      <w:bookmarkStart w:id="119" w:name="_Toc18357"/>
    </w:p>
    <w:p w14:paraId="60D1CC9D">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bookmarkEnd w:id="113"/>
    <w:bookmarkEnd w:id="114"/>
    <w:bookmarkEnd w:id="115"/>
    <w:p w14:paraId="4D6E5196">
      <w:pPr>
        <w:pStyle w:val="4"/>
        <w:rPr>
          <w:color w:val="000000" w:themeColor="text1"/>
          <w14:textFill>
            <w14:solidFill>
              <w14:schemeClr w14:val="tx1"/>
            </w14:solidFill>
          </w14:textFill>
        </w:rPr>
      </w:pPr>
      <w:bookmarkStart w:id="120" w:name="_Toc28532"/>
      <w:r>
        <w:rPr>
          <w:rFonts w:hint="eastAsia"/>
          <w:color w:val="000000" w:themeColor="text1"/>
          <w14:textFill>
            <w14:solidFill>
              <w14:schemeClr w14:val="tx1"/>
            </w14:solidFill>
          </w14:textFill>
        </w:rPr>
        <w:t>第四章  资质证明资料</w:t>
      </w:r>
      <w:bookmarkEnd w:id="120"/>
    </w:p>
    <w:p w14:paraId="1E124219">
      <w:pPr>
        <w:pStyle w:val="5"/>
        <w:rPr>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需在此页附招标公告或招标文件中要求的资质证明文件，投标文件附资质复印件或扫描件加盖投标人公章。格式参考见下页。</w:t>
      </w:r>
    </w:p>
    <w:p w14:paraId="7FB10433">
      <w:pPr>
        <w:rPr>
          <w:color w:val="000000" w:themeColor="text1"/>
          <w14:textFill>
            <w14:solidFill>
              <w14:schemeClr w14:val="tx1"/>
            </w14:solidFill>
          </w14:textFill>
        </w:rPr>
      </w:pPr>
    </w:p>
    <w:p w14:paraId="50ECEC72">
      <w:pPr>
        <w:pStyle w:val="5"/>
        <w:rPr>
          <w:color w:val="000000" w:themeColor="text1"/>
          <w:sz w:val="24"/>
          <w:szCs w:val="24"/>
          <w14:textFill>
            <w14:solidFill>
              <w14:schemeClr w14:val="tx1"/>
            </w14:solidFill>
          </w14:textFill>
        </w:rPr>
      </w:pPr>
    </w:p>
    <w:p w14:paraId="672AA885">
      <w:pPr>
        <w:pStyle w:val="5"/>
        <w:ind w:firstLine="0"/>
        <w:rPr>
          <w:b/>
          <w:bCs/>
          <w:color w:val="000000" w:themeColor="text1"/>
          <w:sz w:val="28"/>
          <w:szCs w:val="28"/>
          <w14:textFill>
            <w14:solidFill>
              <w14:schemeClr w14:val="tx1"/>
            </w14:solidFill>
          </w14:textFill>
        </w:rPr>
        <w:sectPr>
          <w:headerReference r:id="rId11" w:type="default"/>
          <w:footerReference r:id="rId12" w:type="default"/>
          <w:pgSz w:w="11906" w:h="16838"/>
          <w:pgMar w:top="1440" w:right="1803" w:bottom="1440" w:left="1803" w:header="851" w:footer="992" w:gutter="0"/>
          <w:cols w:space="720" w:num="1"/>
          <w:docGrid w:type="lines" w:linePitch="319" w:charSpace="0"/>
        </w:sectPr>
      </w:pPr>
      <w:r>
        <w:rPr>
          <w:rFonts w:hint="eastAsia"/>
          <w:b/>
          <w:bCs/>
          <w:color w:val="000000" w:themeColor="text1"/>
          <w:sz w:val="28"/>
          <w:szCs w:val="28"/>
          <w14:textFill>
            <w14:solidFill>
              <w14:schemeClr w14:val="tx1"/>
            </w14:solidFill>
          </w14:textFill>
        </w:rPr>
        <w:t xml:space="preserve"> </w:t>
      </w:r>
    </w:p>
    <w:p w14:paraId="2BB75E77">
      <w:pPr>
        <w:pStyle w:val="5"/>
        <w:ind w:firstLine="0"/>
        <w:rPr>
          <w:b/>
          <w:bCs/>
          <w:color w:val="000000" w:themeColor="text1"/>
          <w:sz w:val="32"/>
          <w:szCs w:val="28"/>
          <w14:textFill>
            <w14:solidFill>
              <w14:schemeClr w14:val="tx1"/>
            </w14:solidFill>
          </w14:textFill>
        </w:rPr>
      </w:pPr>
      <w:r>
        <w:rPr>
          <w:rFonts w:hint="eastAsia"/>
          <w:b/>
          <w:bCs/>
          <w:color w:val="000000" w:themeColor="text1"/>
          <w:sz w:val="32"/>
          <w:szCs w:val="28"/>
          <w14:textFill>
            <w14:solidFill>
              <w14:schemeClr w14:val="tx1"/>
            </w14:solidFill>
          </w14:textFill>
        </w:rPr>
        <w:t>附：资质证明文件格式：</w:t>
      </w:r>
    </w:p>
    <w:p w14:paraId="75F0A27B">
      <w:pPr>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1、投标人符合《政府采购法》第二十二条规定条件的承诺函</w:t>
      </w:r>
    </w:p>
    <w:p w14:paraId="374CD03C">
      <w:pPr>
        <w:pStyle w:val="7"/>
        <w:spacing w:line="360" w:lineRule="auto"/>
        <w:ind w:left="0" w:leftChars="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致陕西万泽招标有限公司：</w:t>
      </w:r>
    </w:p>
    <w:p w14:paraId="4DAAE791">
      <w:pPr>
        <w:pStyle w:val="7"/>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w:t>
      </w:r>
      <w:r>
        <w:rPr>
          <w:rFonts w:hint="eastAsia" w:ascii="宋体" w:hAnsi="宋体" w:cs="宋体"/>
          <w:color w:val="000000" w:themeColor="text1"/>
          <w:sz w:val="24"/>
          <w:szCs w:val="24"/>
          <w:u w:val="single"/>
          <w14:textFill>
            <w14:solidFill>
              <w14:schemeClr w14:val="tx1"/>
            </w14:solidFill>
          </w14:textFill>
        </w:rPr>
        <w:t>（公司名称）</w:t>
      </w:r>
      <w:r>
        <w:rPr>
          <w:rFonts w:hint="eastAsia" w:ascii="宋体" w:hAnsi="宋体" w:cs="宋体"/>
          <w:color w:val="000000" w:themeColor="text1"/>
          <w:sz w:val="24"/>
          <w:szCs w:val="24"/>
          <w14:textFill>
            <w14:solidFill>
              <w14:schemeClr w14:val="tx1"/>
            </w14:solidFill>
          </w14:textFill>
        </w:rPr>
        <w:t>参加的投标活动，现承诺：</w:t>
      </w:r>
    </w:p>
    <w:p w14:paraId="0AC0AEAA">
      <w:pPr>
        <w:pStyle w:val="7"/>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我公司满足政府采购法第二十二条关于投标人的资格要求：</w:t>
      </w:r>
    </w:p>
    <w:p w14:paraId="1F363319">
      <w:pPr>
        <w:pStyle w:val="7"/>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（一）具有独立承担民事责任的能力；</w:t>
      </w:r>
    </w:p>
    <w:p w14:paraId="3E33825C">
      <w:pPr>
        <w:pStyle w:val="7"/>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（二）具有良好的商业信誉和健全的财务会计制度；</w:t>
      </w:r>
    </w:p>
    <w:p w14:paraId="41481902">
      <w:pPr>
        <w:pStyle w:val="7"/>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（三）具有履行合同所必需的设备和专业技术能力；</w:t>
      </w:r>
    </w:p>
    <w:p w14:paraId="03620F9A">
      <w:pPr>
        <w:pStyle w:val="7"/>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（四）有依法缴纳税收的良好记录；</w:t>
      </w:r>
    </w:p>
    <w:p w14:paraId="2E188F45">
      <w:pPr>
        <w:pStyle w:val="7"/>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（五）参加政府采购活动前三年内，在经营活动中没有重大违法记录；</w:t>
      </w:r>
    </w:p>
    <w:p w14:paraId="305B2A46">
      <w:pPr>
        <w:pStyle w:val="7"/>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（六）法律、行政法规规定的其他条件。</w:t>
      </w:r>
    </w:p>
    <w:p w14:paraId="0C7234AB">
      <w:pPr>
        <w:pStyle w:val="7"/>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同时也满足本项目法律法规规章规定关于投标人的其他资格性条件，未参与本采购项目前期咨询论证，不属于禁止参加投标的投标人。</w:t>
      </w:r>
    </w:p>
    <w:p w14:paraId="7211D212">
      <w:pPr>
        <w:pStyle w:val="7"/>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14:paraId="26D94813">
      <w:pPr>
        <w:pStyle w:val="7"/>
        <w:spacing w:line="360" w:lineRule="auto"/>
        <w:ind w:left="0" w:leftChars="0"/>
        <w:rPr>
          <w:rFonts w:ascii="宋体"/>
          <w:color w:val="000000" w:themeColor="text1"/>
          <w:sz w:val="24"/>
          <w:szCs w:val="24"/>
          <w14:textFill>
            <w14:solidFill>
              <w14:schemeClr w14:val="tx1"/>
            </w14:solidFill>
          </w14:textFill>
        </w:rPr>
      </w:pPr>
    </w:p>
    <w:p w14:paraId="238AA5BC">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w:t>
      </w:r>
      <w:r>
        <w:rPr>
          <w:rFonts w:hint="eastAsia" w:ascii="宋体" w:hAnsi="宋体" w:cs="宋体"/>
          <w:color w:val="000000" w:themeColor="text1"/>
          <w:sz w:val="24"/>
          <w:szCs w:val="24"/>
          <w:u w:val="single"/>
          <w14:textFill>
            <w14:solidFill>
              <w14:schemeClr w14:val="tx1"/>
            </w14:solidFill>
          </w14:textFill>
        </w:rPr>
        <w:t>（名称及盖章）</w:t>
      </w:r>
    </w:p>
    <w:p w14:paraId="00C95050">
      <w:pPr>
        <w:spacing w:line="360" w:lineRule="auto"/>
        <w:rPr>
          <w:rFonts w:ascii="宋体"/>
          <w:color w:val="000000" w:themeColor="text1"/>
          <w:sz w:val="24"/>
          <w:szCs w:val="24"/>
          <w14:textFill>
            <w14:solidFill>
              <w14:schemeClr w14:val="tx1"/>
            </w14:solidFill>
          </w14:textFill>
        </w:rPr>
      </w:pPr>
    </w:p>
    <w:p w14:paraId="67687AD9">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法定代表人或委托代理人（签字或盖章）：</w:t>
      </w:r>
    </w:p>
    <w:p w14:paraId="598F131E">
      <w:pPr>
        <w:spacing w:line="360" w:lineRule="auto"/>
        <w:rPr>
          <w:rFonts w:ascii="宋体"/>
          <w:color w:val="000000" w:themeColor="text1"/>
          <w:sz w:val="24"/>
          <w:szCs w:val="24"/>
          <w14:textFill>
            <w14:solidFill>
              <w14:schemeClr w14:val="tx1"/>
            </w14:solidFill>
          </w14:textFill>
        </w:rPr>
      </w:pPr>
    </w:p>
    <w:p w14:paraId="636D8E0B">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14:paraId="4D95F1C5">
      <w:pPr>
        <w:pStyle w:val="5"/>
        <w:ind w:firstLine="0"/>
        <w:rPr>
          <w:color w:val="000000" w:themeColor="text1"/>
          <w14:textFill>
            <w14:solidFill>
              <w14:schemeClr w14:val="tx1"/>
            </w14:solidFill>
          </w14:textFill>
        </w:rPr>
      </w:pPr>
    </w:p>
    <w:p w14:paraId="12735BA7">
      <w:pPr>
        <w:rPr>
          <w:color w:val="000000" w:themeColor="text1"/>
          <w14:textFill>
            <w14:solidFill>
              <w14:schemeClr w14:val="tx1"/>
            </w14:solidFill>
          </w14:textFill>
        </w:rPr>
      </w:pPr>
    </w:p>
    <w:p w14:paraId="65F7BA2C">
      <w:pPr>
        <w:rPr>
          <w:color w:val="000000" w:themeColor="text1"/>
          <w14:textFill>
            <w14:solidFill>
              <w14:schemeClr w14:val="tx1"/>
            </w14:solidFill>
          </w14:textFill>
        </w:rPr>
      </w:pPr>
    </w:p>
    <w:p w14:paraId="3DA15B9F">
      <w:pPr>
        <w:rPr>
          <w:color w:val="000000" w:themeColor="text1"/>
          <w14:textFill>
            <w14:solidFill>
              <w14:schemeClr w14:val="tx1"/>
            </w14:solidFill>
          </w14:textFill>
        </w:rPr>
      </w:pPr>
    </w:p>
    <w:p w14:paraId="0B6D2D81">
      <w:pPr>
        <w:rPr>
          <w:color w:val="000000" w:themeColor="text1"/>
          <w14:textFill>
            <w14:solidFill>
              <w14:schemeClr w14:val="tx1"/>
            </w14:solidFill>
          </w14:textFill>
        </w:rPr>
      </w:pPr>
    </w:p>
    <w:p w14:paraId="18343126">
      <w:pPr>
        <w:rPr>
          <w:color w:val="000000" w:themeColor="text1"/>
          <w14:textFill>
            <w14:solidFill>
              <w14:schemeClr w14:val="tx1"/>
            </w14:solidFill>
          </w14:textFill>
        </w:rPr>
      </w:pPr>
    </w:p>
    <w:p w14:paraId="52A0D921">
      <w:pPr>
        <w:rPr>
          <w:color w:val="000000" w:themeColor="text1"/>
          <w14:textFill>
            <w14:solidFill>
              <w14:schemeClr w14:val="tx1"/>
            </w14:solidFill>
          </w14:textFill>
        </w:rPr>
      </w:pPr>
    </w:p>
    <w:p w14:paraId="4B17696B">
      <w:pPr>
        <w:rPr>
          <w:color w:val="000000" w:themeColor="text1"/>
          <w14:textFill>
            <w14:solidFill>
              <w14:schemeClr w14:val="tx1"/>
            </w14:solidFill>
          </w14:textFill>
        </w:rPr>
      </w:pPr>
    </w:p>
    <w:p w14:paraId="11819050">
      <w:pPr>
        <w:rPr>
          <w:color w:val="000000" w:themeColor="text1"/>
          <w14:textFill>
            <w14:solidFill>
              <w14:schemeClr w14:val="tx1"/>
            </w14:solidFill>
          </w14:textFill>
        </w:rPr>
      </w:pPr>
    </w:p>
    <w:p w14:paraId="1C052647">
      <w:pPr>
        <w:rPr>
          <w:color w:val="000000" w:themeColor="text1"/>
          <w14:textFill>
            <w14:solidFill>
              <w14:schemeClr w14:val="tx1"/>
            </w14:solidFill>
          </w14:textFill>
        </w:rPr>
      </w:pPr>
    </w:p>
    <w:p w14:paraId="2DC4B21A">
      <w:pPr>
        <w:rPr>
          <w:color w:val="000000" w:themeColor="text1"/>
          <w14:textFill>
            <w14:solidFill>
              <w14:schemeClr w14:val="tx1"/>
            </w14:solidFill>
          </w14:textFill>
        </w:rPr>
      </w:pPr>
    </w:p>
    <w:p w14:paraId="2F655AA7">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14:paraId="22CD41DE">
      <w:pPr>
        <w:ind w:firstLine="2240" w:firstLineChars="700"/>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2、投标人基本情况一览表</w:t>
      </w:r>
    </w:p>
    <w:p w14:paraId="2F2521B8">
      <w:pPr>
        <w:rPr>
          <w:color w:val="000000" w:themeColor="text1"/>
          <w:sz w:val="28"/>
          <w:szCs w:val="32"/>
          <w14:textFill>
            <w14:solidFill>
              <w14:schemeClr w14:val="tx1"/>
            </w14:solidFill>
          </w14:textFill>
        </w:rPr>
      </w:pPr>
      <w:r>
        <w:rPr>
          <w:rFonts w:hint="eastAsia"/>
          <w:color w:val="000000" w:themeColor="text1"/>
          <w:sz w:val="24"/>
          <w:szCs w:val="28"/>
          <w14:textFill>
            <w14:solidFill>
              <w14:schemeClr w14:val="tx1"/>
            </w14:solidFill>
          </w14:textFill>
        </w:rPr>
        <w:t>2-1投标人基本情况一览表</w:t>
      </w:r>
    </w:p>
    <w:tbl>
      <w:tblPr>
        <w:tblStyle w:val="28"/>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14:paraId="358BCC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14:paraId="59D960BF">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p>
        </w:tc>
        <w:tc>
          <w:tcPr>
            <w:tcW w:w="7105" w:type="dxa"/>
            <w:gridSpan w:val="7"/>
            <w:vAlign w:val="center"/>
          </w:tcPr>
          <w:p w14:paraId="5440B7B3">
            <w:pPr>
              <w:rPr>
                <w:color w:val="000000" w:themeColor="text1"/>
                <w14:textFill>
                  <w14:solidFill>
                    <w14:schemeClr w14:val="tx1"/>
                  </w14:solidFill>
                </w14:textFill>
              </w:rPr>
            </w:pPr>
          </w:p>
        </w:tc>
      </w:tr>
      <w:tr w14:paraId="7EB3638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14:paraId="05E262D6">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w:t>
            </w:r>
          </w:p>
        </w:tc>
        <w:tc>
          <w:tcPr>
            <w:tcW w:w="3655" w:type="dxa"/>
            <w:gridSpan w:val="3"/>
            <w:vAlign w:val="center"/>
          </w:tcPr>
          <w:p w14:paraId="2CCF14DD">
            <w:pPr>
              <w:rPr>
                <w:color w:val="000000" w:themeColor="text1"/>
                <w14:textFill>
                  <w14:solidFill>
                    <w14:schemeClr w14:val="tx1"/>
                  </w14:solidFill>
                </w14:textFill>
              </w:rPr>
            </w:pPr>
          </w:p>
        </w:tc>
        <w:tc>
          <w:tcPr>
            <w:tcW w:w="1401" w:type="dxa"/>
            <w:vAlign w:val="center"/>
          </w:tcPr>
          <w:p w14:paraId="708DA878">
            <w:pPr>
              <w:rPr>
                <w:color w:val="000000" w:themeColor="text1"/>
                <w14:textFill>
                  <w14:solidFill>
                    <w14:schemeClr w14:val="tx1"/>
                  </w14:solidFill>
                </w14:textFill>
              </w:rPr>
            </w:pPr>
            <w:r>
              <w:rPr>
                <w:rFonts w:hint="eastAsia"/>
                <w:color w:val="000000" w:themeColor="text1"/>
                <w14:textFill>
                  <w14:solidFill>
                    <w14:schemeClr w14:val="tx1"/>
                  </w14:solidFill>
                </w14:textFill>
              </w:rPr>
              <w:t>邮政编码</w:t>
            </w:r>
          </w:p>
        </w:tc>
        <w:tc>
          <w:tcPr>
            <w:tcW w:w="2049" w:type="dxa"/>
            <w:gridSpan w:val="3"/>
            <w:vAlign w:val="center"/>
          </w:tcPr>
          <w:p w14:paraId="55FFBCD9">
            <w:pPr>
              <w:rPr>
                <w:color w:val="000000" w:themeColor="text1"/>
                <w14:textFill>
                  <w14:solidFill>
                    <w14:schemeClr w14:val="tx1"/>
                  </w14:solidFill>
                </w14:textFill>
              </w:rPr>
            </w:pPr>
          </w:p>
        </w:tc>
      </w:tr>
      <w:tr w14:paraId="1AF4BA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14:paraId="62B7C04E">
            <w:pPr>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w:t>
            </w:r>
          </w:p>
        </w:tc>
        <w:tc>
          <w:tcPr>
            <w:tcW w:w="1016" w:type="dxa"/>
            <w:vAlign w:val="center"/>
          </w:tcPr>
          <w:p w14:paraId="4F68A9DF">
            <w:pPr>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p>
        </w:tc>
        <w:tc>
          <w:tcPr>
            <w:tcW w:w="2639" w:type="dxa"/>
            <w:gridSpan w:val="2"/>
            <w:vAlign w:val="center"/>
          </w:tcPr>
          <w:p w14:paraId="0052906A">
            <w:pPr>
              <w:rPr>
                <w:color w:val="000000" w:themeColor="text1"/>
                <w14:textFill>
                  <w14:solidFill>
                    <w14:schemeClr w14:val="tx1"/>
                  </w14:solidFill>
                </w14:textFill>
              </w:rPr>
            </w:pPr>
          </w:p>
        </w:tc>
        <w:tc>
          <w:tcPr>
            <w:tcW w:w="1401" w:type="dxa"/>
            <w:vAlign w:val="center"/>
          </w:tcPr>
          <w:p w14:paraId="6C027153">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2049" w:type="dxa"/>
            <w:gridSpan w:val="3"/>
            <w:vAlign w:val="center"/>
          </w:tcPr>
          <w:p w14:paraId="70B96105">
            <w:pPr>
              <w:rPr>
                <w:color w:val="000000" w:themeColor="text1"/>
                <w14:textFill>
                  <w14:solidFill>
                    <w14:schemeClr w14:val="tx1"/>
                  </w14:solidFill>
                </w14:textFill>
              </w:rPr>
            </w:pPr>
          </w:p>
        </w:tc>
      </w:tr>
      <w:tr w14:paraId="3D6238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14:paraId="2CA285A9">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组织结构</w:t>
            </w:r>
          </w:p>
        </w:tc>
        <w:tc>
          <w:tcPr>
            <w:tcW w:w="7105" w:type="dxa"/>
            <w:gridSpan w:val="7"/>
            <w:vAlign w:val="center"/>
          </w:tcPr>
          <w:p w14:paraId="7B8B0BC6">
            <w:pPr>
              <w:rPr>
                <w:color w:val="000000" w:themeColor="text1"/>
                <w14:textFill>
                  <w14:solidFill>
                    <w14:schemeClr w14:val="tx1"/>
                  </w14:solidFill>
                </w14:textFill>
              </w:rPr>
            </w:pPr>
          </w:p>
        </w:tc>
      </w:tr>
      <w:tr w14:paraId="4AB152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14:paraId="3B2F66E4">
            <w:pPr>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p>
        </w:tc>
        <w:tc>
          <w:tcPr>
            <w:tcW w:w="1016" w:type="dxa"/>
            <w:vAlign w:val="center"/>
          </w:tcPr>
          <w:p w14:paraId="303B44EC">
            <w:pP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315" w:type="dxa"/>
            <w:vAlign w:val="center"/>
          </w:tcPr>
          <w:p w14:paraId="4DAA7ED7">
            <w:pPr>
              <w:rPr>
                <w:color w:val="000000" w:themeColor="text1"/>
                <w14:textFill>
                  <w14:solidFill>
                    <w14:schemeClr w14:val="tx1"/>
                  </w14:solidFill>
                </w14:textFill>
              </w:rPr>
            </w:pPr>
          </w:p>
        </w:tc>
        <w:tc>
          <w:tcPr>
            <w:tcW w:w="1324" w:type="dxa"/>
            <w:vAlign w:val="center"/>
          </w:tcPr>
          <w:p w14:paraId="584D71C2">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技术职称</w:t>
            </w:r>
          </w:p>
        </w:tc>
        <w:tc>
          <w:tcPr>
            <w:tcW w:w="1401" w:type="dxa"/>
            <w:vAlign w:val="center"/>
          </w:tcPr>
          <w:p w14:paraId="624E4BDC">
            <w:pPr>
              <w:rPr>
                <w:color w:val="000000" w:themeColor="text1"/>
                <w14:textFill>
                  <w14:solidFill>
                    <w14:schemeClr w14:val="tx1"/>
                  </w14:solidFill>
                </w14:textFill>
              </w:rPr>
            </w:pPr>
          </w:p>
        </w:tc>
        <w:tc>
          <w:tcPr>
            <w:tcW w:w="902" w:type="dxa"/>
            <w:gridSpan w:val="2"/>
            <w:vAlign w:val="center"/>
          </w:tcPr>
          <w:p w14:paraId="51281C9B">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1147" w:type="dxa"/>
            <w:vAlign w:val="center"/>
          </w:tcPr>
          <w:p w14:paraId="66D57B98">
            <w:pPr>
              <w:rPr>
                <w:color w:val="000000" w:themeColor="text1"/>
                <w14:textFill>
                  <w14:solidFill>
                    <w14:schemeClr w14:val="tx1"/>
                  </w14:solidFill>
                </w14:textFill>
              </w:rPr>
            </w:pPr>
          </w:p>
        </w:tc>
      </w:tr>
      <w:tr w14:paraId="7ACAD6D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14:paraId="1C0B47D7">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技术负责人</w:t>
            </w:r>
          </w:p>
        </w:tc>
        <w:tc>
          <w:tcPr>
            <w:tcW w:w="1016" w:type="dxa"/>
            <w:vAlign w:val="center"/>
          </w:tcPr>
          <w:p w14:paraId="7246458A">
            <w:pP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315" w:type="dxa"/>
            <w:vAlign w:val="center"/>
          </w:tcPr>
          <w:p w14:paraId="5AA1013D">
            <w:pPr>
              <w:rPr>
                <w:color w:val="000000" w:themeColor="text1"/>
                <w14:textFill>
                  <w14:solidFill>
                    <w14:schemeClr w14:val="tx1"/>
                  </w14:solidFill>
                </w14:textFill>
              </w:rPr>
            </w:pPr>
          </w:p>
        </w:tc>
        <w:tc>
          <w:tcPr>
            <w:tcW w:w="1324" w:type="dxa"/>
            <w:vAlign w:val="center"/>
          </w:tcPr>
          <w:p w14:paraId="42A284EC">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技术职称</w:t>
            </w:r>
          </w:p>
        </w:tc>
        <w:tc>
          <w:tcPr>
            <w:tcW w:w="1401" w:type="dxa"/>
            <w:vAlign w:val="center"/>
          </w:tcPr>
          <w:p w14:paraId="03432C85">
            <w:pPr>
              <w:rPr>
                <w:color w:val="000000" w:themeColor="text1"/>
                <w14:textFill>
                  <w14:solidFill>
                    <w14:schemeClr w14:val="tx1"/>
                  </w14:solidFill>
                </w14:textFill>
              </w:rPr>
            </w:pPr>
          </w:p>
        </w:tc>
        <w:tc>
          <w:tcPr>
            <w:tcW w:w="902" w:type="dxa"/>
            <w:gridSpan w:val="2"/>
            <w:vAlign w:val="center"/>
          </w:tcPr>
          <w:p w14:paraId="4098923B">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1147" w:type="dxa"/>
            <w:vAlign w:val="center"/>
          </w:tcPr>
          <w:p w14:paraId="2FC1B4B7">
            <w:pPr>
              <w:rPr>
                <w:color w:val="000000" w:themeColor="text1"/>
                <w14:textFill>
                  <w14:solidFill>
                    <w14:schemeClr w14:val="tx1"/>
                  </w14:solidFill>
                </w14:textFill>
              </w:rPr>
            </w:pPr>
          </w:p>
        </w:tc>
      </w:tr>
      <w:tr w14:paraId="468DDF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14:paraId="3CC9ACA0">
            <w:pPr>
              <w:rPr>
                <w:color w:val="000000" w:themeColor="text1"/>
                <w14:textFill>
                  <w14:solidFill>
                    <w14:schemeClr w14:val="tx1"/>
                  </w14:solidFill>
                </w14:textFill>
              </w:rPr>
            </w:pPr>
            <w:r>
              <w:rPr>
                <w:rFonts w:hint="eastAsia"/>
                <w:color w:val="000000" w:themeColor="text1"/>
                <w14:textFill>
                  <w14:solidFill>
                    <w14:schemeClr w14:val="tx1"/>
                  </w14:solidFill>
                </w14:textFill>
              </w:rPr>
              <w:t>成立时间</w:t>
            </w:r>
          </w:p>
        </w:tc>
        <w:tc>
          <w:tcPr>
            <w:tcW w:w="2331" w:type="dxa"/>
            <w:gridSpan w:val="2"/>
            <w:vAlign w:val="center"/>
          </w:tcPr>
          <w:p w14:paraId="6E575CB2">
            <w:pPr>
              <w:rPr>
                <w:color w:val="000000" w:themeColor="text1"/>
                <w14:textFill>
                  <w14:solidFill>
                    <w14:schemeClr w14:val="tx1"/>
                  </w14:solidFill>
                </w14:textFill>
              </w:rPr>
            </w:pPr>
          </w:p>
        </w:tc>
        <w:tc>
          <w:tcPr>
            <w:tcW w:w="4774" w:type="dxa"/>
            <w:gridSpan w:val="5"/>
            <w:vAlign w:val="center"/>
          </w:tcPr>
          <w:p w14:paraId="4CE7D482">
            <w:pPr>
              <w:rPr>
                <w:color w:val="000000" w:themeColor="text1"/>
                <w14:textFill>
                  <w14:solidFill>
                    <w14:schemeClr w14:val="tx1"/>
                  </w14:solidFill>
                </w14:textFill>
              </w:rPr>
            </w:pPr>
            <w:r>
              <w:rPr>
                <w:rFonts w:hint="eastAsia"/>
                <w:color w:val="000000" w:themeColor="text1"/>
                <w14:textFill>
                  <w14:solidFill>
                    <w14:schemeClr w14:val="tx1"/>
                  </w14:solidFill>
                </w14:textFill>
              </w:rPr>
              <w:t>员工总人数：</w:t>
            </w:r>
          </w:p>
        </w:tc>
      </w:tr>
      <w:tr w14:paraId="4DE20F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14:paraId="6FE68812">
            <w:pPr>
              <w:rPr>
                <w:color w:val="000000" w:themeColor="text1"/>
                <w14:textFill>
                  <w14:solidFill>
                    <w14:schemeClr w14:val="tx1"/>
                  </w14:solidFill>
                </w14:textFill>
              </w:rPr>
            </w:pPr>
            <w:r>
              <w:rPr>
                <w:rFonts w:hint="eastAsia"/>
                <w:color w:val="000000" w:themeColor="text1"/>
                <w14:textFill>
                  <w14:solidFill>
                    <w14:schemeClr w14:val="tx1"/>
                  </w14:solidFill>
                </w14:textFill>
              </w:rPr>
              <w:t>营业执照号</w:t>
            </w:r>
          </w:p>
        </w:tc>
        <w:tc>
          <w:tcPr>
            <w:tcW w:w="2331" w:type="dxa"/>
            <w:gridSpan w:val="2"/>
            <w:vAlign w:val="center"/>
          </w:tcPr>
          <w:p w14:paraId="022DDADE">
            <w:pPr>
              <w:rPr>
                <w:color w:val="000000" w:themeColor="text1"/>
                <w14:textFill>
                  <w14:solidFill>
                    <w14:schemeClr w14:val="tx1"/>
                  </w14:solidFill>
                </w14:textFill>
              </w:rPr>
            </w:pPr>
          </w:p>
        </w:tc>
        <w:tc>
          <w:tcPr>
            <w:tcW w:w="1324" w:type="dxa"/>
            <w:vMerge w:val="restart"/>
            <w:vAlign w:val="center"/>
          </w:tcPr>
          <w:p w14:paraId="1F88FF05">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p>
        </w:tc>
        <w:tc>
          <w:tcPr>
            <w:tcW w:w="1569" w:type="dxa"/>
            <w:gridSpan w:val="2"/>
            <w:vAlign w:val="center"/>
          </w:tcPr>
          <w:p w14:paraId="0332C268">
            <w:pPr>
              <w:rPr>
                <w:color w:val="000000" w:themeColor="text1"/>
                <w14:textFill>
                  <w14:solidFill>
                    <w14:schemeClr w14:val="tx1"/>
                  </w14:solidFill>
                </w14:textFill>
              </w:rPr>
            </w:pPr>
            <w:r>
              <w:rPr>
                <w:rFonts w:hint="eastAsia"/>
                <w:color w:val="000000" w:themeColor="text1"/>
                <w14:textFill>
                  <w14:solidFill>
                    <w14:schemeClr w14:val="tx1"/>
                  </w14:solidFill>
                </w14:textFill>
              </w:rPr>
              <w:t>高级职称人员</w:t>
            </w:r>
          </w:p>
        </w:tc>
        <w:tc>
          <w:tcPr>
            <w:tcW w:w="1881" w:type="dxa"/>
            <w:gridSpan w:val="2"/>
            <w:vAlign w:val="center"/>
          </w:tcPr>
          <w:p w14:paraId="155850CE">
            <w:pPr>
              <w:rPr>
                <w:color w:val="000000" w:themeColor="text1"/>
                <w14:textFill>
                  <w14:solidFill>
                    <w14:schemeClr w14:val="tx1"/>
                  </w14:solidFill>
                </w14:textFill>
              </w:rPr>
            </w:pPr>
          </w:p>
        </w:tc>
      </w:tr>
      <w:tr w14:paraId="4DA2E0A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14:paraId="2DCF1642">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注册资金</w:t>
            </w:r>
          </w:p>
        </w:tc>
        <w:tc>
          <w:tcPr>
            <w:tcW w:w="2331" w:type="dxa"/>
            <w:gridSpan w:val="2"/>
            <w:vAlign w:val="center"/>
          </w:tcPr>
          <w:p w14:paraId="48E5311C">
            <w:pPr>
              <w:rPr>
                <w:color w:val="000000" w:themeColor="text1"/>
                <w14:textFill>
                  <w14:solidFill>
                    <w14:schemeClr w14:val="tx1"/>
                  </w14:solidFill>
                </w14:textFill>
              </w:rPr>
            </w:pPr>
          </w:p>
        </w:tc>
        <w:tc>
          <w:tcPr>
            <w:tcW w:w="1324" w:type="dxa"/>
            <w:vMerge w:val="continue"/>
            <w:vAlign w:val="center"/>
          </w:tcPr>
          <w:p w14:paraId="1874DA6C">
            <w:pPr>
              <w:rPr>
                <w:color w:val="000000" w:themeColor="text1"/>
                <w14:textFill>
                  <w14:solidFill>
                    <w14:schemeClr w14:val="tx1"/>
                  </w14:solidFill>
                </w14:textFill>
              </w:rPr>
            </w:pPr>
          </w:p>
        </w:tc>
        <w:tc>
          <w:tcPr>
            <w:tcW w:w="1569" w:type="dxa"/>
            <w:gridSpan w:val="2"/>
            <w:vAlign w:val="center"/>
          </w:tcPr>
          <w:p w14:paraId="011109FE">
            <w:pPr>
              <w:rPr>
                <w:color w:val="000000" w:themeColor="text1"/>
                <w14:textFill>
                  <w14:solidFill>
                    <w14:schemeClr w14:val="tx1"/>
                  </w14:solidFill>
                </w14:textFill>
              </w:rPr>
            </w:pPr>
            <w:r>
              <w:rPr>
                <w:rFonts w:hint="eastAsia"/>
                <w:color w:val="000000" w:themeColor="text1"/>
                <w14:textFill>
                  <w14:solidFill>
                    <w14:schemeClr w14:val="tx1"/>
                  </w14:solidFill>
                </w14:textFill>
              </w:rPr>
              <w:t>中级职称人员</w:t>
            </w:r>
          </w:p>
        </w:tc>
        <w:tc>
          <w:tcPr>
            <w:tcW w:w="1881" w:type="dxa"/>
            <w:gridSpan w:val="2"/>
            <w:vAlign w:val="center"/>
          </w:tcPr>
          <w:p w14:paraId="3F14A143">
            <w:pPr>
              <w:rPr>
                <w:color w:val="000000" w:themeColor="text1"/>
                <w14:textFill>
                  <w14:solidFill>
                    <w14:schemeClr w14:val="tx1"/>
                  </w14:solidFill>
                </w14:textFill>
              </w:rPr>
            </w:pPr>
          </w:p>
        </w:tc>
      </w:tr>
      <w:tr w14:paraId="72C11F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14:paraId="38FE9CA6">
            <w:pPr>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tc>
        <w:tc>
          <w:tcPr>
            <w:tcW w:w="2331" w:type="dxa"/>
            <w:gridSpan w:val="2"/>
            <w:vAlign w:val="center"/>
          </w:tcPr>
          <w:p w14:paraId="7087B8AC">
            <w:pPr>
              <w:rPr>
                <w:color w:val="000000" w:themeColor="text1"/>
                <w14:textFill>
                  <w14:solidFill>
                    <w14:schemeClr w14:val="tx1"/>
                  </w14:solidFill>
                </w14:textFill>
              </w:rPr>
            </w:pPr>
          </w:p>
        </w:tc>
        <w:tc>
          <w:tcPr>
            <w:tcW w:w="1324" w:type="dxa"/>
            <w:vMerge w:val="continue"/>
            <w:vAlign w:val="center"/>
          </w:tcPr>
          <w:p w14:paraId="495450F6">
            <w:pPr>
              <w:rPr>
                <w:color w:val="000000" w:themeColor="text1"/>
                <w14:textFill>
                  <w14:solidFill>
                    <w14:schemeClr w14:val="tx1"/>
                  </w14:solidFill>
                </w14:textFill>
              </w:rPr>
            </w:pPr>
          </w:p>
        </w:tc>
        <w:tc>
          <w:tcPr>
            <w:tcW w:w="1569" w:type="dxa"/>
            <w:gridSpan w:val="2"/>
            <w:vAlign w:val="center"/>
          </w:tcPr>
          <w:p w14:paraId="557059B7">
            <w:pPr>
              <w:rPr>
                <w:color w:val="000000" w:themeColor="text1"/>
                <w14:textFill>
                  <w14:solidFill>
                    <w14:schemeClr w14:val="tx1"/>
                  </w14:solidFill>
                </w14:textFill>
              </w:rPr>
            </w:pPr>
            <w:r>
              <w:rPr>
                <w:rFonts w:hint="eastAsia"/>
                <w:color w:val="000000" w:themeColor="text1"/>
                <w14:textFill>
                  <w14:solidFill>
                    <w14:schemeClr w14:val="tx1"/>
                  </w14:solidFill>
                </w14:textFill>
              </w:rPr>
              <w:t>初级职称人员</w:t>
            </w:r>
          </w:p>
        </w:tc>
        <w:tc>
          <w:tcPr>
            <w:tcW w:w="1881" w:type="dxa"/>
            <w:gridSpan w:val="2"/>
            <w:vAlign w:val="center"/>
          </w:tcPr>
          <w:p w14:paraId="328FEFF3">
            <w:pPr>
              <w:rPr>
                <w:color w:val="000000" w:themeColor="text1"/>
                <w14:textFill>
                  <w14:solidFill>
                    <w14:schemeClr w14:val="tx1"/>
                  </w14:solidFill>
                </w14:textFill>
              </w:rPr>
            </w:pPr>
          </w:p>
        </w:tc>
      </w:tr>
      <w:tr w14:paraId="2FD9D35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14:paraId="3BD1E086">
            <w:pPr>
              <w:rPr>
                <w:color w:val="000000" w:themeColor="text1"/>
                <w14:textFill>
                  <w14:solidFill>
                    <w14:schemeClr w14:val="tx1"/>
                  </w14:solidFill>
                </w14:textFill>
              </w:rPr>
            </w:pPr>
            <w:r>
              <w:rPr>
                <w:rFonts w:hint="eastAsia"/>
                <w:color w:val="000000" w:themeColor="text1"/>
                <w14:textFill>
                  <w14:solidFill>
                    <w14:schemeClr w14:val="tx1"/>
                  </w14:solidFill>
                </w14:textFill>
              </w:rPr>
              <w:t>账号</w:t>
            </w:r>
          </w:p>
        </w:tc>
        <w:tc>
          <w:tcPr>
            <w:tcW w:w="2331" w:type="dxa"/>
            <w:gridSpan w:val="2"/>
            <w:vAlign w:val="center"/>
          </w:tcPr>
          <w:p w14:paraId="4F9B0DF4">
            <w:pPr>
              <w:rPr>
                <w:color w:val="000000" w:themeColor="text1"/>
                <w14:textFill>
                  <w14:solidFill>
                    <w14:schemeClr w14:val="tx1"/>
                  </w14:solidFill>
                </w14:textFill>
              </w:rPr>
            </w:pPr>
          </w:p>
        </w:tc>
        <w:tc>
          <w:tcPr>
            <w:tcW w:w="1324" w:type="dxa"/>
            <w:vMerge w:val="continue"/>
            <w:vAlign w:val="center"/>
          </w:tcPr>
          <w:p w14:paraId="3111ED65">
            <w:pPr>
              <w:rPr>
                <w:color w:val="000000" w:themeColor="text1"/>
                <w14:textFill>
                  <w14:solidFill>
                    <w14:schemeClr w14:val="tx1"/>
                  </w14:solidFill>
                </w14:textFill>
              </w:rPr>
            </w:pPr>
          </w:p>
        </w:tc>
        <w:tc>
          <w:tcPr>
            <w:tcW w:w="1569" w:type="dxa"/>
            <w:gridSpan w:val="2"/>
            <w:vAlign w:val="center"/>
          </w:tcPr>
          <w:p w14:paraId="47D3DB65">
            <w:pPr>
              <w:rPr>
                <w:color w:val="000000" w:themeColor="text1"/>
                <w14:textFill>
                  <w14:solidFill>
                    <w14:schemeClr w14:val="tx1"/>
                  </w14:solidFill>
                </w14:textFill>
              </w:rPr>
            </w:pPr>
            <w:r>
              <w:rPr>
                <w:rFonts w:hint="eastAsia"/>
                <w:color w:val="000000" w:themeColor="text1"/>
                <w14:textFill>
                  <w14:solidFill>
                    <w14:schemeClr w14:val="tx1"/>
                  </w14:solidFill>
                </w14:textFill>
              </w:rPr>
              <w:t>技工</w:t>
            </w:r>
          </w:p>
        </w:tc>
        <w:tc>
          <w:tcPr>
            <w:tcW w:w="1881" w:type="dxa"/>
            <w:gridSpan w:val="2"/>
            <w:vAlign w:val="center"/>
          </w:tcPr>
          <w:p w14:paraId="37BF838D">
            <w:pPr>
              <w:rPr>
                <w:color w:val="000000" w:themeColor="text1"/>
                <w14:textFill>
                  <w14:solidFill>
                    <w14:schemeClr w14:val="tx1"/>
                  </w14:solidFill>
                </w14:textFill>
              </w:rPr>
            </w:pPr>
          </w:p>
        </w:tc>
      </w:tr>
      <w:tr w14:paraId="0BD7C0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14:paraId="2A96532C">
            <w:pPr>
              <w:rPr>
                <w:color w:val="000000" w:themeColor="text1"/>
                <w14:textFill>
                  <w14:solidFill>
                    <w14:schemeClr w14:val="tx1"/>
                  </w14:solidFill>
                </w14:textFill>
              </w:rPr>
            </w:pPr>
            <w:r>
              <w:rPr>
                <w:rFonts w:hint="eastAsia"/>
                <w:color w:val="000000" w:themeColor="text1"/>
                <w14:textFill>
                  <w14:solidFill>
                    <w14:schemeClr w14:val="tx1"/>
                  </w14:solidFill>
                </w14:textFill>
              </w:rPr>
              <w:t>经营范围</w:t>
            </w:r>
          </w:p>
        </w:tc>
        <w:tc>
          <w:tcPr>
            <w:tcW w:w="7105" w:type="dxa"/>
            <w:gridSpan w:val="7"/>
            <w:vAlign w:val="center"/>
          </w:tcPr>
          <w:p w14:paraId="1B37E2C3">
            <w:pPr>
              <w:rPr>
                <w:color w:val="000000" w:themeColor="text1"/>
                <w14:textFill>
                  <w14:solidFill>
                    <w14:schemeClr w14:val="tx1"/>
                  </w14:solidFill>
                </w14:textFill>
              </w:rPr>
            </w:pPr>
          </w:p>
        </w:tc>
      </w:tr>
      <w:tr w14:paraId="76FBB1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14:paraId="0226DF34">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c>
          <w:tcPr>
            <w:tcW w:w="7105" w:type="dxa"/>
            <w:gridSpan w:val="7"/>
          </w:tcPr>
          <w:p w14:paraId="5A9C7C6C">
            <w:pPr>
              <w:rPr>
                <w:color w:val="000000" w:themeColor="text1"/>
                <w14:textFill>
                  <w14:solidFill>
                    <w14:schemeClr w14:val="tx1"/>
                  </w14:solidFill>
                </w14:textFill>
              </w:rPr>
            </w:pPr>
          </w:p>
        </w:tc>
      </w:tr>
    </w:tbl>
    <w:p w14:paraId="77D233B0">
      <w:pPr>
        <w:rPr>
          <w:color w:val="000000" w:themeColor="text1"/>
          <w14:textFill>
            <w14:solidFill>
              <w14:schemeClr w14:val="tx1"/>
            </w14:solidFill>
          </w14:textFill>
        </w:rPr>
      </w:pPr>
    </w:p>
    <w:p w14:paraId="7587780A">
      <w:pPr>
        <w:spacing w:line="360" w:lineRule="auto"/>
        <w:rPr>
          <w:rFonts w:ascii="宋体" w:hAnsi="宋体" w:cs="宋体"/>
          <w:color w:val="000000" w:themeColor="text1"/>
          <w:sz w:val="24"/>
          <w:szCs w:val="24"/>
          <w14:textFill>
            <w14:solidFill>
              <w14:schemeClr w14:val="tx1"/>
            </w14:solidFill>
          </w14:textFill>
        </w:rPr>
      </w:pPr>
    </w:p>
    <w:p w14:paraId="77F25BCA">
      <w:pPr>
        <w:spacing w:line="360" w:lineRule="auto"/>
        <w:rPr>
          <w:rFonts w:hAnsi="宋体"/>
          <w:color w:val="000000" w:themeColor="text1"/>
          <w:sz w:val="24"/>
          <w:szCs w:val="24"/>
          <w:u w:val="single"/>
          <w14:textFill>
            <w14:solidFill>
              <w14:schemeClr w14:val="tx1"/>
            </w14:solidFill>
          </w14:textFill>
        </w:rPr>
      </w:pPr>
    </w:p>
    <w:p w14:paraId="056DCE8A">
      <w:pPr>
        <w:spacing w:line="360" w:lineRule="auto"/>
        <w:rPr>
          <w:b/>
          <w:bCs/>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ascii="宋体" w:hAnsi="宋体" w:cs="宋体"/>
          <w:b/>
          <w:bCs/>
          <w:color w:val="000000" w:themeColor="text1"/>
          <w:sz w:val="24"/>
          <w:szCs w:val="24"/>
          <w14:textFill>
            <w14:solidFill>
              <w14:schemeClr w14:val="tx1"/>
            </w14:solidFill>
          </w14:textFill>
        </w:rPr>
        <w:t>2-2投标人营业执照等资质证明材料</w:t>
      </w:r>
      <w:r>
        <w:rPr>
          <w:rFonts w:hint="eastAsia"/>
          <w:b/>
          <w:bCs/>
          <w:color w:val="000000" w:themeColor="text1"/>
          <w14:textFill>
            <w14:solidFill>
              <w14:schemeClr w14:val="tx1"/>
            </w14:solidFill>
          </w14:textFill>
        </w:rPr>
        <w:t>。</w:t>
      </w:r>
    </w:p>
    <w:p w14:paraId="64FEDA27">
      <w:pPr>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3、法定代表人证明书及法定代表人授权书</w:t>
      </w:r>
    </w:p>
    <w:p w14:paraId="2F436E29">
      <w:pPr>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3-1法定代表人证明书</w:t>
      </w:r>
    </w:p>
    <w:tbl>
      <w:tblPr>
        <w:tblStyle w:val="2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14:paraId="6F99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14:paraId="3C2E78A5">
            <w:pPr>
              <w:tabs>
                <w:tab w:val="left" w:pos="210"/>
              </w:tabs>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致：陕西万泽招标有限公司</w:t>
            </w:r>
          </w:p>
        </w:tc>
      </w:tr>
      <w:tr w14:paraId="259C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14:paraId="5F2F9008">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w:t>
            </w:r>
          </w:p>
          <w:p w14:paraId="7EF15E67">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w:t>
            </w:r>
          </w:p>
          <w:p w14:paraId="0D7CB2FA">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14:paraId="53D6A0D2">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14:paraId="4F9A88B7">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企业名称</w:t>
            </w:r>
          </w:p>
        </w:tc>
        <w:tc>
          <w:tcPr>
            <w:tcW w:w="6184" w:type="dxa"/>
            <w:gridSpan w:val="4"/>
            <w:vAlign w:val="center"/>
          </w:tcPr>
          <w:p w14:paraId="2CB98479">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4C44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25867BC5">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3F2BF039">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法定地址</w:t>
            </w:r>
          </w:p>
        </w:tc>
        <w:tc>
          <w:tcPr>
            <w:tcW w:w="6184" w:type="dxa"/>
            <w:gridSpan w:val="4"/>
            <w:vAlign w:val="center"/>
          </w:tcPr>
          <w:p w14:paraId="6E9FB663">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0515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52569F09">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1A445A8F">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注册资金</w:t>
            </w:r>
          </w:p>
        </w:tc>
        <w:tc>
          <w:tcPr>
            <w:tcW w:w="6184" w:type="dxa"/>
            <w:gridSpan w:val="4"/>
            <w:vAlign w:val="center"/>
          </w:tcPr>
          <w:p w14:paraId="5CA96E6E">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4270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14:paraId="10EB278F">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4931A6B0">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工商登记机关</w:t>
            </w:r>
          </w:p>
        </w:tc>
        <w:tc>
          <w:tcPr>
            <w:tcW w:w="6184" w:type="dxa"/>
            <w:gridSpan w:val="4"/>
            <w:vAlign w:val="center"/>
          </w:tcPr>
          <w:p w14:paraId="4DE0B90D">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14AF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14:paraId="56248ECD">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5490F0AF">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6184" w:type="dxa"/>
            <w:gridSpan w:val="4"/>
            <w:vAlign w:val="center"/>
          </w:tcPr>
          <w:p w14:paraId="296CCA59">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5593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14:paraId="0A6BD57F">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14:paraId="7A6E4966">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14:paraId="7BBADE81">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14:paraId="75C72FC2">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14:paraId="36C990C7">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14:paraId="797D552A">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2340" w:type="dxa"/>
            <w:gridSpan w:val="2"/>
            <w:vAlign w:val="center"/>
          </w:tcPr>
          <w:p w14:paraId="51FF3608">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2156" w:type="dxa"/>
            <w:vAlign w:val="center"/>
          </w:tcPr>
          <w:p w14:paraId="1448ABBA">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性别</w:t>
            </w:r>
          </w:p>
        </w:tc>
        <w:tc>
          <w:tcPr>
            <w:tcW w:w="1688" w:type="dxa"/>
            <w:vAlign w:val="center"/>
          </w:tcPr>
          <w:p w14:paraId="23D5B38B">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14:paraId="0CAF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276BE4D2">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29BA54F3">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职务</w:t>
            </w:r>
          </w:p>
        </w:tc>
        <w:tc>
          <w:tcPr>
            <w:tcW w:w="2340" w:type="dxa"/>
            <w:gridSpan w:val="2"/>
            <w:vAlign w:val="center"/>
          </w:tcPr>
          <w:p w14:paraId="4DD42479">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c>
          <w:tcPr>
            <w:tcW w:w="2156" w:type="dxa"/>
            <w:vAlign w:val="center"/>
          </w:tcPr>
          <w:p w14:paraId="3366FBC9">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p>
        </w:tc>
        <w:tc>
          <w:tcPr>
            <w:tcW w:w="1688" w:type="dxa"/>
            <w:vAlign w:val="center"/>
          </w:tcPr>
          <w:p w14:paraId="14D29D49">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14:paraId="08F4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14:paraId="6EACC1E3">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3930EBD9">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tc>
        <w:tc>
          <w:tcPr>
            <w:tcW w:w="6184" w:type="dxa"/>
            <w:gridSpan w:val="4"/>
            <w:vAlign w:val="center"/>
          </w:tcPr>
          <w:p w14:paraId="4C37B3B8">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64E9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14:paraId="6109D48B">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14:paraId="7B9AD1FA">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14:paraId="786EFEBC">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14:paraId="5DC9410D">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14:paraId="6819C76F">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p w14:paraId="1B941941">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身</w:t>
            </w:r>
          </w:p>
          <w:p w14:paraId="76E844F5">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份</w:t>
            </w:r>
          </w:p>
          <w:p w14:paraId="31E52C88">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w:t>
            </w:r>
          </w:p>
          <w:p w14:paraId="6D7A7B20">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w:t>
            </w:r>
          </w:p>
          <w:p w14:paraId="7D126B06">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印</w:t>
            </w:r>
          </w:p>
          <w:p w14:paraId="43650CFE">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件</w:t>
            </w:r>
          </w:p>
        </w:tc>
        <w:tc>
          <w:tcPr>
            <w:tcW w:w="4316" w:type="dxa"/>
            <w:gridSpan w:val="2"/>
            <w:vMerge w:val="restart"/>
            <w:vAlign w:val="center"/>
          </w:tcPr>
          <w:p w14:paraId="50B31E56">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（正反面）</w:t>
            </w:r>
          </w:p>
        </w:tc>
        <w:tc>
          <w:tcPr>
            <w:tcW w:w="4028" w:type="dxa"/>
            <w:gridSpan w:val="3"/>
            <w:vAlign w:val="center"/>
          </w:tcPr>
          <w:p w14:paraId="15BCE0A7">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法定代表人（签字或盖章）</w:t>
            </w:r>
          </w:p>
        </w:tc>
      </w:tr>
      <w:tr w14:paraId="079F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14:paraId="01C5D2D3">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316" w:type="dxa"/>
            <w:gridSpan w:val="2"/>
            <w:vMerge w:val="continue"/>
            <w:vAlign w:val="center"/>
          </w:tcPr>
          <w:p w14:paraId="538CB80D">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028" w:type="dxa"/>
            <w:gridSpan w:val="3"/>
            <w:vAlign w:val="bottom"/>
          </w:tcPr>
          <w:p w14:paraId="7E4842F7">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（投标人公章）</w:t>
            </w:r>
          </w:p>
          <w:p w14:paraId="376FB5B9">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14:paraId="53754484">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14:paraId="78C90CCE">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14:paraId="41523A94">
            <w:pPr>
              <w:adjustRightInd w:val="0"/>
              <w:snapToGrid w:val="0"/>
              <w:spacing w:line="480" w:lineRule="auto"/>
              <w:ind w:firstLine="480" w:firstLineChars="20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tc>
      </w:tr>
    </w:tbl>
    <w:p w14:paraId="763519E2">
      <w:pPr>
        <w:pStyle w:val="2"/>
        <w:rPr>
          <w:rFonts w:hint="default"/>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14:paraId="43C43D6F">
      <w:pPr>
        <w:pageBreakBefore/>
        <w:tabs>
          <w:tab w:val="left" w:pos="210"/>
        </w:tabs>
        <w:spacing w:line="320" w:lineRule="exac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3-2法定代表人授权书</w:t>
      </w:r>
    </w:p>
    <w:p w14:paraId="5B5D86E2">
      <w:pPr>
        <w:pStyle w:val="15"/>
        <w:spacing w:line="500" w:lineRule="exact"/>
        <w:jc w:val="center"/>
        <w:rPr>
          <w:rFonts w:hAnsi="宋体" w:cs="宋体"/>
          <w:color w:val="000000" w:themeColor="text1"/>
          <w:sz w:val="24"/>
          <w:szCs w:val="24"/>
          <w14:textFill>
            <w14:solidFill>
              <w14:schemeClr w14:val="tx1"/>
            </w14:solidFill>
          </w14:textFill>
        </w:rPr>
      </w:pPr>
      <w:r>
        <w:rPr>
          <w:rFonts w:hint="eastAsia" w:hAnsi="宋体" w:cs="宋体"/>
          <w:b/>
          <w:color w:val="000000" w:themeColor="text1"/>
          <w:kern w:val="0"/>
          <w:sz w:val="24"/>
          <w:szCs w:val="24"/>
          <w14:textFill>
            <w14:solidFill>
              <w14:schemeClr w14:val="tx1"/>
            </w14:solidFill>
          </w14:textFill>
        </w:rPr>
        <w:t>法定代表人授权书</w:t>
      </w:r>
    </w:p>
    <w:p w14:paraId="28AC1664">
      <w:pPr>
        <w:pStyle w:val="15"/>
        <w:spacing w:line="50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陕西万泽招标有限公司：</w:t>
      </w:r>
    </w:p>
    <w:p w14:paraId="7E9E6BB1">
      <w:pPr>
        <w:tabs>
          <w:tab w:val="left" w:pos="8820"/>
        </w:tabs>
        <w:spacing w:line="360" w:lineRule="auto"/>
        <w:ind w:firstLine="57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（法定代表人姓名）   </w:t>
      </w:r>
      <w:r>
        <w:rPr>
          <w:rFonts w:hint="eastAsia" w:ascii="宋体" w:hAnsi="宋体" w:cs="宋体"/>
          <w:color w:val="000000" w:themeColor="text1"/>
          <w:sz w:val="24"/>
          <w14:textFill>
            <w14:solidFill>
              <w14:schemeClr w14:val="tx1"/>
            </w14:solidFill>
          </w14:textFill>
        </w:rPr>
        <w:t>系注册于</w:t>
      </w:r>
      <w:r>
        <w:rPr>
          <w:rFonts w:hint="eastAsia" w:ascii="宋体" w:hAnsi="宋体" w:cs="宋体"/>
          <w:color w:val="000000" w:themeColor="text1"/>
          <w:sz w:val="24"/>
          <w:u w:val="single"/>
          <w14:textFill>
            <w14:solidFill>
              <w14:schemeClr w14:val="tx1"/>
            </w14:solidFill>
          </w14:textFill>
        </w:rPr>
        <w:t xml:space="preserve">  （投标人地址）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（投标人名称）  </w:t>
      </w:r>
      <w:r>
        <w:rPr>
          <w:rFonts w:hint="eastAsia" w:ascii="宋体" w:hAnsi="宋体" w:cs="宋体"/>
          <w:color w:val="000000" w:themeColor="text1"/>
          <w:sz w:val="24"/>
          <w14:textFill>
            <w14:solidFill>
              <w14:schemeClr w14:val="tx1"/>
            </w14:solidFill>
          </w14:textFill>
        </w:rPr>
        <w:t>的法定代表人，现代表公司授权下面签字的</w:t>
      </w:r>
      <w:r>
        <w:rPr>
          <w:rFonts w:hint="eastAsia" w:ascii="宋体" w:hAnsi="宋体" w:cs="宋体"/>
          <w:color w:val="000000" w:themeColor="text1"/>
          <w:sz w:val="24"/>
          <w:u w:val="single"/>
          <w14:textFill>
            <w14:solidFill>
              <w14:schemeClr w14:val="tx1"/>
            </w14:solidFill>
          </w14:textFill>
        </w:rPr>
        <w:t xml:space="preserve">（被授权人的姓名、职务）   </w:t>
      </w:r>
      <w:r>
        <w:rPr>
          <w:rFonts w:hint="eastAsia" w:ascii="宋体" w:hAnsi="宋体" w:cs="宋体"/>
          <w:color w:val="000000" w:themeColor="text1"/>
          <w:sz w:val="24"/>
          <w14:textFill>
            <w14:solidFill>
              <w14:schemeClr w14:val="tx1"/>
            </w14:solidFill>
          </w14:textFill>
        </w:rPr>
        <w:t>为我公司合法代理人，代表本公司参加</w:t>
      </w:r>
      <w:r>
        <w:rPr>
          <w:rFonts w:hint="eastAsia" w:ascii="宋体" w:hAnsi="宋体" w:cs="宋体"/>
          <w:color w:val="000000" w:themeColor="text1"/>
          <w:sz w:val="24"/>
          <w:szCs w:val="24"/>
          <w:u w:val="single"/>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single"/>
          <w14:textFill>
            <w14:solidFill>
              <w14:schemeClr w14:val="tx1"/>
            </w14:solidFill>
          </w14:textFill>
        </w:rPr>
        <w:t>为</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采购活动。以我方名义全权处理该项目有关投标、签订合同以及执行合同等一切事宜。</w:t>
      </w:r>
    </w:p>
    <w:p w14:paraId="63A4AE1C">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本授权书有效期自投标文件递交截止之日</w:t>
      </w:r>
      <w:r>
        <w:rPr>
          <w:rFonts w:hint="eastAsia" w:ascii="宋体" w:hAnsi="宋体" w:cs="宋体"/>
          <w:color w:val="000000" w:themeColor="text1"/>
          <w:sz w:val="24"/>
          <w:u w:val="single"/>
          <w14:textFill>
            <w14:solidFill>
              <w14:schemeClr w14:val="tx1"/>
            </w14:solidFill>
          </w14:textFill>
        </w:rPr>
        <w:t>起 90 日历天</w:t>
      </w:r>
      <w:r>
        <w:rPr>
          <w:rFonts w:hint="eastAsia" w:ascii="宋体" w:hAnsi="宋体" w:cs="宋体"/>
          <w:color w:val="000000" w:themeColor="text1"/>
          <w:sz w:val="24"/>
          <w14:textFill>
            <w14:solidFill>
              <w14:schemeClr w14:val="tx1"/>
            </w14:solidFill>
          </w14:textFill>
        </w:rPr>
        <w:t>，特此声明。</w:t>
      </w:r>
    </w:p>
    <w:p w14:paraId="2DAAD320">
      <w:pPr>
        <w:pStyle w:val="15"/>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投标人（单位名称及公章）</w:t>
      </w:r>
      <w:r>
        <w:rPr>
          <w:rFonts w:hint="eastAsia" w:hAnsi="宋体" w:cs="宋体"/>
          <w:color w:val="000000" w:themeColor="text1"/>
          <w:sz w:val="24"/>
          <w:szCs w:val="24"/>
          <w:u w:val="single"/>
          <w14:textFill>
            <w14:solidFill>
              <w14:schemeClr w14:val="tx1"/>
            </w14:solidFill>
          </w14:textFill>
        </w:rPr>
        <w:t>：</w:t>
      </w:r>
    </w:p>
    <w:p w14:paraId="498E7FA1">
      <w:pPr>
        <w:pStyle w:val="15"/>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法定代表人（签字或盖章）</w:t>
      </w:r>
      <w:r>
        <w:rPr>
          <w:rFonts w:hint="eastAsia" w:hAnsi="宋体" w:cs="宋体"/>
          <w:color w:val="000000" w:themeColor="text1"/>
          <w:sz w:val="24"/>
          <w:szCs w:val="24"/>
          <w:u w:val="single"/>
          <w14:textFill>
            <w14:solidFill>
              <w14:schemeClr w14:val="tx1"/>
            </w14:solidFill>
          </w14:textFill>
        </w:rPr>
        <w:t>：</w:t>
      </w:r>
    </w:p>
    <w:p w14:paraId="558490EC">
      <w:pPr>
        <w:pStyle w:val="15"/>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被授权人（签字或盖章）</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性别</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职务</w:t>
      </w:r>
      <w:r>
        <w:rPr>
          <w:rFonts w:hint="eastAsia" w:hAnsi="宋体" w:cs="宋体"/>
          <w:color w:val="000000" w:themeColor="text1"/>
          <w:sz w:val="24"/>
          <w:szCs w:val="24"/>
          <w:u w:val="single"/>
          <w14:textFill>
            <w14:solidFill>
              <w14:schemeClr w14:val="tx1"/>
            </w14:solidFill>
          </w14:textFill>
        </w:rPr>
        <w:t>：</w:t>
      </w:r>
    </w:p>
    <w:p w14:paraId="1EBE264F">
      <w:pPr>
        <w:pStyle w:val="15"/>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被授权人身份证号码</w:t>
      </w:r>
      <w:r>
        <w:rPr>
          <w:rFonts w:hint="eastAsia" w:hAnsi="宋体" w:cs="宋体"/>
          <w:color w:val="000000" w:themeColor="text1"/>
          <w:sz w:val="24"/>
          <w:szCs w:val="24"/>
          <w:u w:val="single"/>
          <w14:textFill>
            <w14:solidFill>
              <w14:schemeClr w14:val="tx1"/>
            </w14:solidFill>
          </w14:textFill>
        </w:rPr>
        <w:t xml:space="preserve">：                                  </w:t>
      </w:r>
    </w:p>
    <w:p w14:paraId="450A74D2">
      <w:pPr>
        <w:pStyle w:val="15"/>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联系地址</w:t>
      </w:r>
      <w:r>
        <w:rPr>
          <w:rFonts w:hint="eastAsia" w:hAnsi="宋体" w:cs="宋体"/>
          <w:color w:val="000000" w:themeColor="text1"/>
          <w:sz w:val="24"/>
          <w:szCs w:val="24"/>
          <w:u w:val="single"/>
          <w14:textFill>
            <w14:solidFill>
              <w14:schemeClr w14:val="tx1"/>
            </w14:solidFill>
          </w14:textFill>
        </w:rPr>
        <w:t xml:space="preserve">：               </w:t>
      </w:r>
    </w:p>
    <w:p w14:paraId="0668F618">
      <w:pPr>
        <w:pStyle w:val="15"/>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联系电话</w:t>
      </w:r>
      <w:r>
        <w:rPr>
          <w:rFonts w:hint="eastAsia" w:hAnsi="宋体" w:cs="宋体"/>
          <w:color w:val="000000" w:themeColor="text1"/>
          <w:sz w:val="24"/>
          <w:szCs w:val="24"/>
          <w:u w:val="single"/>
          <w14:textFill>
            <w14:solidFill>
              <w14:schemeClr w14:val="tx1"/>
            </w14:solidFill>
          </w14:textFill>
        </w:rPr>
        <w:t xml:space="preserve">：               </w:t>
      </w:r>
    </w:p>
    <w:p w14:paraId="0C91B6BE">
      <w:pPr>
        <w:pStyle w:val="15"/>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法定代表人及被授权人身份证复印件</w:t>
      </w:r>
    </w:p>
    <w:tbl>
      <w:tblPr>
        <w:tblStyle w:val="28"/>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14:paraId="2839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14:paraId="6705E999">
            <w:pPr>
              <w:pStyle w:val="15"/>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法定代表人身份证复印件（正/反面）</w:t>
            </w:r>
          </w:p>
        </w:tc>
        <w:tc>
          <w:tcPr>
            <w:tcW w:w="3937" w:type="dxa"/>
            <w:shd w:val="clear" w:color="auto" w:fill="D9D9D9"/>
            <w:vAlign w:val="center"/>
          </w:tcPr>
          <w:p w14:paraId="300517A2">
            <w:pPr>
              <w:pStyle w:val="15"/>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被授权人身份证复印件（正/反面）</w:t>
            </w:r>
          </w:p>
        </w:tc>
      </w:tr>
    </w:tbl>
    <w:p w14:paraId="59C86538">
      <w:pPr>
        <w:pStyle w:val="15"/>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说明：</w:t>
      </w:r>
    </w:p>
    <w:p w14:paraId="1EDF4934">
      <w:pPr>
        <w:pStyle w:val="15"/>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1．本授权书有效期自开标会议之日计算不得少于</w:t>
      </w:r>
      <w:r>
        <w:rPr>
          <w:rFonts w:hint="eastAsia" w:hAnsi="宋体" w:cs="宋体"/>
          <w:color w:val="000000" w:themeColor="text1"/>
          <w:sz w:val="24"/>
          <w:szCs w:val="24"/>
          <w:lang w:val="en-US" w:eastAsia="zh-CN"/>
          <w14:textFill>
            <w14:solidFill>
              <w14:schemeClr w14:val="tx1"/>
            </w14:solidFill>
          </w14:textFill>
        </w:rPr>
        <w:t>90</w:t>
      </w:r>
      <w:r>
        <w:rPr>
          <w:rFonts w:hint="eastAsia" w:hAnsi="宋体" w:cs="宋体"/>
          <w:color w:val="000000" w:themeColor="text1"/>
          <w:sz w:val="24"/>
          <w:szCs w:val="24"/>
          <w14:textFill>
            <w14:solidFill>
              <w14:schemeClr w14:val="tx1"/>
            </w14:solidFill>
          </w14:textFill>
        </w:rPr>
        <w:t>日历日。</w:t>
      </w:r>
    </w:p>
    <w:p w14:paraId="449E60A5">
      <w:pPr>
        <w:pStyle w:val="15"/>
        <w:spacing w:line="500" w:lineRule="exact"/>
        <w:ind w:firstLine="480" w:firstLineChars="20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2．授权书内容填写要明确，文字要工整清楚，涂改无效。</w:t>
      </w:r>
    </w:p>
    <w:p w14:paraId="54999F53">
      <w:pPr>
        <w:pStyle w:val="15"/>
        <w:spacing w:line="500" w:lineRule="exact"/>
        <w:ind w:firstLine="562" w:firstLineChars="200"/>
        <w:jc w:val="left"/>
        <w:rPr>
          <w:rFonts w:hint="default"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b/>
          <w:bCs/>
          <w:color w:val="auto"/>
          <w:sz w:val="28"/>
          <w:szCs w:val="28"/>
          <w:highlight w:val="none"/>
        </w:rPr>
        <w:t>注：授权代表参与投标的，提供授权代表开标前三个月内至少一个月的社会保险参保缴费情况证明</w:t>
      </w:r>
    </w:p>
    <w:p w14:paraId="3ACE55DC">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14:paraId="7EE9162A">
      <w:pP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4、无重大违法记录声明</w:t>
      </w:r>
    </w:p>
    <w:p w14:paraId="01681265">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p>
    <w:p w14:paraId="211834F8">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我单位参与</w:t>
      </w:r>
      <w:r>
        <w:rPr>
          <w:rFonts w:hint="eastAsia" w:ascii="宋体" w:hAnsi="宋体" w:cs="宋体"/>
          <w:color w:val="000000" w:themeColor="text1"/>
          <w:kern w:val="0"/>
          <w:sz w:val="24"/>
          <w:u w:val="single"/>
          <w14:textFill>
            <w14:solidFill>
              <w14:schemeClr w14:val="tx1"/>
            </w14:solidFill>
          </w14:textFill>
        </w:rPr>
        <w:t xml:space="preserve">陕西万泽招标有限公司 </w:t>
      </w:r>
      <w:r>
        <w:rPr>
          <w:rFonts w:hint="eastAsia" w:ascii="宋体" w:hAnsi="宋体" w:cs="宋体"/>
          <w:color w:val="000000" w:themeColor="text1"/>
          <w:kern w:val="0"/>
          <w:sz w:val="24"/>
          <w14:textFill>
            <w14:solidFill>
              <w14:schemeClr w14:val="tx1"/>
            </w14:solidFill>
          </w14:textFill>
        </w:rPr>
        <w:t>组织的</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kern w:val="0"/>
          <w:sz w:val="24"/>
          <w14:textFill>
            <w14:solidFill>
              <w14:schemeClr w14:val="tx1"/>
            </w14:solidFill>
          </w14:textFill>
        </w:rPr>
        <w:t>公开招标，我单位郑重声明：我方参加本项目公开招标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投标人资格条件，我方对此声明负全部法律责任。</w:t>
      </w:r>
    </w:p>
    <w:p w14:paraId="0DB6ECA2">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特此声明。</w:t>
      </w:r>
    </w:p>
    <w:p w14:paraId="0A67D164">
      <w:pPr>
        <w:widowControl/>
        <w:spacing w:line="460" w:lineRule="exact"/>
        <w:ind w:firstLine="480" w:firstLineChars="200"/>
        <w:jc w:val="left"/>
        <w:rPr>
          <w:rFonts w:ascii="宋体" w:hAnsi="宋体" w:cs="宋体"/>
          <w:color w:val="000000" w:themeColor="text1"/>
          <w:kern w:val="0"/>
          <w:sz w:val="24"/>
          <w14:textFill>
            <w14:solidFill>
              <w14:schemeClr w14:val="tx1"/>
            </w14:solidFill>
          </w14:textFill>
        </w:rPr>
      </w:pPr>
    </w:p>
    <w:p w14:paraId="0D7B9016">
      <w:pPr>
        <w:pStyle w:val="15"/>
        <w:spacing w:line="480" w:lineRule="auto"/>
        <w:jc w:val="left"/>
        <w:rPr>
          <w:rFonts w:hint="eastAsia" w:hAnsi="宋体" w:cs="宋体" w:eastAsiaTheme="minorEastAsia"/>
          <w:color w:val="000000" w:themeColor="text1"/>
          <w:kern w:val="0"/>
          <w:sz w:val="24"/>
          <w:lang w:eastAsia="zh-CN"/>
          <w14:textFill>
            <w14:solidFill>
              <w14:schemeClr w14:val="tx1"/>
            </w14:solidFill>
          </w14:textFill>
        </w:rPr>
      </w:pPr>
    </w:p>
    <w:p w14:paraId="16A5A8B2">
      <w:pPr>
        <w:pStyle w:val="15"/>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投标人（单位名称及公章）：</w:t>
      </w:r>
    </w:p>
    <w:p w14:paraId="5ACA2457">
      <w:pPr>
        <w:pStyle w:val="15"/>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法定代表人/被授权人（签字或盖章）：</w:t>
      </w:r>
    </w:p>
    <w:p w14:paraId="6EDCC751">
      <w:pPr>
        <w:spacing w:line="600" w:lineRule="auto"/>
        <w:rPr>
          <w:rFonts w:hint="eastAsia" w:hAnsi="宋体" w:cs="宋体" w:eastAsiaTheme="minorEastAsia"/>
          <w:color w:val="000000" w:themeColor="text1"/>
          <w:kern w:val="0"/>
          <w:sz w:val="24"/>
          <w:u w:val="single"/>
          <w:lang w:eastAsia="zh-CN"/>
          <w14:textFill>
            <w14:solidFill>
              <w14:schemeClr w14:val="tx1"/>
            </w14:solidFill>
          </w14:textFill>
        </w:rPr>
      </w:pPr>
      <w:r>
        <w:rPr>
          <w:rFonts w:hint="eastAsia" w:hAnsi="宋体" w:cs="宋体"/>
          <w:color w:val="000000" w:themeColor="text1"/>
          <w:kern w:val="0"/>
          <w:sz w:val="24"/>
          <w14:textFill>
            <w14:solidFill>
              <w14:schemeClr w14:val="tx1"/>
            </w14:solidFill>
          </w14:textFill>
        </w:rPr>
        <w:t>日    期</w:t>
      </w:r>
      <w:r>
        <w:rPr>
          <w:rFonts w:hint="eastAsia" w:hAnsi="宋体" w:cs="宋体"/>
          <w:color w:val="000000" w:themeColor="text1"/>
          <w:kern w:val="0"/>
          <w:sz w:val="24"/>
          <w:u w:val="single"/>
          <w14:textFill>
            <w14:solidFill>
              <w14:schemeClr w14:val="tx1"/>
            </w14:solidFill>
          </w14:textFill>
        </w:rPr>
        <w:t xml:space="preserve">：             </w:t>
      </w:r>
    </w:p>
    <w:p w14:paraId="3A3C41A0">
      <w:pPr>
        <w:pStyle w:val="2"/>
        <w:rPr>
          <w:rFonts w:hint="eastAsia"/>
          <w:lang w:eastAsia="zh-CN"/>
        </w:rPr>
        <w:sectPr>
          <w:pgSz w:w="11906" w:h="16838"/>
          <w:pgMar w:top="1440" w:right="1803" w:bottom="1440" w:left="1803" w:header="851" w:footer="992" w:gutter="0"/>
          <w:cols w:space="720" w:num="1"/>
          <w:docGrid w:type="lines" w:linePitch="319" w:charSpace="0"/>
        </w:sectPr>
      </w:pPr>
    </w:p>
    <w:p w14:paraId="07BDBD69">
      <w:pPr>
        <w:spacing w:line="600" w:lineRule="auto"/>
        <w:rPr>
          <w:sz w:val="24"/>
          <w:szCs w:val="28"/>
        </w:rPr>
      </w:pPr>
      <w:r>
        <w:rPr>
          <w:rFonts w:hint="eastAsia"/>
          <w:sz w:val="24"/>
          <w:szCs w:val="28"/>
          <w:lang w:val="en-US" w:eastAsia="zh-CN"/>
        </w:rPr>
        <w:t>5</w:t>
      </w:r>
      <w:r>
        <w:rPr>
          <w:rFonts w:hint="eastAsia"/>
          <w:sz w:val="24"/>
          <w:szCs w:val="28"/>
        </w:rPr>
        <w:t>、社保资金缴纳证明材料；</w:t>
      </w:r>
    </w:p>
    <w:p w14:paraId="46A24B6E">
      <w:pPr>
        <w:spacing w:line="600" w:lineRule="auto"/>
        <w:rPr>
          <w:rFonts w:hint="eastAsia" w:eastAsiaTheme="minorEastAsia"/>
          <w:sz w:val="24"/>
          <w:szCs w:val="28"/>
          <w:lang w:eastAsia="zh-CN"/>
        </w:rPr>
      </w:pPr>
      <w:r>
        <w:rPr>
          <w:rFonts w:hint="eastAsia"/>
          <w:sz w:val="24"/>
          <w:szCs w:val="28"/>
          <w:lang w:val="en-US" w:eastAsia="zh-CN"/>
        </w:rPr>
        <w:t>6</w:t>
      </w:r>
      <w:r>
        <w:rPr>
          <w:rFonts w:hint="eastAsia"/>
          <w:sz w:val="24"/>
          <w:szCs w:val="28"/>
        </w:rPr>
        <w:t>、税收缴纳证明材料</w:t>
      </w:r>
      <w:r>
        <w:rPr>
          <w:rFonts w:hint="eastAsia"/>
          <w:sz w:val="24"/>
          <w:szCs w:val="28"/>
          <w:lang w:eastAsia="zh-CN"/>
        </w:rPr>
        <w:t>；</w:t>
      </w:r>
    </w:p>
    <w:p w14:paraId="5966BA04">
      <w:pPr>
        <w:spacing w:line="600" w:lineRule="auto"/>
        <w:rPr>
          <w:rFonts w:hint="eastAsia" w:eastAsiaTheme="minorEastAsia"/>
          <w:sz w:val="24"/>
          <w:szCs w:val="28"/>
          <w:lang w:eastAsia="zh-CN"/>
        </w:rPr>
      </w:pPr>
      <w:r>
        <w:rPr>
          <w:rFonts w:hint="eastAsia"/>
          <w:sz w:val="24"/>
          <w:szCs w:val="28"/>
          <w:lang w:val="en-US" w:eastAsia="zh-CN"/>
        </w:rPr>
        <w:t>7</w:t>
      </w:r>
      <w:r>
        <w:rPr>
          <w:rFonts w:hint="eastAsia"/>
          <w:sz w:val="24"/>
          <w:szCs w:val="28"/>
        </w:rPr>
        <w:t>、财务状况证明材料</w:t>
      </w:r>
      <w:r>
        <w:rPr>
          <w:rFonts w:hint="eastAsia"/>
          <w:sz w:val="24"/>
          <w:szCs w:val="28"/>
          <w:lang w:eastAsia="zh-CN"/>
        </w:rPr>
        <w:t>；</w:t>
      </w:r>
    </w:p>
    <w:p w14:paraId="4379C82F">
      <w:pPr>
        <w:spacing w:line="360" w:lineRule="auto"/>
        <w:rPr>
          <w:rFonts w:hint="eastAsia"/>
          <w:sz w:val="24"/>
          <w:szCs w:val="28"/>
          <w:lang w:val="en-US" w:eastAsia="zh-CN"/>
        </w:rPr>
      </w:pPr>
      <w:r>
        <w:rPr>
          <w:rFonts w:hint="eastAsia"/>
          <w:sz w:val="24"/>
          <w:szCs w:val="28"/>
          <w:lang w:val="en-US" w:eastAsia="zh-CN"/>
        </w:rPr>
        <w:t>8、投标人应为具备国家市场监督管理总局颁发的《中华人民共和国特种设备检验检测机构核准证（综合检验机构甲类）》或者《中华人民共和国特种设备检验检测机构核准证（甲类A2级及以上检验机构）》的特种设备检验检测机构。（提供证明资料）)；</w:t>
      </w:r>
    </w:p>
    <w:p w14:paraId="05CA5088">
      <w:pPr>
        <w:bidi w:val="0"/>
        <w:rPr>
          <w:rFonts w:hint="eastAsia"/>
          <w:sz w:val="24"/>
          <w:szCs w:val="24"/>
          <w:lang w:val="en-US" w:eastAsia="zh-CN"/>
        </w:rPr>
      </w:pPr>
      <w:r>
        <w:rPr>
          <w:rFonts w:hint="eastAsia"/>
          <w:lang w:val="en-US" w:eastAsia="zh-CN"/>
        </w:rPr>
        <w:t>9、</w:t>
      </w:r>
      <w:r>
        <w:rPr>
          <w:rFonts w:hint="eastAsia"/>
          <w:sz w:val="24"/>
          <w:szCs w:val="24"/>
          <w:lang w:val="en-US" w:eastAsia="zh-CN"/>
        </w:rPr>
        <w:t>投标人须具备评审资格并提供国家级或省级市场监管部门书面认定证明或相关证明材料。（提供证明材料）</w:t>
      </w:r>
    </w:p>
    <w:p w14:paraId="035AD9B4">
      <w:pPr>
        <w:rPr>
          <w:rFonts w:hint="eastAsia"/>
          <w:lang w:val="en-US" w:eastAsia="zh-CN"/>
        </w:rPr>
      </w:pPr>
      <w:r>
        <w:rPr>
          <w:rFonts w:hint="eastAsia"/>
          <w:lang w:val="en-US" w:eastAsia="zh-CN"/>
        </w:rPr>
        <w:br w:type="page"/>
      </w:r>
    </w:p>
    <w:p w14:paraId="05903FB1">
      <w:pPr>
        <w:jc w:val="left"/>
        <w:rPr>
          <w:rFonts w:hint="eastAsia" w:ascii="宋体" w:hAnsi="宋体" w:eastAsia="宋体" w:cs="宋体"/>
          <w:color w:val="auto"/>
          <w:sz w:val="28"/>
          <w:szCs w:val="28"/>
          <w:highlight w:val="none"/>
        </w:rPr>
      </w:pPr>
      <w:r>
        <w:rPr>
          <w:rFonts w:hint="eastAsia"/>
          <w:lang w:val="en-US" w:eastAsia="zh-CN"/>
        </w:rPr>
        <w:t>10、</w:t>
      </w:r>
      <w:r>
        <w:rPr>
          <w:rFonts w:hint="eastAsia"/>
          <w:sz w:val="24"/>
          <w:szCs w:val="24"/>
          <w:lang w:val="en-US" w:eastAsia="zh-CN"/>
        </w:rPr>
        <w:t>投标人须声明与被抽查单位不存在资产、业务、管理等方面的利益关系。（提供书面声明）</w:t>
      </w:r>
    </w:p>
    <w:p w14:paraId="09E80CF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书面声明</w:t>
      </w:r>
    </w:p>
    <w:p w14:paraId="26464B41">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我单位参与</w:t>
      </w:r>
      <w:r>
        <w:rPr>
          <w:rFonts w:hint="eastAsia" w:ascii="宋体" w:hAnsi="宋体" w:cs="宋体"/>
          <w:color w:val="auto"/>
          <w:sz w:val="28"/>
          <w:szCs w:val="28"/>
          <w:highlight w:val="none"/>
          <w:u w:val="single"/>
        </w:rPr>
        <w:t xml:space="preserve">陕西万泽招标有限公司 </w:t>
      </w:r>
      <w:r>
        <w:rPr>
          <w:rFonts w:hint="eastAsia" w:ascii="宋体" w:hAnsi="宋体" w:cs="宋体"/>
          <w:color w:val="auto"/>
          <w:sz w:val="28"/>
          <w:szCs w:val="28"/>
          <w:highlight w:val="none"/>
        </w:rPr>
        <w:t>组织的</w:t>
      </w:r>
      <w:r>
        <w:rPr>
          <w:rFonts w:hint="eastAsia" w:ascii="宋体" w:hAnsi="宋体" w:cs="宋体"/>
          <w:color w:val="auto"/>
          <w:sz w:val="28"/>
          <w:szCs w:val="28"/>
          <w:highlight w:val="none"/>
          <w:u w:val="single"/>
        </w:rPr>
        <w:t>西安市市场监督管理局2025年机电类特种设备安全质量监督抽查项目</w:t>
      </w:r>
      <w:r>
        <w:rPr>
          <w:rFonts w:hint="eastAsia" w:ascii="宋体" w:hAnsi="宋体" w:cs="宋体"/>
          <w:color w:val="auto"/>
          <w:sz w:val="28"/>
          <w:szCs w:val="28"/>
          <w:highlight w:val="none"/>
          <w:u w:val="single"/>
          <w:lang w:eastAsia="zh-CN"/>
        </w:rPr>
        <w:t>（</w:t>
      </w:r>
      <w:r>
        <w:rPr>
          <w:rFonts w:hint="eastAsia" w:ascii="宋体" w:hAnsi="宋体" w:cs="宋体"/>
          <w:color w:val="auto"/>
          <w:sz w:val="28"/>
          <w:szCs w:val="28"/>
          <w:highlight w:val="none"/>
          <w:u w:val="single"/>
          <w:lang w:val="en-US" w:eastAsia="zh-CN"/>
        </w:rPr>
        <w:t>二次</w:t>
      </w:r>
      <w:r>
        <w:rPr>
          <w:rFonts w:hint="eastAsia" w:ascii="宋体" w:hAnsi="宋体" w:cs="宋体"/>
          <w:color w:val="auto"/>
          <w:sz w:val="28"/>
          <w:szCs w:val="28"/>
          <w:highlight w:val="none"/>
          <w:u w:val="single"/>
          <w:lang w:eastAsia="zh-CN"/>
        </w:rPr>
        <w:t>）</w:t>
      </w:r>
      <w:r>
        <w:rPr>
          <w:rFonts w:hint="eastAsia" w:ascii="宋体" w:hAnsi="宋体" w:cs="宋体"/>
          <w:color w:val="auto"/>
          <w:sz w:val="28"/>
          <w:szCs w:val="28"/>
          <w:highlight w:val="none"/>
        </w:rPr>
        <w:t>公开招标，我单位郑重声明：</w:t>
      </w:r>
      <w:r>
        <w:rPr>
          <w:rFonts w:hint="eastAsia" w:ascii="宋体" w:hAnsi="宋体" w:eastAsia="宋体" w:cs="宋体"/>
          <w:color w:val="auto"/>
          <w:sz w:val="28"/>
          <w:szCs w:val="28"/>
          <w:highlight w:val="none"/>
        </w:rPr>
        <w:t>我单位与被抽查单位不存在资产、业务、管理等方面的利益关系。</w:t>
      </w:r>
    </w:p>
    <w:p w14:paraId="71C1C930">
      <w:pPr>
        <w:snapToGrid w:val="0"/>
        <w:spacing w:line="48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特此声明。</w:t>
      </w:r>
    </w:p>
    <w:p w14:paraId="325028B4">
      <w:pPr>
        <w:snapToGrid w:val="0"/>
        <w:spacing w:line="360" w:lineRule="auto"/>
        <w:rPr>
          <w:rFonts w:hint="eastAsia" w:hAnsi="宋体" w:cs="宋体"/>
          <w:color w:val="auto"/>
          <w:sz w:val="28"/>
          <w:szCs w:val="28"/>
          <w:highlight w:val="none"/>
        </w:rPr>
      </w:pPr>
    </w:p>
    <w:p w14:paraId="48365B61">
      <w:pPr>
        <w:snapToGrid w:val="0"/>
        <w:spacing w:line="360" w:lineRule="auto"/>
        <w:rPr>
          <w:rFonts w:hint="eastAsia" w:hAnsi="宋体" w:cs="宋体"/>
          <w:color w:val="auto"/>
          <w:sz w:val="28"/>
          <w:szCs w:val="28"/>
          <w:highlight w:val="none"/>
        </w:rPr>
      </w:pPr>
      <w:r>
        <w:rPr>
          <w:rFonts w:hint="eastAsia" w:hAnsi="宋体" w:cs="宋体"/>
          <w:color w:val="auto"/>
          <w:sz w:val="28"/>
          <w:szCs w:val="28"/>
          <w:highlight w:val="none"/>
        </w:rPr>
        <w:t>投标人（单位名称及公章）：</w:t>
      </w:r>
    </w:p>
    <w:p w14:paraId="685C77D8">
      <w:pPr>
        <w:pStyle w:val="15"/>
        <w:spacing w:line="360" w:lineRule="auto"/>
        <w:rPr>
          <w:rFonts w:hint="eastAsia" w:hAnsi="宋体" w:cs="宋体"/>
          <w:color w:val="auto"/>
          <w:sz w:val="28"/>
          <w:szCs w:val="28"/>
          <w:highlight w:val="none"/>
        </w:rPr>
      </w:pPr>
      <w:r>
        <w:rPr>
          <w:rFonts w:hint="eastAsia" w:hAnsi="宋体" w:cs="宋体"/>
          <w:color w:val="auto"/>
          <w:sz w:val="28"/>
          <w:szCs w:val="28"/>
          <w:highlight w:val="none"/>
        </w:rPr>
        <w:t>法定代表人或被授权人（签字或盖章）：</w:t>
      </w:r>
    </w:p>
    <w:p w14:paraId="3E6E90FB">
      <w:pPr>
        <w:spacing w:line="360" w:lineRule="auto"/>
        <w:rPr>
          <w:rFonts w:hint="eastAsia" w:ascii="宋体" w:hAnsi="宋体" w:eastAsia="宋体" w:cs="宋体"/>
          <w:color w:val="auto"/>
          <w:sz w:val="28"/>
          <w:szCs w:val="28"/>
          <w:highlight w:val="none"/>
          <w:u w:val="singl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p>
    <w:p w14:paraId="32BCBC29">
      <w:pPr>
        <w:spacing w:line="360" w:lineRule="auto"/>
        <w:jc w:val="center"/>
        <w:rPr>
          <w:rFonts w:hint="eastAsia" w:ascii="宋体" w:hAnsi="宋体" w:eastAsia="宋体" w:cs="宋体"/>
          <w:color w:val="auto"/>
          <w:sz w:val="28"/>
          <w:szCs w:val="28"/>
          <w:highlight w:val="none"/>
        </w:rPr>
      </w:pPr>
    </w:p>
    <w:p w14:paraId="7ECFF9E6">
      <w:pPr>
        <w:spacing w:line="360" w:lineRule="auto"/>
        <w:rPr>
          <w:sz w:val="24"/>
          <w:szCs w:val="24"/>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本项目不接受联合体投标。</w:t>
      </w:r>
      <w:r>
        <w:rPr>
          <w:rFonts w:hint="eastAsia" w:ascii="宋体" w:hAnsi="宋体" w:eastAsia="宋体" w:cs="宋体"/>
          <w:b/>
          <w:bCs/>
          <w:color w:val="auto"/>
          <w:kern w:val="32"/>
          <w:sz w:val="24"/>
          <w:szCs w:val="24"/>
          <w:highlight w:val="none"/>
        </w:rPr>
        <w:t>（格式自拟）</w:t>
      </w:r>
      <w:r>
        <w:rPr>
          <w:rFonts w:hint="eastAsia"/>
          <w:sz w:val="24"/>
          <w:szCs w:val="24"/>
        </w:rPr>
        <w:t>；</w:t>
      </w:r>
    </w:p>
    <w:p w14:paraId="7C3D4581">
      <w:pPr>
        <w:spacing w:line="360" w:lineRule="auto"/>
        <w:rPr>
          <w:sz w:val="24"/>
          <w:szCs w:val="28"/>
        </w:rPr>
      </w:pPr>
      <w:r>
        <w:rPr>
          <w:rFonts w:hint="eastAsia"/>
          <w:sz w:val="24"/>
          <w:szCs w:val="24"/>
          <w:lang w:val="en-US" w:eastAsia="zh-CN"/>
        </w:rPr>
        <w:t>12</w:t>
      </w:r>
      <w:r>
        <w:rPr>
          <w:rFonts w:hint="eastAsia"/>
          <w:sz w:val="24"/>
          <w:szCs w:val="24"/>
        </w:rPr>
        <w:t>、投标人认为应该提交的其他证明材料；</w:t>
      </w:r>
    </w:p>
    <w:p w14:paraId="3FB34269">
      <w:pPr>
        <w:spacing w:line="360" w:lineRule="auto"/>
      </w:pPr>
    </w:p>
    <w:p w14:paraId="2B9419FF">
      <w:pPr>
        <w:sectPr>
          <w:headerReference r:id="rId13" w:type="default"/>
          <w:pgSz w:w="11906" w:h="16838"/>
          <w:pgMar w:top="1440" w:right="1803" w:bottom="1440" w:left="1803" w:header="851" w:footer="992" w:gutter="0"/>
          <w:cols w:space="720" w:num="1"/>
          <w:docGrid w:type="lines" w:linePitch="319" w:charSpace="0"/>
        </w:sectPr>
      </w:pPr>
      <w:r>
        <w:rPr>
          <w:rFonts w:hint="eastAsia"/>
        </w:rPr>
        <w:t xml:space="preserve"> </w:t>
      </w:r>
    </w:p>
    <w:p w14:paraId="623D964F">
      <w:pPr>
        <w:pStyle w:val="4"/>
      </w:pPr>
      <w:bookmarkStart w:id="121" w:name="_Toc22002"/>
      <w:r>
        <w:rPr>
          <w:rFonts w:hint="eastAsia"/>
        </w:rPr>
        <w:t>第五章  商务和技术响应偏离表</w:t>
      </w:r>
      <w:bookmarkEnd w:id="116"/>
      <w:bookmarkEnd w:id="117"/>
      <w:bookmarkEnd w:id="121"/>
    </w:p>
    <w:p w14:paraId="2053186E">
      <w:pPr>
        <w:kinsoku w:val="0"/>
        <w:spacing w:line="480" w:lineRule="auto"/>
        <w:ind w:left="1232" w:hanging="1232" w:hangingChars="440"/>
        <w:jc w:val="left"/>
        <w:rPr>
          <w:rFonts w:asciiTheme="minorEastAsia" w:hAnsiTheme="minorEastAsia" w:cstheme="minorEastAsia"/>
          <w:sz w:val="28"/>
          <w:szCs w:val="28"/>
        </w:rPr>
      </w:pPr>
      <w:r>
        <w:rPr>
          <w:rFonts w:hint="eastAsia" w:asciiTheme="minorEastAsia" w:hAnsiTheme="minorEastAsia" w:cstheme="minorEastAsia"/>
          <w:sz w:val="28"/>
          <w:szCs w:val="28"/>
        </w:rPr>
        <w:t>表1、商务响应偏差表</w:t>
      </w:r>
      <w:r>
        <w:rPr>
          <w:rFonts w:hint="eastAsia" w:asciiTheme="minorEastAsia" w:hAnsiTheme="minorEastAsia" w:cstheme="minorEastAsia"/>
          <w:sz w:val="28"/>
          <w:szCs w:val="28"/>
          <w:u w:val="single"/>
        </w:rPr>
        <w:t xml:space="preserve">                                  </w:t>
      </w:r>
    </w:p>
    <w:tbl>
      <w:tblPr>
        <w:tblStyle w:val="28"/>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1680"/>
        <w:gridCol w:w="2448"/>
        <w:gridCol w:w="2042"/>
      </w:tblGrid>
      <w:tr w14:paraId="65CD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vAlign w:val="center"/>
          </w:tcPr>
          <w:p w14:paraId="6D6AF87C">
            <w:pPr>
              <w:pStyle w:val="15"/>
              <w:spacing w:line="480" w:lineRule="auto"/>
              <w:jc w:val="center"/>
              <w:rPr>
                <w:rFonts w:asciiTheme="minorEastAsia" w:hAnsiTheme="minorEastAsia" w:cstheme="minorEastAsia"/>
                <w:sz w:val="24"/>
                <w:szCs w:val="24"/>
              </w:rPr>
            </w:pPr>
            <w:r>
              <w:rPr>
                <w:rFonts w:hint="eastAsia" w:hAnsi="宋体" w:cs="宋体"/>
              </w:rPr>
              <w:t xml:space="preserve"> 序号</w:t>
            </w:r>
          </w:p>
        </w:tc>
        <w:tc>
          <w:tcPr>
            <w:tcW w:w="1614" w:type="dxa"/>
            <w:vAlign w:val="center"/>
          </w:tcPr>
          <w:p w14:paraId="3B7F74E6">
            <w:pPr>
              <w:pStyle w:val="15"/>
              <w:spacing w:line="480" w:lineRule="auto"/>
              <w:jc w:val="left"/>
              <w:rPr>
                <w:rFonts w:asciiTheme="minorEastAsia" w:hAnsiTheme="minorEastAsia" w:cstheme="minorEastAsia"/>
                <w:sz w:val="24"/>
                <w:szCs w:val="24"/>
              </w:rPr>
            </w:pPr>
            <w:r>
              <w:rPr>
                <w:rFonts w:hint="eastAsia" w:hAnsi="宋体" w:cs="宋体"/>
              </w:rPr>
              <w:t xml:space="preserve"> 商务条款</w:t>
            </w:r>
          </w:p>
        </w:tc>
        <w:tc>
          <w:tcPr>
            <w:tcW w:w="1680" w:type="dxa"/>
            <w:vAlign w:val="center"/>
          </w:tcPr>
          <w:p w14:paraId="6FB7FFC7">
            <w:pPr>
              <w:pStyle w:val="15"/>
              <w:spacing w:line="480" w:lineRule="auto"/>
              <w:jc w:val="left"/>
              <w:rPr>
                <w:rFonts w:asciiTheme="minorEastAsia" w:hAnsiTheme="minorEastAsia" w:cstheme="minorEastAsia"/>
                <w:sz w:val="24"/>
                <w:szCs w:val="24"/>
              </w:rPr>
            </w:pPr>
            <w:r>
              <w:rPr>
                <w:rFonts w:hint="eastAsia" w:hAnsi="宋体" w:cs="宋体"/>
              </w:rPr>
              <w:t>商务要求内容</w:t>
            </w:r>
          </w:p>
        </w:tc>
        <w:tc>
          <w:tcPr>
            <w:tcW w:w="2448" w:type="dxa"/>
            <w:vAlign w:val="center"/>
          </w:tcPr>
          <w:p w14:paraId="2660803C">
            <w:pPr>
              <w:pStyle w:val="15"/>
              <w:spacing w:line="480" w:lineRule="auto"/>
              <w:rPr>
                <w:rFonts w:asciiTheme="minorEastAsia" w:hAnsiTheme="minorEastAsia" w:cstheme="minorEastAsia"/>
                <w:sz w:val="24"/>
                <w:szCs w:val="24"/>
              </w:rPr>
            </w:pPr>
            <w:r>
              <w:rPr>
                <w:rFonts w:hint="eastAsia" w:hAnsi="宋体" w:cs="宋体"/>
              </w:rPr>
              <w:t>响应文件响应商务内容</w:t>
            </w:r>
          </w:p>
        </w:tc>
        <w:tc>
          <w:tcPr>
            <w:tcW w:w="2042" w:type="dxa"/>
            <w:vAlign w:val="center"/>
          </w:tcPr>
          <w:p w14:paraId="5F829E8B">
            <w:pPr>
              <w:pStyle w:val="15"/>
              <w:spacing w:line="480" w:lineRule="auto"/>
              <w:jc w:val="center"/>
              <w:rPr>
                <w:rFonts w:asciiTheme="minorEastAsia" w:hAnsiTheme="minorEastAsia" w:cstheme="minorEastAsia"/>
                <w:sz w:val="24"/>
                <w:szCs w:val="24"/>
              </w:rPr>
            </w:pPr>
            <w:r>
              <w:rPr>
                <w:rFonts w:hint="eastAsia" w:hAnsi="宋体" w:cs="宋体"/>
              </w:rPr>
              <w:t>偏离说明</w:t>
            </w:r>
          </w:p>
        </w:tc>
      </w:tr>
      <w:tr w14:paraId="1D7F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76EA1B0A">
            <w:pPr>
              <w:pStyle w:val="15"/>
              <w:spacing w:line="480" w:lineRule="auto"/>
              <w:ind w:firstLine="480" w:firstLineChars="200"/>
              <w:jc w:val="left"/>
              <w:rPr>
                <w:rFonts w:asciiTheme="minorEastAsia" w:hAnsiTheme="minorEastAsia" w:cstheme="minorEastAsia"/>
                <w:sz w:val="24"/>
                <w:szCs w:val="24"/>
              </w:rPr>
            </w:pPr>
          </w:p>
        </w:tc>
        <w:tc>
          <w:tcPr>
            <w:tcW w:w="1614" w:type="dxa"/>
          </w:tcPr>
          <w:p w14:paraId="7C18B64B">
            <w:pPr>
              <w:pStyle w:val="15"/>
              <w:spacing w:line="480" w:lineRule="auto"/>
              <w:ind w:firstLine="480" w:firstLineChars="200"/>
              <w:jc w:val="left"/>
              <w:rPr>
                <w:rFonts w:asciiTheme="minorEastAsia" w:hAnsiTheme="minorEastAsia" w:cstheme="minorEastAsia"/>
                <w:sz w:val="24"/>
                <w:szCs w:val="24"/>
              </w:rPr>
            </w:pPr>
          </w:p>
        </w:tc>
        <w:tc>
          <w:tcPr>
            <w:tcW w:w="1680" w:type="dxa"/>
            <w:vAlign w:val="center"/>
          </w:tcPr>
          <w:p w14:paraId="3711FE4F">
            <w:pPr>
              <w:pStyle w:val="15"/>
              <w:spacing w:line="480" w:lineRule="auto"/>
              <w:ind w:firstLine="480" w:firstLineChars="200"/>
              <w:jc w:val="left"/>
              <w:rPr>
                <w:rFonts w:asciiTheme="minorEastAsia" w:hAnsiTheme="minorEastAsia" w:cstheme="minorEastAsia"/>
                <w:sz w:val="24"/>
                <w:szCs w:val="24"/>
              </w:rPr>
            </w:pPr>
          </w:p>
        </w:tc>
        <w:tc>
          <w:tcPr>
            <w:tcW w:w="2448" w:type="dxa"/>
            <w:vAlign w:val="center"/>
          </w:tcPr>
          <w:p w14:paraId="11102352">
            <w:pPr>
              <w:pStyle w:val="15"/>
              <w:spacing w:line="480" w:lineRule="auto"/>
              <w:ind w:firstLine="480" w:firstLineChars="200"/>
              <w:jc w:val="left"/>
              <w:rPr>
                <w:rFonts w:asciiTheme="minorEastAsia" w:hAnsiTheme="minorEastAsia" w:cstheme="minorEastAsia"/>
                <w:sz w:val="24"/>
                <w:szCs w:val="24"/>
              </w:rPr>
            </w:pPr>
          </w:p>
        </w:tc>
        <w:tc>
          <w:tcPr>
            <w:tcW w:w="2042" w:type="dxa"/>
            <w:vAlign w:val="center"/>
          </w:tcPr>
          <w:p w14:paraId="2FEBD303">
            <w:pPr>
              <w:pStyle w:val="15"/>
              <w:spacing w:line="480" w:lineRule="auto"/>
              <w:ind w:firstLine="480" w:firstLineChars="200"/>
              <w:jc w:val="left"/>
              <w:rPr>
                <w:rFonts w:asciiTheme="minorEastAsia" w:hAnsiTheme="minorEastAsia" w:cstheme="minorEastAsia"/>
                <w:sz w:val="24"/>
                <w:szCs w:val="24"/>
              </w:rPr>
            </w:pPr>
          </w:p>
        </w:tc>
      </w:tr>
      <w:tr w14:paraId="3E9F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1A7BB44E">
            <w:pPr>
              <w:pStyle w:val="15"/>
              <w:spacing w:line="480" w:lineRule="auto"/>
              <w:ind w:firstLine="480" w:firstLineChars="200"/>
              <w:jc w:val="left"/>
              <w:rPr>
                <w:rFonts w:asciiTheme="minorEastAsia" w:hAnsiTheme="minorEastAsia" w:cstheme="minorEastAsia"/>
                <w:sz w:val="24"/>
                <w:szCs w:val="24"/>
              </w:rPr>
            </w:pPr>
          </w:p>
        </w:tc>
        <w:tc>
          <w:tcPr>
            <w:tcW w:w="1614" w:type="dxa"/>
          </w:tcPr>
          <w:p w14:paraId="26A2C891">
            <w:pPr>
              <w:pStyle w:val="15"/>
              <w:spacing w:line="480" w:lineRule="auto"/>
              <w:ind w:firstLine="480" w:firstLineChars="200"/>
              <w:jc w:val="left"/>
              <w:rPr>
                <w:rFonts w:asciiTheme="minorEastAsia" w:hAnsiTheme="minorEastAsia" w:cstheme="minorEastAsia"/>
                <w:sz w:val="24"/>
                <w:szCs w:val="24"/>
              </w:rPr>
            </w:pPr>
          </w:p>
        </w:tc>
        <w:tc>
          <w:tcPr>
            <w:tcW w:w="1680" w:type="dxa"/>
          </w:tcPr>
          <w:p w14:paraId="38AA538E">
            <w:pPr>
              <w:pStyle w:val="15"/>
              <w:spacing w:line="480" w:lineRule="auto"/>
              <w:ind w:firstLine="480" w:firstLineChars="200"/>
              <w:jc w:val="left"/>
              <w:rPr>
                <w:rFonts w:asciiTheme="minorEastAsia" w:hAnsiTheme="minorEastAsia" w:cstheme="minorEastAsia"/>
                <w:sz w:val="24"/>
                <w:szCs w:val="24"/>
              </w:rPr>
            </w:pPr>
          </w:p>
        </w:tc>
        <w:tc>
          <w:tcPr>
            <w:tcW w:w="2448" w:type="dxa"/>
          </w:tcPr>
          <w:p w14:paraId="0829B3E8">
            <w:pPr>
              <w:pStyle w:val="15"/>
              <w:spacing w:line="480" w:lineRule="auto"/>
              <w:ind w:firstLine="480" w:firstLineChars="200"/>
              <w:jc w:val="left"/>
              <w:rPr>
                <w:rFonts w:asciiTheme="minorEastAsia" w:hAnsiTheme="minorEastAsia" w:cstheme="minorEastAsia"/>
                <w:sz w:val="24"/>
                <w:szCs w:val="24"/>
              </w:rPr>
            </w:pPr>
          </w:p>
        </w:tc>
        <w:tc>
          <w:tcPr>
            <w:tcW w:w="2042" w:type="dxa"/>
          </w:tcPr>
          <w:p w14:paraId="4813E1D4">
            <w:pPr>
              <w:pStyle w:val="15"/>
              <w:spacing w:line="480" w:lineRule="auto"/>
              <w:ind w:firstLine="480" w:firstLineChars="200"/>
              <w:jc w:val="left"/>
              <w:rPr>
                <w:rFonts w:asciiTheme="minorEastAsia" w:hAnsiTheme="minorEastAsia" w:cstheme="minorEastAsia"/>
                <w:sz w:val="24"/>
                <w:szCs w:val="24"/>
              </w:rPr>
            </w:pPr>
          </w:p>
        </w:tc>
      </w:tr>
      <w:tr w14:paraId="6605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0EFEF2C0">
            <w:pPr>
              <w:pStyle w:val="15"/>
              <w:spacing w:line="480" w:lineRule="auto"/>
              <w:ind w:firstLine="480" w:firstLineChars="200"/>
              <w:jc w:val="left"/>
              <w:rPr>
                <w:rFonts w:asciiTheme="minorEastAsia" w:hAnsiTheme="minorEastAsia" w:cstheme="minorEastAsia"/>
                <w:sz w:val="24"/>
                <w:szCs w:val="24"/>
              </w:rPr>
            </w:pPr>
          </w:p>
        </w:tc>
        <w:tc>
          <w:tcPr>
            <w:tcW w:w="1614" w:type="dxa"/>
          </w:tcPr>
          <w:p w14:paraId="4D70754E">
            <w:pPr>
              <w:pStyle w:val="15"/>
              <w:spacing w:line="480" w:lineRule="auto"/>
              <w:ind w:firstLine="480" w:firstLineChars="200"/>
              <w:jc w:val="left"/>
              <w:rPr>
                <w:rFonts w:asciiTheme="minorEastAsia" w:hAnsiTheme="minorEastAsia" w:cstheme="minorEastAsia"/>
                <w:sz w:val="24"/>
                <w:szCs w:val="24"/>
              </w:rPr>
            </w:pPr>
          </w:p>
        </w:tc>
        <w:tc>
          <w:tcPr>
            <w:tcW w:w="1680" w:type="dxa"/>
          </w:tcPr>
          <w:p w14:paraId="12643B8A">
            <w:pPr>
              <w:pStyle w:val="15"/>
              <w:spacing w:line="480" w:lineRule="auto"/>
              <w:ind w:firstLine="480" w:firstLineChars="200"/>
              <w:jc w:val="left"/>
              <w:rPr>
                <w:rFonts w:asciiTheme="minorEastAsia" w:hAnsiTheme="minorEastAsia" w:cstheme="minorEastAsia"/>
                <w:sz w:val="24"/>
                <w:szCs w:val="24"/>
              </w:rPr>
            </w:pPr>
          </w:p>
        </w:tc>
        <w:tc>
          <w:tcPr>
            <w:tcW w:w="2448" w:type="dxa"/>
          </w:tcPr>
          <w:p w14:paraId="4B5A4862">
            <w:pPr>
              <w:pStyle w:val="15"/>
              <w:spacing w:line="480" w:lineRule="auto"/>
              <w:ind w:firstLine="480" w:firstLineChars="200"/>
              <w:jc w:val="left"/>
              <w:rPr>
                <w:rFonts w:asciiTheme="minorEastAsia" w:hAnsiTheme="minorEastAsia" w:cstheme="minorEastAsia"/>
                <w:sz w:val="24"/>
                <w:szCs w:val="24"/>
              </w:rPr>
            </w:pPr>
          </w:p>
        </w:tc>
        <w:tc>
          <w:tcPr>
            <w:tcW w:w="2042" w:type="dxa"/>
          </w:tcPr>
          <w:p w14:paraId="737DED9E">
            <w:pPr>
              <w:pStyle w:val="15"/>
              <w:spacing w:line="480" w:lineRule="auto"/>
              <w:ind w:firstLine="480" w:firstLineChars="200"/>
              <w:jc w:val="left"/>
              <w:rPr>
                <w:rFonts w:asciiTheme="minorEastAsia" w:hAnsiTheme="minorEastAsia" w:cstheme="minorEastAsia"/>
                <w:sz w:val="24"/>
                <w:szCs w:val="24"/>
              </w:rPr>
            </w:pPr>
          </w:p>
        </w:tc>
      </w:tr>
      <w:tr w14:paraId="57DC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34AA1F02">
            <w:pPr>
              <w:pStyle w:val="15"/>
              <w:spacing w:line="480" w:lineRule="auto"/>
              <w:ind w:firstLine="480" w:firstLineChars="200"/>
              <w:jc w:val="left"/>
              <w:rPr>
                <w:rFonts w:asciiTheme="minorEastAsia" w:hAnsiTheme="minorEastAsia" w:cstheme="minorEastAsia"/>
                <w:sz w:val="24"/>
                <w:szCs w:val="24"/>
              </w:rPr>
            </w:pPr>
          </w:p>
        </w:tc>
        <w:tc>
          <w:tcPr>
            <w:tcW w:w="1614" w:type="dxa"/>
          </w:tcPr>
          <w:p w14:paraId="2FE669C7">
            <w:pPr>
              <w:pStyle w:val="15"/>
              <w:spacing w:line="480" w:lineRule="auto"/>
              <w:ind w:firstLine="480" w:firstLineChars="200"/>
              <w:jc w:val="left"/>
              <w:rPr>
                <w:rFonts w:asciiTheme="minorEastAsia" w:hAnsiTheme="minorEastAsia" w:cstheme="minorEastAsia"/>
                <w:sz w:val="24"/>
                <w:szCs w:val="24"/>
              </w:rPr>
            </w:pPr>
          </w:p>
        </w:tc>
        <w:tc>
          <w:tcPr>
            <w:tcW w:w="1680" w:type="dxa"/>
          </w:tcPr>
          <w:p w14:paraId="1700C7C6">
            <w:pPr>
              <w:pStyle w:val="15"/>
              <w:spacing w:line="480" w:lineRule="auto"/>
              <w:ind w:firstLine="480" w:firstLineChars="200"/>
              <w:jc w:val="left"/>
              <w:rPr>
                <w:rFonts w:asciiTheme="minorEastAsia" w:hAnsiTheme="minorEastAsia" w:cstheme="minorEastAsia"/>
                <w:sz w:val="24"/>
                <w:szCs w:val="24"/>
              </w:rPr>
            </w:pPr>
          </w:p>
        </w:tc>
        <w:tc>
          <w:tcPr>
            <w:tcW w:w="2448" w:type="dxa"/>
          </w:tcPr>
          <w:p w14:paraId="37FEA0AB">
            <w:pPr>
              <w:pStyle w:val="15"/>
              <w:spacing w:line="480" w:lineRule="auto"/>
              <w:ind w:firstLine="480" w:firstLineChars="200"/>
              <w:jc w:val="left"/>
              <w:rPr>
                <w:rFonts w:asciiTheme="minorEastAsia" w:hAnsiTheme="minorEastAsia" w:cstheme="minorEastAsia"/>
                <w:sz w:val="24"/>
                <w:szCs w:val="24"/>
              </w:rPr>
            </w:pPr>
          </w:p>
        </w:tc>
        <w:tc>
          <w:tcPr>
            <w:tcW w:w="2042" w:type="dxa"/>
          </w:tcPr>
          <w:p w14:paraId="6AF908AB">
            <w:pPr>
              <w:pStyle w:val="15"/>
              <w:spacing w:line="480" w:lineRule="auto"/>
              <w:ind w:firstLine="480" w:firstLineChars="200"/>
              <w:jc w:val="left"/>
              <w:rPr>
                <w:rFonts w:asciiTheme="minorEastAsia" w:hAnsiTheme="minorEastAsia" w:cstheme="minorEastAsia"/>
                <w:sz w:val="24"/>
                <w:szCs w:val="24"/>
              </w:rPr>
            </w:pPr>
          </w:p>
        </w:tc>
      </w:tr>
      <w:tr w14:paraId="54FD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19E0B2A7">
            <w:pPr>
              <w:pStyle w:val="15"/>
              <w:spacing w:line="480" w:lineRule="auto"/>
              <w:ind w:firstLine="480" w:firstLineChars="200"/>
              <w:jc w:val="left"/>
              <w:rPr>
                <w:rFonts w:asciiTheme="minorEastAsia" w:hAnsiTheme="minorEastAsia" w:cstheme="minorEastAsia"/>
                <w:sz w:val="24"/>
                <w:szCs w:val="24"/>
              </w:rPr>
            </w:pPr>
          </w:p>
        </w:tc>
        <w:tc>
          <w:tcPr>
            <w:tcW w:w="1614" w:type="dxa"/>
          </w:tcPr>
          <w:p w14:paraId="29A1F704">
            <w:pPr>
              <w:pStyle w:val="15"/>
              <w:spacing w:line="480" w:lineRule="auto"/>
              <w:ind w:firstLine="480" w:firstLineChars="200"/>
              <w:jc w:val="left"/>
              <w:rPr>
                <w:rFonts w:asciiTheme="minorEastAsia" w:hAnsiTheme="minorEastAsia" w:cstheme="minorEastAsia"/>
                <w:sz w:val="24"/>
                <w:szCs w:val="24"/>
              </w:rPr>
            </w:pPr>
          </w:p>
        </w:tc>
        <w:tc>
          <w:tcPr>
            <w:tcW w:w="1680" w:type="dxa"/>
          </w:tcPr>
          <w:p w14:paraId="5E18BD63">
            <w:pPr>
              <w:pStyle w:val="15"/>
              <w:spacing w:line="480" w:lineRule="auto"/>
              <w:ind w:firstLine="480" w:firstLineChars="200"/>
              <w:jc w:val="left"/>
              <w:rPr>
                <w:rFonts w:asciiTheme="minorEastAsia" w:hAnsiTheme="minorEastAsia" w:cstheme="minorEastAsia"/>
                <w:sz w:val="24"/>
                <w:szCs w:val="24"/>
              </w:rPr>
            </w:pPr>
          </w:p>
        </w:tc>
        <w:tc>
          <w:tcPr>
            <w:tcW w:w="2448" w:type="dxa"/>
          </w:tcPr>
          <w:p w14:paraId="0C80E138">
            <w:pPr>
              <w:pStyle w:val="15"/>
              <w:spacing w:line="480" w:lineRule="auto"/>
              <w:ind w:firstLine="480" w:firstLineChars="200"/>
              <w:jc w:val="left"/>
              <w:rPr>
                <w:rFonts w:asciiTheme="minorEastAsia" w:hAnsiTheme="minorEastAsia" w:cstheme="minorEastAsia"/>
                <w:sz w:val="24"/>
                <w:szCs w:val="24"/>
              </w:rPr>
            </w:pPr>
          </w:p>
        </w:tc>
        <w:tc>
          <w:tcPr>
            <w:tcW w:w="2042" w:type="dxa"/>
          </w:tcPr>
          <w:p w14:paraId="40096E1A">
            <w:pPr>
              <w:pStyle w:val="15"/>
              <w:spacing w:line="480" w:lineRule="auto"/>
              <w:ind w:firstLine="480" w:firstLineChars="200"/>
              <w:jc w:val="left"/>
              <w:rPr>
                <w:rFonts w:asciiTheme="minorEastAsia" w:hAnsiTheme="minorEastAsia" w:cstheme="minorEastAsia"/>
                <w:sz w:val="24"/>
                <w:szCs w:val="24"/>
              </w:rPr>
            </w:pPr>
          </w:p>
        </w:tc>
      </w:tr>
      <w:tr w14:paraId="6FAF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7CC3D5A1">
            <w:pPr>
              <w:pStyle w:val="15"/>
              <w:spacing w:line="480" w:lineRule="auto"/>
              <w:ind w:firstLine="480" w:firstLineChars="200"/>
              <w:jc w:val="left"/>
              <w:rPr>
                <w:rFonts w:asciiTheme="minorEastAsia" w:hAnsiTheme="minorEastAsia" w:cstheme="minorEastAsia"/>
                <w:sz w:val="24"/>
                <w:szCs w:val="24"/>
              </w:rPr>
            </w:pPr>
          </w:p>
        </w:tc>
        <w:tc>
          <w:tcPr>
            <w:tcW w:w="1614" w:type="dxa"/>
          </w:tcPr>
          <w:p w14:paraId="1A267064">
            <w:pPr>
              <w:pStyle w:val="15"/>
              <w:spacing w:line="480" w:lineRule="auto"/>
              <w:ind w:firstLine="480" w:firstLineChars="200"/>
              <w:jc w:val="left"/>
              <w:rPr>
                <w:rFonts w:asciiTheme="minorEastAsia" w:hAnsiTheme="minorEastAsia" w:cstheme="minorEastAsia"/>
                <w:sz w:val="24"/>
                <w:szCs w:val="24"/>
              </w:rPr>
            </w:pPr>
          </w:p>
        </w:tc>
        <w:tc>
          <w:tcPr>
            <w:tcW w:w="1680" w:type="dxa"/>
          </w:tcPr>
          <w:p w14:paraId="41474425">
            <w:pPr>
              <w:pStyle w:val="15"/>
              <w:spacing w:line="480" w:lineRule="auto"/>
              <w:ind w:firstLine="480" w:firstLineChars="200"/>
              <w:jc w:val="left"/>
              <w:rPr>
                <w:rFonts w:asciiTheme="minorEastAsia" w:hAnsiTheme="minorEastAsia" w:cstheme="minorEastAsia"/>
                <w:sz w:val="24"/>
                <w:szCs w:val="24"/>
              </w:rPr>
            </w:pPr>
          </w:p>
        </w:tc>
        <w:tc>
          <w:tcPr>
            <w:tcW w:w="2448" w:type="dxa"/>
          </w:tcPr>
          <w:p w14:paraId="2300A211">
            <w:pPr>
              <w:pStyle w:val="15"/>
              <w:spacing w:line="480" w:lineRule="auto"/>
              <w:ind w:firstLine="480" w:firstLineChars="200"/>
              <w:jc w:val="left"/>
              <w:rPr>
                <w:rFonts w:asciiTheme="minorEastAsia" w:hAnsiTheme="minorEastAsia" w:cstheme="minorEastAsia"/>
                <w:sz w:val="24"/>
                <w:szCs w:val="24"/>
              </w:rPr>
            </w:pPr>
          </w:p>
        </w:tc>
        <w:tc>
          <w:tcPr>
            <w:tcW w:w="2042" w:type="dxa"/>
          </w:tcPr>
          <w:p w14:paraId="0225BFC9">
            <w:pPr>
              <w:pStyle w:val="15"/>
              <w:spacing w:line="480" w:lineRule="auto"/>
              <w:ind w:firstLine="480" w:firstLineChars="200"/>
              <w:jc w:val="left"/>
              <w:rPr>
                <w:rFonts w:asciiTheme="minorEastAsia" w:hAnsiTheme="minorEastAsia" w:cstheme="minorEastAsia"/>
                <w:sz w:val="24"/>
                <w:szCs w:val="24"/>
              </w:rPr>
            </w:pPr>
          </w:p>
        </w:tc>
      </w:tr>
      <w:tr w14:paraId="4C6B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tcPr>
          <w:p w14:paraId="7FAEC827">
            <w:pPr>
              <w:pStyle w:val="15"/>
              <w:spacing w:line="480" w:lineRule="auto"/>
              <w:ind w:firstLine="480" w:firstLineChars="200"/>
              <w:jc w:val="left"/>
              <w:rPr>
                <w:rFonts w:asciiTheme="minorEastAsia" w:hAnsiTheme="minorEastAsia" w:cstheme="minorEastAsia"/>
                <w:sz w:val="24"/>
                <w:szCs w:val="24"/>
              </w:rPr>
            </w:pPr>
          </w:p>
        </w:tc>
        <w:tc>
          <w:tcPr>
            <w:tcW w:w="1614" w:type="dxa"/>
          </w:tcPr>
          <w:p w14:paraId="2377CA68">
            <w:pPr>
              <w:pStyle w:val="15"/>
              <w:spacing w:line="480" w:lineRule="auto"/>
              <w:ind w:firstLine="480" w:firstLineChars="200"/>
              <w:jc w:val="left"/>
              <w:rPr>
                <w:rFonts w:asciiTheme="minorEastAsia" w:hAnsiTheme="minorEastAsia" w:cstheme="minorEastAsia"/>
                <w:sz w:val="24"/>
                <w:szCs w:val="24"/>
              </w:rPr>
            </w:pPr>
          </w:p>
        </w:tc>
        <w:tc>
          <w:tcPr>
            <w:tcW w:w="1680" w:type="dxa"/>
          </w:tcPr>
          <w:p w14:paraId="5D5128C1">
            <w:pPr>
              <w:pStyle w:val="15"/>
              <w:spacing w:line="480" w:lineRule="auto"/>
              <w:ind w:firstLine="480" w:firstLineChars="200"/>
              <w:jc w:val="left"/>
              <w:rPr>
                <w:rFonts w:asciiTheme="minorEastAsia" w:hAnsiTheme="minorEastAsia" w:cstheme="minorEastAsia"/>
                <w:sz w:val="24"/>
                <w:szCs w:val="24"/>
              </w:rPr>
            </w:pPr>
          </w:p>
        </w:tc>
        <w:tc>
          <w:tcPr>
            <w:tcW w:w="2448" w:type="dxa"/>
          </w:tcPr>
          <w:p w14:paraId="4ECD18CF">
            <w:pPr>
              <w:pStyle w:val="15"/>
              <w:spacing w:line="480" w:lineRule="auto"/>
              <w:ind w:firstLine="480" w:firstLineChars="200"/>
              <w:jc w:val="left"/>
              <w:rPr>
                <w:rFonts w:asciiTheme="minorEastAsia" w:hAnsiTheme="minorEastAsia" w:cstheme="minorEastAsia"/>
                <w:sz w:val="24"/>
                <w:szCs w:val="24"/>
              </w:rPr>
            </w:pPr>
          </w:p>
        </w:tc>
        <w:tc>
          <w:tcPr>
            <w:tcW w:w="2042" w:type="dxa"/>
          </w:tcPr>
          <w:p w14:paraId="74D5D044">
            <w:pPr>
              <w:pStyle w:val="15"/>
              <w:spacing w:line="480" w:lineRule="auto"/>
              <w:ind w:firstLine="480" w:firstLineChars="200"/>
              <w:jc w:val="left"/>
              <w:rPr>
                <w:rFonts w:asciiTheme="minorEastAsia" w:hAnsiTheme="minorEastAsia" w:cstheme="minorEastAsia"/>
                <w:sz w:val="24"/>
                <w:szCs w:val="24"/>
              </w:rPr>
            </w:pPr>
          </w:p>
        </w:tc>
      </w:tr>
    </w:tbl>
    <w:p w14:paraId="72C8BE1B">
      <w:pPr>
        <w:pStyle w:val="5"/>
        <w:ind w:firstLine="0"/>
        <w:rPr>
          <w:rFonts w:ascii="宋体" w:hAnsi="宋体"/>
          <w:b/>
          <w:bCs/>
          <w:sz w:val="28"/>
          <w:szCs w:val="28"/>
        </w:rPr>
      </w:pPr>
      <w:r>
        <w:rPr>
          <w:rFonts w:hint="eastAsia" w:ascii="宋体" w:hAnsi="宋体"/>
          <w:b/>
          <w:bCs/>
          <w:sz w:val="28"/>
          <w:szCs w:val="28"/>
        </w:rPr>
        <w:t>填写说明：投标人</w:t>
      </w:r>
      <w:r>
        <w:rPr>
          <w:rFonts w:hint="eastAsia" w:ascii="宋体" w:hAnsi="宋体"/>
          <w:b/>
          <w:bCs/>
          <w:sz w:val="28"/>
          <w:szCs w:val="28"/>
          <w:lang w:val="en-US" w:eastAsia="zh-CN"/>
        </w:rPr>
        <w:t>按照招标文件第五部分采购要求中的“一、商务要求”内容</w:t>
      </w:r>
      <w:r>
        <w:rPr>
          <w:rFonts w:hint="eastAsia" w:ascii="宋体" w:hAnsi="宋体"/>
          <w:b/>
          <w:bCs/>
          <w:sz w:val="28"/>
          <w:szCs w:val="28"/>
        </w:rPr>
        <w:t>对本项目付款、服务期限、质保期、履约验收等商务方面进行响应说明，并保证响应的真实性。</w:t>
      </w:r>
    </w:p>
    <w:p w14:paraId="7104277C">
      <w:pPr>
        <w:pStyle w:val="5"/>
        <w:ind w:firstLine="0"/>
        <w:rPr>
          <w:rFonts w:ascii="宋体" w:hAnsi="宋体"/>
          <w:b/>
          <w:bCs/>
          <w:sz w:val="28"/>
          <w:szCs w:val="28"/>
        </w:rPr>
      </w:pPr>
      <w:r>
        <w:rPr>
          <w:rFonts w:hint="eastAsia" w:ascii="宋体" w:hAnsi="宋体"/>
          <w:b/>
          <w:bCs/>
          <w:sz w:val="28"/>
          <w:szCs w:val="28"/>
        </w:rPr>
        <w:t>偏差说明填写：正偏离（标明正偏离内容）、符合。</w:t>
      </w:r>
    </w:p>
    <w:p w14:paraId="7D3D7027">
      <w:pPr>
        <w:pStyle w:val="5"/>
        <w:ind w:firstLine="0"/>
        <w:rPr>
          <w:rFonts w:ascii="宋体" w:hAnsi="宋体"/>
          <w:sz w:val="28"/>
          <w:szCs w:val="28"/>
        </w:rPr>
      </w:pPr>
      <w:r>
        <w:rPr>
          <w:rFonts w:hint="eastAsia" w:ascii="宋体" w:hAnsi="宋体"/>
          <w:b/>
          <w:bCs/>
          <w:sz w:val="28"/>
          <w:szCs w:val="28"/>
        </w:rPr>
        <w:t>商务条款不允许负偏离；</w:t>
      </w:r>
    </w:p>
    <w:p w14:paraId="3E97F183">
      <w:pPr>
        <w:adjustRightInd w:val="0"/>
        <w:snapToGrid w:val="0"/>
        <w:spacing w:line="480" w:lineRule="auto"/>
        <w:jc w:val="left"/>
        <w:rPr>
          <w:rFonts w:ascii="宋体" w:hAnsi="宋体" w:cs="宋体"/>
          <w:sz w:val="28"/>
          <w:szCs w:val="28"/>
        </w:rPr>
      </w:pPr>
    </w:p>
    <w:p w14:paraId="10BE70DD">
      <w:pPr>
        <w:adjustRightInd w:val="0"/>
        <w:snapToGrid w:val="0"/>
        <w:spacing w:line="480" w:lineRule="auto"/>
        <w:jc w:val="left"/>
        <w:rPr>
          <w:rFonts w:ascii="宋体" w:hAnsi="宋体" w:cs="宋体"/>
          <w:sz w:val="28"/>
          <w:szCs w:val="28"/>
          <w:u w:val="single"/>
        </w:rPr>
      </w:pPr>
      <w:r>
        <w:rPr>
          <w:rFonts w:hint="eastAsia" w:ascii="宋体" w:hAnsi="宋体" w:cs="宋体"/>
          <w:sz w:val="28"/>
          <w:szCs w:val="28"/>
        </w:rPr>
        <w:t>投标人（单位名称及公章）：</w:t>
      </w:r>
    </w:p>
    <w:p w14:paraId="080D2EDE">
      <w:pPr>
        <w:adjustRightInd w:val="0"/>
        <w:snapToGrid w:val="0"/>
        <w:spacing w:line="480" w:lineRule="auto"/>
        <w:rPr>
          <w:rFonts w:ascii="宋体" w:hAnsi="宋体" w:cs="宋体"/>
          <w:sz w:val="28"/>
          <w:szCs w:val="28"/>
        </w:rPr>
      </w:pPr>
      <w:r>
        <w:rPr>
          <w:rFonts w:hint="eastAsia" w:ascii="宋体" w:hAnsi="宋体" w:cs="宋体"/>
          <w:sz w:val="28"/>
          <w:szCs w:val="28"/>
        </w:rPr>
        <w:t>法定代表人/被授权人（签字或盖章）：</w:t>
      </w:r>
    </w:p>
    <w:p w14:paraId="7F4F826C">
      <w:pPr>
        <w:adjustRightInd w:val="0"/>
        <w:snapToGrid w:val="0"/>
        <w:spacing w:line="480" w:lineRule="auto"/>
        <w:rPr>
          <w:rFonts w:ascii="宋体" w:hAnsi="宋体"/>
          <w:sz w:val="28"/>
          <w:szCs w:val="28"/>
        </w:rPr>
        <w:sectPr>
          <w:headerReference r:id="rId14" w:type="default"/>
          <w:footerReference r:id="rId15" w:type="default"/>
          <w:pgSz w:w="11906" w:h="16838"/>
          <w:pgMar w:top="1440" w:right="1803" w:bottom="1440" w:left="1803" w:header="851" w:footer="992" w:gutter="0"/>
          <w:cols w:space="720" w:num="1"/>
          <w:docGrid w:type="lines" w:linePitch="319" w:charSpace="0"/>
        </w:sectPr>
      </w:pPr>
      <w:r>
        <w:rPr>
          <w:rFonts w:hint="eastAsia" w:ascii="宋体" w:hAnsi="宋体" w:cs="宋体"/>
          <w:sz w:val="28"/>
          <w:szCs w:val="28"/>
        </w:rPr>
        <w:t>日    期：   年   月  日</w:t>
      </w:r>
    </w:p>
    <w:p w14:paraId="74D3C1AF">
      <w:pPr>
        <w:pStyle w:val="27"/>
        <w:ind w:firstLine="280"/>
        <w:rPr>
          <w:rFonts w:asciiTheme="minorEastAsia" w:hAnsiTheme="minorEastAsia" w:cstheme="minorEastAsia"/>
          <w:sz w:val="28"/>
          <w:szCs w:val="28"/>
        </w:rPr>
      </w:pPr>
      <w:r>
        <w:rPr>
          <w:rFonts w:hint="eastAsia" w:asciiTheme="minorEastAsia" w:hAnsiTheme="minorEastAsia" w:cstheme="minorEastAsia"/>
          <w:sz w:val="28"/>
          <w:szCs w:val="28"/>
        </w:rPr>
        <w:t>表2、技术响应偏差表</w:t>
      </w:r>
    </w:p>
    <w:p w14:paraId="64C03629">
      <w:pPr>
        <w:kinsoku w:val="0"/>
        <w:spacing w:line="480" w:lineRule="auto"/>
        <w:ind w:left="1232" w:hanging="1232" w:hangingChars="440"/>
        <w:jc w:val="left"/>
        <w:rPr>
          <w:rFonts w:asciiTheme="minorEastAsia" w:hAnsiTheme="minorEastAsia" w:cstheme="minorEastAsia"/>
          <w:sz w:val="28"/>
          <w:szCs w:val="28"/>
        </w:rPr>
      </w:pPr>
      <w:r>
        <w:rPr>
          <w:rFonts w:hint="eastAsia" w:asciiTheme="minorEastAsia" w:hAnsiTheme="minorEastAsia" w:cstheme="minorEastAsia"/>
          <w:sz w:val="28"/>
          <w:szCs w:val="28"/>
          <w:u w:val="single"/>
        </w:rPr>
        <w:t xml:space="preserve">                                          </w:t>
      </w:r>
    </w:p>
    <w:tbl>
      <w:tblPr>
        <w:tblStyle w:val="28"/>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558"/>
        <w:gridCol w:w="1506"/>
        <w:gridCol w:w="1614"/>
      </w:tblGrid>
      <w:tr w14:paraId="526E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14:paraId="3B2C33B1">
            <w:pPr>
              <w:pStyle w:val="15"/>
              <w:spacing w:line="480" w:lineRule="auto"/>
              <w:jc w:val="center"/>
              <w:rPr>
                <w:rFonts w:asciiTheme="minorEastAsia" w:hAnsiTheme="minorEastAsia" w:cstheme="minorEastAsia"/>
                <w:sz w:val="24"/>
                <w:szCs w:val="24"/>
              </w:rPr>
            </w:pPr>
            <w:bookmarkStart w:id="122" w:name="OLE_LINK15"/>
            <w:r>
              <w:rPr>
                <w:rFonts w:hint="eastAsia" w:asciiTheme="minorEastAsia" w:hAnsiTheme="minorEastAsia" w:cstheme="minorEastAsia"/>
                <w:sz w:val="24"/>
                <w:szCs w:val="24"/>
              </w:rPr>
              <w:t>序号</w:t>
            </w:r>
          </w:p>
        </w:tc>
        <w:tc>
          <w:tcPr>
            <w:tcW w:w="2864" w:type="dxa"/>
            <w:vAlign w:val="center"/>
          </w:tcPr>
          <w:p w14:paraId="06D85614">
            <w:pPr>
              <w:pStyle w:val="15"/>
              <w:spacing w:line="48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招标文件技术要求</w:t>
            </w:r>
          </w:p>
        </w:tc>
        <w:tc>
          <w:tcPr>
            <w:tcW w:w="2558" w:type="dxa"/>
            <w:vAlign w:val="center"/>
          </w:tcPr>
          <w:p w14:paraId="1ECC2D7E">
            <w:pPr>
              <w:pStyle w:val="15"/>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投标文件</w:t>
            </w:r>
          </w:p>
          <w:p w14:paraId="23CE6C84">
            <w:pPr>
              <w:pStyle w:val="15"/>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响应内容</w:t>
            </w:r>
          </w:p>
        </w:tc>
        <w:tc>
          <w:tcPr>
            <w:tcW w:w="1506" w:type="dxa"/>
            <w:vAlign w:val="center"/>
          </w:tcPr>
          <w:p w14:paraId="046F20EC">
            <w:pPr>
              <w:pStyle w:val="15"/>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偏差说明</w:t>
            </w:r>
          </w:p>
        </w:tc>
        <w:tc>
          <w:tcPr>
            <w:tcW w:w="1614" w:type="dxa"/>
            <w:vAlign w:val="center"/>
          </w:tcPr>
          <w:p w14:paraId="254EBEC6">
            <w:pPr>
              <w:pStyle w:val="15"/>
              <w:spacing w:line="480"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证明资料</w:t>
            </w:r>
          </w:p>
          <w:p w14:paraId="3BF04159">
            <w:pPr>
              <w:pStyle w:val="15"/>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页码</w:t>
            </w:r>
          </w:p>
        </w:tc>
      </w:tr>
      <w:tr w14:paraId="2B3D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26DC862B">
            <w:pPr>
              <w:pStyle w:val="15"/>
              <w:spacing w:line="480" w:lineRule="auto"/>
              <w:ind w:firstLine="480" w:firstLineChars="200"/>
              <w:jc w:val="left"/>
              <w:rPr>
                <w:rFonts w:asciiTheme="minorEastAsia" w:hAnsiTheme="minorEastAsia" w:cstheme="minorEastAsia"/>
                <w:sz w:val="24"/>
                <w:szCs w:val="24"/>
              </w:rPr>
            </w:pPr>
          </w:p>
        </w:tc>
        <w:tc>
          <w:tcPr>
            <w:tcW w:w="2864" w:type="dxa"/>
            <w:vAlign w:val="center"/>
          </w:tcPr>
          <w:p w14:paraId="36AF27B4">
            <w:pPr>
              <w:pStyle w:val="15"/>
              <w:spacing w:line="480" w:lineRule="auto"/>
              <w:ind w:firstLine="480" w:firstLineChars="200"/>
              <w:jc w:val="left"/>
              <w:rPr>
                <w:rFonts w:asciiTheme="minorEastAsia" w:hAnsiTheme="minorEastAsia" w:cstheme="minorEastAsia"/>
                <w:sz w:val="24"/>
                <w:szCs w:val="24"/>
              </w:rPr>
            </w:pPr>
          </w:p>
        </w:tc>
        <w:tc>
          <w:tcPr>
            <w:tcW w:w="2558" w:type="dxa"/>
            <w:vAlign w:val="center"/>
          </w:tcPr>
          <w:p w14:paraId="6B4ADC50">
            <w:pPr>
              <w:pStyle w:val="15"/>
              <w:spacing w:line="480" w:lineRule="auto"/>
              <w:ind w:firstLine="480" w:firstLineChars="200"/>
              <w:jc w:val="left"/>
              <w:rPr>
                <w:rFonts w:asciiTheme="minorEastAsia" w:hAnsiTheme="minorEastAsia" w:cstheme="minorEastAsia"/>
                <w:sz w:val="24"/>
                <w:szCs w:val="24"/>
              </w:rPr>
            </w:pPr>
          </w:p>
        </w:tc>
        <w:tc>
          <w:tcPr>
            <w:tcW w:w="1506" w:type="dxa"/>
            <w:vAlign w:val="center"/>
          </w:tcPr>
          <w:p w14:paraId="5C4282BF">
            <w:pPr>
              <w:pStyle w:val="15"/>
              <w:spacing w:line="480" w:lineRule="auto"/>
              <w:ind w:firstLine="480" w:firstLineChars="200"/>
              <w:jc w:val="left"/>
              <w:rPr>
                <w:rFonts w:asciiTheme="minorEastAsia" w:hAnsiTheme="minorEastAsia" w:cstheme="minorEastAsia"/>
                <w:sz w:val="24"/>
                <w:szCs w:val="24"/>
              </w:rPr>
            </w:pPr>
          </w:p>
        </w:tc>
        <w:tc>
          <w:tcPr>
            <w:tcW w:w="1614" w:type="dxa"/>
            <w:vAlign w:val="center"/>
          </w:tcPr>
          <w:p w14:paraId="59C7C615">
            <w:pPr>
              <w:pStyle w:val="15"/>
              <w:spacing w:line="480" w:lineRule="auto"/>
              <w:ind w:firstLine="480" w:firstLineChars="200"/>
              <w:jc w:val="left"/>
              <w:rPr>
                <w:rFonts w:asciiTheme="minorEastAsia" w:hAnsiTheme="minorEastAsia" w:cstheme="minorEastAsia"/>
                <w:sz w:val="24"/>
                <w:szCs w:val="24"/>
              </w:rPr>
            </w:pPr>
          </w:p>
        </w:tc>
      </w:tr>
      <w:tr w14:paraId="7911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07E822E6">
            <w:pPr>
              <w:pStyle w:val="15"/>
              <w:spacing w:line="480" w:lineRule="auto"/>
              <w:ind w:firstLine="480" w:firstLineChars="200"/>
              <w:jc w:val="left"/>
              <w:rPr>
                <w:rFonts w:asciiTheme="minorEastAsia" w:hAnsiTheme="minorEastAsia" w:cstheme="minorEastAsia"/>
                <w:sz w:val="24"/>
                <w:szCs w:val="24"/>
              </w:rPr>
            </w:pPr>
          </w:p>
        </w:tc>
        <w:tc>
          <w:tcPr>
            <w:tcW w:w="2864" w:type="dxa"/>
          </w:tcPr>
          <w:p w14:paraId="54BCF0BF">
            <w:pPr>
              <w:pStyle w:val="15"/>
              <w:spacing w:line="480" w:lineRule="auto"/>
              <w:ind w:firstLine="480" w:firstLineChars="200"/>
              <w:jc w:val="left"/>
              <w:rPr>
                <w:rFonts w:asciiTheme="minorEastAsia" w:hAnsiTheme="minorEastAsia" w:cstheme="minorEastAsia"/>
                <w:sz w:val="24"/>
                <w:szCs w:val="24"/>
              </w:rPr>
            </w:pPr>
          </w:p>
        </w:tc>
        <w:tc>
          <w:tcPr>
            <w:tcW w:w="2558" w:type="dxa"/>
          </w:tcPr>
          <w:p w14:paraId="5E80D2C6">
            <w:pPr>
              <w:pStyle w:val="15"/>
              <w:spacing w:line="480" w:lineRule="auto"/>
              <w:ind w:firstLine="480" w:firstLineChars="200"/>
              <w:jc w:val="left"/>
              <w:rPr>
                <w:rFonts w:asciiTheme="minorEastAsia" w:hAnsiTheme="minorEastAsia" w:cstheme="minorEastAsia"/>
                <w:sz w:val="24"/>
                <w:szCs w:val="24"/>
              </w:rPr>
            </w:pPr>
          </w:p>
        </w:tc>
        <w:tc>
          <w:tcPr>
            <w:tcW w:w="1506" w:type="dxa"/>
          </w:tcPr>
          <w:p w14:paraId="44ECE0FF">
            <w:pPr>
              <w:pStyle w:val="15"/>
              <w:spacing w:line="480" w:lineRule="auto"/>
              <w:ind w:firstLine="480" w:firstLineChars="200"/>
              <w:jc w:val="left"/>
              <w:rPr>
                <w:rFonts w:asciiTheme="minorEastAsia" w:hAnsiTheme="minorEastAsia" w:cstheme="minorEastAsia"/>
                <w:sz w:val="24"/>
                <w:szCs w:val="24"/>
              </w:rPr>
            </w:pPr>
          </w:p>
        </w:tc>
        <w:tc>
          <w:tcPr>
            <w:tcW w:w="1614" w:type="dxa"/>
          </w:tcPr>
          <w:p w14:paraId="11AB2EE0">
            <w:pPr>
              <w:pStyle w:val="15"/>
              <w:spacing w:line="480" w:lineRule="auto"/>
              <w:ind w:firstLine="480" w:firstLineChars="200"/>
              <w:jc w:val="left"/>
              <w:rPr>
                <w:rFonts w:asciiTheme="minorEastAsia" w:hAnsiTheme="minorEastAsia" w:cstheme="minorEastAsia"/>
                <w:sz w:val="24"/>
                <w:szCs w:val="24"/>
              </w:rPr>
            </w:pPr>
          </w:p>
        </w:tc>
      </w:tr>
      <w:tr w14:paraId="6507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7851D7B2">
            <w:pPr>
              <w:pStyle w:val="15"/>
              <w:spacing w:line="480" w:lineRule="auto"/>
              <w:ind w:firstLine="480" w:firstLineChars="200"/>
              <w:jc w:val="left"/>
              <w:rPr>
                <w:rFonts w:asciiTheme="minorEastAsia" w:hAnsiTheme="minorEastAsia" w:cstheme="minorEastAsia"/>
                <w:sz w:val="24"/>
                <w:szCs w:val="24"/>
              </w:rPr>
            </w:pPr>
          </w:p>
        </w:tc>
        <w:tc>
          <w:tcPr>
            <w:tcW w:w="2864" w:type="dxa"/>
          </w:tcPr>
          <w:p w14:paraId="3BF41239">
            <w:pPr>
              <w:pStyle w:val="15"/>
              <w:spacing w:line="480" w:lineRule="auto"/>
              <w:ind w:firstLine="480" w:firstLineChars="200"/>
              <w:jc w:val="left"/>
              <w:rPr>
                <w:rFonts w:asciiTheme="minorEastAsia" w:hAnsiTheme="minorEastAsia" w:cstheme="minorEastAsia"/>
                <w:sz w:val="24"/>
                <w:szCs w:val="24"/>
              </w:rPr>
            </w:pPr>
          </w:p>
        </w:tc>
        <w:tc>
          <w:tcPr>
            <w:tcW w:w="2558" w:type="dxa"/>
          </w:tcPr>
          <w:p w14:paraId="30B2B5D6">
            <w:pPr>
              <w:pStyle w:val="15"/>
              <w:spacing w:line="480" w:lineRule="auto"/>
              <w:ind w:firstLine="480" w:firstLineChars="200"/>
              <w:jc w:val="left"/>
              <w:rPr>
                <w:rFonts w:asciiTheme="minorEastAsia" w:hAnsiTheme="minorEastAsia" w:cstheme="minorEastAsia"/>
                <w:sz w:val="24"/>
                <w:szCs w:val="24"/>
              </w:rPr>
            </w:pPr>
          </w:p>
        </w:tc>
        <w:tc>
          <w:tcPr>
            <w:tcW w:w="1506" w:type="dxa"/>
          </w:tcPr>
          <w:p w14:paraId="260FBEAF">
            <w:pPr>
              <w:pStyle w:val="15"/>
              <w:spacing w:line="480" w:lineRule="auto"/>
              <w:ind w:firstLine="480" w:firstLineChars="200"/>
              <w:jc w:val="left"/>
              <w:rPr>
                <w:rFonts w:asciiTheme="minorEastAsia" w:hAnsiTheme="minorEastAsia" w:cstheme="minorEastAsia"/>
                <w:sz w:val="24"/>
                <w:szCs w:val="24"/>
              </w:rPr>
            </w:pPr>
          </w:p>
        </w:tc>
        <w:tc>
          <w:tcPr>
            <w:tcW w:w="1614" w:type="dxa"/>
          </w:tcPr>
          <w:p w14:paraId="626DAEC8">
            <w:pPr>
              <w:pStyle w:val="15"/>
              <w:spacing w:line="480" w:lineRule="auto"/>
              <w:ind w:firstLine="480" w:firstLineChars="200"/>
              <w:jc w:val="left"/>
              <w:rPr>
                <w:rFonts w:asciiTheme="minorEastAsia" w:hAnsiTheme="minorEastAsia" w:cstheme="minorEastAsia"/>
                <w:sz w:val="24"/>
                <w:szCs w:val="24"/>
              </w:rPr>
            </w:pPr>
          </w:p>
        </w:tc>
      </w:tr>
      <w:tr w14:paraId="6023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0129A361">
            <w:pPr>
              <w:pStyle w:val="15"/>
              <w:spacing w:line="480" w:lineRule="auto"/>
              <w:ind w:firstLine="480" w:firstLineChars="200"/>
              <w:jc w:val="left"/>
              <w:rPr>
                <w:rFonts w:asciiTheme="minorEastAsia" w:hAnsiTheme="minorEastAsia" w:cstheme="minorEastAsia"/>
                <w:sz w:val="24"/>
                <w:szCs w:val="24"/>
              </w:rPr>
            </w:pPr>
          </w:p>
        </w:tc>
        <w:tc>
          <w:tcPr>
            <w:tcW w:w="2864" w:type="dxa"/>
          </w:tcPr>
          <w:p w14:paraId="705DE012">
            <w:pPr>
              <w:pStyle w:val="15"/>
              <w:spacing w:line="480" w:lineRule="auto"/>
              <w:ind w:firstLine="480" w:firstLineChars="200"/>
              <w:jc w:val="left"/>
              <w:rPr>
                <w:rFonts w:asciiTheme="minorEastAsia" w:hAnsiTheme="minorEastAsia" w:cstheme="minorEastAsia"/>
                <w:sz w:val="24"/>
                <w:szCs w:val="24"/>
              </w:rPr>
            </w:pPr>
          </w:p>
        </w:tc>
        <w:tc>
          <w:tcPr>
            <w:tcW w:w="2558" w:type="dxa"/>
          </w:tcPr>
          <w:p w14:paraId="28A62A64">
            <w:pPr>
              <w:pStyle w:val="15"/>
              <w:spacing w:line="480" w:lineRule="auto"/>
              <w:ind w:firstLine="480" w:firstLineChars="200"/>
              <w:jc w:val="left"/>
              <w:rPr>
                <w:rFonts w:asciiTheme="minorEastAsia" w:hAnsiTheme="minorEastAsia" w:cstheme="minorEastAsia"/>
                <w:sz w:val="24"/>
                <w:szCs w:val="24"/>
              </w:rPr>
            </w:pPr>
          </w:p>
        </w:tc>
        <w:tc>
          <w:tcPr>
            <w:tcW w:w="1506" w:type="dxa"/>
          </w:tcPr>
          <w:p w14:paraId="76E24A29">
            <w:pPr>
              <w:pStyle w:val="15"/>
              <w:spacing w:line="480" w:lineRule="auto"/>
              <w:ind w:firstLine="480" w:firstLineChars="200"/>
              <w:jc w:val="left"/>
              <w:rPr>
                <w:rFonts w:asciiTheme="minorEastAsia" w:hAnsiTheme="minorEastAsia" w:cstheme="minorEastAsia"/>
                <w:sz w:val="24"/>
                <w:szCs w:val="24"/>
              </w:rPr>
            </w:pPr>
          </w:p>
        </w:tc>
        <w:tc>
          <w:tcPr>
            <w:tcW w:w="1614" w:type="dxa"/>
          </w:tcPr>
          <w:p w14:paraId="5638D036">
            <w:pPr>
              <w:pStyle w:val="15"/>
              <w:spacing w:line="480" w:lineRule="auto"/>
              <w:ind w:firstLine="480" w:firstLineChars="200"/>
              <w:jc w:val="left"/>
              <w:rPr>
                <w:rFonts w:asciiTheme="minorEastAsia" w:hAnsiTheme="minorEastAsia" w:cstheme="minorEastAsia"/>
                <w:sz w:val="24"/>
                <w:szCs w:val="24"/>
              </w:rPr>
            </w:pPr>
          </w:p>
        </w:tc>
      </w:tr>
      <w:tr w14:paraId="009E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594E4B0C">
            <w:pPr>
              <w:pStyle w:val="15"/>
              <w:spacing w:line="480" w:lineRule="auto"/>
              <w:ind w:firstLine="480" w:firstLineChars="200"/>
              <w:jc w:val="left"/>
              <w:rPr>
                <w:rFonts w:asciiTheme="minorEastAsia" w:hAnsiTheme="minorEastAsia" w:cstheme="minorEastAsia"/>
                <w:sz w:val="24"/>
                <w:szCs w:val="24"/>
              </w:rPr>
            </w:pPr>
          </w:p>
        </w:tc>
        <w:tc>
          <w:tcPr>
            <w:tcW w:w="2864" w:type="dxa"/>
          </w:tcPr>
          <w:p w14:paraId="69A2F9B4">
            <w:pPr>
              <w:pStyle w:val="15"/>
              <w:spacing w:line="480" w:lineRule="auto"/>
              <w:ind w:firstLine="480" w:firstLineChars="200"/>
              <w:jc w:val="left"/>
              <w:rPr>
                <w:rFonts w:asciiTheme="minorEastAsia" w:hAnsiTheme="minorEastAsia" w:cstheme="minorEastAsia"/>
                <w:sz w:val="24"/>
                <w:szCs w:val="24"/>
              </w:rPr>
            </w:pPr>
          </w:p>
        </w:tc>
        <w:tc>
          <w:tcPr>
            <w:tcW w:w="2558" w:type="dxa"/>
          </w:tcPr>
          <w:p w14:paraId="6012FC84">
            <w:pPr>
              <w:pStyle w:val="15"/>
              <w:spacing w:line="480" w:lineRule="auto"/>
              <w:ind w:firstLine="480" w:firstLineChars="200"/>
              <w:jc w:val="left"/>
              <w:rPr>
                <w:rFonts w:asciiTheme="minorEastAsia" w:hAnsiTheme="minorEastAsia" w:cstheme="minorEastAsia"/>
                <w:sz w:val="24"/>
                <w:szCs w:val="24"/>
              </w:rPr>
            </w:pPr>
          </w:p>
        </w:tc>
        <w:tc>
          <w:tcPr>
            <w:tcW w:w="1506" w:type="dxa"/>
          </w:tcPr>
          <w:p w14:paraId="405D9481">
            <w:pPr>
              <w:pStyle w:val="15"/>
              <w:spacing w:line="480" w:lineRule="auto"/>
              <w:ind w:firstLine="480" w:firstLineChars="200"/>
              <w:jc w:val="left"/>
              <w:rPr>
                <w:rFonts w:asciiTheme="minorEastAsia" w:hAnsiTheme="minorEastAsia" w:cstheme="minorEastAsia"/>
                <w:sz w:val="24"/>
                <w:szCs w:val="24"/>
              </w:rPr>
            </w:pPr>
          </w:p>
        </w:tc>
        <w:tc>
          <w:tcPr>
            <w:tcW w:w="1614" w:type="dxa"/>
          </w:tcPr>
          <w:p w14:paraId="3EDAA9F5">
            <w:pPr>
              <w:pStyle w:val="15"/>
              <w:spacing w:line="480" w:lineRule="auto"/>
              <w:ind w:firstLine="480" w:firstLineChars="200"/>
              <w:jc w:val="left"/>
              <w:rPr>
                <w:rFonts w:asciiTheme="minorEastAsia" w:hAnsiTheme="minorEastAsia" w:cstheme="minorEastAsia"/>
                <w:sz w:val="24"/>
                <w:szCs w:val="24"/>
              </w:rPr>
            </w:pPr>
          </w:p>
        </w:tc>
      </w:tr>
      <w:tr w14:paraId="77B5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5AB47892">
            <w:pPr>
              <w:pStyle w:val="15"/>
              <w:spacing w:line="480" w:lineRule="auto"/>
              <w:ind w:firstLine="480" w:firstLineChars="200"/>
              <w:jc w:val="left"/>
              <w:rPr>
                <w:rFonts w:asciiTheme="minorEastAsia" w:hAnsiTheme="minorEastAsia" w:cstheme="minorEastAsia"/>
                <w:sz w:val="24"/>
                <w:szCs w:val="24"/>
              </w:rPr>
            </w:pPr>
          </w:p>
        </w:tc>
        <w:tc>
          <w:tcPr>
            <w:tcW w:w="2864" w:type="dxa"/>
          </w:tcPr>
          <w:p w14:paraId="65FE1DE7">
            <w:pPr>
              <w:pStyle w:val="15"/>
              <w:spacing w:line="480" w:lineRule="auto"/>
              <w:ind w:firstLine="480" w:firstLineChars="200"/>
              <w:jc w:val="left"/>
              <w:rPr>
                <w:rFonts w:asciiTheme="minorEastAsia" w:hAnsiTheme="minorEastAsia" w:cstheme="minorEastAsia"/>
                <w:sz w:val="24"/>
                <w:szCs w:val="24"/>
              </w:rPr>
            </w:pPr>
          </w:p>
        </w:tc>
        <w:tc>
          <w:tcPr>
            <w:tcW w:w="2558" w:type="dxa"/>
          </w:tcPr>
          <w:p w14:paraId="1205186F">
            <w:pPr>
              <w:pStyle w:val="15"/>
              <w:spacing w:line="480" w:lineRule="auto"/>
              <w:ind w:firstLine="480" w:firstLineChars="200"/>
              <w:jc w:val="left"/>
              <w:rPr>
                <w:rFonts w:asciiTheme="minorEastAsia" w:hAnsiTheme="minorEastAsia" w:cstheme="minorEastAsia"/>
                <w:sz w:val="24"/>
                <w:szCs w:val="24"/>
              </w:rPr>
            </w:pPr>
          </w:p>
        </w:tc>
        <w:tc>
          <w:tcPr>
            <w:tcW w:w="1506" w:type="dxa"/>
          </w:tcPr>
          <w:p w14:paraId="43BD043A">
            <w:pPr>
              <w:pStyle w:val="15"/>
              <w:spacing w:line="480" w:lineRule="auto"/>
              <w:ind w:firstLine="480" w:firstLineChars="200"/>
              <w:jc w:val="left"/>
              <w:rPr>
                <w:rFonts w:asciiTheme="minorEastAsia" w:hAnsiTheme="minorEastAsia" w:cstheme="minorEastAsia"/>
                <w:sz w:val="24"/>
                <w:szCs w:val="24"/>
              </w:rPr>
            </w:pPr>
          </w:p>
        </w:tc>
        <w:tc>
          <w:tcPr>
            <w:tcW w:w="1614" w:type="dxa"/>
          </w:tcPr>
          <w:p w14:paraId="5FD2D736">
            <w:pPr>
              <w:pStyle w:val="15"/>
              <w:spacing w:line="480" w:lineRule="auto"/>
              <w:ind w:firstLine="480" w:firstLineChars="200"/>
              <w:jc w:val="left"/>
              <w:rPr>
                <w:rFonts w:asciiTheme="minorEastAsia" w:hAnsiTheme="minorEastAsia" w:cstheme="minorEastAsia"/>
                <w:sz w:val="24"/>
                <w:szCs w:val="24"/>
              </w:rPr>
            </w:pPr>
          </w:p>
        </w:tc>
      </w:tr>
      <w:tr w14:paraId="2459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6B6219EF">
            <w:pPr>
              <w:pStyle w:val="15"/>
              <w:spacing w:line="480" w:lineRule="auto"/>
              <w:ind w:firstLine="480" w:firstLineChars="200"/>
              <w:jc w:val="left"/>
              <w:rPr>
                <w:rFonts w:asciiTheme="minorEastAsia" w:hAnsiTheme="minorEastAsia" w:cstheme="minorEastAsia"/>
                <w:sz w:val="24"/>
                <w:szCs w:val="24"/>
              </w:rPr>
            </w:pPr>
          </w:p>
        </w:tc>
        <w:tc>
          <w:tcPr>
            <w:tcW w:w="2864" w:type="dxa"/>
          </w:tcPr>
          <w:p w14:paraId="057A716A">
            <w:pPr>
              <w:pStyle w:val="15"/>
              <w:spacing w:line="480" w:lineRule="auto"/>
              <w:ind w:firstLine="480" w:firstLineChars="200"/>
              <w:jc w:val="left"/>
              <w:rPr>
                <w:rFonts w:asciiTheme="minorEastAsia" w:hAnsiTheme="minorEastAsia" w:cstheme="minorEastAsia"/>
                <w:sz w:val="24"/>
                <w:szCs w:val="24"/>
              </w:rPr>
            </w:pPr>
          </w:p>
        </w:tc>
        <w:tc>
          <w:tcPr>
            <w:tcW w:w="2558" w:type="dxa"/>
          </w:tcPr>
          <w:p w14:paraId="6CDCFCFB">
            <w:pPr>
              <w:pStyle w:val="15"/>
              <w:spacing w:line="480" w:lineRule="auto"/>
              <w:ind w:firstLine="480" w:firstLineChars="200"/>
              <w:jc w:val="left"/>
              <w:rPr>
                <w:rFonts w:asciiTheme="minorEastAsia" w:hAnsiTheme="minorEastAsia" w:cstheme="minorEastAsia"/>
                <w:sz w:val="24"/>
                <w:szCs w:val="24"/>
              </w:rPr>
            </w:pPr>
          </w:p>
        </w:tc>
        <w:tc>
          <w:tcPr>
            <w:tcW w:w="1506" w:type="dxa"/>
          </w:tcPr>
          <w:p w14:paraId="3F14E1B0">
            <w:pPr>
              <w:pStyle w:val="15"/>
              <w:spacing w:line="480" w:lineRule="auto"/>
              <w:ind w:firstLine="480" w:firstLineChars="200"/>
              <w:jc w:val="left"/>
              <w:rPr>
                <w:rFonts w:asciiTheme="minorEastAsia" w:hAnsiTheme="minorEastAsia" w:cstheme="minorEastAsia"/>
                <w:sz w:val="24"/>
                <w:szCs w:val="24"/>
              </w:rPr>
            </w:pPr>
          </w:p>
        </w:tc>
        <w:tc>
          <w:tcPr>
            <w:tcW w:w="1614" w:type="dxa"/>
          </w:tcPr>
          <w:p w14:paraId="41C7D225">
            <w:pPr>
              <w:pStyle w:val="15"/>
              <w:spacing w:line="480" w:lineRule="auto"/>
              <w:ind w:firstLine="480" w:firstLineChars="200"/>
              <w:jc w:val="left"/>
              <w:rPr>
                <w:rFonts w:asciiTheme="minorEastAsia" w:hAnsiTheme="minorEastAsia" w:cstheme="minorEastAsia"/>
                <w:sz w:val="24"/>
                <w:szCs w:val="24"/>
              </w:rPr>
            </w:pPr>
          </w:p>
        </w:tc>
      </w:tr>
      <w:tr w14:paraId="77B7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14:paraId="694B3506">
            <w:pPr>
              <w:pStyle w:val="15"/>
              <w:spacing w:line="480" w:lineRule="auto"/>
              <w:ind w:firstLine="480" w:firstLineChars="200"/>
              <w:jc w:val="left"/>
              <w:rPr>
                <w:rFonts w:asciiTheme="minorEastAsia" w:hAnsiTheme="minorEastAsia" w:cstheme="minorEastAsia"/>
                <w:sz w:val="24"/>
                <w:szCs w:val="24"/>
              </w:rPr>
            </w:pPr>
          </w:p>
        </w:tc>
        <w:tc>
          <w:tcPr>
            <w:tcW w:w="2864" w:type="dxa"/>
          </w:tcPr>
          <w:p w14:paraId="03F07CF0">
            <w:pPr>
              <w:pStyle w:val="15"/>
              <w:spacing w:line="480" w:lineRule="auto"/>
              <w:ind w:firstLine="480" w:firstLineChars="200"/>
              <w:jc w:val="left"/>
              <w:rPr>
                <w:rFonts w:asciiTheme="minorEastAsia" w:hAnsiTheme="minorEastAsia" w:cstheme="minorEastAsia"/>
                <w:sz w:val="24"/>
                <w:szCs w:val="24"/>
              </w:rPr>
            </w:pPr>
          </w:p>
        </w:tc>
        <w:tc>
          <w:tcPr>
            <w:tcW w:w="2558" w:type="dxa"/>
          </w:tcPr>
          <w:p w14:paraId="2806A044">
            <w:pPr>
              <w:pStyle w:val="15"/>
              <w:spacing w:line="480" w:lineRule="auto"/>
              <w:ind w:firstLine="480" w:firstLineChars="200"/>
              <w:jc w:val="left"/>
              <w:rPr>
                <w:rFonts w:asciiTheme="minorEastAsia" w:hAnsiTheme="minorEastAsia" w:cstheme="minorEastAsia"/>
                <w:sz w:val="24"/>
                <w:szCs w:val="24"/>
              </w:rPr>
            </w:pPr>
          </w:p>
        </w:tc>
        <w:tc>
          <w:tcPr>
            <w:tcW w:w="1506" w:type="dxa"/>
          </w:tcPr>
          <w:p w14:paraId="26017596">
            <w:pPr>
              <w:pStyle w:val="15"/>
              <w:spacing w:line="480" w:lineRule="auto"/>
              <w:ind w:firstLine="480" w:firstLineChars="200"/>
              <w:jc w:val="left"/>
              <w:rPr>
                <w:rFonts w:asciiTheme="minorEastAsia" w:hAnsiTheme="minorEastAsia" w:cstheme="minorEastAsia"/>
                <w:sz w:val="24"/>
                <w:szCs w:val="24"/>
              </w:rPr>
            </w:pPr>
          </w:p>
        </w:tc>
        <w:tc>
          <w:tcPr>
            <w:tcW w:w="1614" w:type="dxa"/>
          </w:tcPr>
          <w:p w14:paraId="1740B1BC">
            <w:pPr>
              <w:pStyle w:val="15"/>
              <w:spacing w:line="480" w:lineRule="auto"/>
              <w:ind w:firstLine="480" w:firstLineChars="200"/>
              <w:jc w:val="left"/>
              <w:rPr>
                <w:rFonts w:asciiTheme="minorEastAsia" w:hAnsiTheme="minorEastAsia" w:cstheme="minorEastAsia"/>
                <w:sz w:val="24"/>
                <w:szCs w:val="24"/>
              </w:rPr>
            </w:pPr>
          </w:p>
        </w:tc>
      </w:tr>
      <w:bookmarkEnd w:id="122"/>
    </w:tbl>
    <w:p w14:paraId="0DA2EA8F">
      <w:pPr>
        <w:pStyle w:val="15"/>
        <w:ind w:firstLine="562" w:firstLineChars="200"/>
        <w:jc w:val="left"/>
        <w:rPr>
          <w:rFonts w:asciiTheme="minorEastAsia" w:hAnsiTheme="minorEastAsia" w:cstheme="minorEastAsia"/>
          <w:sz w:val="28"/>
          <w:szCs w:val="28"/>
        </w:rPr>
      </w:pPr>
      <w:r>
        <w:rPr>
          <w:rFonts w:hint="eastAsia" w:asciiTheme="minorEastAsia" w:hAnsiTheme="minorEastAsia" w:cstheme="minorEastAsia"/>
          <w:b/>
          <w:sz w:val="28"/>
          <w:szCs w:val="28"/>
        </w:rPr>
        <w:t>填写说明：</w:t>
      </w:r>
      <w:r>
        <w:rPr>
          <w:rFonts w:hint="eastAsia" w:asciiTheme="minorEastAsia" w:hAnsiTheme="minorEastAsia" w:cstheme="minorEastAsia"/>
          <w:sz w:val="28"/>
          <w:szCs w:val="28"/>
        </w:rPr>
        <w:t>请按招标文件技术要求的内容，逐条对应投标文件的“采购要求”中的技术要求认真填写本表。偏差说明填写：正偏离（标明正偏离内容及正偏离的证明材料的页码）、符合（标明主要技术参数证明材料页码）或负偏离。</w:t>
      </w:r>
    </w:p>
    <w:p w14:paraId="4AA41557">
      <w:pPr>
        <w:adjustRightInd w:val="0"/>
        <w:snapToGrid w:val="0"/>
        <w:spacing w:line="480" w:lineRule="auto"/>
        <w:jc w:val="left"/>
        <w:rPr>
          <w:rFonts w:asciiTheme="minorEastAsia" w:hAnsiTheme="minorEastAsia" w:cstheme="minorEastAsia"/>
          <w:sz w:val="28"/>
          <w:szCs w:val="28"/>
        </w:rPr>
      </w:pPr>
    </w:p>
    <w:p w14:paraId="7CE25E28">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14:paraId="6A0CD044">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14:paraId="1802A0B6">
      <w:pPr>
        <w:adjustRightInd w:val="0"/>
        <w:snapToGrid w:val="0"/>
        <w:spacing w:line="480" w:lineRule="auto"/>
        <w:rPr>
          <w:rFonts w:asciiTheme="minorEastAsia" w:hAnsiTheme="minorEastAsia" w:cstheme="minorEastAsia"/>
          <w:sz w:val="28"/>
          <w:szCs w:val="28"/>
        </w:rPr>
        <w:sectPr>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bookmarkEnd w:id="118"/>
    <w:p w14:paraId="21C8DA1A">
      <w:pPr>
        <w:pStyle w:val="4"/>
        <w:spacing w:beforeLines="100" w:afterLines="150" w:line="500" w:lineRule="exact"/>
        <w:rPr>
          <w:rFonts w:asciiTheme="minorEastAsia" w:hAnsiTheme="minorEastAsia" w:eastAsiaTheme="minorEastAsia" w:cstheme="minorEastAsia"/>
          <w:sz w:val="36"/>
          <w:szCs w:val="36"/>
        </w:rPr>
      </w:pPr>
      <w:bookmarkStart w:id="123" w:name="_Toc13909"/>
      <w:r>
        <w:rPr>
          <w:rFonts w:hint="eastAsia" w:asciiTheme="minorEastAsia" w:hAnsiTheme="minorEastAsia" w:eastAsiaTheme="minorEastAsia" w:cstheme="minorEastAsia"/>
          <w:sz w:val="36"/>
          <w:szCs w:val="36"/>
        </w:rPr>
        <w:t xml:space="preserve">第六章  </w:t>
      </w:r>
      <w:bookmarkEnd w:id="119"/>
      <w:r>
        <w:rPr>
          <w:rFonts w:hint="eastAsia" w:asciiTheme="minorEastAsia" w:hAnsiTheme="minorEastAsia" w:eastAsiaTheme="minorEastAsia" w:cstheme="minorEastAsia"/>
          <w:sz w:val="36"/>
          <w:szCs w:val="36"/>
        </w:rPr>
        <w:t>技术支持资料</w:t>
      </w:r>
      <w:bookmarkEnd w:id="123"/>
    </w:p>
    <w:p w14:paraId="662DD957">
      <w:pPr>
        <w:spacing w:line="480" w:lineRule="auto"/>
        <w:rPr>
          <w:b/>
          <w:bCs/>
          <w:color w:val="FF0000"/>
          <w:sz w:val="36"/>
          <w:szCs w:val="36"/>
        </w:rPr>
      </w:pPr>
      <w:r>
        <w:rPr>
          <w:rFonts w:hint="eastAsia"/>
          <w:b/>
          <w:bCs/>
          <w:color w:val="FF0000"/>
          <w:sz w:val="36"/>
          <w:szCs w:val="36"/>
        </w:rPr>
        <w:t>投标人可根据评审办法自行编写，格式不限：</w:t>
      </w:r>
    </w:p>
    <w:p w14:paraId="7F7E4DB0">
      <w:r>
        <w:br w:type="page"/>
      </w:r>
    </w:p>
    <w:p w14:paraId="28B57794">
      <w:pPr>
        <w:pStyle w:val="4"/>
        <w:spacing w:beforeLines="100" w:afterLines="150" w:line="500" w:lineRule="exact"/>
        <w:rPr>
          <w:rFonts w:asciiTheme="minorEastAsia" w:hAnsiTheme="minorEastAsia" w:eastAsiaTheme="minorEastAsia" w:cstheme="minorEastAsia"/>
          <w:sz w:val="36"/>
          <w:szCs w:val="36"/>
        </w:rPr>
      </w:pPr>
      <w:bookmarkStart w:id="124" w:name="_Toc27528"/>
      <w:r>
        <w:rPr>
          <w:rFonts w:hint="eastAsia" w:asciiTheme="minorEastAsia" w:hAnsiTheme="minorEastAsia" w:eastAsiaTheme="minorEastAsia" w:cstheme="minorEastAsia"/>
          <w:sz w:val="36"/>
          <w:szCs w:val="36"/>
        </w:rPr>
        <w:t>第</w:t>
      </w:r>
      <w:r>
        <w:rPr>
          <w:rFonts w:hint="eastAsia" w:asciiTheme="minorEastAsia" w:hAnsiTheme="minorEastAsia" w:eastAsiaTheme="minorEastAsia" w:cstheme="minorEastAsia"/>
          <w:sz w:val="36"/>
          <w:szCs w:val="36"/>
          <w:lang w:val="en-US" w:eastAsia="zh-CN"/>
        </w:rPr>
        <w:t>七</w:t>
      </w:r>
      <w:r>
        <w:rPr>
          <w:rFonts w:hint="eastAsia" w:asciiTheme="minorEastAsia" w:hAnsiTheme="minorEastAsia" w:eastAsiaTheme="minorEastAsia" w:cstheme="minorEastAsia"/>
          <w:sz w:val="36"/>
          <w:szCs w:val="36"/>
        </w:rPr>
        <w:t>章  服务方案</w:t>
      </w:r>
      <w:bookmarkEnd w:id="124"/>
    </w:p>
    <w:p w14:paraId="751B61E3">
      <w:pPr>
        <w:pStyle w:val="24"/>
        <w:rPr>
          <w:color w:val="FF0000"/>
        </w:rPr>
      </w:pPr>
      <w:r>
        <w:rPr>
          <w:rFonts w:hint="eastAsia" w:asciiTheme="minorEastAsia" w:hAnsiTheme="minorEastAsia" w:eastAsiaTheme="minorEastAsia" w:cstheme="minorEastAsia"/>
          <w:b/>
          <w:color w:val="FF0000"/>
          <w:spacing w:val="0"/>
          <w:w w:val="100"/>
          <w:kern w:val="2"/>
          <w:sz w:val="36"/>
          <w:szCs w:val="36"/>
          <w:lang w:val="en-US" w:eastAsia="zh-CN" w:bidi="ar-SA"/>
        </w:rPr>
        <w:t>投标人可根据评审办法自行编写，格式不限：</w:t>
      </w:r>
    </w:p>
    <w:p w14:paraId="5DFED9D5">
      <w:r>
        <w:rPr>
          <w:rFonts w:hint="eastAsia"/>
        </w:rPr>
        <w:br w:type="page"/>
      </w:r>
    </w:p>
    <w:p w14:paraId="5146AA4D">
      <w:pPr>
        <w:pStyle w:val="4"/>
      </w:pPr>
      <w:bookmarkStart w:id="125" w:name="_Toc11540"/>
      <w:bookmarkStart w:id="126" w:name="_Toc21258"/>
      <w:bookmarkStart w:id="127" w:name="_Toc29853"/>
      <w:r>
        <w:rPr>
          <w:rFonts w:hint="eastAsia"/>
        </w:rPr>
        <w:t>第</w:t>
      </w:r>
      <w:r>
        <w:rPr>
          <w:rFonts w:hint="eastAsia"/>
          <w:lang w:val="en-US" w:eastAsia="zh-CN"/>
        </w:rPr>
        <w:t>八</w:t>
      </w:r>
      <w:r>
        <w:rPr>
          <w:rFonts w:hint="eastAsia"/>
        </w:rPr>
        <w:t>章  投标人业绩一览表</w:t>
      </w:r>
      <w:bookmarkEnd w:id="125"/>
      <w:bookmarkEnd w:id="126"/>
      <w:bookmarkEnd w:id="127"/>
    </w:p>
    <w:p w14:paraId="19AF44B9">
      <w:pPr>
        <w:rPr>
          <w:rFonts w:asciiTheme="minorEastAsia" w:hAnsiTheme="minorEastAsia" w:cstheme="minorEastAsia"/>
        </w:rPr>
      </w:pPr>
    </w:p>
    <w:tbl>
      <w:tblPr>
        <w:tblStyle w:val="28"/>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14:paraId="079FFB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14:paraId="4F59ACB5">
            <w:pPr>
              <w:spacing w:line="400" w:lineRule="exact"/>
              <w:rPr>
                <w:rFonts w:asciiTheme="minorEastAsia" w:hAnsiTheme="minorEastAsia" w:cstheme="minorEastAsia"/>
                <w:bCs/>
                <w:szCs w:val="21"/>
              </w:rPr>
            </w:pPr>
            <w:r>
              <w:rPr>
                <w:rFonts w:hint="eastAsia" w:asciiTheme="minorEastAsia" w:hAnsiTheme="minorEastAsia" w:cstheme="minorEastAsia"/>
                <w:bCs/>
                <w:szCs w:val="21"/>
              </w:rPr>
              <w:t>年份</w:t>
            </w:r>
          </w:p>
        </w:tc>
        <w:tc>
          <w:tcPr>
            <w:tcW w:w="1508" w:type="dxa"/>
            <w:vAlign w:val="center"/>
          </w:tcPr>
          <w:p w14:paraId="55BCDFE8">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用户名称</w:t>
            </w:r>
          </w:p>
        </w:tc>
        <w:tc>
          <w:tcPr>
            <w:tcW w:w="1382" w:type="dxa"/>
            <w:vAlign w:val="center"/>
          </w:tcPr>
          <w:p w14:paraId="0FB04534">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项目名称</w:t>
            </w:r>
          </w:p>
        </w:tc>
        <w:tc>
          <w:tcPr>
            <w:tcW w:w="1399" w:type="dxa"/>
            <w:vAlign w:val="center"/>
          </w:tcPr>
          <w:p w14:paraId="095B5174">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完成时间</w:t>
            </w:r>
          </w:p>
        </w:tc>
        <w:tc>
          <w:tcPr>
            <w:tcW w:w="1485" w:type="dxa"/>
            <w:vAlign w:val="center"/>
          </w:tcPr>
          <w:p w14:paraId="77096CA7">
            <w:pPr>
              <w:spacing w:line="400" w:lineRule="exact"/>
              <w:ind w:firstLine="105" w:firstLineChars="50"/>
              <w:rPr>
                <w:rFonts w:asciiTheme="minorEastAsia" w:hAnsiTheme="minorEastAsia" w:cstheme="minorEastAsia"/>
                <w:bCs/>
                <w:szCs w:val="21"/>
              </w:rPr>
            </w:pPr>
            <w:r>
              <w:rPr>
                <w:rFonts w:hint="eastAsia" w:asciiTheme="minorEastAsia" w:hAnsiTheme="minorEastAsia" w:cstheme="minorEastAsia"/>
                <w:bCs/>
                <w:szCs w:val="21"/>
              </w:rPr>
              <w:t>合同金额</w:t>
            </w:r>
          </w:p>
        </w:tc>
        <w:tc>
          <w:tcPr>
            <w:tcW w:w="1576" w:type="dxa"/>
            <w:tcBorders>
              <w:right w:val="single" w:color="auto" w:sz="4" w:space="0"/>
            </w:tcBorders>
            <w:vAlign w:val="center"/>
          </w:tcPr>
          <w:p w14:paraId="18E40895">
            <w:pPr>
              <w:spacing w:line="400" w:lineRule="exact"/>
              <w:ind w:left="204" w:hanging="203" w:hangingChars="97"/>
              <w:rPr>
                <w:rFonts w:asciiTheme="minorEastAsia" w:hAnsiTheme="minorEastAsia" w:cstheme="minorEastAsia"/>
                <w:bCs/>
                <w:szCs w:val="21"/>
              </w:rPr>
            </w:pPr>
            <w:r>
              <w:rPr>
                <w:rFonts w:hint="eastAsia" w:asciiTheme="minorEastAsia" w:hAnsiTheme="minorEastAsia" w:cstheme="minorEastAsia"/>
                <w:bCs/>
                <w:szCs w:val="21"/>
              </w:rPr>
              <w:t>完成项目质量</w:t>
            </w:r>
          </w:p>
        </w:tc>
        <w:tc>
          <w:tcPr>
            <w:tcW w:w="1096" w:type="dxa"/>
            <w:tcBorders>
              <w:left w:val="single" w:color="auto" w:sz="4" w:space="0"/>
            </w:tcBorders>
            <w:vAlign w:val="center"/>
          </w:tcPr>
          <w:p w14:paraId="740B391A">
            <w:pPr>
              <w:spacing w:line="400" w:lineRule="exact"/>
              <w:rPr>
                <w:rFonts w:asciiTheme="minorEastAsia" w:hAnsiTheme="minorEastAsia" w:cstheme="minorEastAsia"/>
                <w:bCs/>
                <w:szCs w:val="21"/>
              </w:rPr>
            </w:pPr>
            <w:r>
              <w:rPr>
                <w:rFonts w:hint="eastAsia" w:asciiTheme="minorEastAsia" w:hAnsiTheme="minorEastAsia" w:cstheme="minorEastAsia"/>
                <w:bCs/>
                <w:szCs w:val="21"/>
              </w:rPr>
              <w:t xml:space="preserve">  备注</w:t>
            </w:r>
          </w:p>
        </w:tc>
      </w:tr>
      <w:tr w14:paraId="152258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162A0C64">
            <w:pPr>
              <w:spacing w:line="400" w:lineRule="exact"/>
              <w:jc w:val="center"/>
              <w:rPr>
                <w:rFonts w:asciiTheme="minorEastAsia" w:hAnsiTheme="minorEastAsia" w:cstheme="minorEastAsia"/>
                <w:bCs/>
                <w:szCs w:val="21"/>
              </w:rPr>
            </w:pPr>
          </w:p>
        </w:tc>
        <w:tc>
          <w:tcPr>
            <w:tcW w:w="1508" w:type="dxa"/>
            <w:vAlign w:val="center"/>
          </w:tcPr>
          <w:p w14:paraId="2840700C">
            <w:pPr>
              <w:spacing w:line="400" w:lineRule="exact"/>
              <w:jc w:val="center"/>
              <w:rPr>
                <w:rFonts w:asciiTheme="minorEastAsia" w:hAnsiTheme="minorEastAsia" w:cstheme="minorEastAsia"/>
                <w:bCs/>
                <w:szCs w:val="21"/>
              </w:rPr>
            </w:pPr>
          </w:p>
        </w:tc>
        <w:tc>
          <w:tcPr>
            <w:tcW w:w="1382" w:type="dxa"/>
            <w:vAlign w:val="center"/>
          </w:tcPr>
          <w:p w14:paraId="17D1847F">
            <w:pPr>
              <w:spacing w:line="400" w:lineRule="exact"/>
              <w:jc w:val="center"/>
              <w:rPr>
                <w:rFonts w:asciiTheme="minorEastAsia" w:hAnsiTheme="minorEastAsia" w:cstheme="minorEastAsia"/>
                <w:bCs/>
                <w:szCs w:val="21"/>
              </w:rPr>
            </w:pPr>
          </w:p>
        </w:tc>
        <w:tc>
          <w:tcPr>
            <w:tcW w:w="1399" w:type="dxa"/>
            <w:vAlign w:val="center"/>
          </w:tcPr>
          <w:p w14:paraId="1F567E90">
            <w:pPr>
              <w:spacing w:line="400" w:lineRule="exact"/>
              <w:jc w:val="center"/>
              <w:rPr>
                <w:rFonts w:asciiTheme="minorEastAsia" w:hAnsiTheme="minorEastAsia" w:cstheme="minorEastAsia"/>
                <w:bCs/>
                <w:szCs w:val="21"/>
              </w:rPr>
            </w:pPr>
          </w:p>
        </w:tc>
        <w:tc>
          <w:tcPr>
            <w:tcW w:w="1485" w:type="dxa"/>
            <w:vAlign w:val="center"/>
          </w:tcPr>
          <w:p w14:paraId="1AD014DA">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14:paraId="7224C871">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14:paraId="5F6C9A53">
            <w:pPr>
              <w:spacing w:line="400" w:lineRule="exact"/>
              <w:jc w:val="center"/>
              <w:rPr>
                <w:rFonts w:asciiTheme="minorEastAsia" w:hAnsiTheme="minorEastAsia" w:cstheme="minorEastAsia"/>
                <w:bCs/>
                <w:szCs w:val="21"/>
              </w:rPr>
            </w:pPr>
          </w:p>
        </w:tc>
      </w:tr>
      <w:tr w14:paraId="1DD70C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421B170D">
            <w:pPr>
              <w:spacing w:line="400" w:lineRule="exact"/>
              <w:jc w:val="center"/>
              <w:rPr>
                <w:rFonts w:asciiTheme="minorEastAsia" w:hAnsiTheme="minorEastAsia" w:cstheme="minorEastAsia"/>
                <w:bCs/>
                <w:szCs w:val="21"/>
              </w:rPr>
            </w:pPr>
          </w:p>
        </w:tc>
        <w:tc>
          <w:tcPr>
            <w:tcW w:w="1508" w:type="dxa"/>
            <w:vAlign w:val="center"/>
          </w:tcPr>
          <w:p w14:paraId="39495B69">
            <w:pPr>
              <w:spacing w:line="400" w:lineRule="exact"/>
              <w:jc w:val="center"/>
              <w:rPr>
                <w:rFonts w:asciiTheme="minorEastAsia" w:hAnsiTheme="minorEastAsia" w:cstheme="minorEastAsia"/>
                <w:bCs/>
                <w:szCs w:val="21"/>
              </w:rPr>
            </w:pPr>
          </w:p>
        </w:tc>
        <w:tc>
          <w:tcPr>
            <w:tcW w:w="1382" w:type="dxa"/>
            <w:vAlign w:val="center"/>
          </w:tcPr>
          <w:p w14:paraId="005F7BCB">
            <w:pPr>
              <w:spacing w:line="400" w:lineRule="exact"/>
              <w:jc w:val="center"/>
              <w:rPr>
                <w:rFonts w:asciiTheme="minorEastAsia" w:hAnsiTheme="minorEastAsia" w:cstheme="minorEastAsia"/>
                <w:bCs/>
                <w:szCs w:val="21"/>
              </w:rPr>
            </w:pPr>
          </w:p>
        </w:tc>
        <w:tc>
          <w:tcPr>
            <w:tcW w:w="1399" w:type="dxa"/>
            <w:vAlign w:val="center"/>
          </w:tcPr>
          <w:p w14:paraId="5700D814">
            <w:pPr>
              <w:spacing w:line="400" w:lineRule="exact"/>
              <w:jc w:val="center"/>
              <w:rPr>
                <w:rFonts w:asciiTheme="minorEastAsia" w:hAnsiTheme="minorEastAsia" w:cstheme="minorEastAsia"/>
                <w:bCs/>
                <w:szCs w:val="21"/>
              </w:rPr>
            </w:pPr>
          </w:p>
        </w:tc>
        <w:tc>
          <w:tcPr>
            <w:tcW w:w="1485" w:type="dxa"/>
            <w:vAlign w:val="center"/>
          </w:tcPr>
          <w:p w14:paraId="6C2E7D37">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14:paraId="01641174">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14:paraId="5E537DC4">
            <w:pPr>
              <w:spacing w:line="400" w:lineRule="exact"/>
              <w:jc w:val="center"/>
              <w:rPr>
                <w:rFonts w:asciiTheme="minorEastAsia" w:hAnsiTheme="minorEastAsia" w:cstheme="minorEastAsia"/>
                <w:bCs/>
                <w:szCs w:val="21"/>
              </w:rPr>
            </w:pPr>
          </w:p>
        </w:tc>
      </w:tr>
      <w:tr w14:paraId="232963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0AE4732B">
            <w:pPr>
              <w:spacing w:line="400" w:lineRule="exact"/>
              <w:jc w:val="center"/>
              <w:rPr>
                <w:rFonts w:asciiTheme="minorEastAsia" w:hAnsiTheme="minorEastAsia" w:cstheme="minorEastAsia"/>
                <w:bCs/>
                <w:szCs w:val="21"/>
              </w:rPr>
            </w:pPr>
          </w:p>
        </w:tc>
        <w:tc>
          <w:tcPr>
            <w:tcW w:w="1508" w:type="dxa"/>
            <w:vAlign w:val="center"/>
          </w:tcPr>
          <w:p w14:paraId="63DFAA95">
            <w:pPr>
              <w:spacing w:line="400" w:lineRule="exact"/>
              <w:jc w:val="center"/>
              <w:rPr>
                <w:rFonts w:asciiTheme="minorEastAsia" w:hAnsiTheme="minorEastAsia" w:cstheme="minorEastAsia"/>
                <w:bCs/>
                <w:szCs w:val="21"/>
              </w:rPr>
            </w:pPr>
          </w:p>
        </w:tc>
        <w:tc>
          <w:tcPr>
            <w:tcW w:w="1382" w:type="dxa"/>
            <w:vAlign w:val="center"/>
          </w:tcPr>
          <w:p w14:paraId="34483A91">
            <w:pPr>
              <w:spacing w:line="400" w:lineRule="exact"/>
              <w:jc w:val="center"/>
              <w:rPr>
                <w:rFonts w:asciiTheme="minorEastAsia" w:hAnsiTheme="minorEastAsia" w:cstheme="minorEastAsia"/>
                <w:bCs/>
                <w:szCs w:val="21"/>
              </w:rPr>
            </w:pPr>
          </w:p>
        </w:tc>
        <w:tc>
          <w:tcPr>
            <w:tcW w:w="1399" w:type="dxa"/>
            <w:vAlign w:val="center"/>
          </w:tcPr>
          <w:p w14:paraId="40DCD04C">
            <w:pPr>
              <w:spacing w:line="400" w:lineRule="exact"/>
              <w:jc w:val="center"/>
              <w:rPr>
                <w:rFonts w:asciiTheme="minorEastAsia" w:hAnsiTheme="minorEastAsia" w:cstheme="minorEastAsia"/>
                <w:bCs/>
                <w:szCs w:val="21"/>
              </w:rPr>
            </w:pPr>
          </w:p>
        </w:tc>
        <w:tc>
          <w:tcPr>
            <w:tcW w:w="1485" w:type="dxa"/>
            <w:vAlign w:val="center"/>
          </w:tcPr>
          <w:p w14:paraId="56957B7D">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14:paraId="6E0790B3">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14:paraId="7C6A8068">
            <w:pPr>
              <w:spacing w:line="400" w:lineRule="exact"/>
              <w:jc w:val="center"/>
              <w:rPr>
                <w:rFonts w:asciiTheme="minorEastAsia" w:hAnsiTheme="minorEastAsia" w:cstheme="minorEastAsia"/>
                <w:bCs/>
                <w:szCs w:val="21"/>
              </w:rPr>
            </w:pPr>
          </w:p>
        </w:tc>
      </w:tr>
      <w:tr w14:paraId="4973CF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2CECDFAE">
            <w:pPr>
              <w:spacing w:line="400" w:lineRule="exact"/>
              <w:jc w:val="center"/>
              <w:rPr>
                <w:rFonts w:asciiTheme="minorEastAsia" w:hAnsiTheme="minorEastAsia" w:cstheme="minorEastAsia"/>
                <w:bCs/>
                <w:szCs w:val="21"/>
              </w:rPr>
            </w:pPr>
          </w:p>
        </w:tc>
        <w:tc>
          <w:tcPr>
            <w:tcW w:w="1508" w:type="dxa"/>
            <w:tcBorders>
              <w:right w:val="single" w:color="auto" w:sz="4" w:space="0"/>
            </w:tcBorders>
            <w:vAlign w:val="center"/>
          </w:tcPr>
          <w:p w14:paraId="4BA5DE13">
            <w:pPr>
              <w:spacing w:line="400" w:lineRule="exact"/>
              <w:jc w:val="center"/>
              <w:rPr>
                <w:rFonts w:asciiTheme="minorEastAsia" w:hAnsiTheme="minorEastAsia" w:cstheme="minorEastAsia"/>
                <w:bCs/>
                <w:szCs w:val="21"/>
              </w:rPr>
            </w:pPr>
          </w:p>
        </w:tc>
        <w:tc>
          <w:tcPr>
            <w:tcW w:w="1382" w:type="dxa"/>
            <w:tcBorders>
              <w:left w:val="single" w:color="auto" w:sz="4" w:space="0"/>
            </w:tcBorders>
            <w:vAlign w:val="center"/>
          </w:tcPr>
          <w:p w14:paraId="1ECFCB79">
            <w:pPr>
              <w:spacing w:line="400" w:lineRule="exact"/>
              <w:jc w:val="center"/>
              <w:rPr>
                <w:rFonts w:asciiTheme="minorEastAsia" w:hAnsiTheme="minorEastAsia" w:cstheme="minorEastAsia"/>
                <w:bCs/>
                <w:szCs w:val="21"/>
              </w:rPr>
            </w:pPr>
          </w:p>
        </w:tc>
        <w:tc>
          <w:tcPr>
            <w:tcW w:w="1399" w:type="dxa"/>
            <w:vAlign w:val="center"/>
          </w:tcPr>
          <w:p w14:paraId="6B364672">
            <w:pPr>
              <w:spacing w:line="400" w:lineRule="exact"/>
              <w:jc w:val="center"/>
              <w:rPr>
                <w:rFonts w:asciiTheme="minorEastAsia" w:hAnsiTheme="minorEastAsia" w:cstheme="minorEastAsia"/>
                <w:bCs/>
                <w:szCs w:val="21"/>
              </w:rPr>
            </w:pPr>
          </w:p>
        </w:tc>
        <w:tc>
          <w:tcPr>
            <w:tcW w:w="1485" w:type="dxa"/>
            <w:vAlign w:val="center"/>
          </w:tcPr>
          <w:p w14:paraId="0E6E3E7C">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14:paraId="0FD74175">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14:paraId="1BB487EE">
            <w:pPr>
              <w:spacing w:line="400" w:lineRule="exact"/>
              <w:jc w:val="center"/>
              <w:rPr>
                <w:rFonts w:asciiTheme="minorEastAsia" w:hAnsiTheme="minorEastAsia" w:cstheme="minorEastAsia"/>
                <w:bCs/>
                <w:szCs w:val="21"/>
              </w:rPr>
            </w:pPr>
          </w:p>
        </w:tc>
      </w:tr>
      <w:tr w14:paraId="65F3AE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14:paraId="6ED5C64D">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14:paraId="79AFBED1">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14:paraId="569E39BE">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14:paraId="5DD92179">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14:paraId="54FE80AC">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14:paraId="517CC07E">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14:paraId="6F76E45F">
            <w:pPr>
              <w:spacing w:line="400" w:lineRule="exact"/>
              <w:rPr>
                <w:rFonts w:asciiTheme="minorEastAsia" w:hAnsiTheme="minorEastAsia" w:cstheme="minorEastAsia"/>
                <w:bCs/>
                <w:szCs w:val="21"/>
              </w:rPr>
            </w:pPr>
          </w:p>
        </w:tc>
      </w:tr>
      <w:tr w14:paraId="04E204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14:paraId="0D4B58AF">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14:paraId="78225C59">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14:paraId="53A6A23F">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14:paraId="4FDE7F81">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14:paraId="69B33C06">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14:paraId="38278844">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14:paraId="08E9C466">
            <w:pPr>
              <w:spacing w:line="400" w:lineRule="exact"/>
              <w:rPr>
                <w:rFonts w:asciiTheme="minorEastAsia" w:hAnsiTheme="minorEastAsia" w:cstheme="minorEastAsia"/>
                <w:bCs/>
                <w:szCs w:val="21"/>
              </w:rPr>
            </w:pPr>
          </w:p>
        </w:tc>
      </w:tr>
      <w:tr w14:paraId="128517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14:paraId="086F995C">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14:paraId="55E7D464">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14:paraId="7509435A">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14:paraId="23DD2060">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14:paraId="5E115DF8">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14:paraId="44E517C7">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14:paraId="16A35166">
            <w:pPr>
              <w:spacing w:line="400" w:lineRule="exact"/>
              <w:rPr>
                <w:rFonts w:asciiTheme="minorEastAsia" w:hAnsiTheme="minorEastAsia" w:cstheme="minorEastAsia"/>
                <w:bCs/>
                <w:szCs w:val="21"/>
              </w:rPr>
            </w:pPr>
          </w:p>
        </w:tc>
      </w:tr>
      <w:tr w14:paraId="388A01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5CB7F299">
            <w:pPr>
              <w:spacing w:line="400" w:lineRule="exact"/>
              <w:rPr>
                <w:rFonts w:asciiTheme="minorEastAsia" w:hAnsiTheme="minorEastAsia" w:cstheme="minorEastAsia"/>
                <w:bCs/>
                <w:szCs w:val="21"/>
              </w:rPr>
            </w:pPr>
          </w:p>
        </w:tc>
        <w:tc>
          <w:tcPr>
            <w:tcW w:w="1508" w:type="dxa"/>
            <w:vAlign w:val="center"/>
          </w:tcPr>
          <w:p w14:paraId="4BE7F9DF">
            <w:pPr>
              <w:spacing w:line="400" w:lineRule="exact"/>
              <w:rPr>
                <w:rFonts w:asciiTheme="minorEastAsia" w:hAnsiTheme="minorEastAsia" w:cstheme="minorEastAsia"/>
                <w:bCs/>
                <w:szCs w:val="21"/>
              </w:rPr>
            </w:pPr>
          </w:p>
        </w:tc>
        <w:tc>
          <w:tcPr>
            <w:tcW w:w="1382" w:type="dxa"/>
            <w:vAlign w:val="center"/>
          </w:tcPr>
          <w:p w14:paraId="24739139">
            <w:pPr>
              <w:spacing w:line="400" w:lineRule="exact"/>
              <w:rPr>
                <w:rFonts w:asciiTheme="minorEastAsia" w:hAnsiTheme="minorEastAsia" w:cstheme="minorEastAsia"/>
                <w:bCs/>
                <w:szCs w:val="21"/>
              </w:rPr>
            </w:pPr>
          </w:p>
        </w:tc>
        <w:tc>
          <w:tcPr>
            <w:tcW w:w="1399" w:type="dxa"/>
            <w:vAlign w:val="center"/>
          </w:tcPr>
          <w:p w14:paraId="69BA2CFD">
            <w:pPr>
              <w:spacing w:line="400" w:lineRule="exact"/>
              <w:rPr>
                <w:rFonts w:asciiTheme="minorEastAsia" w:hAnsiTheme="minorEastAsia" w:cstheme="minorEastAsia"/>
                <w:bCs/>
                <w:szCs w:val="21"/>
              </w:rPr>
            </w:pPr>
          </w:p>
        </w:tc>
        <w:tc>
          <w:tcPr>
            <w:tcW w:w="1485" w:type="dxa"/>
            <w:tcBorders>
              <w:right w:val="single" w:color="auto" w:sz="4" w:space="0"/>
            </w:tcBorders>
            <w:vAlign w:val="center"/>
          </w:tcPr>
          <w:p w14:paraId="598E51A4">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14:paraId="0B1C23CC">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14:paraId="7E2F7B05">
            <w:pPr>
              <w:spacing w:line="400" w:lineRule="exact"/>
              <w:rPr>
                <w:rFonts w:asciiTheme="minorEastAsia" w:hAnsiTheme="minorEastAsia" w:cstheme="minorEastAsia"/>
                <w:bCs/>
                <w:szCs w:val="21"/>
              </w:rPr>
            </w:pPr>
          </w:p>
        </w:tc>
      </w:tr>
      <w:tr w14:paraId="647449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14:paraId="395DE080">
            <w:pPr>
              <w:spacing w:line="400" w:lineRule="exact"/>
              <w:jc w:val="center"/>
              <w:rPr>
                <w:rFonts w:asciiTheme="minorEastAsia" w:hAnsiTheme="minorEastAsia" w:cstheme="minorEastAsia"/>
                <w:bCs/>
                <w:szCs w:val="21"/>
              </w:rPr>
            </w:pPr>
          </w:p>
        </w:tc>
        <w:tc>
          <w:tcPr>
            <w:tcW w:w="1508" w:type="dxa"/>
            <w:vAlign w:val="center"/>
          </w:tcPr>
          <w:p w14:paraId="147F47E9">
            <w:pPr>
              <w:spacing w:line="400" w:lineRule="exact"/>
              <w:jc w:val="center"/>
              <w:rPr>
                <w:rFonts w:asciiTheme="minorEastAsia" w:hAnsiTheme="minorEastAsia" w:cstheme="minorEastAsia"/>
                <w:bCs/>
                <w:szCs w:val="21"/>
              </w:rPr>
            </w:pPr>
          </w:p>
        </w:tc>
        <w:tc>
          <w:tcPr>
            <w:tcW w:w="1382" w:type="dxa"/>
            <w:vAlign w:val="center"/>
          </w:tcPr>
          <w:p w14:paraId="1A202746">
            <w:pPr>
              <w:spacing w:line="400" w:lineRule="exact"/>
              <w:jc w:val="center"/>
              <w:rPr>
                <w:rFonts w:asciiTheme="minorEastAsia" w:hAnsiTheme="minorEastAsia" w:cstheme="minorEastAsia"/>
                <w:bCs/>
                <w:szCs w:val="21"/>
              </w:rPr>
            </w:pPr>
          </w:p>
        </w:tc>
        <w:tc>
          <w:tcPr>
            <w:tcW w:w="1399" w:type="dxa"/>
            <w:vAlign w:val="center"/>
          </w:tcPr>
          <w:p w14:paraId="5B389EFA">
            <w:pPr>
              <w:spacing w:line="400" w:lineRule="exact"/>
              <w:jc w:val="center"/>
              <w:rPr>
                <w:rFonts w:asciiTheme="minorEastAsia" w:hAnsiTheme="minorEastAsia" w:cstheme="minorEastAsia"/>
                <w:bCs/>
                <w:szCs w:val="21"/>
              </w:rPr>
            </w:pPr>
          </w:p>
        </w:tc>
        <w:tc>
          <w:tcPr>
            <w:tcW w:w="1485" w:type="dxa"/>
            <w:tcBorders>
              <w:right w:val="single" w:color="auto" w:sz="4" w:space="0"/>
            </w:tcBorders>
            <w:vAlign w:val="center"/>
          </w:tcPr>
          <w:p w14:paraId="7E7E06DE">
            <w:pPr>
              <w:spacing w:line="400" w:lineRule="exact"/>
              <w:jc w:val="center"/>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14:paraId="5AD60656">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14:paraId="74A12F34">
            <w:pPr>
              <w:spacing w:line="400" w:lineRule="exact"/>
              <w:jc w:val="center"/>
              <w:rPr>
                <w:rFonts w:asciiTheme="minorEastAsia" w:hAnsiTheme="minorEastAsia" w:cstheme="minorEastAsia"/>
                <w:bCs/>
                <w:szCs w:val="21"/>
              </w:rPr>
            </w:pPr>
          </w:p>
        </w:tc>
      </w:tr>
    </w:tbl>
    <w:p w14:paraId="258F7926">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注：投标人根据〖</w:t>
      </w:r>
      <w:r>
        <w:rPr>
          <w:rFonts w:hint="eastAsia" w:asciiTheme="minorEastAsia" w:hAnsiTheme="minorEastAsia" w:cstheme="minorEastAsia"/>
          <w:sz w:val="24"/>
          <w:szCs w:val="24"/>
          <w:lang w:val="en-US" w:eastAsia="zh-CN"/>
        </w:rPr>
        <w:t>评审办法</w:t>
      </w:r>
      <w:r>
        <w:rPr>
          <w:rFonts w:hint="eastAsia" w:asciiTheme="minorEastAsia" w:hAnsiTheme="minorEastAsia" w:cstheme="minorEastAsia"/>
          <w:sz w:val="24"/>
          <w:szCs w:val="24"/>
        </w:rPr>
        <w:t>〗相关要求提供。</w:t>
      </w:r>
    </w:p>
    <w:p w14:paraId="2DBBF03D">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14:paraId="662E88DA">
      <w:pPr>
        <w:spacing w:line="360" w:lineRule="auto"/>
        <w:ind w:left="360"/>
        <w:jc w:val="center"/>
        <w:rPr>
          <w:rFonts w:asciiTheme="minorEastAsia" w:hAnsiTheme="minorEastAsia" w:cstheme="minorEastAsia"/>
          <w:sz w:val="24"/>
          <w:szCs w:val="24"/>
        </w:rPr>
      </w:pPr>
    </w:p>
    <w:p w14:paraId="20F56FC1">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投标人名称：</w:t>
      </w:r>
      <w:r>
        <w:rPr>
          <w:rFonts w:hint="eastAsia" w:asciiTheme="minorEastAsia" w:hAnsiTheme="minorEastAsia" w:cstheme="minorEastAsia"/>
          <w:bCs/>
          <w:sz w:val="24"/>
          <w:szCs w:val="24"/>
          <w:u w:val="single"/>
        </w:rPr>
        <w:t xml:space="preserve">              （全称及公章）</w:t>
      </w:r>
    </w:p>
    <w:p w14:paraId="21F74457">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法定代表人或委托代理人（签字或盖章）：</w:t>
      </w:r>
      <w:r>
        <w:rPr>
          <w:rFonts w:hint="eastAsia" w:asciiTheme="minorEastAsia" w:hAnsiTheme="minorEastAsia" w:cstheme="minorEastAsia"/>
          <w:bCs/>
          <w:sz w:val="24"/>
          <w:szCs w:val="24"/>
          <w:u w:val="single"/>
        </w:rPr>
        <w:t xml:space="preserve">               </w:t>
      </w:r>
    </w:p>
    <w:p w14:paraId="599E94FB">
      <w:pPr>
        <w:adjustRightInd w:val="0"/>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bCs/>
          <w:sz w:val="24"/>
          <w:szCs w:val="24"/>
        </w:rPr>
        <w:t xml:space="preserve">日    </w:t>
      </w:r>
      <w:r>
        <w:rPr>
          <w:rFonts w:hint="eastAsia" w:asciiTheme="minorEastAsia" w:hAnsiTheme="minorEastAsia" w:cstheme="minorEastAsia"/>
          <w:sz w:val="24"/>
          <w:szCs w:val="24"/>
        </w:rPr>
        <w:t xml:space="preserve">期:                       </w:t>
      </w:r>
    </w:p>
    <w:p w14:paraId="715889CC">
      <w:pPr>
        <w:adjustRightInd w:val="0"/>
        <w:spacing w:line="360" w:lineRule="auto"/>
        <w:ind w:firstLine="420" w:firstLineChars="175"/>
        <w:jc w:val="left"/>
        <w:rPr>
          <w:rFonts w:asciiTheme="minorEastAsia" w:hAnsiTheme="minorEastAsia" w:cstheme="minorEastAsia"/>
          <w:bCs/>
          <w:sz w:val="24"/>
          <w:szCs w:val="24"/>
          <w:u w:val="single"/>
        </w:rPr>
      </w:pPr>
    </w:p>
    <w:p w14:paraId="35311CE3">
      <w:pPr>
        <w:adjustRightInd w:val="0"/>
        <w:spacing w:line="360" w:lineRule="auto"/>
        <w:ind w:firstLine="420" w:firstLineChars="175"/>
        <w:jc w:val="left"/>
        <w:rPr>
          <w:rFonts w:asciiTheme="minorEastAsia" w:hAnsiTheme="minorEastAsia" w:cstheme="minorEastAsia"/>
          <w:bCs/>
          <w:sz w:val="24"/>
          <w:szCs w:val="24"/>
          <w:u w:val="single"/>
        </w:rPr>
      </w:pPr>
    </w:p>
    <w:p w14:paraId="69698DB5">
      <w:pPr>
        <w:adjustRightInd w:val="0"/>
        <w:spacing w:line="360" w:lineRule="auto"/>
        <w:ind w:firstLine="420" w:firstLineChars="175"/>
        <w:jc w:val="left"/>
        <w:rPr>
          <w:rFonts w:asciiTheme="minorEastAsia" w:hAnsiTheme="minorEastAsia" w:cstheme="minorEastAsia"/>
          <w:bCs/>
          <w:sz w:val="24"/>
          <w:szCs w:val="24"/>
          <w:u w:val="single"/>
        </w:rPr>
      </w:pPr>
    </w:p>
    <w:p w14:paraId="23BE9C01">
      <w:pPr>
        <w:adjustRightInd w:val="0"/>
        <w:spacing w:line="360" w:lineRule="auto"/>
        <w:ind w:firstLine="420" w:firstLineChars="175"/>
        <w:jc w:val="left"/>
        <w:rPr>
          <w:rFonts w:asciiTheme="minorEastAsia" w:hAnsiTheme="minorEastAsia" w:cstheme="minorEastAsia"/>
          <w:bCs/>
          <w:sz w:val="24"/>
          <w:szCs w:val="24"/>
          <w:u w:val="single"/>
        </w:rPr>
      </w:pPr>
    </w:p>
    <w:p w14:paraId="2EA50BCD">
      <w:pPr>
        <w:adjustRightInd w:val="0"/>
        <w:spacing w:line="360" w:lineRule="auto"/>
        <w:ind w:firstLine="420" w:firstLineChars="175"/>
        <w:jc w:val="left"/>
        <w:rPr>
          <w:rFonts w:asciiTheme="minorEastAsia" w:hAnsiTheme="minorEastAsia" w:cstheme="minorEastAsia"/>
          <w:bCs/>
          <w:sz w:val="24"/>
          <w:szCs w:val="24"/>
          <w:u w:val="single"/>
        </w:rPr>
      </w:pPr>
    </w:p>
    <w:p w14:paraId="1B33077B">
      <w:pPr>
        <w:adjustRightInd w:val="0"/>
        <w:spacing w:line="360" w:lineRule="auto"/>
        <w:ind w:firstLine="420" w:firstLineChars="175"/>
        <w:jc w:val="left"/>
        <w:rPr>
          <w:rFonts w:asciiTheme="minorEastAsia" w:hAnsiTheme="minorEastAsia" w:cstheme="minorEastAsia"/>
          <w:bCs/>
          <w:sz w:val="24"/>
          <w:szCs w:val="24"/>
          <w:u w:val="single"/>
        </w:rPr>
      </w:pPr>
    </w:p>
    <w:p w14:paraId="66066567">
      <w:pPr>
        <w:pStyle w:val="5"/>
        <w:ind w:firstLine="0"/>
        <w:rPr>
          <w:b/>
          <w:bCs/>
          <w:sz w:val="28"/>
          <w:szCs w:val="28"/>
        </w:rPr>
        <w:sectPr>
          <w:headerReference r:id="rId16" w:type="default"/>
          <w:pgSz w:w="11906" w:h="16838"/>
          <w:pgMar w:top="1440" w:right="1803" w:bottom="1440" w:left="1803" w:header="851" w:footer="992" w:gutter="0"/>
          <w:cols w:space="720" w:num="1"/>
          <w:docGrid w:type="lines" w:linePitch="319" w:charSpace="0"/>
        </w:sectPr>
      </w:pPr>
      <w:bookmarkStart w:id="128" w:name="_Toc29034"/>
      <w:bookmarkStart w:id="129" w:name="_Toc18894"/>
      <w:bookmarkStart w:id="130" w:name="_Toc25377"/>
    </w:p>
    <w:p w14:paraId="43F4F1F1">
      <w:pPr>
        <w:pStyle w:val="4"/>
      </w:pPr>
      <w:bookmarkStart w:id="131" w:name="_Toc10406"/>
      <w:r>
        <w:rPr>
          <w:rFonts w:hint="eastAsia"/>
        </w:rPr>
        <w:t>第</w:t>
      </w:r>
      <w:r>
        <w:rPr>
          <w:rFonts w:hint="eastAsia"/>
          <w:lang w:val="en-US" w:eastAsia="zh-CN"/>
        </w:rPr>
        <w:t>九</w:t>
      </w:r>
      <w:r>
        <w:rPr>
          <w:rFonts w:hint="eastAsia"/>
        </w:rPr>
        <w:t>章  投标人认为有必要说明的其他问题</w:t>
      </w:r>
      <w:bookmarkEnd w:id="128"/>
      <w:bookmarkEnd w:id="129"/>
      <w:bookmarkEnd w:id="130"/>
      <w:bookmarkEnd w:id="131"/>
    </w:p>
    <w:p w14:paraId="02CE8AEA">
      <w:pPr>
        <w:pStyle w:val="5"/>
      </w:pPr>
    </w:p>
    <w:p w14:paraId="3834A269">
      <w:pPr>
        <w:bidi w:val="0"/>
        <w:jc w:val="center"/>
        <w:outlineLvl w:val="9"/>
        <w:rPr>
          <w:rFonts w:hint="eastAsia"/>
          <w:sz w:val="28"/>
          <w:szCs w:val="28"/>
        </w:rPr>
      </w:pPr>
      <w:bookmarkStart w:id="132" w:name="_Toc15182"/>
      <w:r>
        <w:rPr>
          <w:rFonts w:hint="eastAsia"/>
          <w:b/>
          <w:bCs/>
          <w:sz w:val="28"/>
          <w:szCs w:val="28"/>
          <w:lang w:val="en-US" w:eastAsia="zh-CN"/>
        </w:rPr>
        <w:t>投标人</w:t>
      </w:r>
      <w:r>
        <w:rPr>
          <w:rFonts w:hint="eastAsia"/>
          <w:b/>
          <w:bCs/>
          <w:sz w:val="28"/>
          <w:szCs w:val="28"/>
        </w:rPr>
        <w:t>可在此处附附件二至附件五的证明材料，如没有提供，视为无。</w:t>
      </w:r>
      <w:r>
        <w:rPr>
          <w:rFonts w:hint="eastAsia"/>
          <w:sz w:val="28"/>
          <w:szCs w:val="28"/>
        </w:rPr>
        <w:br w:type="page"/>
      </w:r>
      <w:bookmarkStart w:id="133" w:name="_Toc21392"/>
    </w:p>
    <w:p w14:paraId="6CD4C23D">
      <w:pPr>
        <w:bidi w:val="0"/>
        <w:jc w:val="center"/>
        <w:outlineLvl w:val="1"/>
        <w:rPr>
          <w:rFonts w:asciiTheme="minorEastAsia" w:hAnsiTheme="minorEastAsia" w:eastAsiaTheme="minorEastAsia" w:cstheme="minorEastAsia"/>
          <w:sz w:val="36"/>
          <w:szCs w:val="36"/>
        </w:rPr>
      </w:pPr>
      <w:bookmarkStart w:id="134" w:name="_Toc24345"/>
      <w:r>
        <w:rPr>
          <w:rStyle w:val="69"/>
          <w:rFonts w:hint="eastAsia"/>
        </w:rPr>
        <w:t>第</w:t>
      </w:r>
      <w:r>
        <w:rPr>
          <w:rStyle w:val="69"/>
          <w:rFonts w:hint="eastAsia" w:eastAsia="宋体"/>
          <w:lang w:val="en-US" w:eastAsia="zh-CN"/>
        </w:rPr>
        <w:t>十</w:t>
      </w:r>
      <w:r>
        <w:rPr>
          <w:rStyle w:val="69"/>
          <w:rFonts w:hint="eastAsia"/>
        </w:rPr>
        <w:t>章  投标人承诺书</w:t>
      </w:r>
      <w:bookmarkEnd w:id="132"/>
      <w:bookmarkEnd w:id="133"/>
      <w:bookmarkEnd w:id="134"/>
    </w:p>
    <w:p w14:paraId="625F4DD4">
      <w:pPr>
        <w:pStyle w:val="15"/>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陕西省政府采购供货商拒绝政府采购领域商业贿赂承诺书Ⅰ</w:t>
      </w:r>
    </w:p>
    <w:p w14:paraId="7FFAE3E4">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为响应党中央、国务院关于治理政府采购领域商业贿赂行为的号召，我公司在此庄严承诺：</w:t>
      </w:r>
    </w:p>
    <w:p w14:paraId="07352077">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1、在参与政府采购活动中遵纪守法、诚信经营、公平竞标。</w:t>
      </w:r>
    </w:p>
    <w:p w14:paraId="20CD399E">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2、不向政府采购人、代理机构和政府采购评审专家进行任何形式的商业贿赂以谋取交易机会。</w:t>
      </w:r>
    </w:p>
    <w:p w14:paraId="2E4EDE29">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3、不向政府代理机构和采购人提供虚假资质文件或采用虚假应标方式参与政府采购市场竞争并谋取成交、成交。</w:t>
      </w:r>
    </w:p>
    <w:p w14:paraId="632B1900">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4、不采取“围标、陪标”等商业欺诈手段获得政府采购订单。</w:t>
      </w:r>
    </w:p>
    <w:p w14:paraId="1AFE8F5B">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5、不采取不正当手段诋毁、排挤其它供货商。</w:t>
      </w:r>
    </w:p>
    <w:p w14:paraId="30C83F40">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6、不在提供商品和服务时“偷梁换柱、以次充好”损害采购人的合法权益。</w:t>
      </w:r>
    </w:p>
    <w:p w14:paraId="618D0B8E">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7、不与采购人、代理机构政府采购评审专家或其它供货商恶意串通，进行质疑和投诉，维护政府采购市场秩序。</w:t>
      </w:r>
    </w:p>
    <w:p w14:paraId="196B4E4F">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8、尊重和接受政府采购监督管理部门的监督和政府代理机构招标采购要求，承担因违约行为给采购人造成的损失。</w:t>
      </w:r>
    </w:p>
    <w:p w14:paraId="36A86803">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9、不发生其它有悖于政府采购公开、公平、公正和诚信原则的行为。</w:t>
      </w:r>
    </w:p>
    <w:p w14:paraId="425BF1A9">
      <w:pPr>
        <w:adjustRightInd w:val="0"/>
        <w:snapToGrid w:val="0"/>
        <w:spacing w:line="500" w:lineRule="exact"/>
        <w:ind w:firstLine="560"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14:paraId="421402FA">
      <w:pPr>
        <w:snapToGrid w:val="0"/>
        <w:spacing w:line="500" w:lineRule="exact"/>
        <w:ind w:firstLine="560"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14:paraId="615DF40F">
      <w:pPr>
        <w:snapToGri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邮  编：</w:t>
      </w:r>
      <w:r>
        <w:rPr>
          <w:rFonts w:hint="eastAsia" w:asciiTheme="minorEastAsia" w:hAnsiTheme="minorEastAsia" w:cstheme="minorEastAsia"/>
          <w:sz w:val="28"/>
          <w:szCs w:val="28"/>
          <w:u w:val="single"/>
        </w:rPr>
        <w:t xml:space="preserve">                                         </w:t>
      </w:r>
    </w:p>
    <w:p w14:paraId="06074AB2">
      <w:pPr>
        <w:snapToGri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地  址：</w:t>
      </w:r>
      <w:r>
        <w:rPr>
          <w:rFonts w:hint="eastAsia" w:asciiTheme="minorEastAsia" w:hAnsiTheme="minorEastAsia" w:cstheme="minorEastAsia"/>
          <w:sz w:val="28"/>
          <w:szCs w:val="28"/>
          <w:u w:val="single"/>
        </w:rPr>
        <w:t xml:space="preserve">                          </w:t>
      </w:r>
    </w:p>
    <w:p w14:paraId="1E639F2D">
      <w:pPr>
        <w:snapToGri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电  话： </w:t>
      </w:r>
      <w:r>
        <w:rPr>
          <w:rFonts w:hint="eastAsia" w:asciiTheme="minorEastAsia" w:hAnsiTheme="minorEastAsia" w:cstheme="minorEastAsia"/>
          <w:sz w:val="28"/>
          <w:szCs w:val="28"/>
          <w:u w:val="single"/>
        </w:rPr>
        <w:t xml:space="preserve">                         </w:t>
      </w:r>
    </w:p>
    <w:p w14:paraId="36DAD941">
      <w:pPr>
        <w:snapToGri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时  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14:paraId="34C21682">
      <w:pPr>
        <w:rPr>
          <w:rFonts w:hint="eastAsia" w:asciiTheme="minorEastAsia" w:hAnsiTheme="minorEastAsia" w:eastAsiaTheme="minorEastAsia" w:cstheme="minorEastAsia"/>
        </w:rPr>
      </w:pPr>
      <w:bookmarkStart w:id="135" w:name="_Toc11130"/>
      <w:bookmarkStart w:id="136" w:name="_Toc17116"/>
      <w:r>
        <w:rPr>
          <w:rFonts w:hint="eastAsia" w:asciiTheme="minorEastAsia" w:hAnsiTheme="minorEastAsia" w:eastAsiaTheme="minorEastAsia" w:cstheme="minorEastAsia"/>
        </w:rPr>
        <w:br w:type="page"/>
      </w:r>
    </w:p>
    <w:p w14:paraId="63B1F74A">
      <w:pPr>
        <w:pStyle w:val="4"/>
        <w:adjustRightInd w:val="0"/>
        <w:spacing w:line="500" w:lineRule="exact"/>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附件一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封袋正面标识式样</w:t>
      </w:r>
      <w:bookmarkEnd w:id="135"/>
      <w:bookmarkEnd w:id="136"/>
    </w:p>
    <w:p w14:paraId="190EFA10">
      <w:pPr>
        <w:spacing w:line="460" w:lineRule="exact"/>
        <w:ind w:firstLine="562" w:firstLineChars="200"/>
        <w:jc w:val="center"/>
        <w:rPr>
          <w:rFonts w:asciiTheme="minorEastAsia" w:hAnsiTheme="minorEastAsia" w:cstheme="minorEastAsia"/>
          <w:b/>
          <w:sz w:val="24"/>
        </w:rPr>
      </w:pPr>
      <w:r>
        <w:rPr>
          <w:rFonts w:hint="eastAsia" w:asciiTheme="minorEastAsia" w:hAnsiTheme="minorEastAsia" w:cstheme="minorEastAsia"/>
          <w:b/>
          <w:sz w:val="28"/>
          <w:szCs w:val="28"/>
        </w:rPr>
        <w:t>投标文件正本封袋正面标识式样</w:t>
      </w:r>
    </w:p>
    <w:p w14:paraId="412F7EFE">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3360" behindDoc="0" locked="0" layoutInCell="1" allowOverlap="1">
                <wp:simplePos x="0" y="0"/>
                <wp:positionH relativeFrom="column">
                  <wp:posOffset>-274320</wp:posOffset>
                </wp:positionH>
                <wp:positionV relativeFrom="paragraph">
                  <wp:posOffset>193675</wp:posOffset>
                </wp:positionV>
                <wp:extent cx="6255385" cy="3514725"/>
                <wp:effectExtent l="4445" t="4445" r="19050" b="16510"/>
                <wp:wrapNone/>
                <wp:docPr id="2" name="Text Box 3"/>
                <wp:cNvGraphicFramePr/>
                <a:graphic xmlns:a="http://schemas.openxmlformats.org/drawingml/2006/main">
                  <a:graphicData uri="http://schemas.microsoft.com/office/word/2010/wordprocessingShape">
                    <wps:wsp>
                      <wps:cNvSpPr txBox="1"/>
                      <wps:spPr>
                        <a:xfrm>
                          <a:off x="0" y="0"/>
                          <a:ext cx="6255385" cy="3514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BB3625">
                            <w:pPr>
                              <w:jc w:val="center"/>
                              <w:rPr>
                                <w:rFonts w:hint="eastAsia"/>
                                <w:sz w:val="28"/>
                                <w:szCs w:val="28"/>
                              </w:rPr>
                            </w:pPr>
                            <w:r>
                              <w:rPr>
                                <w:rFonts w:hint="eastAsia"/>
                                <w:sz w:val="28"/>
                                <w:szCs w:val="28"/>
                              </w:rPr>
                              <w:t>致：陕西万泽招标有限公司           项目编号：</w:t>
                            </w:r>
                            <w:r>
                              <w:rPr>
                                <w:rFonts w:hint="eastAsia"/>
                                <w:sz w:val="28"/>
                                <w:szCs w:val="28"/>
                                <w:lang w:eastAsia="zh-CN"/>
                              </w:rPr>
                              <w:t>SXWZ2025ZB-SGLJ-070A</w:t>
                            </w:r>
                          </w:p>
                          <w:p w14:paraId="66184260">
                            <w:pPr>
                              <w:jc w:val="center"/>
                              <w:rPr>
                                <w:rFonts w:hint="eastAsia"/>
                                <w:sz w:val="28"/>
                                <w:szCs w:val="28"/>
                                <w:lang w:eastAsia="zh-CN"/>
                              </w:rPr>
                            </w:pPr>
                            <w:r>
                              <w:rPr>
                                <w:rFonts w:hint="eastAsia"/>
                                <w:sz w:val="28"/>
                                <w:szCs w:val="28"/>
                              </w:rPr>
                              <w:t>项目名称：</w:t>
                            </w:r>
                            <w:r>
                              <w:rPr>
                                <w:rFonts w:hint="eastAsia"/>
                                <w:sz w:val="28"/>
                                <w:szCs w:val="28"/>
                                <w:lang w:eastAsia="zh-CN"/>
                              </w:rPr>
                              <w:t>西安市市场监督管理局2025年机电类特种设备安全质量</w:t>
                            </w:r>
                          </w:p>
                          <w:p w14:paraId="23B481F5">
                            <w:pPr>
                              <w:jc w:val="center"/>
                              <w:rPr>
                                <w:sz w:val="28"/>
                                <w:szCs w:val="28"/>
                              </w:rPr>
                            </w:pPr>
                            <w:r>
                              <w:rPr>
                                <w:rFonts w:hint="eastAsia"/>
                                <w:sz w:val="28"/>
                                <w:szCs w:val="28"/>
                                <w:lang w:eastAsia="zh-CN"/>
                              </w:rPr>
                              <w:t>监督抽查项目（二次）</w:t>
                            </w:r>
                          </w:p>
                          <w:p w14:paraId="148C4AE9">
                            <w:pPr>
                              <w:jc w:val="center"/>
                              <w:rPr>
                                <w:b/>
                                <w:sz w:val="44"/>
                                <w:szCs w:val="44"/>
                              </w:rPr>
                            </w:pPr>
                            <w:r>
                              <w:rPr>
                                <w:rFonts w:hint="eastAsia"/>
                                <w:b/>
                                <w:bCs/>
                                <w:sz w:val="32"/>
                                <w:szCs w:val="32"/>
                              </w:rPr>
                              <w:t xml:space="preserve"> </w:t>
                            </w:r>
                            <w:r>
                              <w:rPr>
                                <w:rFonts w:hint="eastAsia"/>
                                <w:b/>
                                <w:sz w:val="44"/>
                                <w:szCs w:val="44"/>
                              </w:rPr>
                              <w:t>投标文件（正本）</w:t>
                            </w:r>
                          </w:p>
                          <w:p w14:paraId="5DE4F896">
                            <w:pPr>
                              <w:jc w:val="center"/>
                              <w:rPr>
                                <w:sz w:val="28"/>
                                <w:szCs w:val="28"/>
                              </w:rPr>
                            </w:pPr>
                            <w:r>
                              <w:rPr>
                                <w:rFonts w:hint="eastAsia"/>
                                <w:sz w:val="28"/>
                                <w:szCs w:val="28"/>
                              </w:rPr>
                              <w:t>（非招标大会不得启封）</w:t>
                            </w:r>
                          </w:p>
                          <w:p w14:paraId="3CFCC33C">
                            <w:pPr>
                              <w:rPr>
                                <w:sz w:val="28"/>
                                <w:szCs w:val="28"/>
                                <w:u w:val="single"/>
                              </w:rPr>
                            </w:pPr>
                            <w:r>
                              <w:rPr>
                                <w:rFonts w:hint="eastAsia"/>
                                <w:sz w:val="28"/>
                                <w:szCs w:val="28"/>
                              </w:rPr>
                              <w:t>投标人（名称及公章）：</w:t>
                            </w:r>
                            <w:r>
                              <w:rPr>
                                <w:rFonts w:hint="eastAsia"/>
                                <w:sz w:val="28"/>
                                <w:szCs w:val="28"/>
                                <w:u w:val="single"/>
                              </w:rPr>
                              <w:t xml:space="preserve">                    </w:t>
                            </w:r>
                          </w:p>
                          <w:p w14:paraId="4028D5AA">
                            <w:pPr>
                              <w:rPr>
                                <w:sz w:val="28"/>
                                <w:szCs w:val="28"/>
                                <w:u w:val="single"/>
                              </w:rPr>
                            </w:pPr>
                            <w:r>
                              <w:rPr>
                                <w:rFonts w:hint="eastAsia"/>
                                <w:sz w:val="28"/>
                                <w:szCs w:val="28"/>
                              </w:rPr>
                              <w:t>时间</w:t>
                            </w:r>
                            <w:r>
                              <w:rPr>
                                <w:rFonts w:hint="eastAsia"/>
                                <w:sz w:val="28"/>
                                <w:szCs w:val="28"/>
                                <w:u w:val="single"/>
                              </w:rPr>
                              <w:t>：      年      月    日</w:t>
                            </w:r>
                          </w:p>
                          <w:p w14:paraId="6FA2262C">
                            <w:pPr>
                              <w:rPr>
                                <w:sz w:val="28"/>
                                <w:szCs w:val="28"/>
                              </w:rPr>
                            </w:pPr>
                          </w:p>
                        </w:txbxContent>
                      </wps:txbx>
                      <wps:bodyPr upright="1"/>
                    </wps:wsp>
                  </a:graphicData>
                </a:graphic>
              </wp:anchor>
            </w:drawing>
          </mc:Choice>
          <mc:Fallback>
            <w:pict>
              <v:shape id="Text Box 3" o:spid="_x0000_s1026" o:spt="202" type="#_x0000_t202" style="position:absolute;left:0pt;margin-left:-21.6pt;margin-top:15.25pt;height:276.75pt;width:492.55pt;z-index:251663360;mso-width-relative:page;mso-height-relative:page;" fillcolor="#FFFFFF" filled="t" stroked="t" coordsize="21600,21600" o:gfxdata="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vxvP2gAAAAoBAAAPAAAAAAAAAAEAIAAAACIAAABkcnMv&#10;ZG93bnJldi54bWxQSwECFAAUAAAACACHTuJAv9LsmQECAABEBAAADgAAAAAAAAABACAAAAApAQAA&#10;ZHJzL2Uyb0RvYy54bWxQSwUGAAAAAAYABgBZAQAAnAUAAAAA&#10;">
                <v:fill on="t" focussize="0,0"/>
                <v:stroke color="#000000" joinstyle="miter"/>
                <v:imagedata o:title=""/>
                <o:lock v:ext="edit" aspectratio="f"/>
                <v:textbox>
                  <w:txbxContent>
                    <w:p w14:paraId="20BB3625">
                      <w:pPr>
                        <w:jc w:val="center"/>
                        <w:rPr>
                          <w:rFonts w:hint="eastAsia"/>
                          <w:sz w:val="28"/>
                          <w:szCs w:val="28"/>
                        </w:rPr>
                      </w:pPr>
                      <w:r>
                        <w:rPr>
                          <w:rFonts w:hint="eastAsia"/>
                          <w:sz w:val="28"/>
                          <w:szCs w:val="28"/>
                        </w:rPr>
                        <w:t>致：陕西万泽招标有限公司           项目编号：</w:t>
                      </w:r>
                      <w:r>
                        <w:rPr>
                          <w:rFonts w:hint="eastAsia"/>
                          <w:sz w:val="28"/>
                          <w:szCs w:val="28"/>
                          <w:lang w:eastAsia="zh-CN"/>
                        </w:rPr>
                        <w:t>SXWZ2025ZB-SGLJ-070A</w:t>
                      </w:r>
                    </w:p>
                    <w:p w14:paraId="66184260">
                      <w:pPr>
                        <w:jc w:val="center"/>
                        <w:rPr>
                          <w:rFonts w:hint="eastAsia"/>
                          <w:sz w:val="28"/>
                          <w:szCs w:val="28"/>
                          <w:lang w:eastAsia="zh-CN"/>
                        </w:rPr>
                      </w:pPr>
                      <w:r>
                        <w:rPr>
                          <w:rFonts w:hint="eastAsia"/>
                          <w:sz w:val="28"/>
                          <w:szCs w:val="28"/>
                        </w:rPr>
                        <w:t>项目名称：</w:t>
                      </w:r>
                      <w:r>
                        <w:rPr>
                          <w:rFonts w:hint="eastAsia"/>
                          <w:sz w:val="28"/>
                          <w:szCs w:val="28"/>
                          <w:lang w:eastAsia="zh-CN"/>
                        </w:rPr>
                        <w:t>西安市市场监督管理局2025年机电类特种设备安全质量</w:t>
                      </w:r>
                    </w:p>
                    <w:p w14:paraId="23B481F5">
                      <w:pPr>
                        <w:jc w:val="center"/>
                        <w:rPr>
                          <w:sz w:val="28"/>
                          <w:szCs w:val="28"/>
                        </w:rPr>
                      </w:pPr>
                      <w:r>
                        <w:rPr>
                          <w:rFonts w:hint="eastAsia"/>
                          <w:sz w:val="28"/>
                          <w:szCs w:val="28"/>
                          <w:lang w:eastAsia="zh-CN"/>
                        </w:rPr>
                        <w:t>监督抽查项目（二次）</w:t>
                      </w:r>
                    </w:p>
                    <w:p w14:paraId="148C4AE9">
                      <w:pPr>
                        <w:jc w:val="center"/>
                        <w:rPr>
                          <w:b/>
                          <w:sz w:val="44"/>
                          <w:szCs w:val="44"/>
                        </w:rPr>
                      </w:pPr>
                      <w:r>
                        <w:rPr>
                          <w:rFonts w:hint="eastAsia"/>
                          <w:b/>
                          <w:bCs/>
                          <w:sz w:val="32"/>
                          <w:szCs w:val="32"/>
                        </w:rPr>
                        <w:t xml:space="preserve"> </w:t>
                      </w:r>
                      <w:r>
                        <w:rPr>
                          <w:rFonts w:hint="eastAsia"/>
                          <w:b/>
                          <w:sz w:val="44"/>
                          <w:szCs w:val="44"/>
                        </w:rPr>
                        <w:t>投标文件（正本）</w:t>
                      </w:r>
                    </w:p>
                    <w:p w14:paraId="5DE4F896">
                      <w:pPr>
                        <w:jc w:val="center"/>
                        <w:rPr>
                          <w:sz w:val="28"/>
                          <w:szCs w:val="28"/>
                        </w:rPr>
                      </w:pPr>
                      <w:r>
                        <w:rPr>
                          <w:rFonts w:hint="eastAsia"/>
                          <w:sz w:val="28"/>
                          <w:szCs w:val="28"/>
                        </w:rPr>
                        <w:t>（非招标大会不得启封）</w:t>
                      </w:r>
                    </w:p>
                    <w:p w14:paraId="3CFCC33C">
                      <w:pPr>
                        <w:rPr>
                          <w:sz w:val="28"/>
                          <w:szCs w:val="28"/>
                          <w:u w:val="single"/>
                        </w:rPr>
                      </w:pPr>
                      <w:r>
                        <w:rPr>
                          <w:rFonts w:hint="eastAsia"/>
                          <w:sz w:val="28"/>
                          <w:szCs w:val="28"/>
                        </w:rPr>
                        <w:t>投标人（名称及公章）：</w:t>
                      </w:r>
                      <w:r>
                        <w:rPr>
                          <w:rFonts w:hint="eastAsia"/>
                          <w:sz w:val="28"/>
                          <w:szCs w:val="28"/>
                          <w:u w:val="single"/>
                        </w:rPr>
                        <w:t xml:space="preserve">                    </w:t>
                      </w:r>
                    </w:p>
                    <w:p w14:paraId="4028D5AA">
                      <w:pPr>
                        <w:rPr>
                          <w:sz w:val="28"/>
                          <w:szCs w:val="28"/>
                          <w:u w:val="single"/>
                        </w:rPr>
                      </w:pPr>
                      <w:r>
                        <w:rPr>
                          <w:rFonts w:hint="eastAsia"/>
                          <w:sz w:val="28"/>
                          <w:szCs w:val="28"/>
                        </w:rPr>
                        <w:t>时间</w:t>
                      </w:r>
                      <w:r>
                        <w:rPr>
                          <w:rFonts w:hint="eastAsia"/>
                          <w:sz w:val="28"/>
                          <w:szCs w:val="28"/>
                          <w:u w:val="single"/>
                        </w:rPr>
                        <w:t>：      年      月    日</w:t>
                      </w:r>
                    </w:p>
                    <w:p w14:paraId="6FA2262C">
                      <w:pPr>
                        <w:rPr>
                          <w:sz w:val="28"/>
                          <w:szCs w:val="28"/>
                        </w:rPr>
                      </w:pPr>
                    </w:p>
                  </w:txbxContent>
                </v:textbox>
              </v:shape>
            </w:pict>
          </mc:Fallback>
        </mc:AlternateContent>
      </w:r>
    </w:p>
    <w:p w14:paraId="260DA844">
      <w:pPr>
        <w:spacing w:line="460" w:lineRule="exact"/>
        <w:ind w:firstLine="482" w:firstLineChars="200"/>
        <w:jc w:val="left"/>
        <w:rPr>
          <w:rFonts w:asciiTheme="minorEastAsia" w:hAnsiTheme="minorEastAsia" w:cstheme="minorEastAsia"/>
          <w:b/>
          <w:sz w:val="24"/>
        </w:rPr>
      </w:pPr>
    </w:p>
    <w:p w14:paraId="19DE6678">
      <w:pPr>
        <w:spacing w:line="460" w:lineRule="exact"/>
        <w:ind w:firstLine="482" w:firstLineChars="200"/>
        <w:jc w:val="left"/>
        <w:rPr>
          <w:rFonts w:asciiTheme="minorEastAsia" w:hAnsiTheme="minorEastAsia" w:cstheme="minorEastAsia"/>
          <w:b/>
          <w:sz w:val="24"/>
        </w:rPr>
      </w:pPr>
    </w:p>
    <w:p w14:paraId="72E941EB">
      <w:pPr>
        <w:spacing w:line="460" w:lineRule="exact"/>
        <w:ind w:firstLine="482" w:firstLineChars="200"/>
        <w:jc w:val="left"/>
        <w:rPr>
          <w:rFonts w:asciiTheme="minorEastAsia" w:hAnsiTheme="minorEastAsia" w:cstheme="minorEastAsia"/>
          <w:b/>
          <w:sz w:val="24"/>
        </w:rPr>
      </w:pPr>
    </w:p>
    <w:p w14:paraId="7670A2E0">
      <w:pPr>
        <w:spacing w:line="460" w:lineRule="exact"/>
        <w:ind w:firstLine="482" w:firstLineChars="200"/>
        <w:jc w:val="left"/>
        <w:rPr>
          <w:rFonts w:asciiTheme="minorEastAsia" w:hAnsiTheme="minorEastAsia" w:cstheme="minorEastAsia"/>
          <w:b/>
          <w:sz w:val="24"/>
        </w:rPr>
      </w:pPr>
    </w:p>
    <w:p w14:paraId="12A4C7C9">
      <w:pPr>
        <w:spacing w:line="460" w:lineRule="exact"/>
        <w:ind w:firstLine="482" w:firstLineChars="200"/>
        <w:jc w:val="left"/>
        <w:rPr>
          <w:rFonts w:asciiTheme="minorEastAsia" w:hAnsiTheme="minorEastAsia" w:cstheme="minorEastAsia"/>
          <w:b/>
          <w:sz w:val="24"/>
        </w:rPr>
      </w:pPr>
    </w:p>
    <w:p w14:paraId="4B6E327A">
      <w:pPr>
        <w:spacing w:line="460" w:lineRule="exact"/>
        <w:ind w:firstLine="482" w:firstLineChars="200"/>
        <w:jc w:val="left"/>
        <w:rPr>
          <w:rFonts w:asciiTheme="minorEastAsia" w:hAnsiTheme="minorEastAsia" w:cstheme="minorEastAsia"/>
          <w:b/>
          <w:sz w:val="24"/>
        </w:rPr>
      </w:pPr>
    </w:p>
    <w:p w14:paraId="7663CE04">
      <w:pPr>
        <w:spacing w:line="460" w:lineRule="exact"/>
        <w:ind w:firstLine="482" w:firstLineChars="200"/>
        <w:jc w:val="left"/>
        <w:rPr>
          <w:rFonts w:asciiTheme="minorEastAsia" w:hAnsiTheme="minorEastAsia" w:cstheme="minorEastAsia"/>
          <w:b/>
          <w:sz w:val="24"/>
        </w:rPr>
      </w:pPr>
    </w:p>
    <w:p w14:paraId="68ED8382">
      <w:pPr>
        <w:spacing w:line="460" w:lineRule="exact"/>
        <w:ind w:firstLine="482" w:firstLineChars="200"/>
        <w:jc w:val="left"/>
        <w:rPr>
          <w:rFonts w:asciiTheme="minorEastAsia" w:hAnsiTheme="minorEastAsia" w:cstheme="minorEastAsia"/>
          <w:b/>
          <w:sz w:val="24"/>
        </w:rPr>
      </w:pPr>
    </w:p>
    <w:p w14:paraId="2788BB9C">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投标文件副本封袋正面标识式样</w:t>
      </w:r>
    </w:p>
    <w:p w14:paraId="2CE60F01">
      <w:pPr>
        <w:spacing w:line="460" w:lineRule="exact"/>
        <w:ind w:firstLine="482" w:firstLineChars="200"/>
        <w:jc w:val="left"/>
        <w:rPr>
          <w:rFonts w:asciiTheme="minorEastAsia" w:hAnsiTheme="minorEastAsia" w:cstheme="minorEastAsia"/>
          <w:b/>
          <w:sz w:val="24"/>
        </w:rPr>
      </w:pPr>
    </w:p>
    <w:p w14:paraId="3991DC53">
      <w:pPr>
        <w:spacing w:line="460" w:lineRule="exact"/>
        <w:ind w:firstLine="482" w:firstLineChars="200"/>
        <w:jc w:val="left"/>
        <w:rPr>
          <w:rFonts w:asciiTheme="minorEastAsia" w:hAnsiTheme="minorEastAsia" w:cstheme="minorEastAsia"/>
          <w:b/>
          <w:sz w:val="24"/>
        </w:rPr>
      </w:pPr>
    </w:p>
    <w:p w14:paraId="40316AA4">
      <w:pPr>
        <w:tabs>
          <w:tab w:val="left" w:pos="8280"/>
        </w:tabs>
        <w:spacing w:line="460" w:lineRule="exact"/>
        <w:ind w:firstLine="482" w:firstLineChars="200"/>
        <w:jc w:val="left"/>
        <w:rPr>
          <w:rFonts w:asciiTheme="minorEastAsia" w:hAnsiTheme="minorEastAsia" w:cstheme="minorEastAsia"/>
          <w:b/>
          <w:sz w:val="24"/>
        </w:rPr>
      </w:pPr>
    </w:p>
    <w:p w14:paraId="1EAD8DBB">
      <w:pPr>
        <w:ind w:firstLine="420" w:firstLineChars="200"/>
        <w:jc w:val="left"/>
        <w:rPr>
          <w:rFonts w:asciiTheme="minorEastAsia" w:hAnsiTheme="minorEastAsia" w:cstheme="minorEastAsia"/>
        </w:rPr>
      </w:pPr>
    </w:p>
    <w:p w14:paraId="7931362D">
      <w:pPr>
        <w:ind w:firstLine="482" w:firstLineChars="200"/>
        <w:jc w:val="left"/>
        <w:rPr>
          <w:rFonts w:asciiTheme="minorEastAsia" w:hAnsiTheme="minorEastAsia" w:cstheme="minorEastAsia"/>
        </w:rPr>
      </w:pPr>
      <w:r>
        <w:rPr>
          <w:rFonts w:asciiTheme="minorEastAsia" w:hAnsiTheme="minorEastAsia" w:cstheme="minorEastAsia"/>
          <w:b/>
          <w:sz w:val="24"/>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38100</wp:posOffset>
                </wp:positionV>
                <wp:extent cx="6288405" cy="3509010"/>
                <wp:effectExtent l="4445" t="4445" r="16510" b="6985"/>
                <wp:wrapNone/>
                <wp:docPr id="3" name="Text Box 4"/>
                <wp:cNvGraphicFramePr/>
                <a:graphic xmlns:a="http://schemas.openxmlformats.org/drawingml/2006/main">
                  <a:graphicData uri="http://schemas.microsoft.com/office/word/2010/wordprocessingShape">
                    <wps:wsp>
                      <wps:cNvSpPr txBox="1"/>
                      <wps:spPr>
                        <a:xfrm>
                          <a:off x="0" y="0"/>
                          <a:ext cx="6288405" cy="3509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B35FC2">
                            <w:pPr>
                              <w:jc w:val="center"/>
                              <w:rPr>
                                <w:rFonts w:hint="eastAsia"/>
                                <w:sz w:val="28"/>
                                <w:szCs w:val="28"/>
                              </w:rPr>
                            </w:pPr>
                            <w:r>
                              <w:rPr>
                                <w:rFonts w:hint="eastAsia"/>
                                <w:sz w:val="28"/>
                                <w:szCs w:val="28"/>
                              </w:rPr>
                              <w:t>致：陕西万泽招标有限公司           项目编号：</w:t>
                            </w:r>
                            <w:r>
                              <w:rPr>
                                <w:rFonts w:hint="eastAsia"/>
                                <w:sz w:val="28"/>
                                <w:szCs w:val="28"/>
                                <w:lang w:eastAsia="zh-CN"/>
                              </w:rPr>
                              <w:t>SXWZ2025ZB-SGLJ-070A</w:t>
                            </w:r>
                            <w:r>
                              <w:rPr>
                                <w:rFonts w:hint="eastAsia"/>
                                <w:sz w:val="28"/>
                                <w:szCs w:val="28"/>
                              </w:rPr>
                              <w:t xml:space="preserve"> </w:t>
                            </w:r>
                          </w:p>
                          <w:p w14:paraId="2A81738E">
                            <w:pPr>
                              <w:jc w:val="center"/>
                              <w:rPr>
                                <w:rFonts w:hint="eastAsia"/>
                                <w:sz w:val="28"/>
                                <w:szCs w:val="28"/>
                                <w:lang w:eastAsia="zh-CN"/>
                              </w:rPr>
                            </w:pPr>
                            <w:r>
                              <w:rPr>
                                <w:rFonts w:hint="eastAsia"/>
                                <w:sz w:val="28"/>
                                <w:szCs w:val="28"/>
                              </w:rPr>
                              <w:t>项目名称：</w:t>
                            </w:r>
                            <w:r>
                              <w:rPr>
                                <w:rFonts w:hint="eastAsia"/>
                                <w:sz w:val="28"/>
                                <w:szCs w:val="28"/>
                                <w:lang w:eastAsia="zh-CN"/>
                              </w:rPr>
                              <w:t>西安市市场监督管理局2025年机电类特种设备安全质量</w:t>
                            </w:r>
                          </w:p>
                          <w:p w14:paraId="39201494">
                            <w:pPr>
                              <w:jc w:val="center"/>
                              <w:rPr>
                                <w:sz w:val="28"/>
                                <w:szCs w:val="28"/>
                              </w:rPr>
                            </w:pPr>
                            <w:r>
                              <w:rPr>
                                <w:rFonts w:hint="eastAsia"/>
                                <w:sz w:val="28"/>
                                <w:szCs w:val="28"/>
                                <w:lang w:eastAsia="zh-CN"/>
                              </w:rPr>
                              <w:t>监督抽查项目（二次）</w:t>
                            </w:r>
                          </w:p>
                          <w:p w14:paraId="5A9078CF">
                            <w:pPr>
                              <w:jc w:val="center"/>
                              <w:rPr>
                                <w:b/>
                                <w:sz w:val="44"/>
                                <w:szCs w:val="44"/>
                              </w:rPr>
                            </w:pPr>
                            <w:r>
                              <w:rPr>
                                <w:rFonts w:hint="eastAsia"/>
                                <w:sz w:val="28"/>
                                <w:szCs w:val="28"/>
                              </w:rPr>
                              <w:t xml:space="preserve">  </w:t>
                            </w:r>
                          </w:p>
                          <w:p w14:paraId="2F36E0FD">
                            <w:pPr>
                              <w:jc w:val="center"/>
                              <w:rPr>
                                <w:b/>
                                <w:sz w:val="44"/>
                                <w:szCs w:val="44"/>
                              </w:rPr>
                            </w:pPr>
                            <w:r>
                              <w:rPr>
                                <w:rFonts w:hint="eastAsia"/>
                                <w:b/>
                                <w:sz w:val="44"/>
                                <w:szCs w:val="44"/>
                              </w:rPr>
                              <w:t>投标文件（副本）</w:t>
                            </w:r>
                          </w:p>
                          <w:p w14:paraId="67F915D3">
                            <w:pPr>
                              <w:jc w:val="center"/>
                              <w:rPr>
                                <w:sz w:val="28"/>
                                <w:szCs w:val="28"/>
                              </w:rPr>
                            </w:pPr>
                            <w:r>
                              <w:rPr>
                                <w:rFonts w:hint="eastAsia"/>
                                <w:sz w:val="28"/>
                                <w:szCs w:val="28"/>
                              </w:rPr>
                              <w:t>（非招标大会不得启封）</w:t>
                            </w:r>
                          </w:p>
                          <w:p w14:paraId="3A1F0064">
                            <w:pPr>
                              <w:rPr>
                                <w:sz w:val="28"/>
                                <w:szCs w:val="28"/>
                                <w:u w:val="single"/>
                              </w:rPr>
                            </w:pPr>
                            <w:r>
                              <w:rPr>
                                <w:rFonts w:hint="eastAsia"/>
                                <w:sz w:val="28"/>
                                <w:szCs w:val="28"/>
                              </w:rPr>
                              <w:t>投标人（名称及公章）：</w:t>
                            </w:r>
                            <w:r>
                              <w:rPr>
                                <w:rFonts w:hint="eastAsia"/>
                                <w:sz w:val="28"/>
                                <w:szCs w:val="28"/>
                                <w:u w:val="single"/>
                              </w:rPr>
                              <w:t xml:space="preserve">                    </w:t>
                            </w:r>
                          </w:p>
                          <w:p w14:paraId="0674CC71">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4" o:spid="_x0000_s1026" o:spt="202" type="#_x0000_t202" style="position:absolute;left:0pt;margin-left:-23.7pt;margin-top:3pt;height:276.3pt;width:495.15pt;z-index:251664384;mso-width-relative:page;mso-height-relative:page;" fillcolor="#FFFFFF" filled="t" stroked="t" coordsize="21600,21600" o:gfxdata="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M3f3/ZAAAACQEAAA8AAAAAAAAAAQAgAAAAIgAAAGRycy9k&#10;b3ducmV2LnhtbFBLAQIUABQAAAAIAIdO4kCDObD4AQIAAEQEAAAOAAAAAAAAAAEAIAAAACgBAABk&#10;cnMvZTJvRG9jLnhtbFBLBQYAAAAABgAGAFkBAACbBQAAAAA=&#10;">
                <v:fill on="t" focussize="0,0"/>
                <v:stroke color="#000000" joinstyle="miter"/>
                <v:imagedata o:title=""/>
                <o:lock v:ext="edit" aspectratio="f"/>
                <v:textbox>
                  <w:txbxContent>
                    <w:p w14:paraId="23B35FC2">
                      <w:pPr>
                        <w:jc w:val="center"/>
                        <w:rPr>
                          <w:rFonts w:hint="eastAsia"/>
                          <w:sz w:val="28"/>
                          <w:szCs w:val="28"/>
                        </w:rPr>
                      </w:pPr>
                      <w:r>
                        <w:rPr>
                          <w:rFonts w:hint="eastAsia"/>
                          <w:sz w:val="28"/>
                          <w:szCs w:val="28"/>
                        </w:rPr>
                        <w:t>致：陕西万泽招标有限公司           项目编号：</w:t>
                      </w:r>
                      <w:r>
                        <w:rPr>
                          <w:rFonts w:hint="eastAsia"/>
                          <w:sz w:val="28"/>
                          <w:szCs w:val="28"/>
                          <w:lang w:eastAsia="zh-CN"/>
                        </w:rPr>
                        <w:t>SXWZ2025ZB-SGLJ-070A</w:t>
                      </w:r>
                      <w:r>
                        <w:rPr>
                          <w:rFonts w:hint="eastAsia"/>
                          <w:sz w:val="28"/>
                          <w:szCs w:val="28"/>
                        </w:rPr>
                        <w:t xml:space="preserve"> </w:t>
                      </w:r>
                    </w:p>
                    <w:p w14:paraId="2A81738E">
                      <w:pPr>
                        <w:jc w:val="center"/>
                        <w:rPr>
                          <w:rFonts w:hint="eastAsia"/>
                          <w:sz w:val="28"/>
                          <w:szCs w:val="28"/>
                          <w:lang w:eastAsia="zh-CN"/>
                        </w:rPr>
                      </w:pPr>
                      <w:r>
                        <w:rPr>
                          <w:rFonts w:hint="eastAsia"/>
                          <w:sz w:val="28"/>
                          <w:szCs w:val="28"/>
                        </w:rPr>
                        <w:t>项目名称：</w:t>
                      </w:r>
                      <w:r>
                        <w:rPr>
                          <w:rFonts w:hint="eastAsia"/>
                          <w:sz w:val="28"/>
                          <w:szCs w:val="28"/>
                          <w:lang w:eastAsia="zh-CN"/>
                        </w:rPr>
                        <w:t>西安市市场监督管理局2025年机电类特种设备安全质量</w:t>
                      </w:r>
                    </w:p>
                    <w:p w14:paraId="39201494">
                      <w:pPr>
                        <w:jc w:val="center"/>
                        <w:rPr>
                          <w:sz w:val="28"/>
                          <w:szCs w:val="28"/>
                        </w:rPr>
                      </w:pPr>
                      <w:r>
                        <w:rPr>
                          <w:rFonts w:hint="eastAsia"/>
                          <w:sz w:val="28"/>
                          <w:szCs w:val="28"/>
                          <w:lang w:eastAsia="zh-CN"/>
                        </w:rPr>
                        <w:t>监督抽查项目（二次）</w:t>
                      </w:r>
                    </w:p>
                    <w:p w14:paraId="5A9078CF">
                      <w:pPr>
                        <w:jc w:val="center"/>
                        <w:rPr>
                          <w:b/>
                          <w:sz w:val="44"/>
                          <w:szCs w:val="44"/>
                        </w:rPr>
                      </w:pPr>
                      <w:r>
                        <w:rPr>
                          <w:rFonts w:hint="eastAsia"/>
                          <w:sz w:val="28"/>
                          <w:szCs w:val="28"/>
                        </w:rPr>
                        <w:t xml:space="preserve">  </w:t>
                      </w:r>
                    </w:p>
                    <w:p w14:paraId="2F36E0FD">
                      <w:pPr>
                        <w:jc w:val="center"/>
                        <w:rPr>
                          <w:b/>
                          <w:sz w:val="44"/>
                          <w:szCs w:val="44"/>
                        </w:rPr>
                      </w:pPr>
                      <w:r>
                        <w:rPr>
                          <w:rFonts w:hint="eastAsia"/>
                          <w:b/>
                          <w:sz w:val="44"/>
                          <w:szCs w:val="44"/>
                        </w:rPr>
                        <w:t>投标文件（副本）</w:t>
                      </w:r>
                    </w:p>
                    <w:p w14:paraId="67F915D3">
                      <w:pPr>
                        <w:jc w:val="center"/>
                        <w:rPr>
                          <w:sz w:val="28"/>
                          <w:szCs w:val="28"/>
                        </w:rPr>
                      </w:pPr>
                      <w:r>
                        <w:rPr>
                          <w:rFonts w:hint="eastAsia"/>
                          <w:sz w:val="28"/>
                          <w:szCs w:val="28"/>
                        </w:rPr>
                        <w:t>（非招标大会不得启封）</w:t>
                      </w:r>
                    </w:p>
                    <w:p w14:paraId="3A1F0064">
                      <w:pPr>
                        <w:rPr>
                          <w:sz w:val="28"/>
                          <w:szCs w:val="28"/>
                          <w:u w:val="single"/>
                        </w:rPr>
                      </w:pPr>
                      <w:r>
                        <w:rPr>
                          <w:rFonts w:hint="eastAsia"/>
                          <w:sz w:val="28"/>
                          <w:szCs w:val="28"/>
                        </w:rPr>
                        <w:t>投标人（名称及公章）：</w:t>
                      </w:r>
                      <w:r>
                        <w:rPr>
                          <w:rFonts w:hint="eastAsia"/>
                          <w:sz w:val="28"/>
                          <w:szCs w:val="28"/>
                          <w:u w:val="single"/>
                        </w:rPr>
                        <w:t xml:space="preserve">                    </w:t>
                      </w:r>
                    </w:p>
                    <w:p w14:paraId="0674CC71">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14:paraId="6799FAA6">
      <w:pPr>
        <w:ind w:firstLine="420" w:firstLineChars="200"/>
        <w:jc w:val="left"/>
        <w:rPr>
          <w:rFonts w:asciiTheme="minorEastAsia" w:hAnsiTheme="minorEastAsia" w:cstheme="minorEastAsia"/>
        </w:rPr>
      </w:pPr>
    </w:p>
    <w:p w14:paraId="15B2EAAF">
      <w:pPr>
        <w:ind w:firstLine="420" w:firstLineChars="200"/>
        <w:jc w:val="left"/>
        <w:rPr>
          <w:rFonts w:asciiTheme="minorEastAsia" w:hAnsiTheme="minorEastAsia" w:cstheme="minorEastAsia"/>
        </w:rPr>
      </w:pPr>
    </w:p>
    <w:p w14:paraId="445678ED">
      <w:pPr>
        <w:ind w:firstLine="420" w:firstLineChars="200"/>
        <w:jc w:val="left"/>
        <w:rPr>
          <w:rFonts w:asciiTheme="minorEastAsia" w:hAnsiTheme="minorEastAsia" w:cstheme="minorEastAsia"/>
        </w:rPr>
      </w:pPr>
    </w:p>
    <w:p w14:paraId="0B8ADA96">
      <w:pPr>
        <w:ind w:firstLine="420" w:firstLineChars="200"/>
        <w:jc w:val="left"/>
        <w:rPr>
          <w:rFonts w:asciiTheme="minorEastAsia" w:hAnsiTheme="minorEastAsia" w:cstheme="minorEastAsia"/>
        </w:rPr>
      </w:pPr>
    </w:p>
    <w:p w14:paraId="06D34221">
      <w:pPr>
        <w:ind w:firstLine="420" w:firstLineChars="200"/>
        <w:jc w:val="left"/>
        <w:rPr>
          <w:rFonts w:asciiTheme="minorEastAsia" w:hAnsiTheme="minorEastAsia" w:cstheme="minorEastAsia"/>
        </w:rPr>
      </w:pPr>
    </w:p>
    <w:p w14:paraId="3BA6F7D8">
      <w:pPr>
        <w:ind w:firstLine="420" w:firstLineChars="200"/>
        <w:jc w:val="left"/>
        <w:rPr>
          <w:rFonts w:asciiTheme="minorEastAsia" w:hAnsiTheme="minorEastAsia" w:cstheme="minorEastAsia"/>
        </w:rPr>
      </w:pPr>
    </w:p>
    <w:p w14:paraId="720F8946">
      <w:pPr>
        <w:ind w:firstLine="420" w:firstLineChars="200"/>
        <w:jc w:val="left"/>
        <w:rPr>
          <w:rFonts w:asciiTheme="minorEastAsia" w:hAnsiTheme="minorEastAsia" w:cstheme="minorEastAsia"/>
        </w:rPr>
      </w:pPr>
    </w:p>
    <w:p w14:paraId="3FF919DD">
      <w:pPr>
        <w:ind w:firstLine="420" w:firstLineChars="200"/>
        <w:jc w:val="left"/>
        <w:rPr>
          <w:rFonts w:asciiTheme="minorEastAsia" w:hAnsiTheme="minorEastAsia" w:cstheme="minorEastAsia"/>
        </w:rPr>
      </w:pPr>
    </w:p>
    <w:p w14:paraId="2F6A76B8">
      <w:pPr>
        <w:ind w:firstLine="420" w:firstLineChars="200"/>
        <w:jc w:val="left"/>
        <w:rPr>
          <w:rFonts w:asciiTheme="minorEastAsia" w:hAnsiTheme="minorEastAsia" w:cstheme="minorEastAsia"/>
        </w:rPr>
      </w:pPr>
    </w:p>
    <w:p w14:paraId="4EB981FD">
      <w:pPr>
        <w:ind w:firstLine="1004" w:firstLineChars="200"/>
        <w:jc w:val="left"/>
        <w:rPr>
          <w:rFonts w:asciiTheme="minorEastAsia" w:hAnsiTheme="minorEastAsia" w:cstheme="minorEastAsia"/>
          <w:b/>
          <w:sz w:val="50"/>
        </w:rPr>
      </w:pPr>
    </w:p>
    <w:p w14:paraId="2924079B">
      <w:pPr>
        <w:widowControl/>
        <w:spacing w:line="460" w:lineRule="exact"/>
        <w:ind w:firstLine="480" w:firstLineChars="200"/>
        <w:jc w:val="left"/>
        <w:rPr>
          <w:rFonts w:asciiTheme="minorEastAsia" w:hAnsiTheme="minorEastAsia" w:cstheme="minorEastAsia"/>
          <w:sz w:val="24"/>
          <w:szCs w:val="28"/>
        </w:rPr>
        <w:sectPr>
          <w:footerReference r:id="rId17" w:type="default"/>
          <w:pgSz w:w="11906" w:h="16838"/>
          <w:pgMar w:top="1440" w:right="1304" w:bottom="1440" w:left="1304" w:header="851" w:footer="992" w:gutter="0"/>
          <w:cols w:space="0" w:num="1"/>
          <w:docGrid w:type="lines" w:linePitch="325" w:charSpace="0"/>
        </w:sectPr>
      </w:pPr>
    </w:p>
    <w:p w14:paraId="0211ADF7">
      <w:pPr>
        <w:spacing w:line="460" w:lineRule="exac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开标一览表封袋正面标识式样</w:t>
      </w:r>
    </w:p>
    <w:p w14:paraId="1B15B783">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5408" behindDoc="0" locked="0" layoutInCell="1" allowOverlap="1">
                <wp:simplePos x="0" y="0"/>
                <wp:positionH relativeFrom="column">
                  <wp:posOffset>-275590</wp:posOffset>
                </wp:positionH>
                <wp:positionV relativeFrom="paragraph">
                  <wp:posOffset>227965</wp:posOffset>
                </wp:positionV>
                <wp:extent cx="6388735" cy="3365500"/>
                <wp:effectExtent l="4445" t="4445" r="7620" b="20955"/>
                <wp:wrapNone/>
                <wp:docPr id="9" name="Text Box 3"/>
                <wp:cNvGraphicFramePr/>
                <a:graphic xmlns:a="http://schemas.openxmlformats.org/drawingml/2006/main">
                  <a:graphicData uri="http://schemas.microsoft.com/office/word/2010/wordprocessingShape">
                    <wps:wsp>
                      <wps:cNvSpPr txBox="1"/>
                      <wps:spPr>
                        <a:xfrm>
                          <a:off x="0" y="0"/>
                          <a:ext cx="6388735" cy="336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777951">
                            <w:pPr>
                              <w:jc w:val="center"/>
                              <w:rPr>
                                <w:rFonts w:hint="eastAsia"/>
                                <w:sz w:val="28"/>
                                <w:szCs w:val="28"/>
                              </w:rPr>
                            </w:pPr>
                            <w:r>
                              <w:rPr>
                                <w:rFonts w:hint="eastAsia"/>
                                <w:sz w:val="28"/>
                                <w:szCs w:val="28"/>
                              </w:rPr>
                              <w:t>致：陕西万泽招标有限公司           项目编号：</w:t>
                            </w:r>
                            <w:r>
                              <w:rPr>
                                <w:rFonts w:hint="eastAsia"/>
                                <w:sz w:val="28"/>
                                <w:szCs w:val="28"/>
                                <w:lang w:eastAsia="zh-CN"/>
                              </w:rPr>
                              <w:t>SXWZ2025ZB-SGLJ-070A</w:t>
                            </w:r>
                            <w:r>
                              <w:rPr>
                                <w:rFonts w:hint="eastAsia"/>
                                <w:sz w:val="28"/>
                                <w:szCs w:val="28"/>
                              </w:rPr>
                              <w:t xml:space="preserve"> </w:t>
                            </w:r>
                          </w:p>
                          <w:p w14:paraId="567EAD82">
                            <w:pPr>
                              <w:jc w:val="center"/>
                              <w:rPr>
                                <w:rFonts w:hint="eastAsia"/>
                                <w:sz w:val="28"/>
                                <w:szCs w:val="28"/>
                                <w:lang w:eastAsia="zh-CN"/>
                              </w:rPr>
                            </w:pPr>
                            <w:r>
                              <w:rPr>
                                <w:rFonts w:hint="eastAsia"/>
                                <w:sz w:val="28"/>
                                <w:szCs w:val="28"/>
                              </w:rPr>
                              <w:t>项目名称：</w:t>
                            </w:r>
                            <w:r>
                              <w:rPr>
                                <w:rFonts w:hint="eastAsia"/>
                                <w:sz w:val="28"/>
                                <w:szCs w:val="28"/>
                                <w:lang w:eastAsia="zh-CN"/>
                              </w:rPr>
                              <w:t>西安市市场监督管理局2025年机电类特种设备安全质量</w:t>
                            </w:r>
                          </w:p>
                          <w:p w14:paraId="2F491927">
                            <w:pPr>
                              <w:jc w:val="center"/>
                              <w:rPr>
                                <w:sz w:val="28"/>
                                <w:szCs w:val="28"/>
                              </w:rPr>
                            </w:pPr>
                            <w:r>
                              <w:rPr>
                                <w:rFonts w:hint="eastAsia"/>
                                <w:sz w:val="28"/>
                                <w:szCs w:val="28"/>
                                <w:lang w:eastAsia="zh-CN"/>
                              </w:rPr>
                              <w:t>监督抽查项目（二次）</w:t>
                            </w:r>
                          </w:p>
                          <w:p w14:paraId="63954C74">
                            <w:pPr>
                              <w:jc w:val="center"/>
                              <w:rPr>
                                <w:b/>
                                <w:sz w:val="44"/>
                                <w:szCs w:val="44"/>
                              </w:rPr>
                            </w:pPr>
                            <w:r>
                              <w:rPr>
                                <w:rFonts w:hint="eastAsia"/>
                                <w:b/>
                                <w:sz w:val="44"/>
                                <w:szCs w:val="44"/>
                              </w:rPr>
                              <w:t xml:space="preserve"> 开标一览表</w:t>
                            </w:r>
                          </w:p>
                          <w:p w14:paraId="06F8D8B3">
                            <w:pPr>
                              <w:jc w:val="center"/>
                              <w:rPr>
                                <w:sz w:val="28"/>
                                <w:szCs w:val="28"/>
                              </w:rPr>
                            </w:pPr>
                            <w:r>
                              <w:rPr>
                                <w:rFonts w:hint="eastAsia"/>
                                <w:sz w:val="28"/>
                                <w:szCs w:val="28"/>
                              </w:rPr>
                              <w:t>（非招标大会不得启封）</w:t>
                            </w:r>
                          </w:p>
                          <w:p w14:paraId="4C63C5C0">
                            <w:pPr>
                              <w:rPr>
                                <w:sz w:val="28"/>
                                <w:szCs w:val="28"/>
                                <w:u w:val="single"/>
                              </w:rPr>
                            </w:pPr>
                            <w:r>
                              <w:rPr>
                                <w:rFonts w:hint="eastAsia"/>
                                <w:sz w:val="28"/>
                                <w:szCs w:val="28"/>
                              </w:rPr>
                              <w:t>投标人（名称及公章）：</w:t>
                            </w:r>
                            <w:r>
                              <w:rPr>
                                <w:rFonts w:hint="eastAsia"/>
                                <w:sz w:val="28"/>
                                <w:szCs w:val="28"/>
                                <w:u w:val="single"/>
                              </w:rPr>
                              <w:t xml:space="preserve">                    </w:t>
                            </w:r>
                          </w:p>
                          <w:p w14:paraId="1BBACFB0">
                            <w:pPr>
                              <w:rPr>
                                <w:sz w:val="28"/>
                                <w:szCs w:val="28"/>
                                <w:u w:val="single"/>
                              </w:rPr>
                            </w:pPr>
                            <w:r>
                              <w:rPr>
                                <w:rFonts w:hint="eastAsia"/>
                                <w:sz w:val="28"/>
                                <w:szCs w:val="28"/>
                              </w:rPr>
                              <w:t>时间</w:t>
                            </w:r>
                            <w:r>
                              <w:rPr>
                                <w:rFonts w:hint="eastAsia"/>
                                <w:sz w:val="28"/>
                                <w:szCs w:val="28"/>
                                <w:u w:val="single"/>
                              </w:rPr>
                              <w:t>：      年      月    日</w:t>
                            </w:r>
                          </w:p>
                          <w:p w14:paraId="14A77A45">
                            <w:pPr>
                              <w:rPr>
                                <w:sz w:val="28"/>
                                <w:szCs w:val="28"/>
                              </w:rPr>
                            </w:pPr>
                            <w:r>
                              <w:rPr>
                                <w:rFonts w:hint="eastAsia"/>
                                <w:sz w:val="28"/>
                                <w:szCs w:val="28"/>
                                <w:u w:val="single"/>
                              </w:rPr>
                              <w:t xml:space="preserve">          </w:t>
                            </w:r>
                          </w:p>
                        </w:txbxContent>
                      </wps:txbx>
                      <wps:bodyPr upright="1"/>
                    </wps:wsp>
                  </a:graphicData>
                </a:graphic>
              </wp:anchor>
            </w:drawing>
          </mc:Choice>
          <mc:Fallback>
            <w:pict>
              <v:shape id="Text Box 3" o:spid="_x0000_s1026" o:spt="202" type="#_x0000_t202" style="position:absolute;left:0pt;margin-left:-21.7pt;margin-top:17.95pt;height:265pt;width:503.05pt;z-index:251665408;mso-width-relative:page;mso-height-relative:page;" fillcolor="#FFFFFF" filled="t" stroked="t" coordsize="21600,21600" o:gfxdata="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JYcWnaAAAACgEAAA8AAAAAAAAAAQAgAAAAIgAAAGRy&#10;cy9kb3ducmV2LnhtbFBLAQIUABQAAAAIAIdO4kC+L48OAwIAAEQEAAAOAAAAAAAAAAEAIAAAACkB&#10;AABkcnMvZTJvRG9jLnhtbFBLBQYAAAAABgAGAFkBAACeBQAAAAA=&#10;">
                <v:fill on="t" focussize="0,0"/>
                <v:stroke color="#000000" joinstyle="miter"/>
                <v:imagedata o:title=""/>
                <o:lock v:ext="edit" aspectratio="f"/>
                <v:textbox>
                  <w:txbxContent>
                    <w:p w14:paraId="44777951">
                      <w:pPr>
                        <w:jc w:val="center"/>
                        <w:rPr>
                          <w:rFonts w:hint="eastAsia"/>
                          <w:sz w:val="28"/>
                          <w:szCs w:val="28"/>
                        </w:rPr>
                      </w:pPr>
                      <w:r>
                        <w:rPr>
                          <w:rFonts w:hint="eastAsia"/>
                          <w:sz w:val="28"/>
                          <w:szCs w:val="28"/>
                        </w:rPr>
                        <w:t>致：陕西万泽招标有限公司           项目编号：</w:t>
                      </w:r>
                      <w:r>
                        <w:rPr>
                          <w:rFonts w:hint="eastAsia"/>
                          <w:sz w:val="28"/>
                          <w:szCs w:val="28"/>
                          <w:lang w:eastAsia="zh-CN"/>
                        </w:rPr>
                        <w:t>SXWZ2025ZB-SGLJ-070A</w:t>
                      </w:r>
                      <w:r>
                        <w:rPr>
                          <w:rFonts w:hint="eastAsia"/>
                          <w:sz w:val="28"/>
                          <w:szCs w:val="28"/>
                        </w:rPr>
                        <w:t xml:space="preserve"> </w:t>
                      </w:r>
                    </w:p>
                    <w:p w14:paraId="567EAD82">
                      <w:pPr>
                        <w:jc w:val="center"/>
                        <w:rPr>
                          <w:rFonts w:hint="eastAsia"/>
                          <w:sz w:val="28"/>
                          <w:szCs w:val="28"/>
                          <w:lang w:eastAsia="zh-CN"/>
                        </w:rPr>
                      </w:pPr>
                      <w:r>
                        <w:rPr>
                          <w:rFonts w:hint="eastAsia"/>
                          <w:sz w:val="28"/>
                          <w:szCs w:val="28"/>
                        </w:rPr>
                        <w:t>项目名称：</w:t>
                      </w:r>
                      <w:r>
                        <w:rPr>
                          <w:rFonts w:hint="eastAsia"/>
                          <w:sz w:val="28"/>
                          <w:szCs w:val="28"/>
                          <w:lang w:eastAsia="zh-CN"/>
                        </w:rPr>
                        <w:t>西安市市场监督管理局2025年机电类特种设备安全质量</w:t>
                      </w:r>
                    </w:p>
                    <w:p w14:paraId="2F491927">
                      <w:pPr>
                        <w:jc w:val="center"/>
                        <w:rPr>
                          <w:sz w:val="28"/>
                          <w:szCs w:val="28"/>
                        </w:rPr>
                      </w:pPr>
                      <w:r>
                        <w:rPr>
                          <w:rFonts w:hint="eastAsia"/>
                          <w:sz w:val="28"/>
                          <w:szCs w:val="28"/>
                          <w:lang w:eastAsia="zh-CN"/>
                        </w:rPr>
                        <w:t>监督抽查项目（二次）</w:t>
                      </w:r>
                    </w:p>
                    <w:p w14:paraId="63954C74">
                      <w:pPr>
                        <w:jc w:val="center"/>
                        <w:rPr>
                          <w:b/>
                          <w:sz w:val="44"/>
                          <w:szCs w:val="44"/>
                        </w:rPr>
                      </w:pPr>
                      <w:r>
                        <w:rPr>
                          <w:rFonts w:hint="eastAsia"/>
                          <w:b/>
                          <w:sz w:val="44"/>
                          <w:szCs w:val="44"/>
                        </w:rPr>
                        <w:t xml:space="preserve"> 开标一览表</w:t>
                      </w:r>
                    </w:p>
                    <w:p w14:paraId="06F8D8B3">
                      <w:pPr>
                        <w:jc w:val="center"/>
                        <w:rPr>
                          <w:sz w:val="28"/>
                          <w:szCs w:val="28"/>
                        </w:rPr>
                      </w:pPr>
                      <w:r>
                        <w:rPr>
                          <w:rFonts w:hint="eastAsia"/>
                          <w:sz w:val="28"/>
                          <w:szCs w:val="28"/>
                        </w:rPr>
                        <w:t>（非招标大会不得启封）</w:t>
                      </w:r>
                    </w:p>
                    <w:p w14:paraId="4C63C5C0">
                      <w:pPr>
                        <w:rPr>
                          <w:sz w:val="28"/>
                          <w:szCs w:val="28"/>
                          <w:u w:val="single"/>
                        </w:rPr>
                      </w:pPr>
                      <w:r>
                        <w:rPr>
                          <w:rFonts w:hint="eastAsia"/>
                          <w:sz w:val="28"/>
                          <w:szCs w:val="28"/>
                        </w:rPr>
                        <w:t>投标人（名称及公章）：</w:t>
                      </w:r>
                      <w:r>
                        <w:rPr>
                          <w:rFonts w:hint="eastAsia"/>
                          <w:sz w:val="28"/>
                          <w:szCs w:val="28"/>
                          <w:u w:val="single"/>
                        </w:rPr>
                        <w:t xml:space="preserve">                    </w:t>
                      </w:r>
                    </w:p>
                    <w:p w14:paraId="1BBACFB0">
                      <w:pPr>
                        <w:rPr>
                          <w:sz w:val="28"/>
                          <w:szCs w:val="28"/>
                          <w:u w:val="single"/>
                        </w:rPr>
                      </w:pPr>
                      <w:r>
                        <w:rPr>
                          <w:rFonts w:hint="eastAsia"/>
                          <w:sz w:val="28"/>
                          <w:szCs w:val="28"/>
                        </w:rPr>
                        <w:t>时间</w:t>
                      </w:r>
                      <w:r>
                        <w:rPr>
                          <w:rFonts w:hint="eastAsia"/>
                          <w:sz w:val="28"/>
                          <w:szCs w:val="28"/>
                          <w:u w:val="single"/>
                        </w:rPr>
                        <w:t>：      年      月    日</w:t>
                      </w:r>
                    </w:p>
                    <w:p w14:paraId="14A77A45">
                      <w:pPr>
                        <w:rPr>
                          <w:sz w:val="28"/>
                          <w:szCs w:val="28"/>
                        </w:rPr>
                      </w:pPr>
                      <w:r>
                        <w:rPr>
                          <w:rFonts w:hint="eastAsia"/>
                          <w:sz w:val="28"/>
                          <w:szCs w:val="28"/>
                          <w:u w:val="single"/>
                        </w:rPr>
                        <w:t xml:space="preserve">          </w:t>
                      </w:r>
                    </w:p>
                  </w:txbxContent>
                </v:textbox>
              </v:shape>
            </w:pict>
          </mc:Fallback>
        </mc:AlternateContent>
      </w:r>
    </w:p>
    <w:p w14:paraId="38EA6B83">
      <w:pPr>
        <w:spacing w:line="460" w:lineRule="exact"/>
        <w:ind w:firstLine="482" w:firstLineChars="200"/>
        <w:jc w:val="left"/>
        <w:rPr>
          <w:rFonts w:asciiTheme="minorEastAsia" w:hAnsiTheme="minorEastAsia" w:cstheme="minorEastAsia"/>
          <w:b/>
          <w:sz w:val="24"/>
        </w:rPr>
      </w:pPr>
    </w:p>
    <w:p w14:paraId="6321DDE3">
      <w:pPr>
        <w:spacing w:line="460" w:lineRule="exact"/>
        <w:ind w:firstLine="482" w:firstLineChars="200"/>
        <w:jc w:val="left"/>
        <w:rPr>
          <w:rFonts w:asciiTheme="minorEastAsia" w:hAnsiTheme="minorEastAsia" w:cstheme="minorEastAsia"/>
          <w:b/>
          <w:sz w:val="24"/>
        </w:rPr>
      </w:pPr>
    </w:p>
    <w:p w14:paraId="3F83C28E">
      <w:pPr>
        <w:spacing w:line="460" w:lineRule="exact"/>
        <w:ind w:firstLine="482" w:firstLineChars="200"/>
        <w:jc w:val="left"/>
        <w:rPr>
          <w:rFonts w:asciiTheme="minorEastAsia" w:hAnsiTheme="minorEastAsia" w:cstheme="minorEastAsia"/>
          <w:b/>
          <w:sz w:val="24"/>
        </w:rPr>
      </w:pPr>
    </w:p>
    <w:p w14:paraId="0825FE80">
      <w:pPr>
        <w:spacing w:line="460" w:lineRule="exact"/>
        <w:ind w:firstLine="482" w:firstLineChars="200"/>
        <w:jc w:val="left"/>
        <w:rPr>
          <w:rFonts w:asciiTheme="minorEastAsia" w:hAnsiTheme="minorEastAsia" w:cstheme="minorEastAsia"/>
          <w:b/>
          <w:sz w:val="24"/>
        </w:rPr>
      </w:pPr>
    </w:p>
    <w:p w14:paraId="123608BE">
      <w:pPr>
        <w:spacing w:line="460" w:lineRule="exact"/>
        <w:ind w:firstLine="482" w:firstLineChars="200"/>
        <w:jc w:val="left"/>
        <w:rPr>
          <w:rFonts w:asciiTheme="minorEastAsia" w:hAnsiTheme="minorEastAsia" w:cstheme="minorEastAsia"/>
          <w:b/>
          <w:sz w:val="24"/>
        </w:rPr>
      </w:pPr>
    </w:p>
    <w:p w14:paraId="0894EB87">
      <w:pPr>
        <w:spacing w:line="460" w:lineRule="exact"/>
        <w:ind w:firstLine="482" w:firstLineChars="200"/>
        <w:jc w:val="left"/>
        <w:rPr>
          <w:rFonts w:asciiTheme="minorEastAsia" w:hAnsiTheme="minorEastAsia" w:cstheme="minorEastAsia"/>
          <w:b/>
          <w:sz w:val="24"/>
        </w:rPr>
      </w:pPr>
    </w:p>
    <w:p w14:paraId="61AD554B">
      <w:pPr>
        <w:spacing w:line="460" w:lineRule="exact"/>
        <w:ind w:firstLine="482" w:firstLineChars="200"/>
        <w:jc w:val="left"/>
        <w:rPr>
          <w:rFonts w:asciiTheme="minorEastAsia" w:hAnsiTheme="minorEastAsia" w:cstheme="minorEastAsia"/>
          <w:b/>
          <w:sz w:val="24"/>
        </w:rPr>
      </w:pPr>
    </w:p>
    <w:p w14:paraId="58980C39">
      <w:pPr>
        <w:spacing w:line="460" w:lineRule="exact"/>
        <w:ind w:firstLine="482" w:firstLineChars="200"/>
        <w:jc w:val="left"/>
        <w:rPr>
          <w:rFonts w:asciiTheme="minorEastAsia" w:hAnsiTheme="minorEastAsia" w:cstheme="minorEastAsia"/>
          <w:b/>
          <w:sz w:val="24"/>
        </w:rPr>
      </w:pPr>
    </w:p>
    <w:p w14:paraId="6FF09CD6">
      <w:pPr>
        <w:spacing w:line="460" w:lineRule="exact"/>
        <w:ind w:firstLine="482" w:firstLineChars="200"/>
        <w:jc w:val="left"/>
        <w:rPr>
          <w:rFonts w:asciiTheme="minorEastAsia" w:hAnsiTheme="minorEastAsia" w:cstheme="minorEastAsia"/>
          <w:b/>
          <w:sz w:val="24"/>
        </w:rPr>
      </w:pPr>
    </w:p>
    <w:p w14:paraId="05767AB1">
      <w:pPr>
        <w:spacing w:line="460" w:lineRule="exact"/>
        <w:ind w:firstLine="482" w:firstLineChars="200"/>
        <w:jc w:val="left"/>
        <w:rPr>
          <w:rFonts w:asciiTheme="minorEastAsia" w:hAnsiTheme="minorEastAsia" w:cstheme="minorEastAsia"/>
          <w:b/>
          <w:sz w:val="24"/>
        </w:rPr>
      </w:pPr>
    </w:p>
    <w:p w14:paraId="343386B7">
      <w:pPr>
        <w:spacing w:line="460" w:lineRule="exact"/>
        <w:jc w:val="left"/>
        <w:rPr>
          <w:rFonts w:asciiTheme="minorEastAsia" w:hAnsiTheme="minorEastAsia" w:cstheme="minorEastAsia"/>
          <w:b/>
          <w:sz w:val="24"/>
        </w:rPr>
      </w:pPr>
    </w:p>
    <w:p w14:paraId="69567A7F">
      <w:pPr>
        <w:spacing w:line="460" w:lineRule="exact"/>
        <w:jc w:val="left"/>
        <w:rPr>
          <w:rFonts w:asciiTheme="minorEastAsia" w:hAnsiTheme="minorEastAsia" w:cstheme="minorEastAsia"/>
          <w:b/>
          <w:sz w:val="24"/>
        </w:rPr>
      </w:pPr>
    </w:p>
    <w:p w14:paraId="1273B0E1">
      <w:pPr>
        <w:spacing w:line="460" w:lineRule="exac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电子文档封袋正面标识式样</w:t>
      </w:r>
    </w:p>
    <w:p w14:paraId="03BD4306">
      <w:pPr>
        <w:tabs>
          <w:tab w:val="left" w:pos="8280"/>
        </w:tabs>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6432" behindDoc="0" locked="0" layoutInCell="1" allowOverlap="1">
                <wp:simplePos x="0" y="0"/>
                <wp:positionH relativeFrom="column">
                  <wp:posOffset>-360045</wp:posOffset>
                </wp:positionH>
                <wp:positionV relativeFrom="paragraph">
                  <wp:posOffset>150495</wp:posOffset>
                </wp:positionV>
                <wp:extent cx="6455410" cy="3574415"/>
                <wp:effectExtent l="4445" t="4445" r="17145" b="17780"/>
                <wp:wrapNone/>
                <wp:docPr id="10" name="Text Box 3"/>
                <wp:cNvGraphicFramePr/>
                <a:graphic xmlns:a="http://schemas.openxmlformats.org/drawingml/2006/main">
                  <a:graphicData uri="http://schemas.microsoft.com/office/word/2010/wordprocessingShape">
                    <wps:wsp>
                      <wps:cNvSpPr txBox="1"/>
                      <wps:spPr>
                        <a:xfrm>
                          <a:off x="0" y="0"/>
                          <a:ext cx="6455410" cy="3574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61DABD">
                            <w:pPr>
                              <w:jc w:val="center"/>
                              <w:rPr>
                                <w:sz w:val="28"/>
                                <w:szCs w:val="28"/>
                              </w:rPr>
                            </w:pPr>
                            <w:r>
                              <w:rPr>
                                <w:rFonts w:hint="eastAsia"/>
                                <w:sz w:val="28"/>
                                <w:szCs w:val="28"/>
                              </w:rPr>
                              <w:t>致：陕西万泽招标有限公司            项目编号：</w:t>
                            </w:r>
                            <w:r>
                              <w:rPr>
                                <w:rFonts w:hint="eastAsia"/>
                                <w:sz w:val="28"/>
                                <w:szCs w:val="28"/>
                                <w:lang w:eastAsia="zh-CN"/>
                              </w:rPr>
                              <w:t>SXWZ2025ZB-SGLJ-070A</w:t>
                            </w:r>
                            <w:r>
                              <w:rPr>
                                <w:rFonts w:hint="eastAsia"/>
                                <w:sz w:val="28"/>
                                <w:szCs w:val="28"/>
                              </w:rPr>
                              <w:t xml:space="preserve"> </w:t>
                            </w:r>
                          </w:p>
                          <w:p w14:paraId="6097AF8C">
                            <w:pPr>
                              <w:jc w:val="center"/>
                              <w:rPr>
                                <w:rFonts w:hint="eastAsia"/>
                                <w:sz w:val="28"/>
                                <w:szCs w:val="28"/>
                                <w:lang w:eastAsia="zh-CN"/>
                              </w:rPr>
                            </w:pPr>
                            <w:r>
                              <w:rPr>
                                <w:rFonts w:hint="eastAsia"/>
                                <w:sz w:val="28"/>
                                <w:szCs w:val="28"/>
                              </w:rPr>
                              <w:t>项目名称：</w:t>
                            </w:r>
                            <w:r>
                              <w:rPr>
                                <w:rFonts w:hint="eastAsia"/>
                                <w:sz w:val="28"/>
                                <w:szCs w:val="28"/>
                                <w:lang w:eastAsia="zh-CN"/>
                              </w:rPr>
                              <w:t>西安市市场监督管理局2025年机电类特种设备安全质量</w:t>
                            </w:r>
                          </w:p>
                          <w:p w14:paraId="1E598A1C">
                            <w:pPr>
                              <w:jc w:val="center"/>
                              <w:rPr>
                                <w:sz w:val="28"/>
                                <w:szCs w:val="28"/>
                              </w:rPr>
                            </w:pPr>
                            <w:r>
                              <w:rPr>
                                <w:rFonts w:hint="eastAsia"/>
                                <w:sz w:val="28"/>
                                <w:szCs w:val="28"/>
                                <w:lang w:eastAsia="zh-CN"/>
                              </w:rPr>
                              <w:t>监督抽查项目（二次）</w:t>
                            </w:r>
                          </w:p>
                          <w:p w14:paraId="0ADA62E5">
                            <w:pPr>
                              <w:jc w:val="center"/>
                              <w:rPr>
                                <w:b/>
                                <w:sz w:val="44"/>
                                <w:szCs w:val="44"/>
                              </w:rPr>
                            </w:pPr>
                            <w:r>
                              <w:rPr>
                                <w:rFonts w:hint="eastAsia"/>
                                <w:b/>
                                <w:sz w:val="44"/>
                                <w:szCs w:val="44"/>
                              </w:rPr>
                              <w:t>电子文档</w:t>
                            </w:r>
                          </w:p>
                          <w:p w14:paraId="0FA73AE7">
                            <w:pPr>
                              <w:jc w:val="center"/>
                              <w:rPr>
                                <w:sz w:val="28"/>
                                <w:szCs w:val="28"/>
                              </w:rPr>
                            </w:pPr>
                            <w:r>
                              <w:rPr>
                                <w:rFonts w:hint="eastAsia"/>
                                <w:sz w:val="28"/>
                                <w:szCs w:val="28"/>
                              </w:rPr>
                              <w:t>（非招标大会不得启封）</w:t>
                            </w:r>
                          </w:p>
                          <w:p w14:paraId="600694DF">
                            <w:pPr>
                              <w:rPr>
                                <w:sz w:val="28"/>
                                <w:szCs w:val="28"/>
                                <w:u w:val="single"/>
                              </w:rPr>
                            </w:pPr>
                            <w:r>
                              <w:rPr>
                                <w:rFonts w:hint="eastAsia"/>
                                <w:sz w:val="28"/>
                                <w:szCs w:val="28"/>
                              </w:rPr>
                              <w:t>投标人（名称及公章）：</w:t>
                            </w:r>
                            <w:r>
                              <w:rPr>
                                <w:rFonts w:hint="eastAsia"/>
                                <w:sz w:val="28"/>
                                <w:szCs w:val="28"/>
                                <w:u w:val="single"/>
                              </w:rPr>
                              <w:t xml:space="preserve">                    </w:t>
                            </w:r>
                          </w:p>
                          <w:p w14:paraId="1801857A">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3" o:spid="_x0000_s1026" o:spt="202" type="#_x0000_t202" style="position:absolute;left:0pt;margin-left:-28.35pt;margin-top:11.85pt;height:281.45pt;width:508.3pt;z-index:251666432;mso-width-relative:page;mso-height-relative:page;" fillcolor="#FFFFFF" filled="t" stroked="t" coordsize="21600,21600" o:gfxdata="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vP+h2gAAAAoBAAAPAAAAAAAAAAEAIAAAACIAAABkcnMv&#10;ZG93bnJldi54bWxQSwECFAAUAAAACACHTuJAwudVNgECAABFBAAADgAAAAAAAAABACAAAAApAQAA&#10;ZHJzL2Uyb0RvYy54bWxQSwUGAAAAAAYABgBZAQAAnAUAAAAA&#10;">
                <v:fill on="t" focussize="0,0"/>
                <v:stroke color="#000000" joinstyle="miter"/>
                <v:imagedata o:title=""/>
                <o:lock v:ext="edit" aspectratio="f"/>
                <v:textbox>
                  <w:txbxContent>
                    <w:p w14:paraId="4661DABD">
                      <w:pPr>
                        <w:jc w:val="center"/>
                        <w:rPr>
                          <w:sz w:val="28"/>
                          <w:szCs w:val="28"/>
                        </w:rPr>
                      </w:pPr>
                      <w:r>
                        <w:rPr>
                          <w:rFonts w:hint="eastAsia"/>
                          <w:sz w:val="28"/>
                          <w:szCs w:val="28"/>
                        </w:rPr>
                        <w:t>致：陕西万泽招标有限公司            项目编号：</w:t>
                      </w:r>
                      <w:r>
                        <w:rPr>
                          <w:rFonts w:hint="eastAsia"/>
                          <w:sz w:val="28"/>
                          <w:szCs w:val="28"/>
                          <w:lang w:eastAsia="zh-CN"/>
                        </w:rPr>
                        <w:t>SXWZ2025ZB-SGLJ-070A</w:t>
                      </w:r>
                      <w:r>
                        <w:rPr>
                          <w:rFonts w:hint="eastAsia"/>
                          <w:sz w:val="28"/>
                          <w:szCs w:val="28"/>
                        </w:rPr>
                        <w:t xml:space="preserve"> </w:t>
                      </w:r>
                    </w:p>
                    <w:p w14:paraId="6097AF8C">
                      <w:pPr>
                        <w:jc w:val="center"/>
                        <w:rPr>
                          <w:rFonts w:hint="eastAsia"/>
                          <w:sz w:val="28"/>
                          <w:szCs w:val="28"/>
                          <w:lang w:eastAsia="zh-CN"/>
                        </w:rPr>
                      </w:pPr>
                      <w:r>
                        <w:rPr>
                          <w:rFonts w:hint="eastAsia"/>
                          <w:sz w:val="28"/>
                          <w:szCs w:val="28"/>
                        </w:rPr>
                        <w:t>项目名称：</w:t>
                      </w:r>
                      <w:r>
                        <w:rPr>
                          <w:rFonts w:hint="eastAsia"/>
                          <w:sz w:val="28"/>
                          <w:szCs w:val="28"/>
                          <w:lang w:eastAsia="zh-CN"/>
                        </w:rPr>
                        <w:t>西安市市场监督管理局2025年机电类特种设备安全质量</w:t>
                      </w:r>
                    </w:p>
                    <w:p w14:paraId="1E598A1C">
                      <w:pPr>
                        <w:jc w:val="center"/>
                        <w:rPr>
                          <w:sz w:val="28"/>
                          <w:szCs w:val="28"/>
                        </w:rPr>
                      </w:pPr>
                      <w:r>
                        <w:rPr>
                          <w:rFonts w:hint="eastAsia"/>
                          <w:sz w:val="28"/>
                          <w:szCs w:val="28"/>
                          <w:lang w:eastAsia="zh-CN"/>
                        </w:rPr>
                        <w:t>监督抽查项目（二次）</w:t>
                      </w:r>
                    </w:p>
                    <w:p w14:paraId="0ADA62E5">
                      <w:pPr>
                        <w:jc w:val="center"/>
                        <w:rPr>
                          <w:b/>
                          <w:sz w:val="44"/>
                          <w:szCs w:val="44"/>
                        </w:rPr>
                      </w:pPr>
                      <w:r>
                        <w:rPr>
                          <w:rFonts w:hint="eastAsia"/>
                          <w:b/>
                          <w:sz w:val="44"/>
                          <w:szCs w:val="44"/>
                        </w:rPr>
                        <w:t>电子文档</w:t>
                      </w:r>
                    </w:p>
                    <w:p w14:paraId="0FA73AE7">
                      <w:pPr>
                        <w:jc w:val="center"/>
                        <w:rPr>
                          <w:sz w:val="28"/>
                          <w:szCs w:val="28"/>
                        </w:rPr>
                      </w:pPr>
                      <w:r>
                        <w:rPr>
                          <w:rFonts w:hint="eastAsia"/>
                          <w:sz w:val="28"/>
                          <w:szCs w:val="28"/>
                        </w:rPr>
                        <w:t>（非招标大会不得启封）</w:t>
                      </w:r>
                    </w:p>
                    <w:p w14:paraId="600694DF">
                      <w:pPr>
                        <w:rPr>
                          <w:sz w:val="28"/>
                          <w:szCs w:val="28"/>
                          <w:u w:val="single"/>
                        </w:rPr>
                      </w:pPr>
                      <w:r>
                        <w:rPr>
                          <w:rFonts w:hint="eastAsia"/>
                          <w:sz w:val="28"/>
                          <w:szCs w:val="28"/>
                        </w:rPr>
                        <w:t>投标人（名称及公章）：</w:t>
                      </w:r>
                      <w:r>
                        <w:rPr>
                          <w:rFonts w:hint="eastAsia"/>
                          <w:sz w:val="28"/>
                          <w:szCs w:val="28"/>
                          <w:u w:val="single"/>
                        </w:rPr>
                        <w:t xml:space="preserve">                    </w:t>
                      </w:r>
                    </w:p>
                    <w:p w14:paraId="1801857A">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14:paraId="3B12CE0E">
      <w:pPr>
        <w:ind w:firstLine="420" w:firstLineChars="200"/>
        <w:jc w:val="left"/>
        <w:rPr>
          <w:rFonts w:asciiTheme="minorEastAsia" w:hAnsiTheme="minorEastAsia" w:cstheme="minorEastAsia"/>
        </w:rPr>
      </w:pPr>
    </w:p>
    <w:p w14:paraId="5DF6851D">
      <w:pPr>
        <w:ind w:firstLine="420" w:firstLineChars="200"/>
        <w:jc w:val="left"/>
        <w:rPr>
          <w:rFonts w:asciiTheme="minorEastAsia" w:hAnsiTheme="minorEastAsia" w:cstheme="minorEastAsia"/>
        </w:rPr>
      </w:pPr>
    </w:p>
    <w:p w14:paraId="70A7520F">
      <w:pPr>
        <w:ind w:firstLine="420" w:firstLineChars="200"/>
        <w:jc w:val="left"/>
        <w:rPr>
          <w:rFonts w:asciiTheme="minorEastAsia" w:hAnsiTheme="minorEastAsia" w:cstheme="minorEastAsia"/>
        </w:rPr>
      </w:pPr>
    </w:p>
    <w:p w14:paraId="5E6952CE">
      <w:pPr>
        <w:ind w:firstLine="420" w:firstLineChars="200"/>
        <w:jc w:val="left"/>
        <w:rPr>
          <w:rFonts w:asciiTheme="minorEastAsia" w:hAnsiTheme="minorEastAsia" w:cstheme="minorEastAsia"/>
        </w:rPr>
      </w:pPr>
    </w:p>
    <w:p w14:paraId="549AA5B8">
      <w:pPr>
        <w:ind w:firstLine="420" w:firstLineChars="200"/>
        <w:jc w:val="left"/>
        <w:rPr>
          <w:rFonts w:asciiTheme="minorEastAsia" w:hAnsiTheme="minorEastAsia" w:cstheme="minorEastAsia"/>
        </w:rPr>
      </w:pPr>
    </w:p>
    <w:p w14:paraId="77511238">
      <w:pPr>
        <w:ind w:firstLine="420" w:firstLineChars="200"/>
        <w:jc w:val="left"/>
        <w:rPr>
          <w:rFonts w:asciiTheme="minorEastAsia" w:hAnsiTheme="minorEastAsia" w:cstheme="minorEastAsia"/>
        </w:rPr>
      </w:pPr>
    </w:p>
    <w:p w14:paraId="4AB5B7E9">
      <w:pPr>
        <w:ind w:firstLine="420" w:firstLineChars="200"/>
        <w:jc w:val="left"/>
        <w:rPr>
          <w:rFonts w:asciiTheme="minorEastAsia" w:hAnsiTheme="minorEastAsia" w:cstheme="minorEastAsia"/>
        </w:rPr>
      </w:pPr>
    </w:p>
    <w:p w14:paraId="6420BE10">
      <w:pPr>
        <w:ind w:firstLine="420" w:firstLineChars="200"/>
        <w:jc w:val="left"/>
        <w:rPr>
          <w:rFonts w:asciiTheme="minorEastAsia" w:hAnsiTheme="minorEastAsia" w:cstheme="minorEastAsia"/>
        </w:rPr>
      </w:pPr>
    </w:p>
    <w:p w14:paraId="523ACC8B">
      <w:pPr>
        <w:ind w:firstLine="420" w:firstLineChars="200"/>
        <w:jc w:val="left"/>
        <w:rPr>
          <w:rFonts w:asciiTheme="minorEastAsia" w:hAnsiTheme="minorEastAsia" w:cstheme="minorEastAsia"/>
        </w:rPr>
      </w:pPr>
    </w:p>
    <w:p w14:paraId="724FD929">
      <w:pPr>
        <w:ind w:firstLine="420" w:firstLineChars="200"/>
        <w:jc w:val="left"/>
        <w:rPr>
          <w:rFonts w:asciiTheme="minorEastAsia" w:hAnsiTheme="minorEastAsia" w:cstheme="minorEastAsia"/>
        </w:rPr>
      </w:pPr>
    </w:p>
    <w:p w14:paraId="2B71CAF3">
      <w:pPr>
        <w:ind w:firstLine="420" w:firstLineChars="200"/>
        <w:jc w:val="left"/>
        <w:rPr>
          <w:rFonts w:asciiTheme="minorEastAsia" w:hAnsiTheme="minorEastAsia" w:cstheme="minorEastAsia"/>
        </w:rPr>
      </w:pPr>
    </w:p>
    <w:p w14:paraId="6F97CBFF">
      <w:pPr>
        <w:ind w:firstLine="1004" w:firstLineChars="200"/>
        <w:jc w:val="left"/>
        <w:rPr>
          <w:rFonts w:asciiTheme="minorEastAsia" w:hAnsiTheme="minorEastAsia" w:cstheme="minorEastAsia"/>
          <w:b/>
          <w:sz w:val="50"/>
        </w:rPr>
      </w:pPr>
    </w:p>
    <w:p w14:paraId="026E2465">
      <w:pPr>
        <w:pageBreakBefore/>
        <w:spacing w:line="420" w:lineRule="auto"/>
        <w:rPr>
          <w:rFonts w:asciiTheme="minorEastAsia" w:hAnsiTheme="minorEastAsia" w:cstheme="minorEastAsia"/>
          <w:b/>
          <w:bCs/>
          <w:sz w:val="36"/>
          <w:szCs w:val="36"/>
        </w:rPr>
        <w:sectPr>
          <w:pgSz w:w="11906" w:h="16838"/>
          <w:pgMar w:top="1440" w:right="1304" w:bottom="1440" w:left="1304" w:header="851" w:footer="992" w:gutter="0"/>
          <w:cols w:space="0" w:num="1"/>
          <w:docGrid w:type="lines" w:linePitch="325" w:charSpace="0"/>
        </w:sectPr>
      </w:pPr>
    </w:p>
    <w:p w14:paraId="094645E5">
      <w:pPr>
        <w:pStyle w:val="4"/>
        <w:adjustRightInd w:val="0"/>
        <w:spacing w:line="500" w:lineRule="exact"/>
        <w:textAlignment w:val="baseline"/>
        <w:rPr>
          <w:rFonts w:asciiTheme="minorEastAsia" w:hAnsiTheme="minorEastAsia" w:eastAsiaTheme="minorEastAsia" w:cstheme="minorEastAsia"/>
        </w:rPr>
      </w:pPr>
      <w:bookmarkStart w:id="137" w:name="_Toc2914"/>
      <w:bookmarkStart w:id="138" w:name="_Toc15213"/>
      <w:bookmarkStart w:id="139" w:name="_Toc23340"/>
      <w:bookmarkStart w:id="140" w:name="_Toc19600"/>
      <w:bookmarkStart w:id="141" w:name="_Toc28796"/>
      <w:bookmarkStart w:id="142" w:name="_Toc32759"/>
      <w:bookmarkStart w:id="143" w:name="_Toc8096"/>
      <w:bookmarkStart w:id="144" w:name="_Toc3042"/>
      <w:bookmarkStart w:id="145" w:name="_Toc29465"/>
      <w:bookmarkStart w:id="146" w:name="_Toc14498"/>
      <w:bookmarkStart w:id="147" w:name="_Toc5968"/>
      <w:bookmarkStart w:id="148" w:name="_Toc17921"/>
      <w:bookmarkStart w:id="149" w:name="_Toc21389"/>
      <w:bookmarkStart w:id="150" w:name="_Toc8550"/>
      <w:bookmarkStart w:id="151" w:name="_Toc10779"/>
      <w:r>
        <w:rPr>
          <w:rFonts w:hint="eastAsia" w:asciiTheme="minorEastAsia" w:hAnsiTheme="minorEastAsia" w:eastAsiaTheme="minorEastAsia" w:cstheme="minorEastAsia"/>
        </w:rPr>
        <w:t>附件二、中小企业申明</w:t>
      </w:r>
      <w:bookmarkEnd w:id="137"/>
      <w:bookmarkEnd w:id="138"/>
    </w:p>
    <w:p w14:paraId="434AD241">
      <w:pPr>
        <w:spacing w:line="588" w:lineRule="exact"/>
        <w:ind w:firstLine="504" w:firstLineChars="200"/>
        <w:rPr>
          <w:rFonts w:ascii="宋体" w:hAnsi="宋体"/>
          <w:spacing w:val="6"/>
          <w:sz w:val="24"/>
        </w:rPr>
      </w:pPr>
      <w:r>
        <w:rPr>
          <w:rFonts w:hint="eastAsia" w:ascii="宋体" w:hAnsi="宋体"/>
          <w:spacing w:val="6"/>
          <w:sz w:val="24"/>
        </w:rPr>
        <w:t>根据《政府采购促进中小企业发展管理办法》（财库[2020]46号）的规定，由投标人自行声明并对真实性负责。如有虚假，将依法承担相应责任。</w:t>
      </w:r>
    </w:p>
    <w:p w14:paraId="08B56DB8">
      <w:pPr>
        <w:spacing w:line="360" w:lineRule="auto"/>
        <w:jc w:val="center"/>
        <w:rPr>
          <w:rFonts w:hint="eastAsia" w:ascii="宋体" w:hAnsi="宋体" w:eastAsia="宋体" w:cs="宋体"/>
          <w:b/>
          <w:color w:val="000000" w:themeColor="text1"/>
          <w:spacing w:val="6"/>
          <w14:textFill>
            <w14:solidFill>
              <w14:schemeClr w14:val="tx1"/>
            </w14:solidFill>
          </w14:textFill>
        </w:rPr>
      </w:pPr>
      <w:r>
        <w:rPr>
          <w:rFonts w:hint="eastAsia" w:ascii="宋体" w:hAnsi="宋体" w:eastAsia="宋体" w:cs="宋体"/>
          <w:b/>
          <w:color w:val="000000" w:themeColor="text1"/>
          <w:spacing w:val="6"/>
          <w14:textFill>
            <w14:solidFill>
              <w14:schemeClr w14:val="tx1"/>
            </w14:solidFill>
          </w14:textFill>
        </w:rPr>
        <w:t>中小企业声明函</w:t>
      </w:r>
    </w:p>
    <w:p w14:paraId="333EEDA2">
      <w:pPr>
        <w:pStyle w:val="13"/>
        <w:spacing w:before="55" w:line="360" w:lineRule="auto"/>
        <w:ind w:right="415" w:firstLine="640"/>
        <w:rPr>
          <w:rFonts w:hint="eastAsia" w:ascii="宋体" w:hAnsi="宋体" w:eastAsia="宋体" w:cs="宋体"/>
          <w:color w:val="000000" w:themeColor="text1"/>
          <w:spacing w:val="6"/>
          <w:kern w:val="2"/>
          <w:sz w:val="24"/>
          <w14:textFill>
            <w14:solidFill>
              <w14:schemeClr w14:val="tx1"/>
            </w14:solidFill>
          </w14:textFill>
        </w:rPr>
      </w:pPr>
      <w:r>
        <w:rPr>
          <w:rFonts w:hint="eastAsia" w:ascii="宋体" w:hAnsi="宋体" w:eastAsia="宋体" w:cs="宋体"/>
          <w:color w:val="000000" w:themeColor="text1"/>
          <w:spacing w:val="6"/>
          <w:kern w:val="2"/>
          <w:sz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pacing w:val="6"/>
          <w:kern w:val="2"/>
          <w:sz w:val="24"/>
          <w:u w:val="single"/>
          <w14:textFill>
            <w14:solidFill>
              <w14:schemeClr w14:val="tx1"/>
            </w14:solidFill>
          </w14:textFill>
        </w:rPr>
        <w:t>（单位名称）</w:t>
      </w:r>
      <w:r>
        <w:rPr>
          <w:rFonts w:hint="eastAsia" w:ascii="宋体" w:hAnsi="宋体" w:eastAsia="宋体" w:cs="宋体"/>
          <w:color w:val="000000" w:themeColor="text1"/>
          <w:spacing w:val="6"/>
          <w:kern w:val="2"/>
          <w:sz w:val="24"/>
          <w14:textFill>
            <w14:solidFill>
              <w14:schemeClr w14:val="tx1"/>
            </w14:solidFill>
          </w14:textFill>
        </w:rPr>
        <w:t>的</w:t>
      </w:r>
      <w:r>
        <w:rPr>
          <w:rFonts w:hint="eastAsia" w:ascii="宋体" w:hAnsi="宋体" w:eastAsia="宋体" w:cs="宋体"/>
          <w:color w:val="000000" w:themeColor="text1"/>
          <w:spacing w:val="6"/>
          <w:kern w:val="2"/>
          <w:sz w:val="24"/>
          <w:u w:val="single"/>
          <w14:textFill>
            <w14:solidFill>
              <w14:schemeClr w14:val="tx1"/>
            </w14:solidFill>
          </w14:textFill>
        </w:rPr>
        <w:t>（项目名称）</w:t>
      </w:r>
      <w:r>
        <w:rPr>
          <w:rFonts w:hint="eastAsia" w:ascii="宋体" w:hAnsi="宋体" w:eastAsia="宋体" w:cs="宋体"/>
          <w:color w:val="000000" w:themeColor="text1"/>
          <w:spacing w:val="6"/>
          <w:kern w:val="2"/>
          <w:sz w:val="24"/>
          <w14:textFill>
            <w14:solidFill>
              <w14:schemeClr w14:val="tx1"/>
            </w14:solidFill>
          </w14:textFill>
        </w:rPr>
        <w:t>采购活动，服务全部由符合政策要求的中小企业承接）。相关企业（含联合体中的中小企业、签订分包意向协议的中小企业）的具体情况如下：</w:t>
      </w:r>
    </w:p>
    <w:p w14:paraId="102F25C3">
      <w:pPr>
        <w:pStyle w:val="70"/>
        <w:numPr>
          <w:ilvl w:val="0"/>
          <w:numId w:val="16"/>
        </w:numPr>
        <w:tabs>
          <w:tab w:val="left" w:pos="1183"/>
          <w:tab w:val="left" w:pos="1484"/>
          <w:tab w:val="left" w:pos="4662"/>
          <w:tab w:val="left" w:pos="6903"/>
        </w:tabs>
        <w:spacing w:line="360" w:lineRule="auto"/>
        <w:ind w:right="169" w:firstLine="655"/>
        <w:rPr>
          <w:rFonts w:hint="eastAsia" w:ascii="宋体" w:hAnsi="宋体" w:eastAsia="宋体" w:cs="宋体"/>
          <w:color w:val="000000" w:themeColor="text1"/>
          <w:spacing w:val="6"/>
          <w:kern w:val="2"/>
          <w14:textFill>
            <w14:solidFill>
              <w14:schemeClr w14:val="tx1"/>
            </w14:solidFill>
          </w14:textFill>
        </w:rPr>
      </w:pPr>
      <w:r>
        <w:rPr>
          <w:rFonts w:hint="eastAsia" w:ascii="宋体" w:hAnsi="宋体" w:eastAsia="宋体" w:cs="宋体"/>
          <w:color w:val="000000" w:themeColor="text1"/>
          <w:spacing w:val="6"/>
          <w:kern w:val="2"/>
          <w:u w:val="single"/>
          <w14:textFill>
            <w14:solidFill>
              <w14:schemeClr w14:val="tx1"/>
            </w14:solidFill>
          </w14:textFill>
        </w:rPr>
        <w:t xml:space="preserve">（ 标 的 名 称 ） </w:t>
      </w:r>
      <w:r>
        <w:rPr>
          <w:rFonts w:hint="eastAsia" w:ascii="宋体" w:hAnsi="宋体" w:eastAsia="宋体" w:cs="宋体"/>
          <w:color w:val="000000" w:themeColor="text1"/>
          <w:spacing w:val="6"/>
          <w:kern w:val="2"/>
          <w14:textFill>
            <w14:solidFill>
              <w14:schemeClr w14:val="tx1"/>
            </w14:solidFill>
          </w14:textFill>
        </w:rPr>
        <w:t xml:space="preserve">， 属 于 </w:t>
      </w:r>
      <w:r>
        <w:rPr>
          <w:rFonts w:hint="eastAsia" w:ascii="宋体" w:hAnsi="宋体" w:eastAsia="宋体" w:cs="宋体"/>
          <w:color w:val="000000" w:themeColor="text1"/>
          <w:spacing w:val="6"/>
          <w:kern w:val="2"/>
          <w:u w:val="single"/>
          <w14:textFill>
            <w14:solidFill>
              <w14:schemeClr w14:val="tx1"/>
            </w14:solidFill>
          </w14:textFill>
        </w:rPr>
        <w:t xml:space="preserve">（采购文件中明确的所属行业） </w:t>
      </w:r>
      <w:r>
        <w:rPr>
          <w:rFonts w:hint="eastAsia" w:ascii="宋体" w:hAnsi="宋体" w:eastAsia="宋体" w:cs="宋体"/>
          <w:color w:val="000000" w:themeColor="text1"/>
          <w:spacing w:val="6"/>
          <w:kern w:val="2"/>
          <w14:textFill>
            <w14:solidFill>
              <w14:schemeClr w14:val="tx1"/>
            </w14:solidFill>
          </w14:textFill>
        </w:rPr>
        <w:t>行业；承建（承接）企业为</w:t>
      </w:r>
      <w:r>
        <w:rPr>
          <w:rFonts w:hint="eastAsia" w:ascii="宋体" w:hAnsi="宋体" w:eastAsia="宋体" w:cs="宋体"/>
          <w:color w:val="000000" w:themeColor="text1"/>
          <w:spacing w:val="6"/>
          <w:kern w:val="2"/>
          <w:u w:val="single"/>
          <w14:textFill>
            <w14:solidFill>
              <w14:schemeClr w14:val="tx1"/>
            </w14:solidFill>
          </w14:textFill>
        </w:rPr>
        <w:t>（企业名称）</w:t>
      </w:r>
      <w:r>
        <w:rPr>
          <w:rFonts w:hint="eastAsia" w:ascii="宋体" w:hAnsi="宋体" w:eastAsia="宋体" w:cs="宋体"/>
          <w:color w:val="000000" w:themeColor="text1"/>
          <w:spacing w:val="6"/>
          <w:kern w:val="2"/>
          <w14:textFill>
            <w14:solidFill>
              <w14:schemeClr w14:val="tx1"/>
            </w14:solidFill>
          </w14:textFill>
        </w:rPr>
        <w:t>，从业人员</w:t>
      </w:r>
      <w:r>
        <w:rPr>
          <w:rFonts w:hint="eastAsia" w:ascii="宋体" w:hAnsi="宋体" w:eastAsia="宋体" w:cs="宋体"/>
          <w:color w:val="000000" w:themeColor="text1"/>
          <w:spacing w:val="6"/>
          <w:kern w:val="2"/>
          <w:u w:val="single"/>
          <w14:textFill>
            <w14:solidFill>
              <w14:schemeClr w14:val="tx1"/>
            </w14:solidFill>
          </w14:textFill>
        </w:rPr>
        <w:tab/>
      </w:r>
      <w:r>
        <w:rPr>
          <w:rFonts w:hint="eastAsia" w:ascii="宋体" w:hAnsi="宋体" w:eastAsia="宋体" w:cs="宋体"/>
          <w:color w:val="000000" w:themeColor="text1"/>
          <w:spacing w:val="6"/>
          <w:kern w:val="2"/>
          <w14:textFill>
            <w14:solidFill>
              <w14:schemeClr w14:val="tx1"/>
            </w14:solidFill>
          </w14:textFill>
        </w:rPr>
        <w:t>人，营业收入为</w:t>
      </w:r>
      <w:r>
        <w:rPr>
          <w:rFonts w:hint="eastAsia" w:ascii="宋体" w:hAnsi="宋体" w:eastAsia="宋体" w:cs="宋体"/>
          <w:color w:val="000000" w:themeColor="text1"/>
          <w:spacing w:val="6"/>
          <w:kern w:val="2"/>
          <w:u w:val="single"/>
          <w14:textFill>
            <w14:solidFill>
              <w14:schemeClr w14:val="tx1"/>
            </w14:solidFill>
          </w14:textFill>
        </w:rPr>
        <w:tab/>
      </w:r>
      <w:r>
        <w:rPr>
          <w:rFonts w:hint="eastAsia" w:ascii="宋体" w:hAnsi="宋体" w:eastAsia="宋体" w:cs="宋体"/>
          <w:color w:val="000000" w:themeColor="text1"/>
          <w:spacing w:val="6"/>
          <w:kern w:val="2"/>
          <w14:textFill>
            <w14:solidFill>
              <w14:schemeClr w14:val="tx1"/>
            </w14:solidFill>
          </w14:textFill>
        </w:rPr>
        <w:t>万元，资产总额为</w:t>
      </w:r>
      <w:r>
        <w:rPr>
          <w:rFonts w:hint="eastAsia" w:ascii="宋体" w:hAnsi="宋体" w:eastAsia="宋体" w:cs="宋体"/>
          <w:color w:val="000000" w:themeColor="text1"/>
          <w:spacing w:val="6"/>
          <w:kern w:val="2"/>
          <w:u w:val="single"/>
          <w14:textFill>
            <w14:solidFill>
              <w14:schemeClr w14:val="tx1"/>
            </w14:solidFill>
          </w14:textFill>
        </w:rPr>
        <w:tab/>
      </w:r>
      <w:r>
        <w:rPr>
          <w:rFonts w:hint="eastAsia" w:ascii="宋体" w:hAnsi="宋体" w:eastAsia="宋体" w:cs="宋体"/>
          <w:color w:val="000000" w:themeColor="text1"/>
          <w:spacing w:val="6"/>
          <w:kern w:val="2"/>
          <w14:textFill>
            <w14:solidFill>
              <w14:schemeClr w14:val="tx1"/>
            </w14:solidFill>
          </w14:textFill>
        </w:rPr>
        <w:t>万元，属于</w:t>
      </w:r>
      <w:r>
        <w:rPr>
          <w:rFonts w:hint="eastAsia" w:ascii="宋体" w:hAnsi="宋体" w:eastAsia="宋体" w:cs="宋体"/>
          <w:color w:val="000000" w:themeColor="text1"/>
          <w:spacing w:val="6"/>
          <w:kern w:val="2"/>
          <w:u w:val="single"/>
          <w14:textFill>
            <w14:solidFill>
              <w14:schemeClr w14:val="tx1"/>
            </w14:solidFill>
          </w14:textFill>
        </w:rPr>
        <w:t>（中型企业、小型企业、微型企业）</w:t>
      </w:r>
      <w:r>
        <w:rPr>
          <w:rFonts w:hint="eastAsia" w:ascii="宋体" w:hAnsi="宋体" w:eastAsia="宋体" w:cs="宋体"/>
          <w:color w:val="000000" w:themeColor="text1"/>
          <w:spacing w:val="6"/>
          <w:kern w:val="2"/>
          <w14:textFill>
            <w14:solidFill>
              <w14:schemeClr w14:val="tx1"/>
            </w14:solidFill>
          </w14:textFill>
        </w:rPr>
        <w:t>；</w:t>
      </w:r>
    </w:p>
    <w:p w14:paraId="7BC86F5F">
      <w:pPr>
        <w:pStyle w:val="70"/>
        <w:numPr>
          <w:ilvl w:val="0"/>
          <w:numId w:val="16"/>
        </w:numPr>
        <w:tabs>
          <w:tab w:val="left" w:pos="1183"/>
          <w:tab w:val="left" w:pos="1484"/>
          <w:tab w:val="left" w:pos="4662"/>
          <w:tab w:val="left" w:pos="6903"/>
        </w:tabs>
        <w:spacing w:line="360" w:lineRule="auto"/>
        <w:ind w:right="169" w:firstLine="655"/>
        <w:rPr>
          <w:rFonts w:hint="eastAsia" w:ascii="宋体" w:hAnsi="宋体" w:eastAsia="宋体" w:cs="宋体"/>
          <w:color w:val="000000" w:themeColor="text1"/>
          <w:spacing w:val="6"/>
          <w:kern w:val="2"/>
          <w14:textFill>
            <w14:solidFill>
              <w14:schemeClr w14:val="tx1"/>
            </w14:solidFill>
          </w14:textFill>
        </w:rPr>
      </w:pPr>
      <w:r>
        <w:rPr>
          <w:rFonts w:hint="eastAsia" w:ascii="宋体" w:hAnsi="宋体" w:eastAsia="宋体" w:cs="宋体"/>
          <w:color w:val="000000" w:themeColor="text1"/>
          <w:spacing w:val="6"/>
          <w:kern w:val="2"/>
          <w:u w:val="single"/>
          <w14:textFill>
            <w14:solidFill>
              <w14:schemeClr w14:val="tx1"/>
            </w14:solidFill>
          </w14:textFill>
        </w:rPr>
        <w:t xml:space="preserve">（ 标 的 名 称 ） </w:t>
      </w:r>
      <w:r>
        <w:rPr>
          <w:rFonts w:hint="eastAsia" w:ascii="宋体" w:hAnsi="宋体" w:eastAsia="宋体" w:cs="宋体"/>
          <w:color w:val="000000" w:themeColor="text1"/>
          <w:spacing w:val="6"/>
          <w:kern w:val="2"/>
          <w14:textFill>
            <w14:solidFill>
              <w14:schemeClr w14:val="tx1"/>
            </w14:solidFill>
          </w14:textFill>
        </w:rPr>
        <w:t xml:space="preserve">， 属 于 </w:t>
      </w:r>
      <w:r>
        <w:rPr>
          <w:rFonts w:hint="eastAsia" w:ascii="宋体" w:hAnsi="宋体" w:eastAsia="宋体" w:cs="宋体"/>
          <w:color w:val="000000" w:themeColor="text1"/>
          <w:spacing w:val="6"/>
          <w:kern w:val="2"/>
          <w:u w:val="single"/>
          <w14:textFill>
            <w14:solidFill>
              <w14:schemeClr w14:val="tx1"/>
            </w14:solidFill>
          </w14:textFill>
        </w:rPr>
        <w:t xml:space="preserve">（采购文件中明确的所属行业） </w:t>
      </w:r>
      <w:r>
        <w:rPr>
          <w:rFonts w:hint="eastAsia" w:ascii="宋体" w:hAnsi="宋体" w:eastAsia="宋体" w:cs="宋体"/>
          <w:color w:val="000000" w:themeColor="text1"/>
          <w:spacing w:val="6"/>
          <w:kern w:val="2"/>
          <w14:textFill>
            <w14:solidFill>
              <w14:schemeClr w14:val="tx1"/>
            </w14:solidFill>
          </w14:textFill>
        </w:rPr>
        <w:t>行业；承建（承接）企业为</w:t>
      </w:r>
      <w:r>
        <w:rPr>
          <w:rFonts w:hint="eastAsia" w:ascii="宋体" w:hAnsi="宋体" w:eastAsia="宋体" w:cs="宋体"/>
          <w:color w:val="000000" w:themeColor="text1"/>
          <w:spacing w:val="6"/>
          <w:kern w:val="2"/>
          <w:u w:val="single"/>
          <w14:textFill>
            <w14:solidFill>
              <w14:schemeClr w14:val="tx1"/>
            </w14:solidFill>
          </w14:textFill>
        </w:rPr>
        <w:t>（企业名称）</w:t>
      </w:r>
      <w:r>
        <w:rPr>
          <w:rFonts w:hint="eastAsia" w:ascii="宋体" w:hAnsi="宋体" w:eastAsia="宋体" w:cs="宋体"/>
          <w:color w:val="000000" w:themeColor="text1"/>
          <w:spacing w:val="6"/>
          <w:kern w:val="2"/>
          <w14:textFill>
            <w14:solidFill>
              <w14:schemeClr w14:val="tx1"/>
            </w14:solidFill>
          </w14:textFill>
        </w:rPr>
        <w:t>，从业人员</w:t>
      </w:r>
      <w:r>
        <w:rPr>
          <w:rFonts w:hint="eastAsia" w:ascii="宋体" w:hAnsi="宋体" w:eastAsia="宋体" w:cs="宋体"/>
          <w:color w:val="000000" w:themeColor="text1"/>
          <w:spacing w:val="6"/>
          <w:kern w:val="2"/>
          <w:u w:val="single"/>
          <w14:textFill>
            <w14:solidFill>
              <w14:schemeClr w14:val="tx1"/>
            </w14:solidFill>
          </w14:textFill>
        </w:rPr>
        <w:tab/>
      </w:r>
      <w:r>
        <w:rPr>
          <w:rFonts w:hint="eastAsia" w:ascii="宋体" w:hAnsi="宋体" w:eastAsia="宋体" w:cs="宋体"/>
          <w:color w:val="000000" w:themeColor="text1"/>
          <w:spacing w:val="6"/>
          <w:kern w:val="2"/>
          <w14:textFill>
            <w14:solidFill>
              <w14:schemeClr w14:val="tx1"/>
            </w14:solidFill>
          </w14:textFill>
        </w:rPr>
        <w:t>人，营业收入为</w:t>
      </w:r>
      <w:r>
        <w:rPr>
          <w:rFonts w:hint="eastAsia" w:ascii="宋体" w:hAnsi="宋体" w:eastAsia="宋体" w:cs="宋体"/>
          <w:color w:val="000000" w:themeColor="text1"/>
          <w:spacing w:val="6"/>
          <w:kern w:val="2"/>
          <w:u w:val="single"/>
          <w14:textFill>
            <w14:solidFill>
              <w14:schemeClr w14:val="tx1"/>
            </w14:solidFill>
          </w14:textFill>
        </w:rPr>
        <w:tab/>
      </w:r>
      <w:r>
        <w:rPr>
          <w:rFonts w:hint="eastAsia" w:ascii="宋体" w:hAnsi="宋体" w:eastAsia="宋体" w:cs="宋体"/>
          <w:color w:val="000000" w:themeColor="text1"/>
          <w:spacing w:val="6"/>
          <w:kern w:val="2"/>
          <w14:textFill>
            <w14:solidFill>
              <w14:schemeClr w14:val="tx1"/>
            </w14:solidFill>
          </w14:textFill>
        </w:rPr>
        <w:t>万元，资产总额为</w:t>
      </w:r>
      <w:r>
        <w:rPr>
          <w:rFonts w:hint="eastAsia" w:ascii="宋体" w:hAnsi="宋体" w:eastAsia="宋体" w:cs="宋体"/>
          <w:color w:val="000000" w:themeColor="text1"/>
          <w:spacing w:val="6"/>
          <w:kern w:val="2"/>
          <w:u w:val="single"/>
          <w14:textFill>
            <w14:solidFill>
              <w14:schemeClr w14:val="tx1"/>
            </w14:solidFill>
          </w14:textFill>
        </w:rPr>
        <w:tab/>
      </w:r>
      <w:r>
        <w:rPr>
          <w:rFonts w:hint="eastAsia" w:ascii="宋体" w:hAnsi="宋体" w:eastAsia="宋体" w:cs="宋体"/>
          <w:color w:val="000000" w:themeColor="text1"/>
          <w:spacing w:val="6"/>
          <w:kern w:val="2"/>
          <w14:textFill>
            <w14:solidFill>
              <w14:schemeClr w14:val="tx1"/>
            </w14:solidFill>
          </w14:textFill>
        </w:rPr>
        <w:t>万元，属于</w:t>
      </w:r>
      <w:r>
        <w:rPr>
          <w:rFonts w:hint="eastAsia" w:ascii="宋体" w:hAnsi="宋体" w:eastAsia="宋体" w:cs="宋体"/>
          <w:color w:val="000000" w:themeColor="text1"/>
          <w:spacing w:val="6"/>
          <w:kern w:val="2"/>
          <w:u w:val="single"/>
          <w14:textFill>
            <w14:solidFill>
              <w14:schemeClr w14:val="tx1"/>
            </w14:solidFill>
          </w14:textFill>
        </w:rPr>
        <w:t>（中型企业、小型企业、微型企业）</w:t>
      </w:r>
      <w:r>
        <w:rPr>
          <w:rFonts w:hint="eastAsia" w:ascii="宋体" w:hAnsi="宋体" w:eastAsia="宋体" w:cs="宋体"/>
          <w:color w:val="000000" w:themeColor="text1"/>
          <w:spacing w:val="6"/>
          <w:kern w:val="2"/>
          <w14:textFill>
            <w14:solidFill>
              <w14:schemeClr w14:val="tx1"/>
            </w14:solidFill>
          </w14:textFill>
        </w:rPr>
        <w:t>；</w:t>
      </w:r>
    </w:p>
    <w:p w14:paraId="53657EEE">
      <w:pPr>
        <w:pStyle w:val="13"/>
        <w:spacing w:line="360" w:lineRule="auto"/>
        <w:ind w:left="860"/>
        <w:rPr>
          <w:rFonts w:hint="eastAsia" w:ascii="宋体" w:hAnsi="宋体" w:eastAsia="宋体" w:cs="宋体"/>
          <w:color w:val="000000" w:themeColor="text1"/>
          <w:spacing w:val="6"/>
          <w:kern w:val="2"/>
          <w:sz w:val="24"/>
          <w14:textFill>
            <w14:solidFill>
              <w14:schemeClr w14:val="tx1"/>
            </w14:solidFill>
          </w14:textFill>
        </w:rPr>
      </w:pPr>
      <w:r>
        <w:rPr>
          <w:rFonts w:hint="eastAsia" w:ascii="宋体" w:hAnsi="宋体" w:eastAsia="宋体" w:cs="宋体"/>
          <w:color w:val="000000" w:themeColor="text1"/>
          <w:spacing w:val="6"/>
          <w:kern w:val="2"/>
          <w:sz w:val="24"/>
          <w14:textFill>
            <w14:solidFill>
              <w14:schemeClr w14:val="tx1"/>
            </w14:solidFill>
          </w14:textFill>
        </w:rPr>
        <w:t>……</w:t>
      </w:r>
    </w:p>
    <w:p w14:paraId="77C34E31">
      <w:pPr>
        <w:pStyle w:val="13"/>
        <w:spacing w:before="105" w:line="360" w:lineRule="auto"/>
        <w:ind w:right="417" w:firstLine="645"/>
        <w:jc w:val="both"/>
        <w:rPr>
          <w:rFonts w:hint="eastAsia" w:ascii="宋体" w:hAnsi="宋体" w:eastAsia="宋体" w:cs="宋体"/>
          <w:color w:val="000000" w:themeColor="text1"/>
          <w:spacing w:val="6"/>
          <w:kern w:val="2"/>
          <w:sz w:val="24"/>
          <w14:textFill>
            <w14:solidFill>
              <w14:schemeClr w14:val="tx1"/>
            </w14:solidFill>
          </w14:textFill>
        </w:rPr>
      </w:pPr>
      <w:r>
        <w:rPr>
          <w:rFonts w:hint="eastAsia" w:ascii="宋体" w:hAnsi="宋体" w:eastAsia="宋体" w:cs="宋体"/>
          <w:color w:val="000000" w:themeColor="text1"/>
          <w:spacing w:val="6"/>
          <w:kern w:val="2"/>
          <w:sz w:val="24"/>
          <w14:textFill>
            <w14:solidFill>
              <w14:schemeClr w14:val="tx1"/>
            </w14:solidFill>
          </w14:textFill>
        </w:rPr>
        <w:t>以上企业，不属于大企业的分支机构，不存在控股股东为大企业的情形，也不存在与大企业的负责人为同一人的情形。</w:t>
      </w:r>
    </w:p>
    <w:p w14:paraId="1A9BB6EC">
      <w:pPr>
        <w:pStyle w:val="13"/>
        <w:spacing w:line="360" w:lineRule="auto"/>
        <w:ind w:right="372" w:firstLine="645"/>
        <w:rPr>
          <w:rFonts w:hint="eastAsia" w:ascii="宋体" w:hAnsi="宋体" w:eastAsia="宋体" w:cs="宋体"/>
          <w:color w:val="000000" w:themeColor="text1"/>
          <w:spacing w:val="6"/>
          <w:kern w:val="2"/>
          <w:sz w:val="24"/>
          <w14:textFill>
            <w14:solidFill>
              <w14:schemeClr w14:val="tx1"/>
            </w14:solidFill>
          </w14:textFill>
        </w:rPr>
      </w:pPr>
      <w:r>
        <w:rPr>
          <w:rFonts w:hint="eastAsia" w:ascii="宋体" w:hAnsi="宋体" w:eastAsia="宋体" w:cs="宋体"/>
          <w:color w:val="000000" w:themeColor="text1"/>
          <w:spacing w:val="6"/>
          <w:kern w:val="2"/>
          <w:sz w:val="24"/>
          <w14:textFill>
            <w14:solidFill>
              <w14:schemeClr w14:val="tx1"/>
            </w14:solidFill>
          </w14:textFill>
        </w:rPr>
        <w:t>本企业对上述声明内容的真实性负责。如有虚假，将依法承担相应责任。</w:t>
      </w:r>
    </w:p>
    <w:p w14:paraId="7FB8CE54">
      <w:pPr>
        <w:spacing w:line="360" w:lineRule="auto"/>
        <w:jc w:val="left"/>
        <w:rPr>
          <w:rFonts w:ascii="宋体" w:hAnsi="宋体"/>
          <w:color w:val="000000"/>
          <w:spacing w:val="6"/>
          <w:sz w:val="24"/>
        </w:rPr>
      </w:pPr>
    </w:p>
    <w:p w14:paraId="74EEB1A7">
      <w:pPr>
        <w:spacing w:line="360" w:lineRule="auto"/>
        <w:jc w:val="left"/>
        <w:rPr>
          <w:rFonts w:hint="default" w:ascii="宋体" w:hAnsi="宋体" w:eastAsiaTheme="minorEastAsia"/>
          <w:color w:val="000000"/>
          <w:spacing w:val="6"/>
          <w:sz w:val="24"/>
          <w:highlight w:val="yellow"/>
          <w:lang w:val="en-US" w:eastAsia="zh-CN"/>
        </w:rPr>
      </w:pPr>
      <w:r>
        <w:rPr>
          <w:rFonts w:hint="eastAsia" w:ascii="宋体" w:hAnsi="宋体"/>
          <w:color w:val="000000"/>
          <w:spacing w:val="6"/>
          <w:sz w:val="24"/>
          <w:highlight w:val="none"/>
          <w:lang w:val="en-US" w:eastAsia="zh-CN"/>
        </w:rPr>
        <w:t>备注：本项目所属行业为：</w:t>
      </w:r>
      <w:r>
        <w:rPr>
          <w:rFonts w:hint="eastAsia" w:ascii="宋体" w:hAnsi="宋体" w:eastAsia="宋体" w:cs="宋体"/>
          <w:b/>
          <w:bCs/>
          <w:color w:val="auto"/>
          <w:sz w:val="24"/>
          <w:highlight w:val="none"/>
        </w:rPr>
        <w:t>本项目属于其他未列明行业</w:t>
      </w:r>
      <w:r>
        <w:rPr>
          <w:rFonts w:hint="eastAsia" w:ascii="宋体" w:hAnsi="宋体"/>
          <w:color w:val="000000"/>
          <w:spacing w:val="6"/>
          <w:sz w:val="24"/>
          <w:highlight w:val="none"/>
          <w:lang w:val="en-US" w:eastAsia="zh-CN"/>
        </w:rPr>
        <w:t>。</w:t>
      </w:r>
    </w:p>
    <w:p w14:paraId="1181D377">
      <w:pPr>
        <w:spacing w:line="360" w:lineRule="auto"/>
        <w:jc w:val="left"/>
        <w:rPr>
          <w:rFonts w:ascii="宋体" w:hAnsi="宋体" w:eastAsia="宋体" w:cs="Times New Roman"/>
          <w:color w:val="000000"/>
          <w:spacing w:val="6"/>
          <w:sz w:val="24"/>
        </w:rPr>
      </w:pPr>
      <w:r>
        <w:rPr>
          <w:rFonts w:hint="eastAsia" w:ascii="宋体" w:hAnsi="宋体" w:eastAsia="宋体" w:cs="Times New Roman"/>
          <w:color w:val="000000"/>
          <w:spacing w:val="6"/>
          <w:sz w:val="24"/>
        </w:rPr>
        <w:t>企业名称（盖章）：</w:t>
      </w:r>
    </w:p>
    <w:p w14:paraId="22C7F87C">
      <w:pPr>
        <w:spacing w:line="588" w:lineRule="exact"/>
        <w:rPr>
          <w:rFonts w:ascii="宋体" w:hAnsi="宋体"/>
          <w:spacing w:val="6"/>
          <w:sz w:val="24"/>
          <w:szCs w:val="24"/>
        </w:rPr>
        <w:sectPr>
          <w:footerReference r:id="rId18" w:type="default"/>
          <w:pgSz w:w="11906" w:h="16838"/>
          <w:pgMar w:top="1440" w:right="1803" w:bottom="1440" w:left="1803" w:header="851" w:footer="992" w:gutter="0"/>
          <w:cols w:space="720" w:num="1"/>
          <w:docGrid w:type="lines" w:linePitch="319" w:charSpace="0"/>
        </w:sectPr>
      </w:pPr>
      <w:r>
        <w:rPr>
          <w:rFonts w:hint="eastAsia" w:ascii="宋体" w:hAnsi="宋体" w:eastAsia="宋体" w:cs="Times New Roman"/>
          <w:color w:val="000000"/>
          <w:spacing w:val="6"/>
          <w:sz w:val="24"/>
        </w:rPr>
        <w:t>日期：</w:t>
      </w:r>
    </w:p>
    <w:p w14:paraId="16FAEC85">
      <w:pPr>
        <w:pStyle w:val="4"/>
      </w:pPr>
      <w:bookmarkStart w:id="152" w:name="_Toc31387"/>
      <w:r>
        <w:rPr>
          <w:rFonts w:hint="eastAsia"/>
        </w:rPr>
        <w:t>附件三、残疾人福利性单位声明</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CDDB35E">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根据《三部门联合发布关于促进残疾人就业政府采购政策的通知》（财库〔2017〕141号）的规定，由投标人自行申明，并对申明真实性负责。如有虚假，将依法承担相应责任。</w:t>
      </w:r>
    </w:p>
    <w:p w14:paraId="7A50B418"/>
    <w:p w14:paraId="5EFF49AD">
      <w:pPr>
        <w:spacing w:line="588" w:lineRule="exact"/>
        <w:jc w:val="center"/>
        <w:rPr>
          <w:rFonts w:ascii="宋体" w:hAnsi="宋体"/>
          <w:b/>
          <w:spacing w:val="6"/>
          <w:sz w:val="24"/>
          <w:szCs w:val="24"/>
        </w:rPr>
      </w:pPr>
      <w:bookmarkStart w:id="153" w:name="OLE_LINK14"/>
      <w:r>
        <w:rPr>
          <w:rFonts w:hint="eastAsia" w:ascii="宋体" w:hAnsi="宋体"/>
          <w:b/>
          <w:spacing w:val="6"/>
          <w:sz w:val="24"/>
          <w:szCs w:val="24"/>
        </w:rPr>
        <w:t>残疾人福利性单位声明函</w:t>
      </w:r>
      <w:bookmarkEnd w:id="153"/>
    </w:p>
    <w:p w14:paraId="610DF08D">
      <w:pPr>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w:t>
      </w:r>
      <w:r>
        <w:rPr>
          <w:rFonts w:hint="eastAsia" w:ascii="宋体" w:hAnsi="宋体"/>
          <w:sz w:val="24"/>
          <w:szCs w:val="24"/>
        </w:rPr>
        <w:t>〔2017〕141</w:t>
      </w:r>
      <w:r>
        <w:rPr>
          <w:rFonts w:hint="eastAsia" w:ascii="宋体" w:hAnsi="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2C860D">
      <w:pPr>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14:paraId="0752E72D">
      <w:pPr>
        <w:spacing w:line="360" w:lineRule="auto"/>
        <w:ind w:firstLine="444" w:firstLineChars="200"/>
        <w:rPr>
          <w:rFonts w:ascii="宋体" w:hAnsi="宋体"/>
          <w:spacing w:val="6"/>
          <w:szCs w:val="21"/>
        </w:rPr>
      </w:pPr>
    </w:p>
    <w:tbl>
      <w:tblPr>
        <w:tblStyle w:val="2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260"/>
        <w:gridCol w:w="1440"/>
        <w:gridCol w:w="1260"/>
        <w:gridCol w:w="1260"/>
      </w:tblGrid>
      <w:tr w14:paraId="3439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vAlign w:val="center"/>
          </w:tcPr>
          <w:p w14:paraId="63AEEA59">
            <w:pPr>
              <w:spacing w:line="360" w:lineRule="auto"/>
              <w:jc w:val="center"/>
              <w:rPr>
                <w:rFonts w:ascii="宋体" w:hAnsi="宋体"/>
                <w:spacing w:val="6"/>
                <w:szCs w:val="21"/>
              </w:rPr>
            </w:pPr>
            <w:r>
              <w:rPr>
                <w:rFonts w:hint="eastAsia" w:ascii="宋体" w:hAnsi="宋体"/>
                <w:spacing w:val="6"/>
                <w:szCs w:val="21"/>
              </w:rPr>
              <w:t>序号</w:t>
            </w:r>
          </w:p>
        </w:tc>
        <w:tc>
          <w:tcPr>
            <w:tcW w:w="3060" w:type="dxa"/>
            <w:vAlign w:val="center"/>
          </w:tcPr>
          <w:p w14:paraId="7E8DBE78">
            <w:pPr>
              <w:spacing w:line="360" w:lineRule="auto"/>
              <w:jc w:val="center"/>
              <w:rPr>
                <w:rFonts w:ascii="宋体" w:hAnsi="宋体"/>
                <w:spacing w:val="6"/>
                <w:szCs w:val="21"/>
              </w:rPr>
            </w:pPr>
            <w:r>
              <w:rPr>
                <w:rFonts w:hint="eastAsia" w:ascii="宋体" w:hAnsi="宋体"/>
                <w:spacing w:val="6"/>
                <w:szCs w:val="21"/>
              </w:rPr>
              <w:t>产品类型</w:t>
            </w:r>
          </w:p>
        </w:tc>
        <w:tc>
          <w:tcPr>
            <w:tcW w:w="1260" w:type="dxa"/>
            <w:vAlign w:val="center"/>
          </w:tcPr>
          <w:p w14:paraId="68952124">
            <w:pPr>
              <w:spacing w:line="360" w:lineRule="auto"/>
              <w:jc w:val="center"/>
              <w:rPr>
                <w:rFonts w:ascii="宋体" w:hAnsi="宋体"/>
                <w:spacing w:val="6"/>
                <w:szCs w:val="21"/>
              </w:rPr>
            </w:pPr>
            <w:r>
              <w:rPr>
                <w:rFonts w:hint="eastAsia" w:ascii="宋体" w:hAnsi="宋体"/>
                <w:spacing w:val="6"/>
                <w:szCs w:val="21"/>
              </w:rPr>
              <w:t>产品名称</w:t>
            </w:r>
          </w:p>
        </w:tc>
        <w:tc>
          <w:tcPr>
            <w:tcW w:w="1440" w:type="dxa"/>
            <w:vAlign w:val="center"/>
          </w:tcPr>
          <w:p w14:paraId="530E6217">
            <w:pPr>
              <w:spacing w:line="360" w:lineRule="auto"/>
              <w:jc w:val="center"/>
              <w:rPr>
                <w:rFonts w:ascii="宋体" w:hAnsi="宋体"/>
                <w:spacing w:val="6"/>
                <w:szCs w:val="21"/>
              </w:rPr>
            </w:pPr>
            <w:r>
              <w:rPr>
                <w:rFonts w:hint="eastAsia" w:ascii="宋体" w:hAnsi="宋体"/>
                <w:spacing w:val="6"/>
                <w:szCs w:val="21"/>
              </w:rPr>
              <w:t>制造商</w:t>
            </w:r>
          </w:p>
        </w:tc>
        <w:tc>
          <w:tcPr>
            <w:tcW w:w="1260" w:type="dxa"/>
            <w:vAlign w:val="center"/>
          </w:tcPr>
          <w:p w14:paraId="7D95AEB4">
            <w:pPr>
              <w:spacing w:line="360" w:lineRule="auto"/>
              <w:jc w:val="center"/>
              <w:rPr>
                <w:rFonts w:ascii="宋体" w:hAnsi="宋体"/>
                <w:spacing w:val="6"/>
                <w:szCs w:val="21"/>
              </w:rPr>
            </w:pPr>
            <w:r>
              <w:rPr>
                <w:rFonts w:hint="eastAsia" w:ascii="宋体" w:hAnsi="宋体"/>
                <w:spacing w:val="6"/>
                <w:szCs w:val="21"/>
              </w:rPr>
              <w:t>金额（万元）</w:t>
            </w:r>
          </w:p>
        </w:tc>
        <w:tc>
          <w:tcPr>
            <w:tcW w:w="1260" w:type="dxa"/>
            <w:vAlign w:val="center"/>
          </w:tcPr>
          <w:p w14:paraId="1C401842">
            <w:pPr>
              <w:spacing w:line="360" w:lineRule="auto"/>
              <w:jc w:val="center"/>
              <w:rPr>
                <w:rFonts w:ascii="宋体" w:hAnsi="宋体"/>
                <w:spacing w:val="6"/>
                <w:szCs w:val="21"/>
              </w:rPr>
            </w:pPr>
            <w:r>
              <w:rPr>
                <w:rFonts w:hint="eastAsia" w:ascii="宋体" w:hAnsi="宋体"/>
                <w:spacing w:val="6"/>
                <w:szCs w:val="21"/>
              </w:rPr>
              <w:t>所占比例</w:t>
            </w:r>
          </w:p>
        </w:tc>
      </w:tr>
      <w:tr w14:paraId="4F86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14:paraId="6B02C939">
            <w:pPr>
              <w:spacing w:line="360" w:lineRule="auto"/>
              <w:jc w:val="center"/>
              <w:rPr>
                <w:rFonts w:ascii="宋体" w:hAnsi="宋体"/>
                <w:spacing w:val="6"/>
                <w:szCs w:val="21"/>
              </w:rPr>
            </w:pPr>
            <w:r>
              <w:rPr>
                <w:rFonts w:hint="eastAsia" w:ascii="宋体" w:hAnsi="宋体"/>
                <w:spacing w:val="6"/>
                <w:szCs w:val="21"/>
              </w:rPr>
              <w:t>1</w:t>
            </w:r>
          </w:p>
        </w:tc>
        <w:tc>
          <w:tcPr>
            <w:tcW w:w="3060" w:type="dxa"/>
            <w:vAlign w:val="center"/>
          </w:tcPr>
          <w:p w14:paraId="51C55CD4">
            <w:pPr>
              <w:spacing w:line="360" w:lineRule="auto"/>
              <w:rPr>
                <w:rFonts w:ascii="宋体" w:hAnsi="宋体"/>
                <w:spacing w:val="6"/>
                <w:szCs w:val="21"/>
              </w:rPr>
            </w:pPr>
            <w:r>
              <w:rPr>
                <w:rFonts w:hint="eastAsia" w:ascii="宋体" w:hAnsi="宋体"/>
                <w:spacing w:val="6"/>
                <w:szCs w:val="21"/>
              </w:rPr>
              <w:t>本企业制造的货物</w:t>
            </w:r>
          </w:p>
        </w:tc>
        <w:tc>
          <w:tcPr>
            <w:tcW w:w="1260" w:type="dxa"/>
            <w:vAlign w:val="center"/>
          </w:tcPr>
          <w:p w14:paraId="074AB4EF">
            <w:pPr>
              <w:spacing w:line="360" w:lineRule="auto"/>
              <w:jc w:val="center"/>
              <w:rPr>
                <w:rFonts w:ascii="宋体" w:hAnsi="宋体"/>
                <w:spacing w:val="6"/>
                <w:szCs w:val="21"/>
              </w:rPr>
            </w:pPr>
          </w:p>
        </w:tc>
        <w:tc>
          <w:tcPr>
            <w:tcW w:w="1440" w:type="dxa"/>
            <w:vAlign w:val="center"/>
          </w:tcPr>
          <w:p w14:paraId="3E30B51D">
            <w:pPr>
              <w:spacing w:line="360" w:lineRule="auto"/>
              <w:jc w:val="center"/>
              <w:rPr>
                <w:rFonts w:ascii="宋体" w:hAnsi="宋体"/>
                <w:spacing w:val="6"/>
                <w:szCs w:val="21"/>
              </w:rPr>
            </w:pPr>
          </w:p>
        </w:tc>
        <w:tc>
          <w:tcPr>
            <w:tcW w:w="1260" w:type="dxa"/>
            <w:vAlign w:val="center"/>
          </w:tcPr>
          <w:p w14:paraId="1A8927B8">
            <w:pPr>
              <w:spacing w:line="360" w:lineRule="auto"/>
              <w:jc w:val="center"/>
              <w:rPr>
                <w:rFonts w:ascii="宋体" w:hAnsi="宋体"/>
                <w:spacing w:val="6"/>
                <w:szCs w:val="21"/>
              </w:rPr>
            </w:pPr>
          </w:p>
        </w:tc>
        <w:tc>
          <w:tcPr>
            <w:tcW w:w="1260" w:type="dxa"/>
            <w:vAlign w:val="center"/>
          </w:tcPr>
          <w:p w14:paraId="4F6CC8DD">
            <w:pPr>
              <w:spacing w:line="360" w:lineRule="auto"/>
              <w:jc w:val="center"/>
              <w:rPr>
                <w:rFonts w:ascii="宋体" w:hAnsi="宋体"/>
                <w:spacing w:val="6"/>
                <w:szCs w:val="21"/>
              </w:rPr>
            </w:pPr>
          </w:p>
        </w:tc>
      </w:tr>
      <w:tr w14:paraId="333E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14:paraId="043702C3">
            <w:pPr>
              <w:spacing w:line="360" w:lineRule="auto"/>
              <w:jc w:val="center"/>
              <w:rPr>
                <w:rFonts w:ascii="宋体" w:hAnsi="宋体"/>
                <w:spacing w:val="6"/>
                <w:szCs w:val="21"/>
              </w:rPr>
            </w:pPr>
            <w:r>
              <w:rPr>
                <w:rFonts w:hint="eastAsia" w:ascii="宋体" w:hAnsi="宋体"/>
                <w:spacing w:val="6"/>
                <w:szCs w:val="21"/>
              </w:rPr>
              <w:t>2</w:t>
            </w:r>
          </w:p>
        </w:tc>
        <w:tc>
          <w:tcPr>
            <w:tcW w:w="3060" w:type="dxa"/>
            <w:vAlign w:val="center"/>
          </w:tcPr>
          <w:p w14:paraId="75525EC7">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60" w:type="dxa"/>
            <w:vAlign w:val="center"/>
          </w:tcPr>
          <w:p w14:paraId="3C1B8911">
            <w:pPr>
              <w:spacing w:line="360" w:lineRule="auto"/>
              <w:jc w:val="center"/>
              <w:rPr>
                <w:rFonts w:ascii="宋体" w:hAnsi="宋体"/>
                <w:spacing w:val="6"/>
                <w:szCs w:val="21"/>
              </w:rPr>
            </w:pPr>
          </w:p>
        </w:tc>
        <w:tc>
          <w:tcPr>
            <w:tcW w:w="1440" w:type="dxa"/>
            <w:vAlign w:val="center"/>
          </w:tcPr>
          <w:p w14:paraId="68FFF52A">
            <w:pPr>
              <w:spacing w:line="360" w:lineRule="auto"/>
              <w:jc w:val="center"/>
              <w:rPr>
                <w:rFonts w:ascii="宋体" w:hAnsi="宋体"/>
                <w:spacing w:val="6"/>
                <w:szCs w:val="21"/>
              </w:rPr>
            </w:pPr>
          </w:p>
        </w:tc>
        <w:tc>
          <w:tcPr>
            <w:tcW w:w="1260" w:type="dxa"/>
            <w:vAlign w:val="center"/>
          </w:tcPr>
          <w:p w14:paraId="46B38613">
            <w:pPr>
              <w:spacing w:line="360" w:lineRule="auto"/>
              <w:jc w:val="center"/>
              <w:rPr>
                <w:rFonts w:ascii="宋体" w:hAnsi="宋体"/>
                <w:spacing w:val="6"/>
                <w:szCs w:val="21"/>
              </w:rPr>
            </w:pPr>
          </w:p>
        </w:tc>
        <w:tc>
          <w:tcPr>
            <w:tcW w:w="1260" w:type="dxa"/>
            <w:vAlign w:val="center"/>
          </w:tcPr>
          <w:p w14:paraId="0FAE7548">
            <w:pPr>
              <w:spacing w:line="360" w:lineRule="auto"/>
              <w:jc w:val="center"/>
              <w:rPr>
                <w:rFonts w:ascii="宋体" w:hAnsi="宋体"/>
                <w:spacing w:val="6"/>
                <w:szCs w:val="21"/>
              </w:rPr>
            </w:pPr>
          </w:p>
        </w:tc>
      </w:tr>
    </w:tbl>
    <w:p w14:paraId="1D9DB544"/>
    <w:p w14:paraId="6FA11126">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14:paraId="32CD879B">
      <w:pPr>
        <w:tabs>
          <w:tab w:val="left" w:pos="4860"/>
        </w:tabs>
        <w:spacing w:line="360" w:lineRule="auto"/>
        <w:ind w:firstLine="444" w:firstLineChars="200"/>
        <w:rPr>
          <w:rFonts w:ascii="宋体" w:hAnsi="宋体"/>
          <w:spacing w:val="6"/>
          <w:sz w:val="24"/>
          <w:szCs w:val="24"/>
        </w:rPr>
      </w:pPr>
      <w:r>
        <w:rPr>
          <w:rFonts w:hint="eastAsia" w:ascii="宋体" w:hAnsi="宋体"/>
          <w:spacing w:val="6"/>
          <w:szCs w:val="21"/>
        </w:rPr>
        <w:t>2、如提供其他残疾人福利性单位的货物须按此格式附其他中小企业的《中小企业声明函》</w:t>
      </w:r>
    </w:p>
    <w:p w14:paraId="28C6D3E0">
      <w:pPr>
        <w:tabs>
          <w:tab w:val="left" w:pos="4860"/>
        </w:tabs>
        <w:spacing w:line="588" w:lineRule="exact"/>
        <w:ind w:right="1560" w:firstLine="504" w:firstLineChars="200"/>
        <w:rPr>
          <w:rFonts w:ascii="宋体" w:hAnsi="宋体"/>
          <w:spacing w:val="6"/>
          <w:sz w:val="24"/>
          <w:szCs w:val="24"/>
        </w:rPr>
      </w:pPr>
      <w:r>
        <w:rPr>
          <w:rFonts w:hint="eastAsia" w:ascii="宋体" w:hAnsi="宋体"/>
          <w:spacing w:val="6"/>
          <w:sz w:val="24"/>
          <w:szCs w:val="24"/>
        </w:rPr>
        <w:t>单位名称（盖章）：</w:t>
      </w:r>
    </w:p>
    <w:p w14:paraId="372DB69C">
      <w:pPr>
        <w:tabs>
          <w:tab w:val="left" w:pos="4860"/>
        </w:tabs>
        <w:spacing w:line="588" w:lineRule="exact"/>
        <w:ind w:right="1560" w:firstLine="504" w:firstLineChars="200"/>
        <w:rPr>
          <w:rFonts w:ascii="宋体" w:hAnsi="宋体"/>
          <w:spacing w:val="6"/>
          <w:sz w:val="24"/>
          <w:szCs w:val="24"/>
        </w:rPr>
      </w:pPr>
      <w:r>
        <w:rPr>
          <w:rFonts w:hint="eastAsia" w:ascii="宋体" w:hAnsi="宋体"/>
          <w:spacing w:val="6"/>
          <w:sz w:val="24"/>
          <w:szCs w:val="24"/>
        </w:rPr>
        <w:t>日  期：</w:t>
      </w:r>
    </w:p>
    <w:p w14:paraId="275969B0">
      <w:pPr>
        <w:pStyle w:val="4"/>
        <w:adjustRightInd w:val="0"/>
        <w:spacing w:line="416" w:lineRule="atLeast"/>
        <w:textAlignment w:val="baseline"/>
        <w:rPr>
          <w:rFonts w:ascii="宋体" w:hAnsi="宋体"/>
        </w:rPr>
      </w:pPr>
      <w:bookmarkStart w:id="154" w:name="_Toc21493"/>
      <w:bookmarkStart w:id="155" w:name="_Toc15247"/>
      <w:bookmarkStart w:id="156" w:name="_Toc10115"/>
      <w:bookmarkStart w:id="157" w:name="_Toc27652"/>
      <w:bookmarkStart w:id="158" w:name="_Toc441"/>
      <w:bookmarkStart w:id="159" w:name="_Toc22143"/>
      <w:bookmarkStart w:id="160" w:name="_Toc17695"/>
      <w:bookmarkStart w:id="161" w:name="_Toc9973"/>
      <w:bookmarkStart w:id="162" w:name="_Toc6674"/>
      <w:bookmarkStart w:id="163" w:name="_Toc27669"/>
      <w:bookmarkStart w:id="164" w:name="_Toc15184"/>
      <w:bookmarkStart w:id="165" w:name="_Toc14747"/>
      <w:bookmarkStart w:id="166" w:name="_Toc26998"/>
      <w:bookmarkStart w:id="167" w:name="_Toc6406"/>
      <w:bookmarkStart w:id="168" w:name="_Toc15467"/>
      <w:bookmarkStart w:id="169" w:name="_Toc21483"/>
      <w:bookmarkStart w:id="170" w:name="_Toc9670"/>
      <w:bookmarkStart w:id="171" w:name="_Toc2565"/>
      <w:r>
        <w:rPr>
          <w:rFonts w:hint="eastAsia" w:ascii="宋体" w:hAnsi="宋体"/>
        </w:rPr>
        <w:t>附件四、监狱企业证明文件</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12DF5DA">
      <w:pPr>
        <w:rPr>
          <w:rFonts w:ascii="宋体" w:hAnsi="宋体"/>
        </w:rPr>
      </w:pPr>
    </w:p>
    <w:p w14:paraId="44397F29">
      <w:pPr>
        <w:snapToGrid w:val="0"/>
        <w:spacing w:line="360" w:lineRule="auto"/>
        <w:ind w:firstLine="504" w:firstLineChars="200"/>
        <w:rPr>
          <w:rFonts w:ascii="宋体" w:hAnsi="宋体"/>
          <w:sz w:val="24"/>
        </w:rPr>
      </w:pPr>
      <w:r>
        <w:rPr>
          <w:rFonts w:hint="eastAsia" w:ascii="宋体" w:hAnsi="宋体"/>
          <w:spacing w:val="6"/>
          <w:sz w:val="24"/>
        </w:rPr>
        <w:t xml:space="preserve"> 说明：根据</w:t>
      </w:r>
      <w:r>
        <w:rPr>
          <w:rFonts w:hint="eastAsia" w:ascii="宋体" w:hAnsi="宋体"/>
          <w:sz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09E671B8">
      <w:pPr>
        <w:pStyle w:val="4"/>
        <w:adjustRightInd w:val="0"/>
        <w:spacing w:line="416" w:lineRule="atLeast"/>
        <w:textAlignment w:val="baseline"/>
        <w:rPr>
          <w:rFonts w:ascii="宋体" w:hAnsi="宋体"/>
        </w:rPr>
      </w:pPr>
      <w:bookmarkStart w:id="172" w:name="_Toc19378"/>
      <w:bookmarkStart w:id="173" w:name="_Toc4076"/>
      <w:bookmarkStart w:id="174" w:name="_Toc27326"/>
      <w:bookmarkStart w:id="175" w:name="_Toc31338"/>
      <w:bookmarkStart w:id="176" w:name="_Toc1372"/>
      <w:bookmarkStart w:id="177" w:name="_Toc14693"/>
      <w:bookmarkStart w:id="178" w:name="_Toc29358"/>
      <w:bookmarkStart w:id="179" w:name="_Toc14629"/>
      <w:bookmarkStart w:id="180" w:name="_Toc12828"/>
      <w:bookmarkStart w:id="181" w:name="_Toc5020"/>
      <w:bookmarkStart w:id="182" w:name="_Toc22428"/>
      <w:bookmarkStart w:id="183" w:name="_Toc810"/>
      <w:bookmarkStart w:id="184" w:name="_Toc24197"/>
      <w:bookmarkStart w:id="185" w:name="_Toc23254"/>
      <w:bookmarkStart w:id="186" w:name="_Toc13303"/>
      <w:bookmarkStart w:id="187" w:name="_Toc22336"/>
      <w:bookmarkStart w:id="188" w:name="_Toc24315"/>
      <w:bookmarkStart w:id="189" w:name="_Toc21834"/>
      <w:r>
        <w:rPr>
          <w:rFonts w:hint="eastAsia" w:ascii="宋体" w:hAnsi="宋体"/>
        </w:rPr>
        <w:t>附件五、“节能产品”，“环境标志产品”证明材料</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37DAC892">
      <w:pPr>
        <w:widowControl/>
        <w:spacing w:line="360" w:lineRule="auto"/>
        <w:ind w:firstLine="504" w:firstLineChars="200"/>
        <w:rPr>
          <w:rFonts w:ascii="宋体" w:hAnsi="宋体"/>
          <w:spacing w:val="6"/>
          <w:sz w:val="24"/>
        </w:rPr>
      </w:pPr>
      <w:r>
        <w:rPr>
          <w:rFonts w:hint="eastAsia" w:ascii="宋体" w:hAnsi="宋体"/>
          <w:spacing w:val="6"/>
          <w:sz w:val="24"/>
        </w:rPr>
        <w:t xml:space="preserve"> 说明：</w:t>
      </w:r>
    </w:p>
    <w:p w14:paraId="045E26AB">
      <w:pPr>
        <w:widowControl/>
        <w:spacing w:line="360" w:lineRule="auto"/>
        <w:ind w:firstLine="504" w:firstLineChars="200"/>
        <w:rPr>
          <w:rFonts w:ascii="宋体" w:hAnsi="宋体"/>
          <w:spacing w:val="6"/>
          <w:sz w:val="24"/>
        </w:rPr>
      </w:pPr>
      <w:r>
        <w:rPr>
          <w:rFonts w:hint="eastAsia" w:ascii="宋体" w:hAnsi="宋体"/>
          <w:spacing w:val="6"/>
          <w:sz w:val="24"/>
        </w:rPr>
        <w:t>1、投标人提供的产品属于下列情形，应按照招标文件第三部分投标人须知总则第七款规定提供产品列入“节能产品”，“环境标志产品”所在页的复印件（</w:t>
      </w:r>
      <w:r>
        <w:rPr>
          <w:rFonts w:hint="eastAsia" w:ascii="宋体" w:hAnsi="宋体"/>
          <w:spacing w:val="6"/>
          <w:sz w:val="24"/>
          <w:lang w:eastAsia="zh-CN"/>
        </w:rPr>
        <w:t>该页</w:t>
      </w:r>
      <w:r>
        <w:rPr>
          <w:rFonts w:hint="eastAsia" w:ascii="宋体" w:hAnsi="宋体"/>
          <w:spacing w:val="6"/>
          <w:sz w:val="24"/>
        </w:rPr>
        <w:t>包含制造商或企业名称或申请单位名称、规格型号、有效期截止日期等内容），并加盖投标人单位章。</w:t>
      </w:r>
    </w:p>
    <w:p w14:paraId="1A636821">
      <w:pPr>
        <w:widowControl/>
        <w:numPr>
          <w:ilvl w:val="0"/>
          <w:numId w:val="17"/>
        </w:numPr>
        <w:spacing w:line="360" w:lineRule="auto"/>
        <w:ind w:firstLine="504" w:firstLineChars="200"/>
        <w:rPr>
          <w:rFonts w:ascii="宋体" w:hAnsi="宋体"/>
          <w:sz w:val="24"/>
          <w:szCs w:val="24"/>
        </w:rPr>
      </w:pPr>
      <w:r>
        <w:rPr>
          <w:rFonts w:hint="eastAsia" w:ascii="宋体" w:hAnsi="宋体"/>
          <w:spacing w:val="6"/>
          <w:sz w:val="24"/>
        </w:rPr>
        <w:t>符合政府采购强制采购政策的</w:t>
      </w:r>
      <w:r>
        <w:rPr>
          <w:rFonts w:hint="eastAsia" w:ascii="宋体" w:hAnsi="宋体"/>
          <w:sz w:val="24"/>
          <w:szCs w:val="24"/>
        </w:rPr>
        <w:t>财政部、环境保护部发布的《节能产品政府采购清单》中标记的“强制采购节能产品”。</w:t>
      </w:r>
    </w:p>
    <w:p w14:paraId="0B408BFF">
      <w:pPr>
        <w:widowControl/>
        <w:numPr>
          <w:ilvl w:val="0"/>
          <w:numId w:val="17"/>
        </w:numPr>
        <w:spacing w:line="360" w:lineRule="auto"/>
        <w:ind w:firstLine="504" w:firstLineChars="200"/>
        <w:rPr>
          <w:rFonts w:ascii="宋体" w:hAnsi="宋体"/>
          <w:sz w:val="24"/>
          <w:szCs w:val="24"/>
        </w:rPr>
      </w:pPr>
      <w:r>
        <w:rPr>
          <w:rFonts w:hint="eastAsia" w:ascii="宋体" w:hAnsi="宋体"/>
          <w:spacing w:val="6"/>
          <w:sz w:val="24"/>
        </w:rPr>
        <w:t>符合政府采购强制采购政策的</w:t>
      </w:r>
      <w:r>
        <w:rPr>
          <w:rFonts w:hint="eastAsia" w:ascii="宋体" w:hAnsi="宋体"/>
          <w:sz w:val="24"/>
          <w:szCs w:val="24"/>
        </w:rPr>
        <w:t>财政部、环境保护部发布的《环境标志产品政府采购清单》中标记</w:t>
      </w:r>
      <w:r>
        <w:rPr>
          <w:rFonts w:hint="eastAsia" w:ascii="宋体" w:hAnsi="宋体"/>
          <w:sz w:val="24"/>
          <w:szCs w:val="24"/>
          <w:lang w:eastAsia="zh-CN"/>
        </w:rPr>
        <w:t>的</w:t>
      </w:r>
      <w:r>
        <w:rPr>
          <w:rFonts w:hint="eastAsia" w:ascii="宋体" w:hAnsi="宋体"/>
          <w:sz w:val="24"/>
          <w:szCs w:val="24"/>
        </w:rPr>
        <w:t>“环境标志产品”。</w:t>
      </w:r>
    </w:p>
    <w:p w14:paraId="1D0457F4">
      <w:pPr>
        <w:widowControl/>
        <w:spacing w:line="360" w:lineRule="auto"/>
        <w:ind w:left="420" w:leftChars="200"/>
        <w:rPr>
          <w:rFonts w:ascii="宋体" w:hAnsi="宋体"/>
          <w:sz w:val="24"/>
          <w:szCs w:val="24"/>
        </w:rPr>
      </w:pPr>
      <w:r>
        <w:rPr>
          <w:rFonts w:hint="eastAsia" w:ascii="宋体" w:hAnsi="宋体"/>
          <w:sz w:val="24"/>
          <w:szCs w:val="24"/>
        </w:rPr>
        <w:t xml:space="preserve">2、未按照上述要求提供的，评审时不予以考虑。 </w:t>
      </w:r>
    </w:p>
    <w:p w14:paraId="3E40870C">
      <w:pPr>
        <w:snapToGrid w:val="0"/>
        <w:spacing w:line="360" w:lineRule="auto"/>
        <w:ind w:firstLine="480" w:firstLineChars="200"/>
        <w:rPr>
          <w:rFonts w:ascii="宋体" w:hAnsi="宋体"/>
          <w:sz w:val="24"/>
        </w:rPr>
      </w:pPr>
    </w:p>
    <w:p w14:paraId="307DC08C">
      <w:pPr>
        <w:spacing w:line="588" w:lineRule="exact"/>
        <w:ind w:firstLine="504" w:firstLineChars="200"/>
        <w:rPr>
          <w:rFonts w:ascii="宋体" w:hAnsi="宋体"/>
          <w:spacing w:val="6"/>
          <w:sz w:val="24"/>
        </w:rPr>
      </w:pPr>
    </w:p>
    <w:p w14:paraId="5ACFBDCC">
      <w:pPr>
        <w:pStyle w:val="4"/>
        <w:adjustRightInd w:val="0"/>
        <w:spacing w:line="416" w:lineRule="atLeast"/>
        <w:textAlignment w:val="baseline"/>
        <w:rPr>
          <w:rFonts w:ascii="宋体" w:hAnsi="宋体"/>
        </w:rPr>
        <w:sectPr>
          <w:footerReference r:id="rId19" w:type="default"/>
          <w:pgSz w:w="11906" w:h="16838"/>
          <w:pgMar w:top="1440" w:right="1803" w:bottom="1440" w:left="1803" w:header="851" w:footer="992" w:gutter="0"/>
          <w:cols w:space="720" w:num="1"/>
          <w:docGrid w:type="lines" w:linePitch="319" w:charSpace="0"/>
        </w:sectPr>
      </w:pPr>
    </w:p>
    <w:p w14:paraId="4B37447F">
      <w:pPr>
        <w:pStyle w:val="4"/>
        <w:rPr>
          <w:rStyle w:val="69"/>
          <w:b/>
        </w:rPr>
      </w:pPr>
      <w:bookmarkStart w:id="190" w:name="_Toc28968"/>
      <w:bookmarkStart w:id="191" w:name="_Toc19371"/>
      <w:bookmarkStart w:id="192" w:name="_Toc25778"/>
      <w:bookmarkStart w:id="193" w:name="_Toc15916"/>
      <w:bookmarkStart w:id="194" w:name="_Toc7368"/>
      <w:bookmarkStart w:id="195" w:name="_Toc25020"/>
      <w:bookmarkStart w:id="196" w:name="_Toc6687"/>
      <w:bookmarkStart w:id="197" w:name="_Toc30719"/>
      <w:bookmarkStart w:id="198" w:name="_Toc32"/>
      <w:bookmarkStart w:id="199" w:name="_Toc26104"/>
      <w:bookmarkStart w:id="200" w:name="_Toc32125"/>
      <w:bookmarkStart w:id="201" w:name="_Toc14581"/>
      <w:bookmarkStart w:id="202" w:name="_Toc11742"/>
      <w:bookmarkStart w:id="203" w:name="_Toc23948"/>
      <w:bookmarkStart w:id="204" w:name="_Toc3990"/>
      <w:r>
        <w:rPr>
          <w:rStyle w:val="69"/>
          <w:rFonts w:hint="eastAsia"/>
          <w:b/>
        </w:rPr>
        <w:t>附件六、质疑函范本</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1C8BC2C9">
      <w:pPr>
        <w:widowControl/>
        <w:spacing w:line="360" w:lineRule="auto"/>
        <w:jc w:val="left"/>
        <w:rPr>
          <w:rFonts w:ascii="宋体" w:hAnsi="宋体"/>
          <w:spacing w:val="6"/>
          <w:sz w:val="24"/>
        </w:rPr>
      </w:pPr>
      <w:r>
        <w:rPr>
          <w:rFonts w:hint="eastAsia" w:ascii="宋体" w:hAnsi="宋体"/>
          <w:spacing w:val="6"/>
          <w:sz w:val="24"/>
        </w:rPr>
        <w:t>质疑供应商基本信息</w:t>
      </w:r>
    </w:p>
    <w:p w14:paraId="30B3ADF5">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质疑供应商：           </w:t>
      </w:r>
    </w:p>
    <w:p w14:paraId="65D2C87C">
      <w:pPr>
        <w:widowControl/>
        <w:spacing w:line="360" w:lineRule="auto"/>
        <w:jc w:val="left"/>
      </w:pPr>
      <w:r>
        <w:rPr>
          <w:rFonts w:hint="eastAsia" w:ascii="宋体" w:hAnsi="宋体"/>
          <w:spacing w:val="6"/>
          <w:sz w:val="24"/>
        </w:rPr>
        <w:t xml:space="preserve">地   址：  </w:t>
      </w:r>
    </w:p>
    <w:p w14:paraId="7BE8CDB3">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邮编：          </w:t>
      </w:r>
    </w:p>
    <w:p w14:paraId="6DA56D40">
      <w:pPr>
        <w:widowControl/>
        <w:spacing w:line="360" w:lineRule="auto"/>
        <w:jc w:val="left"/>
        <w:rPr>
          <w:rFonts w:ascii="宋体" w:hAnsi="宋体"/>
          <w:spacing w:val="6"/>
          <w:sz w:val="24"/>
        </w:rPr>
      </w:pPr>
      <w:r>
        <w:rPr>
          <w:rFonts w:hint="eastAsia" w:ascii="宋体" w:hAnsi="宋体"/>
          <w:spacing w:val="6"/>
          <w:sz w:val="24"/>
        </w:rPr>
        <w:t>联系人：     </w:t>
      </w:r>
    </w:p>
    <w:p w14:paraId="6D67F0C1">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联系电话：           </w:t>
      </w:r>
    </w:p>
    <w:p w14:paraId="33AD134F">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授权代表：                   </w:t>
      </w:r>
    </w:p>
    <w:p w14:paraId="36441E90">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联系电话：                   </w:t>
      </w:r>
    </w:p>
    <w:p w14:paraId="4369AC49">
      <w:pPr>
        <w:widowControl/>
        <w:spacing w:line="360" w:lineRule="auto"/>
        <w:jc w:val="left"/>
        <w:rPr>
          <w:rFonts w:ascii="宋体" w:hAnsi="宋体"/>
          <w:spacing w:val="6"/>
          <w:sz w:val="24"/>
        </w:rPr>
      </w:pPr>
      <w:r>
        <w:rPr>
          <w:rFonts w:hint="eastAsia" w:ascii="宋体" w:hAnsi="宋体"/>
          <w:spacing w:val="6"/>
          <w:sz w:val="24"/>
        </w:rPr>
        <w:t>地址：   </w:t>
      </w:r>
    </w:p>
    <w:p w14:paraId="7A534EEB">
      <w:pPr>
        <w:widowControl/>
        <w:spacing w:line="360" w:lineRule="auto"/>
        <w:jc w:val="left"/>
        <w:rPr>
          <w:rFonts w:ascii="宋体" w:hAnsi="宋体"/>
          <w:spacing w:val="6"/>
          <w:sz w:val="24"/>
        </w:rPr>
      </w:pPr>
      <w:r>
        <w:rPr>
          <w:rFonts w:hint="eastAsia" w:ascii="宋体" w:hAnsi="宋体"/>
          <w:spacing w:val="6"/>
          <w:sz w:val="24"/>
        </w:rPr>
        <w:t>邮编：  </w:t>
      </w:r>
    </w:p>
    <w:p w14:paraId="259F3F4F">
      <w:pPr>
        <w:widowControl/>
        <w:numPr>
          <w:ilvl w:val="0"/>
          <w:numId w:val="18"/>
        </w:numPr>
        <w:spacing w:line="360" w:lineRule="auto"/>
        <w:jc w:val="left"/>
        <w:rPr>
          <w:rFonts w:ascii="宋体" w:hAnsi="宋体"/>
          <w:spacing w:val="6"/>
          <w:sz w:val="24"/>
        </w:rPr>
      </w:pPr>
      <w:r>
        <w:rPr>
          <w:rFonts w:hint="eastAsia" w:ascii="宋体" w:hAnsi="宋体"/>
          <w:spacing w:val="6"/>
          <w:sz w:val="24"/>
        </w:rPr>
        <w:t>质疑项目基本情况</w:t>
      </w:r>
    </w:p>
    <w:p w14:paraId="7FCAEE70">
      <w:pPr>
        <w:widowControl/>
        <w:numPr>
          <w:ilvl w:val="0"/>
          <w:numId w:val="18"/>
        </w:numPr>
        <w:spacing w:line="360" w:lineRule="auto"/>
        <w:jc w:val="left"/>
        <w:rPr>
          <w:rFonts w:ascii="宋体" w:hAnsi="宋体"/>
          <w:spacing w:val="6"/>
          <w:sz w:val="24"/>
        </w:rPr>
      </w:pPr>
      <w:r>
        <w:rPr>
          <w:rFonts w:hint="eastAsia" w:ascii="宋体" w:hAnsi="宋体"/>
          <w:spacing w:val="6"/>
          <w:sz w:val="24"/>
        </w:rPr>
        <w:t>质疑项目的名称：               </w:t>
      </w:r>
    </w:p>
    <w:p w14:paraId="41109CBE">
      <w:pPr>
        <w:widowControl/>
        <w:numPr>
          <w:ilvl w:val="0"/>
          <w:numId w:val="18"/>
        </w:numPr>
        <w:spacing w:line="360" w:lineRule="auto"/>
        <w:jc w:val="left"/>
        <w:rPr>
          <w:rFonts w:ascii="宋体" w:hAnsi="宋体"/>
          <w:spacing w:val="6"/>
          <w:sz w:val="24"/>
        </w:rPr>
      </w:pPr>
      <w:r>
        <w:rPr>
          <w:rFonts w:hint="eastAsia" w:ascii="宋体" w:hAnsi="宋体"/>
          <w:spacing w:val="6"/>
          <w:sz w:val="24"/>
        </w:rPr>
        <w:t>质疑项目的编号：                  </w:t>
      </w:r>
    </w:p>
    <w:p w14:paraId="3ED91F0F">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采购人名称：                    </w:t>
      </w:r>
    </w:p>
    <w:p w14:paraId="746C819B">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采购文件获取日期：                   </w:t>
      </w:r>
    </w:p>
    <w:p w14:paraId="38F51DF4">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三、质疑事项具体内容</w:t>
      </w:r>
    </w:p>
    <w:p w14:paraId="764A2EBE">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质疑事项1：              </w:t>
      </w:r>
    </w:p>
    <w:p w14:paraId="5E15F7ED">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事实依据：               </w:t>
      </w:r>
    </w:p>
    <w:p w14:paraId="33BBA2FE">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法律依据：          </w:t>
      </w:r>
    </w:p>
    <w:p w14:paraId="06BEDE66">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质疑事项2</w:t>
      </w:r>
    </w:p>
    <w:p w14:paraId="5154DFB3">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w:t>
      </w:r>
    </w:p>
    <w:p w14:paraId="3A9BB914">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四、与质疑事项相关的质疑请求</w:t>
      </w:r>
    </w:p>
    <w:p w14:paraId="0E34A54F">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请求：                </w:t>
      </w:r>
    </w:p>
    <w:p w14:paraId="6D5FC28C">
      <w:pPr>
        <w:widowControl/>
        <w:spacing w:line="360" w:lineRule="auto"/>
        <w:jc w:val="left"/>
        <w:rPr>
          <w:rFonts w:ascii="宋体" w:hAnsi="宋体"/>
          <w:spacing w:val="6"/>
          <w:sz w:val="24"/>
        </w:rPr>
      </w:pPr>
      <w:r>
        <w:rPr>
          <w:rFonts w:hint="eastAsia" w:ascii="宋体" w:hAnsi="宋体"/>
          <w:spacing w:val="6"/>
          <w:sz w:val="24"/>
        </w:rPr>
        <w:t>签字(签章)：                   </w:t>
      </w:r>
    </w:p>
    <w:p w14:paraId="0D248744">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公章：日期：  </w:t>
      </w:r>
    </w:p>
    <w:p w14:paraId="7C52F9C1">
      <w:pPr>
        <w:pStyle w:val="2"/>
        <w:rPr>
          <w:rFonts w:hint="eastAsia"/>
          <w:lang w:eastAsia="zh-CN"/>
        </w:rPr>
      </w:pPr>
    </w:p>
    <w:p w14:paraId="7DAC466A">
      <w:pPr>
        <w:pStyle w:val="2"/>
        <w:rPr>
          <w:rFonts w:hint="eastAsia"/>
          <w:lang w:eastAsia="zh-CN"/>
        </w:rPr>
        <w:sectPr>
          <w:footerReference r:id="rId20" w:type="default"/>
          <w:pgSz w:w="11906" w:h="16838"/>
          <w:pgMar w:top="1440" w:right="1304" w:bottom="1440" w:left="1304" w:header="851" w:footer="992" w:gutter="0"/>
          <w:cols w:space="0" w:num="1"/>
          <w:docGrid w:type="lines" w:linePitch="325" w:charSpace="0"/>
        </w:sectPr>
      </w:pPr>
    </w:p>
    <w:p w14:paraId="43759E8F">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质疑函制作说明：</w:t>
      </w:r>
    </w:p>
    <w:p w14:paraId="60985703">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1.供应商提出质疑时，应提交质疑函和必要的证明材料。</w:t>
      </w:r>
    </w:p>
    <w:p w14:paraId="73552E11">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3EF60D1">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3.质疑供应商若对项目的进行质疑，质疑函中应列明具体项目编号。</w:t>
      </w:r>
    </w:p>
    <w:p w14:paraId="24BAD845">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4.质疑函的质疑事项应具体、明确，并有必要的事实依据和法律依据。</w:t>
      </w:r>
    </w:p>
    <w:p w14:paraId="6B12156C">
      <w:pPr>
        <w:widowControl/>
        <w:spacing w:line="360" w:lineRule="auto"/>
        <w:jc w:val="left"/>
        <w:rPr>
          <w:rFonts w:hint="eastAsia" w:ascii="宋体" w:hAnsi="宋体" w:eastAsiaTheme="minorEastAsia"/>
          <w:spacing w:val="6"/>
          <w:sz w:val="24"/>
          <w:lang w:eastAsia="zh-CN"/>
        </w:rPr>
      </w:pPr>
      <w:r>
        <w:rPr>
          <w:rFonts w:hint="eastAsia" w:ascii="宋体" w:hAnsi="宋体"/>
          <w:spacing w:val="6"/>
          <w:sz w:val="24"/>
        </w:rPr>
        <w:t>5.质疑函的质疑请求应与质疑事项相关。</w:t>
      </w:r>
    </w:p>
    <w:p w14:paraId="75796437">
      <w:pPr>
        <w:widowControl/>
        <w:spacing w:line="360" w:lineRule="auto"/>
        <w:jc w:val="left"/>
        <w:rPr>
          <w:rFonts w:ascii="仿宋_GB2312" w:hAnsi="仿宋_GB2312" w:eastAsia="仿宋_GB2312" w:cs="仿宋_GB2312"/>
        </w:rPr>
        <w:sectPr>
          <w:pgSz w:w="11906" w:h="16838"/>
          <w:pgMar w:top="1440" w:right="1304" w:bottom="1440" w:left="1304" w:header="851" w:footer="992" w:gutter="0"/>
          <w:cols w:space="0" w:num="1"/>
          <w:docGrid w:type="lines" w:linePitch="325" w:charSpace="0"/>
        </w:sectPr>
      </w:pPr>
      <w:r>
        <w:rPr>
          <w:rFonts w:hint="eastAsia" w:ascii="宋体" w:hAnsi="宋体"/>
          <w:spacing w:val="6"/>
          <w:sz w:val="24"/>
        </w:rPr>
        <w:t>6.质疑供应商为自然人的，质疑函应由本人签字；质疑供应商为法人或者其他组织的，质疑函应由法定代表人、主要负责人，或者其授权代表签字或者盖章，并加盖公章。</w:t>
      </w:r>
    </w:p>
    <w:p w14:paraId="14650C33">
      <w:pPr>
        <w:jc w:val="left"/>
        <w:rPr>
          <w:rFonts w:hint="eastAsia" w:asciiTheme="majorEastAsia" w:hAnsiTheme="majorEastAsia" w:eastAsiaTheme="majorEastAsia" w:cstheme="majorEastAsia"/>
          <w:sz w:val="72"/>
          <w:szCs w:val="72"/>
        </w:rPr>
      </w:pPr>
      <w:r>
        <w:rPr>
          <w:rFonts w:hint="eastAsia" w:asciiTheme="majorEastAsia" w:hAnsiTheme="majorEastAsia" w:eastAsiaTheme="majorEastAsia" w:cstheme="majorEastAsia"/>
          <w:b/>
          <w:spacing w:val="48"/>
          <w:sz w:val="72"/>
          <w:szCs w:val="72"/>
        </w:rPr>
        <w:t>公平</w:t>
      </w:r>
    </w:p>
    <w:p w14:paraId="1968A93D">
      <w:pPr>
        <w:jc w:val="left"/>
        <w:rPr>
          <w:rFonts w:hint="eastAsia" w:asciiTheme="majorEastAsia" w:hAnsiTheme="majorEastAsia" w:eastAsiaTheme="majorEastAsia" w:cstheme="majorEastAsia"/>
          <w:sz w:val="72"/>
          <w:szCs w:val="72"/>
        </w:rPr>
      </w:pPr>
    </w:p>
    <w:p w14:paraId="0F00E23E">
      <w:pPr>
        <w:jc w:val="left"/>
        <w:rPr>
          <w:rFonts w:hint="eastAsia" w:asciiTheme="majorEastAsia" w:hAnsiTheme="majorEastAsia" w:eastAsiaTheme="majorEastAsia" w:cstheme="majorEastAsia"/>
          <w:sz w:val="72"/>
          <w:szCs w:val="72"/>
        </w:rPr>
      </w:pPr>
    </w:p>
    <w:p w14:paraId="2599E9E8">
      <w:pPr>
        <w:pStyle w:val="2"/>
        <w:rPr>
          <w:rFonts w:hint="eastAsia"/>
        </w:rPr>
      </w:pPr>
    </w:p>
    <w:p w14:paraId="0C24A98C">
      <w:pPr>
        <w:jc w:val="center"/>
        <w:rPr>
          <w:rFonts w:hint="eastAsia" w:asciiTheme="majorEastAsia" w:hAnsiTheme="majorEastAsia" w:eastAsiaTheme="majorEastAsia" w:cstheme="majorEastAsia"/>
          <w:b/>
          <w:spacing w:val="48"/>
          <w:sz w:val="72"/>
          <w:szCs w:val="72"/>
        </w:rPr>
      </w:pPr>
      <w:r>
        <w:rPr>
          <w:rFonts w:hint="eastAsia" w:asciiTheme="majorEastAsia" w:hAnsiTheme="majorEastAsia" w:eastAsiaTheme="majorEastAsia" w:cstheme="majorEastAsia"/>
          <w:b/>
          <w:spacing w:val="48"/>
          <w:sz w:val="72"/>
          <w:szCs w:val="72"/>
        </w:rPr>
        <w:t>公正</w:t>
      </w:r>
    </w:p>
    <w:p w14:paraId="29B03DE7">
      <w:pPr>
        <w:jc w:val="left"/>
        <w:rPr>
          <w:rFonts w:hint="eastAsia" w:asciiTheme="majorEastAsia" w:hAnsiTheme="majorEastAsia" w:eastAsiaTheme="majorEastAsia" w:cstheme="majorEastAsia"/>
          <w:b/>
          <w:spacing w:val="48"/>
          <w:sz w:val="72"/>
          <w:szCs w:val="72"/>
        </w:rPr>
      </w:pPr>
    </w:p>
    <w:p w14:paraId="5260DAA9">
      <w:pPr>
        <w:pStyle w:val="2"/>
        <w:rPr>
          <w:rFonts w:hint="eastAsia"/>
        </w:rPr>
      </w:pPr>
    </w:p>
    <w:p w14:paraId="2376515D">
      <w:pPr>
        <w:jc w:val="left"/>
        <w:rPr>
          <w:rFonts w:hint="eastAsia" w:asciiTheme="majorEastAsia" w:hAnsiTheme="majorEastAsia" w:eastAsiaTheme="majorEastAsia" w:cstheme="majorEastAsia"/>
          <w:b/>
          <w:spacing w:val="48"/>
          <w:sz w:val="72"/>
          <w:szCs w:val="72"/>
        </w:rPr>
      </w:pPr>
    </w:p>
    <w:p w14:paraId="5ED32070">
      <w:pPr>
        <w:jc w:val="right"/>
        <w:rPr>
          <w:rFonts w:hint="eastAsia" w:asciiTheme="majorEastAsia" w:hAnsiTheme="majorEastAsia" w:eastAsiaTheme="majorEastAsia" w:cstheme="majorEastAsia"/>
          <w:b/>
          <w:spacing w:val="48"/>
          <w:sz w:val="72"/>
          <w:szCs w:val="72"/>
        </w:rPr>
      </w:pPr>
      <w:r>
        <w:rPr>
          <w:rFonts w:hint="eastAsia" w:asciiTheme="majorEastAsia" w:hAnsiTheme="majorEastAsia" w:eastAsiaTheme="majorEastAsia" w:cstheme="majorEastAsia"/>
          <w:b/>
          <w:spacing w:val="48"/>
          <w:sz w:val="72"/>
          <w:szCs w:val="72"/>
        </w:rPr>
        <w:t>公开</w:t>
      </w:r>
    </w:p>
    <w:p w14:paraId="2387964F">
      <w:pPr>
        <w:jc w:val="right"/>
        <w:rPr>
          <w:rFonts w:hint="eastAsia" w:asciiTheme="majorEastAsia" w:hAnsiTheme="majorEastAsia" w:eastAsiaTheme="majorEastAsia" w:cstheme="majorEastAsia"/>
          <w:b/>
          <w:spacing w:val="48"/>
          <w:sz w:val="72"/>
          <w:szCs w:val="72"/>
        </w:rPr>
      </w:pPr>
    </w:p>
    <w:p w14:paraId="6FADAFE9">
      <w:pPr>
        <w:rPr>
          <w:rFonts w:hint="eastAsia" w:ascii="宋体" w:hAnsi="宋体" w:cs="宋体"/>
          <w:b/>
          <w:sz w:val="30"/>
          <w:szCs w:val="30"/>
        </w:rPr>
      </w:pPr>
    </w:p>
    <w:p w14:paraId="671F1D69">
      <w:pPr>
        <w:rPr>
          <w:rFonts w:hint="eastAsia" w:ascii="宋体" w:hAnsi="宋体" w:cs="宋体"/>
          <w:b/>
          <w:sz w:val="30"/>
          <w:szCs w:val="30"/>
        </w:rPr>
      </w:pPr>
    </w:p>
    <w:p w14:paraId="44B33C98">
      <w:pPr>
        <w:rPr>
          <w:rFonts w:ascii="宋体" w:hAnsi="宋体" w:cs="宋体"/>
          <w:b/>
          <w:sz w:val="30"/>
          <w:szCs w:val="30"/>
        </w:rPr>
      </w:pPr>
      <w:r>
        <w:rPr>
          <w:rFonts w:hint="eastAsia" w:ascii="宋体" w:hAnsi="宋体" w:cs="宋体"/>
          <w:b/>
          <w:sz w:val="30"/>
          <w:szCs w:val="30"/>
        </w:rPr>
        <w:t>企</w:t>
      </w:r>
      <w:r>
        <w:rPr>
          <w:rFonts w:ascii="宋体" w:hAnsi="宋体" w:cs="宋体"/>
          <w:b/>
          <w:sz w:val="30"/>
          <w:szCs w:val="30"/>
        </w:rPr>
        <w:t>业名称</w:t>
      </w:r>
      <w:r>
        <w:rPr>
          <w:rFonts w:hint="eastAsia" w:ascii="宋体" w:hAnsi="宋体" w:cs="宋体"/>
          <w:b/>
          <w:sz w:val="30"/>
          <w:szCs w:val="30"/>
        </w:rPr>
        <w:t>：陕西万泽招标有限公司</w:t>
      </w:r>
    </w:p>
    <w:p w14:paraId="4436C00F">
      <w:pPr>
        <w:rPr>
          <w:rFonts w:ascii="宋体" w:hAnsi="宋体" w:cs="宋体"/>
          <w:b/>
          <w:sz w:val="30"/>
          <w:szCs w:val="30"/>
        </w:rPr>
      </w:pPr>
      <w:r>
        <w:rPr>
          <w:rFonts w:hint="eastAsia" w:ascii="宋体" w:hAnsi="宋体" w:cs="宋体"/>
          <w:b/>
          <w:sz w:val="30"/>
          <w:szCs w:val="30"/>
        </w:rPr>
        <w:t>地    址：西安市高新区唐延路35号旺座现代城C座2502室</w:t>
      </w:r>
    </w:p>
    <w:p w14:paraId="39D4782E">
      <w:pPr>
        <w:rPr>
          <w:rFonts w:hint="default" w:ascii="宋体" w:hAnsi="宋体" w:cs="宋体" w:eastAsiaTheme="minorEastAsia"/>
          <w:b/>
          <w:sz w:val="30"/>
          <w:szCs w:val="30"/>
          <w:lang w:val="en-US" w:eastAsia="zh-CN"/>
        </w:rPr>
      </w:pPr>
      <w:r>
        <w:rPr>
          <w:rFonts w:ascii="宋体" w:hAnsi="宋体" w:cs="宋体"/>
          <w:b/>
          <w:sz w:val="30"/>
          <w:szCs w:val="30"/>
        </w:rPr>
        <w:t>邮</w:t>
      </w:r>
      <w:r>
        <w:rPr>
          <w:rFonts w:hint="eastAsia" w:ascii="宋体" w:hAnsi="宋体" w:cs="宋体"/>
          <w:b/>
          <w:sz w:val="30"/>
          <w:szCs w:val="30"/>
        </w:rPr>
        <w:t>政</w:t>
      </w:r>
      <w:r>
        <w:rPr>
          <w:rFonts w:ascii="宋体" w:hAnsi="宋体" w:cs="宋体"/>
          <w:b/>
          <w:sz w:val="30"/>
          <w:szCs w:val="30"/>
        </w:rPr>
        <w:t>编码</w:t>
      </w:r>
      <w:r>
        <w:rPr>
          <w:rFonts w:hint="eastAsia" w:ascii="宋体" w:hAnsi="宋体" w:cs="宋体"/>
          <w:b/>
          <w:sz w:val="30"/>
          <w:szCs w:val="30"/>
        </w:rPr>
        <w:t>：</w:t>
      </w:r>
      <w:r>
        <w:rPr>
          <w:rFonts w:ascii="宋体" w:hAnsi="宋体" w:cs="宋体"/>
          <w:b/>
          <w:sz w:val="30"/>
          <w:szCs w:val="30"/>
        </w:rPr>
        <w:t>7100</w:t>
      </w:r>
      <w:r>
        <w:rPr>
          <w:rFonts w:hint="eastAsia" w:ascii="宋体" w:hAnsi="宋体" w:cs="宋体"/>
          <w:b/>
          <w:sz w:val="30"/>
          <w:szCs w:val="30"/>
          <w:lang w:val="en-US" w:eastAsia="zh-CN"/>
        </w:rPr>
        <w:t>65</w:t>
      </w:r>
    </w:p>
    <w:p w14:paraId="5891C562">
      <w:pPr>
        <w:rPr>
          <w:rFonts w:ascii="宋体" w:hAnsi="宋体" w:cs="宋体"/>
          <w:b/>
          <w:sz w:val="30"/>
          <w:szCs w:val="30"/>
        </w:rPr>
      </w:pPr>
      <w:r>
        <w:rPr>
          <w:rFonts w:ascii="宋体" w:hAnsi="宋体" w:cs="宋体"/>
          <w:b/>
          <w:sz w:val="30"/>
          <w:szCs w:val="30"/>
        </w:rPr>
        <w:t>电    话</w:t>
      </w:r>
      <w:r>
        <w:rPr>
          <w:rFonts w:hint="eastAsia" w:ascii="宋体" w:hAnsi="宋体" w:cs="宋体"/>
          <w:b/>
          <w:sz w:val="30"/>
          <w:szCs w:val="30"/>
        </w:rPr>
        <w:t>：</w:t>
      </w:r>
      <w:r>
        <w:rPr>
          <w:rFonts w:ascii="宋体" w:hAnsi="宋体" w:cs="宋体"/>
          <w:b/>
          <w:sz w:val="30"/>
          <w:szCs w:val="30"/>
        </w:rPr>
        <w:t>029-88319689</w:t>
      </w:r>
    </w:p>
    <w:p w14:paraId="7493F956">
      <w:pPr>
        <w:rPr>
          <w:rFonts w:asciiTheme="minorEastAsia" w:hAnsiTheme="minorEastAsia" w:cstheme="minorEastAsia"/>
        </w:rPr>
      </w:pPr>
      <w:r>
        <w:rPr>
          <w:rFonts w:ascii="宋体" w:hAnsi="宋体" w:cs="宋体"/>
          <w:b/>
          <w:sz w:val="30"/>
          <w:szCs w:val="30"/>
        </w:rPr>
        <w:t xml:space="preserve">传    </w:t>
      </w:r>
      <w:r>
        <w:rPr>
          <w:rFonts w:hint="eastAsia" w:ascii="宋体" w:hAnsi="宋体" w:cs="宋体"/>
          <w:b/>
          <w:sz w:val="30"/>
          <w:szCs w:val="30"/>
        </w:rPr>
        <w:t>真：</w:t>
      </w:r>
      <w:r>
        <w:rPr>
          <w:rFonts w:ascii="宋体" w:hAnsi="宋体" w:cs="宋体"/>
          <w:b/>
          <w:sz w:val="30"/>
          <w:szCs w:val="30"/>
        </w:rPr>
        <w:t>029-88629689</w:t>
      </w:r>
      <w:bookmarkEnd w:id="0"/>
      <w:bookmarkEnd w:id="12"/>
    </w:p>
    <w:sectPr>
      <w:headerReference r:id="rId21" w:type="default"/>
      <w:footerReference r:id="rId22" w:type="default"/>
      <w:pgSz w:w="11906" w:h="16838"/>
      <w:pgMar w:top="1440" w:right="1304" w:bottom="1440" w:left="1304"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GYXIQ+Frutiger-Cn">
    <w:altName w:val="宋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0FB9F">
    <w:pPr>
      <w:pStyle w:val="19"/>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AA9E3D">
                          <w:pPr>
                            <w:pStyle w:val="19"/>
                          </w:pPr>
                          <w:r>
                            <w:rPr>
                              <w:rFonts w:hint="eastAsia"/>
                            </w:rPr>
                            <w:t xml:space="preserve">第 </w:t>
                          </w:r>
                          <w:r>
                            <w:fldChar w:fldCharType="begin"/>
                          </w:r>
                          <w:r>
                            <w:instrText xml:space="preserve"> PAGE  \* MERGEFORMAT </w:instrText>
                          </w:r>
                          <w:r>
                            <w:fldChar w:fldCharType="separate"/>
                          </w:r>
                          <w:r>
                            <w:t>47</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uY4AgAAcA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QM1S5jgCAABwBAAADgAAAAAAAAABACAAAAAfAQAAZHJzL2Uyb0RvYy54&#10;bWxQSwUGAAAAAAYABgBZAQAAyQUAAAAA&#10;">
              <v:fill on="f" focussize="0,0"/>
              <v:stroke on="f" weight="0.5pt"/>
              <v:imagedata o:title=""/>
              <o:lock v:ext="edit" aspectratio="f"/>
              <v:textbox inset="0mm,0mm,0mm,0mm" style="mso-fit-shape-to-text:t;">
                <w:txbxContent>
                  <w:p w14:paraId="11AA9E3D">
                    <w:pPr>
                      <w:pStyle w:val="19"/>
                    </w:pPr>
                    <w:r>
                      <w:rPr>
                        <w:rFonts w:hint="eastAsia"/>
                      </w:rPr>
                      <w:t xml:space="preserve">第 </w:t>
                    </w:r>
                    <w:r>
                      <w:fldChar w:fldCharType="begin"/>
                    </w:r>
                    <w:r>
                      <w:instrText xml:space="preserve"> PAGE  \* MERGEFORMAT </w:instrText>
                    </w:r>
                    <w:r>
                      <w:fldChar w:fldCharType="separate"/>
                    </w:r>
                    <w:r>
                      <w:t>47</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6F34C">
    <w:pPr>
      <w:pStyle w:val="19"/>
      <w:tabs>
        <w:tab w:val="center" w:pos="4150"/>
        <w:tab w:val="right" w:pos="8420"/>
        <w:tab w:val="clear" w:pos="4153"/>
      </w:tabs>
      <w:rPr>
        <w:rFonts w:ascii="宋体" w:hAns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AE44F4">
                          <w:pPr>
                            <w:pStyle w:val="19"/>
                          </w:pPr>
                          <w:r>
                            <w:rPr>
                              <w:rFonts w:hint="eastAsia"/>
                            </w:rPr>
                            <w:t xml:space="preserve">第 </w:t>
                          </w:r>
                          <w:r>
                            <w:fldChar w:fldCharType="begin"/>
                          </w:r>
                          <w:r>
                            <w:instrText xml:space="preserve"> PAGE  \* MERGEFORMAT </w:instrText>
                          </w:r>
                          <w:r>
                            <w:fldChar w:fldCharType="separate"/>
                          </w:r>
                          <w:r>
                            <w:t>85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Y1/Y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BJY1/Y5AgAAcQQAAA4AAAAAAAAAAQAgAAAAHwEAAGRycy9lMm9Eb2Mu&#10;eG1sUEsFBgAAAAAGAAYAWQEAAMoFAAAAAA==&#10;">
              <v:fill on="f" focussize="0,0"/>
              <v:stroke on="f" weight="0.5pt"/>
              <v:imagedata o:title=""/>
              <o:lock v:ext="edit" aspectratio="f"/>
              <v:textbox inset="0mm,0mm,0mm,0mm" style="mso-fit-shape-to-text:t;">
                <w:txbxContent>
                  <w:p w14:paraId="4FAE44F4">
                    <w:pPr>
                      <w:pStyle w:val="19"/>
                    </w:pPr>
                    <w:r>
                      <w:rPr>
                        <w:rFonts w:hint="eastAsia"/>
                      </w:rPr>
                      <w:t xml:space="preserve">第 </w:t>
                    </w:r>
                    <w:r>
                      <w:fldChar w:fldCharType="begin"/>
                    </w:r>
                    <w:r>
                      <w:instrText xml:space="preserve"> PAGE  \* MERGEFORMAT </w:instrText>
                    </w:r>
                    <w:r>
                      <w:fldChar w:fldCharType="separate"/>
                    </w:r>
                    <w:r>
                      <w:t>85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C78F">
    <w:pPr>
      <w:pStyle w:val="1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333B84">
                          <w:pPr>
                            <w:pStyle w:val="19"/>
                          </w:pPr>
                          <w:r>
                            <w:rPr>
                              <w:rFonts w:hint="eastAsia"/>
                            </w:rPr>
                            <w:t xml:space="preserve">第 </w:t>
                          </w:r>
                          <w:r>
                            <w:fldChar w:fldCharType="begin"/>
                          </w:r>
                          <w:r>
                            <w:instrText xml:space="preserve"> PAGE  \* MERGEFORMAT </w:instrText>
                          </w:r>
                          <w:r>
                            <w:fldChar w:fldCharType="separate"/>
                          </w:r>
                          <w:r>
                            <w:t>87</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IyX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WIyX85AgAAcQQAAA4AAAAAAAAAAQAgAAAAHwEAAGRycy9lMm9Eb2Mu&#10;eG1sUEsFBgAAAAAGAAYAWQEAAMoFAAAAAA==&#10;">
              <v:fill on="f" focussize="0,0"/>
              <v:stroke on="f" weight="0.5pt"/>
              <v:imagedata o:title=""/>
              <o:lock v:ext="edit" aspectratio="f"/>
              <v:textbox inset="0mm,0mm,0mm,0mm" style="mso-fit-shape-to-text:t;">
                <w:txbxContent>
                  <w:p w14:paraId="0F333B84">
                    <w:pPr>
                      <w:pStyle w:val="19"/>
                    </w:pPr>
                    <w:r>
                      <w:rPr>
                        <w:rFonts w:hint="eastAsia"/>
                      </w:rPr>
                      <w:t xml:space="preserve">第 </w:t>
                    </w:r>
                    <w:r>
                      <w:fldChar w:fldCharType="begin"/>
                    </w:r>
                    <w:r>
                      <w:instrText xml:space="preserve"> PAGE  \* MERGEFORMAT </w:instrText>
                    </w:r>
                    <w:r>
                      <w:fldChar w:fldCharType="separate"/>
                    </w:r>
                    <w:r>
                      <w:t>87</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CA9A5">
    <w:pPr>
      <w:pStyle w:val="19"/>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E173F">
                          <w:pPr>
                            <w:pStyle w:val="19"/>
                          </w:pPr>
                          <w:r>
                            <w:rPr>
                              <w:rFonts w:hint="eastAsia"/>
                            </w:rPr>
                            <w:t xml:space="preserve">第 </w:t>
                          </w:r>
                          <w:r>
                            <w:fldChar w:fldCharType="begin"/>
                          </w:r>
                          <w:r>
                            <w:instrText xml:space="preserve"> PAGE  \* MERGEFORMAT </w:instrText>
                          </w:r>
                          <w:r>
                            <w:fldChar w:fldCharType="separate"/>
                          </w:r>
                          <w:r>
                            <w:t>89</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E78A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DE78A5AgAAcQQAAA4AAAAAAAAAAQAgAAAAHwEAAGRycy9lMm9Eb2Mu&#10;eG1sUEsFBgAAAAAGAAYAWQEAAMoFAAAAAA==&#10;">
              <v:fill on="f" focussize="0,0"/>
              <v:stroke on="f" weight="0.5pt"/>
              <v:imagedata o:title=""/>
              <o:lock v:ext="edit" aspectratio="f"/>
              <v:textbox inset="0mm,0mm,0mm,0mm" style="mso-fit-shape-to-text:t;">
                <w:txbxContent>
                  <w:p w14:paraId="2AFE173F">
                    <w:pPr>
                      <w:pStyle w:val="19"/>
                    </w:pPr>
                    <w:r>
                      <w:rPr>
                        <w:rFonts w:hint="eastAsia"/>
                      </w:rPr>
                      <w:t xml:space="preserve">第 </w:t>
                    </w:r>
                    <w:r>
                      <w:fldChar w:fldCharType="begin"/>
                    </w:r>
                    <w:r>
                      <w:instrText xml:space="preserve"> PAGE  \* MERGEFORMAT </w:instrText>
                    </w:r>
                    <w:r>
                      <w:fldChar w:fldCharType="separate"/>
                    </w:r>
                    <w:r>
                      <w:t>89</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86EC">
    <w:pPr>
      <w:pStyle w:val="19"/>
      <w:tabs>
        <w:tab w:val="right" w:pos="8426"/>
      </w:tabs>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49331D">
                          <w:pPr>
                            <w:pStyle w:val="19"/>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YbuA4AgAAc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ilhu4DgCAABwBAAADgAAAAAAAAABACAAAAAfAQAAZHJzL2Uyb0RvYy54&#10;bWxQSwUGAAAAAAYABgBZAQAAyQUAAAAA&#10;">
              <v:fill on="f" focussize="0,0"/>
              <v:stroke on="f" weight="0.5pt"/>
              <v:imagedata o:title=""/>
              <o:lock v:ext="edit" aspectratio="f"/>
              <v:textbox inset="0mm,0mm,0mm,0mm" style="mso-fit-shape-to-text:t;">
                <w:txbxContent>
                  <w:p w14:paraId="6849331D">
                    <w:pPr>
                      <w:pStyle w:val="19"/>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AEFFE">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35A17F">
                          <w:pPr>
                            <w:pStyle w:val="19"/>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94vg4AgAAcA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K33i+DgCAABwBAAADgAAAAAAAAABACAAAAAfAQAAZHJzL2Uyb0RvYy54&#10;bWxQSwUGAAAAAAYABgBZAQAAyQUAAAAA&#10;">
              <v:fill on="f" focussize="0,0"/>
              <v:stroke on="f" weight="0.5pt"/>
              <v:imagedata o:title=""/>
              <o:lock v:ext="edit" aspectratio="f"/>
              <v:textbox inset="0mm,0mm,0mm,0mm" style="mso-fit-shape-to-text:t;">
                <w:txbxContent>
                  <w:p w14:paraId="6035A17F">
                    <w:pPr>
                      <w:pStyle w:val="19"/>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4F668">
    <w:pPr>
      <w:pStyle w:val="19"/>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0FFF31">
                          <w:pPr>
                            <w:pStyle w:val="19"/>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cLN5yTgCAABwBAAADgAAAAAAAAABACAAAAAfAQAAZHJzL2Uyb0RvYy54&#10;bWxQSwUGAAAAAAYABgBZAQAAyQUAAAAA&#10;">
              <v:fill on="f" focussize="0,0"/>
              <v:stroke on="f" weight="0.5pt"/>
              <v:imagedata o:title=""/>
              <o:lock v:ext="edit" aspectratio="f"/>
              <v:textbox inset="0mm,0mm,0mm,0mm" style="mso-fit-shape-to-text:t;">
                <w:txbxContent>
                  <w:p w14:paraId="5D0FFF31">
                    <w:pPr>
                      <w:pStyle w:val="19"/>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5888">
    <w:pPr>
      <w:pStyle w:val="1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EB5D0F">
                          <w:pPr>
                            <w:pStyle w:val="19"/>
                          </w:pPr>
                          <w:r>
                            <w:rPr>
                              <w:rFonts w:hint="eastAsia"/>
                            </w:rPr>
                            <w:t xml:space="preserve">第 </w:t>
                          </w:r>
                          <w:r>
                            <w:fldChar w:fldCharType="begin"/>
                          </w:r>
                          <w:r>
                            <w:instrText xml:space="preserve"> PAGE  \* MERGEFORMAT </w:instrText>
                          </w:r>
                          <w:r>
                            <w:fldChar w:fldCharType="separate"/>
                          </w:r>
                          <w:r>
                            <w:t>26</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6C+LzgCAABxBAAADgAAAAAAAAABACAAAAAfAQAAZHJzL2Uyb0RvYy54&#10;bWxQSwUGAAAAAAYABgBZAQAAyQUAAAAA&#10;">
              <v:fill on="f" focussize="0,0"/>
              <v:stroke on="f" weight="0.5pt"/>
              <v:imagedata o:title=""/>
              <o:lock v:ext="edit" aspectratio="f"/>
              <v:textbox inset="0mm,0mm,0mm,0mm" style="mso-fit-shape-to-text:t;">
                <w:txbxContent>
                  <w:p w14:paraId="33EB5D0F">
                    <w:pPr>
                      <w:pStyle w:val="19"/>
                    </w:pPr>
                    <w:r>
                      <w:rPr>
                        <w:rFonts w:hint="eastAsia"/>
                      </w:rPr>
                      <w:t xml:space="preserve">第 </w:t>
                    </w:r>
                    <w:r>
                      <w:fldChar w:fldCharType="begin"/>
                    </w:r>
                    <w:r>
                      <w:instrText xml:space="preserve"> PAGE  \* MERGEFORMAT </w:instrText>
                    </w:r>
                    <w:r>
                      <w:fldChar w:fldCharType="separate"/>
                    </w:r>
                    <w:r>
                      <w:t>26</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67CE5">
    <w:pPr>
      <w:pStyle w:val="19"/>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01B1E4">
                          <w:pPr>
                            <w:pStyle w:val="19"/>
                          </w:pPr>
                          <w:r>
                            <w:rPr>
                              <w:rFonts w:hint="eastAsia"/>
                            </w:rPr>
                            <w:t xml:space="preserve">第 </w:t>
                          </w:r>
                          <w:r>
                            <w:fldChar w:fldCharType="begin"/>
                          </w:r>
                          <w:r>
                            <w:instrText xml:space="preserve"> PAGE  \* MERGEFORMAT </w:instrText>
                          </w:r>
                          <w:r>
                            <w:fldChar w:fldCharType="separate"/>
                          </w:r>
                          <w:r>
                            <w:t>30</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vKTo4AgAAcA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CK8pOjgCAABwBAAADgAAAAAAAAABACAAAAAfAQAAZHJzL2Uyb0RvYy54&#10;bWxQSwUGAAAAAAYABgBZAQAAyQUAAAAA&#10;">
              <v:fill on="f" focussize="0,0"/>
              <v:stroke on="f" weight="0.5pt"/>
              <v:imagedata o:title=""/>
              <o:lock v:ext="edit" aspectratio="f"/>
              <v:textbox inset="0mm,0mm,0mm,0mm" style="mso-fit-shape-to-text:t;">
                <w:txbxContent>
                  <w:p w14:paraId="0601B1E4">
                    <w:pPr>
                      <w:pStyle w:val="19"/>
                    </w:pPr>
                    <w:r>
                      <w:rPr>
                        <w:rFonts w:hint="eastAsia"/>
                      </w:rPr>
                      <w:t xml:space="preserve">第 </w:t>
                    </w:r>
                    <w:r>
                      <w:fldChar w:fldCharType="begin"/>
                    </w:r>
                    <w:r>
                      <w:instrText xml:space="preserve"> PAGE  \* MERGEFORMAT </w:instrText>
                    </w:r>
                    <w:r>
                      <w:fldChar w:fldCharType="separate"/>
                    </w:r>
                    <w:r>
                      <w:t>30</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239D5">
    <w:pPr>
      <w:pStyle w:val="1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4DAA54">
                          <w:pPr>
                            <w:pStyle w:val="19"/>
                          </w:pPr>
                          <w:r>
                            <w:rPr>
                              <w:rFonts w:hint="eastAsia"/>
                            </w:rPr>
                            <w:t xml:space="preserve">第 </w:t>
                          </w:r>
                          <w:r>
                            <w:fldChar w:fldCharType="begin"/>
                          </w:r>
                          <w:r>
                            <w:instrText xml:space="preserve"> PAGE  \* MERGEFORMAT </w:instrText>
                          </w:r>
                          <w:r>
                            <w:fldChar w:fldCharType="separate"/>
                          </w:r>
                          <w:r>
                            <w:t>30</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OCDk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GOCDk5AgAAcQQAAA4AAAAAAAAAAQAgAAAAHwEAAGRycy9lMm9Eb2Mu&#10;eG1sUEsFBgAAAAAGAAYAWQEAAMoFAAAAAA==&#10;">
              <v:fill on="f" focussize="0,0"/>
              <v:stroke on="f" weight="0.5pt"/>
              <v:imagedata o:title=""/>
              <o:lock v:ext="edit" aspectratio="f"/>
              <v:textbox inset="0mm,0mm,0mm,0mm" style="mso-fit-shape-to-text:t;">
                <w:txbxContent>
                  <w:p w14:paraId="344DAA54">
                    <w:pPr>
                      <w:pStyle w:val="19"/>
                    </w:pPr>
                    <w:r>
                      <w:rPr>
                        <w:rFonts w:hint="eastAsia"/>
                      </w:rPr>
                      <w:t xml:space="preserve">第 </w:t>
                    </w:r>
                    <w:r>
                      <w:fldChar w:fldCharType="begin"/>
                    </w:r>
                    <w:r>
                      <w:instrText xml:space="preserve"> PAGE  \* MERGEFORMAT </w:instrText>
                    </w:r>
                    <w:r>
                      <w:fldChar w:fldCharType="separate"/>
                    </w:r>
                    <w:r>
                      <w:t>30</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ED723">
    <w:pPr>
      <w:pStyle w:val="19"/>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097280" cy="1543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97280" cy="154305"/>
                      </a:xfrm>
                      <a:prstGeom prst="rect">
                        <a:avLst/>
                      </a:prstGeom>
                      <a:noFill/>
                      <a:ln w="6350">
                        <a:noFill/>
                      </a:ln>
                      <a:effectLst/>
                    </wps:spPr>
                    <wps:txbx>
                      <w:txbxContent>
                        <w:p w14:paraId="65C191ED">
                          <w:pPr>
                            <w:pStyle w:val="19"/>
                          </w:pPr>
                          <w:r>
                            <w:rPr>
                              <w:rFonts w:hint="eastAsia"/>
                            </w:rPr>
                            <w:t>第</w:t>
                          </w:r>
                          <w:r>
                            <w:fldChar w:fldCharType="begin"/>
                          </w:r>
                          <w:r>
                            <w:instrText xml:space="preserve"> PAGE  \* MERGEFORMAT </w:instrText>
                          </w:r>
                          <w:r>
                            <w:fldChar w:fldCharType="separate"/>
                          </w:r>
                          <w:r>
                            <w:t>69</w:t>
                          </w:r>
                          <w:r>
                            <w:fldChar w:fldCharType="end"/>
                          </w:r>
                          <w:r>
                            <w:rPr>
                              <w:rFonts w:hint="eastAsia"/>
                            </w:rPr>
                            <w:t>页共</w:t>
                          </w:r>
                          <w:r>
                            <w:fldChar w:fldCharType="begin"/>
                          </w:r>
                          <w:r>
                            <w:instrText xml:space="preserve"> NUMPAGES  \* MERGEFORMAT </w:instrText>
                          </w:r>
                          <w:r>
                            <w:fldChar w:fldCharType="separate"/>
                          </w:r>
                          <w:r>
                            <w:t>69</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86.4pt;mso-position-horizontal:center;mso-position-horizontal-relative:margin;mso-wrap-style:none;z-index:251671552;mso-width-relative:page;mso-height-relative:page;" filled="f" stroked="f" coordsize="21600,21600" o:gfxdata="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eEBE9IAAAAEAQAADwAAAAAAAAABACAAAAAiAAAAZHJzL2Rvd25yZXYueG1s&#10;UEsBAhQAFAAAAAgAh07iQBwE6II3AgAAYgQAAA4AAAAAAAAAAQAgAAAAIQEAAGRycy9lMm9Eb2Mu&#10;eG1sUEsFBgAAAAAGAAYAWQEAAMoFAAAAAA==&#10;">
              <v:fill on="f" focussize="0,0"/>
              <v:stroke on="f" weight="0.5pt"/>
              <v:imagedata o:title=""/>
              <o:lock v:ext="edit" aspectratio="f"/>
              <v:textbox inset="0mm,0mm,0mm,0mm" style="mso-fit-shape-to-text:t;">
                <w:txbxContent>
                  <w:p w14:paraId="65C191ED">
                    <w:pPr>
                      <w:pStyle w:val="19"/>
                    </w:pPr>
                    <w:r>
                      <w:rPr>
                        <w:rFonts w:hint="eastAsia"/>
                      </w:rPr>
                      <w:t>第</w:t>
                    </w:r>
                    <w:r>
                      <w:fldChar w:fldCharType="begin"/>
                    </w:r>
                    <w:r>
                      <w:instrText xml:space="preserve"> PAGE  \* MERGEFORMAT </w:instrText>
                    </w:r>
                    <w:r>
                      <w:fldChar w:fldCharType="separate"/>
                    </w:r>
                    <w:r>
                      <w:t>69</w:t>
                    </w:r>
                    <w:r>
                      <w:fldChar w:fldCharType="end"/>
                    </w:r>
                    <w:r>
                      <w:rPr>
                        <w:rFonts w:hint="eastAsia"/>
                      </w:rPr>
                      <w:t>页共</w:t>
                    </w:r>
                    <w:r>
                      <w:fldChar w:fldCharType="begin"/>
                    </w:r>
                    <w:r>
                      <w:instrText xml:space="preserve"> NUMPAGES  \* MERGEFORMAT </w:instrText>
                    </w:r>
                    <w:r>
                      <w:fldChar w:fldCharType="separate"/>
                    </w:r>
                    <w:r>
                      <w:t>69</w:t>
                    </w:r>
                    <w:r>
                      <w:fldChar w:fldCharType="end"/>
                    </w:r>
                    <w:r>
                      <w:rPr>
                        <w:rFonts w:hint="eastAsia"/>
                      </w:rP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60AAD">
    <w:pPr>
      <w:pStyle w:val="19"/>
      <w:tabs>
        <w:tab w:val="center" w:pos="4150"/>
        <w:tab w:val="right" w:pos="8420"/>
        <w:tab w:val="clear" w:pos="4153"/>
      </w:tabs>
      <w:rPr>
        <w:rFonts w:ascii="宋体" w:hAnsi="宋体"/>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78908D">
                          <w:pPr>
                            <w:pStyle w:val="19"/>
                          </w:pPr>
                          <w:r>
                            <w:rPr>
                              <w:rFonts w:hint="eastAsia"/>
                            </w:rPr>
                            <w:t xml:space="preserve">第 </w:t>
                          </w:r>
                          <w:r>
                            <w:fldChar w:fldCharType="begin"/>
                          </w:r>
                          <w:r>
                            <w:instrText xml:space="preserve"> PAGE  \* MERGEFORMAT </w:instrText>
                          </w:r>
                          <w:r>
                            <w:fldChar w:fldCharType="separate"/>
                          </w:r>
                          <w:r>
                            <w:t>85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EK6U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nEK6U5AgAAcQQAAA4AAAAAAAAAAQAgAAAAHwEAAGRycy9lMm9Eb2Mu&#10;eG1sUEsFBgAAAAAGAAYAWQEAAMoFAAAAAA==&#10;">
              <v:fill on="f" focussize="0,0"/>
              <v:stroke on="f" weight="0.5pt"/>
              <v:imagedata o:title=""/>
              <o:lock v:ext="edit" aspectratio="f"/>
              <v:textbox inset="0mm,0mm,0mm,0mm" style="mso-fit-shape-to-text:t;">
                <w:txbxContent>
                  <w:p w14:paraId="2778908D">
                    <w:pPr>
                      <w:pStyle w:val="19"/>
                    </w:pPr>
                    <w:r>
                      <w:rPr>
                        <w:rFonts w:hint="eastAsia"/>
                      </w:rPr>
                      <w:t xml:space="preserve">第 </w:t>
                    </w:r>
                    <w:r>
                      <w:fldChar w:fldCharType="begin"/>
                    </w:r>
                    <w:r>
                      <w:instrText xml:space="preserve"> PAGE  \* MERGEFORMAT </w:instrText>
                    </w:r>
                    <w:r>
                      <w:fldChar w:fldCharType="separate"/>
                    </w:r>
                    <w:r>
                      <w:t>85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9B47D">
    <w:pPr>
      <w:adjustRightInd w:val="0"/>
      <w:snapToGrid w:val="0"/>
      <w:spacing w:line="360" w:lineRule="auto"/>
      <w:ind w:left="7950" w:hanging="7950" w:hangingChars="5300"/>
      <w:jc w:val="left"/>
      <w:rPr>
        <w:rFonts w:ascii="宋体" w:hAnsi="宋体" w:eastAsia="宋体" w:cs="宋体"/>
        <w:sz w:val="18"/>
        <w:szCs w:val="18"/>
        <w:u w:val="single"/>
      </w:rPr>
    </w:pPr>
    <w:r>
      <w:rPr>
        <w:rFonts w:hint="eastAsia" w:ascii="宋体" w:hAnsi="宋体" w:eastAsia="宋体" w:cs="宋体"/>
        <w:sz w:val="15"/>
        <w:szCs w:val="15"/>
        <w:u w:val="single"/>
        <w:lang w:eastAsia="zh-CN"/>
      </w:rPr>
      <w:t>西安市市场监督管理局2025年机电类特种设备安全质量监督抽查项目（二次）</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SXWZ2025ZB-SGLJ-070A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C54DC">
    <w:pPr>
      <w:adjustRightInd w:val="0"/>
      <w:snapToGrid w:val="0"/>
      <w:spacing w:line="360" w:lineRule="auto"/>
      <w:jc w:val="left"/>
      <w:rPr>
        <w:rFonts w:hint="eastAsia" w:eastAsiaTheme="minorEastAsia"/>
        <w:lang w:eastAsia="zh-CN"/>
      </w:rPr>
    </w:pPr>
    <w:r>
      <w:rPr>
        <w:rFonts w:hint="eastAsia" w:ascii="宋体" w:hAnsi="宋体" w:cs="宋体"/>
        <w:sz w:val="15"/>
        <w:szCs w:val="15"/>
        <w:u w:val="single"/>
      </w:rPr>
      <w:t xml:space="preserve">西安市长安区医院 GE MR 1.5T BRIVO MR355、GE CT OPTIMA680保修项目                                                       </w:t>
    </w:r>
    <w:r>
      <w:rPr>
        <w:rFonts w:hint="eastAsia" w:ascii="宋体" w:hAnsi="宋体" w:cs="宋体"/>
        <w:sz w:val="15"/>
        <w:szCs w:val="15"/>
        <w:u w:val="single"/>
        <w:lang w:eastAsia="zh-CN"/>
      </w:rPr>
      <w:t>SXWZ2025ZB-SGLJ-070A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A02DB">
    <w:pPr>
      <w:adjustRightInd w:val="0"/>
      <w:snapToGrid w:val="0"/>
      <w:spacing w:line="360" w:lineRule="auto"/>
      <w:ind w:left="7950" w:hanging="7950" w:hangingChars="5300"/>
      <w:jc w:val="left"/>
    </w:pPr>
    <w:r>
      <w:rPr>
        <w:rFonts w:hint="eastAsia" w:ascii="宋体" w:hAnsi="宋体" w:eastAsia="宋体" w:cs="宋体"/>
        <w:sz w:val="15"/>
        <w:szCs w:val="15"/>
        <w:u w:val="single"/>
        <w:lang w:eastAsia="zh-CN"/>
      </w:rPr>
      <w:t>西安市市场监督管理局2025年机电类特种设备安全质量监督抽查项目（二次）</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SXWZ2025ZB-SGLJ-070A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A2EE0">
    <w:pPr>
      <w:adjustRightInd w:val="0"/>
      <w:snapToGrid w:val="0"/>
      <w:spacing w:line="360" w:lineRule="auto"/>
      <w:ind w:left="7950" w:hanging="7950" w:hangingChars="5300"/>
      <w:jc w:val="left"/>
    </w:pPr>
    <w:r>
      <w:rPr>
        <w:rFonts w:hint="eastAsia" w:ascii="宋体" w:hAnsi="宋体" w:eastAsia="宋体" w:cs="宋体"/>
        <w:sz w:val="15"/>
        <w:szCs w:val="15"/>
        <w:u w:val="single"/>
        <w:lang w:eastAsia="zh-CN"/>
      </w:rPr>
      <w:t>西安市市场监督管理局2025年机电类特种设备安全质量监督抽查项目（二次）</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SXWZ2025ZB-SGLJ-070A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CF142">
    <w:pPr>
      <w:adjustRightInd w:val="0"/>
      <w:snapToGrid w:val="0"/>
      <w:spacing w:line="360" w:lineRule="auto"/>
      <w:ind w:left="7950" w:hanging="7950" w:hangingChars="5300"/>
      <w:jc w:val="left"/>
      <w:rPr>
        <w:sz w:val="18"/>
        <w:szCs w:val="18"/>
      </w:rPr>
    </w:pPr>
    <w:r>
      <w:rPr>
        <w:rFonts w:hint="eastAsia" w:ascii="宋体" w:hAnsi="宋体" w:eastAsia="宋体" w:cs="宋体"/>
        <w:sz w:val="15"/>
        <w:szCs w:val="15"/>
        <w:u w:val="single"/>
        <w:lang w:eastAsia="zh-CN"/>
      </w:rPr>
      <w:t>西安市市场监督管理局2025年机电类特种设备安全质量监督抽查项目（二次）</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SXWZ2025ZB-SGLJ-070A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FDB8B">
    <w:pPr>
      <w:adjustRightInd w:val="0"/>
      <w:snapToGrid w:val="0"/>
      <w:spacing w:line="360" w:lineRule="auto"/>
      <w:ind w:left="7950" w:hanging="7950" w:hangingChars="5300"/>
      <w:jc w:val="left"/>
      <w:rPr>
        <w:sz w:val="18"/>
        <w:szCs w:val="18"/>
      </w:rPr>
    </w:pPr>
    <w:r>
      <w:rPr>
        <w:rFonts w:hint="eastAsia" w:ascii="宋体" w:hAnsi="宋体" w:eastAsia="宋体" w:cs="宋体"/>
        <w:sz w:val="15"/>
        <w:szCs w:val="15"/>
        <w:u w:val="single"/>
        <w:lang w:eastAsia="zh-CN"/>
      </w:rPr>
      <w:t>西安市市场监督管理局2025年机电类特种设备安全质量监督抽查项目（二次）</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SXWZ2025ZB-SGLJ-070A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D06D">
    <w:pPr>
      <w:pStyle w:val="20"/>
      <w:jc w:val="left"/>
    </w:pPr>
    <w:r>
      <w:rPr>
        <w:rFonts w:hint="eastAsia"/>
        <w:lang w:eastAsia="zh-CN"/>
      </w:rPr>
      <w:t>西安市市场监督管理局2025年机电类特种设备安全质量监督抽查项目（二次）</w:t>
    </w:r>
    <w:r>
      <w:rPr>
        <w:rFonts w:hint="eastAsia"/>
        <w:lang w:val="en-US" w:eastAsia="zh-CN"/>
      </w:rPr>
      <w:t xml:space="preserve">   </w:t>
    </w:r>
    <w:r>
      <w:rPr>
        <w:rFonts w:hint="eastAsia"/>
        <w:lang w:eastAsia="zh-CN"/>
      </w:rPr>
      <w:t>SXWZ2025ZB-SGLJ-070A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24EC">
    <w:pPr>
      <w:adjustRightInd w:val="0"/>
      <w:snapToGrid w:val="0"/>
      <w:spacing w:line="360" w:lineRule="auto"/>
      <w:jc w:val="left"/>
    </w:pPr>
    <w:r>
      <w:rPr>
        <w:rFonts w:hint="eastAsia" w:ascii="宋体" w:hAnsi="宋体" w:eastAsia="宋体" w:cs="宋体"/>
        <w:sz w:val="15"/>
        <w:szCs w:val="15"/>
        <w:u w:val="single"/>
        <w:lang w:eastAsia="zh-CN"/>
      </w:rPr>
      <w:t>西安市市场监督管理局2025年机电类特种设备安全质量监督抽查项目（二次）</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SXWZ2025ZB-SGLJ-070A</w:t>
    </w:r>
    <w:r>
      <w:rPr>
        <w:rFonts w:hint="eastAsia" w:ascii="宋体" w:hAnsi="宋体" w:eastAsia="宋体" w:cs="宋体"/>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76889"/>
    <w:multiLevelType w:val="singleLevel"/>
    <w:tmpl w:val="CAD76889"/>
    <w:lvl w:ilvl="0" w:tentative="0">
      <w:start w:val="8"/>
      <w:numFmt w:val="chineseCounting"/>
      <w:suff w:val="nothing"/>
      <w:lvlText w:val="%1、"/>
      <w:lvlJc w:val="left"/>
      <w:rPr>
        <w:rFonts w:hint="eastAsia"/>
      </w:rPr>
    </w:lvl>
  </w:abstractNum>
  <w:abstractNum w:abstractNumId="1">
    <w:nsid w:val="FA4963AC"/>
    <w:multiLevelType w:val="multilevel"/>
    <w:tmpl w:val="FA4963A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FE9CFE8A"/>
    <w:multiLevelType w:val="multilevel"/>
    <w:tmpl w:val="FE9CFE8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0000000D"/>
    <w:multiLevelType w:val="singleLevel"/>
    <w:tmpl w:val="0000000D"/>
    <w:lvl w:ilvl="0" w:tentative="0">
      <w:start w:val="1"/>
      <w:numFmt w:val="decimal"/>
      <w:suff w:val="nothing"/>
      <w:lvlText w:val="（%1）"/>
      <w:lvlJc w:val="left"/>
    </w:lvl>
  </w:abstractNum>
  <w:abstractNum w:abstractNumId="4">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5">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6">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7">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8">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9">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10">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1">
    <w:nsid w:val="58BFC3B3"/>
    <w:multiLevelType w:val="singleLevel"/>
    <w:tmpl w:val="58BFC3B3"/>
    <w:lvl w:ilvl="0" w:tentative="0">
      <w:start w:val="1"/>
      <w:numFmt w:val="decimal"/>
      <w:suff w:val="nothing"/>
      <w:lvlText w:val="（%1）"/>
      <w:lvlJc w:val="left"/>
      <w:pPr>
        <w:ind w:left="0" w:firstLine="420"/>
      </w:pPr>
      <w:rPr>
        <w:rFonts w:hint="default"/>
      </w:rPr>
    </w:lvl>
  </w:abstractNum>
  <w:abstractNum w:abstractNumId="12">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13">
    <w:nsid w:val="58E5BCCB"/>
    <w:multiLevelType w:val="singleLevel"/>
    <w:tmpl w:val="58E5BCCB"/>
    <w:lvl w:ilvl="0" w:tentative="0">
      <w:start w:val="1"/>
      <w:numFmt w:val="decimal"/>
      <w:suff w:val="nothing"/>
      <w:lvlText w:val="（%1）"/>
      <w:lvlJc w:val="left"/>
      <w:pPr>
        <w:ind w:left="0" w:firstLine="420"/>
      </w:pPr>
      <w:rPr>
        <w:rFonts w:hint="default"/>
      </w:rPr>
    </w:lvl>
  </w:abstractNum>
  <w:abstractNum w:abstractNumId="14">
    <w:nsid w:val="58E5C1FF"/>
    <w:multiLevelType w:val="singleLevel"/>
    <w:tmpl w:val="58E5C1FF"/>
    <w:lvl w:ilvl="0" w:tentative="0">
      <w:start w:val="1"/>
      <w:numFmt w:val="decimal"/>
      <w:suff w:val="nothing"/>
      <w:lvlText w:val="（%1）"/>
      <w:lvlJc w:val="left"/>
      <w:pPr>
        <w:ind w:left="0" w:firstLine="420"/>
      </w:pPr>
      <w:rPr>
        <w:rFonts w:hint="default"/>
      </w:rPr>
    </w:lvl>
  </w:abstractNum>
  <w:abstractNum w:abstractNumId="15">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16">
    <w:nsid w:val="5902B6A7"/>
    <w:multiLevelType w:val="singleLevel"/>
    <w:tmpl w:val="5902B6A7"/>
    <w:lvl w:ilvl="0" w:tentative="0">
      <w:start w:val="1"/>
      <w:numFmt w:val="decimal"/>
      <w:pStyle w:val="9"/>
      <w:lvlText w:val="%1."/>
      <w:lvlJc w:val="left"/>
      <w:pPr>
        <w:tabs>
          <w:tab w:val="left" w:pos="360"/>
        </w:tabs>
        <w:ind w:left="360" w:hanging="360"/>
      </w:pPr>
    </w:lvl>
  </w:abstractNum>
  <w:abstractNum w:abstractNumId="17">
    <w:nsid w:val="5A9C9D9A"/>
    <w:multiLevelType w:val="singleLevel"/>
    <w:tmpl w:val="5A9C9D9A"/>
    <w:lvl w:ilvl="0" w:tentative="0">
      <w:start w:val="2"/>
      <w:numFmt w:val="chineseCounting"/>
      <w:suff w:val="nothing"/>
      <w:lvlText w:val="%1、"/>
      <w:lvlJc w:val="left"/>
    </w:lvl>
  </w:abstractNum>
  <w:num w:numId="1">
    <w:abstractNumId w:val="16"/>
  </w:num>
  <w:num w:numId="2">
    <w:abstractNumId w:val="6"/>
  </w:num>
  <w:num w:numId="3">
    <w:abstractNumId w:val="2"/>
  </w:num>
  <w:num w:numId="4">
    <w:abstractNumId w:val="5"/>
  </w:num>
  <w:num w:numId="5">
    <w:abstractNumId w:val="10"/>
  </w:num>
  <w:num w:numId="6">
    <w:abstractNumId w:val="12"/>
  </w:num>
  <w:num w:numId="7">
    <w:abstractNumId w:val="7"/>
  </w:num>
  <w:num w:numId="8">
    <w:abstractNumId w:val="11"/>
  </w:num>
  <w:num w:numId="9">
    <w:abstractNumId w:val="13"/>
  </w:num>
  <w:num w:numId="10">
    <w:abstractNumId w:val="8"/>
  </w:num>
  <w:num w:numId="11">
    <w:abstractNumId w:val="9"/>
  </w:num>
  <w:num w:numId="12">
    <w:abstractNumId w:val="1"/>
  </w:num>
  <w:num w:numId="13">
    <w:abstractNumId w:val="14"/>
  </w:num>
  <w:num w:numId="14">
    <w:abstractNumId w:val="15"/>
  </w:num>
  <w:num w:numId="15">
    <w:abstractNumId w:val="0"/>
  </w:num>
  <w:num w:numId="16">
    <w:abstractNumId w:val="4"/>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6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ODIyMDcyM2Y0Y2MwYzc5M2I4ZGNhZGEzMmNkZDUifQ=="/>
  </w:docVars>
  <w:rsids>
    <w:rsidRoot w:val="2627224F"/>
    <w:rsid w:val="000026EA"/>
    <w:rsid w:val="000B3DD4"/>
    <w:rsid w:val="000C0356"/>
    <w:rsid w:val="000C0895"/>
    <w:rsid w:val="000C23E8"/>
    <w:rsid w:val="000C673D"/>
    <w:rsid w:val="000F628F"/>
    <w:rsid w:val="000F7A72"/>
    <w:rsid w:val="0011607E"/>
    <w:rsid w:val="0012121E"/>
    <w:rsid w:val="001249AB"/>
    <w:rsid w:val="001563E1"/>
    <w:rsid w:val="0016416B"/>
    <w:rsid w:val="00165711"/>
    <w:rsid w:val="0016737F"/>
    <w:rsid w:val="00167A28"/>
    <w:rsid w:val="00171FE9"/>
    <w:rsid w:val="001A439C"/>
    <w:rsid w:val="001B3A0C"/>
    <w:rsid w:val="001D76B9"/>
    <w:rsid w:val="001E1F71"/>
    <w:rsid w:val="001E7E49"/>
    <w:rsid w:val="00205EEF"/>
    <w:rsid w:val="0025657F"/>
    <w:rsid w:val="002647A7"/>
    <w:rsid w:val="00264F9A"/>
    <w:rsid w:val="00295F6C"/>
    <w:rsid w:val="002A0C6D"/>
    <w:rsid w:val="002A2D06"/>
    <w:rsid w:val="002B1E22"/>
    <w:rsid w:val="002C54CF"/>
    <w:rsid w:val="002C6AB6"/>
    <w:rsid w:val="002D5DC2"/>
    <w:rsid w:val="002D7A6D"/>
    <w:rsid w:val="002E07BF"/>
    <w:rsid w:val="002F6F54"/>
    <w:rsid w:val="002F6FCA"/>
    <w:rsid w:val="00314A57"/>
    <w:rsid w:val="00337601"/>
    <w:rsid w:val="00360C09"/>
    <w:rsid w:val="003A3201"/>
    <w:rsid w:val="003B32B0"/>
    <w:rsid w:val="003C2DEE"/>
    <w:rsid w:val="003C67F2"/>
    <w:rsid w:val="003D37C1"/>
    <w:rsid w:val="003E1DDF"/>
    <w:rsid w:val="003E65D8"/>
    <w:rsid w:val="003E7B81"/>
    <w:rsid w:val="003F04B9"/>
    <w:rsid w:val="003F3D18"/>
    <w:rsid w:val="003F5518"/>
    <w:rsid w:val="003F64A7"/>
    <w:rsid w:val="004057C8"/>
    <w:rsid w:val="004456E2"/>
    <w:rsid w:val="00474ABD"/>
    <w:rsid w:val="00482B14"/>
    <w:rsid w:val="004C0B0D"/>
    <w:rsid w:val="004C2AF8"/>
    <w:rsid w:val="004D086B"/>
    <w:rsid w:val="004D70C5"/>
    <w:rsid w:val="004E4CF5"/>
    <w:rsid w:val="0050491F"/>
    <w:rsid w:val="00520C66"/>
    <w:rsid w:val="005217F8"/>
    <w:rsid w:val="00522064"/>
    <w:rsid w:val="00530399"/>
    <w:rsid w:val="00536870"/>
    <w:rsid w:val="005439A7"/>
    <w:rsid w:val="00565DF4"/>
    <w:rsid w:val="00571D17"/>
    <w:rsid w:val="00576A5F"/>
    <w:rsid w:val="005914C3"/>
    <w:rsid w:val="005B3960"/>
    <w:rsid w:val="005D7A12"/>
    <w:rsid w:val="00613B65"/>
    <w:rsid w:val="00617F3F"/>
    <w:rsid w:val="006657C9"/>
    <w:rsid w:val="0069223C"/>
    <w:rsid w:val="00696FBA"/>
    <w:rsid w:val="006A22B8"/>
    <w:rsid w:val="006B0FA3"/>
    <w:rsid w:val="006D12FD"/>
    <w:rsid w:val="006E169C"/>
    <w:rsid w:val="006E46DF"/>
    <w:rsid w:val="006F1FD6"/>
    <w:rsid w:val="00707832"/>
    <w:rsid w:val="00712EC1"/>
    <w:rsid w:val="00715940"/>
    <w:rsid w:val="00736BCC"/>
    <w:rsid w:val="0074281E"/>
    <w:rsid w:val="007447C1"/>
    <w:rsid w:val="00770871"/>
    <w:rsid w:val="0077254B"/>
    <w:rsid w:val="00792269"/>
    <w:rsid w:val="00792491"/>
    <w:rsid w:val="007A1277"/>
    <w:rsid w:val="007A3406"/>
    <w:rsid w:val="007A4E4B"/>
    <w:rsid w:val="007A5023"/>
    <w:rsid w:val="007A6C1E"/>
    <w:rsid w:val="007C4A71"/>
    <w:rsid w:val="007D1286"/>
    <w:rsid w:val="007D15F9"/>
    <w:rsid w:val="007E29BC"/>
    <w:rsid w:val="00811783"/>
    <w:rsid w:val="008234E9"/>
    <w:rsid w:val="008259FA"/>
    <w:rsid w:val="008656FD"/>
    <w:rsid w:val="00875FAC"/>
    <w:rsid w:val="008866C0"/>
    <w:rsid w:val="00895737"/>
    <w:rsid w:val="008962A7"/>
    <w:rsid w:val="008A112A"/>
    <w:rsid w:val="008A367A"/>
    <w:rsid w:val="008D7D4E"/>
    <w:rsid w:val="008E7C81"/>
    <w:rsid w:val="008F6EFE"/>
    <w:rsid w:val="00902C2A"/>
    <w:rsid w:val="00903E65"/>
    <w:rsid w:val="0091020D"/>
    <w:rsid w:val="00954CF1"/>
    <w:rsid w:val="009754C8"/>
    <w:rsid w:val="009E354A"/>
    <w:rsid w:val="009E3BD2"/>
    <w:rsid w:val="009E7878"/>
    <w:rsid w:val="009F29DA"/>
    <w:rsid w:val="00A00C3E"/>
    <w:rsid w:val="00A02D64"/>
    <w:rsid w:val="00A248F4"/>
    <w:rsid w:val="00A3510C"/>
    <w:rsid w:val="00A50E8F"/>
    <w:rsid w:val="00A51FDF"/>
    <w:rsid w:val="00A55ABC"/>
    <w:rsid w:val="00A62024"/>
    <w:rsid w:val="00A63494"/>
    <w:rsid w:val="00A65890"/>
    <w:rsid w:val="00A8343C"/>
    <w:rsid w:val="00A91A0D"/>
    <w:rsid w:val="00A921BA"/>
    <w:rsid w:val="00AB0730"/>
    <w:rsid w:val="00AB0C4F"/>
    <w:rsid w:val="00AC7625"/>
    <w:rsid w:val="00AD590B"/>
    <w:rsid w:val="00AE4684"/>
    <w:rsid w:val="00AF40F8"/>
    <w:rsid w:val="00B03686"/>
    <w:rsid w:val="00B176CA"/>
    <w:rsid w:val="00B27ACE"/>
    <w:rsid w:val="00B32079"/>
    <w:rsid w:val="00B3227C"/>
    <w:rsid w:val="00B73E01"/>
    <w:rsid w:val="00B76303"/>
    <w:rsid w:val="00B76DB3"/>
    <w:rsid w:val="00B76DD8"/>
    <w:rsid w:val="00B8690D"/>
    <w:rsid w:val="00BC1AB3"/>
    <w:rsid w:val="00BC1B63"/>
    <w:rsid w:val="00BC3A2D"/>
    <w:rsid w:val="00BD2757"/>
    <w:rsid w:val="00BD2877"/>
    <w:rsid w:val="00BD4D2B"/>
    <w:rsid w:val="00BD7D7A"/>
    <w:rsid w:val="00BD7E58"/>
    <w:rsid w:val="00BE77C0"/>
    <w:rsid w:val="00C12CCF"/>
    <w:rsid w:val="00C41E46"/>
    <w:rsid w:val="00C91C98"/>
    <w:rsid w:val="00CB13A4"/>
    <w:rsid w:val="00CC7FC8"/>
    <w:rsid w:val="00CE11E8"/>
    <w:rsid w:val="00CE65B1"/>
    <w:rsid w:val="00CF60E5"/>
    <w:rsid w:val="00D01247"/>
    <w:rsid w:val="00D070EB"/>
    <w:rsid w:val="00D257E8"/>
    <w:rsid w:val="00D46072"/>
    <w:rsid w:val="00D574E4"/>
    <w:rsid w:val="00D576EF"/>
    <w:rsid w:val="00DA4229"/>
    <w:rsid w:val="00DA68F2"/>
    <w:rsid w:val="00DC1986"/>
    <w:rsid w:val="00DC7FB0"/>
    <w:rsid w:val="00DE51F9"/>
    <w:rsid w:val="00DE76A5"/>
    <w:rsid w:val="00E04145"/>
    <w:rsid w:val="00E13657"/>
    <w:rsid w:val="00E20E24"/>
    <w:rsid w:val="00E2372B"/>
    <w:rsid w:val="00E24AFE"/>
    <w:rsid w:val="00E31486"/>
    <w:rsid w:val="00E60AAE"/>
    <w:rsid w:val="00E65904"/>
    <w:rsid w:val="00E8168F"/>
    <w:rsid w:val="00E9724B"/>
    <w:rsid w:val="00EA1ECE"/>
    <w:rsid w:val="00EA24E7"/>
    <w:rsid w:val="00EC6E7A"/>
    <w:rsid w:val="00EE3BBD"/>
    <w:rsid w:val="00F15049"/>
    <w:rsid w:val="00F20B01"/>
    <w:rsid w:val="00F234ED"/>
    <w:rsid w:val="00F47500"/>
    <w:rsid w:val="00F569A7"/>
    <w:rsid w:val="00F66005"/>
    <w:rsid w:val="00F75245"/>
    <w:rsid w:val="00F839A7"/>
    <w:rsid w:val="00F94DCB"/>
    <w:rsid w:val="00FD12F0"/>
    <w:rsid w:val="00FD4469"/>
    <w:rsid w:val="00FE167F"/>
    <w:rsid w:val="00FE5F46"/>
    <w:rsid w:val="010C1913"/>
    <w:rsid w:val="012B7E09"/>
    <w:rsid w:val="0131560C"/>
    <w:rsid w:val="0135457C"/>
    <w:rsid w:val="013A223F"/>
    <w:rsid w:val="0147153B"/>
    <w:rsid w:val="015B6AE9"/>
    <w:rsid w:val="01711768"/>
    <w:rsid w:val="01746552"/>
    <w:rsid w:val="01802C9E"/>
    <w:rsid w:val="01920D21"/>
    <w:rsid w:val="01A7022B"/>
    <w:rsid w:val="01B3097E"/>
    <w:rsid w:val="01D424A6"/>
    <w:rsid w:val="01F462C4"/>
    <w:rsid w:val="01F57ACD"/>
    <w:rsid w:val="01F90F7C"/>
    <w:rsid w:val="02064B47"/>
    <w:rsid w:val="020A1730"/>
    <w:rsid w:val="02132B87"/>
    <w:rsid w:val="021A27AB"/>
    <w:rsid w:val="021D448D"/>
    <w:rsid w:val="021D6BD4"/>
    <w:rsid w:val="024B32D4"/>
    <w:rsid w:val="024C65F5"/>
    <w:rsid w:val="02572E23"/>
    <w:rsid w:val="025D32D6"/>
    <w:rsid w:val="026B0E1D"/>
    <w:rsid w:val="02701597"/>
    <w:rsid w:val="0277484A"/>
    <w:rsid w:val="027814F3"/>
    <w:rsid w:val="02832C13"/>
    <w:rsid w:val="02854F8C"/>
    <w:rsid w:val="02874CA0"/>
    <w:rsid w:val="02C33472"/>
    <w:rsid w:val="02D26084"/>
    <w:rsid w:val="02DB4DF7"/>
    <w:rsid w:val="02E713EA"/>
    <w:rsid w:val="02F65097"/>
    <w:rsid w:val="02F8646C"/>
    <w:rsid w:val="02FC079D"/>
    <w:rsid w:val="030A0C9E"/>
    <w:rsid w:val="030A706D"/>
    <w:rsid w:val="030C435C"/>
    <w:rsid w:val="031B5574"/>
    <w:rsid w:val="03205381"/>
    <w:rsid w:val="0324120A"/>
    <w:rsid w:val="032F6CFC"/>
    <w:rsid w:val="033B4F54"/>
    <w:rsid w:val="03401113"/>
    <w:rsid w:val="03403CC4"/>
    <w:rsid w:val="034900A4"/>
    <w:rsid w:val="035241C7"/>
    <w:rsid w:val="03551F50"/>
    <w:rsid w:val="035C69EB"/>
    <w:rsid w:val="035D1454"/>
    <w:rsid w:val="036F1D46"/>
    <w:rsid w:val="038037F7"/>
    <w:rsid w:val="03941E62"/>
    <w:rsid w:val="039C5442"/>
    <w:rsid w:val="03AB66F3"/>
    <w:rsid w:val="03B51025"/>
    <w:rsid w:val="03BE0C31"/>
    <w:rsid w:val="03C25B44"/>
    <w:rsid w:val="03D44EE3"/>
    <w:rsid w:val="03D6575A"/>
    <w:rsid w:val="03E85489"/>
    <w:rsid w:val="03F27BE8"/>
    <w:rsid w:val="041378F5"/>
    <w:rsid w:val="041E690A"/>
    <w:rsid w:val="04207E21"/>
    <w:rsid w:val="04390EE3"/>
    <w:rsid w:val="04455AD9"/>
    <w:rsid w:val="046267BD"/>
    <w:rsid w:val="04777A48"/>
    <w:rsid w:val="04887663"/>
    <w:rsid w:val="04964F06"/>
    <w:rsid w:val="04B30C95"/>
    <w:rsid w:val="04C74740"/>
    <w:rsid w:val="04CB09D5"/>
    <w:rsid w:val="04ED23F9"/>
    <w:rsid w:val="05402991"/>
    <w:rsid w:val="054575F8"/>
    <w:rsid w:val="054A0F95"/>
    <w:rsid w:val="054E1CE0"/>
    <w:rsid w:val="05725950"/>
    <w:rsid w:val="057A7F6E"/>
    <w:rsid w:val="05876B35"/>
    <w:rsid w:val="059211F2"/>
    <w:rsid w:val="05AB717D"/>
    <w:rsid w:val="05AD42ED"/>
    <w:rsid w:val="05BA2969"/>
    <w:rsid w:val="05BE2F0D"/>
    <w:rsid w:val="05C515A4"/>
    <w:rsid w:val="05D62AE5"/>
    <w:rsid w:val="05E22872"/>
    <w:rsid w:val="05FC494C"/>
    <w:rsid w:val="060454DB"/>
    <w:rsid w:val="063858F6"/>
    <w:rsid w:val="06561F23"/>
    <w:rsid w:val="066D1D57"/>
    <w:rsid w:val="069C665E"/>
    <w:rsid w:val="06BE30D0"/>
    <w:rsid w:val="06EF35C6"/>
    <w:rsid w:val="07043A2A"/>
    <w:rsid w:val="07091C9D"/>
    <w:rsid w:val="0744651C"/>
    <w:rsid w:val="076A0618"/>
    <w:rsid w:val="0770705C"/>
    <w:rsid w:val="079428F4"/>
    <w:rsid w:val="079539D2"/>
    <w:rsid w:val="079C7ECA"/>
    <w:rsid w:val="079D0BE2"/>
    <w:rsid w:val="07C51D41"/>
    <w:rsid w:val="07C7559B"/>
    <w:rsid w:val="07F02678"/>
    <w:rsid w:val="08162CBC"/>
    <w:rsid w:val="08186ED9"/>
    <w:rsid w:val="08290F6A"/>
    <w:rsid w:val="084407B0"/>
    <w:rsid w:val="08554235"/>
    <w:rsid w:val="085B6064"/>
    <w:rsid w:val="08667849"/>
    <w:rsid w:val="08A62C24"/>
    <w:rsid w:val="08A64936"/>
    <w:rsid w:val="08AA4C4F"/>
    <w:rsid w:val="08B1198F"/>
    <w:rsid w:val="08B432AC"/>
    <w:rsid w:val="08B80F70"/>
    <w:rsid w:val="08F66DC1"/>
    <w:rsid w:val="090A42F6"/>
    <w:rsid w:val="091E7FD5"/>
    <w:rsid w:val="091F7003"/>
    <w:rsid w:val="09286A8B"/>
    <w:rsid w:val="0929501C"/>
    <w:rsid w:val="092C43E3"/>
    <w:rsid w:val="093B4817"/>
    <w:rsid w:val="09407FA2"/>
    <w:rsid w:val="09494229"/>
    <w:rsid w:val="0950470A"/>
    <w:rsid w:val="09762AEE"/>
    <w:rsid w:val="097B02EA"/>
    <w:rsid w:val="09BF7F75"/>
    <w:rsid w:val="09E16598"/>
    <w:rsid w:val="09E35A8F"/>
    <w:rsid w:val="09EA213D"/>
    <w:rsid w:val="0A057883"/>
    <w:rsid w:val="0A08744C"/>
    <w:rsid w:val="0A0976BB"/>
    <w:rsid w:val="0A1845A6"/>
    <w:rsid w:val="0A3E3F88"/>
    <w:rsid w:val="0A503A39"/>
    <w:rsid w:val="0A672A35"/>
    <w:rsid w:val="0A7A2C8F"/>
    <w:rsid w:val="0A9A20BB"/>
    <w:rsid w:val="0AC736EC"/>
    <w:rsid w:val="0AC83335"/>
    <w:rsid w:val="0AE70327"/>
    <w:rsid w:val="0AED49F2"/>
    <w:rsid w:val="0AF7097C"/>
    <w:rsid w:val="0B0267FA"/>
    <w:rsid w:val="0B166CF5"/>
    <w:rsid w:val="0B167DBC"/>
    <w:rsid w:val="0B1F3949"/>
    <w:rsid w:val="0B25432A"/>
    <w:rsid w:val="0B460AB5"/>
    <w:rsid w:val="0B5D1A85"/>
    <w:rsid w:val="0B640F3B"/>
    <w:rsid w:val="0B666DB6"/>
    <w:rsid w:val="0B986F9F"/>
    <w:rsid w:val="0BCA0BB7"/>
    <w:rsid w:val="0BE92434"/>
    <w:rsid w:val="0C010536"/>
    <w:rsid w:val="0C0A6830"/>
    <w:rsid w:val="0C132F84"/>
    <w:rsid w:val="0C430B50"/>
    <w:rsid w:val="0C484020"/>
    <w:rsid w:val="0C4B1E57"/>
    <w:rsid w:val="0C581602"/>
    <w:rsid w:val="0C7D0ABD"/>
    <w:rsid w:val="0C7F3BFC"/>
    <w:rsid w:val="0C876847"/>
    <w:rsid w:val="0C8F6E94"/>
    <w:rsid w:val="0CA16A1C"/>
    <w:rsid w:val="0CB3217A"/>
    <w:rsid w:val="0CB6728F"/>
    <w:rsid w:val="0CD53839"/>
    <w:rsid w:val="0CDF45C6"/>
    <w:rsid w:val="0CF14B0E"/>
    <w:rsid w:val="0CFD25BD"/>
    <w:rsid w:val="0D0522AA"/>
    <w:rsid w:val="0D166EA2"/>
    <w:rsid w:val="0D1D4826"/>
    <w:rsid w:val="0D3A39B1"/>
    <w:rsid w:val="0D3E5A0E"/>
    <w:rsid w:val="0D46489F"/>
    <w:rsid w:val="0D4A02A6"/>
    <w:rsid w:val="0D6D4DC3"/>
    <w:rsid w:val="0D8D32AC"/>
    <w:rsid w:val="0D933F5C"/>
    <w:rsid w:val="0D9543FB"/>
    <w:rsid w:val="0DAB1B73"/>
    <w:rsid w:val="0DC343D2"/>
    <w:rsid w:val="0DCB645D"/>
    <w:rsid w:val="0E024AB5"/>
    <w:rsid w:val="0E063787"/>
    <w:rsid w:val="0E090A68"/>
    <w:rsid w:val="0E0C42FA"/>
    <w:rsid w:val="0E833DCE"/>
    <w:rsid w:val="0E8B4F0A"/>
    <w:rsid w:val="0EA74B5C"/>
    <w:rsid w:val="0EAA730F"/>
    <w:rsid w:val="0EAB2494"/>
    <w:rsid w:val="0ECA1E1A"/>
    <w:rsid w:val="0ECD6DF7"/>
    <w:rsid w:val="0EE70869"/>
    <w:rsid w:val="0EF55F6C"/>
    <w:rsid w:val="0F026AA1"/>
    <w:rsid w:val="0F0A1DF9"/>
    <w:rsid w:val="0F0F771E"/>
    <w:rsid w:val="0F134293"/>
    <w:rsid w:val="0F2C766A"/>
    <w:rsid w:val="0F38239C"/>
    <w:rsid w:val="0F3F2330"/>
    <w:rsid w:val="0F5277AF"/>
    <w:rsid w:val="0F5F0920"/>
    <w:rsid w:val="0F65017C"/>
    <w:rsid w:val="0F862A78"/>
    <w:rsid w:val="0FA229C4"/>
    <w:rsid w:val="0FB963AC"/>
    <w:rsid w:val="0FBC7598"/>
    <w:rsid w:val="0FC00610"/>
    <w:rsid w:val="0FC0631E"/>
    <w:rsid w:val="0FCB3337"/>
    <w:rsid w:val="0FCD563C"/>
    <w:rsid w:val="1008428F"/>
    <w:rsid w:val="100C00DC"/>
    <w:rsid w:val="10216824"/>
    <w:rsid w:val="103C5FE2"/>
    <w:rsid w:val="1041305A"/>
    <w:rsid w:val="104269FB"/>
    <w:rsid w:val="104B4EC7"/>
    <w:rsid w:val="106E4FA7"/>
    <w:rsid w:val="10702699"/>
    <w:rsid w:val="108D1265"/>
    <w:rsid w:val="108E6DDE"/>
    <w:rsid w:val="10A25F5C"/>
    <w:rsid w:val="10A5627E"/>
    <w:rsid w:val="10B85B7F"/>
    <w:rsid w:val="10C92951"/>
    <w:rsid w:val="10D20FA3"/>
    <w:rsid w:val="10D44F6A"/>
    <w:rsid w:val="10DF2AE5"/>
    <w:rsid w:val="11020FDA"/>
    <w:rsid w:val="11061223"/>
    <w:rsid w:val="110A191D"/>
    <w:rsid w:val="110A5ACA"/>
    <w:rsid w:val="110C1E59"/>
    <w:rsid w:val="110D7A66"/>
    <w:rsid w:val="112F26C0"/>
    <w:rsid w:val="11382C4E"/>
    <w:rsid w:val="113B0990"/>
    <w:rsid w:val="114215F5"/>
    <w:rsid w:val="114542EA"/>
    <w:rsid w:val="1149117E"/>
    <w:rsid w:val="114D677E"/>
    <w:rsid w:val="11541D52"/>
    <w:rsid w:val="118C1337"/>
    <w:rsid w:val="11A25028"/>
    <w:rsid w:val="11AF7799"/>
    <w:rsid w:val="11B361D3"/>
    <w:rsid w:val="11B37C5F"/>
    <w:rsid w:val="11BE691E"/>
    <w:rsid w:val="11E70C0A"/>
    <w:rsid w:val="11F80A88"/>
    <w:rsid w:val="12122C9D"/>
    <w:rsid w:val="121A5D1F"/>
    <w:rsid w:val="122C01F1"/>
    <w:rsid w:val="123770AC"/>
    <w:rsid w:val="12415950"/>
    <w:rsid w:val="124E2945"/>
    <w:rsid w:val="12570129"/>
    <w:rsid w:val="12614426"/>
    <w:rsid w:val="126260E1"/>
    <w:rsid w:val="126E66D8"/>
    <w:rsid w:val="127001C5"/>
    <w:rsid w:val="12766F68"/>
    <w:rsid w:val="12784E55"/>
    <w:rsid w:val="128112F2"/>
    <w:rsid w:val="128327DE"/>
    <w:rsid w:val="128A78E8"/>
    <w:rsid w:val="128C33F4"/>
    <w:rsid w:val="129513D3"/>
    <w:rsid w:val="12971C87"/>
    <w:rsid w:val="12CC6C89"/>
    <w:rsid w:val="12D72F5E"/>
    <w:rsid w:val="12D93FBD"/>
    <w:rsid w:val="12FB01C6"/>
    <w:rsid w:val="1303728B"/>
    <w:rsid w:val="1314791D"/>
    <w:rsid w:val="132E1775"/>
    <w:rsid w:val="133501B8"/>
    <w:rsid w:val="133D279D"/>
    <w:rsid w:val="13487675"/>
    <w:rsid w:val="138D11BC"/>
    <w:rsid w:val="138F0B1F"/>
    <w:rsid w:val="139D2FCC"/>
    <w:rsid w:val="139E4A43"/>
    <w:rsid w:val="13AB6434"/>
    <w:rsid w:val="13D80718"/>
    <w:rsid w:val="13D84C83"/>
    <w:rsid w:val="13DD5DC6"/>
    <w:rsid w:val="13E408D2"/>
    <w:rsid w:val="13EA41B4"/>
    <w:rsid w:val="14315965"/>
    <w:rsid w:val="143F2545"/>
    <w:rsid w:val="1441058C"/>
    <w:rsid w:val="1457163D"/>
    <w:rsid w:val="146441B0"/>
    <w:rsid w:val="147E5297"/>
    <w:rsid w:val="14B71ED0"/>
    <w:rsid w:val="14BB6E9A"/>
    <w:rsid w:val="14D63AF8"/>
    <w:rsid w:val="14F0226B"/>
    <w:rsid w:val="14FF60C0"/>
    <w:rsid w:val="151B15EC"/>
    <w:rsid w:val="151F79C5"/>
    <w:rsid w:val="15285578"/>
    <w:rsid w:val="15490388"/>
    <w:rsid w:val="15550B09"/>
    <w:rsid w:val="155550C1"/>
    <w:rsid w:val="155B4F19"/>
    <w:rsid w:val="156E26BA"/>
    <w:rsid w:val="15881888"/>
    <w:rsid w:val="158F3058"/>
    <w:rsid w:val="15954683"/>
    <w:rsid w:val="15BF7DFA"/>
    <w:rsid w:val="15C56451"/>
    <w:rsid w:val="15C8772A"/>
    <w:rsid w:val="15D675AD"/>
    <w:rsid w:val="15D750FC"/>
    <w:rsid w:val="15DE594F"/>
    <w:rsid w:val="15E7494C"/>
    <w:rsid w:val="16162C58"/>
    <w:rsid w:val="1630298D"/>
    <w:rsid w:val="163E79E9"/>
    <w:rsid w:val="1650290E"/>
    <w:rsid w:val="165170DE"/>
    <w:rsid w:val="16577237"/>
    <w:rsid w:val="166B3507"/>
    <w:rsid w:val="1687032A"/>
    <w:rsid w:val="169B5F81"/>
    <w:rsid w:val="16AE7F98"/>
    <w:rsid w:val="16BF6BE7"/>
    <w:rsid w:val="16C3120C"/>
    <w:rsid w:val="16D9408A"/>
    <w:rsid w:val="16DE1BA1"/>
    <w:rsid w:val="172072CE"/>
    <w:rsid w:val="174A6993"/>
    <w:rsid w:val="17500E49"/>
    <w:rsid w:val="17750095"/>
    <w:rsid w:val="177D47DC"/>
    <w:rsid w:val="17821F33"/>
    <w:rsid w:val="17901C3F"/>
    <w:rsid w:val="17907B2D"/>
    <w:rsid w:val="17953D16"/>
    <w:rsid w:val="17A17CDE"/>
    <w:rsid w:val="17B80644"/>
    <w:rsid w:val="17BE1AA7"/>
    <w:rsid w:val="17C4420E"/>
    <w:rsid w:val="17ED19B9"/>
    <w:rsid w:val="17F376D9"/>
    <w:rsid w:val="18006025"/>
    <w:rsid w:val="1804579C"/>
    <w:rsid w:val="18217691"/>
    <w:rsid w:val="182B350C"/>
    <w:rsid w:val="18371A78"/>
    <w:rsid w:val="18416030"/>
    <w:rsid w:val="1854683E"/>
    <w:rsid w:val="185C1918"/>
    <w:rsid w:val="18625EBF"/>
    <w:rsid w:val="18656CB7"/>
    <w:rsid w:val="186D509E"/>
    <w:rsid w:val="186F0D28"/>
    <w:rsid w:val="188B1530"/>
    <w:rsid w:val="18921717"/>
    <w:rsid w:val="18982D2A"/>
    <w:rsid w:val="18997F37"/>
    <w:rsid w:val="189D786A"/>
    <w:rsid w:val="18BB7226"/>
    <w:rsid w:val="18D25C2F"/>
    <w:rsid w:val="18E02502"/>
    <w:rsid w:val="18E51BE1"/>
    <w:rsid w:val="18E5553D"/>
    <w:rsid w:val="18F15529"/>
    <w:rsid w:val="18F64206"/>
    <w:rsid w:val="18FA490E"/>
    <w:rsid w:val="190135C0"/>
    <w:rsid w:val="19191C44"/>
    <w:rsid w:val="192F739D"/>
    <w:rsid w:val="19322678"/>
    <w:rsid w:val="193D0683"/>
    <w:rsid w:val="194B4581"/>
    <w:rsid w:val="196C16D6"/>
    <w:rsid w:val="19773655"/>
    <w:rsid w:val="19805D37"/>
    <w:rsid w:val="19901BD6"/>
    <w:rsid w:val="19A97DC4"/>
    <w:rsid w:val="19B233B5"/>
    <w:rsid w:val="19C82216"/>
    <w:rsid w:val="19DB2D10"/>
    <w:rsid w:val="19E576EB"/>
    <w:rsid w:val="19F9150C"/>
    <w:rsid w:val="1A1306D6"/>
    <w:rsid w:val="1A277D14"/>
    <w:rsid w:val="1A324F2D"/>
    <w:rsid w:val="1A3F6DFB"/>
    <w:rsid w:val="1A462475"/>
    <w:rsid w:val="1A5F0986"/>
    <w:rsid w:val="1A606171"/>
    <w:rsid w:val="1A746A64"/>
    <w:rsid w:val="1A887EA1"/>
    <w:rsid w:val="1A903574"/>
    <w:rsid w:val="1A997EE2"/>
    <w:rsid w:val="1A9F12D7"/>
    <w:rsid w:val="1AAE25CF"/>
    <w:rsid w:val="1AE31E7C"/>
    <w:rsid w:val="1B115D3C"/>
    <w:rsid w:val="1B1E0896"/>
    <w:rsid w:val="1B3721C8"/>
    <w:rsid w:val="1B4342E1"/>
    <w:rsid w:val="1B47725A"/>
    <w:rsid w:val="1B4A3CA9"/>
    <w:rsid w:val="1B505038"/>
    <w:rsid w:val="1B682381"/>
    <w:rsid w:val="1B6A11E1"/>
    <w:rsid w:val="1B807337"/>
    <w:rsid w:val="1B882A24"/>
    <w:rsid w:val="1B8E66DD"/>
    <w:rsid w:val="1B99695D"/>
    <w:rsid w:val="1B997D1F"/>
    <w:rsid w:val="1BA47C58"/>
    <w:rsid w:val="1BA55045"/>
    <w:rsid w:val="1BB80F43"/>
    <w:rsid w:val="1BC170B5"/>
    <w:rsid w:val="1BC85289"/>
    <w:rsid w:val="1BCB5F23"/>
    <w:rsid w:val="1BE64759"/>
    <w:rsid w:val="1BF0529D"/>
    <w:rsid w:val="1C055E22"/>
    <w:rsid w:val="1C072396"/>
    <w:rsid w:val="1C1A3D35"/>
    <w:rsid w:val="1C3A3664"/>
    <w:rsid w:val="1C550846"/>
    <w:rsid w:val="1C5E227A"/>
    <w:rsid w:val="1C60736F"/>
    <w:rsid w:val="1C6C08F4"/>
    <w:rsid w:val="1C7279BA"/>
    <w:rsid w:val="1C854200"/>
    <w:rsid w:val="1C8B6F5F"/>
    <w:rsid w:val="1C996C5A"/>
    <w:rsid w:val="1C9B7F2C"/>
    <w:rsid w:val="1CA5647B"/>
    <w:rsid w:val="1CBA7158"/>
    <w:rsid w:val="1CC51639"/>
    <w:rsid w:val="1CD3253C"/>
    <w:rsid w:val="1CE75528"/>
    <w:rsid w:val="1CEB2835"/>
    <w:rsid w:val="1CEF4C58"/>
    <w:rsid w:val="1CEF76AB"/>
    <w:rsid w:val="1CF923C8"/>
    <w:rsid w:val="1D155103"/>
    <w:rsid w:val="1D1A58FD"/>
    <w:rsid w:val="1D35483F"/>
    <w:rsid w:val="1D385997"/>
    <w:rsid w:val="1D4C378E"/>
    <w:rsid w:val="1D6867AA"/>
    <w:rsid w:val="1D6B0D1C"/>
    <w:rsid w:val="1D6B553A"/>
    <w:rsid w:val="1D9A028D"/>
    <w:rsid w:val="1DB74394"/>
    <w:rsid w:val="1DC204E2"/>
    <w:rsid w:val="1DC35F95"/>
    <w:rsid w:val="1DDC23A0"/>
    <w:rsid w:val="1DEA52D0"/>
    <w:rsid w:val="1DEF3BFA"/>
    <w:rsid w:val="1DF976C9"/>
    <w:rsid w:val="1DF97E9A"/>
    <w:rsid w:val="1E0A3BC4"/>
    <w:rsid w:val="1E28165B"/>
    <w:rsid w:val="1E3F13E8"/>
    <w:rsid w:val="1E461E83"/>
    <w:rsid w:val="1E540195"/>
    <w:rsid w:val="1E591E92"/>
    <w:rsid w:val="1E5A177B"/>
    <w:rsid w:val="1E6D42C6"/>
    <w:rsid w:val="1E920373"/>
    <w:rsid w:val="1EEB3623"/>
    <w:rsid w:val="1EF51209"/>
    <w:rsid w:val="1F0A0970"/>
    <w:rsid w:val="1F122256"/>
    <w:rsid w:val="1F23657A"/>
    <w:rsid w:val="1F2A6718"/>
    <w:rsid w:val="1F467C6F"/>
    <w:rsid w:val="1F766018"/>
    <w:rsid w:val="1F932092"/>
    <w:rsid w:val="1FB25319"/>
    <w:rsid w:val="1FC354F5"/>
    <w:rsid w:val="1FC4124F"/>
    <w:rsid w:val="1FD2221E"/>
    <w:rsid w:val="1FDF119E"/>
    <w:rsid w:val="1FE06B27"/>
    <w:rsid w:val="202761D7"/>
    <w:rsid w:val="2091237A"/>
    <w:rsid w:val="20B43E24"/>
    <w:rsid w:val="20CB2F2E"/>
    <w:rsid w:val="20CC4AE9"/>
    <w:rsid w:val="20FF5536"/>
    <w:rsid w:val="211B1C44"/>
    <w:rsid w:val="211D3F48"/>
    <w:rsid w:val="21296C66"/>
    <w:rsid w:val="21306063"/>
    <w:rsid w:val="213A031C"/>
    <w:rsid w:val="214D7F75"/>
    <w:rsid w:val="215D233E"/>
    <w:rsid w:val="21614F5F"/>
    <w:rsid w:val="21692402"/>
    <w:rsid w:val="216A0B77"/>
    <w:rsid w:val="21782D76"/>
    <w:rsid w:val="217A3CAE"/>
    <w:rsid w:val="21870E26"/>
    <w:rsid w:val="21871A82"/>
    <w:rsid w:val="219A6E87"/>
    <w:rsid w:val="21AC1370"/>
    <w:rsid w:val="21AC6C50"/>
    <w:rsid w:val="21B52099"/>
    <w:rsid w:val="21B53414"/>
    <w:rsid w:val="21CD7397"/>
    <w:rsid w:val="21FE0428"/>
    <w:rsid w:val="222254CB"/>
    <w:rsid w:val="22292C54"/>
    <w:rsid w:val="222E7163"/>
    <w:rsid w:val="223E6B17"/>
    <w:rsid w:val="226814A4"/>
    <w:rsid w:val="22866B81"/>
    <w:rsid w:val="229D6DB5"/>
    <w:rsid w:val="22AE1DE0"/>
    <w:rsid w:val="22B14F20"/>
    <w:rsid w:val="22CE0CE0"/>
    <w:rsid w:val="22D26DD6"/>
    <w:rsid w:val="23103DC5"/>
    <w:rsid w:val="232B5DC1"/>
    <w:rsid w:val="233D688C"/>
    <w:rsid w:val="23400FE6"/>
    <w:rsid w:val="2340369D"/>
    <w:rsid w:val="23507C9A"/>
    <w:rsid w:val="23563407"/>
    <w:rsid w:val="23576068"/>
    <w:rsid w:val="2379063C"/>
    <w:rsid w:val="2385142A"/>
    <w:rsid w:val="23965D35"/>
    <w:rsid w:val="23C6030F"/>
    <w:rsid w:val="23C748F0"/>
    <w:rsid w:val="23D116CA"/>
    <w:rsid w:val="23E303FA"/>
    <w:rsid w:val="23E80503"/>
    <w:rsid w:val="24100D9C"/>
    <w:rsid w:val="24292561"/>
    <w:rsid w:val="242F51F8"/>
    <w:rsid w:val="2433580D"/>
    <w:rsid w:val="24575A93"/>
    <w:rsid w:val="24651576"/>
    <w:rsid w:val="249F2143"/>
    <w:rsid w:val="24BC4775"/>
    <w:rsid w:val="24BE2F37"/>
    <w:rsid w:val="24C904D9"/>
    <w:rsid w:val="24D779BE"/>
    <w:rsid w:val="24EA3E07"/>
    <w:rsid w:val="250152CA"/>
    <w:rsid w:val="252E1698"/>
    <w:rsid w:val="25305FAE"/>
    <w:rsid w:val="25326A1A"/>
    <w:rsid w:val="25441CD4"/>
    <w:rsid w:val="255F7AD2"/>
    <w:rsid w:val="256D4FBD"/>
    <w:rsid w:val="256E67E6"/>
    <w:rsid w:val="257706D1"/>
    <w:rsid w:val="257858B7"/>
    <w:rsid w:val="25800D6B"/>
    <w:rsid w:val="25842F03"/>
    <w:rsid w:val="25947BDD"/>
    <w:rsid w:val="259D3142"/>
    <w:rsid w:val="25A22420"/>
    <w:rsid w:val="25A40CC8"/>
    <w:rsid w:val="25C10A2A"/>
    <w:rsid w:val="25D43C11"/>
    <w:rsid w:val="25E30DED"/>
    <w:rsid w:val="25F56EA3"/>
    <w:rsid w:val="261B21F9"/>
    <w:rsid w:val="2627224F"/>
    <w:rsid w:val="262A3428"/>
    <w:rsid w:val="26404C6A"/>
    <w:rsid w:val="26507C71"/>
    <w:rsid w:val="26647E93"/>
    <w:rsid w:val="26695200"/>
    <w:rsid w:val="268F0627"/>
    <w:rsid w:val="26AA088B"/>
    <w:rsid w:val="26B8793C"/>
    <w:rsid w:val="26E0627B"/>
    <w:rsid w:val="26EA2685"/>
    <w:rsid w:val="26EE43E7"/>
    <w:rsid w:val="26FD42C6"/>
    <w:rsid w:val="270C7E7B"/>
    <w:rsid w:val="27130BCF"/>
    <w:rsid w:val="27180E6A"/>
    <w:rsid w:val="271A054F"/>
    <w:rsid w:val="271E393C"/>
    <w:rsid w:val="27210BF0"/>
    <w:rsid w:val="27256821"/>
    <w:rsid w:val="272C6959"/>
    <w:rsid w:val="272D447F"/>
    <w:rsid w:val="272E0109"/>
    <w:rsid w:val="273B4DEE"/>
    <w:rsid w:val="274E3F04"/>
    <w:rsid w:val="27581696"/>
    <w:rsid w:val="276D2347"/>
    <w:rsid w:val="278F4995"/>
    <w:rsid w:val="27AC0930"/>
    <w:rsid w:val="27C72359"/>
    <w:rsid w:val="27D10E9E"/>
    <w:rsid w:val="27DC4C9A"/>
    <w:rsid w:val="27E43E92"/>
    <w:rsid w:val="27EC7E96"/>
    <w:rsid w:val="28133721"/>
    <w:rsid w:val="281B3B44"/>
    <w:rsid w:val="28214CFF"/>
    <w:rsid w:val="282E3D83"/>
    <w:rsid w:val="28330349"/>
    <w:rsid w:val="284B7D71"/>
    <w:rsid w:val="28686379"/>
    <w:rsid w:val="286D3712"/>
    <w:rsid w:val="28A9643C"/>
    <w:rsid w:val="28B34564"/>
    <w:rsid w:val="28BA1D43"/>
    <w:rsid w:val="29115E06"/>
    <w:rsid w:val="29304A14"/>
    <w:rsid w:val="294409BC"/>
    <w:rsid w:val="29690D96"/>
    <w:rsid w:val="297306E7"/>
    <w:rsid w:val="29A82408"/>
    <w:rsid w:val="29B46D85"/>
    <w:rsid w:val="29BC04F7"/>
    <w:rsid w:val="29DB5624"/>
    <w:rsid w:val="29E654E5"/>
    <w:rsid w:val="29EC16EE"/>
    <w:rsid w:val="29F551F9"/>
    <w:rsid w:val="29FA2986"/>
    <w:rsid w:val="29FC5621"/>
    <w:rsid w:val="2A077209"/>
    <w:rsid w:val="2A4A0382"/>
    <w:rsid w:val="2A581BB7"/>
    <w:rsid w:val="2A604683"/>
    <w:rsid w:val="2A616490"/>
    <w:rsid w:val="2A641987"/>
    <w:rsid w:val="2A9E1584"/>
    <w:rsid w:val="2AA02867"/>
    <w:rsid w:val="2AA73F8E"/>
    <w:rsid w:val="2AAF32C7"/>
    <w:rsid w:val="2AB2663D"/>
    <w:rsid w:val="2AB357E7"/>
    <w:rsid w:val="2ABA56AE"/>
    <w:rsid w:val="2ABB0720"/>
    <w:rsid w:val="2ACE6D9F"/>
    <w:rsid w:val="2AF76423"/>
    <w:rsid w:val="2B127165"/>
    <w:rsid w:val="2B200583"/>
    <w:rsid w:val="2B251B8D"/>
    <w:rsid w:val="2B2A01B3"/>
    <w:rsid w:val="2B395A62"/>
    <w:rsid w:val="2B467033"/>
    <w:rsid w:val="2B63494F"/>
    <w:rsid w:val="2B683CD8"/>
    <w:rsid w:val="2B850876"/>
    <w:rsid w:val="2B98280F"/>
    <w:rsid w:val="2BB23B01"/>
    <w:rsid w:val="2BC22732"/>
    <w:rsid w:val="2BD63337"/>
    <w:rsid w:val="2BD657EA"/>
    <w:rsid w:val="2BE43FF8"/>
    <w:rsid w:val="2BE500BB"/>
    <w:rsid w:val="2C023E6C"/>
    <w:rsid w:val="2C05511C"/>
    <w:rsid w:val="2C362167"/>
    <w:rsid w:val="2C3A7B0C"/>
    <w:rsid w:val="2C3F712F"/>
    <w:rsid w:val="2C5129BE"/>
    <w:rsid w:val="2C641154"/>
    <w:rsid w:val="2C662F70"/>
    <w:rsid w:val="2C665384"/>
    <w:rsid w:val="2C702887"/>
    <w:rsid w:val="2C792EE7"/>
    <w:rsid w:val="2C820DC9"/>
    <w:rsid w:val="2C8459F5"/>
    <w:rsid w:val="2C8F2FAE"/>
    <w:rsid w:val="2CAC46BC"/>
    <w:rsid w:val="2CB74787"/>
    <w:rsid w:val="2CC9536F"/>
    <w:rsid w:val="2CD972BD"/>
    <w:rsid w:val="2CDD4252"/>
    <w:rsid w:val="2CF617E0"/>
    <w:rsid w:val="2CF918A8"/>
    <w:rsid w:val="2D163A5B"/>
    <w:rsid w:val="2D164FB2"/>
    <w:rsid w:val="2D617C4D"/>
    <w:rsid w:val="2D8C334E"/>
    <w:rsid w:val="2DA41E97"/>
    <w:rsid w:val="2DA46F1E"/>
    <w:rsid w:val="2DAA58FD"/>
    <w:rsid w:val="2DBB723B"/>
    <w:rsid w:val="2DC37DF1"/>
    <w:rsid w:val="2DDD4AFC"/>
    <w:rsid w:val="2DE75388"/>
    <w:rsid w:val="2DF31F7F"/>
    <w:rsid w:val="2DFE3B11"/>
    <w:rsid w:val="2E0D173F"/>
    <w:rsid w:val="2E107BBE"/>
    <w:rsid w:val="2E1B3283"/>
    <w:rsid w:val="2E204D3E"/>
    <w:rsid w:val="2E333410"/>
    <w:rsid w:val="2E650202"/>
    <w:rsid w:val="2E825B76"/>
    <w:rsid w:val="2E99384E"/>
    <w:rsid w:val="2EBA7E09"/>
    <w:rsid w:val="2EBC222A"/>
    <w:rsid w:val="2ED8069F"/>
    <w:rsid w:val="2ED87899"/>
    <w:rsid w:val="2EF67F2A"/>
    <w:rsid w:val="2F054C2F"/>
    <w:rsid w:val="2F0B25ED"/>
    <w:rsid w:val="2F1A78BB"/>
    <w:rsid w:val="2F202982"/>
    <w:rsid w:val="2F42550A"/>
    <w:rsid w:val="2F427F66"/>
    <w:rsid w:val="2F4A1FBC"/>
    <w:rsid w:val="2F4E6783"/>
    <w:rsid w:val="2F54225E"/>
    <w:rsid w:val="2F554D7F"/>
    <w:rsid w:val="2F5E2620"/>
    <w:rsid w:val="2F611ABC"/>
    <w:rsid w:val="2F666780"/>
    <w:rsid w:val="2F730CA2"/>
    <w:rsid w:val="2F740E9D"/>
    <w:rsid w:val="2F8651FC"/>
    <w:rsid w:val="2F984ABB"/>
    <w:rsid w:val="2FB72194"/>
    <w:rsid w:val="2FC84604"/>
    <w:rsid w:val="2FD03E7A"/>
    <w:rsid w:val="2FE06533"/>
    <w:rsid w:val="2FE32412"/>
    <w:rsid w:val="2FF977F8"/>
    <w:rsid w:val="300F506A"/>
    <w:rsid w:val="30112B90"/>
    <w:rsid w:val="30221728"/>
    <w:rsid w:val="30346EAA"/>
    <w:rsid w:val="30347F65"/>
    <w:rsid w:val="304004EE"/>
    <w:rsid w:val="304A7540"/>
    <w:rsid w:val="3050298E"/>
    <w:rsid w:val="30561692"/>
    <w:rsid w:val="30746ED4"/>
    <w:rsid w:val="3093532E"/>
    <w:rsid w:val="3097567B"/>
    <w:rsid w:val="30AA13BF"/>
    <w:rsid w:val="30AC409C"/>
    <w:rsid w:val="30AC4667"/>
    <w:rsid w:val="30B32426"/>
    <w:rsid w:val="30BB2AFC"/>
    <w:rsid w:val="30E06330"/>
    <w:rsid w:val="30E32AD8"/>
    <w:rsid w:val="30FC0F09"/>
    <w:rsid w:val="310C4A4C"/>
    <w:rsid w:val="31195802"/>
    <w:rsid w:val="311C359A"/>
    <w:rsid w:val="31203B61"/>
    <w:rsid w:val="314C6881"/>
    <w:rsid w:val="316513E5"/>
    <w:rsid w:val="316B49E7"/>
    <w:rsid w:val="317A456E"/>
    <w:rsid w:val="31926D16"/>
    <w:rsid w:val="31A1306B"/>
    <w:rsid w:val="31BB7257"/>
    <w:rsid w:val="31D4278E"/>
    <w:rsid w:val="31E00DBC"/>
    <w:rsid w:val="31E050E3"/>
    <w:rsid w:val="31FB42D0"/>
    <w:rsid w:val="31FE6D95"/>
    <w:rsid w:val="320C6176"/>
    <w:rsid w:val="3229052E"/>
    <w:rsid w:val="324E226E"/>
    <w:rsid w:val="326C7146"/>
    <w:rsid w:val="32906188"/>
    <w:rsid w:val="32980410"/>
    <w:rsid w:val="32AC2784"/>
    <w:rsid w:val="32B15F25"/>
    <w:rsid w:val="32B37816"/>
    <w:rsid w:val="32D4454C"/>
    <w:rsid w:val="32EC5E34"/>
    <w:rsid w:val="32F13CB0"/>
    <w:rsid w:val="32F341BB"/>
    <w:rsid w:val="32F6606D"/>
    <w:rsid w:val="32FC2741"/>
    <w:rsid w:val="32FF588D"/>
    <w:rsid w:val="33023583"/>
    <w:rsid w:val="331B1450"/>
    <w:rsid w:val="3341058C"/>
    <w:rsid w:val="33434A04"/>
    <w:rsid w:val="335C0F0C"/>
    <w:rsid w:val="336819F9"/>
    <w:rsid w:val="336B3220"/>
    <w:rsid w:val="336C6DA8"/>
    <w:rsid w:val="337E1556"/>
    <w:rsid w:val="338167C8"/>
    <w:rsid w:val="33897CA5"/>
    <w:rsid w:val="33A45AC9"/>
    <w:rsid w:val="33AD7074"/>
    <w:rsid w:val="33AF5265"/>
    <w:rsid w:val="33D36D85"/>
    <w:rsid w:val="33D4590D"/>
    <w:rsid w:val="33DC601A"/>
    <w:rsid w:val="33E31CFF"/>
    <w:rsid w:val="33F26834"/>
    <w:rsid w:val="33F43289"/>
    <w:rsid w:val="34075B92"/>
    <w:rsid w:val="34165110"/>
    <w:rsid w:val="34182BE3"/>
    <w:rsid w:val="342812AB"/>
    <w:rsid w:val="343914B9"/>
    <w:rsid w:val="344A3B15"/>
    <w:rsid w:val="344A5CAF"/>
    <w:rsid w:val="34627E84"/>
    <w:rsid w:val="346678FC"/>
    <w:rsid w:val="34751FF9"/>
    <w:rsid w:val="34761B3D"/>
    <w:rsid w:val="34936269"/>
    <w:rsid w:val="349E727F"/>
    <w:rsid w:val="34A34103"/>
    <w:rsid w:val="34C10A99"/>
    <w:rsid w:val="34C35095"/>
    <w:rsid w:val="34CF2A53"/>
    <w:rsid w:val="34E70363"/>
    <w:rsid w:val="34ED2EF3"/>
    <w:rsid w:val="34F26246"/>
    <w:rsid w:val="34F34F5A"/>
    <w:rsid w:val="34FB6280"/>
    <w:rsid w:val="35004F81"/>
    <w:rsid w:val="35191C89"/>
    <w:rsid w:val="35431A3E"/>
    <w:rsid w:val="35530B97"/>
    <w:rsid w:val="35534D2B"/>
    <w:rsid w:val="35884C5D"/>
    <w:rsid w:val="359663C1"/>
    <w:rsid w:val="35CB32CD"/>
    <w:rsid w:val="35CF701E"/>
    <w:rsid w:val="35D00DF7"/>
    <w:rsid w:val="35DD3A09"/>
    <w:rsid w:val="35E5642D"/>
    <w:rsid w:val="35F82C40"/>
    <w:rsid w:val="360E3D96"/>
    <w:rsid w:val="361851AE"/>
    <w:rsid w:val="3637104B"/>
    <w:rsid w:val="36462C93"/>
    <w:rsid w:val="36504388"/>
    <w:rsid w:val="3681431A"/>
    <w:rsid w:val="3683080E"/>
    <w:rsid w:val="36860188"/>
    <w:rsid w:val="368713DD"/>
    <w:rsid w:val="369F5F8F"/>
    <w:rsid w:val="36A24542"/>
    <w:rsid w:val="36D01BBB"/>
    <w:rsid w:val="36D72354"/>
    <w:rsid w:val="36D954F0"/>
    <w:rsid w:val="36F92C9A"/>
    <w:rsid w:val="370666E5"/>
    <w:rsid w:val="37147760"/>
    <w:rsid w:val="371B60A2"/>
    <w:rsid w:val="3720190B"/>
    <w:rsid w:val="37342434"/>
    <w:rsid w:val="374250EA"/>
    <w:rsid w:val="37430A18"/>
    <w:rsid w:val="374618FD"/>
    <w:rsid w:val="375A306E"/>
    <w:rsid w:val="375F68D7"/>
    <w:rsid w:val="376B6B46"/>
    <w:rsid w:val="37702326"/>
    <w:rsid w:val="377834F5"/>
    <w:rsid w:val="37812ADE"/>
    <w:rsid w:val="3782361C"/>
    <w:rsid w:val="37B24C58"/>
    <w:rsid w:val="37C52BDE"/>
    <w:rsid w:val="37C76A54"/>
    <w:rsid w:val="37CD3C9D"/>
    <w:rsid w:val="37ED7A3F"/>
    <w:rsid w:val="382660E9"/>
    <w:rsid w:val="3838588B"/>
    <w:rsid w:val="383A131B"/>
    <w:rsid w:val="38584D39"/>
    <w:rsid w:val="385E093C"/>
    <w:rsid w:val="385F1A9D"/>
    <w:rsid w:val="38662DB9"/>
    <w:rsid w:val="386B4E07"/>
    <w:rsid w:val="387B14EE"/>
    <w:rsid w:val="387E6CA1"/>
    <w:rsid w:val="38832151"/>
    <w:rsid w:val="3884005D"/>
    <w:rsid w:val="38887E1E"/>
    <w:rsid w:val="388A03D1"/>
    <w:rsid w:val="388E5A7C"/>
    <w:rsid w:val="389712F2"/>
    <w:rsid w:val="38BC5D6B"/>
    <w:rsid w:val="39010974"/>
    <w:rsid w:val="392A34E8"/>
    <w:rsid w:val="3935437F"/>
    <w:rsid w:val="394153A0"/>
    <w:rsid w:val="39496D47"/>
    <w:rsid w:val="395A5ED6"/>
    <w:rsid w:val="395C5C3C"/>
    <w:rsid w:val="39624BFA"/>
    <w:rsid w:val="397B107A"/>
    <w:rsid w:val="398630C2"/>
    <w:rsid w:val="39872601"/>
    <w:rsid w:val="39917E8F"/>
    <w:rsid w:val="39967482"/>
    <w:rsid w:val="39A03524"/>
    <w:rsid w:val="39AA1BD5"/>
    <w:rsid w:val="39B431AE"/>
    <w:rsid w:val="39CD3FCC"/>
    <w:rsid w:val="39DA0497"/>
    <w:rsid w:val="39DA3426"/>
    <w:rsid w:val="39E901AB"/>
    <w:rsid w:val="39E91C6F"/>
    <w:rsid w:val="39E972D2"/>
    <w:rsid w:val="39F63F04"/>
    <w:rsid w:val="3A0B39E8"/>
    <w:rsid w:val="3A1060D4"/>
    <w:rsid w:val="3A172483"/>
    <w:rsid w:val="3A3E0552"/>
    <w:rsid w:val="3A500A07"/>
    <w:rsid w:val="3A7C2BA0"/>
    <w:rsid w:val="3A8D3267"/>
    <w:rsid w:val="3A965379"/>
    <w:rsid w:val="3A993EAE"/>
    <w:rsid w:val="3A9B19D4"/>
    <w:rsid w:val="3AC24B1F"/>
    <w:rsid w:val="3AD30754"/>
    <w:rsid w:val="3AEA64B7"/>
    <w:rsid w:val="3B1074A7"/>
    <w:rsid w:val="3B266E3B"/>
    <w:rsid w:val="3B434A56"/>
    <w:rsid w:val="3B4F12B2"/>
    <w:rsid w:val="3B522C74"/>
    <w:rsid w:val="3B671E5B"/>
    <w:rsid w:val="3B730A2C"/>
    <w:rsid w:val="3B7D37CF"/>
    <w:rsid w:val="3B8D15A9"/>
    <w:rsid w:val="3B9F138E"/>
    <w:rsid w:val="3BAA4176"/>
    <w:rsid w:val="3BC52D7F"/>
    <w:rsid w:val="3BC85587"/>
    <w:rsid w:val="3BE572AB"/>
    <w:rsid w:val="3BF24A4D"/>
    <w:rsid w:val="3BFB4679"/>
    <w:rsid w:val="3C0173CA"/>
    <w:rsid w:val="3C0A04BB"/>
    <w:rsid w:val="3C4B1C3D"/>
    <w:rsid w:val="3C6875A8"/>
    <w:rsid w:val="3C7057AE"/>
    <w:rsid w:val="3C925D30"/>
    <w:rsid w:val="3CA8627B"/>
    <w:rsid w:val="3CA97F92"/>
    <w:rsid w:val="3CB04AB6"/>
    <w:rsid w:val="3CCE0013"/>
    <w:rsid w:val="3CD25D00"/>
    <w:rsid w:val="3D0F1065"/>
    <w:rsid w:val="3D166DF0"/>
    <w:rsid w:val="3D22462E"/>
    <w:rsid w:val="3D2F0AF9"/>
    <w:rsid w:val="3D3712B0"/>
    <w:rsid w:val="3D3A1978"/>
    <w:rsid w:val="3D4B442E"/>
    <w:rsid w:val="3D641AB8"/>
    <w:rsid w:val="3D6F0419"/>
    <w:rsid w:val="3D6F381C"/>
    <w:rsid w:val="3D7D48B2"/>
    <w:rsid w:val="3D853AE2"/>
    <w:rsid w:val="3DB312DB"/>
    <w:rsid w:val="3DB724DE"/>
    <w:rsid w:val="3DC70F93"/>
    <w:rsid w:val="3DD0408A"/>
    <w:rsid w:val="3DDC7C10"/>
    <w:rsid w:val="3E1862F4"/>
    <w:rsid w:val="3E2E431B"/>
    <w:rsid w:val="3E523A8B"/>
    <w:rsid w:val="3E74486F"/>
    <w:rsid w:val="3E785A62"/>
    <w:rsid w:val="3E996386"/>
    <w:rsid w:val="3EC62D9D"/>
    <w:rsid w:val="3EC7628C"/>
    <w:rsid w:val="3ED8395B"/>
    <w:rsid w:val="3EDC2981"/>
    <w:rsid w:val="3EEC3429"/>
    <w:rsid w:val="3F0C2C0C"/>
    <w:rsid w:val="3F0F371C"/>
    <w:rsid w:val="3F130D4F"/>
    <w:rsid w:val="3F134B07"/>
    <w:rsid w:val="3F226DC3"/>
    <w:rsid w:val="3F454604"/>
    <w:rsid w:val="3F564F3B"/>
    <w:rsid w:val="3F5A50A4"/>
    <w:rsid w:val="3F613170"/>
    <w:rsid w:val="3F620D12"/>
    <w:rsid w:val="3FA113C4"/>
    <w:rsid w:val="3FA46EF8"/>
    <w:rsid w:val="3FAA0D21"/>
    <w:rsid w:val="3FC035F5"/>
    <w:rsid w:val="3FC37466"/>
    <w:rsid w:val="3FC62186"/>
    <w:rsid w:val="3FD339BE"/>
    <w:rsid w:val="3FD802C3"/>
    <w:rsid w:val="3FDA0AC6"/>
    <w:rsid w:val="3FEE5671"/>
    <w:rsid w:val="3FF53461"/>
    <w:rsid w:val="40420551"/>
    <w:rsid w:val="40596BBF"/>
    <w:rsid w:val="407B543C"/>
    <w:rsid w:val="409E0693"/>
    <w:rsid w:val="40A3465B"/>
    <w:rsid w:val="40DA4C13"/>
    <w:rsid w:val="40E82081"/>
    <w:rsid w:val="40F209D6"/>
    <w:rsid w:val="40F70F22"/>
    <w:rsid w:val="40FA66A1"/>
    <w:rsid w:val="410207FD"/>
    <w:rsid w:val="410305B7"/>
    <w:rsid w:val="41181D29"/>
    <w:rsid w:val="412579B8"/>
    <w:rsid w:val="41303C39"/>
    <w:rsid w:val="41456B3D"/>
    <w:rsid w:val="414B2E3E"/>
    <w:rsid w:val="414C69F9"/>
    <w:rsid w:val="414F74CB"/>
    <w:rsid w:val="415B6654"/>
    <w:rsid w:val="415F184A"/>
    <w:rsid w:val="4171639E"/>
    <w:rsid w:val="41717932"/>
    <w:rsid w:val="417C22B1"/>
    <w:rsid w:val="417C2EE6"/>
    <w:rsid w:val="41A0365E"/>
    <w:rsid w:val="41B2306E"/>
    <w:rsid w:val="41B423A3"/>
    <w:rsid w:val="41C92B51"/>
    <w:rsid w:val="41D301C3"/>
    <w:rsid w:val="41D623AF"/>
    <w:rsid w:val="41E270E0"/>
    <w:rsid w:val="41E618AB"/>
    <w:rsid w:val="41EE3316"/>
    <w:rsid w:val="41F94D31"/>
    <w:rsid w:val="42071D2B"/>
    <w:rsid w:val="42176C30"/>
    <w:rsid w:val="421F37EB"/>
    <w:rsid w:val="422F49B3"/>
    <w:rsid w:val="42343AD8"/>
    <w:rsid w:val="425E7507"/>
    <w:rsid w:val="42651F6F"/>
    <w:rsid w:val="42782BB3"/>
    <w:rsid w:val="42802614"/>
    <w:rsid w:val="42805758"/>
    <w:rsid w:val="4288071B"/>
    <w:rsid w:val="42980EEF"/>
    <w:rsid w:val="42A07DBF"/>
    <w:rsid w:val="42B01704"/>
    <w:rsid w:val="42CA32DA"/>
    <w:rsid w:val="42CC4106"/>
    <w:rsid w:val="42D068DB"/>
    <w:rsid w:val="42E068CB"/>
    <w:rsid w:val="42F1123A"/>
    <w:rsid w:val="43062143"/>
    <w:rsid w:val="433858A5"/>
    <w:rsid w:val="433E126A"/>
    <w:rsid w:val="4352469B"/>
    <w:rsid w:val="435C016E"/>
    <w:rsid w:val="436B4174"/>
    <w:rsid w:val="43920E07"/>
    <w:rsid w:val="43951B04"/>
    <w:rsid w:val="43B21B3C"/>
    <w:rsid w:val="43BD670A"/>
    <w:rsid w:val="43D9356D"/>
    <w:rsid w:val="440650A9"/>
    <w:rsid w:val="441D7748"/>
    <w:rsid w:val="442F3C65"/>
    <w:rsid w:val="44337121"/>
    <w:rsid w:val="4445263B"/>
    <w:rsid w:val="44495CCC"/>
    <w:rsid w:val="444E7AB7"/>
    <w:rsid w:val="44817707"/>
    <w:rsid w:val="448919A2"/>
    <w:rsid w:val="44952D68"/>
    <w:rsid w:val="449550E8"/>
    <w:rsid w:val="44984355"/>
    <w:rsid w:val="44A31A4E"/>
    <w:rsid w:val="44A8226D"/>
    <w:rsid w:val="44A94CD1"/>
    <w:rsid w:val="44CC2C4F"/>
    <w:rsid w:val="44D97CC8"/>
    <w:rsid w:val="4524498B"/>
    <w:rsid w:val="452E7FD4"/>
    <w:rsid w:val="453F2418"/>
    <w:rsid w:val="455238D0"/>
    <w:rsid w:val="45947D5B"/>
    <w:rsid w:val="45B53C15"/>
    <w:rsid w:val="45CB0EA0"/>
    <w:rsid w:val="45E05087"/>
    <w:rsid w:val="45FB5A7C"/>
    <w:rsid w:val="4601483F"/>
    <w:rsid w:val="46036001"/>
    <w:rsid w:val="460D5750"/>
    <w:rsid w:val="46167051"/>
    <w:rsid w:val="461845F0"/>
    <w:rsid w:val="462970E0"/>
    <w:rsid w:val="462F3918"/>
    <w:rsid w:val="463914F2"/>
    <w:rsid w:val="464E3334"/>
    <w:rsid w:val="465A276D"/>
    <w:rsid w:val="465C410E"/>
    <w:rsid w:val="46760020"/>
    <w:rsid w:val="46A26AC9"/>
    <w:rsid w:val="46A7659A"/>
    <w:rsid w:val="46B12139"/>
    <w:rsid w:val="46B60D0E"/>
    <w:rsid w:val="46C853F2"/>
    <w:rsid w:val="46CA0C65"/>
    <w:rsid w:val="46DF4035"/>
    <w:rsid w:val="46F722E3"/>
    <w:rsid w:val="47061262"/>
    <w:rsid w:val="470D5A07"/>
    <w:rsid w:val="47213261"/>
    <w:rsid w:val="4734684B"/>
    <w:rsid w:val="474136C8"/>
    <w:rsid w:val="474358CD"/>
    <w:rsid w:val="476963A2"/>
    <w:rsid w:val="476A5FE9"/>
    <w:rsid w:val="477E6905"/>
    <w:rsid w:val="4780564D"/>
    <w:rsid w:val="478259F4"/>
    <w:rsid w:val="47A34C1F"/>
    <w:rsid w:val="47AD2D46"/>
    <w:rsid w:val="47B61331"/>
    <w:rsid w:val="47BE31A6"/>
    <w:rsid w:val="47C14AC9"/>
    <w:rsid w:val="47CC1367"/>
    <w:rsid w:val="47D214BD"/>
    <w:rsid w:val="47DB5304"/>
    <w:rsid w:val="47E451B0"/>
    <w:rsid w:val="47FD7147"/>
    <w:rsid w:val="47FE7B21"/>
    <w:rsid w:val="48054931"/>
    <w:rsid w:val="48220D44"/>
    <w:rsid w:val="4822572A"/>
    <w:rsid w:val="482570D8"/>
    <w:rsid w:val="48416E7A"/>
    <w:rsid w:val="485B2019"/>
    <w:rsid w:val="485D5571"/>
    <w:rsid w:val="489E3DB8"/>
    <w:rsid w:val="48BD16AF"/>
    <w:rsid w:val="48DB7360"/>
    <w:rsid w:val="48E42798"/>
    <w:rsid w:val="48EE4583"/>
    <w:rsid w:val="48FF5525"/>
    <w:rsid w:val="49001E86"/>
    <w:rsid w:val="490B4C39"/>
    <w:rsid w:val="49105464"/>
    <w:rsid w:val="4920485E"/>
    <w:rsid w:val="497C5BD0"/>
    <w:rsid w:val="49971F00"/>
    <w:rsid w:val="499E5E25"/>
    <w:rsid w:val="49BF27C0"/>
    <w:rsid w:val="49C565B1"/>
    <w:rsid w:val="49CA5E32"/>
    <w:rsid w:val="49D7054F"/>
    <w:rsid w:val="49DF5FC6"/>
    <w:rsid w:val="49F64E88"/>
    <w:rsid w:val="49F926F8"/>
    <w:rsid w:val="4A234FEC"/>
    <w:rsid w:val="4A2B1CEF"/>
    <w:rsid w:val="4A606796"/>
    <w:rsid w:val="4A805CB0"/>
    <w:rsid w:val="4A8C5C10"/>
    <w:rsid w:val="4A9D70A2"/>
    <w:rsid w:val="4AB30EDE"/>
    <w:rsid w:val="4ADB63A1"/>
    <w:rsid w:val="4ADD1B95"/>
    <w:rsid w:val="4ADE1E17"/>
    <w:rsid w:val="4AF34F66"/>
    <w:rsid w:val="4AFA7310"/>
    <w:rsid w:val="4B2C5AC5"/>
    <w:rsid w:val="4B307434"/>
    <w:rsid w:val="4B341F77"/>
    <w:rsid w:val="4B403894"/>
    <w:rsid w:val="4B46598C"/>
    <w:rsid w:val="4B537A20"/>
    <w:rsid w:val="4B5D2CD5"/>
    <w:rsid w:val="4B643D38"/>
    <w:rsid w:val="4B6442B0"/>
    <w:rsid w:val="4B685902"/>
    <w:rsid w:val="4B7D207A"/>
    <w:rsid w:val="4B875EB6"/>
    <w:rsid w:val="4BAD1EF1"/>
    <w:rsid w:val="4BB2318A"/>
    <w:rsid w:val="4BBA6469"/>
    <w:rsid w:val="4BD73847"/>
    <w:rsid w:val="4BE315C6"/>
    <w:rsid w:val="4BEC1D1F"/>
    <w:rsid w:val="4BF700F5"/>
    <w:rsid w:val="4BFE381D"/>
    <w:rsid w:val="4C084CA1"/>
    <w:rsid w:val="4C273CBA"/>
    <w:rsid w:val="4C2F62F0"/>
    <w:rsid w:val="4C374D55"/>
    <w:rsid w:val="4C6514B0"/>
    <w:rsid w:val="4C6C0D90"/>
    <w:rsid w:val="4C7D1FFD"/>
    <w:rsid w:val="4C9D15DC"/>
    <w:rsid w:val="4CA606B1"/>
    <w:rsid w:val="4CB520BC"/>
    <w:rsid w:val="4CBE35C9"/>
    <w:rsid w:val="4CDF633C"/>
    <w:rsid w:val="4CEA6032"/>
    <w:rsid w:val="4CEC183C"/>
    <w:rsid w:val="4CF5763E"/>
    <w:rsid w:val="4D0A544B"/>
    <w:rsid w:val="4D2E01D8"/>
    <w:rsid w:val="4D3F0EA5"/>
    <w:rsid w:val="4D3F7CBF"/>
    <w:rsid w:val="4D4C3A0B"/>
    <w:rsid w:val="4D62389D"/>
    <w:rsid w:val="4D722A68"/>
    <w:rsid w:val="4D783DF7"/>
    <w:rsid w:val="4D8C30FC"/>
    <w:rsid w:val="4D901140"/>
    <w:rsid w:val="4DB75623"/>
    <w:rsid w:val="4DC46301"/>
    <w:rsid w:val="4DD3102D"/>
    <w:rsid w:val="4DDC11A7"/>
    <w:rsid w:val="4DF60896"/>
    <w:rsid w:val="4DFE3CC8"/>
    <w:rsid w:val="4E0B0F23"/>
    <w:rsid w:val="4E127DA7"/>
    <w:rsid w:val="4E4E418E"/>
    <w:rsid w:val="4E763E41"/>
    <w:rsid w:val="4E7B1501"/>
    <w:rsid w:val="4E7C32D2"/>
    <w:rsid w:val="4E9C48EA"/>
    <w:rsid w:val="4EB9175E"/>
    <w:rsid w:val="4EC217CD"/>
    <w:rsid w:val="4ED718CA"/>
    <w:rsid w:val="4EE90884"/>
    <w:rsid w:val="4F025B95"/>
    <w:rsid w:val="4F0A7123"/>
    <w:rsid w:val="4F132029"/>
    <w:rsid w:val="4F1C1A77"/>
    <w:rsid w:val="4F2A3762"/>
    <w:rsid w:val="4F2E0DB1"/>
    <w:rsid w:val="4F5776DC"/>
    <w:rsid w:val="4F584317"/>
    <w:rsid w:val="4F7A5394"/>
    <w:rsid w:val="4F815C1D"/>
    <w:rsid w:val="4F846A83"/>
    <w:rsid w:val="4F9273F2"/>
    <w:rsid w:val="4F9B67B6"/>
    <w:rsid w:val="4FAA50FC"/>
    <w:rsid w:val="4FB55561"/>
    <w:rsid w:val="4FC926E8"/>
    <w:rsid w:val="4FD41C1D"/>
    <w:rsid w:val="4FD54DAA"/>
    <w:rsid w:val="4FD7316C"/>
    <w:rsid w:val="4FED2322"/>
    <w:rsid w:val="4FF74011"/>
    <w:rsid w:val="4FFD53C6"/>
    <w:rsid w:val="50162A99"/>
    <w:rsid w:val="501D26C8"/>
    <w:rsid w:val="503D1B16"/>
    <w:rsid w:val="50474638"/>
    <w:rsid w:val="5074268E"/>
    <w:rsid w:val="50837A2E"/>
    <w:rsid w:val="508D060E"/>
    <w:rsid w:val="508E47DC"/>
    <w:rsid w:val="50A15458"/>
    <w:rsid w:val="50A56809"/>
    <w:rsid w:val="50A940E7"/>
    <w:rsid w:val="50AE3F83"/>
    <w:rsid w:val="50B52C6C"/>
    <w:rsid w:val="50CF7A4B"/>
    <w:rsid w:val="50DE238B"/>
    <w:rsid w:val="51022777"/>
    <w:rsid w:val="51166F3E"/>
    <w:rsid w:val="512A3862"/>
    <w:rsid w:val="512B3DE9"/>
    <w:rsid w:val="5137564E"/>
    <w:rsid w:val="514C5DF3"/>
    <w:rsid w:val="515B0FAE"/>
    <w:rsid w:val="515C0CB9"/>
    <w:rsid w:val="516C1A4D"/>
    <w:rsid w:val="517D08DC"/>
    <w:rsid w:val="51895E13"/>
    <w:rsid w:val="518C79BC"/>
    <w:rsid w:val="51A846EE"/>
    <w:rsid w:val="51B53B84"/>
    <w:rsid w:val="51BA4D6F"/>
    <w:rsid w:val="51BC6BCD"/>
    <w:rsid w:val="51BE6E5B"/>
    <w:rsid w:val="51BF3D2D"/>
    <w:rsid w:val="51F10280"/>
    <w:rsid w:val="520923F4"/>
    <w:rsid w:val="5211020B"/>
    <w:rsid w:val="52281530"/>
    <w:rsid w:val="523D7810"/>
    <w:rsid w:val="5244201F"/>
    <w:rsid w:val="524467AD"/>
    <w:rsid w:val="52545416"/>
    <w:rsid w:val="52644F06"/>
    <w:rsid w:val="529C7037"/>
    <w:rsid w:val="529E7DC9"/>
    <w:rsid w:val="52A1157D"/>
    <w:rsid w:val="52BF7DD2"/>
    <w:rsid w:val="52C276E1"/>
    <w:rsid w:val="52D10231"/>
    <w:rsid w:val="52D80AEE"/>
    <w:rsid w:val="52D868E5"/>
    <w:rsid w:val="52D92843"/>
    <w:rsid w:val="52EC1142"/>
    <w:rsid w:val="52ED7778"/>
    <w:rsid w:val="52F30525"/>
    <w:rsid w:val="530103EA"/>
    <w:rsid w:val="530C6776"/>
    <w:rsid w:val="530F2663"/>
    <w:rsid w:val="53160B7D"/>
    <w:rsid w:val="531B0AB3"/>
    <w:rsid w:val="53204CE7"/>
    <w:rsid w:val="53225A6F"/>
    <w:rsid w:val="532452B2"/>
    <w:rsid w:val="53317BC7"/>
    <w:rsid w:val="533802B0"/>
    <w:rsid w:val="533D3764"/>
    <w:rsid w:val="53586CF1"/>
    <w:rsid w:val="535B4CF0"/>
    <w:rsid w:val="53AF1055"/>
    <w:rsid w:val="53D35F33"/>
    <w:rsid w:val="53F00B8B"/>
    <w:rsid w:val="53F01C28"/>
    <w:rsid w:val="5400093A"/>
    <w:rsid w:val="5420040B"/>
    <w:rsid w:val="543E150A"/>
    <w:rsid w:val="54466D9E"/>
    <w:rsid w:val="54532EC8"/>
    <w:rsid w:val="54541300"/>
    <w:rsid w:val="5455131C"/>
    <w:rsid w:val="54EE0270"/>
    <w:rsid w:val="54FE5CA1"/>
    <w:rsid w:val="550942FD"/>
    <w:rsid w:val="551C10A5"/>
    <w:rsid w:val="552D196B"/>
    <w:rsid w:val="55411377"/>
    <w:rsid w:val="55503493"/>
    <w:rsid w:val="55647559"/>
    <w:rsid w:val="5568451C"/>
    <w:rsid w:val="5569348D"/>
    <w:rsid w:val="556B337B"/>
    <w:rsid w:val="55772974"/>
    <w:rsid w:val="557A7CA1"/>
    <w:rsid w:val="55823A64"/>
    <w:rsid w:val="55992746"/>
    <w:rsid w:val="559A7000"/>
    <w:rsid w:val="559C5E17"/>
    <w:rsid w:val="55AB528C"/>
    <w:rsid w:val="55B47996"/>
    <w:rsid w:val="55F54236"/>
    <w:rsid w:val="55F96F40"/>
    <w:rsid w:val="56293EE0"/>
    <w:rsid w:val="56563ADF"/>
    <w:rsid w:val="565845A0"/>
    <w:rsid w:val="56586573"/>
    <w:rsid w:val="565B36AE"/>
    <w:rsid w:val="56682BF6"/>
    <w:rsid w:val="566C6AAD"/>
    <w:rsid w:val="568A2261"/>
    <w:rsid w:val="56946323"/>
    <w:rsid w:val="569549B7"/>
    <w:rsid w:val="569B59A6"/>
    <w:rsid w:val="56A006CA"/>
    <w:rsid w:val="56C23B83"/>
    <w:rsid w:val="56D814C0"/>
    <w:rsid w:val="56DA438A"/>
    <w:rsid w:val="56E16CE0"/>
    <w:rsid w:val="56F00AC2"/>
    <w:rsid w:val="57132F95"/>
    <w:rsid w:val="572B3577"/>
    <w:rsid w:val="572D56F6"/>
    <w:rsid w:val="573E602B"/>
    <w:rsid w:val="5746016C"/>
    <w:rsid w:val="57474393"/>
    <w:rsid w:val="5752162C"/>
    <w:rsid w:val="5764383E"/>
    <w:rsid w:val="57817915"/>
    <w:rsid w:val="57E00882"/>
    <w:rsid w:val="57F746C5"/>
    <w:rsid w:val="5816186C"/>
    <w:rsid w:val="5827740E"/>
    <w:rsid w:val="58430210"/>
    <w:rsid w:val="58496ABB"/>
    <w:rsid w:val="584C0B3E"/>
    <w:rsid w:val="584E7C2E"/>
    <w:rsid w:val="585934A4"/>
    <w:rsid w:val="5863214C"/>
    <w:rsid w:val="58717162"/>
    <w:rsid w:val="588E49D7"/>
    <w:rsid w:val="589A70FA"/>
    <w:rsid w:val="58B8618D"/>
    <w:rsid w:val="58D2260D"/>
    <w:rsid w:val="58D36385"/>
    <w:rsid w:val="58D42829"/>
    <w:rsid w:val="58E94B0D"/>
    <w:rsid w:val="58F36659"/>
    <w:rsid w:val="59162550"/>
    <w:rsid w:val="592D3CE7"/>
    <w:rsid w:val="593477B3"/>
    <w:rsid w:val="594357A3"/>
    <w:rsid w:val="594C3BD5"/>
    <w:rsid w:val="594D3CCF"/>
    <w:rsid w:val="59606A98"/>
    <w:rsid w:val="596766CE"/>
    <w:rsid w:val="596A110C"/>
    <w:rsid w:val="597933D0"/>
    <w:rsid w:val="5979459A"/>
    <w:rsid w:val="59815DB7"/>
    <w:rsid w:val="598C33BF"/>
    <w:rsid w:val="59902BA1"/>
    <w:rsid w:val="599E2E37"/>
    <w:rsid w:val="59D63C79"/>
    <w:rsid w:val="59DD570D"/>
    <w:rsid w:val="59F760A3"/>
    <w:rsid w:val="5A001A12"/>
    <w:rsid w:val="5A05110B"/>
    <w:rsid w:val="5A0A227A"/>
    <w:rsid w:val="5A0E1D6B"/>
    <w:rsid w:val="5A167370"/>
    <w:rsid w:val="5A225816"/>
    <w:rsid w:val="5A2B6E82"/>
    <w:rsid w:val="5A355549"/>
    <w:rsid w:val="5A3571BF"/>
    <w:rsid w:val="5A3C23B3"/>
    <w:rsid w:val="5A400973"/>
    <w:rsid w:val="5A44572C"/>
    <w:rsid w:val="5A543CE0"/>
    <w:rsid w:val="5A5F4374"/>
    <w:rsid w:val="5A76796C"/>
    <w:rsid w:val="5A81253D"/>
    <w:rsid w:val="5A8A6ADB"/>
    <w:rsid w:val="5A8C7937"/>
    <w:rsid w:val="5AA549B2"/>
    <w:rsid w:val="5AA97D30"/>
    <w:rsid w:val="5AB10D16"/>
    <w:rsid w:val="5AF73BD7"/>
    <w:rsid w:val="5B4218B9"/>
    <w:rsid w:val="5B5104F9"/>
    <w:rsid w:val="5B6A7A00"/>
    <w:rsid w:val="5B7342C6"/>
    <w:rsid w:val="5BAC4E3A"/>
    <w:rsid w:val="5BBC39C1"/>
    <w:rsid w:val="5BBE1F38"/>
    <w:rsid w:val="5BBF7D40"/>
    <w:rsid w:val="5BE0723B"/>
    <w:rsid w:val="5BE34B31"/>
    <w:rsid w:val="5BE83801"/>
    <w:rsid w:val="5BF32F12"/>
    <w:rsid w:val="5C022A58"/>
    <w:rsid w:val="5C1879AB"/>
    <w:rsid w:val="5C2A0DB7"/>
    <w:rsid w:val="5C362AF4"/>
    <w:rsid w:val="5C3A3FEF"/>
    <w:rsid w:val="5C3E4720"/>
    <w:rsid w:val="5C4864EE"/>
    <w:rsid w:val="5C526BB4"/>
    <w:rsid w:val="5C54742E"/>
    <w:rsid w:val="5C623451"/>
    <w:rsid w:val="5C67322E"/>
    <w:rsid w:val="5C6A0DAE"/>
    <w:rsid w:val="5C6A12A8"/>
    <w:rsid w:val="5C7E7028"/>
    <w:rsid w:val="5C802FB3"/>
    <w:rsid w:val="5C887779"/>
    <w:rsid w:val="5CA9700D"/>
    <w:rsid w:val="5CC34110"/>
    <w:rsid w:val="5CD00967"/>
    <w:rsid w:val="5CF93845"/>
    <w:rsid w:val="5D1C0A4E"/>
    <w:rsid w:val="5D2D2508"/>
    <w:rsid w:val="5D3E5D08"/>
    <w:rsid w:val="5D6F5E13"/>
    <w:rsid w:val="5DA34FE8"/>
    <w:rsid w:val="5DA57059"/>
    <w:rsid w:val="5DAA13C6"/>
    <w:rsid w:val="5DAA6293"/>
    <w:rsid w:val="5DAD18E5"/>
    <w:rsid w:val="5DB22A59"/>
    <w:rsid w:val="5DBA3A03"/>
    <w:rsid w:val="5DBF1CEA"/>
    <w:rsid w:val="5DCF35BF"/>
    <w:rsid w:val="5DD07349"/>
    <w:rsid w:val="5DD40262"/>
    <w:rsid w:val="5DDE05F2"/>
    <w:rsid w:val="5DF559F9"/>
    <w:rsid w:val="5E045831"/>
    <w:rsid w:val="5E074110"/>
    <w:rsid w:val="5E166031"/>
    <w:rsid w:val="5E177DBB"/>
    <w:rsid w:val="5E2B0DB7"/>
    <w:rsid w:val="5E401FD5"/>
    <w:rsid w:val="5E535C74"/>
    <w:rsid w:val="5E58634F"/>
    <w:rsid w:val="5E5F7D32"/>
    <w:rsid w:val="5E8D58D4"/>
    <w:rsid w:val="5E8F7E92"/>
    <w:rsid w:val="5EC52109"/>
    <w:rsid w:val="5ECC6D77"/>
    <w:rsid w:val="5EDC6635"/>
    <w:rsid w:val="5EDD444D"/>
    <w:rsid w:val="5EDF242A"/>
    <w:rsid w:val="5EEC4CC9"/>
    <w:rsid w:val="5EF251DB"/>
    <w:rsid w:val="5F070C87"/>
    <w:rsid w:val="5F2074EC"/>
    <w:rsid w:val="5F2D5F1C"/>
    <w:rsid w:val="5F387DD8"/>
    <w:rsid w:val="5F4F5E04"/>
    <w:rsid w:val="5F610F9A"/>
    <w:rsid w:val="5F847A39"/>
    <w:rsid w:val="5F8959EF"/>
    <w:rsid w:val="5F8A052F"/>
    <w:rsid w:val="5F9C30A3"/>
    <w:rsid w:val="5F9C78C7"/>
    <w:rsid w:val="5FA221C5"/>
    <w:rsid w:val="5FA5129E"/>
    <w:rsid w:val="5FE77368"/>
    <w:rsid w:val="5FF057E4"/>
    <w:rsid w:val="5FF13CC0"/>
    <w:rsid w:val="60052A33"/>
    <w:rsid w:val="600F713A"/>
    <w:rsid w:val="6010362A"/>
    <w:rsid w:val="602B5CAC"/>
    <w:rsid w:val="603102E5"/>
    <w:rsid w:val="60442474"/>
    <w:rsid w:val="60487659"/>
    <w:rsid w:val="604C3E3B"/>
    <w:rsid w:val="604C589F"/>
    <w:rsid w:val="605006B0"/>
    <w:rsid w:val="607466A0"/>
    <w:rsid w:val="607A2E69"/>
    <w:rsid w:val="60A919DB"/>
    <w:rsid w:val="60C812CA"/>
    <w:rsid w:val="60CB4925"/>
    <w:rsid w:val="60EA5183"/>
    <w:rsid w:val="6107141F"/>
    <w:rsid w:val="612E4AA0"/>
    <w:rsid w:val="613E3123"/>
    <w:rsid w:val="6193427D"/>
    <w:rsid w:val="61AF7120"/>
    <w:rsid w:val="61B42655"/>
    <w:rsid w:val="61B64AE6"/>
    <w:rsid w:val="61EB04E9"/>
    <w:rsid w:val="61F335F4"/>
    <w:rsid w:val="62083543"/>
    <w:rsid w:val="621A5025"/>
    <w:rsid w:val="62287742"/>
    <w:rsid w:val="622F4266"/>
    <w:rsid w:val="62462A72"/>
    <w:rsid w:val="626B0025"/>
    <w:rsid w:val="62783A56"/>
    <w:rsid w:val="629E05AD"/>
    <w:rsid w:val="62D85D1E"/>
    <w:rsid w:val="62DE6052"/>
    <w:rsid w:val="63030F14"/>
    <w:rsid w:val="631261A4"/>
    <w:rsid w:val="63153520"/>
    <w:rsid w:val="6318590B"/>
    <w:rsid w:val="63195134"/>
    <w:rsid w:val="631E6739"/>
    <w:rsid w:val="631F28F3"/>
    <w:rsid w:val="635051A2"/>
    <w:rsid w:val="63520F1A"/>
    <w:rsid w:val="6359259A"/>
    <w:rsid w:val="636173F7"/>
    <w:rsid w:val="63624D8C"/>
    <w:rsid w:val="63626391"/>
    <w:rsid w:val="636C365E"/>
    <w:rsid w:val="639076DF"/>
    <w:rsid w:val="63C94F54"/>
    <w:rsid w:val="63D2090D"/>
    <w:rsid w:val="640C3504"/>
    <w:rsid w:val="64104975"/>
    <w:rsid w:val="64287ECD"/>
    <w:rsid w:val="643338C2"/>
    <w:rsid w:val="6437397B"/>
    <w:rsid w:val="644237E0"/>
    <w:rsid w:val="6443545D"/>
    <w:rsid w:val="64586DE3"/>
    <w:rsid w:val="645B5B40"/>
    <w:rsid w:val="645C5805"/>
    <w:rsid w:val="647B5C70"/>
    <w:rsid w:val="647F4D58"/>
    <w:rsid w:val="64925346"/>
    <w:rsid w:val="649322B1"/>
    <w:rsid w:val="64A036C7"/>
    <w:rsid w:val="64AF4262"/>
    <w:rsid w:val="64B9531D"/>
    <w:rsid w:val="64CC0AE3"/>
    <w:rsid w:val="64DC3870"/>
    <w:rsid w:val="64E262CE"/>
    <w:rsid w:val="64EC5F80"/>
    <w:rsid w:val="651014B1"/>
    <w:rsid w:val="65181CEF"/>
    <w:rsid w:val="65192256"/>
    <w:rsid w:val="6521049E"/>
    <w:rsid w:val="652266CA"/>
    <w:rsid w:val="65372C66"/>
    <w:rsid w:val="654235AD"/>
    <w:rsid w:val="655645C6"/>
    <w:rsid w:val="656211BC"/>
    <w:rsid w:val="65657929"/>
    <w:rsid w:val="65675E82"/>
    <w:rsid w:val="656B6764"/>
    <w:rsid w:val="657E7BD0"/>
    <w:rsid w:val="6586374B"/>
    <w:rsid w:val="65913850"/>
    <w:rsid w:val="65961181"/>
    <w:rsid w:val="65A12770"/>
    <w:rsid w:val="65A25CA2"/>
    <w:rsid w:val="65A96DEB"/>
    <w:rsid w:val="65B01E66"/>
    <w:rsid w:val="65BF660F"/>
    <w:rsid w:val="65C34C7B"/>
    <w:rsid w:val="65D748AC"/>
    <w:rsid w:val="65DA619B"/>
    <w:rsid w:val="660863BF"/>
    <w:rsid w:val="660D064B"/>
    <w:rsid w:val="661462F7"/>
    <w:rsid w:val="66157FDD"/>
    <w:rsid w:val="66201BF5"/>
    <w:rsid w:val="6624447E"/>
    <w:rsid w:val="662D21FD"/>
    <w:rsid w:val="66705FC2"/>
    <w:rsid w:val="66A85798"/>
    <w:rsid w:val="66C421B2"/>
    <w:rsid w:val="66E30E48"/>
    <w:rsid w:val="66FA2BE1"/>
    <w:rsid w:val="670047E9"/>
    <w:rsid w:val="67010AE3"/>
    <w:rsid w:val="672112E1"/>
    <w:rsid w:val="67282409"/>
    <w:rsid w:val="67340937"/>
    <w:rsid w:val="67420EC9"/>
    <w:rsid w:val="6743642C"/>
    <w:rsid w:val="67657CC6"/>
    <w:rsid w:val="67685576"/>
    <w:rsid w:val="67694F1E"/>
    <w:rsid w:val="676A5052"/>
    <w:rsid w:val="67740C3E"/>
    <w:rsid w:val="67746F85"/>
    <w:rsid w:val="678A7E30"/>
    <w:rsid w:val="679F31CB"/>
    <w:rsid w:val="67A26461"/>
    <w:rsid w:val="67C119C7"/>
    <w:rsid w:val="67C373D8"/>
    <w:rsid w:val="67D65A00"/>
    <w:rsid w:val="67DE1402"/>
    <w:rsid w:val="68002120"/>
    <w:rsid w:val="680512AA"/>
    <w:rsid w:val="680D1350"/>
    <w:rsid w:val="681174D1"/>
    <w:rsid w:val="6837640A"/>
    <w:rsid w:val="68582403"/>
    <w:rsid w:val="68660FC4"/>
    <w:rsid w:val="687E3964"/>
    <w:rsid w:val="688D5EB4"/>
    <w:rsid w:val="689210E2"/>
    <w:rsid w:val="68A40C5C"/>
    <w:rsid w:val="68A42834"/>
    <w:rsid w:val="68A4768F"/>
    <w:rsid w:val="68A9736E"/>
    <w:rsid w:val="68B22A92"/>
    <w:rsid w:val="68B755B1"/>
    <w:rsid w:val="68D2751A"/>
    <w:rsid w:val="68E814B4"/>
    <w:rsid w:val="68F91EAB"/>
    <w:rsid w:val="690C4F1E"/>
    <w:rsid w:val="690E0C84"/>
    <w:rsid w:val="69142EFB"/>
    <w:rsid w:val="69154D60"/>
    <w:rsid w:val="692A4E9F"/>
    <w:rsid w:val="69344C1E"/>
    <w:rsid w:val="6936224C"/>
    <w:rsid w:val="694766FF"/>
    <w:rsid w:val="694A6DBA"/>
    <w:rsid w:val="695225F5"/>
    <w:rsid w:val="69531548"/>
    <w:rsid w:val="69951D6A"/>
    <w:rsid w:val="699C0468"/>
    <w:rsid w:val="699F29DF"/>
    <w:rsid w:val="69A004FC"/>
    <w:rsid w:val="69BC28BE"/>
    <w:rsid w:val="69CD7FDE"/>
    <w:rsid w:val="69F50851"/>
    <w:rsid w:val="69F560C5"/>
    <w:rsid w:val="6A154664"/>
    <w:rsid w:val="6A3828E1"/>
    <w:rsid w:val="6A3E49CA"/>
    <w:rsid w:val="6A5D1F52"/>
    <w:rsid w:val="6A6613C5"/>
    <w:rsid w:val="6A6E6B07"/>
    <w:rsid w:val="6A7F1D30"/>
    <w:rsid w:val="6A8F6601"/>
    <w:rsid w:val="6A931BB0"/>
    <w:rsid w:val="6A935278"/>
    <w:rsid w:val="6A993951"/>
    <w:rsid w:val="6AA61212"/>
    <w:rsid w:val="6ABC05B5"/>
    <w:rsid w:val="6AC9111D"/>
    <w:rsid w:val="6ADB73E0"/>
    <w:rsid w:val="6ADC3F1A"/>
    <w:rsid w:val="6AE2354A"/>
    <w:rsid w:val="6AEE685F"/>
    <w:rsid w:val="6AFC53DE"/>
    <w:rsid w:val="6B0F3217"/>
    <w:rsid w:val="6B137FF4"/>
    <w:rsid w:val="6B1D2613"/>
    <w:rsid w:val="6B22477C"/>
    <w:rsid w:val="6B2705C0"/>
    <w:rsid w:val="6B28641C"/>
    <w:rsid w:val="6B320A31"/>
    <w:rsid w:val="6B3C7B82"/>
    <w:rsid w:val="6B48730C"/>
    <w:rsid w:val="6B491DA4"/>
    <w:rsid w:val="6B4C6095"/>
    <w:rsid w:val="6B5634B2"/>
    <w:rsid w:val="6B5D28FD"/>
    <w:rsid w:val="6B5E4D2E"/>
    <w:rsid w:val="6B621DBD"/>
    <w:rsid w:val="6B6E65C5"/>
    <w:rsid w:val="6B85231C"/>
    <w:rsid w:val="6BA17447"/>
    <w:rsid w:val="6BC04ABD"/>
    <w:rsid w:val="6BE116D3"/>
    <w:rsid w:val="6BEA5301"/>
    <w:rsid w:val="6BF579C9"/>
    <w:rsid w:val="6BFE3589"/>
    <w:rsid w:val="6C001136"/>
    <w:rsid w:val="6C095B4E"/>
    <w:rsid w:val="6C1825D5"/>
    <w:rsid w:val="6C2047FB"/>
    <w:rsid w:val="6C213A10"/>
    <w:rsid w:val="6C240D6B"/>
    <w:rsid w:val="6C2A7865"/>
    <w:rsid w:val="6C2D715B"/>
    <w:rsid w:val="6C4479B1"/>
    <w:rsid w:val="6C5207BE"/>
    <w:rsid w:val="6C6A54FD"/>
    <w:rsid w:val="6C82426E"/>
    <w:rsid w:val="6CAD26D2"/>
    <w:rsid w:val="6CCB5899"/>
    <w:rsid w:val="6D0A0F2E"/>
    <w:rsid w:val="6D147240"/>
    <w:rsid w:val="6D257859"/>
    <w:rsid w:val="6D3254A9"/>
    <w:rsid w:val="6D392803"/>
    <w:rsid w:val="6D4D62AE"/>
    <w:rsid w:val="6D515FCA"/>
    <w:rsid w:val="6D572015"/>
    <w:rsid w:val="6D61130D"/>
    <w:rsid w:val="6D632240"/>
    <w:rsid w:val="6D7E46BA"/>
    <w:rsid w:val="6D9E2FAE"/>
    <w:rsid w:val="6DB166DC"/>
    <w:rsid w:val="6DB44057"/>
    <w:rsid w:val="6DB70CB4"/>
    <w:rsid w:val="6DB734BF"/>
    <w:rsid w:val="6DB91B96"/>
    <w:rsid w:val="6DD54C21"/>
    <w:rsid w:val="6DD57F7C"/>
    <w:rsid w:val="6DE2733E"/>
    <w:rsid w:val="6DF42BCE"/>
    <w:rsid w:val="6E053BB1"/>
    <w:rsid w:val="6E094352"/>
    <w:rsid w:val="6E184B0E"/>
    <w:rsid w:val="6E216D83"/>
    <w:rsid w:val="6E3132BB"/>
    <w:rsid w:val="6E331BC4"/>
    <w:rsid w:val="6E337525"/>
    <w:rsid w:val="6E424BD5"/>
    <w:rsid w:val="6E4C3940"/>
    <w:rsid w:val="6EAE69E5"/>
    <w:rsid w:val="6EBA264A"/>
    <w:rsid w:val="6EBA61CC"/>
    <w:rsid w:val="6EBD4F8D"/>
    <w:rsid w:val="6EC933B2"/>
    <w:rsid w:val="6EF37C4F"/>
    <w:rsid w:val="6EF54E4F"/>
    <w:rsid w:val="6F053B02"/>
    <w:rsid w:val="6F182E47"/>
    <w:rsid w:val="6F1C574B"/>
    <w:rsid w:val="6F4D07E7"/>
    <w:rsid w:val="6F6B5F2F"/>
    <w:rsid w:val="6F7E5F1B"/>
    <w:rsid w:val="6F815117"/>
    <w:rsid w:val="6F8A5608"/>
    <w:rsid w:val="6F8B55A6"/>
    <w:rsid w:val="6FB65B98"/>
    <w:rsid w:val="6FC16E73"/>
    <w:rsid w:val="6FC56A54"/>
    <w:rsid w:val="6FCC3E02"/>
    <w:rsid w:val="6FCD2794"/>
    <w:rsid w:val="6FF5141A"/>
    <w:rsid w:val="701D6286"/>
    <w:rsid w:val="702A2DF0"/>
    <w:rsid w:val="70340437"/>
    <w:rsid w:val="705838E8"/>
    <w:rsid w:val="706749C0"/>
    <w:rsid w:val="706758D9"/>
    <w:rsid w:val="7071229B"/>
    <w:rsid w:val="70836E20"/>
    <w:rsid w:val="708F3F4F"/>
    <w:rsid w:val="70974410"/>
    <w:rsid w:val="709A4F8D"/>
    <w:rsid w:val="709D754D"/>
    <w:rsid w:val="70DF2055"/>
    <w:rsid w:val="70EC1752"/>
    <w:rsid w:val="71011C11"/>
    <w:rsid w:val="710650F2"/>
    <w:rsid w:val="71084517"/>
    <w:rsid w:val="710F59DC"/>
    <w:rsid w:val="71132577"/>
    <w:rsid w:val="711772FF"/>
    <w:rsid w:val="712E49B4"/>
    <w:rsid w:val="7137018B"/>
    <w:rsid w:val="715E3EF7"/>
    <w:rsid w:val="716360A0"/>
    <w:rsid w:val="718827C6"/>
    <w:rsid w:val="718D186A"/>
    <w:rsid w:val="719A27C9"/>
    <w:rsid w:val="719E503F"/>
    <w:rsid w:val="71AC3D91"/>
    <w:rsid w:val="71C42137"/>
    <w:rsid w:val="71D13952"/>
    <w:rsid w:val="71FF0740"/>
    <w:rsid w:val="71FF0BB1"/>
    <w:rsid w:val="7205522D"/>
    <w:rsid w:val="722367E4"/>
    <w:rsid w:val="723B4C6C"/>
    <w:rsid w:val="72597F12"/>
    <w:rsid w:val="727D5888"/>
    <w:rsid w:val="728733AE"/>
    <w:rsid w:val="72885057"/>
    <w:rsid w:val="72891B74"/>
    <w:rsid w:val="728A466C"/>
    <w:rsid w:val="729231C5"/>
    <w:rsid w:val="72A739E6"/>
    <w:rsid w:val="72A921D9"/>
    <w:rsid w:val="72B42082"/>
    <w:rsid w:val="72BF73FF"/>
    <w:rsid w:val="72C214EC"/>
    <w:rsid w:val="72D3059A"/>
    <w:rsid w:val="72D64092"/>
    <w:rsid w:val="72D737D3"/>
    <w:rsid w:val="72E61D32"/>
    <w:rsid w:val="72EE22E1"/>
    <w:rsid w:val="73013FCC"/>
    <w:rsid w:val="730B40D5"/>
    <w:rsid w:val="73306085"/>
    <w:rsid w:val="733C6D0F"/>
    <w:rsid w:val="73444D77"/>
    <w:rsid w:val="734514B7"/>
    <w:rsid w:val="73547991"/>
    <w:rsid w:val="73692A42"/>
    <w:rsid w:val="736938A6"/>
    <w:rsid w:val="736B7CB7"/>
    <w:rsid w:val="736C2616"/>
    <w:rsid w:val="73766D13"/>
    <w:rsid w:val="73850A93"/>
    <w:rsid w:val="739169F9"/>
    <w:rsid w:val="73B03DD9"/>
    <w:rsid w:val="73B86EB1"/>
    <w:rsid w:val="73D94D40"/>
    <w:rsid w:val="73E4649C"/>
    <w:rsid w:val="73E51D11"/>
    <w:rsid w:val="73F328B4"/>
    <w:rsid w:val="73F76F74"/>
    <w:rsid w:val="73FC2213"/>
    <w:rsid w:val="740E25F9"/>
    <w:rsid w:val="740E561C"/>
    <w:rsid w:val="74170F18"/>
    <w:rsid w:val="74273CFD"/>
    <w:rsid w:val="745B0499"/>
    <w:rsid w:val="749D0891"/>
    <w:rsid w:val="749E119A"/>
    <w:rsid w:val="74B65081"/>
    <w:rsid w:val="74C36F32"/>
    <w:rsid w:val="74C75E1F"/>
    <w:rsid w:val="74D07A67"/>
    <w:rsid w:val="74D33EF6"/>
    <w:rsid w:val="74E25E76"/>
    <w:rsid w:val="74FD1691"/>
    <w:rsid w:val="75193C1C"/>
    <w:rsid w:val="75363B41"/>
    <w:rsid w:val="754100BE"/>
    <w:rsid w:val="755F74C6"/>
    <w:rsid w:val="75713968"/>
    <w:rsid w:val="7594796B"/>
    <w:rsid w:val="75992D53"/>
    <w:rsid w:val="75BC0475"/>
    <w:rsid w:val="75BC37EB"/>
    <w:rsid w:val="75C4705E"/>
    <w:rsid w:val="75CD458E"/>
    <w:rsid w:val="75CF7779"/>
    <w:rsid w:val="75D94171"/>
    <w:rsid w:val="75E52D7A"/>
    <w:rsid w:val="75FB22F9"/>
    <w:rsid w:val="75FE6CD3"/>
    <w:rsid w:val="761733FE"/>
    <w:rsid w:val="76174F9E"/>
    <w:rsid w:val="761A6A1B"/>
    <w:rsid w:val="76361FD5"/>
    <w:rsid w:val="767753EB"/>
    <w:rsid w:val="767A50C2"/>
    <w:rsid w:val="767E5321"/>
    <w:rsid w:val="76866093"/>
    <w:rsid w:val="7698243C"/>
    <w:rsid w:val="769A2CF5"/>
    <w:rsid w:val="769D4442"/>
    <w:rsid w:val="76A038F3"/>
    <w:rsid w:val="76A1265E"/>
    <w:rsid w:val="76AF515A"/>
    <w:rsid w:val="76BB74B0"/>
    <w:rsid w:val="76C340DF"/>
    <w:rsid w:val="76CA6BC2"/>
    <w:rsid w:val="76CD1106"/>
    <w:rsid w:val="76E63B9C"/>
    <w:rsid w:val="76F679BA"/>
    <w:rsid w:val="77282E24"/>
    <w:rsid w:val="773D64AD"/>
    <w:rsid w:val="773F3EF6"/>
    <w:rsid w:val="77424C09"/>
    <w:rsid w:val="77471B59"/>
    <w:rsid w:val="77605439"/>
    <w:rsid w:val="777703EE"/>
    <w:rsid w:val="778165CD"/>
    <w:rsid w:val="778E0DE7"/>
    <w:rsid w:val="77963B82"/>
    <w:rsid w:val="7798025B"/>
    <w:rsid w:val="77996CC0"/>
    <w:rsid w:val="77B55EE6"/>
    <w:rsid w:val="77CA5641"/>
    <w:rsid w:val="77CA5FE6"/>
    <w:rsid w:val="77D75301"/>
    <w:rsid w:val="77E12415"/>
    <w:rsid w:val="77EB7204"/>
    <w:rsid w:val="77EF18C9"/>
    <w:rsid w:val="780A72C3"/>
    <w:rsid w:val="780D4DDE"/>
    <w:rsid w:val="781800F2"/>
    <w:rsid w:val="78203AD8"/>
    <w:rsid w:val="78307537"/>
    <w:rsid w:val="783339F8"/>
    <w:rsid w:val="783B523F"/>
    <w:rsid w:val="786618E2"/>
    <w:rsid w:val="78764B0C"/>
    <w:rsid w:val="78780CEE"/>
    <w:rsid w:val="788A489C"/>
    <w:rsid w:val="78A82768"/>
    <w:rsid w:val="78C83AD2"/>
    <w:rsid w:val="78E94158"/>
    <w:rsid w:val="78FB7506"/>
    <w:rsid w:val="7902426D"/>
    <w:rsid w:val="79030169"/>
    <w:rsid w:val="7925068A"/>
    <w:rsid w:val="7929100A"/>
    <w:rsid w:val="795D6744"/>
    <w:rsid w:val="797474B7"/>
    <w:rsid w:val="798A5C60"/>
    <w:rsid w:val="799F77B8"/>
    <w:rsid w:val="79A07515"/>
    <w:rsid w:val="79CA0038"/>
    <w:rsid w:val="79CB47A6"/>
    <w:rsid w:val="79DF4183"/>
    <w:rsid w:val="79F14389"/>
    <w:rsid w:val="7A00729F"/>
    <w:rsid w:val="7A0E35CF"/>
    <w:rsid w:val="7A142BB8"/>
    <w:rsid w:val="7A1F3357"/>
    <w:rsid w:val="7A2A1F25"/>
    <w:rsid w:val="7A2E15EF"/>
    <w:rsid w:val="7A314342"/>
    <w:rsid w:val="7A392CE7"/>
    <w:rsid w:val="7A8B6668"/>
    <w:rsid w:val="7A9252EE"/>
    <w:rsid w:val="7A9861CB"/>
    <w:rsid w:val="7AA70705"/>
    <w:rsid w:val="7AAB5483"/>
    <w:rsid w:val="7AC228CA"/>
    <w:rsid w:val="7AC426F9"/>
    <w:rsid w:val="7ACA47EB"/>
    <w:rsid w:val="7ACA5466"/>
    <w:rsid w:val="7AD069C7"/>
    <w:rsid w:val="7AD45C10"/>
    <w:rsid w:val="7AE3328E"/>
    <w:rsid w:val="7AF104A4"/>
    <w:rsid w:val="7AFF176C"/>
    <w:rsid w:val="7B024A73"/>
    <w:rsid w:val="7B0A6A9B"/>
    <w:rsid w:val="7B0D2818"/>
    <w:rsid w:val="7B2047C6"/>
    <w:rsid w:val="7B284B90"/>
    <w:rsid w:val="7B474C85"/>
    <w:rsid w:val="7B6B6D62"/>
    <w:rsid w:val="7B863B58"/>
    <w:rsid w:val="7B8A164D"/>
    <w:rsid w:val="7B994E29"/>
    <w:rsid w:val="7BA80A22"/>
    <w:rsid w:val="7BA838BD"/>
    <w:rsid w:val="7BB66E7F"/>
    <w:rsid w:val="7BBC7EF9"/>
    <w:rsid w:val="7BC879FB"/>
    <w:rsid w:val="7BD1454E"/>
    <w:rsid w:val="7BD41347"/>
    <w:rsid w:val="7C06069C"/>
    <w:rsid w:val="7C1F5A64"/>
    <w:rsid w:val="7C217284"/>
    <w:rsid w:val="7C2B048D"/>
    <w:rsid w:val="7C70063A"/>
    <w:rsid w:val="7C746681"/>
    <w:rsid w:val="7C85671B"/>
    <w:rsid w:val="7C996138"/>
    <w:rsid w:val="7C9D6008"/>
    <w:rsid w:val="7CA20C72"/>
    <w:rsid w:val="7CA96AF4"/>
    <w:rsid w:val="7CB82DCD"/>
    <w:rsid w:val="7CBA2277"/>
    <w:rsid w:val="7CD80A03"/>
    <w:rsid w:val="7CF50C89"/>
    <w:rsid w:val="7D2647F8"/>
    <w:rsid w:val="7D2D1D1E"/>
    <w:rsid w:val="7D534C0C"/>
    <w:rsid w:val="7D5B3BA0"/>
    <w:rsid w:val="7D667F1E"/>
    <w:rsid w:val="7D6D0647"/>
    <w:rsid w:val="7D7020D1"/>
    <w:rsid w:val="7D823D52"/>
    <w:rsid w:val="7DA43CC8"/>
    <w:rsid w:val="7DA9460F"/>
    <w:rsid w:val="7DAE06B7"/>
    <w:rsid w:val="7DD54836"/>
    <w:rsid w:val="7DDF08AD"/>
    <w:rsid w:val="7DE31066"/>
    <w:rsid w:val="7DE332EA"/>
    <w:rsid w:val="7DE65FBE"/>
    <w:rsid w:val="7DE87CD0"/>
    <w:rsid w:val="7DF537E7"/>
    <w:rsid w:val="7DFF6F70"/>
    <w:rsid w:val="7E0935A4"/>
    <w:rsid w:val="7E0D2AF2"/>
    <w:rsid w:val="7E1640FB"/>
    <w:rsid w:val="7E176086"/>
    <w:rsid w:val="7E1E70C9"/>
    <w:rsid w:val="7E3B2283"/>
    <w:rsid w:val="7E4E4A04"/>
    <w:rsid w:val="7E507159"/>
    <w:rsid w:val="7E7B3986"/>
    <w:rsid w:val="7E826950"/>
    <w:rsid w:val="7E887A60"/>
    <w:rsid w:val="7E90208C"/>
    <w:rsid w:val="7E9064E4"/>
    <w:rsid w:val="7E9E2C4F"/>
    <w:rsid w:val="7E9F4D2C"/>
    <w:rsid w:val="7EA30CDC"/>
    <w:rsid w:val="7ECD25DF"/>
    <w:rsid w:val="7ED240BD"/>
    <w:rsid w:val="7EDC38BD"/>
    <w:rsid w:val="7EE75CA7"/>
    <w:rsid w:val="7EF24F07"/>
    <w:rsid w:val="7EF82D86"/>
    <w:rsid w:val="7F076AF0"/>
    <w:rsid w:val="7F211349"/>
    <w:rsid w:val="7F2552DD"/>
    <w:rsid w:val="7F4E32BF"/>
    <w:rsid w:val="7F710522"/>
    <w:rsid w:val="7F7405C7"/>
    <w:rsid w:val="7F853FCE"/>
    <w:rsid w:val="7F8A7F3B"/>
    <w:rsid w:val="7FA55FC4"/>
    <w:rsid w:val="7FE16841"/>
    <w:rsid w:val="7FFC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1"/>
    <w:qFormat/>
    <w:uiPriority w:val="0"/>
    <w:pPr>
      <w:keepNext/>
      <w:keepLines/>
      <w:spacing w:line="576" w:lineRule="auto"/>
      <w:jc w:val="center"/>
      <w:outlineLvl w:val="0"/>
    </w:pPr>
    <w:rPr>
      <w:rFonts w:ascii="Times New Roman" w:hAnsi="Times New Roman" w:eastAsia="宋体"/>
      <w:b/>
      <w:kern w:val="44"/>
      <w:sz w:val="32"/>
    </w:rPr>
  </w:style>
  <w:style w:type="paragraph" w:styleId="4">
    <w:name w:val="heading 2"/>
    <w:basedOn w:val="1"/>
    <w:next w:val="5"/>
    <w:link w:val="69"/>
    <w:unhideWhenUsed/>
    <w:qFormat/>
    <w:uiPriority w:val="0"/>
    <w:pPr>
      <w:keepNext/>
      <w:keepLines/>
      <w:spacing w:line="413" w:lineRule="auto"/>
      <w:jc w:val="center"/>
      <w:outlineLvl w:val="1"/>
    </w:pPr>
    <w:rPr>
      <w:rFonts w:ascii="Arial" w:hAnsi="Arial" w:eastAsia="宋体"/>
      <w:b/>
      <w:sz w:val="24"/>
    </w:rPr>
  </w:style>
  <w:style w:type="paragraph" w:styleId="8">
    <w:name w:val="heading 3"/>
    <w:basedOn w:val="1"/>
    <w:next w:val="1"/>
    <w:unhideWhenUsed/>
    <w:qFormat/>
    <w:uiPriority w:val="0"/>
    <w:pPr>
      <w:keepNext/>
      <w:keepLines/>
      <w:spacing w:line="413" w:lineRule="auto"/>
      <w:outlineLvl w:val="2"/>
    </w:pPr>
    <w:rPr>
      <w:b/>
      <w:sz w:val="28"/>
    </w:rPr>
  </w:style>
  <w:style w:type="paragraph" w:styleId="2">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First Indent 2"/>
    <w:basedOn w:val="7"/>
    <w:next w:val="5"/>
    <w:qFormat/>
    <w:uiPriority w:val="99"/>
  </w:style>
  <w:style w:type="paragraph" w:styleId="7">
    <w:name w:val="Body Text Indent"/>
    <w:basedOn w:val="1"/>
    <w:next w:val="1"/>
    <w:qFormat/>
    <w:uiPriority w:val="0"/>
    <w:pPr>
      <w:ind w:left="420" w:leftChars="200"/>
    </w:pPr>
  </w:style>
  <w:style w:type="paragraph" w:styleId="9">
    <w:name w:val="List Number"/>
    <w:basedOn w:val="1"/>
    <w:qFormat/>
    <w:uiPriority w:val="0"/>
    <w:pPr>
      <w:numPr>
        <w:ilvl w:val="0"/>
        <w:numId w:val="1"/>
      </w:numPr>
    </w:pPr>
  </w:style>
  <w:style w:type="paragraph" w:styleId="10">
    <w:name w:val="Document Map"/>
    <w:basedOn w:val="1"/>
    <w:link w:val="53"/>
    <w:qFormat/>
    <w:uiPriority w:val="0"/>
    <w:rPr>
      <w:rFonts w:ascii="宋体" w:eastAsia="宋体"/>
      <w:sz w:val="18"/>
      <w:szCs w:val="18"/>
    </w:rPr>
  </w:style>
  <w:style w:type="paragraph" w:styleId="11">
    <w:name w:val="toa heading"/>
    <w:basedOn w:val="1"/>
    <w:next w:val="1"/>
    <w:qFormat/>
    <w:uiPriority w:val="0"/>
    <w:pPr>
      <w:spacing w:before="120"/>
    </w:pPr>
    <w:rPr>
      <w:rFonts w:ascii="Arial" w:hAnsi="Arial" w:cs="Arial"/>
      <w:sz w:val="24"/>
    </w:rPr>
  </w:style>
  <w:style w:type="paragraph" w:styleId="12">
    <w:name w:val="annotation text"/>
    <w:basedOn w:val="1"/>
    <w:link w:val="51"/>
    <w:qFormat/>
    <w:uiPriority w:val="99"/>
    <w:pPr>
      <w:jc w:val="left"/>
    </w:pPr>
    <w:rPr>
      <w:rFonts w:ascii="宋体"/>
      <w:kern w:val="0"/>
      <w:sz w:val="34"/>
    </w:rPr>
  </w:style>
  <w:style w:type="paragraph" w:styleId="13">
    <w:name w:val="Body Text"/>
    <w:basedOn w:val="1"/>
    <w:next w:val="1"/>
    <w:qFormat/>
    <w:uiPriority w:val="0"/>
  </w:style>
  <w:style w:type="paragraph" w:styleId="14">
    <w:name w:val="toc 3"/>
    <w:basedOn w:val="1"/>
    <w:next w:val="1"/>
    <w:qFormat/>
    <w:uiPriority w:val="0"/>
    <w:pPr>
      <w:ind w:left="840" w:leftChars="400"/>
    </w:pPr>
  </w:style>
  <w:style w:type="paragraph" w:styleId="15">
    <w:name w:val="Plain Text"/>
    <w:basedOn w:val="1"/>
    <w:qFormat/>
    <w:uiPriority w:val="0"/>
    <w:pPr>
      <w:spacing w:line="324" w:lineRule="auto"/>
    </w:pPr>
    <w:rPr>
      <w:rFonts w:ascii="宋体" w:hAnsi="Courier New" w:cs="Courier New"/>
      <w:szCs w:val="21"/>
    </w:rPr>
  </w:style>
  <w:style w:type="paragraph" w:styleId="16">
    <w:name w:val="Date"/>
    <w:basedOn w:val="1"/>
    <w:next w:val="1"/>
    <w:qFormat/>
    <w:uiPriority w:val="0"/>
    <w:rPr>
      <w:rFonts w:ascii="Copperplate Gothic Bold" w:hAnsi="Copperplate Gothic Bold"/>
      <w:sz w:val="32"/>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50"/>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6"/>
    <w:basedOn w:val="1"/>
    <w:next w:val="1"/>
    <w:unhideWhenUsed/>
    <w:qFormat/>
    <w:uiPriority w:val="39"/>
    <w:pPr>
      <w:ind w:left="1200"/>
      <w:jc w:val="left"/>
    </w:pPr>
    <w:rPr>
      <w:rFonts w:ascii="Calibri" w:hAnsi="Calibri" w:eastAsia="宋体" w:cs="Calibri"/>
      <w:sz w:val="20"/>
      <w:szCs w:val="20"/>
    </w:rPr>
  </w:style>
  <w:style w:type="paragraph" w:styleId="23">
    <w:name w:val="toc 2"/>
    <w:basedOn w:val="1"/>
    <w:next w:val="1"/>
    <w:qFormat/>
    <w:uiPriority w:val="0"/>
    <w:pPr>
      <w:ind w:left="420" w:leftChars="200"/>
    </w:pPr>
  </w:style>
  <w:style w:type="paragraph" w:styleId="24">
    <w:name w:val="Body Text 2"/>
    <w:basedOn w:val="1"/>
    <w:qFormat/>
    <w:uiPriority w:val="0"/>
    <w:pPr>
      <w:jc w:val="center"/>
    </w:pPr>
    <w:rPr>
      <w:b/>
      <w:spacing w:val="-20"/>
      <w:w w:val="130"/>
      <w:sz w:val="48"/>
      <w:szCs w:val="20"/>
    </w:rPr>
  </w:style>
  <w:style w:type="paragraph" w:styleId="2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annotation subject"/>
    <w:basedOn w:val="12"/>
    <w:next w:val="12"/>
    <w:link w:val="61"/>
    <w:qFormat/>
    <w:uiPriority w:val="0"/>
    <w:rPr>
      <w:rFonts w:asciiTheme="minorHAnsi"/>
      <w:b/>
      <w:bCs/>
      <w:kern w:val="2"/>
      <w:sz w:val="21"/>
    </w:rPr>
  </w:style>
  <w:style w:type="paragraph" w:styleId="27">
    <w:name w:val="Body Text First Indent"/>
    <w:basedOn w:val="13"/>
    <w:next w:val="22"/>
    <w:unhideWhenUsed/>
    <w:qFormat/>
    <w:uiPriority w:val="99"/>
    <w:pPr>
      <w:ind w:firstLine="420" w:firstLineChars="100"/>
    </w:pPr>
    <w:rPr>
      <w:rFonts w:ascii="Times New Roman" w:hAnsi="Times New Roman"/>
      <w:sz w:val="18"/>
      <w:szCs w:val="18"/>
    </w:rPr>
  </w:style>
  <w:style w:type="table" w:styleId="29">
    <w:name w:val="Table Grid"/>
    <w:basedOn w:val="2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sz w:val="24"/>
      <w:szCs w:val="24"/>
    </w:rPr>
  </w:style>
  <w:style w:type="character" w:styleId="32">
    <w:name w:val="page number"/>
    <w:basedOn w:val="30"/>
    <w:qFormat/>
    <w:uiPriority w:val="0"/>
  </w:style>
  <w:style w:type="character" w:styleId="33">
    <w:name w:val="FollowedHyperlink"/>
    <w:basedOn w:val="30"/>
    <w:qFormat/>
    <w:uiPriority w:val="0"/>
    <w:rPr>
      <w:rFonts w:hint="eastAsia" w:ascii="宋体" w:hAnsi="宋体" w:eastAsia="宋体" w:cs="宋体"/>
      <w:color w:val="000000"/>
      <w:sz w:val="18"/>
      <w:szCs w:val="18"/>
      <w:u w:val="none"/>
    </w:rPr>
  </w:style>
  <w:style w:type="character" w:styleId="34">
    <w:name w:val="Emphasis"/>
    <w:basedOn w:val="30"/>
    <w:qFormat/>
    <w:uiPriority w:val="0"/>
    <w:rPr>
      <w:i/>
      <w:iCs/>
    </w:rPr>
  </w:style>
  <w:style w:type="character" w:styleId="35">
    <w:name w:val="Hyperlink"/>
    <w:basedOn w:val="30"/>
    <w:qFormat/>
    <w:uiPriority w:val="0"/>
    <w:rPr>
      <w:color w:val="0000FF"/>
      <w:u w:val="single"/>
    </w:rPr>
  </w:style>
  <w:style w:type="character" w:styleId="36">
    <w:name w:val="annotation reference"/>
    <w:qFormat/>
    <w:uiPriority w:val="99"/>
    <w:rPr>
      <w:sz w:val="21"/>
      <w:szCs w:val="21"/>
    </w:rPr>
  </w:style>
  <w:style w:type="character" w:styleId="37">
    <w:name w:val="HTML Cite"/>
    <w:basedOn w:val="30"/>
    <w:qFormat/>
    <w:uiPriority w:val="0"/>
    <w:rPr>
      <w:sz w:val="24"/>
      <w:szCs w:val="24"/>
    </w:rPr>
  </w:style>
  <w:style w:type="paragraph" w:customStyle="1" w:styleId="38">
    <w:name w:val="无间隔1"/>
    <w:basedOn w:val="1"/>
    <w:qFormat/>
    <w:uiPriority w:val="1"/>
    <w:pPr>
      <w:spacing w:line="400" w:lineRule="exact"/>
    </w:pPr>
    <w:rPr>
      <w:sz w:val="24"/>
    </w:rPr>
  </w:style>
  <w:style w:type="paragraph" w:customStyle="1" w:styleId="39">
    <w:name w:val="正文缩进1"/>
    <w:basedOn w:val="1"/>
    <w:qFormat/>
    <w:uiPriority w:val="0"/>
    <w:pPr>
      <w:ind w:firstLine="420" w:firstLineChars="200"/>
    </w:pPr>
  </w:style>
  <w:style w:type="paragraph" w:customStyle="1" w:styleId="40">
    <w:name w:val="Char2 Char Char Char"/>
    <w:basedOn w:val="1"/>
    <w:qFormat/>
    <w:uiPriority w:val="0"/>
    <w:rPr>
      <w:rFonts w:ascii="Tahoma" w:hAnsi="Tahoma"/>
      <w:sz w:val="24"/>
      <w:szCs w:val="20"/>
    </w:rPr>
  </w:style>
  <w:style w:type="paragraph" w:customStyle="1" w:styleId="41">
    <w:name w:val="列出段落1"/>
    <w:basedOn w:val="1"/>
    <w:unhideWhenUsed/>
    <w:qFormat/>
    <w:uiPriority w:val="99"/>
    <w:pPr>
      <w:ind w:firstLine="420" w:firstLineChars="200"/>
    </w:pPr>
  </w:style>
  <w:style w:type="character" w:customStyle="1" w:styleId="42">
    <w:name w:val="10"/>
    <w:basedOn w:val="30"/>
    <w:qFormat/>
    <w:uiPriority w:val="0"/>
    <w:rPr>
      <w:rFonts w:hint="default" w:ascii="Calibri" w:hAnsi="Calibri"/>
    </w:rPr>
  </w:style>
  <w:style w:type="character" w:customStyle="1" w:styleId="43">
    <w:name w:val="15"/>
    <w:basedOn w:val="30"/>
    <w:qFormat/>
    <w:uiPriority w:val="0"/>
    <w:rPr>
      <w:rFonts w:hint="default" w:ascii="Calibri" w:hAnsi="Calibri"/>
      <w:i/>
      <w:iCs/>
    </w:rPr>
  </w:style>
  <w:style w:type="paragraph" w:customStyle="1" w:styleId="44">
    <w:name w:val="_Style 2"/>
    <w:basedOn w:val="1"/>
    <w:qFormat/>
    <w:uiPriority w:val="34"/>
    <w:pPr>
      <w:ind w:firstLine="420" w:firstLineChars="200"/>
    </w:pPr>
  </w:style>
  <w:style w:type="character" w:customStyle="1" w:styleId="45">
    <w:name w:val="apple-style-span"/>
    <w:qFormat/>
    <w:uiPriority w:val="0"/>
  </w:style>
  <w:style w:type="character" w:customStyle="1" w:styleId="46">
    <w:name w:val="del"/>
    <w:basedOn w:val="30"/>
    <w:qFormat/>
    <w:uiPriority w:val="0"/>
  </w:style>
  <w:style w:type="character" w:customStyle="1" w:styleId="47">
    <w:name w:val="del1"/>
    <w:basedOn w:val="30"/>
    <w:qFormat/>
    <w:uiPriority w:val="0"/>
    <w:rPr>
      <w:vanish/>
      <w:color w:val="666666"/>
      <w:sz w:val="18"/>
      <w:szCs w:val="18"/>
      <w:u w:val="single"/>
    </w:rPr>
  </w:style>
  <w:style w:type="character" w:customStyle="1" w:styleId="48">
    <w:name w:val="del2"/>
    <w:basedOn w:val="30"/>
    <w:qFormat/>
    <w:uiPriority w:val="0"/>
    <w:rPr>
      <w:vanish/>
    </w:rPr>
  </w:style>
  <w:style w:type="character" w:customStyle="1" w:styleId="49">
    <w:name w:val="del3"/>
    <w:basedOn w:val="30"/>
    <w:qFormat/>
    <w:uiPriority w:val="0"/>
    <w:rPr>
      <w:vanish/>
    </w:rPr>
  </w:style>
  <w:style w:type="character" w:customStyle="1" w:styleId="50">
    <w:name w:val="批注框文本 Char"/>
    <w:basedOn w:val="30"/>
    <w:link w:val="18"/>
    <w:qFormat/>
    <w:uiPriority w:val="0"/>
    <w:rPr>
      <w:rFonts w:asciiTheme="minorHAnsi" w:hAnsiTheme="minorHAnsi" w:eastAsiaTheme="minorEastAsia" w:cstheme="minorBidi"/>
      <w:kern w:val="2"/>
      <w:sz w:val="18"/>
      <w:szCs w:val="18"/>
    </w:rPr>
  </w:style>
  <w:style w:type="character" w:customStyle="1" w:styleId="51">
    <w:name w:val="批注文字 Char"/>
    <w:basedOn w:val="30"/>
    <w:link w:val="12"/>
    <w:qFormat/>
    <w:uiPriority w:val="99"/>
    <w:rPr>
      <w:rFonts w:ascii="宋体" w:hAnsiTheme="minorHAnsi" w:eastAsiaTheme="minorEastAsia" w:cstheme="minorBidi"/>
      <w:sz w:val="34"/>
      <w:szCs w:val="22"/>
    </w:rPr>
  </w:style>
  <w:style w:type="paragraph" w:customStyle="1" w:styleId="52">
    <w:name w:val="列出段落2"/>
    <w:basedOn w:val="1"/>
    <w:qFormat/>
    <w:uiPriority w:val="0"/>
    <w:pPr>
      <w:ind w:firstLine="420" w:firstLineChars="200"/>
    </w:pPr>
    <w:rPr>
      <w:rFonts w:ascii="宋体"/>
      <w:sz w:val="28"/>
    </w:rPr>
  </w:style>
  <w:style w:type="character" w:customStyle="1" w:styleId="53">
    <w:name w:val="文档结构图 Char"/>
    <w:basedOn w:val="30"/>
    <w:link w:val="10"/>
    <w:qFormat/>
    <w:uiPriority w:val="0"/>
    <w:rPr>
      <w:rFonts w:ascii="宋体" w:hAnsiTheme="minorHAnsi" w:cstheme="minorBidi"/>
      <w:kern w:val="2"/>
      <w:sz w:val="18"/>
      <w:szCs w:val="18"/>
    </w:rPr>
  </w:style>
  <w:style w:type="paragraph" w:customStyle="1" w:styleId="54">
    <w:name w:val="普通(网站)1"/>
    <w:basedOn w:val="1"/>
    <w:qFormat/>
    <w:uiPriority w:val="0"/>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55">
    <w:name w:val="样式 宋体 小四 首行缩进:  0.93 厘米 段前: 11.15 磅 段后: 11.15 磅1"/>
    <w:basedOn w:val="1"/>
    <w:qFormat/>
    <w:uiPriority w:val="0"/>
    <w:pPr>
      <w:ind w:left="200"/>
    </w:pPr>
    <w:rPr>
      <w:rFonts w:hint="eastAsia" w:ascii="宋体" w:hAnsi="宋体"/>
      <w:color w:val="000000"/>
      <w:kern w:val="1"/>
      <w:sz w:val="24"/>
      <w:szCs w:val="20"/>
    </w:rPr>
  </w:style>
  <w:style w:type="paragraph" w:customStyle="1" w:styleId="56">
    <w:name w:val="列出段落3"/>
    <w:basedOn w:val="1"/>
    <w:qFormat/>
    <w:uiPriority w:val="0"/>
    <w:pPr>
      <w:ind w:firstLine="420" w:firstLineChars="200"/>
    </w:pPr>
    <w:rPr>
      <w:rFonts w:ascii="宋体"/>
      <w:sz w:val="28"/>
    </w:rPr>
  </w:style>
  <w:style w:type="paragraph" w:customStyle="1" w:styleId="57">
    <w:name w:val="list number ＋left spaceing"/>
    <w:basedOn w:val="9"/>
    <w:qFormat/>
    <w:uiPriority w:val="0"/>
    <w:pPr>
      <w:widowControl/>
      <w:tabs>
        <w:tab w:val="left" w:pos="839"/>
      </w:tabs>
      <w:ind w:left="0" w:firstLine="0"/>
      <w:jc w:val="left"/>
    </w:pPr>
    <w:rPr>
      <w:kern w:val="0"/>
    </w:rPr>
  </w:style>
  <w:style w:type="paragraph" w:customStyle="1" w:styleId="58">
    <w:name w:val="正文框"/>
    <w:basedOn w:val="1"/>
    <w:qFormat/>
    <w:uiPriority w:val="0"/>
    <w:pPr>
      <w:widowControl/>
      <w:adjustRightInd w:val="0"/>
      <w:spacing w:line="312" w:lineRule="atLeast"/>
      <w:jc w:val="left"/>
      <w:textAlignment w:val="baseline"/>
    </w:pPr>
    <w:rPr>
      <w:sz w:val="24"/>
    </w:rPr>
  </w:style>
  <w:style w:type="paragraph" w:customStyle="1" w:styleId="59">
    <w:name w:val="Char"/>
    <w:basedOn w:val="1"/>
    <w:qFormat/>
    <w:uiPriority w:val="0"/>
    <w:pPr>
      <w:jc w:val="left"/>
    </w:pPr>
    <w:rPr>
      <w:rFonts w:ascii="Tahoma" w:hAnsi="Tahoma"/>
      <w:sz w:val="24"/>
      <w:szCs w:val="20"/>
    </w:rPr>
  </w:style>
  <w:style w:type="character" w:customStyle="1" w:styleId="60">
    <w:name w:val="标题 1 Char"/>
    <w:link w:val="3"/>
    <w:qFormat/>
    <w:uiPriority w:val="0"/>
    <w:rPr>
      <w:rFonts w:ascii="Times New Roman" w:hAnsi="Times New Roman" w:eastAsia="宋体"/>
      <w:b/>
      <w:kern w:val="44"/>
      <w:sz w:val="32"/>
    </w:rPr>
  </w:style>
  <w:style w:type="character" w:customStyle="1" w:styleId="61">
    <w:name w:val="批注主题 Char"/>
    <w:basedOn w:val="51"/>
    <w:link w:val="26"/>
    <w:qFormat/>
    <w:uiPriority w:val="0"/>
    <w:rPr>
      <w:rFonts w:asciiTheme="minorHAnsi" w:hAnsiTheme="minorHAnsi" w:eastAsiaTheme="minorEastAsia" w:cstheme="minorBidi"/>
      <w:b/>
      <w:bCs/>
      <w:kern w:val="2"/>
      <w:sz w:val="21"/>
      <w:szCs w:val="22"/>
    </w:rPr>
  </w:style>
  <w:style w:type="character" w:customStyle="1" w:styleId="62">
    <w:name w:val="font11"/>
    <w:basedOn w:val="30"/>
    <w:qFormat/>
    <w:uiPriority w:val="0"/>
    <w:rPr>
      <w:rFonts w:hint="eastAsia" w:ascii="宋体" w:hAnsi="宋体" w:eastAsia="宋体" w:cs="宋体"/>
      <w:color w:val="000000"/>
      <w:sz w:val="22"/>
      <w:szCs w:val="22"/>
      <w:u w:val="none"/>
    </w:rPr>
  </w:style>
  <w:style w:type="character" w:customStyle="1" w:styleId="63">
    <w:name w:val="font61"/>
    <w:basedOn w:val="30"/>
    <w:qFormat/>
    <w:uiPriority w:val="0"/>
    <w:rPr>
      <w:rFonts w:hint="default" w:ascii="Tahoma" w:hAnsi="Tahoma" w:eastAsia="Tahoma" w:cs="Tahoma"/>
      <w:color w:val="000000"/>
      <w:sz w:val="22"/>
      <w:szCs w:val="22"/>
      <w:u w:val="none"/>
    </w:rPr>
  </w:style>
  <w:style w:type="character" w:customStyle="1" w:styleId="64">
    <w:name w:val="font01"/>
    <w:basedOn w:val="30"/>
    <w:qFormat/>
    <w:uiPriority w:val="0"/>
    <w:rPr>
      <w:rFonts w:hint="eastAsia" w:ascii="宋体" w:hAnsi="宋体" w:eastAsia="宋体" w:cs="宋体"/>
      <w:b/>
      <w:color w:val="000000"/>
      <w:sz w:val="24"/>
      <w:szCs w:val="24"/>
      <w:u w:val="none"/>
    </w:rPr>
  </w:style>
  <w:style w:type="paragraph" w:customStyle="1" w:styleId="65">
    <w:name w:val="列出段落4"/>
    <w:basedOn w:val="1"/>
    <w:qFormat/>
    <w:uiPriority w:val="34"/>
    <w:pPr>
      <w:ind w:firstLine="420" w:firstLineChars="200"/>
    </w:pPr>
  </w:style>
  <w:style w:type="paragraph" w:customStyle="1" w:styleId="66">
    <w:name w:val="列出段落5"/>
    <w:basedOn w:val="1"/>
    <w:unhideWhenUsed/>
    <w:qFormat/>
    <w:uiPriority w:val="99"/>
    <w:pPr>
      <w:ind w:firstLine="420" w:firstLineChars="200"/>
    </w:pPr>
  </w:style>
  <w:style w:type="paragraph" w:customStyle="1" w:styleId="67">
    <w:name w:val="TableHeader"/>
    <w:qFormat/>
    <w:uiPriority w:val="1"/>
    <w:pPr>
      <w:spacing w:before="40" w:after="40"/>
      <w:jc w:val="center"/>
    </w:pPr>
    <w:rPr>
      <w:rFonts w:ascii="Arial" w:hAnsi="Arial" w:eastAsia="宋体" w:cstheme="minorBidi"/>
      <w:b/>
      <w:bCs/>
      <w:kern w:val="44"/>
      <w:sz w:val="18"/>
      <w:szCs w:val="44"/>
      <w:lang w:val="en-US" w:eastAsia="zh-CN" w:bidi="ar-SA"/>
    </w:rPr>
  </w:style>
  <w:style w:type="paragraph" w:customStyle="1" w:styleId="68">
    <w:name w:val="Table Paragraph"/>
    <w:basedOn w:val="1"/>
    <w:qFormat/>
    <w:uiPriority w:val="1"/>
    <w:pPr>
      <w:autoSpaceDE w:val="0"/>
      <w:autoSpaceDN w:val="0"/>
      <w:adjustRightInd w:val="0"/>
      <w:jc w:val="left"/>
    </w:pPr>
    <w:rPr>
      <w:rFonts w:ascii="Times New Roman" w:hAnsi="Times New Roman" w:eastAsia="宋体"/>
      <w:kern w:val="0"/>
      <w:sz w:val="24"/>
      <w:szCs w:val="24"/>
    </w:rPr>
  </w:style>
  <w:style w:type="character" w:customStyle="1" w:styleId="69">
    <w:name w:val="标题 2 Char"/>
    <w:basedOn w:val="30"/>
    <w:link w:val="4"/>
    <w:semiHidden/>
    <w:qFormat/>
    <w:locked/>
    <w:uiPriority w:val="99"/>
    <w:rPr>
      <w:rFonts w:ascii="Arial" w:hAnsi="Arial" w:eastAsia="宋体"/>
      <w:b/>
      <w:sz w:val="24"/>
    </w:rPr>
  </w:style>
  <w:style w:type="paragraph" w:styleId="70">
    <w:name w:val="List Paragraph"/>
    <w:basedOn w:val="1"/>
    <w:qFormat/>
    <w:uiPriority w:val="99"/>
    <w:pPr>
      <w:ind w:firstLine="420" w:firstLineChars="200"/>
    </w:pPr>
  </w:style>
  <w:style w:type="character" w:customStyle="1" w:styleId="71">
    <w:name w:val="标题 1 Char1"/>
    <w:basedOn w:val="30"/>
    <w:link w:val="3"/>
    <w:qFormat/>
    <w:locked/>
    <w:uiPriority w:val="99"/>
    <w:rPr>
      <w:rFonts w:ascii="Times New Roman" w:hAnsi="Times New Roman" w:eastAsia="宋体" w:cs="Times New Roman"/>
      <w:b/>
      <w:kern w:val="44"/>
      <w:sz w:val="32"/>
    </w:rPr>
  </w:style>
  <w:style w:type="paragraph" w:customStyle="1" w:styleId="72">
    <w:name w:val="列出段落6"/>
    <w:basedOn w:val="1"/>
    <w:unhideWhenUsed/>
    <w:qFormat/>
    <w:uiPriority w:val="99"/>
    <w:pPr>
      <w:ind w:firstLine="420" w:firstLineChars="200"/>
    </w:pPr>
  </w:style>
  <w:style w:type="character" w:customStyle="1" w:styleId="73">
    <w:name w:val="font41"/>
    <w:basedOn w:val="30"/>
    <w:qFormat/>
    <w:uiPriority w:val="0"/>
    <w:rPr>
      <w:rFonts w:hint="default" w:ascii="Calibri" w:hAnsi="Calibri" w:cs="Calibri"/>
      <w:color w:val="000000"/>
      <w:sz w:val="18"/>
      <w:szCs w:val="18"/>
      <w:u w:val="none"/>
    </w:rPr>
  </w:style>
  <w:style w:type="character" w:customStyle="1" w:styleId="74">
    <w:name w:val="font21"/>
    <w:basedOn w:val="30"/>
    <w:qFormat/>
    <w:uiPriority w:val="0"/>
    <w:rPr>
      <w:rFonts w:hint="eastAsia" w:ascii="宋体" w:hAnsi="宋体" w:eastAsia="宋体" w:cs="宋体"/>
      <w:color w:val="000000"/>
      <w:sz w:val="18"/>
      <w:szCs w:val="18"/>
      <w:u w:val="none"/>
    </w:rPr>
  </w:style>
  <w:style w:type="character" w:customStyle="1" w:styleId="75">
    <w:name w:val="font91"/>
    <w:basedOn w:val="30"/>
    <w:qFormat/>
    <w:uiPriority w:val="0"/>
    <w:rPr>
      <w:rFonts w:hint="eastAsia" w:ascii="宋体" w:hAnsi="宋体" w:eastAsia="宋体" w:cs="宋体"/>
      <w:color w:val="000000"/>
      <w:sz w:val="18"/>
      <w:szCs w:val="18"/>
      <w:u w:val="none"/>
      <w:vertAlign w:val="superscript"/>
    </w:rPr>
  </w:style>
  <w:style w:type="character" w:customStyle="1" w:styleId="76">
    <w:name w:val="font71"/>
    <w:basedOn w:val="30"/>
    <w:qFormat/>
    <w:uiPriority w:val="0"/>
    <w:rPr>
      <w:rFonts w:hint="eastAsia" w:ascii="宋体" w:hAnsi="宋体" w:eastAsia="宋体" w:cs="宋体"/>
      <w:color w:val="000000"/>
      <w:sz w:val="18"/>
      <w:szCs w:val="18"/>
      <w:u w:val="none"/>
      <w:vertAlign w:val="superscript"/>
    </w:rPr>
  </w:style>
  <w:style w:type="paragraph" w:customStyle="1" w:styleId="7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9">
    <w:name w:val="Footer"/>
    <w:basedOn w:val="1"/>
    <w:qFormat/>
    <w:uiPriority w:val="0"/>
    <w:pPr>
      <w:tabs>
        <w:tab w:val="center" w:pos="4153"/>
        <w:tab w:val="right" w:pos="8306"/>
      </w:tabs>
      <w:snapToGrid w:val="0"/>
      <w:jc w:val="left"/>
    </w:pPr>
    <w:rPr>
      <w:sz w:val="18"/>
    </w:rPr>
  </w:style>
  <w:style w:type="paragraph" w:customStyle="1" w:styleId="80">
    <w:name w:val="Normal_38"/>
    <w:qFormat/>
    <w:uiPriority w:val="0"/>
    <w:pPr>
      <w:spacing w:before="120" w:after="240"/>
      <w:jc w:val="both"/>
    </w:pPr>
    <w:rPr>
      <w:rFonts w:ascii="Calibri" w:hAnsi="Calibri" w:eastAsia="Calibri" w:cs="Times New Roman"/>
      <w:sz w:val="22"/>
      <w:szCs w:val="22"/>
      <w:lang w:val="ru-RU" w:eastAsia="en-US" w:bidi="ar-SA"/>
    </w:rPr>
  </w:style>
  <w:style w:type="character" w:customStyle="1" w:styleId="81">
    <w:name w:val="font51"/>
    <w:basedOn w:val="30"/>
    <w:qFormat/>
    <w:uiPriority w:val="0"/>
    <w:rPr>
      <w:rFonts w:hint="eastAsia" w:ascii="宋体" w:hAnsi="宋体" w:eastAsia="宋体" w:cs="宋体"/>
      <w:color w:val="000000"/>
      <w:sz w:val="24"/>
      <w:szCs w:val="24"/>
      <w:u w:val="none"/>
    </w:rPr>
  </w:style>
  <w:style w:type="paragraph" w:customStyle="1" w:styleId="82">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83">
    <w:name w:val="_Style 39"/>
    <w:basedOn w:val="1"/>
    <w:next w:val="1"/>
    <w:qFormat/>
    <w:uiPriority w:val="0"/>
    <w:rPr>
      <w:rFonts w:ascii="Calibri" w:hAnsi="Calibri" w:eastAsia="宋体" w:cs="Calibri"/>
      <w:szCs w:val="21"/>
    </w:rPr>
  </w:style>
  <w:style w:type="paragraph" w:customStyle="1" w:styleId="84">
    <w:name w:val="段"/>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79623-CEEE-4E61-AC12-D05E4FEB7F35}">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76</Pages>
  <Words>16107</Words>
  <Characters>16954</Characters>
  <Lines>364</Lines>
  <Paragraphs>102</Paragraphs>
  <TotalTime>1</TotalTime>
  <ScaleCrop>false</ScaleCrop>
  <LinksUpToDate>false</LinksUpToDate>
  <CharactersWithSpaces>17217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2021-04-28T03:31:00Z</dcterms:created>
  <dc:creator>Administrator</dc:creator>
  <cp:lastModifiedBy>邱阳阳</cp:lastModifiedBy>
  <cp:lastPrinted>2024-09-12T02:51:00Z</cp:lastPrinted>
  <dcterms:modified xsi:type="dcterms:W3CDTF">2025-06-13T07:00:08Z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9398D1B14DA140F4B7CC486FBDB6DF12_13</vt:lpwstr>
  </property>
  <property fmtid="{D5CDD505-2E9C-101B-9397-08002B2CF9AE}" pid="4" name="KSOTemplateDocerSaveRecord">
    <vt:lpwstr>eyJoZGlkIjoiZWZmNWMzNWFmMTRmNzhiNTcwMDlmMTFlMWQyNjhmOTMiLCJ1c2VySWQiOiIyNjYzODAzOTMifQ==</vt:lpwstr>
  </property>
</Properties>
</file>