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DFFB7">
      <w:pPr>
        <w:spacing w:line="360" w:lineRule="auto"/>
        <w:jc w:val="center"/>
        <w:rPr>
          <w:rFonts w:hint="default" w:ascii="楷体" w:hAnsi="楷体" w:eastAsia="楷体" w:cs="楷体"/>
          <w:b/>
          <w:bCs/>
          <w:i w:val="0"/>
          <w:iCs w:val="0"/>
          <w:caps w:val="0"/>
          <w:color w:val="333333"/>
          <w:spacing w:val="0"/>
          <w:sz w:val="32"/>
          <w:szCs w:val="32"/>
          <w:shd w:val="clear" w:color="auto" w:fill="FFFFFF"/>
          <w:lang w:val="en-US" w:eastAsia="zh-CN"/>
        </w:rPr>
      </w:pPr>
      <w:r>
        <w:rPr>
          <w:rFonts w:hint="eastAsia" w:ascii="楷体" w:hAnsi="楷体" w:eastAsia="楷体" w:cs="楷体"/>
          <w:b/>
          <w:bCs/>
          <w:i w:val="0"/>
          <w:iCs w:val="0"/>
          <w:caps w:val="0"/>
          <w:color w:val="333333"/>
          <w:spacing w:val="0"/>
          <w:sz w:val="32"/>
          <w:szCs w:val="32"/>
          <w:shd w:val="clear" w:color="auto" w:fill="FFFFFF"/>
          <w:lang w:val="en-US" w:eastAsia="zh-CN"/>
        </w:rPr>
        <w:t>蓝桥镇圪塔庙村提升项目采购需求书（工程类）</w:t>
      </w:r>
    </w:p>
    <w:tbl>
      <w:tblPr>
        <w:tblStyle w:val="9"/>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518"/>
        <w:gridCol w:w="7060"/>
      </w:tblGrid>
      <w:tr w14:paraId="2617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AB1BF24">
            <w:pPr>
              <w:spacing w:line="360" w:lineRule="auto"/>
              <w:jc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序号</w:t>
            </w:r>
          </w:p>
        </w:tc>
        <w:tc>
          <w:tcPr>
            <w:tcW w:w="1518" w:type="dxa"/>
            <w:vAlign w:val="center"/>
          </w:tcPr>
          <w:p w14:paraId="6A34C7A4">
            <w:pPr>
              <w:spacing w:line="360" w:lineRule="auto"/>
              <w:jc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关键事项</w:t>
            </w:r>
          </w:p>
        </w:tc>
        <w:tc>
          <w:tcPr>
            <w:tcW w:w="7060" w:type="dxa"/>
            <w:vAlign w:val="center"/>
          </w:tcPr>
          <w:p w14:paraId="6F2CDD89">
            <w:pPr>
              <w:spacing w:line="360" w:lineRule="auto"/>
              <w:jc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说明和要求</w:t>
            </w:r>
          </w:p>
        </w:tc>
      </w:tr>
      <w:tr w14:paraId="7D2E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68AB744E">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w:t>
            </w:r>
          </w:p>
        </w:tc>
        <w:tc>
          <w:tcPr>
            <w:tcW w:w="1518" w:type="dxa"/>
            <w:vAlign w:val="center"/>
          </w:tcPr>
          <w:p w14:paraId="7D9E9AF2">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采购预算</w:t>
            </w:r>
          </w:p>
        </w:tc>
        <w:tc>
          <w:tcPr>
            <w:tcW w:w="7060" w:type="dxa"/>
          </w:tcPr>
          <w:p w14:paraId="3AAE22FD">
            <w:pPr>
              <w:spacing w:line="360" w:lineRule="auto"/>
              <w:rPr>
                <w:rFonts w:hint="eastAsia"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 xml:space="preserve">人民币 </w:t>
            </w:r>
            <w:r>
              <w:rPr>
                <w:rFonts w:hint="eastAsia" w:ascii="楷体" w:hAnsi="楷体" w:eastAsia="楷体" w:cs="楷体"/>
                <w:b/>
                <w:bCs/>
                <w:color w:val="auto"/>
                <w:sz w:val="24"/>
                <w:szCs w:val="24"/>
                <w:u w:val="single"/>
                <w:vertAlign w:val="baseline"/>
                <w:lang w:val="en-US" w:eastAsia="zh-CN"/>
              </w:rPr>
              <w:t>900000.00</w:t>
            </w:r>
            <w:r>
              <w:rPr>
                <w:rFonts w:hint="eastAsia" w:ascii="楷体" w:hAnsi="楷体" w:eastAsia="楷体" w:cs="楷体"/>
                <w:b/>
                <w:bCs/>
                <w:sz w:val="24"/>
                <w:szCs w:val="24"/>
                <w:u w:val="single"/>
                <w:vertAlign w:val="baseline"/>
                <w:lang w:val="en-US" w:eastAsia="zh-CN"/>
              </w:rPr>
              <w:t xml:space="preserve">  </w:t>
            </w:r>
            <w:r>
              <w:rPr>
                <w:rFonts w:hint="eastAsia" w:ascii="楷体" w:hAnsi="楷体" w:eastAsia="楷体" w:cs="楷体"/>
                <w:color w:val="auto"/>
                <w:sz w:val="24"/>
                <w:szCs w:val="24"/>
                <w:vertAlign w:val="baseline"/>
                <w:lang w:val="en-US" w:eastAsia="zh-CN"/>
              </w:rPr>
              <w:t>元</w:t>
            </w:r>
          </w:p>
          <w:p w14:paraId="4BEAB91A">
            <w:pPr>
              <w:spacing w:line="360" w:lineRule="auto"/>
              <w:rPr>
                <w:rFonts w:hint="eastAsia" w:ascii="楷体" w:hAnsi="楷体" w:eastAsia="楷体" w:cs="楷体"/>
                <w:sz w:val="24"/>
                <w:szCs w:val="24"/>
                <w:vertAlign w:val="baseline"/>
                <w:lang w:val="en-US" w:eastAsia="zh-CN"/>
              </w:rPr>
            </w:pPr>
            <w:r>
              <w:rPr>
                <w:rFonts w:hint="eastAsia" w:ascii="楷体" w:hAnsi="楷体" w:eastAsia="楷体" w:cs="楷体"/>
                <w:color w:val="auto"/>
                <w:sz w:val="24"/>
                <w:szCs w:val="24"/>
                <w:vertAlign w:val="baseline"/>
                <w:lang w:val="en-US" w:eastAsia="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365E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9B3C742">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1518" w:type="dxa"/>
            <w:vAlign w:val="center"/>
          </w:tcPr>
          <w:p w14:paraId="33B389A8">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最高限价</w:t>
            </w:r>
          </w:p>
        </w:tc>
        <w:tc>
          <w:tcPr>
            <w:tcW w:w="7060" w:type="dxa"/>
          </w:tcPr>
          <w:p w14:paraId="2217DF38">
            <w:pPr>
              <w:spacing w:line="360" w:lineRule="auto"/>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 xml:space="preserve">人民币 </w:t>
            </w:r>
            <w:r>
              <w:rPr>
                <w:rFonts w:hint="eastAsia" w:ascii="楷体" w:hAnsi="楷体" w:eastAsia="楷体" w:cs="楷体"/>
                <w:sz w:val="24"/>
                <w:szCs w:val="24"/>
                <w:u w:val="single"/>
                <w:vertAlign w:val="baseline"/>
                <w:lang w:val="en-US" w:eastAsia="zh-CN"/>
              </w:rPr>
              <w:t xml:space="preserve"> </w:t>
            </w:r>
            <w:r>
              <w:rPr>
                <w:rFonts w:hint="eastAsia" w:ascii="楷体" w:hAnsi="楷体" w:eastAsia="楷体" w:cs="楷体"/>
                <w:b/>
                <w:bCs/>
                <w:color w:val="auto"/>
                <w:sz w:val="24"/>
                <w:szCs w:val="24"/>
                <w:u w:val="single"/>
                <w:vertAlign w:val="baseline"/>
                <w:lang w:val="en-US" w:eastAsia="zh-CN"/>
              </w:rPr>
              <w:t>899100.00</w:t>
            </w:r>
            <w:r>
              <w:rPr>
                <w:rFonts w:hint="eastAsia" w:ascii="楷体" w:hAnsi="楷体" w:eastAsia="楷体" w:cs="楷体"/>
                <w:b/>
                <w:bCs/>
                <w:sz w:val="24"/>
                <w:szCs w:val="24"/>
                <w:u w:val="single"/>
                <w:vertAlign w:val="baseline"/>
                <w:lang w:val="en-US" w:eastAsia="zh-CN"/>
              </w:rPr>
              <w:t xml:space="preserve"> </w:t>
            </w:r>
            <w:r>
              <w:rPr>
                <w:rFonts w:hint="eastAsia" w:ascii="楷体" w:hAnsi="楷体" w:eastAsia="楷体" w:cs="楷体"/>
                <w:sz w:val="24"/>
                <w:szCs w:val="24"/>
                <w:vertAlign w:val="baseline"/>
                <w:lang w:val="en-US" w:eastAsia="zh-CN"/>
              </w:rPr>
              <w:t>元</w:t>
            </w:r>
          </w:p>
          <w:p w14:paraId="7F44920F">
            <w:pPr>
              <w:spacing w:line="360" w:lineRule="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供应商投标报价高于最高限价的则其投标文件将按无效投标文件处理。</w:t>
            </w:r>
          </w:p>
        </w:tc>
      </w:tr>
      <w:tr w14:paraId="5B79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386C8BCE">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1518" w:type="dxa"/>
            <w:vAlign w:val="center"/>
          </w:tcPr>
          <w:p w14:paraId="2D1366B9">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暂列金或暂估价</w:t>
            </w:r>
          </w:p>
        </w:tc>
        <w:tc>
          <w:tcPr>
            <w:tcW w:w="7060" w:type="dxa"/>
          </w:tcPr>
          <w:p w14:paraId="27F46C55">
            <w:pPr>
              <w:spacing w:line="360" w:lineRule="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 xml:space="preserve">人民币 </w:t>
            </w:r>
            <w:r>
              <w:rPr>
                <w:rFonts w:hint="eastAsia" w:ascii="楷体" w:hAnsi="楷体" w:eastAsia="楷体" w:cs="楷体"/>
                <w:sz w:val="24"/>
                <w:szCs w:val="24"/>
                <w:u w:val="single"/>
                <w:vertAlign w:val="baseline"/>
                <w:lang w:val="en-US" w:eastAsia="zh-CN"/>
              </w:rPr>
              <w:t xml:space="preserve">      /      </w:t>
            </w:r>
            <w:r>
              <w:rPr>
                <w:rFonts w:hint="eastAsia" w:ascii="楷体" w:hAnsi="楷体" w:eastAsia="楷体" w:cs="楷体"/>
                <w:sz w:val="24"/>
                <w:szCs w:val="24"/>
                <w:vertAlign w:val="baseline"/>
                <w:lang w:val="en-US" w:eastAsia="zh-CN"/>
              </w:rPr>
              <w:t>元</w:t>
            </w:r>
          </w:p>
          <w:p w14:paraId="42ED7B6D">
            <w:pPr>
              <w:spacing w:line="360" w:lineRule="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如有，请列明</w:t>
            </w:r>
          </w:p>
        </w:tc>
      </w:tr>
      <w:tr w14:paraId="0B50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3FF42E4">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w:t>
            </w:r>
          </w:p>
        </w:tc>
        <w:tc>
          <w:tcPr>
            <w:tcW w:w="1518" w:type="dxa"/>
            <w:vAlign w:val="center"/>
          </w:tcPr>
          <w:p w14:paraId="34AF4583">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图纸</w:t>
            </w:r>
          </w:p>
        </w:tc>
        <w:tc>
          <w:tcPr>
            <w:tcW w:w="7060" w:type="dxa"/>
          </w:tcPr>
          <w:p w14:paraId="69EB1089">
            <w:pPr>
              <w:spacing w:line="360" w:lineRule="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sym w:font="Wingdings" w:char="00A8"/>
            </w:r>
            <w:r>
              <w:rPr>
                <w:rFonts w:hint="eastAsia" w:ascii="楷体" w:hAnsi="楷体" w:eastAsia="楷体" w:cs="楷体"/>
                <w:sz w:val="24"/>
                <w:szCs w:val="24"/>
                <w:vertAlign w:val="baseline"/>
                <w:lang w:val="en-US" w:eastAsia="zh-CN"/>
              </w:rPr>
              <w:t>有图纸，图纸与工程量清单不一致时以</w:t>
            </w:r>
            <w:r>
              <w:rPr>
                <w:rFonts w:hint="eastAsia" w:ascii="楷体" w:hAnsi="楷体" w:eastAsia="楷体" w:cs="楷体"/>
                <w:color w:val="auto"/>
                <w:sz w:val="24"/>
                <w:szCs w:val="24"/>
                <w:u w:val="single"/>
                <w:vertAlign w:val="baseline"/>
                <w:lang w:val="en-US" w:eastAsia="zh-CN"/>
              </w:rPr>
              <w:t xml:space="preserve"> 工程量清单 </w:t>
            </w:r>
            <w:r>
              <w:rPr>
                <w:rFonts w:hint="eastAsia" w:ascii="楷体" w:hAnsi="楷体" w:eastAsia="楷体" w:cs="楷体"/>
                <w:sz w:val="24"/>
                <w:szCs w:val="24"/>
                <w:vertAlign w:val="baseline"/>
                <w:lang w:val="en-US" w:eastAsia="zh-CN"/>
              </w:rPr>
              <w:t>为准。</w:t>
            </w:r>
          </w:p>
          <w:p w14:paraId="3B42E54A">
            <w:pPr>
              <w:spacing w:line="360" w:lineRule="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sym w:font="Wingdings" w:char="00FE"/>
            </w:r>
            <w:r>
              <w:rPr>
                <w:rFonts w:hint="eastAsia" w:ascii="楷体" w:hAnsi="楷体" w:eastAsia="楷体" w:cs="楷体"/>
                <w:sz w:val="24"/>
                <w:szCs w:val="24"/>
                <w:vertAlign w:val="baseline"/>
                <w:lang w:val="en-US" w:eastAsia="zh-CN"/>
              </w:rPr>
              <w:t>无图纸，以</w:t>
            </w:r>
            <w:r>
              <w:rPr>
                <w:rFonts w:hint="eastAsia" w:ascii="楷体" w:hAnsi="楷体" w:eastAsia="楷体" w:cs="楷体"/>
                <w:color w:val="auto"/>
                <w:sz w:val="24"/>
                <w:szCs w:val="24"/>
                <w:u w:val="single"/>
                <w:vertAlign w:val="baseline"/>
                <w:lang w:val="en-US" w:eastAsia="zh-CN"/>
              </w:rPr>
              <w:t xml:space="preserve"> 工程量清单 </w:t>
            </w:r>
            <w:r>
              <w:rPr>
                <w:rFonts w:hint="eastAsia" w:ascii="楷体" w:hAnsi="楷体" w:eastAsia="楷体" w:cs="楷体"/>
                <w:sz w:val="24"/>
                <w:szCs w:val="24"/>
                <w:vertAlign w:val="baseline"/>
                <w:lang w:val="en-US" w:eastAsia="zh-CN"/>
              </w:rPr>
              <w:t>为准</w:t>
            </w:r>
          </w:p>
        </w:tc>
      </w:tr>
      <w:tr w14:paraId="21D2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14:paraId="53911A97">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5</w:t>
            </w:r>
          </w:p>
        </w:tc>
        <w:tc>
          <w:tcPr>
            <w:tcW w:w="1518" w:type="dxa"/>
            <w:vMerge w:val="restart"/>
            <w:vAlign w:val="center"/>
          </w:tcPr>
          <w:p w14:paraId="61AF05A4">
            <w:pPr>
              <w:spacing w:line="360" w:lineRule="auto"/>
              <w:jc w:val="center"/>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项目性质</w:t>
            </w:r>
          </w:p>
        </w:tc>
        <w:tc>
          <w:tcPr>
            <w:tcW w:w="7060" w:type="dxa"/>
          </w:tcPr>
          <w:p w14:paraId="76959CDF">
            <w:pPr>
              <w:spacing w:line="360" w:lineRule="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sym w:font="Wingdings" w:char="00FE"/>
            </w:r>
            <w:r>
              <w:rPr>
                <w:rFonts w:hint="eastAsia" w:ascii="楷体" w:hAnsi="楷体" w:eastAsia="楷体" w:cs="楷体"/>
                <w:sz w:val="24"/>
                <w:szCs w:val="24"/>
                <w:highlight w:val="none"/>
                <w:vertAlign w:val="baseline"/>
                <w:lang w:val="en-US" w:eastAsia="zh-CN"/>
              </w:rPr>
              <w:t>专门面向中小企业采购</w:t>
            </w:r>
          </w:p>
          <w:p w14:paraId="043B9390">
            <w:pPr>
              <w:spacing w:line="360" w:lineRule="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仅允许中小企业或小型、微型企业参与投标。</w:t>
            </w:r>
          </w:p>
        </w:tc>
      </w:tr>
      <w:tr w14:paraId="5A1A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352AAF0C">
            <w:pPr>
              <w:spacing w:line="360" w:lineRule="auto"/>
              <w:jc w:val="center"/>
              <w:rPr>
                <w:rFonts w:hint="eastAsia" w:ascii="楷体" w:hAnsi="楷体" w:eastAsia="楷体" w:cs="楷体"/>
                <w:sz w:val="24"/>
                <w:szCs w:val="24"/>
                <w:vertAlign w:val="baseline"/>
                <w:lang w:val="en-US" w:eastAsia="zh-CN"/>
              </w:rPr>
            </w:pPr>
          </w:p>
        </w:tc>
        <w:tc>
          <w:tcPr>
            <w:tcW w:w="1518" w:type="dxa"/>
            <w:vMerge w:val="continue"/>
            <w:vAlign w:val="center"/>
          </w:tcPr>
          <w:p w14:paraId="44755566">
            <w:pPr>
              <w:spacing w:line="360" w:lineRule="auto"/>
              <w:jc w:val="center"/>
              <w:rPr>
                <w:rFonts w:hint="eastAsia" w:ascii="楷体" w:hAnsi="楷体" w:eastAsia="楷体" w:cs="楷体"/>
                <w:sz w:val="24"/>
                <w:szCs w:val="24"/>
                <w:vertAlign w:val="baseline"/>
                <w:lang w:val="en-US" w:eastAsia="zh-CN"/>
              </w:rPr>
            </w:pPr>
          </w:p>
        </w:tc>
        <w:tc>
          <w:tcPr>
            <w:tcW w:w="7060" w:type="dxa"/>
          </w:tcPr>
          <w:p w14:paraId="0104321C">
            <w:pPr>
              <w:spacing w:line="360" w:lineRule="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sym w:font="Wingdings" w:char="00A8"/>
            </w:r>
            <w:r>
              <w:rPr>
                <w:rFonts w:hint="eastAsia" w:ascii="楷体" w:hAnsi="楷体" w:eastAsia="楷体" w:cs="楷体"/>
                <w:sz w:val="24"/>
                <w:szCs w:val="24"/>
                <w:vertAlign w:val="baseline"/>
                <w:lang w:val="en-US" w:eastAsia="zh-CN"/>
              </w:rPr>
              <w:t>非专门面向中小企业采购</w:t>
            </w:r>
          </w:p>
          <w:p w14:paraId="2E07F38A">
            <w:pPr>
              <w:spacing w:line="360" w:lineRule="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对符合《政府采购促进中小企业发展管理办法》(财库(2020)46号)规定的小微企业(监狱企业视同小型、微型企业)的报价给予</w:t>
            </w:r>
            <w:r>
              <w:rPr>
                <w:rFonts w:hint="eastAsia" w:ascii="楷体" w:hAnsi="楷体" w:eastAsia="楷体" w:cs="楷体"/>
                <w:sz w:val="24"/>
                <w:szCs w:val="24"/>
                <w:u w:val="single"/>
                <w:vertAlign w:val="baseline"/>
                <w:lang w:val="en-US" w:eastAsia="zh-CN"/>
              </w:rPr>
              <w:t xml:space="preserve">    </w:t>
            </w:r>
            <w:r>
              <w:rPr>
                <w:rFonts w:hint="eastAsia" w:ascii="楷体" w:hAnsi="楷体" w:eastAsia="楷体" w:cs="楷体"/>
                <w:sz w:val="24"/>
                <w:szCs w:val="24"/>
                <w:vertAlign w:val="baseline"/>
                <w:lang w:val="en-US" w:eastAsia="zh-CN"/>
              </w:rPr>
              <w:t>%(3%-5%)的扣除(当采用招标方式时，实际上是对其价格分给予一定比例的增加)，用扣除后的价格参加评审。</w:t>
            </w:r>
          </w:p>
        </w:tc>
      </w:tr>
      <w:tr w14:paraId="775A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67BD7D6">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6</w:t>
            </w:r>
          </w:p>
        </w:tc>
        <w:tc>
          <w:tcPr>
            <w:tcW w:w="1518" w:type="dxa"/>
            <w:vAlign w:val="center"/>
          </w:tcPr>
          <w:p w14:paraId="027C2F18">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对供应商的资格要求</w:t>
            </w:r>
          </w:p>
        </w:tc>
        <w:tc>
          <w:tcPr>
            <w:tcW w:w="7060" w:type="dxa"/>
          </w:tcPr>
          <w:p w14:paraId="017B4C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24"/>
                <w:szCs w:val="24"/>
                <w:vertAlign w:val="baseline"/>
                <w:lang w:val="en-US" w:eastAsia="zh-CN"/>
              </w:rPr>
            </w:pPr>
            <w:r>
              <w:rPr>
                <w:rFonts w:hint="default" w:ascii="楷体" w:hAnsi="楷体" w:eastAsia="楷体" w:cs="楷体"/>
                <w:kern w:val="2"/>
                <w:sz w:val="24"/>
                <w:szCs w:val="24"/>
                <w:vertAlign w:val="baseline"/>
                <w:lang w:val="en-US" w:eastAsia="zh-CN" w:bidi="ar-SA"/>
              </w:rPr>
              <w:t>(1)</w:t>
            </w:r>
            <w:r>
              <w:rPr>
                <w:rFonts w:hint="eastAsia" w:ascii="楷体" w:hAnsi="楷体" w:eastAsia="楷体" w:cs="楷体"/>
                <w:sz w:val="24"/>
                <w:szCs w:val="24"/>
                <w:vertAlign w:val="baseline"/>
                <w:lang w:val="en-US" w:eastAsia="zh-CN"/>
              </w:rPr>
              <w:t>有效的主体资格证明：供应商为合法注册的法人、其他组织或自然人，提供营业执照等证明文件</w:t>
            </w:r>
          </w:p>
          <w:p w14:paraId="64BF59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24"/>
                <w:szCs w:val="24"/>
                <w:vertAlign w:val="baseline"/>
                <w:lang w:val="en-US" w:eastAsia="zh-CN"/>
              </w:rPr>
            </w:pPr>
            <w:r>
              <w:rPr>
                <w:rFonts w:hint="default" w:ascii="楷体" w:hAnsi="楷体" w:eastAsia="楷体" w:cs="楷体"/>
                <w:kern w:val="2"/>
                <w:sz w:val="24"/>
                <w:szCs w:val="24"/>
                <w:vertAlign w:val="baseline"/>
                <w:lang w:val="en-US" w:eastAsia="zh-CN" w:bidi="ar-SA"/>
              </w:rPr>
              <w:t>(2)</w:t>
            </w:r>
            <w:r>
              <w:rPr>
                <w:rFonts w:hint="eastAsia" w:ascii="楷体" w:hAnsi="楷体" w:eastAsia="楷体" w:cs="楷体"/>
                <w:sz w:val="24"/>
                <w:szCs w:val="24"/>
                <w:vertAlign w:val="baseline"/>
                <w:lang w:val="en-US" w:eastAsia="zh-CN"/>
              </w:rPr>
              <w:t>财务状况报告：投标人2023年度或2024年度经审计的财务报告或投标截止时间前三个月内其基本开户银行出具的资信证明及账户开户许可证明材料或财政部门认可的政府采购专业担保机构开具的投标担保函（任选其一）</w:t>
            </w:r>
          </w:p>
          <w:p w14:paraId="7EE1C5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24"/>
                <w:szCs w:val="24"/>
                <w:vertAlign w:val="baseline"/>
                <w:lang w:val="en-US" w:eastAsia="zh-CN"/>
              </w:rPr>
            </w:pPr>
            <w:r>
              <w:rPr>
                <w:rFonts w:hint="default" w:ascii="楷体" w:hAnsi="楷体" w:eastAsia="楷体" w:cs="楷体"/>
                <w:kern w:val="2"/>
                <w:sz w:val="24"/>
                <w:szCs w:val="24"/>
                <w:vertAlign w:val="baseline"/>
                <w:lang w:val="en-US" w:eastAsia="zh-CN" w:bidi="ar-SA"/>
              </w:rPr>
              <w:t>(3)</w:t>
            </w:r>
            <w:r>
              <w:rPr>
                <w:rFonts w:hint="eastAsia" w:ascii="楷体" w:hAnsi="楷体" w:eastAsia="楷体" w:cs="楷体"/>
                <w:sz w:val="24"/>
                <w:szCs w:val="24"/>
                <w:vertAlign w:val="baseline"/>
                <w:lang w:val="en-US" w:eastAsia="zh-CN"/>
              </w:rPr>
              <w:t>税收缴纳证明：提供响应文件递交截止日前一年内已缴存的至少一个月的纳税证明或完税证明。依法免税的供应商应提供相关文件证明</w:t>
            </w:r>
          </w:p>
          <w:p w14:paraId="5E22A8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24"/>
                <w:szCs w:val="24"/>
                <w:vertAlign w:val="baseline"/>
                <w:lang w:val="en-US" w:eastAsia="zh-CN"/>
              </w:rPr>
            </w:pPr>
            <w:r>
              <w:rPr>
                <w:rFonts w:hint="default" w:ascii="楷体" w:hAnsi="楷体" w:eastAsia="楷体" w:cs="楷体"/>
                <w:kern w:val="2"/>
                <w:sz w:val="24"/>
                <w:szCs w:val="24"/>
                <w:vertAlign w:val="baseline"/>
                <w:lang w:val="en-US" w:eastAsia="zh-CN" w:bidi="ar-SA"/>
              </w:rPr>
              <w:t>(4)</w:t>
            </w:r>
            <w:r>
              <w:rPr>
                <w:rFonts w:hint="eastAsia" w:ascii="楷体" w:hAnsi="楷体" w:eastAsia="楷体" w:cs="楷体"/>
                <w:sz w:val="24"/>
                <w:szCs w:val="24"/>
                <w:vertAlign w:val="baseline"/>
                <w:lang w:val="en-US" w:eastAsia="zh-CN"/>
              </w:rPr>
              <w:t>社会保障资金缴纳证明：提供磋商响应文件递交截止日前一年内已缴存的至少一个月的社会保障资金缴存单据或社保机构开具的社会保险参保缴费情况证明，依法不需要缴纳社会保障资金的单位应提供相关证明材料</w:t>
            </w:r>
          </w:p>
          <w:p w14:paraId="45851B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24"/>
                <w:szCs w:val="24"/>
                <w:vertAlign w:val="baseline"/>
                <w:lang w:val="en-US" w:eastAsia="zh-CN"/>
              </w:rPr>
            </w:pPr>
            <w:r>
              <w:rPr>
                <w:rFonts w:hint="default" w:ascii="楷体" w:hAnsi="楷体" w:eastAsia="楷体" w:cs="楷体"/>
                <w:kern w:val="2"/>
                <w:sz w:val="24"/>
                <w:szCs w:val="24"/>
                <w:vertAlign w:val="baseline"/>
                <w:lang w:val="en-US" w:eastAsia="zh-CN" w:bidi="ar-SA"/>
              </w:rPr>
              <w:t>(5)</w:t>
            </w:r>
            <w:r>
              <w:rPr>
                <w:rFonts w:hint="eastAsia" w:ascii="楷体" w:hAnsi="楷体" w:eastAsia="楷体" w:cs="楷体"/>
                <w:sz w:val="24"/>
                <w:szCs w:val="24"/>
                <w:vertAlign w:val="baseline"/>
                <w:lang w:val="en-US" w:eastAsia="zh-CN"/>
              </w:rPr>
              <w:t>专业技术能力的声明：提供具有履行本合同所必需的设备和专业技术能力的说明及承诺；(提供书面说明及承诺，加盖供应商公章)</w:t>
            </w:r>
          </w:p>
          <w:p w14:paraId="652AC9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24"/>
                <w:szCs w:val="24"/>
                <w:highlight w:val="yellow"/>
                <w:vertAlign w:val="baseline"/>
                <w:lang w:val="en-US" w:eastAsia="zh-CN"/>
              </w:rPr>
            </w:pPr>
            <w:r>
              <w:rPr>
                <w:rFonts w:hint="default" w:ascii="楷体" w:hAnsi="楷体" w:eastAsia="楷体" w:cs="楷体"/>
                <w:kern w:val="2"/>
                <w:sz w:val="24"/>
                <w:szCs w:val="24"/>
                <w:vertAlign w:val="baseline"/>
                <w:lang w:val="en-US" w:eastAsia="zh-CN" w:bidi="ar-SA"/>
              </w:rPr>
              <w:t>(6)</w:t>
            </w:r>
            <w:r>
              <w:rPr>
                <w:rFonts w:hint="eastAsia" w:ascii="楷体" w:hAnsi="楷体" w:eastAsia="楷体" w:cs="楷体"/>
                <w:sz w:val="24"/>
                <w:szCs w:val="24"/>
                <w:vertAlign w:val="baseline"/>
                <w:lang w:val="en-US" w:eastAsia="zh-CN"/>
              </w:rPr>
              <w:t>没有重大违法记录的书面声明：提供参加政府采购活动前三年内在经营活动中没有重大违法记录的书面声明。(提供书面声明，加盖供应商公章)</w:t>
            </w:r>
          </w:p>
          <w:p w14:paraId="7C3A40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24"/>
                <w:szCs w:val="24"/>
                <w:vertAlign w:val="baseline"/>
                <w:lang w:val="en-US" w:eastAsia="zh-CN"/>
              </w:rPr>
            </w:pPr>
            <w:r>
              <w:rPr>
                <w:rFonts w:hint="default" w:ascii="楷体" w:hAnsi="楷体" w:eastAsia="楷体" w:cs="楷体"/>
                <w:kern w:val="2"/>
                <w:sz w:val="24"/>
                <w:szCs w:val="24"/>
                <w:vertAlign w:val="baseline"/>
                <w:lang w:val="en-US" w:eastAsia="zh-CN" w:bidi="ar-SA"/>
              </w:rPr>
              <w:t>(7)</w:t>
            </w:r>
            <w:r>
              <w:rPr>
                <w:rFonts w:hint="eastAsia" w:ascii="楷体" w:hAnsi="楷体" w:eastAsia="楷体" w:cs="楷体"/>
                <w:sz w:val="24"/>
                <w:szCs w:val="24"/>
                <w:vertAlign w:val="baseline"/>
                <w:lang w:val="en-US" w:eastAsia="zh-CN"/>
              </w:rPr>
              <w:t>资质情况：须提供建设行政主管部门颁发市政公用工程施工总承包三级（含三级）及以上资质，并具有合格有效的安全生产许可证</w:t>
            </w:r>
          </w:p>
          <w:p w14:paraId="16C1C5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24"/>
                <w:szCs w:val="24"/>
                <w:vertAlign w:val="baseline"/>
                <w:lang w:val="en-US" w:eastAsia="zh-CN"/>
              </w:rPr>
            </w:pPr>
            <w:r>
              <w:rPr>
                <w:rFonts w:hint="default" w:ascii="楷体" w:hAnsi="楷体" w:eastAsia="楷体" w:cs="楷体"/>
                <w:kern w:val="2"/>
                <w:sz w:val="24"/>
                <w:szCs w:val="24"/>
                <w:vertAlign w:val="baseline"/>
                <w:lang w:val="en-US" w:eastAsia="zh-CN" w:bidi="ar-SA"/>
              </w:rPr>
              <w:t>(8)</w:t>
            </w:r>
            <w:r>
              <w:rPr>
                <w:rFonts w:hint="eastAsia" w:ascii="楷体" w:hAnsi="楷体" w:eastAsia="楷体" w:cs="楷体"/>
                <w:sz w:val="24"/>
                <w:szCs w:val="24"/>
                <w:vertAlign w:val="baseline"/>
                <w:lang w:val="en-US" w:eastAsia="zh-CN"/>
              </w:rPr>
              <w:t>拟派项目负责人资质和专业要求：拟派项目经理须具备市政公用工程专业二级（含二级）及以上注册建造师及安全生产考核合格证书，在本单位注册且无在建工程（提供无在建工程承诺书）</w:t>
            </w:r>
          </w:p>
          <w:p w14:paraId="3FBC0A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24"/>
                <w:szCs w:val="24"/>
                <w:vertAlign w:val="baseline"/>
                <w:lang w:val="en-US" w:eastAsia="zh-CN"/>
              </w:rPr>
            </w:pPr>
            <w:r>
              <w:rPr>
                <w:rFonts w:hint="default" w:ascii="楷体" w:hAnsi="楷体" w:eastAsia="楷体" w:cs="楷体"/>
                <w:kern w:val="2"/>
                <w:sz w:val="24"/>
                <w:szCs w:val="24"/>
                <w:vertAlign w:val="baseline"/>
                <w:lang w:val="en-US" w:eastAsia="zh-CN" w:bidi="ar-SA"/>
              </w:rPr>
              <w:t>(9)</w:t>
            </w:r>
            <w:r>
              <w:rPr>
                <w:rFonts w:hint="eastAsia" w:ascii="楷体" w:hAnsi="楷体" w:eastAsia="楷体" w:cs="楷体"/>
                <w:sz w:val="24"/>
                <w:szCs w:val="24"/>
                <w:vertAlign w:val="baseline"/>
                <w:lang w:val="en-US" w:eastAsia="zh-CN"/>
              </w:rPr>
              <w:t>供应商及项目经理基本信息：供应商在“陕西省住房和城乡建设厅（http://js.shaanxi.gov.cn/）可查询到企业及项目负责人（项目经理）基本信息</w:t>
            </w:r>
          </w:p>
          <w:p w14:paraId="5909C8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24"/>
                <w:szCs w:val="24"/>
                <w:vertAlign w:val="baseline"/>
                <w:lang w:val="en-US" w:eastAsia="zh-CN"/>
              </w:rPr>
            </w:pPr>
            <w:r>
              <w:rPr>
                <w:rFonts w:hint="default" w:ascii="楷体" w:hAnsi="楷体" w:eastAsia="楷体" w:cs="楷体"/>
                <w:kern w:val="2"/>
                <w:sz w:val="24"/>
                <w:szCs w:val="24"/>
                <w:vertAlign w:val="baseline"/>
                <w:lang w:val="en-US" w:eastAsia="zh-CN" w:bidi="ar-SA"/>
              </w:rPr>
              <w:t>(10)</w:t>
            </w:r>
            <w:r>
              <w:rPr>
                <w:rFonts w:hint="eastAsia" w:ascii="楷体" w:hAnsi="楷体" w:eastAsia="楷体" w:cs="楷体"/>
                <w:sz w:val="24"/>
                <w:szCs w:val="24"/>
                <w:vertAlign w:val="baseline"/>
                <w:lang w:val="en-US" w:eastAsia="zh-CN"/>
              </w:rPr>
              <w:t>供应商信用</w:t>
            </w:r>
            <w:r>
              <w:rPr>
                <w:rFonts w:hint="eastAsia" w:ascii="楷体" w:hAnsi="楷体" w:eastAsia="楷体" w:cs="楷体"/>
                <w:sz w:val="24"/>
                <w:szCs w:val="24"/>
                <w:vertAlign w:val="baseline"/>
                <w:lang w:val="en-US" w:eastAsia="zh-CN"/>
              </w:rPr>
              <w:tab/>
            </w:r>
            <w:r>
              <w:rPr>
                <w:rFonts w:hint="eastAsia" w:ascii="楷体" w:hAnsi="楷体" w:eastAsia="楷体" w:cs="楷体"/>
                <w:sz w:val="24"/>
                <w:szCs w:val="24"/>
                <w:vertAlign w:val="baseline"/>
                <w:lang w:val="en-US" w:eastAsia="zh-CN"/>
              </w:rPr>
              <w:t>不得为“信用中国”网站(http://www.creditchina.gov.cn)列入“失信被执行人、重大税收违法失信主体、政府采购严重违法失信行为记录名单”的供应商；不得为中国政府采购网(http://www.ccgp.gov.cn)“政府采购严重违法失信行为记录名单”中的供应商（以代理机构开标当天查询结果为准）</w:t>
            </w:r>
          </w:p>
          <w:p w14:paraId="67A16A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24"/>
                <w:szCs w:val="24"/>
                <w:vertAlign w:val="baseline"/>
                <w:lang w:val="en-US" w:eastAsia="zh-CN"/>
              </w:rPr>
            </w:pPr>
            <w:r>
              <w:rPr>
                <w:rFonts w:hint="default" w:ascii="楷体" w:hAnsi="楷体" w:eastAsia="楷体" w:cs="楷体"/>
                <w:kern w:val="2"/>
                <w:sz w:val="24"/>
                <w:szCs w:val="24"/>
                <w:vertAlign w:val="baseline"/>
                <w:lang w:val="en-US" w:eastAsia="zh-CN" w:bidi="ar-SA"/>
              </w:rPr>
              <w:t>(11)</w:t>
            </w:r>
            <w:r>
              <w:rPr>
                <w:rFonts w:hint="eastAsia" w:ascii="楷体" w:hAnsi="楷体" w:eastAsia="楷体" w:cs="楷体"/>
                <w:sz w:val="24"/>
                <w:szCs w:val="24"/>
                <w:vertAlign w:val="baseline"/>
                <w:lang w:val="en-US" w:eastAsia="zh-CN"/>
              </w:rPr>
              <w:t>授权委托情况：法定代表人参加磋商的，须提供本人身份证复印件（附在响应文件中）；法定代表人授权他人参加磋商的，须提供法定代表人授权委托书。非法人单位参照执行</w:t>
            </w:r>
          </w:p>
          <w:p w14:paraId="105D97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24"/>
                <w:szCs w:val="24"/>
                <w:vertAlign w:val="baseline"/>
                <w:lang w:val="en-US" w:eastAsia="zh-CN"/>
              </w:rPr>
            </w:pPr>
            <w:r>
              <w:rPr>
                <w:rFonts w:hint="default" w:ascii="楷体" w:hAnsi="楷体" w:eastAsia="楷体" w:cs="楷体"/>
                <w:kern w:val="2"/>
                <w:sz w:val="24"/>
                <w:szCs w:val="24"/>
                <w:vertAlign w:val="baseline"/>
                <w:lang w:val="en-US" w:eastAsia="zh-CN" w:bidi="ar-SA"/>
              </w:rPr>
              <w:t>(12)</w:t>
            </w:r>
            <w:r>
              <w:rPr>
                <w:rFonts w:hint="eastAsia" w:ascii="楷体" w:hAnsi="楷体" w:eastAsia="楷体" w:cs="楷体"/>
                <w:sz w:val="24"/>
                <w:szCs w:val="24"/>
                <w:vertAlign w:val="baseline"/>
                <w:lang w:val="en-US" w:eastAsia="zh-CN"/>
              </w:rPr>
              <w:t>关联关系承诺：单位负责人为同一人或者存在直接控股、管理关系的不同供应商，不得参加同一合同项下的政府采购活动</w:t>
            </w:r>
          </w:p>
          <w:p w14:paraId="03873C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24"/>
                <w:szCs w:val="24"/>
                <w:vertAlign w:val="baseline"/>
                <w:lang w:val="en-US" w:eastAsia="zh-CN"/>
              </w:rPr>
            </w:pPr>
            <w:r>
              <w:rPr>
                <w:rFonts w:hint="default" w:ascii="楷体" w:hAnsi="楷体" w:eastAsia="楷体" w:cs="楷体"/>
                <w:kern w:val="2"/>
                <w:sz w:val="24"/>
                <w:szCs w:val="24"/>
                <w:vertAlign w:val="baseline"/>
                <w:lang w:val="en-US" w:eastAsia="zh-CN" w:bidi="ar-SA"/>
              </w:rPr>
              <w:t>(13)</w:t>
            </w:r>
            <w:r>
              <w:rPr>
                <w:rFonts w:hint="eastAsia" w:ascii="楷体" w:hAnsi="楷体" w:eastAsia="楷体" w:cs="楷体"/>
                <w:sz w:val="24"/>
                <w:szCs w:val="24"/>
                <w:vertAlign w:val="baseline"/>
                <w:lang w:val="en-US" w:eastAsia="zh-CN"/>
              </w:rPr>
              <w:t>本项目不接受联合体磋商：提供非联合体声明</w:t>
            </w:r>
          </w:p>
          <w:p w14:paraId="119BCBF7">
            <w:pPr>
              <w:numPr>
                <w:ilvl w:val="0"/>
                <w:numId w:val="0"/>
              </w:numPr>
              <w:spacing w:line="360" w:lineRule="auto"/>
              <w:ind w:firstLine="480" w:firstLineChars="200"/>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 xml:space="preserve"> 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5935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14:paraId="1210D009">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7</w:t>
            </w:r>
          </w:p>
        </w:tc>
        <w:tc>
          <w:tcPr>
            <w:tcW w:w="1518" w:type="dxa"/>
            <w:vMerge w:val="restart"/>
            <w:vAlign w:val="center"/>
          </w:tcPr>
          <w:p w14:paraId="330F81D2">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是否接受联合体投标</w:t>
            </w:r>
          </w:p>
        </w:tc>
        <w:tc>
          <w:tcPr>
            <w:tcW w:w="7060" w:type="dxa"/>
          </w:tcPr>
          <w:p w14:paraId="191D93CC">
            <w:pPr>
              <w:numPr>
                <w:ilvl w:val="0"/>
                <w:numId w:val="0"/>
              </w:numPr>
              <w:spacing w:line="360" w:lineRule="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sym w:font="Wingdings" w:char="00A8"/>
            </w:r>
            <w:r>
              <w:rPr>
                <w:rFonts w:hint="eastAsia" w:ascii="楷体" w:hAnsi="楷体" w:eastAsia="楷体" w:cs="楷体"/>
                <w:sz w:val="24"/>
                <w:szCs w:val="24"/>
                <w:vertAlign w:val="baseline"/>
                <w:lang w:val="en-US" w:eastAsia="zh-CN"/>
              </w:rPr>
              <w:t>接受</w:t>
            </w:r>
          </w:p>
          <w:p w14:paraId="61EB55E3">
            <w:pPr>
              <w:numPr>
                <w:ilvl w:val="0"/>
                <w:numId w:val="0"/>
              </w:numPr>
              <w:spacing w:line="360" w:lineRule="auto"/>
              <w:ind w:firstLine="480" w:firstLineChars="200"/>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对于联合体协议或者分包意向协议约定小微企业的合同份额占到合同总金额30%以上的，对联合体或者大中型企业的报价给予</w:t>
            </w:r>
            <w:r>
              <w:rPr>
                <w:rFonts w:hint="eastAsia" w:ascii="楷体" w:hAnsi="楷体" w:eastAsia="楷体" w:cs="楷体"/>
                <w:sz w:val="24"/>
                <w:szCs w:val="24"/>
                <w:u w:val="single"/>
                <w:vertAlign w:val="baseline"/>
                <w:lang w:val="en-US" w:eastAsia="zh-CN"/>
              </w:rPr>
              <w:t xml:space="preserve">   </w:t>
            </w:r>
            <w:r>
              <w:rPr>
                <w:rFonts w:hint="eastAsia" w:ascii="楷体" w:hAnsi="楷体" w:eastAsia="楷体" w:cs="楷体"/>
                <w:sz w:val="24"/>
                <w:szCs w:val="24"/>
                <w:vertAlign w:val="baseline"/>
                <w:lang w:val="en-US" w:eastAsia="zh-CN"/>
              </w:rPr>
              <w:t>%(1%-2%)的扣除(当采用招标方式时，实际上是对其价格分给予一定比例的增加)，用扣除后的报价参加评审。</w:t>
            </w:r>
          </w:p>
        </w:tc>
      </w:tr>
      <w:tr w14:paraId="357B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71EA7780">
            <w:pPr>
              <w:spacing w:line="360" w:lineRule="auto"/>
              <w:jc w:val="center"/>
              <w:rPr>
                <w:rFonts w:hint="eastAsia" w:ascii="楷体" w:hAnsi="楷体" w:eastAsia="楷体" w:cs="楷体"/>
                <w:sz w:val="24"/>
                <w:szCs w:val="24"/>
                <w:vertAlign w:val="baseline"/>
                <w:lang w:val="en-US" w:eastAsia="zh-CN"/>
              </w:rPr>
            </w:pPr>
          </w:p>
        </w:tc>
        <w:tc>
          <w:tcPr>
            <w:tcW w:w="1518" w:type="dxa"/>
            <w:vMerge w:val="continue"/>
            <w:vAlign w:val="center"/>
          </w:tcPr>
          <w:p w14:paraId="79ACF4D6">
            <w:pPr>
              <w:spacing w:line="360" w:lineRule="auto"/>
              <w:jc w:val="center"/>
              <w:rPr>
                <w:rFonts w:hint="eastAsia" w:ascii="楷体" w:hAnsi="楷体" w:eastAsia="楷体" w:cs="楷体"/>
                <w:sz w:val="24"/>
                <w:szCs w:val="24"/>
                <w:vertAlign w:val="baseline"/>
                <w:lang w:val="en-US" w:eastAsia="zh-CN"/>
              </w:rPr>
            </w:pPr>
          </w:p>
        </w:tc>
        <w:tc>
          <w:tcPr>
            <w:tcW w:w="7060" w:type="dxa"/>
          </w:tcPr>
          <w:p w14:paraId="4AF78B05">
            <w:pPr>
              <w:numPr>
                <w:ilvl w:val="0"/>
                <w:numId w:val="0"/>
              </w:numPr>
              <w:spacing w:line="360" w:lineRule="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sym w:font="Wingdings" w:char="00FE"/>
            </w:r>
            <w:r>
              <w:rPr>
                <w:rFonts w:hint="eastAsia" w:ascii="楷体" w:hAnsi="楷体" w:eastAsia="楷体" w:cs="楷体"/>
                <w:sz w:val="24"/>
                <w:szCs w:val="24"/>
                <w:vertAlign w:val="baseline"/>
                <w:lang w:val="en-US" w:eastAsia="zh-CN"/>
              </w:rPr>
              <w:t>不接受</w:t>
            </w:r>
          </w:p>
        </w:tc>
      </w:tr>
      <w:tr w14:paraId="603B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restart"/>
            <w:vAlign w:val="center"/>
          </w:tcPr>
          <w:p w14:paraId="35AB02F3">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8</w:t>
            </w:r>
          </w:p>
        </w:tc>
        <w:tc>
          <w:tcPr>
            <w:tcW w:w="1518" w:type="dxa"/>
            <w:vMerge w:val="restart"/>
            <w:vAlign w:val="center"/>
          </w:tcPr>
          <w:p w14:paraId="14A92F34">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履约保证金</w:t>
            </w:r>
          </w:p>
        </w:tc>
        <w:tc>
          <w:tcPr>
            <w:tcW w:w="7060" w:type="dxa"/>
          </w:tcPr>
          <w:p w14:paraId="784D5C82">
            <w:pPr>
              <w:numPr>
                <w:ilvl w:val="0"/>
                <w:numId w:val="0"/>
              </w:numPr>
              <w:spacing w:line="360" w:lineRule="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占政府采购合同金额的</w:t>
            </w:r>
            <w:r>
              <w:rPr>
                <w:rFonts w:hint="eastAsia" w:ascii="楷体" w:hAnsi="楷体" w:eastAsia="楷体" w:cs="楷体"/>
                <w:sz w:val="24"/>
                <w:szCs w:val="24"/>
                <w:highlight w:val="none"/>
                <w:u w:val="single"/>
                <w:vertAlign w:val="baseline"/>
                <w:lang w:val="en-US" w:eastAsia="zh-CN"/>
              </w:rPr>
              <w:t xml:space="preserve">       </w:t>
            </w:r>
            <w:r>
              <w:rPr>
                <w:rFonts w:hint="eastAsia" w:ascii="楷体" w:hAnsi="楷体" w:eastAsia="楷体" w:cs="楷体"/>
                <w:sz w:val="24"/>
                <w:szCs w:val="24"/>
                <w:highlight w:val="none"/>
                <w:vertAlign w:val="baseline"/>
                <w:lang w:val="en-US" w:eastAsia="zh-CN"/>
              </w:rPr>
              <w:t>%</w:t>
            </w:r>
          </w:p>
          <w:p w14:paraId="2A35BAD3">
            <w:pPr>
              <w:numPr>
                <w:ilvl w:val="0"/>
                <w:numId w:val="0"/>
              </w:numPr>
              <w:spacing w:line="360" w:lineRule="auto"/>
              <w:ind w:firstLine="480" w:firstLineChars="200"/>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 xml:space="preserve">履约保证金的数额不得超过政府采购合同金额的10%:对于单价合同，其数额不得超过采购预算的10% </w:t>
            </w:r>
          </w:p>
        </w:tc>
      </w:tr>
      <w:tr w14:paraId="358A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14:paraId="5EAAD402">
            <w:pPr>
              <w:spacing w:line="360" w:lineRule="auto"/>
              <w:jc w:val="center"/>
              <w:rPr>
                <w:rFonts w:hint="eastAsia" w:ascii="楷体" w:hAnsi="楷体" w:eastAsia="楷体" w:cs="楷体"/>
                <w:sz w:val="24"/>
                <w:szCs w:val="24"/>
                <w:vertAlign w:val="baseline"/>
                <w:lang w:val="en-US" w:eastAsia="zh-CN"/>
              </w:rPr>
            </w:pPr>
          </w:p>
        </w:tc>
        <w:tc>
          <w:tcPr>
            <w:tcW w:w="1518" w:type="dxa"/>
            <w:vMerge w:val="continue"/>
            <w:vAlign w:val="center"/>
          </w:tcPr>
          <w:p w14:paraId="19C6CDEE">
            <w:pPr>
              <w:spacing w:line="360" w:lineRule="auto"/>
              <w:jc w:val="center"/>
              <w:rPr>
                <w:rFonts w:hint="eastAsia" w:ascii="楷体" w:hAnsi="楷体" w:eastAsia="楷体" w:cs="楷体"/>
                <w:sz w:val="24"/>
                <w:szCs w:val="24"/>
                <w:vertAlign w:val="baseline"/>
                <w:lang w:val="en-US" w:eastAsia="zh-CN"/>
              </w:rPr>
            </w:pPr>
          </w:p>
        </w:tc>
        <w:tc>
          <w:tcPr>
            <w:tcW w:w="7060" w:type="dxa"/>
          </w:tcPr>
          <w:p w14:paraId="0A296A14">
            <w:pPr>
              <w:numPr>
                <w:ilvl w:val="0"/>
                <w:numId w:val="0"/>
              </w:numPr>
              <w:spacing w:line="360" w:lineRule="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sym w:font="Wingdings" w:char="00FE"/>
            </w:r>
            <w:r>
              <w:rPr>
                <w:rFonts w:hint="eastAsia" w:ascii="楷体" w:hAnsi="楷体" w:eastAsia="楷体" w:cs="楷体"/>
                <w:sz w:val="24"/>
                <w:szCs w:val="24"/>
                <w:highlight w:val="none"/>
                <w:vertAlign w:val="baseline"/>
                <w:lang w:val="en-US" w:eastAsia="zh-CN"/>
              </w:rPr>
              <w:t>由采购单位自行收退</w:t>
            </w:r>
          </w:p>
          <w:p w14:paraId="6551DAC5">
            <w:pPr>
              <w:numPr>
                <w:ilvl w:val="0"/>
                <w:numId w:val="0"/>
              </w:numPr>
              <w:spacing w:line="360" w:lineRule="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sym w:font="Wingdings" w:char="00A8"/>
            </w:r>
            <w:r>
              <w:rPr>
                <w:rFonts w:hint="eastAsia" w:ascii="楷体" w:hAnsi="楷体" w:eastAsia="楷体" w:cs="楷体"/>
                <w:sz w:val="24"/>
                <w:szCs w:val="24"/>
                <w:highlight w:val="none"/>
                <w:vertAlign w:val="baseline"/>
                <w:lang w:val="en-US" w:eastAsia="zh-CN"/>
              </w:rPr>
              <w:t>由代理机构负责收退</w:t>
            </w:r>
          </w:p>
        </w:tc>
      </w:tr>
      <w:tr w14:paraId="61F8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5983B20">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9</w:t>
            </w:r>
          </w:p>
        </w:tc>
        <w:tc>
          <w:tcPr>
            <w:tcW w:w="1518" w:type="dxa"/>
            <w:vAlign w:val="center"/>
          </w:tcPr>
          <w:p w14:paraId="4A141A5A">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现场踏勘和集中答疑</w:t>
            </w:r>
          </w:p>
        </w:tc>
        <w:tc>
          <w:tcPr>
            <w:tcW w:w="7060" w:type="dxa"/>
          </w:tcPr>
          <w:p w14:paraId="46214F0B">
            <w:pPr>
              <w:numPr>
                <w:ilvl w:val="0"/>
                <w:numId w:val="0"/>
              </w:numPr>
              <w:spacing w:line="360" w:lineRule="auto"/>
              <w:rPr>
                <w:rFonts w:hint="eastAsia" w:ascii="楷体" w:hAnsi="楷体" w:eastAsia="楷体" w:cs="楷体"/>
                <w:sz w:val="24"/>
                <w:szCs w:val="24"/>
                <w:u w:val="single"/>
                <w:vertAlign w:val="baseline"/>
                <w:lang w:val="en-US" w:eastAsia="zh-CN"/>
              </w:rPr>
            </w:pPr>
            <w:r>
              <w:rPr>
                <w:rFonts w:hint="eastAsia" w:ascii="楷体" w:hAnsi="楷体" w:eastAsia="楷体" w:cs="楷体"/>
                <w:sz w:val="24"/>
                <w:szCs w:val="24"/>
                <w:vertAlign w:val="baseline"/>
                <w:lang w:val="en-US" w:eastAsia="zh-CN"/>
              </w:rPr>
              <w:sym w:font="Wingdings" w:char="00A8"/>
            </w:r>
            <w:r>
              <w:rPr>
                <w:rFonts w:hint="eastAsia" w:ascii="楷体" w:hAnsi="楷体" w:eastAsia="楷体" w:cs="楷体"/>
                <w:sz w:val="24"/>
                <w:szCs w:val="24"/>
                <w:vertAlign w:val="baseline"/>
                <w:lang w:val="en-US" w:eastAsia="zh-CN"/>
              </w:rPr>
              <w:t>组织，集结地点为：</w:t>
            </w:r>
            <w:r>
              <w:rPr>
                <w:rFonts w:hint="eastAsia" w:ascii="楷体" w:hAnsi="楷体" w:eastAsia="楷体" w:cs="楷体"/>
                <w:sz w:val="24"/>
                <w:szCs w:val="24"/>
                <w:u w:val="single"/>
                <w:vertAlign w:val="baseline"/>
                <w:lang w:val="en-US" w:eastAsia="zh-CN"/>
              </w:rPr>
              <w:t xml:space="preserve">                     </w:t>
            </w:r>
          </w:p>
          <w:p w14:paraId="75A89169">
            <w:pPr>
              <w:numPr>
                <w:ilvl w:val="0"/>
                <w:numId w:val="0"/>
              </w:numPr>
              <w:spacing w:line="360" w:lineRule="auto"/>
              <w:rPr>
                <w:rFonts w:hint="eastAsia" w:ascii="楷体" w:hAnsi="楷体" w:eastAsia="楷体" w:cs="楷体"/>
                <w:sz w:val="24"/>
                <w:szCs w:val="24"/>
                <w:u w:val="single"/>
                <w:vertAlign w:val="baseline"/>
                <w:lang w:val="en-US" w:eastAsia="zh-CN"/>
              </w:rPr>
            </w:pPr>
            <w:r>
              <w:rPr>
                <w:rFonts w:hint="eastAsia" w:ascii="楷体" w:hAnsi="楷体" w:eastAsia="楷体" w:cs="楷体"/>
                <w:sz w:val="24"/>
                <w:szCs w:val="24"/>
                <w:vertAlign w:val="baseline"/>
                <w:lang w:val="en-US" w:eastAsia="zh-CN"/>
              </w:rPr>
              <w:sym w:font="Wingdings" w:char="00FE"/>
            </w:r>
            <w:r>
              <w:rPr>
                <w:rFonts w:hint="eastAsia" w:ascii="楷体" w:hAnsi="楷体" w:eastAsia="楷体" w:cs="楷体"/>
                <w:sz w:val="24"/>
                <w:szCs w:val="24"/>
                <w:vertAlign w:val="baseline"/>
                <w:lang w:val="en-US" w:eastAsia="zh-CN"/>
              </w:rPr>
              <w:t>不组织</w:t>
            </w:r>
          </w:p>
        </w:tc>
      </w:tr>
      <w:tr w14:paraId="40CD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7FC8A97">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10</w:t>
            </w:r>
          </w:p>
        </w:tc>
        <w:tc>
          <w:tcPr>
            <w:tcW w:w="1518" w:type="dxa"/>
            <w:vAlign w:val="center"/>
          </w:tcPr>
          <w:p w14:paraId="527FEFB0">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价格分比重</w:t>
            </w:r>
          </w:p>
        </w:tc>
        <w:tc>
          <w:tcPr>
            <w:tcW w:w="7060" w:type="dxa"/>
          </w:tcPr>
          <w:p w14:paraId="080145A7">
            <w:pPr>
              <w:numPr>
                <w:ilvl w:val="0"/>
                <w:numId w:val="0"/>
              </w:numPr>
              <w:spacing w:line="360" w:lineRule="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占总分值的</w:t>
            </w:r>
            <w:r>
              <w:rPr>
                <w:rFonts w:hint="eastAsia" w:ascii="楷体" w:hAnsi="楷体" w:eastAsia="楷体" w:cs="楷体"/>
                <w:sz w:val="24"/>
                <w:szCs w:val="24"/>
                <w:u w:val="single"/>
                <w:vertAlign w:val="baseline"/>
                <w:lang w:val="en-US" w:eastAsia="zh-CN"/>
              </w:rPr>
              <w:t xml:space="preserve">   30   </w:t>
            </w:r>
            <w:r>
              <w:rPr>
                <w:rFonts w:hint="eastAsia" w:ascii="楷体" w:hAnsi="楷体" w:eastAsia="楷体" w:cs="楷体"/>
                <w:sz w:val="24"/>
                <w:szCs w:val="24"/>
                <w:vertAlign w:val="baseline"/>
                <w:lang w:val="en-US" w:eastAsia="zh-CN"/>
              </w:rPr>
              <w:t>%</w:t>
            </w:r>
          </w:p>
          <w:p w14:paraId="0AC7B330">
            <w:pPr>
              <w:numPr>
                <w:ilvl w:val="0"/>
                <w:numId w:val="0"/>
              </w:numPr>
              <w:spacing w:line="360" w:lineRule="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政府采购法律法规未有明确限制。</w:t>
            </w:r>
          </w:p>
        </w:tc>
      </w:tr>
      <w:tr w14:paraId="6B64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9CB43E0">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11</w:t>
            </w:r>
          </w:p>
        </w:tc>
        <w:tc>
          <w:tcPr>
            <w:tcW w:w="1518" w:type="dxa"/>
            <w:vAlign w:val="center"/>
          </w:tcPr>
          <w:p w14:paraId="2112827D">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合同类型</w:t>
            </w:r>
          </w:p>
        </w:tc>
        <w:tc>
          <w:tcPr>
            <w:tcW w:w="7060" w:type="dxa"/>
          </w:tcPr>
          <w:p w14:paraId="289B4B62">
            <w:pPr>
              <w:numPr>
                <w:ilvl w:val="0"/>
                <w:numId w:val="0"/>
              </w:numPr>
              <w:spacing w:line="360" w:lineRule="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sym w:font="Wingdings" w:char="00FE"/>
            </w:r>
            <w:r>
              <w:rPr>
                <w:rFonts w:hint="eastAsia" w:ascii="楷体" w:hAnsi="楷体" w:eastAsia="楷体" w:cs="楷体"/>
                <w:sz w:val="24"/>
                <w:szCs w:val="24"/>
                <w:highlight w:val="none"/>
                <w:vertAlign w:val="baseline"/>
                <w:lang w:val="en-US" w:eastAsia="zh-CN"/>
              </w:rPr>
              <w:t>总价</w:t>
            </w:r>
          </w:p>
          <w:p w14:paraId="68AA50CF">
            <w:pPr>
              <w:numPr>
                <w:ilvl w:val="0"/>
                <w:numId w:val="0"/>
              </w:numPr>
              <w:spacing w:line="360" w:lineRule="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sym w:font="Wingdings" w:char="00A8"/>
            </w:r>
            <w:r>
              <w:rPr>
                <w:rFonts w:hint="eastAsia" w:ascii="楷体" w:hAnsi="楷体" w:eastAsia="楷体" w:cs="楷体"/>
                <w:sz w:val="24"/>
                <w:szCs w:val="24"/>
                <w:highlight w:val="none"/>
                <w:vertAlign w:val="baseline"/>
                <w:lang w:val="en-US" w:eastAsia="zh-CN"/>
              </w:rPr>
              <w:t>综合单价（适用于采购数量不定的情形）</w:t>
            </w:r>
          </w:p>
          <w:p w14:paraId="30405B5F">
            <w:pPr>
              <w:numPr>
                <w:ilvl w:val="0"/>
                <w:numId w:val="0"/>
              </w:numPr>
              <w:spacing w:line="360" w:lineRule="auto"/>
              <w:rPr>
                <w:rFonts w:hint="eastAsia" w:ascii="楷体" w:hAnsi="楷体" w:eastAsia="楷体" w:cs="楷体"/>
                <w:sz w:val="24"/>
                <w:szCs w:val="24"/>
                <w:vertAlign w:val="baseline"/>
                <w:lang w:val="en-US" w:eastAsia="zh-CN"/>
              </w:rPr>
            </w:pPr>
            <w:r>
              <w:rPr>
                <w:rFonts w:hint="eastAsia" w:ascii="楷体" w:hAnsi="楷体" w:eastAsia="楷体" w:cs="楷体"/>
                <w:sz w:val="24"/>
                <w:szCs w:val="24"/>
                <w:highlight w:val="none"/>
                <w:vertAlign w:val="baseline"/>
                <w:lang w:val="en-US" w:eastAsia="zh-CN"/>
              </w:rPr>
              <w:sym w:font="Wingdings" w:char="00A8"/>
            </w:r>
            <w:r>
              <w:rPr>
                <w:rFonts w:hint="eastAsia" w:ascii="楷体" w:hAnsi="楷体" w:eastAsia="楷体" w:cs="楷体"/>
                <w:sz w:val="24"/>
                <w:szCs w:val="24"/>
                <w:highlight w:val="none"/>
                <w:vertAlign w:val="baseline"/>
                <w:lang w:val="en-US" w:eastAsia="zh-CN"/>
              </w:rPr>
              <w:t>其他：</w:t>
            </w:r>
            <w:r>
              <w:rPr>
                <w:rFonts w:hint="eastAsia" w:ascii="楷体" w:hAnsi="楷体" w:eastAsia="楷体" w:cs="楷体"/>
                <w:sz w:val="24"/>
                <w:szCs w:val="24"/>
                <w:highlight w:val="none"/>
                <w:u w:val="single"/>
                <w:vertAlign w:val="baseline"/>
                <w:lang w:val="en-US" w:eastAsia="zh-CN"/>
              </w:rPr>
              <w:t xml:space="preserve">                             </w:t>
            </w:r>
            <w:r>
              <w:rPr>
                <w:rFonts w:hint="eastAsia" w:ascii="楷体" w:hAnsi="楷体" w:eastAsia="楷体" w:cs="楷体"/>
                <w:sz w:val="24"/>
                <w:szCs w:val="24"/>
                <w:highlight w:val="none"/>
                <w:vertAlign w:val="baseline"/>
                <w:lang w:val="en-US" w:eastAsia="zh-CN"/>
              </w:rPr>
              <w:t xml:space="preserve"> </w:t>
            </w:r>
          </w:p>
        </w:tc>
      </w:tr>
      <w:tr w14:paraId="5762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7F945643">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12</w:t>
            </w:r>
          </w:p>
        </w:tc>
        <w:tc>
          <w:tcPr>
            <w:tcW w:w="1518" w:type="dxa"/>
            <w:vAlign w:val="center"/>
          </w:tcPr>
          <w:p w14:paraId="20A9C77E">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争议解决途径</w:t>
            </w:r>
          </w:p>
        </w:tc>
        <w:tc>
          <w:tcPr>
            <w:tcW w:w="7060" w:type="dxa"/>
          </w:tcPr>
          <w:p w14:paraId="18A7C819">
            <w:pPr>
              <w:numPr>
                <w:ilvl w:val="0"/>
                <w:numId w:val="0"/>
              </w:numPr>
              <w:spacing w:line="360" w:lineRule="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sym w:font="Wingdings" w:char="00FE"/>
            </w:r>
            <w:r>
              <w:rPr>
                <w:rFonts w:hint="eastAsia" w:ascii="楷体" w:hAnsi="楷体" w:eastAsia="楷体" w:cs="楷体"/>
                <w:sz w:val="24"/>
                <w:szCs w:val="24"/>
                <w:vertAlign w:val="baseline"/>
                <w:lang w:val="en-US" w:eastAsia="zh-CN"/>
              </w:rPr>
              <w:t>向有管辖权的人民法院提起诉讼</w:t>
            </w:r>
          </w:p>
          <w:p w14:paraId="1B64C803">
            <w:pPr>
              <w:numPr>
                <w:ilvl w:val="0"/>
                <w:numId w:val="0"/>
              </w:numPr>
              <w:spacing w:line="360" w:lineRule="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sym w:font="Wingdings" w:char="00A8"/>
            </w:r>
            <w:r>
              <w:rPr>
                <w:rFonts w:hint="eastAsia" w:ascii="楷体" w:hAnsi="楷体" w:eastAsia="楷体" w:cs="楷体"/>
                <w:sz w:val="24"/>
                <w:szCs w:val="24"/>
                <w:vertAlign w:val="baseline"/>
                <w:lang w:val="en-US" w:eastAsia="zh-CN"/>
              </w:rPr>
              <w:t>向西安仲裁委员会提请仲裁</w:t>
            </w:r>
          </w:p>
          <w:p w14:paraId="7C842415">
            <w:pPr>
              <w:numPr>
                <w:ilvl w:val="0"/>
                <w:numId w:val="0"/>
              </w:numPr>
              <w:spacing w:line="360" w:lineRule="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sym w:font="Wingdings" w:char="00A8"/>
            </w:r>
            <w:r>
              <w:rPr>
                <w:rFonts w:hint="eastAsia" w:ascii="楷体" w:hAnsi="楷体" w:eastAsia="楷体" w:cs="楷体"/>
                <w:sz w:val="24"/>
                <w:szCs w:val="24"/>
                <w:vertAlign w:val="baseline"/>
                <w:lang w:val="en-US" w:eastAsia="zh-CN"/>
              </w:rPr>
              <w:t>由供应商做出选择</w:t>
            </w:r>
          </w:p>
        </w:tc>
      </w:tr>
      <w:tr w14:paraId="6F0E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688960E">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13</w:t>
            </w:r>
          </w:p>
        </w:tc>
        <w:tc>
          <w:tcPr>
            <w:tcW w:w="1518" w:type="dxa"/>
            <w:vAlign w:val="center"/>
          </w:tcPr>
          <w:p w14:paraId="72FF40F2">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color w:val="auto"/>
                <w:sz w:val="24"/>
                <w:szCs w:val="24"/>
                <w:vertAlign w:val="baseline"/>
                <w:lang w:val="en-US" w:eastAsia="zh-CN"/>
              </w:rPr>
              <w:t>联系方式</w:t>
            </w:r>
          </w:p>
        </w:tc>
        <w:tc>
          <w:tcPr>
            <w:tcW w:w="7060" w:type="dxa"/>
          </w:tcPr>
          <w:p w14:paraId="416A846C">
            <w:pPr>
              <w:numPr>
                <w:ilvl w:val="0"/>
                <w:numId w:val="0"/>
              </w:numPr>
              <w:spacing w:line="360" w:lineRule="auto"/>
              <w:rPr>
                <w:rFonts w:hint="default" w:ascii="楷体" w:hAnsi="楷体" w:eastAsia="楷体" w:cs="楷体"/>
                <w:color w:val="auto"/>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联系对接人：</w:t>
            </w:r>
            <w:r>
              <w:rPr>
                <w:rFonts w:hint="eastAsia" w:ascii="楷体" w:hAnsi="楷体" w:eastAsia="楷体" w:cs="楷体"/>
                <w:sz w:val="24"/>
                <w:szCs w:val="24"/>
                <w:highlight w:val="none"/>
                <w:u w:val="single"/>
                <w:vertAlign w:val="baseline"/>
                <w:lang w:val="en-US" w:eastAsia="zh-CN"/>
              </w:rPr>
              <w:t>郭思锐</w:t>
            </w:r>
            <w:r>
              <w:rPr>
                <w:rFonts w:hint="eastAsia" w:ascii="楷体" w:hAnsi="楷体" w:eastAsia="楷体" w:cs="楷体"/>
                <w:color w:val="auto"/>
                <w:sz w:val="24"/>
                <w:szCs w:val="24"/>
                <w:highlight w:val="none"/>
                <w:u w:val="single"/>
                <w:vertAlign w:val="baseline"/>
                <w:lang w:val="en-US" w:eastAsia="zh-CN"/>
              </w:rPr>
              <w:t xml:space="preserve"> </w:t>
            </w:r>
          </w:p>
          <w:p w14:paraId="4C7253E3">
            <w:pPr>
              <w:numPr>
                <w:ilvl w:val="0"/>
                <w:numId w:val="0"/>
              </w:numPr>
              <w:spacing w:line="360" w:lineRule="auto"/>
              <w:rPr>
                <w:rFonts w:hint="eastAsia" w:ascii="楷体" w:hAnsi="楷体" w:eastAsia="楷体" w:cs="楷体"/>
                <w:color w:val="auto"/>
                <w:sz w:val="24"/>
                <w:szCs w:val="24"/>
                <w:highlight w:val="none"/>
                <w:u w:val="single"/>
                <w:vertAlign w:val="baseline"/>
                <w:lang w:val="en-US" w:eastAsia="zh-CN"/>
              </w:rPr>
            </w:pPr>
            <w:r>
              <w:rPr>
                <w:rFonts w:hint="eastAsia" w:ascii="楷体" w:hAnsi="楷体" w:eastAsia="楷体" w:cs="楷体"/>
                <w:color w:val="auto"/>
                <w:sz w:val="24"/>
                <w:szCs w:val="24"/>
                <w:highlight w:val="none"/>
                <w:vertAlign w:val="baseline"/>
                <w:lang w:val="en-US" w:eastAsia="zh-CN"/>
              </w:rPr>
              <w:t>联系电话：</w:t>
            </w:r>
            <w:r>
              <w:rPr>
                <w:rFonts w:hint="eastAsia" w:ascii="楷体" w:hAnsi="楷体" w:eastAsia="楷体" w:cs="楷体"/>
                <w:color w:val="auto"/>
                <w:sz w:val="24"/>
                <w:szCs w:val="24"/>
                <w:highlight w:val="none"/>
                <w:u w:val="single"/>
                <w:vertAlign w:val="baseline"/>
                <w:lang w:val="en-US" w:eastAsia="zh-CN"/>
              </w:rPr>
              <w:t>15802968340</w:t>
            </w:r>
          </w:p>
          <w:p w14:paraId="0860B553">
            <w:pPr>
              <w:numPr>
                <w:ilvl w:val="0"/>
                <w:numId w:val="0"/>
              </w:numPr>
              <w:spacing w:line="360" w:lineRule="auto"/>
              <w:rPr>
                <w:rFonts w:hint="eastAsia" w:ascii="楷体" w:hAnsi="楷体" w:eastAsia="楷体" w:cs="楷体"/>
                <w:sz w:val="24"/>
                <w:szCs w:val="24"/>
                <w:vertAlign w:val="baseline"/>
                <w:lang w:val="en-US" w:eastAsia="zh-CN"/>
              </w:rPr>
            </w:pPr>
            <w:r>
              <w:rPr>
                <w:rFonts w:hint="eastAsia" w:ascii="楷体" w:hAnsi="楷体" w:eastAsia="楷体" w:cs="楷体"/>
                <w:color w:val="auto"/>
                <w:sz w:val="24"/>
                <w:szCs w:val="24"/>
                <w:highlight w:val="none"/>
                <w:u w:val="none"/>
                <w:vertAlign w:val="baseline"/>
                <w:lang w:val="en-US" w:eastAsia="zh-CN"/>
              </w:rPr>
              <w:t>电</w:t>
            </w:r>
            <w:r>
              <w:rPr>
                <w:rFonts w:hint="eastAsia" w:ascii="楷体" w:hAnsi="楷体" w:eastAsia="楷体" w:cs="楷体"/>
                <w:color w:val="auto"/>
                <w:sz w:val="24"/>
                <w:szCs w:val="24"/>
                <w:highlight w:val="none"/>
                <w:vertAlign w:val="baseline"/>
                <w:lang w:val="en-US" w:eastAsia="zh-CN"/>
              </w:rPr>
              <w:t>子邮箱：</w:t>
            </w:r>
            <w:r>
              <w:rPr>
                <w:rFonts w:hint="eastAsia" w:ascii="楷体" w:hAnsi="楷体" w:eastAsia="楷体" w:cs="楷体"/>
                <w:color w:val="auto"/>
                <w:sz w:val="24"/>
                <w:szCs w:val="24"/>
                <w:highlight w:val="none"/>
                <w:u w:val="single"/>
                <w:vertAlign w:val="baseline"/>
                <w:lang w:val="en-US" w:eastAsia="zh-CN"/>
              </w:rPr>
              <w:t xml:space="preserve">       /   </w:t>
            </w:r>
          </w:p>
        </w:tc>
      </w:tr>
    </w:tbl>
    <w:p w14:paraId="650C7F76">
      <w:pPr>
        <w:spacing w:line="360" w:lineRule="auto"/>
        <w:jc w:val="center"/>
        <w:rPr>
          <w:rFonts w:hint="eastAsia" w:ascii="楷体" w:hAnsi="楷体" w:eastAsia="楷体" w:cs="楷体"/>
          <w:color w:val="auto"/>
          <w:sz w:val="32"/>
          <w:szCs w:val="32"/>
          <w:lang w:val="en-US" w:eastAsia="zh-CN"/>
        </w:rPr>
      </w:pPr>
    </w:p>
    <w:p w14:paraId="2C5C34CA">
      <w:pPr>
        <w:pStyle w:val="5"/>
        <w:numPr>
          <w:ilvl w:val="0"/>
          <w:numId w:val="0"/>
        </w:numPr>
        <w:spacing w:line="360" w:lineRule="auto"/>
        <w:ind w:leftChars="0"/>
        <w:rPr>
          <w:rFonts w:hint="eastAsia" w:ascii="楷体" w:hAnsi="楷体" w:eastAsia="楷体" w:cs="楷体"/>
          <w:highlight w:val="none"/>
          <w:lang w:val="en-US" w:eastAsia="zh-CN"/>
        </w:rPr>
      </w:pPr>
      <w:bookmarkStart w:id="0" w:name="_GoBack"/>
      <w:bookmarkEnd w:id="0"/>
    </w:p>
    <w:sectPr>
      <w:footerReference r:id="rId3" w:type="default"/>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8F5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1FAF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11FAF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NWQ0ODc3OGIxZGM1ZTNkYTUwZmRmNDlhOWEyMDEifQ=="/>
  </w:docVars>
  <w:rsids>
    <w:rsidRoot w:val="00000000"/>
    <w:rsid w:val="00572C37"/>
    <w:rsid w:val="005945D9"/>
    <w:rsid w:val="012D0479"/>
    <w:rsid w:val="0328714A"/>
    <w:rsid w:val="059D7824"/>
    <w:rsid w:val="05B66C8F"/>
    <w:rsid w:val="05D709B3"/>
    <w:rsid w:val="064B227F"/>
    <w:rsid w:val="070A4C72"/>
    <w:rsid w:val="08411092"/>
    <w:rsid w:val="089808CE"/>
    <w:rsid w:val="08DB1529"/>
    <w:rsid w:val="09734E97"/>
    <w:rsid w:val="0976167C"/>
    <w:rsid w:val="0B301291"/>
    <w:rsid w:val="0B3F14D4"/>
    <w:rsid w:val="0B845E93"/>
    <w:rsid w:val="0CCC4D5B"/>
    <w:rsid w:val="0D076022"/>
    <w:rsid w:val="0D0B0E7E"/>
    <w:rsid w:val="0D0E1C89"/>
    <w:rsid w:val="0DCC3411"/>
    <w:rsid w:val="0DF742E8"/>
    <w:rsid w:val="0EC0221F"/>
    <w:rsid w:val="0F1D7F5F"/>
    <w:rsid w:val="103A023C"/>
    <w:rsid w:val="129F5F88"/>
    <w:rsid w:val="131D034D"/>
    <w:rsid w:val="13906D71"/>
    <w:rsid w:val="143040B0"/>
    <w:rsid w:val="14883EEC"/>
    <w:rsid w:val="1497412F"/>
    <w:rsid w:val="14A3354A"/>
    <w:rsid w:val="15A22D8C"/>
    <w:rsid w:val="15E06F47"/>
    <w:rsid w:val="1AC73999"/>
    <w:rsid w:val="1B08543C"/>
    <w:rsid w:val="1CA4563B"/>
    <w:rsid w:val="1CB6536F"/>
    <w:rsid w:val="2096173F"/>
    <w:rsid w:val="2129193C"/>
    <w:rsid w:val="215018EE"/>
    <w:rsid w:val="217149D9"/>
    <w:rsid w:val="21D249BB"/>
    <w:rsid w:val="22407B8C"/>
    <w:rsid w:val="22C9208B"/>
    <w:rsid w:val="240055F7"/>
    <w:rsid w:val="2429227B"/>
    <w:rsid w:val="265F4E17"/>
    <w:rsid w:val="271771D5"/>
    <w:rsid w:val="2B0B2D29"/>
    <w:rsid w:val="2BEA31FD"/>
    <w:rsid w:val="2BEC66B7"/>
    <w:rsid w:val="2D2A56E9"/>
    <w:rsid w:val="2E494294"/>
    <w:rsid w:val="30125F76"/>
    <w:rsid w:val="30DA5678"/>
    <w:rsid w:val="33F16C27"/>
    <w:rsid w:val="3441696C"/>
    <w:rsid w:val="349933B1"/>
    <w:rsid w:val="351C000D"/>
    <w:rsid w:val="36140CE4"/>
    <w:rsid w:val="36145188"/>
    <w:rsid w:val="36163E06"/>
    <w:rsid w:val="38CC600A"/>
    <w:rsid w:val="392E1218"/>
    <w:rsid w:val="39D5281B"/>
    <w:rsid w:val="3ADE638A"/>
    <w:rsid w:val="3B602C1D"/>
    <w:rsid w:val="3BB97569"/>
    <w:rsid w:val="3C3B10A7"/>
    <w:rsid w:val="3CC2593E"/>
    <w:rsid w:val="3CE753A4"/>
    <w:rsid w:val="3CF10420"/>
    <w:rsid w:val="3DD04D61"/>
    <w:rsid w:val="3FA4757D"/>
    <w:rsid w:val="40155D85"/>
    <w:rsid w:val="40182A15"/>
    <w:rsid w:val="40491ED2"/>
    <w:rsid w:val="411D6616"/>
    <w:rsid w:val="41C45CB4"/>
    <w:rsid w:val="42AD7137"/>
    <w:rsid w:val="42DF6B1E"/>
    <w:rsid w:val="439127F7"/>
    <w:rsid w:val="43B74804"/>
    <w:rsid w:val="43D47D05"/>
    <w:rsid w:val="43F74B44"/>
    <w:rsid w:val="441B3B85"/>
    <w:rsid w:val="442E5C2E"/>
    <w:rsid w:val="445A46AE"/>
    <w:rsid w:val="45124F88"/>
    <w:rsid w:val="45505C97"/>
    <w:rsid w:val="467001B9"/>
    <w:rsid w:val="47451645"/>
    <w:rsid w:val="477C0DDF"/>
    <w:rsid w:val="48A501F5"/>
    <w:rsid w:val="48B74E96"/>
    <w:rsid w:val="4A2547D2"/>
    <w:rsid w:val="4A65551F"/>
    <w:rsid w:val="4C8A011E"/>
    <w:rsid w:val="4CD751BF"/>
    <w:rsid w:val="4D615A8F"/>
    <w:rsid w:val="4DA81C7F"/>
    <w:rsid w:val="4F400944"/>
    <w:rsid w:val="531128F3"/>
    <w:rsid w:val="53784B50"/>
    <w:rsid w:val="53DB0EB2"/>
    <w:rsid w:val="54330A77"/>
    <w:rsid w:val="54AF2F05"/>
    <w:rsid w:val="558F2B44"/>
    <w:rsid w:val="55AC6D33"/>
    <w:rsid w:val="562E7748"/>
    <w:rsid w:val="56B22127"/>
    <w:rsid w:val="56D402F0"/>
    <w:rsid w:val="57BF07B0"/>
    <w:rsid w:val="57CF70E8"/>
    <w:rsid w:val="58AE62D0"/>
    <w:rsid w:val="58D30654"/>
    <w:rsid w:val="58E20A87"/>
    <w:rsid w:val="59775239"/>
    <w:rsid w:val="5A0E68F1"/>
    <w:rsid w:val="5AFD7ADD"/>
    <w:rsid w:val="5C747BCE"/>
    <w:rsid w:val="5FE35BF8"/>
    <w:rsid w:val="5FE81449"/>
    <w:rsid w:val="62176A20"/>
    <w:rsid w:val="627E3805"/>
    <w:rsid w:val="62A3326C"/>
    <w:rsid w:val="644B5969"/>
    <w:rsid w:val="649449DA"/>
    <w:rsid w:val="64CF0348"/>
    <w:rsid w:val="65A2780B"/>
    <w:rsid w:val="66102E63"/>
    <w:rsid w:val="66DD0F3E"/>
    <w:rsid w:val="66FD73EF"/>
    <w:rsid w:val="67711A36"/>
    <w:rsid w:val="677A27ED"/>
    <w:rsid w:val="67801DCE"/>
    <w:rsid w:val="681F6F73"/>
    <w:rsid w:val="69196631"/>
    <w:rsid w:val="6B91392A"/>
    <w:rsid w:val="6CAF2281"/>
    <w:rsid w:val="6D852A9B"/>
    <w:rsid w:val="6F450AD0"/>
    <w:rsid w:val="6F770600"/>
    <w:rsid w:val="71104DD5"/>
    <w:rsid w:val="71634787"/>
    <w:rsid w:val="71B87AFB"/>
    <w:rsid w:val="71EF3DD8"/>
    <w:rsid w:val="721444F1"/>
    <w:rsid w:val="72247F25"/>
    <w:rsid w:val="73AE3C92"/>
    <w:rsid w:val="73B260DF"/>
    <w:rsid w:val="74687E72"/>
    <w:rsid w:val="747E5B3C"/>
    <w:rsid w:val="74B66911"/>
    <w:rsid w:val="74D3353D"/>
    <w:rsid w:val="752A2FB8"/>
    <w:rsid w:val="7575086F"/>
    <w:rsid w:val="75DC28C5"/>
    <w:rsid w:val="76A333E3"/>
    <w:rsid w:val="76CC0B8C"/>
    <w:rsid w:val="784470AD"/>
    <w:rsid w:val="78601618"/>
    <w:rsid w:val="78C957FA"/>
    <w:rsid w:val="790C3D9D"/>
    <w:rsid w:val="7CEF1130"/>
    <w:rsid w:val="7D5316BF"/>
    <w:rsid w:val="7E5E4287"/>
    <w:rsid w:val="7EC14D4E"/>
    <w:rsid w:val="7F3F66B4"/>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2">
    <w:name w:val="heading 4"/>
    <w:basedOn w:val="1"/>
    <w:next w:val="1"/>
    <w:qFormat/>
    <w:uiPriority w:val="0"/>
    <w:pPr>
      <w:keepNext/>
      <w:keepLines/>
      <w:spacing w:line="360" w:lineRule="auto"/>
      <w:outlineLvl w:val="3"/>
    </w:pPr>
    <w:rPr>
      <w:rFonts w:ascii="Arial" w:hAnsi="Arial"/>
      <w:b/>
      <w:bCs/>
      <w:kern w:val="0"/>
      <w:sz w:val="20"/>
      <w:szCs w:val="28"/>
    </w:rPr>
  </w:style>
  <w:style w:type="paragraph" w:styleId="4">
    <w:name w:val="heading 5"/>
    <w:basedOn w:val="1"/>
    <w:next w:val="1"/>
    <w:qFormat/>
    <w:uiPriority w:val="1"/>
    <w:pPr>
      <w:ind w:left="984"/>
      <w:outlineLvl w:val="5"/>
    </w:pPr>
    <w:rPr>
      <w:rFonts w:ascii="仿宋" w:hAnsi="仿宋" w:eastAsia="仿宋" w:cs="仿宋"/>
      <w:b/>
      <w:bCs/>
      <w:sz w:val="28"/>
      <w:szCs w:val="28"/>
      <w:lang w:val="zh-CN" w:eastAsia="zh-CN" w:bidi="zh-CN"/>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1"/>
    <w:pPr>
      <w:ind w:left="415"/>
    </w:pPr>
    <w:rPr>
      <w:rFonts w:ascii="仿宋" w:hAnsi="仿宋" w:eastAsia="仿宋" w:cs="仿宋"/>
      <w:sz w:val="28"/>
      <w:szCs w:val="28"/>
      <w:lang w:val="zh-CN" w:eastAsia="zh-CN" w:bidi="zh-CN"/>
    </w:rPr>
  </w:style>
  <w:style w:type="paragraph" w:styleId="6">
    <w:name w:val="footer"/>
    <w:basedOn w:val="1"/>
    <w:autoRedefine/>
    <w:qFormat/>
    <w:uiPriority w:val="99"/>
    <w:pPr>
      <w:pBdr>
        <w:top w:val="single" w:color="auto" w:sz="4" w:space="1"/>
      </w:pBd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bCs/>
    </w:rPr>
  </w:style>
  <w:style w:type="character" w:styleId="12">
    <w:name w:val="FollowedHyperlink"/>
    <w:basedOn w:val="10"/>
    <w:autoRedefine/>
    <w:qFormat/>
    <w:uiPriority w:val="0"/>
    <w:rPr>
      <w:color w:val="333333"/>
      <w:u w:val="none"/>
    </w:rPr>
  </w:style>
  <w:style w:type="character" w:styleId="13">
    <w:name w:val="Emphasis"/>
    <w:basedOn w:val="10"/>
    <w:autoRedefine/>
    <w:qFormat/>
    <w:uiPriority w:val="0"/>
  </w:style>
  <w:style w:type="character" w:styleId="14">
    <w:name w:val="HTML Definition"/>
    <w:basedOn w:val="10"/>
    <w:autoRedefine/>
    <w:qFormat/>
    <w:uiPriority w:val="0"/>
    <w:rPr>
      <w:i/>
      <w:iCs/>
    </w:rPr>
  </w:style>
  <w:style w:type="character" w:styleId="15">
    <w:name w:val="Hyperlink"/>
    <w:basedOn w:val="10"/>
    <w:autoRedefine/>
    <w:qFormat/>
    <w:uiPriority w:val="0"/>
    <w:rPr>
      <w:color w:val="333333"/>
      <w:u w:val="none"/>
    </w:rPr>
  </w:style>
  <w:style w:type="character" w:styleId="16">
    <w:name w:val="HTML Code"/>
    <w:basedOn w:val="10"/>
    <w:autoRedefine/>
    <w:qFormat/>
    <w:uiPriority w:val="0"/>
    <w:rPr>
      <w:rFonts w:hint="default" w:ascii="Consolas" w:hAnsi="Consolas" w:eastAsia="Consolas" w:cs="Consolas"/>
      <w:color w:val="C7254E"/>
      <w:sz w:val="21"/>
      <w:szCs w:val="21"/>
      <w:shd w:val="clear" w:fill="F9F2F4"/>
    </w:rPr>
  </w:style>
  <w:style w:type="character" w:styleId="17">
    <w:name w:val="HTML Keyboard"/>
    <w:basedOn w:val="10"/>
    <w:autoRedefine/>
    <w:qFormat/>
    <w:uiPriority w:val="0"/>
    <w:rPr>
      <w:rFonts w:hint="default" w:ascii="Consolas" w:hAnsi="Consolas" w:eastAsia="Consolas" w:cs="Consolas"/>
      <w:color w:val="FFFFFF"/>
      <w:sz w:val="21"/>
      <w:szCs w:val="21"/>
      <w:bdr w:val="single" w:color="DDDDDD" w:sz="6" w:space="0"/>
      <w:shd w:val="clear" w:fill="333333"/>
    </w:rPr>
  </w:style>
  <w:style w:type="character" w:styleId="18">
    <w:name w:val="HTML Sample"/>
    <w:basedOn w:val="10"/>
    <w:autoRedefine/>
    <w:qFormat/>
    <w:uiPriority w:val="0"/>
    <w:rPr>
      <w:rFonts w:ascii="Consolas" w:hAnsi="Consolas" w:eastAsia="Consolas" w:cs="Consolas"/>
      <w:sz w:val="21"/>
      <w:szCs w:val="21"/>
    </w:rPr>
  </w:style>
  <w:style w:type="paragraph" w:customStyle="1" w:styleId="19">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Table Paragraph"/>
    <w:basedOn w:val="1"/>
    <w:qFormat/>
    <w:uiPriority w:val="1"/>
    <w:rPr>
      <w:rFonts w:ascii="仿宋" w:hAnsi="仿宋" w:eastAsia="仿宋" w:cs="仿宋"/>
      <w:lang w:val="zh-CN" w:eastAsia="zh-CN" w:bidi="zh-CN"/>
    </w:rPr>
  </w:style>
  <w:style w:type="paragraph" w:customStyle="1" w:styleId="21">
    <w:name w:val="样式 仿宋_GB2312 四号 行距: 1.5 倍行距"/>
    <w:basedOn w:val="1"/>
    <w:autoRedefine/>
    <w:qFormat/>
    <w:uiPriority w:val="0"/>
    <w:pPr>
      <w:spacing w:line="360" w:lineRule="auto"/>
      <w:ind w:firstLine="560" w:firstLineChars="200"/>
    </w:pPr>
    <w:rPr>
      <w:rFonts w:ascii="仿宋_GB2312" w:eastAsia="仿宋_GB2312" w:cs="宋体"/>
      <w:sz w:val="28"/>
      <w:szCs w:val="20"/>
    </w:rPr>
  </w:style>
  <w:style w:type="character" w:customStyle="1" w:styleId="22">
    <w:name w:val="glyphicon4"/>
    <w:basedOn w:val="10"/>
    <w:autoRedefine/>
    <w:qFormat/>
    <w:uiPriority w:val="0"/>
  </w:style>
  <w:style w:type="character" w:customStyle="1" w:styleId="23">
    <w:name w:val="button"/>
    <w:basedOn w:val="10"/>
    <w:qFormat/>
    <w:uiPriority w:val="0"/>
  </w:style>
  <w:style w:type="character" w:customStyle="1" w:styleId="24">
    <w:name w:val="indent"/>
    <w:basedOn w:val="10"/>
    <w:autoRedefine/>
    <w:qFormat/>
    <w:uiPriority w:val="0"/>
  </w:style>
  <w:style w:type="character" w:customStyle="1" w:styleId="25">
    <w:name w:val="hover3"/>
    <w:basedOn w:val="10"/>
    <w:qFormat/>
    <w:uiPriority w:val="0"/>
    <w:rPr>
      <w:shd w:val="clear" w:fill="EEEEEE"/>
    </w:rPr>
  </w:style>
  <w:style w:type="character" w:customStyle="1" w:styleId="26">
    <w:name w:val="old"/>
    <w:basedOn w:val="10"/>
    <w:qFormat/>
    <w:uiPriority w:val="0"/>
    <w:rPr>
      <w:color w:val="999999"/>
    </w:rPr>
  </w:style>
  <w:style w:type="character" w:customStyle="1" w:styleId="27">
    <w:name w:val="hour_am"/>
    <w:basedOn w:val="10"/>
    <w:qFormat/>
    <w:uiPriority w:val="0"/>
  </w:style>
  <w:style w:type="character" w:customStyle="1" w:styleId="28">
    <w:name w:val="hour_pm"/>
    <w:basedOn w:val="10"/>
    <w:autoRedefine/>
    <w:qFormat/>
    <w:uiPriority w:val="0"/>
  </w:style>
  <w:style w:type="character" w:customStyle="1" w:styleId="29">
    <w:name w:val="tmpztreemove_arrow"/>
    <w:basedOn w:val="10"/>
    <w:autoRedefine/>
    <w:qFormat/>
    <w:uiPriority w:val="0"/>
    <w:rPr>
      <w:shd w:val="clear" w:fill="FFFFFF"/>
    </w:rPr>
  </w:style>
  <w:style w:type="character" w:customStyle="1" w:styleId="30">
    <w:name w:val="font11"/>
    <w:basedOn w:val="10"/>
    <w:qFormat/>
    <w:uiPriority w:val="0"/>
    <w:rPr>
      <w:rFonts w:ascii="宋体" w:hAnsi="宋体" w:eastAsia="宋体" w:cs="宋体"/>
      <w:color w:val="000000"/>
      <w:sz w:val="18"/>
      <w:szCs w:val="18"/>
      <w:u w:val="none"/>
    </w:rPr>
  </w:style>
  <w:style w:type="character" w:customStyle="1" w:styleId="31">
    <w:name w:val="font31"/>
    <w:basedOn w:val="10"/>
    <w:qFormat/>
    <w:uiPriority w:val="0"/>
    <w:rPr>
      <w:rFonts w:ascii="宋体" w:hAnsi="宋体" w:eastAsia="宋体" w:cs="宋体"/>
      <w:color w:val="000000"/>
      <w:sz w:val="38"/>
      <w:szCs w:val="38"/>
      <w:u w:val="none"/>
    </w:rPr>
  </w:style>
  <w:style w:type="character" w:customStyle="1" w:styleId="32">
    <w:name w:val="font41"/>
    <w:basedOn w:val="10"/>
    <w:qFormat/>
    <w:uiPriority w:val="0"/>
    <w:rPr>
      <w:rFonts w:ascii="宋体" w:hAnsi="宋体" w:eastAsia="宋体" w:cs="宋体"/>
      <w:color w:val="000000"/>
      <w:sz w:val="18"/>
      <w:szCs w:val="18"/>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2308</Words>
  <Characters>2501</Characters>
  <Lines>0</Lines>
  <Paragraphs>0</Paragraphs>
  <TotalTime>1</TotalTime>
  <ScaleCrop>false</ScaleCrop>
  <LinksUpToDate>false</LinksUpToDate>
  <CharactersWithSpaces>2612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2021-07-08T08:10:00Z</dcterms:created>
  <dc:creator>Administrator</dc:creator>
  <cp:lastModifiedBy>向风而行</cp:lastModifiedBy>
  <cp:lastPrinted>2023-05-23T06:32:00Z</cp:lastPrinted>
  <dcterms:modified xsi:type="dcterms:W3CDTF">2025-07-10T05:48:19Z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073B188B5C27437C89345D7595F0FA09_13</vt:lpwstr>
  </property>
  <property fmtid="{D5CDD505-2E9C-101B-9397-08002B2CF9AE}" pid="4" name="KSOTemplateDocerSaveRecord">
    <vt:lpwstr>eyJoZGlkIjoiZDBiNWI5YzJlZDA1MGM1ZGVjZjFhNDg3NTllYzMxMzMiLCJ1c2VySWQiOiIzNzk1NzM3ODkifQ==</vt:lpwstr>
  </property>
</Properties>
</file>