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陇县西城幼儿园保育楼楼顶屋面防水及消防改造提升项目竞争性磋商公告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保育楼楼顶屋面防水及消防改造提升项目</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w:t>
      </w:r>
      <w:r>
        <w:rPr>
          <w:rFonts w:ascii="仿宋_GB2312" w:hAnsi="仿宋_GB2312" w:cs="仿宋_GB2312" w:eastAsia="仿宋_GB2312"/>
        </w:rPr>
        <w:t>获取采购文件，并于</w:t>
      </w:r>
      <w:r>
        <w:rPr>
          <w:rFonts w:ascii="仿宋_GB2312" w:hAnsi="仿宋_GB2312" w:cs="仿宋_GB2312" w:eastAsia="仿宋_GB2312"/>
        </w:rPr>
        <w:t xml:space="preserve"> 2025年07月24日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项目编号：ZJS-2025-022</w:t>
      </w:r>
    </w:p>
    <w:p>
      <w:pPr>
        <w:pStyle w:val="null3"/>
      </w:pPr>
      <w:r>
        <w:rPr>
          <w:rFonts w:ascii="仿宋_GB2312" w:hAnsi="仿宋_GB2312" w:cs="仿宋_GB2312" w:eastAsia="仿宋_GB2312"/>
        </w:rPr>
        <w:t>项目名称：保育楼楼顶屋面防水及消防改造提升项目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预算金额：707,800.00元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合同包1(陇县西城幼儿园保育楼楼顶屋面防水及消防改造提升项目):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707,800.00元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592,116.07元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消防工程和安防工程</w:t>
            </w:r>
          </w:p>
        </w:tc>
        <w:tc>
          <w:tcPr>
            <w:tcW w:type="dxa" w:w="1384"/>
          </w:tcPr>
          <w:p>
            <w:pPr>
              <w:pStyle w:val="null3"/>
            </w:pPr>
            <w:r>
              <w:rPr>
                <w:rFonts w:ascii="仿宋_GB2312" w:hAnsi="仿宋_GB2312" w:cs="仿宋_GB2312" w:eastAsia="仿宋_GB2312"/>
              </w:rPr>
              <w:t>消防工程和安防工程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707,800.00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35日历天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合同包1(陇县西城幼儿园保育楼楼顶屋面防水及消防改造提升项目)落实政府采购政策需满足的资格要求如下: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（4）《环境标志产品政府采购实施的意见》（财库〔2006〕90号）；</w:t>
      </w:r>
      <w:r>
        <w:br/>
      </w:r>
      <w:r>
        <w:rPr>
          <w:rFonts w:ascii="仿宋_GB2312" w:hAnsi="仿宋_GB2312" w:cs="仿宋_GB2312" w:eastAsia="仿宋_GB2312"/>
        </w:rPr>
        <w:t>（5）《节能产品政府采购实施意见》（财库〔2004〕185号）；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（7）《财政部发展改革委生态环境部市场监管总局关于调整优化节能产品、环境标志产品政府采购执行机制的通知》（财库〔2019〕9号）；</w:t>
      </w:r>
      <w:r>
        <w:br/>
      </w:r>
      <w:r>
        <w:rPr>
          <w:rFonts w:ascii="仿宋_GB2312" w:hAnsi="仿宋_GB2312" w:cs="仿宋_GB2312" w:eastAsia="仿宋_GB2312"/>
        </w:rPr>
        <w:t>（8）《陕西省中小企业政府采购信用融资办法》（陕财办采〔2018〕23号）；</w:t>
      </w:r>
      <w:r>
        <w:br/>
      </w:r>
      <w:r>
        <w:rPr>
          <w:rFonts w:ascii="仿宋_GB2312" w:hAnsi="仿宋_GB2312" w:cs="仿宋_GB2312" w:eastAsia="仿宋_GB2312"/>
        </w:rPr>
        <w:t>（9）《陕西省财政厅关于加快推进我省中小企业政府采购信用融资工作的通知》（陕财办采〔2020〕15号文件）；</w:t>
      </w:r>
      <w:r>
        <w:br/>
      </w:r>
      <w:r>
        <w:rPr>
          <w:rFonts w:ascii="仿宋_GB2312" w:hAnsi="仿宋_GB2312" w:cs="仿宋_GB2312" w:eastAsia="仿宋_GB2312"/>
        </w:rPr>
        <w:t>（10）《关于进一步加大政府采购支持中小企业力度的通知》（财库〔2022〕19号）；</w:t>
      </w:r>
      <w:r>
        <w:br/>
      </w:r>
      <w:r>
        <w:rPr>
          <w:rFonts w:ascii="仿宋_GB2312" w:hAnsi="仿宋_GB2312" w:cs="仿宋_GB2312" w:eastAsia="仿宋_GB2312"/>
        </w:rPr>
        <w:t>（11）其他需要落实的政府采购政策；如有最新颁布的政府采购政策，按最新的文件执行。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合同包1(陇县西城幼儿园保育楼楼顶屋面防水及消防改造提升项目)特定资格要求如下:</w:t>
      </w:r>
    </w:p>
    <w:p>
      <w:pPr>
        <w:pStyle w:val="null3"/>
        <w:ind w:left="480"/>
      </w:pPr>
      <w:r>
        <w:rPr>
          <w:rFonts w:ascii="仿宋_GB2312" w:hAnsi="仿宋_GB2312" w:cs="仿宋_GB2312" w:eastAsia="仿宋_GB2312"/>
        </w:rPr>
        <w:t xml:space="preserve">（1）供应商须具有独立法人资格，具有年检有效的企业法人营业执照、税务登记证、组织机构代码证或统一社会信用代码的营业执照； </w:t>
      </w:r>
      <w:r>
        <w:br/>
      </w:r>
      <w:r>
        <w:rPr>
          <w:rFonts w:ascii="仿宋_GB2312" w:hAnsi="仿宋_GB2312" w:cs="仿宋_GB2312" w:eastAsia="仿宋_GB2312"/>
        </w:rPr>
        <w:t xml:space="preserve">（2）供应商应具备建设行政主管部门颁发的消防设施工程专业承包二级及以上资质，同时提供有效的安全生产许可证； </w:t>
      </w:r>
      <w:r>
        <w:br/>
      </w:r>
      <w:r>
        <w:rPr>
          <w:rFonts w:ascii="仿宋_GB2312" w:hAnsi="仿宋_GB2312" w:cs="仿宋_GB2312" w:eastAsia="仿宋_GB2312"/>
        </w:rPr>
        <w:t>（3）拟派项目经理需具备行政主管部门颁发的机电工程专业二级及以上注册建造师资格和有效的安全生产考核合格证书，且无在建项目（提供无在建项目承诺书）；</w:t>
      </w:r>
      <w:r>
        <w:br/>
      </w:r>
      <w:r>
        <w:rPr>
          <w:rFonts w:ascii="仿宋_GB2312" w:hAnsi="仿宋_GB2312" w:cs="仿宋_GB2312" w:eastAsia="仿宋_GB2312"/>
        </w:rPr>
        <w:t>（4）法定代表人授权书（附法定代表人、被授权人身份证复印件）及被授权人身份证（法定代表人参加磋商需提供本人身份证及法定代表人证明书）；</w:t>
      </w:r>
      <w:r>
        <w:br/>
      </w:r>
      <w:r>
        <w:rPr>
          <w:rFonts w:ascii="仿宋_GB2312" w:hAnsi="仿宋_GB2312" w:cs="仿宋_GB2312" w:eastAsia="仿宋_GB2312"/>
        </w:rPr>
        <w:t xml:space="preserve">（5）财务状况报告：提供2023年或2024年财务审计报告（成立时间至提交磋商响应文件截止时间不足一年的可提供成立后任意时段的资产负债表）以及供应商基本账户开户许可证（或开户行出具的基本存款账户信息）；  </w:t>
      </w:r>
      <w:r>
        <w:br/>
      </w:r>
      <w:r>
        <w:rPr>
          <w:rFonts w:ascii="仿宋_GB2312" w:hAnsi="仿宋_GB2312" w:cs="仿宋_GB2312" w:eastAsia="仿宋_GB2312"/>
        </w:rPr>
        <w:t>（6）税收缴纳证明：供应商须提供2024年度6月至今已缴纳的至少三个月的纳税证明或完税证明，依法免税的单位应提供相关证明材料；</w:t>
      </w:r>
      <w:r>
        <w:br/>
      </w:r>
      <w:r>
        <w:rPr>
          <w:rFonts w:ascii="仿宋_GB2312" w:hAnsi="仿宋_GB2312" w:cs="仿宋_GB2312" w:eastAsia="仿宋_GB2312"/>
        </w:rPr>
        <w:t>（7）社会保障资金缴纳证明：供应商须提供2024年度6月至今已缴存的至少三个月的社会保险参保缴费情况证明；</w:t>
      </w:r>
      <w:r>
        <w:br/>
      </w:r>
      <w:r>
        <w:rPr>
          <w:rFonts w:ascii="仿宋_GB2312" w:hAnsi="仿宋_GB2312" w:cs="仿宋_GB2312" w:eastAsia="仿宋_GB2312"/>
        </w:rPr>
        <w:t>（8）书面声明：参加本次采购活动前三年内在经营活动中没有重大违纪的书面声明；</w:t>
      </w:r>
      <w:r>
        <w:br/>
      </w:r>
      <w:r>
        <w:rPr>
          <w:rFonts w:ascii="仿宋_GB2312" w:hAnsi="仿宋_GB2312" w:cs="仿宋_GB2312" w:eastAsia="仿宋_GB2312"/>
        </w:rPr>
        <w:t>（9）信誉要求：供应商在“信用中国”中未被列入失信被执行人和重大税收违法失信主体截图，不得为中国政府采购网政府采购严重违法失信行为记录名单中被财政部门禁止参加政府采购活动的供应商（提供查询结果网页截图并加盖供应商公章）；</w:t>
      </w:r>
      <w:r>
        <w:br/>
      </w:r>
      <w:r>
        <w:rPr>
          <w:rFonts w:ascii="仿宋_GB2312" w:hAnsi="仿宋_GB2312" w:cs="仿宋_GB2312" w:eastAsia="仿宋_GB2312"/>
        </w:rPr>
        <w:t>（10）本项目为专门面向中小企业采购，仅限符合条件的中小企业参与，提供中小企业声明函；</w:t>
      </w:r>
      <w:r>
        <w:br/>
      </w:r>
      <w:r>
        <w:rPr>
          <w:rFonts w:ascii="仿宋_GB2312" w:hAnsi="仿宋_GB2312" w:cs="仿宋_GB2312" w:eastAsia="仿宋_GB2312"/>
        </w:rPr>
        <w:t>（11）本项目不接受联合体投标。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2025年07月24日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 ·宝鸡市）宝鸡市公共资源交易中心线上递交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2025年07月24日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电子化投标，不见面开标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rPr>
        <w:t>1、本项目有意向供应商须登录全国公共资源交易平台（陕西省宝鸡市）宝鸡市公共资源交易中心，交易平台〖首页〉电子交易平台〉企业端〗后，在〖招标公告/出让公告〗模块中选择有意向的项目点击“我要投标”，并打印回执单，报名成功后即可从〖我的项目〉项目流程〉交易文件下载〗中下载磋商文件（*.SXSZF格式），如未及时下载磋商文件（*.SXSZF格式），所引起的不良后果，由供应商自行承担；</w:t>
      </w:r>
    </w:p>
    <w:p>
      <w:pPr>
        <w:pStyle w:val="null3"/>
        <w:ind w:firstLine="562"/>
        <w:jc w:val="both"/>
      </w:pPr>
      <w:r>
        <w:rPr>
          <w:rFonts w:ascii="仿宋_GB2312" w:hAnsi="仿宋_GB2312" w:cs="仿宋_GB2312" w:eastAsia="仿宋_GB2312"/>
          <w:sz w:val="21"/>
        </w:rPr>
        <w:t>2、供应商在网上填写单位信息（单位名称、营业执照相关信息）时应与竞争性磋商响应文件中相关信息一致，否则造成资格审查不通过的后果自负；</w:t>
      </w:r>
    </w:p>
    <w:p>
      <w:pPr>
        <w:pStyle w:val="null3"/>
        <w:ind w:firstLine="562"/>
        <w:jc w:val="both"/>
      </w:pPr>
      <w:r>
        <w:rPr>
          <w:rFonts w:ascii="仿宋_GB2312" w:hAnsi="仿宋_GB2312" w:cs="仿宋_GB2312" w:eastAsia="仿宋_GB2312"/>
          <w:sz w:val="21"/>
        </w:rPr>
        <w:t>3、请供应商按照陕西省财政厅关于政府采购供应商注册登记有关事项的通知中的要求，通过陕西省政府采购网注册登记加入陕西省政府采购供应商库；</w:t>
      </w:r>
    </w:p>
    <w:p>
      <w:pPr>
        <w:pStyle w:val="null3"/>
        <w:ind w:firstLine="562"/>
        <w:jc w:val="both"/>
      </w:pPr>
      <w:r>
        <w:rPr>
          <w:rFonts w:ascii="仿宋_GB2312" w:hAnsi="仿宋_GB2312" w:cs="仿宋_GB2312" w:eastAsia="仿宋_GB2312"/>
          <w:sz w:val="21"/>
        </w:rPr>
        <w:t>4、本项目为“全流程电子化”采购模式，实行电子投标，各供应商须自行在网上下载磋商文件、缴纳磋商保证金，并登录全国公共资源交易平台（陕西省宝鸡市）宝鸡市公共资源交易中心-服务指南-下载专区-下载政府采购电子标书制作工具，按照流程制作电子标书并在规定的响应截止时前上传电子响应文件，逾期提交的，系统将会拒收；</w:t>
      </w:r>
    </w:p>
    <w:p>
      <w:pPr>
        <w:pStyle w:val="null3"/>
        <w:ind w:firstLine="562"/>
        <w:jc w:val="both"/>
      </w:pPr>
      <w:r>
        <w:rPr>
          <w:rFonts w:ascii="仿宋_GB2312" w:hAnsi="仿宋_GB2312" w:cs="仿宋_GB2312" w:eastAsia="仿宋_GB2312"/>
          <w:sz w:val="21"/>
        </w:rPr>
        <w:t>5、提交竞争性磋商响应文件截止时间前，供应商应随时留意【陕西省政府采购网〗、【全国公共资源交易平台（陕西省·宝鸡市）〗上可能发布的变更公告。若变更公告中明确注明本项目提供有变更文件的，供应商应登录企业端后，从【项目流程·&gt;项目管理·&gt;答疑文件下载〗获取更新后的电子竞争性磋商文件（*.SXSCF）,使用旧版电子竞争性磋商文件制作的电子投标文件（*.SXSTF），系统将拒绝接收；</w:t>
      </w:r>
    </w:p>
    <w:p>
      <w:pPr>
        <w:pStyle w:val="null3"/>
        <w:ind w:firstLine="562"/>
        <w:jc w:val="both"/>
      </w:pPr>
      <w:r>
        <w:rPr>
          <w:rFonts w:ascii="仿宋_GB2312" w:hAnsi="仿宋_GB2312" w:cs="仿宋_GB2312" w:eastAsia="仿宋_GB2312"/>
          <w:sz w:val="21"/>
        </w:rPr>
        <w:t>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供应商操作手册》。</w:t>
      </w:r>
    </w:p>
    <w:p>
      <w:pPr>
        <w:pStyle w:val="null3"/>
        <w:ind w:firstLine="562"/>
        <w:jc w:val="both"/>
      </w:pPr>
      <w:r>
        <w:rPr>
          <w:rFonts w:ascii="仿宋_GB2312" w:hAnsi="仿宋_GB2312" w:cs="仿宋_GB2312" w:eastAsia="仿宋_GB2312"/>
          <w:sz w:val="21"/>
        </w:rPr>
        <w:t>7、为了保证远程不见面开标顺利进行，供应商需使用配备相关设备的电脑提前一小时登录网络开标大厅，因供应商自身设施故障或自身原因导致无法完成签到、解密、磋商或二次报价的，由供应商自行承担后果；</w:t>
      </w:r>
    </w:p>
    <w:p>
      <w:pPr>
        <w:pStyle w:val="null3"/>
        <w:ind w:firstLine="562"/>
        <w:jc w:val="both"/>
      </w:pPr>
      <w:r>
        <w:rPr>
          <w:rFonts w:ascii="仿宋_GB2312" w:hAnsi="仿宋_GB2312" w:cs="仿宋_GB2312" w:eastAsia="仿宋_GB2312"/>
          <w:sz w:val="21"/>
        </w:rPr>
        <w:t>8、其他要求详见本项目竞争性磋商文件。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陇县西城幼儿园</w:t>
      </w:r>
    </w:p>
    <w:p>
      <w:pPr>
        <w:pStyle w:val="null3"/>
      </w:pPr>
      <w:r>
        <w:rPr>
          <w:rFonts w:ascii="仿宋_GB2312" w:hAnsi="仿宋_GB2312" w:cs="仿宋_GB2312" w:eastAsia="仿宋_GB2312"/>
        </w:rPr>
        <w:t>地址：</w:t>
      </w:r>
      <w:r>
        <w:rPr>
          <w:rFonts w:ascii="仿宋_GB2312" w:hAnsi="仿宋_GB2312" w:cs="仿宋_GB2312" w:eastAsia="仿宋_GB2312"/>
        </w:rPr>
        <w:t>陇县城关镇西街村三组</w:t>
      </w:r>
    </w:p>
    <w:p>
      <w:pPr>
        <w:pStyle w:val="null3"/>
      </w:pPr>
      <w:r>
        <w:rPr>
          <w:rFonts w:ascii="仿宋_GB2312" w:hAnsi="仿宋_GB2312" w:cs="仿宋_GB2312" w:eastAsia="仿宋_GB2312"/>
        </w:rPr>
        <w:t>联系方式：</w:t>
      </w:r>
      <w:r>
        <w:rPr>
          <w:rFonts w:ascii="仿宋_GB2312" w:hAnsi="仿宋_GB2312" w:cs="仿宋_GB2312" w:eastAsia="仿宋_GB2312"/>
        </w:rPr>
        <w:t>13991759519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中戟盛项目管理有限公司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宝鸡市渭滨区高新五路宏欣国际1201室</w:t>
      </w:r>
    </w:p>
    <w:p>
      <w:pPr>
        <w:pStyle w:val="null3"/>
      </w:pPr>
      <w:r>
        <w:rPr>
          <w:rFonts w:ascii="仿宋_GB2312" w:hAnsi="仿宋_GB2312" w:cs="仿宋_GB2312" w:eastAsia="仿宋_GB2312"/>
        </w:rPr>
        <w:t>联系方式：</w:t>
      </w:r>
      <w:r>
        <w:rPr>
          <w:rFonts w:ascii="仿宋_GB2312" w:hAnsi="仿宋_GB2312" w:cs="仿宋_GB2312" w:eastAsia="仿宋_GB2312"/>
        </w:rPr>
        <w:t>0917-3415228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冯工</w:t>
      </w:r>
    </w:p>
    <w:p>
      <w:pPr>
        <w:pStyle w:val="null3"/>
      </w:pPr>
      <w:r>
        <w:rPr>
          <w:rFonts w:ascii="仿宋_GB2312" w:hAnsi="仿宋_GB2312" w:cs="仿宋_GB2312" w:eastAsia="仿宋_GB2312"/>
        </w:rPr>
        <w:t>电话：</w:t>
      </w:r>
      <w:r>
        <w:rPr>
          <w:rFonts w:ascii="仿宋_GB2312" w:hAnsi="仿宋_GB2312" w:cs="仿宋_GB2312" w:eastAsia="仿宋_GB2312"/>
        </w:rPr>
        <w:t>0917-3415228</w:t>
      </w:r>
    </w:p>
    <w:p>
      <w:pPr>
        <w:pStyle w:val="null3"/>
        <w:jc w:val="right"/>
      </w:pPr>
      <w:r>
        <w:rPr>
          <w:rFonts w:ascii="仿宋_GB2312" w:hAnsi="仿宋_GB2312" w:cs="仿宋_GB2312" w:eastAsia="仿宋_GB2312"/>
        </w:rPr>
        <w:t>中戟盛项目管理有限公司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