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5BB0"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仿宋" w:eastAsia="黑体" w:cs="黑体"/>
          <w:b/>
          <w:bCs/>
          <w:sz w:val="24"/>
        </w:rPr>
        <w:t>一、</w:t>
      </w:r>
      <w:r>
        <w:rPr>
          <w:rFonts w:hint="eastAsia" w:ascii="黑体" w:hAnsi="仿宋" w:eastAsia="黑体" w:cs="黑体"/>
          <w:b/>
          <w:bCs/>
          <w:sz w:val="24"/>
          <w:lang w:val="en-US" w:eastAsia="zh-CN"/>
        </w:rPr>
        <w:t>项目概况</w:t>
      </w:r>
    </w:p>
    <w:p w14:paraId="032AC924"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对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国家毒品实验室陕西分中心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实验室36台检验检测仪器设备</w:t>
      </w:r>
      <w:r>
        <w:rPr>
          <w:rFonts w:hint="eastAsia" w:ascii="宋体" w:hAnsi="宋体" w:cs="Helvetica"/>
          <w:kern w:val="0"/>
          <w:sz w:val="24"/>
          <w:szCs w:val="21"/>
        </w:rPr>
        <w:t>运行维护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服务。</w:t>
      </w:r>
    </w:p>
    <w:p w14:paraId="0CBD4348">
      <w:pPr>
        <w:pStyle w:val="2"/>
        <w:rPr>
          <w:rFonts w:hint="default"/>
          <w:lang w:val="en-US" w:eastAsia="zh-CN"/>
        </w:rPr>
      </w:pPr>
    </w:p>
    <w:p w14:paraId="7ECF09E4"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sz w:val="24"/>
        </w:rPr>
      </w:pPr>
      <w:r>
        <w:rPr>
          <w:rFonts w:hint="eastAsia" w:ascii="黑体" w:hAnsi="仿宋" w:eastAsia="黑体" w:cs="黑体"/>
          <w:b/>
          <w:bCs/>
          <w:sz w:val="24"/>
        </w:rPr>
        <w:t>二、项目服务内容</w:t>
      </w:r>
    </w:p>
    <w:p w14:paraId="64521603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</w:rPr>
        <w:t>一、技术要求</w:t>
      </w:r>
    </w:p>
    <w:p w14:paraId="2088FE49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4"/>
          <w:szCs w:val="21"/>
        </w:rPr>
        <w:t>1.提供详细的维保服务方案。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包括预防性维护、应急维护、服务团队资质等详细说明。</w:t>
      </w:r>
    </w:p>
    <w:p w14:paraId="315B2A96">
      <w:pPr>
        <w:widowControl/>
        <w:spacing w:line="510" w:lineRule="atLeast"/>
        <w:ind w:firstLine="480"/>
        <w:jc w:val="left"/>
        <w:rPr>
          <w:rFonts w:hint="default" w:ascii="宋体" w:hAnsi="宋体" w:eastAsia="宋体" w:cs="Helvetica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4"/>
          <w:szCs w:val="21"/>
        </w:rPr>
        <w:t>2.提供维保设备故障后硬件维修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。</w:t>
      </w:r>
      <w:r>
        <w:rPr>
          <w:rFonts w:hint="eastAsia" w:ascii="宋体" w:hAnsi="宋体" w:cs="Helvetica"/>
          <w:kern w:val="0"/>
          <w:sz w:val="24"/>
          <w:szCs w:val="21"/>
        </w:rPr>
        <w:t>在维保责任范围内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即因部件老化、损坏，意外故障等导致的维修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Helvetica"/>
          <w:kern w:val="0"/>
          <w:sz w:val="24"/>
          <w:szCs w:val="21"/>
        </w:rPr>
        <w:t>原则上提供原厂零配件并原厂工程师维修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cs="Helvetica"/>
          <w:kern w:val="0"/>
          <w:sz w:val="24"/>
          <w:szCs w:val="21"/>
        </w:rPr>
        <w:t>包含所有维修配件费、工程师费用、日常耗材等及其他应有费用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；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每次维修后应提供详细的维修报告。</w:t>
      </w:r>
    </w:p>
    <w:p w14:paraId="31F2D586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color w:val="auto"/>
          <w:kern w:val="0"/>
          <w:sz w:val="24"/>
          <w:szCs w:val="21"/>
        </w:rPr>
        <w:t>3.</w:t>
      </w:r>
      <w:r>
        <w:rPr>
          <w:rFonts w:hint="eastAsia" w:ascii="宋体" w:hAnsi="宋体" w:cs="Helvetica"/>
          <w:kern w:val="0"/>
          <w:sz w:val="24"/>
          <w:szCs w:val="21"/>
        </w:rPr>
        <w:t>提供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预防性</w:t>
      </w:r>
      <w:r>
        <w:rPr>
          <w:rFonts w:hint="eastAsia" w:ascii="宋体" w:hAnsi="宋体" w:cs="Helvetica"/>
          <w:kern w:val="0"/>
          <w:sz w:val="24"/>
          <w:szCs w:val="21"/>
        </w:rPr>
        <w:t>设备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维护</w:t>
      </w:r>
      <w:r>
        <w:rPr>
          <w:rFonts w:hint="eastAsia" w:ascii="宋体" w:hAnsi="宋体" w:cs="Helvetica"/>
          <w:kern w:val="0"/>
          <w:sz w:val="24"/>
          <w:szCs w:val="21"/>
        </w:rPr>
        <w:t>服务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。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对36台投保设备每半</w:t>
      </w:r>
      <w:r>
        <w:rPr>
          <w:rFonts w:hint="eastAsia" w:ascii="宋体" w:hAnsi="宋体" w:cs="Helvetica"/>
          <w:kern w:val="0"/>
          <w:sz w:val="24"/>
          <w:szCs w:val="21"/>
        </w:rPr>
        <w:t>年至少上门巡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检</w:t>
      </w:r>
      <w:r>
        <w:rPr>
          <w:rFonts w:hint="eastAsia" w:ascii="宋体" w:hAnsi="宋体" w:cs="Helvetica"/>
          <w:kern w:val="0"/>
          <w:sz w:val="24"/>
          <w:szCs w:val="21"/>
        </w:rPr>
        <w:t>一次，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巡检完成后提供巡检报告（包含巡检内容、发现的问题、建议等）</w:t>
      </w:r>
      <w:r>
        <w:rPr>
          <w:rFonts w:hint="eastAsia" w:ascii="宋体" w:hAnsi="宋体" w:cs="Helvetica"/>
          <w:kern w:val="0"/>
          <w:sz w:val="24"/>
          <w:szCs w:val="21"/>
        </w:rPr>
        <w:t>。</w:t>
      </w:r>
    </w:p>
    <w:p w14:paraId="39214451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1"/>
        </w:rPr>
        <w:t>.成立售后服务项目小组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。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维保工程师需</w:t>
      </w:r>
      <w:r>
        <w:rPr>
          <w:rFonts w:hint="eastAsia" w:ascii="宋体" w:hAnsi="宋体" w:cs="Helvetica"/>
          <w:kern w:val="0"/>
          <w:sz w:val="24"/>
          <w:szCs w:val="21"/>
        </w:rPr>
        <w:t>具备一定的专业素质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有相同类别、型号仪器等三年以上维护工作经验，或取得过设备原厂认证的资质证明。</w:t>
      </w:r>
    </w:p>
    <w:p w14:paraId="65115136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5</w:t>
      </w:r>
      <w:r>
        <w:rPr>
          <w:rFonts w:hint="eastAsia" w:ascii="宋体" w:hAnsi="宋体" w:cs="Helvetica"/>
          <w:kern w:val="0"/>
          <w:sz w:val="24"/>
          <w:szCs w:val="21"/>
        </w:rPr>
        <w:t>.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服务响应：（1）远程响应：应</w:t>
      </w:r>
      <w:r>
        <w:rPr>
          <w:rFonts w:hint="eastAsia" w:ascii="宋体" w:hAnsi="宋体" w:cs="Helvetica"/>
          <w:kern w:val="0"/>
          <w:sz w:val="24"/>
          <w:szCs w:val="21"/>
        </w:rPr>
        <w:t>提供客户服务专线电话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cs="Helvetica"/>
          <w:kern w:val="0"/>
          <w:sz w:val="24"/>
          <w:szCs w:val="21"/>
        </w:rPr>
        <w:t>确保24小时×365天有客服人员接听电话。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2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现场响应：</w:t>
      </w:r>
      <w:r>
        <w:rPr>
          <w:rFonts w:hint="eastAsia" w:ascii="宋体" w:hAnsi="宋体" w:cs="Helvetica"/>
          <w:kern w:val="0"/>
          <w:sz w:val="24"/>
          <w:szCs w:val="21"/>
        </w:rPr>
        <w:t>收到服务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保修</w:t>
      </w:r>
      <w:r>
        <w:rPr>
          <w:rFonts w:hint="eastAsia" w:ascii="宋体" w:hAnsi="宋体" w:cs="Helvetica"/>
          <w:kern w:val="0"/>
          <w:sz w:val="24"/>
          <w:szCs w:val="21"/>
        </w:rPr>
        <w:t>通知30分钟内响应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；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发生关键故障影响实验室安全的问题，工程师应在</w:t>
      </w:r>
      <w:r>
        <w:rPr>
          <w:rFonts w:hint="eastAsia" w:ascii="宋体" w:hAnsi="宋体" w:cs="Helvetica"/>
          <w:kern w:val="0"/>
          <w:sz w:val="24"/>
          <w:szCs w:val="21"/>
        </w:rPr>
        <w:t>工作时间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1"/>
        </w:rPr>
        <w:t>小时内到达故障现场；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发生严重故障导致设备停机，工程师应在</w:t>
      </w:r>
      <w:r>
        <w:rPr>
          <w:rFonts w:hint="eastAsia" w:ascii="宋体" w:hAnsi="宋体" w:cs="Helvetica"/>
          <w:kern w:val="0"/>
          <w:sz w:val="24"/>
          <w:szCs w:val="21"/>
        </w:rPr>
        <w:t>工作时间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8</w:t>
      </w:r>
      <w:r>
        <w:rPr>
          <w:rFonts w:hint="eastAsia" w:ascii="宋体" w:hAnsi="宋体" w:cs="Helvetica"/>
          <w:kern w:val="0"/>
          <w:sz w:val="24"/>
          <w:szCs w:val="21"/>
        </w:rPr>
        <w:t>小时内到达故障现场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；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发生一般故障，工程师可</w:t>
      </w:r>
      <w:r>
        <w:rPr>
          <w:rFonts w:hint="eastAsia" w:ascii="宋体" w:hAnsi="宋体" w:cs="Helvetica"/>
          <w:kern w:val="0"/>
          <w:sz w:val="24"/>
          <w:szCs w:val="21"/>
        </w:rPr>
        <w:t>在两个工作日内响应。</w:t>
      </w:r>
    </w:p>
    <w:p w14:paraId="3CBEE962">
      <w:pPr>
        <w:widowControl/>
        <w:spacing w:line="510" w:lineRule="atLeast"/>
        <w:ind w:firstLine="480"/>
        <w:jc w:val="left"/>
        <w:rPr>
          <w:rFonts w:hint="default" w:ascii="宋体" w:hAnsi="宋体" w:cs="Helvetica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6、数据安全与合规。在维保中需签署保密协议，保障用户实验数据安全，禁止未经授权拷贝用户数据。</w:t>
      </w:r>
    </w:p>
    <w:p w14:paraId="539A065A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</w:rPr>
        <w:t>二、设备维保清单</w:t>
      </w:r>
    </w:p>
    <w:p w14:paraId="3C5E8B7A">
      <w:pPr>
        <w:pStyle w:val="2"/>
        <w:rPr>
          <w:rFonts w:hint="eastAsia" w:ascii="宋体" w:hAnsi="宋体" w:cs="Helvetica"/>
          <w:kern w:val="0"/>
          <w:sz w:val="24"/>
          <w:szCs w:val="21"/>
        </w:rPr>
      </w:pPr>
    </w:p>
    <w:tbl>
      <w:tblPr>
        <w:tblStyle w:val="3"/>
        <w:tblW w:w="95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632"/>
        <w:gridCol w:w="1016"/>
        <w:gridCol w:w="1350"/>
        <w:gridCol w:w="650"/>
        <w:gridCol w:w="834"/>
        <w:gridCol w:w="1916"/>
        <w:gridCol w:w="757"/>
        <w:gridCol w:w="972"/>
      </w:tblGrid>
      <w:tr w14:paraId="1292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7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设备厂家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购置价/万元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使用时间</w:t>
            </w:r>
          </w:p>
        </w:tc>
      </w:tr>
      <w:tr w14:paraId="140D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离子色谱仪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Integrion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1839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傅里叶近中红外显微镜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2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200i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720C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傅里叶近中红外显微镜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400i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6537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气相—红外联用仪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Clarus690 Spectrum3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240E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便携式红外光谱仪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Spectrum two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2023年6月26日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</w:t>
            </w:r>
          </w:p>
        </w:tc>
      </w:tr>
      <w:tr w14:paraId="33D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台式显微激光拉曼光谱仪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雷尼绍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InVia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4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08F7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百万分之一天平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XPR6UD5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1407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十万分之一天平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XSR105DU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0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3A47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ML204T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2019年7月25日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5311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F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水分滴定仪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V30S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2023年6月26日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</w:t>
            </w:r>
          </w:p>
        </w:tc>
      </w:tr>
      <w:tr w14:paraId="1C13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梅特勒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2023年6月26日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</w:t>
            </w:r>
          </w:p>
        </w:tc>
      </w:tr>
      <w:tr w14:paraId="221E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Evolution One Plus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2023年6月26日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</w:t>
            </w:r>
          </w:p>
        </w:tc>
      </w:tr>
      <w:tr w14:paraId="6277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稳定同位素比质谱仪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德国元素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Elementar BiovisION+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1C86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电感耦合等离子体质谱仪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0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415C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高通量全自动固相萃取仪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Fotector Plus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26C1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全自动固相萃取仪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9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厦门睿科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Fotrctor Plus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9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06BA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冷冻撞击研磨仪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D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2021年10月25日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2585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氮气发生器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凯莱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KL70-1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2023年4月7日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288B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氮气发生器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Peak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AE 1024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208B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4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氮气发生器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Peak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1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NM32LA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A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2020年9月2日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  <w:tr w14:paraId="01E1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氮气发生器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Peak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XE SCI 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2023年4月7日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一年</w:t>
            </w:r>
          </w:p>
        </w:tc>
      </w:tr>
      <w:tr w14:paraId="0546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纯水机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Milli-Q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IQ 7000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2021年3月11日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F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</w:tr>
    </w:tbl>
    <w:p w14:paraId="2DBC6B91">
      <w:pPr>
        <w:rPr>
          <w:rFonts w:hint="eastAsia" w:ascii="宋体" w:hAnsi="宋体" w:cs="Helvetica"/>
          <w:kern w:val="0"/>
          <w:sz w:val="24"/>
          <w:szCs w:val="21"/>
        </w:rPr>
      </w:pPr>
    </w:p>
    <w:p w14:paraId="2237054B">
      <w:pPr>
        <w:spacing w:line="360" w:lineRule="auto"/>
        <w:ind w:firstLine="482" w:firstLineChars="200"/>
        <w:rPr>
          <w:rFonts w:hint="default" w:ascii="黑体" w:hAnsi="仿宋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仿宋" w:eastAsia="黑体" w:cs="黑体"/>
          <w:b/>
          <w:bCs/>
          <w:sz w:val="24"/>
          <w:lang w:val="en-US" w:eastAsia="zh-CN"/>
        </w:rPr>
        <w:t>三、商务要求</w:t>
      </w:r>
    </w:p>
    <w:p w14:paraId="5228EFA6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1.</w:t>
      </w:r>
      <w:r>
        <w:rPr>
          <w:rFonts w:hint="eastAsia" w:ascii="宋体" w:hAnsi="宋体" w:cs="Helvetica"/>
          <w:kern w:val="0"/>
          <w:sz w:val="24"/>
          <w:szCs w:val="21"/>
        </w:rPr>
        <w:t>付款方式</w:t>
      </w:r>
    </w:p>
    <w:p w14:paraId="10443EE9">
      <w:pPr>
        <w:widowControl/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1.</w:t>
      </w:r>
      <w:r>
        <w:rPr>
          <w:rFonts w:hint="eastAsia" w:ascii="宋体" w:hAnsi="宋体" w:cs="Helvetica"/>
          <w:kern w:val="0"/>
          <w:sz w:val="24"/>
          <w:szCs w:val="21"/>
        </w:rPr>
        <w:t>1供应商承诺在采购人办理以上付款的支付手续前，为采购人出具等额的符合国家规定的发票；</w:t>
      </w:r>
    </w:p>
    <w:p w14:paraId="570443C3">
      <w:pPr>
        <w:widowControl/>
        <w:spacing w:line="510" w:lineRule="atLeast"/>
        <w:ind w:firstLine="480"/>
        <w:jc w:val="left"/>
        <w:rPr>
          <w:rFonts w:hint="eastAsia" w:ascii="宋体" w:hAnsi="宋体" w:eastAsia="宋体" w:cs="Helvetica"/>
          <w:kern w:val="0"/>
          <w:sz w:val="24"/>
          <w:szCs w:val="21"/>
          <w:lang w:eastAsia="zh-CN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1.2</w:t>
      </w:r>
      <w:r>
        <w:rPr>
          <w:rFonts w:hint="eastAsia" w:ascii="宋体" w:hAnsi="宋体" w:cs="Helvetica"/>
          <w:kern w:val="0"/>
          <w:sz w:val="24"/>
          <w:szCs w:val="21"/>
        </w:rPr>
        <w:t>合同签订后30日内支付合同金额的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6</w:t>
      </w:r>
      <w:r>
        <w:rPr>
          <w:rFonts w:hint="eastAsia" w:ascii="宋体" w:hAnsi="宋体" w:cs="Helvetica"/>
          <w:kern w:val="0"/>
          <w:sz w:val="24"/>
          <w:szCs w:val="21"/>
        </w:rPr>
        <w:t>0%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；完成所有服务任务，验收合格后30日内支付剩余</w:t>
      </w: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4</w:t>
      </w:r>
      <w:r>
        <w:rPr>
          <w:rFonts w:hint="eastAsia" w:ascii="宋体" w:hAnsi="宋体" w:cs="Helvetica"/>
          <w:kern w:val="0"/>
          <w:sz w:val="24"/>
          <w:szCs w:val="21"/>
          <w:lang w:eastAsia="zh-CN"/>
        </w:rPr>
        <w:t>0%。</w:t>
      </w:r>
    </w:p>
    <w:p w14:paraId="1B580A91">
      <w:pPr>
        <w:widowControl/>
        <w:numPr>
          <w:ilvl w:val="0"/>
          <w:numId w:val="1"/>
        </w:numPr>
        <w:spacing w:line="510" w:lineRule="atLeast"/>
        <w:ind w:firstLine="480"/>
        <w:jc w:val="left"/>
        <w:rPr>
          <w:rFonts w:hint="eastAsia" w:ascii="宋体" w:hAnsi="宋体" w:cs="Helvetica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Helvetica"/>
          <w:kern w:val="0"/>
          <w:sz w:val="24"/>
          <w:szCs w:val="21"/>
          <w:lang w:val="en-US" w:eastAsia="zh-CN"/>
        </w:rPr>
        <w:t>服务期限：合同签订之日起一年</w:t>
      </w:r>
    </w:p>
    <w:p w14:paraId="345AB496">
      <w:pPr>
        <w:widowControl/>
        <w:numPr>
          <w:ilvl w:val="0"/>
          <w:numId w:val="1"/>
        </w:numPr>
        <w:spacing w:line="510" w:lineRule="atLeast"/>
        <w:ind w:firstLine="480"/>
        <w:jc w:val="left"/>
        <w:rPr>
          <w:rFonts w:hint="default" w:ascii="宋体" w:hAnsi="宋体" w:cs="Helvetica"/>
          <w:kern w:val="0"/>
          <w:sz w:val="24"/>
          <w:szCs w:val="21"/>
          <w:lang w:val="en-US" w:eastAsia="zh-CN"/>
        </w:rPr>
      </w:pPr>
      <w:r>
        <w:rPr>
          <w:rFonts w:hint="default" w:ascii="宋体" w:hAnsi="宋体" w:cs="Helvetica"/>
          <w:kern w:val="0"/>
          <w:sz w:val="24"/>
          <w:szCs w:val="21"/>
          <w:lang w:val="en-US" w:eastAsia="zh-CN"/>
        </w:rPr>
        <w:t>服务地点：采购人指定地点。</w:t>
      </w:r>
    </w:p>
    <w:p w14:paraId="46E24EA2">
      <w:bookmarkStart w:id="0" w:name="_GoBack"/>
      <w:bookmarkEnd w:id="0"/>
    </w:p>
    <w:sectPr>
      <w:pgSz w:w="11910" w:h="16840"/>
      <w:pgMar w:top="1440" w:right="1800" w:bottom="1440" w:left="1800" w:header="794" w:footer="79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39EBD"/>
    <w:multiLevelType w:val="singleLevel"/>
    <w:tmpl w:val="CBA39E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B2790"/>
    <w:rsid w:val="3C3232B3"/>
    <w:rsid w:val="7C3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2025-07-14T05:10:00Z</dcterms:created>
  <dc:creator>贾旭鸣</dc:creator>
  <cp:lastModifiedBy>贾旭鸣</cp:lastModifiedBy>
  <dcterms:modified xsi:type="dcterms:W3CDTF">2025-07-14T05:10:46Z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31857A41755D432299B415738837FE78_11</vt:lpwstr>
  </property>
  <property fmtid="{D5CDD505-2E9C-101B-9397-08002B2CF9AE}" pid="4" name="KSOTemplateDocerSaveRecord">
    <vt:lpwstr>eyJoZGlkIjoiY2YzMTcxODczODNkNjg0NGQ4ODVkZWU3OWJjN2Y2ZjYiLCJ1c2VySWQiOiIyMzI0Njk3NzUifQ==</vt:lpwstr>
  </property>
</Properties>
</file>