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228F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一、技术、服务标准和要求：</w:t>
      </w:r>
    </w:p>
    <w:p w14:paraId="55E9199E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采购包1：</w:t>
      </w:r>
    </w:p>
    <w:p w14:paraId="43E8266F">
      <w:pPr>
        <w:pStyle w:val="22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标的名称：</w:t>
      </w:r>
      <w:r>
        <w:rPr>
          <w:rFonts w:hint="eastAsia" w:ascii="仿宋" w:hAnsi="仿宋" w:eastAsia="仿宋" w:cs="仿宋"/>
          <w:highlight w:val="none"/>
          <w:lang w:eastAsia="zh-CN"/>
        </w:rPr>
        <w:t>图书馆改建项目</w:t>
      </w:r>
    </w:p>
    <w:tbl>
      <w:tblPr>
        <w:tblStyle w:val="16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83"/>
        <w:gridCol w:w="7207"/>
      </w:tblGrid>
      <w:tr w14:paraId="04E24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9" w:type="pct"/>
          </w:tcPr>
          <w:p w14:paraId="1BDFA1F5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401" w:type="pct"/>
          </w:tcPr>
          <w:p w14:paraId="78A1A6D4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参数性质</w:t>
            </w:r>
          </w:p>
        </w:tc>
        <w:tc>
          <w:tcPr>
            <w:tcW w:w="4228" w:type="pct"/>
          </w:tcPr>
          <w:p w14:paraId="73C4527E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 技术参数与性能指标</w:t>
            </w:r>
          </w:p>
        </w:tc>
      </w:tr>
      <w:tr w14:paraId="54CCF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 w14:paraId="36B83145">
            <w:pPr>
              <w:pStyle w:val="22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1</w:t>
            </w:r>
          </w:p>
        </w:tc>
        <w:tc>
          <w:tcPr>
            <w:tcW w:w="401" w:type="pct"/>
          </w:tcPr>
          <w:p w14:paraId="0C68DFEA">
            <w:pPr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4228" w:type="pct"/>
          </w:tcPr>
          <w:p w14:paraId="771EE4BC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highlight w:val="none"/>
              </w:rPr>
              <w:t>一、概况及实施范围</w:t>
            </w:r>
          </w:p>
          <w:p w14:paraId="1CB7BE01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1、实施地点：甲方指定地点；</w:t>
            </w:r>
          </w:p>
          <w:p w14:paraId="7258C922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2、工期：45天</w:t>
            </w:r>
          </w:p>
          <w:p w14:paraId="6B308F73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</w:rPr>
              <w:t>3、质保期：</w:t>
            </w: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highlight w:val="none"/>
              </w:rPr>
              <w:t>年</w:t>
            </w:r>
          </w:p>
          <w:p w14:paraId="16A94AD9">
            <w:pPr>
              <w:pStyle w:val="22"/>
              <w:jc w:val="both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highlight w:val="none"/>
              </w:rPr>
              <w:t>二、工程量清单另附。</w:t>
            </w:r>
          </w:p>
        </w:tc>
      </w:tr>
    </w:tbl>
    <w:p w14:paraId="4A8234F2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二、供应商针对本项目的施工，必须达到国家及行业现行技术规范标准，符合国家及行业验收合格标准：</w:t>
      </w:r>
    </w:p>
    <w:p w14:paraId="085D3E79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采购包1：</w:t>
      </w:r>
      <w:bookmarkStart w:id="0" w:name="_GoBack"/>
      <w:bookmarkEnd w:id="0"/>
    </w:p>
    <w:p w14:paraId="249960C7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必须达到国家及行业现行技术规范标准，符合国家及行业验收合格标准</w:t>
      </w:r>
    </w:p>
    <w:p w14:paraId="10C8C784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三、针对本项目的其他技术服务要求：</w:t>
      </w:r>
    </w:p>
    <w:p w14:paraId="72CB4460">
      <w:pPr>
        <w:pStyle w:val="2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必须达到国家及行业现行技术规范标准，符合国家及行业验收合格标准</w:t>
      </w:r>
    </w:p>
    <w:p w14:paraId="3ABCFB95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四、工程量清单（详见附件）</w:t>
      </w:r>
    </w:p>
    <w:p w14:paraId="7FDF586C">
      <w:pPr>
        <w:pStyle w:val="22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2CCCD7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895914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011161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snapToGrid w:val="0"/>
      <w:spacing w:line="240" w:lineRule="auto"/>
      <w:jc w:val="left"/>
      <w:textAlignment w:val="auto"/>
    </w:pPr>
    <w:rPr>
      <w:rFonts w:ascii="Calibri" w:hAnsi="Calibri" w:eastAsia="宋体" w:cs="Times New Roman"/>
      <w:snapToGrid/>
      <w:kern w:val="2"/>
      <w:sz w:val="18"/>
      <w:szCs w:val="18"/>
      <w:lang w:eastAsia="zh-CN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4">
    <w:name w:val="Body Text"/>
    <w:basedOn w:val="1"/>
    <w:qFormat/>
    <w:uiPriority w:val="0"/>
    <w:pPr>
      <w:spacing w:after="120" w:afterLines="0" w:afterAutospacing="0"/>
    </w:pPr>
  </w:style>
  <w:style w:type="paragraph" w:styleId="15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8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9">
    <w:name w:val="标题 3 Char"/>
    <w:basedOn w:val="17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7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1">
    <w:name w:val="标题 4 Char"/>
    <w:basedOn w:val="17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2025-07-14T09:47:54Z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